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Pr>
        <w:spacing w:line="360" w:lineRule="auto"/>
        <w:jc w:val="center"/>
        <w:rPr>
          <w:rFonts w:ascii="黑体" w:hAnsi="黑体" w:eastAsia="黑体"/>
          <w:b/>
          <w:sz w:val="56"/>
          <w:szCs w:val="56"/>
        </w:rPr>
      </w:pPr>
      <w:r>
        <w:rPr>
          <w:rFonts w:ascii="黑体" w:hAnsi="黑体" w:eastAsia="黑体"/>
          <w:b/>
          <w:sz w:val="56"/>
          <w:szCs w:val="56"/>
        </w:rPr>
        <w:t>大英县成遂协同绿色发展片区</w:t>
      </w:r>
    </w:p>
    <w:p>
      <w:pPr>
        <w:spacing w:line="360" w:lineRule="auto"/>
        <w:jc w:val="center"/>
        <w:rPr>
          <w:rFonts w:ascii="黑体" w:hAnsi="黑体" w:eastAsia="黑体"/>
          <w:b/>
          <w:sz w:val="56"/>
          <w:szCs w:val="56"/>
        </w:rPr>
      </w:pPr>
      <w:r>
        <w:rPr>
          <w:rFonts w:ascii="黑体" w:hAnsi="黑体" w:eastAsia="黑体"/>
          <w:b/>
          <w:sz w:val="56"/>
          <w:szCs w:val="56"/>
        </w:rPr>
        <w:t>国土空间总体规划</w:t>
      </w:r>
      <w:r>
        <w:rPr>
          <w:rFonts w:hint="eastAsia" w:ascii="黑体" w:hAnsi="黑体" w:eastAsia="黑体"/>
          <w:sz w:val="48"/>
          <w:szCs w:val="56"/>
        </w:rPr>
        <w:t>（</w:t>
      </w:r>
      <w:r>
        <w:rPr>
          <w:rFonts w:ascii="黑体" w:hAnsi="黑体" w:eastAsia="黑体"/>
          <w:sz w:val="48"/>
          <w:szCs w:val="56"/>
        </w:rPr>
        <w:t>2021-2035年</w:t>
      </w:r>
      <w:r>
        <w:rPr>
          <w:rFonts w:hint="eastAsia" w:ascii="黑体" w:hAnsi="黑体" w:eastAsia="黑体"/>
          <w:sz w:val="48"/>
          <w:szCs w:val="56"/>
        </w:rPr>
        <w:t>）</w:t>
      </w:r>
    </w:p>
    <w:p>
      <w:pPr>
        <w:spacing w:line="360" w:lineRule="auto"/>
        <w:jc w:val="center"/>
        <w:rPr>
          <w:rFonts w:ascii="黑体" w:hAnsi="黑体" w:eastAsia="黑体"/>
          <w:b/>
          <w:sz w:val="56"/>
          <w:szCs w:val="56"/>
        </w:rPr>
      </w:pPr>
      <w:r>
        <w:rPr>
          <w:rFonts w:ascii="黑体" w:hAnsi="黑体" w:eastAsia="黑体"/>
          <w:b/>
          <w:sz w:val="56"/>
          <w:szCs w:val="56"/>
        </w:rPr>
        <w:t>文本</w:t>
      </w:r>
      <w:r>
        <w:rPr>
          <w:rFonts w:hint="eastAsia" w:ascii="宋体" w:hAnsi="宋体" w:eastAsia="宋体" w:cs="宋体"/>
          <w:b/>
          <w:sz w:val="56"/>
          <w:szCs w:val="56"/>
        </w:rPr>
        <w:t>•</w:t>
      </w:r>
      <w:r>
        <w:rPr>
          <w:rFonts w:hint="eastAsia" w:ascii="黑体" w:hAnsi="黑体" w:eastAsia="黑体"/>
          <w:b/>
          <w:sz w:val="56"/>
          <w:szCs w:val="56"/>
        </w:rPr>
        <w:t>图集</w:t>
      </w:r>
    </w:p>
    <w:p>
      <w:pPr>
        <w:spacing w:line="360" w:lineRule="auto"/>
        <w:jc w:val="center"/>
        <w:rPr>
          <w:rFonts w:ascii="微软雅黑" w:hAnsi="微软雅黑"/>
          <w:sz w:val="32"/>
          <w:szCs w:val="32"/>
        </w:rPr>
      </w:pPr>
    </w:p>
    <w:p>
      <w:pPr>
        <w:spacing w:line="360" w:lineRule="auto"/>
        <w:ind w:firstLine="640"/>
        <w:jc w:val="center"/>
        <w:rPr>
          <w:rFonts w:ascii="微软雅黑" w:hAnsi="微软雅黑"/>
          <w:sz w:val="32"/>
          <w:szCs w:val="32"/>
        </w:rPr>
      </w:pPr>
    </w:p>
    <w:p>
      <w:pPr>
        <w:spacing w:line="360" w:lineRule="auto"/>
        <w:ind w:firstLine="640"/>
        <w:jc w:val="center"/>
        <w:rPr>
          <w:rFonts w:ascii="微软雅黑" w:hAnsi="微软雅黑"/>
          <w:sz w:val="32"/>
          <w:szCs w:val="32"/>
        </w:rPr>
      </w:pPr>
    </w:p>
    <w:p>
      <w:pPr>
        <w:spacing w:line="360" w:lineRule="auto"/>
        <w:ind w:firstLine="640"/>
        <w:jc w:val="center"/>
        <w:rPr>
          <w:rFonts w:ascii="微软雅黑" w:hAnsi="微软雅黑"/>
          <w:sz w:val="32"/>
          <w:szCs w:val="32"/>
        </w:rPr>
      </w:pPr>
    </w:p>
    <w:p>
      <w:pPr>
        <w:spacing w:line="360" w:lineRule="auto"/>
        <w:ind w:firstLine="640"/>
        <w:jc w:val="center"/>
        <w:rPr>
          <w:rFonts w:ascii="微软雅黑" w:hAnsi="微软雅黑"/>
          <w:sz w:val="32"/>
          <w:szCs w:val="32"/>
        </w:rPr>
      </w:pPr>
    </w:p>
    <w:p>
      <w:pPr>
        <w:spacing w:line="360" w:lineRule="auto"/>
        <w:ind w:firstLine="640"/>
        <w:jc w:val="center"/>
        <w:rPr>
          <w:rFonts w:ascii="微软雅黑" w:hAnsi="微软雅黑"/>
          <w:sz w:val="32"/>
          <w:szCs w:val="32"/>
        </w:rPr>
      </w:pPr>
    </w:p>
    <w:p>
      <w:pPr>
        <w:spacing w:line="360" w:lineRule="auto"/>
        <w:ind w:firstLine="640"/>
        <w:jc w:val="center"/>
        <w:rPr>
          <w:rFonts w:ascii="微软雅黑" w:hAnsi="微软雅黑"/>
          <w:sz w:val="32"/>
          <w:szCs w:val="32"/>
        </w:rPr>
      </w:pPr>
    </w:p>
    <w:p>
      <w:pPr>
        <w:spacing w:line="360" w:lineRule="auto"/>
        <w:ind w:firstLine="640"/>
        <w:jc w:val="center"/>
        <w:rPr>
          <w:rFonts w:ascii="微软雅黑" w:hAnsi="微软雅黑"/>
          <w:sz w:val="32"/>
          <w:szCs w:val="32"/>
        </w:rPr>
      </w:pPr>
    </w:p>
    <w:p>
      <w:pPr>
        <w:spacing w:line="360" w:lineRule="auto"/>
        <w:ind w:firstLine="640"/>
        <w:jc w:val="center"/>
        <w:rPr>
          <w:rFonts w:ascii="微软雅黑" w:hAnsi="微软雅黑"/>
          <w:sz w:val="32"/>
          <w:szCs w:val="32"/>
        </w:rPr>
      </w:pPr>
    </w:p>
    <w:p>
      <w:pPr>
        <w:spacing w:line="360" w:lineRule="auto"/>
        <w:ind w:firstLine="640"/>
        <w:jc w:val="center"/>
        <w:rPr>
          <w:rFonts w:ascii="微软雅黑" w:hAnsi="微软雅黑"/>
          <w:sz w:val="32"/>
          <w:szCs w:val="32"/>
        </w:rPr>
      </w:pPr>
    </w:p>
    <w:p>
      <w:pPr>
        <w:spacing w:line="360" w:lineRule="auto"/>
        <w:ind w:firstLine="640"/>
        <w:jc w:val="center"/>
        <w:rPr>
          <w:rFonts w:ascii="微软雅黑" w:hAnsi="微软雅黑"/>
          <w:sz w:val="32"/>
          <w:szCs w:val="32"/>
        </w:rPr>
      </w:pPr>
    </w:p>
    <w:p>
      <w:pPr>
        <w:spacing w:line="360" w:lineRule="auto"/>
        <w:ind w:firstLine="640"/>
        <w:jc w:val="center"/>
        <w:rPr>
          <w:rFonts w:ascii="微软雅黑" w:hAnsi="微软雅黑"/>
          <w:sz w:val="32"/>
          <w:szCs w:val="32"/>
        </w:rPr>
      </w:pPr>
    </w:p>
    <w:p>
      <w:pPr>
        <w:spacing w:line="360" w:lineRule="auto"/>
        <w:ind w:firstLine="640"/>
        <w:jc w:val="center"/>
        <w:rPr>
          <w:rFonts w:ascii="微软雅黑" w:hAnsi="微软雅黑"/>
          <w:sz w:val="32"/>
          <w:szCs w:val="32"/>
        </w:rPr>
      </w:pPr>
    </w:p>
    <w:p>
      <w:pPr>
        <w:spacing w:line="360" w:lineRule="auto"/>
        <w:ind w:firstLine="640"/>
        <w:jc w:val="center"/>
        <w:rPr>
          <w:rFonts w:ascii="微软雅黑" w:hAnsi="微软雅黑"/>
          <w:sz w:val="32"/>
          <w:szCs w:val="32"/>
        </w:rPr>
      </w:pPr>
    </w:p>
    <w:p>
      <w:pPr>
        <w:spacing w:line="360" w:lineRule="auto"/>
        <w:jc w:val="center"/>
        <w:rPr>
          <w:rFonts w:ascii="黑体" w:hAnsi="黑体" w:eastAsia="黑体"/>
          <w:sz w:val="30"/>
          <w:szCs w:val="30"/>
        </w:rPr>
      </w:pPr>
      <w:r>
        <w:rPr>
          <w:rFonts w:ascii="黑体" w:hAnsi="黑体" w:eastAsia="黑体"/>
          <w:sz w:val="30"/>
          <w:szCs w:val="30"/>
        </w:rPr>
        <w:t>大英县自然资源和规划局</w:t>
      </w:r>
    </w:p>
    <w:p>
      <w:pPr>
        <w:spacing w:line="360" w:lineRule="auto"/>
        <w:jc w:val="center"/>
        <w:rPr>
          <w:rFonts w:ascii="黑体" w:hAnsi="黑体" w:eastAsia="黑体"/>
          <w:sz w:val="30"/>
          <w:szCs w:val="30"/>
        </w:rPr>
      </w:pPr>
      <w:r>
        <w:rPr>
          <w:rFonts w:ascii="黑体" w:hAnsi="黑体" w:eastAsia="黑体"/>
          <w:sz w:val="30"/>
          <w:szCs w:val="30"/>
        </w:rPr>
        <w:t>中机中联工程有限公司</w:t>
      </w:r>
    </w:p>
    <w:p>
      <w:pPr>
        <w:spacing w:line="360" w:lineRule="auto"/>
        <w:jc w:val="center"/>
        <w:rPr>
          <w:rFonts w:ascii="黑体" w:hAnsi="黑体" w:eastAsia="黑体"/>
          <w:sz w:val="30"/>
          <w:szCs w:val="30"/>
        </w:rPr>
      </w:pPr>
      <w:r>
        <w:rPr>
          <w:rFonts w:hint="eastAsia" w:ascii="黑体" w:hAnsi="黑体" w:eastAsia="黑体"/>
          <w:sz w:val="30"/>
          <w:szCs w:val="30"/>
        </w:rPr>
        <w:t>2024年5月</w:t>
      </w:r>
    </w:p>
    <w:p>
      <w:pPr>
        <w:spacing w:line="360" w:lineRule="auto"/>
        <w:ind w:firstLine="1839" w:firstLineChars="613"/>
        <w:jc w:val="left"/>
        <w:rPr>
          <w:rFonts w:ascii="黑体" w:hAnsi="黑体" w:eastAsia="黑体"/>
          <w:sz w:val="30"/>
          <w:szCs w:val="30"/>
        </w:rPr>
        <w:sectPr>
          <w:headerReference r:id="rId5" w:type="first"/>
          <w:footerReference r:id="rId8" w:type="first"/>
          <w:headerReference r:id="rId3" w:type="default"/>
          <w:footerReference r:id="rId6" w:type="default"/>
          <w:headerReference r:id="rId4" w:type="even"/>
          <w:footerReference r:id="rId7" w:type="even"/>
          <w:type w:val="continuous"/>
          <w:pgSz w:w="11906" w:h="16838"/>
          <w:pgMar w:top="1440" w:right="1800" w:bottom="1440" w:left="1800" w:header="851" w:footer="992" w:gutter="0"/>
          <w:pgNumType w:start="1" w:chapStyle="1"/>
          <w:cols w:space="425" w:num="1"/>
          <w:titlePg/>
          <w:docGrid w:type="lines" w:linePitch="312" w:charSpace="0"/>
        </w:sectPr>
      </w:pPr>
    </w:p>
    <w:p>
      <w:pPr>
        <w:spacing w:line="360" w:lineRule="auto"/>
        <w:jc w:val="center"/>
        <w:rPr>
          <w:rFonts w:ascii="黑体" w:hAnsi="黑体" w:eastAsia="黑体"/>
          <w:b/>
          <w:sz w:val="44"/>
          <w:szCs w:val="44"/>
        </w:rPr>
        <w:sectPr>
          <w:type w:val="continuous"/>
          <w:pgSz w:w="11906" w:h="16838"/>
          <w:pgMar w:top="1440" w:right="1800" w:bottom="1440" w:left="1800" w:header="851" w:footer="992" w:gutter="0"/>
          <w:pgNumType w:start="1" w:chapStyle="1"/>
          <w:cols w:space="425" w:num="1"/>
          <w:titlePg/>
          <w:docGrid w:type="lines" w:linePitch="312" w:charSpace="0"/>
        </w:sectPr>
      </w:pPr>
    </w:p>
    <w:p>
      <w:pPr>
        <w:spacing w:line="480" w:lineRule="auto"/>
        <w:jc w:val="center"/>
        <w:rPr>
          <w:rFonts w:ascii="黑体" w:hAnsi="黑体" w:eastAsia="黑体"/>
          <w:sz w:val="44"/>
          <w:szCs w:val="44"/>
        </w:rPr>
      </w:pPr>
    </w:p>
    <w:p>
      <w:pPr>
        <w:spacing w:line="480" w:lineRule="auto"/>
        <w:jc w:val="center"/>
        <w:rPr>
          <w:rFonts w:ascii="黑体" w:hAnsi="黑体" w:eastAsia="黑体"/>
          <w:sz w:val="44"/>
          <w:szCs w:val="44"/>
        </w:rPr>
      </w:pPr>
      <w:r>
        <w:rPr>
          <w:rFonts w:ascii="黑体" w:hAnsi="黑体" w:eastAsia="黑体"/>
          <w:sz w:val="44"/>
          <w:szCs w:val="44"/>
        </w:rPr>
        <w:t>大英县成遂协同绿色发展片区</w:t>
      </w:r>
    </w:p>
    <w:p>
      <w:pPr>
        <w:spacing w:line="480" w:lineRule="auto"/>
        <w:jc w:val="center"/>
        <w:rPr>
          <w:rFonts w:ascii="黑体" w:hAnsi="黑体" w:eastAsia="黑体"/>
          <w:sz w:val="44"/>
          <w:szCs w:val="44"/>
        </w:rPr>
      </w:pPr>
      <w:r>
        <w:rPr>
          <w:rFonts w:ascii="黑体" w:hAnsi="黑体" w:eastAsia="黑体"/>
          <w:sz w:val="44"/>
          <w:szCs w:val="44"/>
        </w:rPr>
        <w:t>国土空间总体规划（2021-2035年</w:t>
      </w:r>
      <w:r>
        <w:rPr>
          <w:rFonts w:hint="eastAsia" w:ascii="黑体" w:hAnsi="黑体" w:eastAsia="黑体"/>
          <w:sz w:val="44"/>
          <w:szCs w:val="44"/>
        </w:rPr>
        <w:t>）</w:t>
      </w:r>
    </w:p>
    <w:p>
      <w:pPr>
        <w:spacing w:line="480" w:lineRule="auto"/>
        <w:jc w:val="center"/>
        <w:rPr>
          <w:rFonts w:ascii="黑体" w:hAnsi="黑体" w:eastAsia="黑体"/>
          <w:sz w:val="44"/>
          <w:szCs w:val="44"/>
        </w:rPr>
      </w:pPr>
    </w:p>
    <w:p>
      <w:pPr>
        <w:ind w:firstLine="723"/>
        <w:jc w:val="center"/>
        <w:rPr>
          <w:rFonts w:ascii="黑体" w:hAnsi="黑体" w:eastAsia="黑体"/>
          <w:b/>
          <w:bCs/>
          <w:sz w:val="36"/>
          <w:szCs w:val="36"/>
        </w:rPr>
      </w:pPr>
    </w:p>
    <w:p>
      <w:pPr>
        <w:ind w:firstLine="723"/>
        <w:jc w:val="center"/>
        <w:rPr>
          <w:rFonts w:ascii="黑体" w:hAnsi="黑体" w:eastAsia="黑体"/>
          <w:b/>
          <w:bCs/>
          <w:sz w:val="36"/>
          <w:szCs w:val="36"/>
        </w:rPr>
      </w:pPr>
    </w:p>
    <w:p>
      <w:pPr>
        <w:ind w:firstLine="723"/>
        <w:jc w:val="center"/>
        <w:rPr>
          <w:rFonts w:ascii="黑体" w:hAnsi="黑体" w:eastAsia="黑体"/>
          <w:b/>
          <w:bCs/>
          <w:sz w:val="36"/>
          <w:szCs w:val="36"/>
        </w:rPr>
      </w:pPr>
    </w:p>
    <w:p>
      <w:pPr>
        <w:ind w:firstLine="723"/>
        <w:jc w:val="center"/>
        <w:rPr>
          <w:rFonts w:ascii="黑体" w:hAnsi="黑体" w:eastAsia="黑体"/>
          <w:b/>
          <w:bCs/>
          <w:sz w:val="36"/>
          <w:szCs w:val="36"/>
        </w:rPr>
      </w:pPr>
    </w:p>
    <w:p>
      <w:pPr>
        <w:ind w:firstLine="723"/>
        <w:jc w:val="center"/>
        <w:rPr>
          <w:rFonts w:ascii="黑体" w:hAnsi="黑体" w:eastAsia="黑体"/>
          <w:sz w:val="36"/>
          <w:szCs w:val="36"/>
        </w:rPr>
      </w:pPr>
      <w:r>
        <w:rPr>
          <w:rFonts w:hint="eastAsia" w:ascii="黑体" w:hAnsi="黑体" w:eastAsia="宋体"/>
          <w:sz w:val="36"/>
          <w:szCs w:val="36"/>
        </w:rPr>
        <w:t>文本</w:t>
      </w:r>
    </w:p>
    <w:p>
      <w:pPr>
        <w:pStyle w:val="36"/>
      </w:pPr>
    </w:p>
    <w:p>
      <w:pPr>
        <w:ind w:firstLine="600"/>
        <w:jc w:val="center"/>
        <w:rPr>
          <w:rFonts w:asciiTheme="minorEastAsia" w:hAnsiTheme="minorEastAsia"/>
          <w:bCs/>
          <w:sz w:val="30"/>
          <w:szCs w:val="30"/>
        </w:rPr>
      </w:pPr>
    </w:p>
    <w:p>
      <w:pPr>
        <w:ind w:firstLine="600"/>
        <w:jc w:val="center"/>
        <w:rPr>
          <w:rFonts w:asciiTheme="minorEastAsia" w:hAnsiTheme="minorEastAsia"/>
          <w:bCs/>
          <w:sz w:val="30"/>
          <w:szCs w:val="30"/>
        </w:rPr>
      </w:pPr>
    </w:p>
    <w:p>
      <w:pPr>
        <w:spacing w:line="360" w:lineRule="auto"/>
        <w:ind w:firstLine="560"/>
        <w:jc w:val="center"/>
        <w:rPr>
          <w:rFonts w:eastAsia="宋体" w:asciiTheme="minorEastAsia" w:hAnsiTheme="minorEastAsia"/>
          <w:sz w:val="28"/>
          <w:szCs w:val="28"/>
        </w:rPr>
      </w:pPr>
      <w:r>
        <w:rPr>
          <w:rFonts w:eastAsia="宋体" w:asciiTheme="minorEastAsia" w:hAnsiTheme="minorEastAsia"/>
          <w:sz w:val="28"/>
          <w:szCs w:val="28"/>
        </w:rPr>
        <w:t>工程号：</w:t>
      </w:r>
    </w:p>
    <w:p>
      <w:pPr>
        <w:spacing w:line="360" w:lineRule="auto"/>
        <w:ind w:firstLine="560"/>
        <w:jc w:val="center"/>
        <w:rPr>
          <w:rFonts w:asciiTheme="minorEastAsia" w:hAnsiTheme="minorEastAsia"/>
          <w:sz w:val="28"/>
          <w:szCs w:val="28"/>
        </w:rPr>
      </w:pPr>
      <w:r>
        <w:rPr>
          <w:rFonts w:hint="eastAsia" w:eastAsia="宋体" w:asciiTheme="minorEastAsia" w:hAnsiTheme="minorEastAsia"/>
          <w:sz w:val="28"/>
          <w:szCs w:val="28"/>
        </w:rPr>
        <w:t>法人代表：赵永勃</w:t>
      </w:r>
    </w:p>
    <w:p>
      <w:pPr>
        <w:spacing w:line="360" w:lineRule="auto"/>
        <w:ind w:firstLine="560"/>
        <w:jc w:val="center"/>
        <w:rPr>
          <w:rFonts w:asciiTheme="minorEastAsia" w:hAnsiTheme="minorEastAsia"/>
          <w:sz w:val="28"/>
          <w:szCs w:val="28"/>
        </w:rPr>
      </w:pPr>
      <w:r>
        <w:rPr>
          <w:rFonts w:eastAsia="宋体" w:asciiTheme="minorEastAsia" w:hAnsiTheme="minorEastAsia"/>
          <w:sz w:val="28"/>
          <w:szCs w:val="28"/>
        </w:rPr>
        <w:t>总工程师：</w:t>
      </w:r>
      <w:r>
        <w:rPr>
          <w:rFonts w:hint="eastAsia" w:eastAsia="宋体" w:asciiTheme="minorEastAsia" w:hAnsiTheme="minorEastAsia"/>
          <w:sz w:val="28"/>
          <w:szCs w:val="28"/>
        </w:rPr>
        <w:t>王仲</w:t>
      </w:r>
    </w:p>
    <w:p>
      <w:pPr>
        <w:spacing w:line="360" w:lineRule="auto"/>
        <w:ind w:firstLine="560"/>
        <w:jc w:val="center"/>
        <w:rPr>
          <w:rFonts w:asciiTheme="minorEastAsia" w:hAnsiTheme="minorEastAsia"/>
          <w:sz w:val="28"/>
          <w:szCs w:val="28"/>
        </w:rPr>
      </w:pPr>
      <w:r>
        <w:rPr>
          <w:rFonts w:eastAsia="宋体" w:asciiTheme="minorEastAsia" w:hAnsiTheme="minorEastAsia"/>
          <w:sz w:val="28"/>
          <w:szCs w:val="28"/>
        </w:rPr>
        <w:t>项目负责人：</w:t>
      </w:r>
      <w:r>
        <w:rPr>
          <w:rFonts w:hint="eastAsia" w:eastAsia="宋体" w:asciiTheme="minorEastAsia" w:hAnsiTheme="minorEastAsia"/>
          <w:sz w:val="28"/>
          <w:szCs w:val="28"/>
        </w:rPr>
        <w:t>肖越</w:t>
      </w:r>
    </w:p>
    <w:p>
      <w:pPr>
        <w:spacing w:line="360" w:lineRule="auto"/>
        <w:ind w:firstLine="560"/>
        <w:jc w:val="center"/>
        <w:rPr>
          <w:rFonts w:asciiTheme="minorEastAsia" w:hAnsiTheme="minorEastAsia"/>
          <w:sz w:val="28"/>
          <w:szCs w:val="28"/>
        </w:rPr>
      </w:pPr>
    </w:p>
    <w:p>
      <w:pPr>
        <w:spacing w:line="360" w:lineRule="auto"/>
        <w:ind w:firstLine="560"/>
        <w:jc w:val="center"/>
        <w:rPr>
          <w:rFonts w:asciiTheme="minorEastAsia" w:hAnsiTheme="minorEastAsia"/>
          <w:sz w:val="28"/>
          <w:szCs w:val="28"/>
        </w:rPr>
      </w:pPr>
      <w:r>
        <w:rPr>
          <w:rFonts w:eastAsia="宋体" w:asciiTheme="minorEastAsia" w:hAnsiTheme="minorEastAsia"/>
          <w:sz w:val="28"/>
          <w:szCs w:val="28"/>
        </w:rPr>
        <w:t>规划证书号：自资规甲字21500174</w:t>
      </w:r>
    </w:p>
    <w:p>
      <w:pPr>
        <w:spacing w:line="360" w:lineRule="auto"/>
        <w:ind w:firstLine="560"/>
        <w:jc w:val="center"/>
        <w:rPr>
          <w:rFonts w:asciiTheme="minorEastAsia" w:hAnsiTheme="minorEastAsia"/>
          <w:sz w:val="28"/>
          <w:szCs w:val="28"/>
        </w:rPr>
      </w:pPr>
      <w:r>
        <w:rPr>
          <w:rFonts w:asciiTheme="minorEastAsia" w:hAnsiTheme="minorEastAsia"/>
          <w:sz w:val="28"/>
          <w:szCs w:val="28"/>
        </w:rPr>
        <w:drawing>
          <wp:inline distT="0" distB="0" distL="0" distR="0">
            <wp:extent cx="249555" cy="178435"/>
            <wp:effectExtent l="19050" t="0" r="0" b="0"/>
            <wp:docPr id="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pic:cNvPicPr>
                      <a:picLocks noChangeAspect="1" noChangeArrowheads="1"/>
                    </pic:cNvPicPr>
                  </pic:nvPicPr>
                  <pic:blipFill>
                    <a:blip r:embed="rId11">
                      <a:grayscl/>
                    </a:blip>
                    <a:srcRect l="37376" t="8595" r="57924" b="90019"/>
                    <a:stretch>
                      <a:fillRect/>
                    </a:stretch>
                  </pic:blipFill>
                  <pic:spPr>
                    <a:xfrm>
                      <a:off x="0" y="0"/>
                      <a:ext cx="249555" cy="178435"/>
                    </a:xfrm>
                    <a:prstGeom prst="rect">
                      <a:avLst/>
                    </a:prstGeom>
                    <a:noFill/>
                    <a:ln w="9525">
                      <a:noFill/>
                      <a:miter lim="800000"/>
                      <a:headEnd/>
                      <a:tailEnd/>
                    </a:ln>
                  </pic:spPr>
                </pic:pic>
              </a:graphicData>
            </a:graphic>
          </wp:inline>
        </w:drawing>
      </w:r>
      <w:r>
        <w:rPr>
          <w:rFonts w:eastAsia="宋体" w:asciiTheme="minorEastAsia" w:hAnsiTheme="minorEastAsia"/>
          <w:sz w:val="28"/>
          <w:szCs w:val="28"/>
        </w:rPr>
        <w:t>中机中联工程有限公司</w:t>
      </w:r>
    </w:p>
    <w:p>
      <w:pPr>
        <w:spacing w:line="360" w:lineRule="auto"/>
        <w:ind w:firstLine="560"/>
        <w:jc w:val="center"/>
        <w:rPr>
          <w:rFonts w:asciiTheme="minorEastAsia" w:hAnsiTheme="minorEastAsia"/>
          <w:sz w:val="28"/>
          <w:szCs w:val="28"/>
        </w:rPr>
      </w:pPr>
      <w:r>
        <w:rPr>
          <w:rFonts w:eastAsia="宋体" w:asciiTheme="minorEastAsia" w:hAnsiTheme="minorEastAsia"/>
          <w:sz w:val="28"/>
          <w:szCs w:val="28"/>
        </w:rPr>
        <w:t>客服及投诉电话：023-68612368</w:t>
      </w:r>
    </w:p>
    <w:p>
      <w:pPr>
        <w:spacing w:line="360" w:lineRule="auto"/>
        <w:ind w:firstLine="560"/>
        <w:jc w:val="center"/>
        <w:rPr>
          <w:rFonts w:asciiTheme="minorEastAsia" w:hAnsiTheme="minorEastAsia"/>
          <w:sz w:val="28"/>
          <w:szCs w:val="28"/>
        </w:rPr>
      </w:pPr>
      <w:r>
        <w:rPr>
          <w:rFonts w:eastAsia="宋体" w:asciiTheme="minorEastAsia" w:hAnsiTheme="minorEastAsia"/>
          <w:sz w:val="28"/>
          <w:szCs w:val="28"/>
        </w:rPr>
        <w:t>客服及投诉邮箱：</w:t>
      </w:r>
      <w:r>
        <w:fldChar w:fldCharType="begin"/>
      </w:r>
      <w:r>
        <w:instrText xml:space="preserve"> HYPERLINK "mailto:service@cmtdi.com" </w:instrText>
      </w:r>
      <w:r>
        <w:fldChar w:fldCharType="separate"/>
      </w:r>
      <w:r>
        <w:rPr>
          <w:rStyle w:val="20"/>
          <w:rFonts w:eastAsia="宋体" w:asciiTheme="minorEastAsia" w:hAnsiTheme="minorEastAsia"/>
          <w:color w:val="auto"/>
          <w:sz w:val="28"/>
          <w:szCs w:val="28"/>
        </w:rPr>
        <w:t>service@cmtdi.com</w:t>
      </w:r>
      <w:r>
        <w:rPr>
          <w:rStyle w:val="20"/>
          <w:rFonts w:eastAsia="宋体" w:asciiTheme="minorEastAsia" w:hAnsiTheme="minorEastAsia"/>
          <w:color w:val="auto"/>
          <w:sz w:val="28"/>
          <w:szCs w:val="28"/>
        </w:rPr>
        <w:fldChar w:fldCharType="end"/>
      </w:r>
    </w:p>
    <w:p>
      <w:pPr>
        <w:spacing w:line="360" w:lineRule="auto"/>
        <w:ind w:firstLine="560"/>
        <w:jc w:val="center"/>
        <w:rPr>
          <w:rFonts w:eastAsia="宋体" w:asciiTheme="minorEastAsia" w:hAnsiTheme="minorEastAsia"/>
          <w:sz w:val="28"/>
          <w:szCs w:val="28"/>
        </w:rPr>
      </w:pPr>
      <w:r>
        <w:rPr>
          <w:rFonts w:eastAsia="宋体" w:asciiTheme="minorEastAsia" w:hAnsiTheme="minorEastAsia"/>
          <w:sz w:val="28"/>
          <w:szCs w:val="28"/>
        </w:rPr>
        <w:t>二〇二</w:t>
      </w:r>
      <w:r>
        <w:rPr>
          <w:rFonts w:hint="eastAsia" w:eastAsia="宋体" w:asciiTheme="minorEastAsia" w:hAnsiTheme="minorEastAsia"/>
          <w:sz w:val="28"/>
          <w:szCs w:val="28"/>
        </w:rPr>
        <w:t>四</w:t>
      </w:r>
      <w:r>
        <w:rPr>
          <w:rFonts w:eastAsia="宋体" w:asciiTheme="minorEastAsia" w:hAnsiTheme="minorEastAsia"/>
          <w:sz w:val="28"/>
          <w:szCs w:val="28"/>
        </w:rPr>
        <w:t>年</w:t>
      </w:r>
      <w:r>
        <w:rPr>
          <w:rFonts w:hint="eastAsia" w:eastAsia="宋体" w:asciiTheme="minorEastAsia" w:hAnsiTheme="minorEastAsia"/>
          <w:sz w:val="28"/>
          <w:szCs w:val="28"/>
        </w:rPr>
        <w:t>五月</w:t>
      </w:r>
    </w:p>
    <w:p>
      <w:pPr>
        <w:spacing w:line="360" w:lineRule="auto"/>
        <w:jc w:val="center"/>
        <w:rPr>
          <w:rFonts w:asciiTheme="minorEastAsia" w:hAnsiTheme="minorEastAsia"/>
          <w:sz w:val="28"/>
          <w:szCs w:val="28"/>
        </w:rPr>
      </w:pPr>
      <w:r>
        <w:rPr>
          <w:rFonts w:asciiTheme="minorEastAsia" w:hAnsiTheme="minorEastAsia"/>
          <w:sz w:val="28"/>
          <w:szCs w:val="28"/>
        </w:rPr>
        <w:drawing>
          <wp:inline distT="0" distB="0" distL="0" distR="0">
            <wp:extent cx="5274310" cy="3815715"/>
            <wp:effectExtent l="19050" t="0" r="254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12" cstate="screen">
                      <a:grayscl/>
                    </a:blip>
                    <a:srcRect/>
                    <a:stretch>
                      <a:fillRect/>
                    </a:stretch>
                  </pic:blipFill>
                  <pic:spPr>
                    <a:xfrm>
                      <a:off x="0" y="0"/>
                      <a:ext cx="5274310" cy="3816268"/>
                    </a:xfrm>
                    <a:prstGeom prst="rect">
                      <a:avLst/>
                    </a:prstGeom>
                    <a:noFill/>
                    <a:ln w="9525">
                      <a:noFill/>
                      <a:miter lim="800000"/>
                      <a:headEnd/>
                      <a:tailEnd/>
                    </a:ln>
                  </pic:spPr>
                </pic:pic>
              </a:graphicData>
            </a:graphic>
          </wp:inline>
        </w:drawing>
      </w:r>
    </w:p>
    <w:p>
      <w:pPr>
        <w:spacing w:line="360" w:lineRule="auto"/>
        <w:jc w:val="center"/>
        <w:rPr>
          <w:rFonts w:asciiTheme="minorEastAsia" w:hAnsiTheme="minorEastAsia"/>
          <w:sz w:val="28"/>
          <w:szCs w:val="28"/>
        </w:rPr>
      </w:pPr>
    </w:p>
    <w:p>
      <w:pPr>
        <w:spacing w:line="360" w:lineRule="auto"/>
        <w:jc w:val="center"/>
        <w:rPr>
          <w:rFonts w:asciiTheme="minorEastAsia" w:hAnsiTheme="minorEastAsia"/>
          <w:sz w:val="28"/>
          <w:szCs w:val="28"/>
        </w:rPr>
      </w:pPr>
      <w:r>
        <w:rPr>
          <w:rFonts w:asciiTheme="minorEastAsia" w:hAnsiTheme="minorEastAsia"/>
          <w:sz w:val="28"/>
          <w:szCs w:val="28"/>
        </w:rPr>
        <w:drawing>
          <wp:inline distT="0" distB="0" distL="0" distR="0">
            <wp:extent cx="5209540" cy="3752850"/>
            <wp:effectExtent l="19050" t="0" r="0" b="0"/>
            <wp:docPr id="2" name="图片 1" descr="C:\Users\Administrator\Desktop\4.1城乡规划甲级2024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Administrator\Desktop\4.1城乡规划甲级20240102.jpg"/>
                    <pic:cNvPicPr>
                      <a:picLocks noChangeAspect="1" noChangeArrowheads="1"/>
                    </pic:cNvPicPr>
                  </pic:nvPicPr>
                  <pic:blipFill>
                    <a:blip r:embed="rId13" cstate="print">
                      <a:grayscl/>
                    </a:blip>
                    <a:srcRect l="3709" t="4051" r="4807" b="2759"/>
                    <a:stretch>
                      <a:fillRect/>
                    </a:stretch>
                  </pic:blipFill>
                  <pic:spPr>
                    <a:xfrm>
                      <a:off x="0" y="0"/>
                      <a:ext cx="5209638" cy="3753030"/>
                    </a:xfrm>
                    <a:prstGeom prst="rect">
                      <a:avLst/>
                    </a:prstGeom>
                    <a:noFill/>
                    <a:ln w="9525">
                      <a:noFill/>
                      <a:miter lim="800000"/>
                      <a:headEnd/>
                      <a:tailEnd/>
                    </a:ln>
                  </pic:spPr>
                </pic:pic>
              </a:graphicData>
            </a:graphic>
          </wp:inline>
        </w:drawing>
      </w:r>
    </w:p>
    <w:p>
      <w:pPr>
        <w:spacing w:line="360" w:lineRule="auto"/>
        <w:jc w:val="left"/>
        <w:rPr>
          <w:rFonts w:asciiTheme="minorEastAsia" w:hAnsiTheme="minorEastAsia"/>
          <w:sz w:val="28"/>
          <w:szCs w:val="28"/>
        </w:rPr>
      </w:pPr>
    </w:p>
    <w:p>
      <w:pPr>
        <w:spacing w:line="360" w:lineRule="auto"/>
        <w:jc w:val="center"/>
        <w:rPr>
          <w:rFonts w:asciiTheme="minorEastAsia" w:hAnsiTheme="minorEastAsia"/>
          <w:sz w:val="28"/>
          <w:szCs w:val="28"/>
        </w:rPr>
      </w:pPr>
    </w:p>
    <w:p>
      <w:pPr>
        <w:pStyle w:val="7"/>
        <w:spacing w:afterLines="100" w:line="360" w:lineRule="auto"/>
        <w:ind w:firstLine="0" w:firstLineChars="0"/>
        <w:jc w:val="left"/>
        <w:rPr>
          <w:rFonts w:ascii="黑体" w:hAnsi="黑体" w:eastAsia="黑体"/>
          <w:b/>
          <w:sz w:val="28"/>
          <w:szCs w:val="28"/>
        </w:rPr>
      </w:pPr>
      <w:r>
        <w:rPr>
          <w:rFonts w:ascii="黑体" w:hAnsi="黑体" w:eastAsia="黑体"/>
          <w:b/>
          <w:sz w:val="28"/>
          <w:szCs w:val="28"/>
        </w:rPr>
        <w:t>大英县成遂协同绿色发展片区国土空间总体规划（2021-2035年</w:t>
      </w:r>
      <w:r>
        <w:rPr>
          <w:rFonts w:hint="eastAsia" w:ascii="黑体" w:hAnsi="黑体" w:eastAsia="黑体"/>
          <w:b/>
          <w:sz w:val="28"/>
          <w:szCs w:val="28"/>
        </w:rPr>
        <w:t>）</w:t>
      </w:r>
    </w:p>
    <w:p>
      <w:pPr>
        <w:pStyle w:val="7"/>
        <w:ind w:firstLine="154" w:firstLineChars="55"/>
        <w:rPr>
          <w:rFonts w:hAnsi="宋体"/>
          <w:sz w:val="32"/>
          <w:szCs w:val="36"/>
        </w:rPr>
      </w:pPr>
      <w:r>
        <w:rPr>
          <w:rFonts w:hAnsi="宋体"/>
          <w:sz w:val="28"/>
          <w:szCs w:val="30"/>
        </w:rPr>
        <w:t>项目组成员：</w:t>
      </w:r>
    </w:p>
    <w:tbl>
      <w:tblPr>
        <w:tblStyle w:val="16"/>
        <w:tblW w:w="5000" w:type="pct"/>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autofit"/>
        <w:tblCellMar>
          <w:top w:w="0" w:type="dxa"/>
          <w:left w:w="85" w:type="dxa"/>
          <w:bottom w:w="0" w:type="dxa"/>
          <w:right w:w="85" w:type="dxa"/>
        </w:tblCellMar>
      </w:tblPr>
      <w:tblGrid>
        <w:gridCol w:w="890"/>
        <w:gridCol w:w="1224"/>
        <w:gridCol w:w="1256"/>
        <w:gridCol w:w="1385"/>
        <w:gridCol w:w="2219"/>
        <w:gridCol w:w="1502"/>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85" w:type="dxa"/>
            <w:bottom w:w="0" w:type="dxa"/>
            <w:right w:w="85" w:type="dxa"/>
          </w:tblCellMar>
        </w:tblPrEx>
        <w:trPr>
          <w:trHeight w:val="672" w:hRule="atLeast"/>
          <w:jc w:val="center"/>
        </w:trPr>
        <w:tc>
          <w:tcPr>
            <w:tcW w:w="1247" w:type="pct"/>
            <w:gridSpan w:val="2"/>
            <w:vAlign w:val="center"/>
          </w:tcPr>
          <w:p>
            <w:pPr>
              <w:pStyle w:val="7"/>
              <w:adjustRightInd w:val="0"/>
              <w:spacing w:line="240" w:lineRule="auto"/>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职    务</w:t>
            </w:r>
          </w:p>
        </w:tc>
        <w:tc>
          <w:tcPr>
            <w:tcW w:w="741" w:type="pct"/>
            <w:vAlign w:val="center"/>
          </w:tcPr>
          <w:p>
            <w:pPr>
              <w:pStyle w:val="7"/>
              <w:adjustRightInd w:val="0"/>
              <w:spacing w:line="240" w:lineRule="auto"/>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 xml:space="preserve">实  </w:t>
            </w:r>
            <w:r>
              <w:rPr>
                <w:rFonts w:hint="eastAsia" w:asciiTheme="minorEastAsia" w:hAnsiTheme="minorEastAsia" w:eastAsiaTheme="minorEastAsia"/>
                <w:sz w:val="24"/>
                <w:szCs w:val="24"/>
              </w:rPr>
              <w:t>名</w:t>
            </w:r>
          </w:p>
        </w:tc>
        <w:tc>
          <w:tcPr>
            <w:tcW w:w="817" w:type="pct"/>
            <w:vAlign w:val="center"/>
          </w:tcPr>
          <w:p>
            <w:pPr>
              <w:pStyle w:val="7"/>
              <w:adjustRightInd w:val="0"/>
              <w:spacing w:line="240" w:lineRule="auto"/>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 xml:space="preserve">签  </w:t>
            </w:r>
            <w:r>
              <w:rPr>
                <w:rFonts w:hint="eastAsia" w:asciiTheme="minorEastAsia" w:hAnsiTheme="minorEastAsia" w:eastAsiaTheme="minorEastAsia"/>
                <w:sz w:val="24"/>
                <w:szCs w:val="24"/>
              </w:rPr>
              <w:t>名</w:t>
            </w:r>
          </w:p>
        </w:tc>
        <w:tc>
          <w:tcPr>
            <w:tcW w:w="1309" w:type="pct"/>
            <w:vAlign w:val="center"/>
          </w:tcPr>
          <w:p>
            <w:pPr>
              <w:pStyle w:val="7"/>
              <w:adjustRightInd w:val="0"/>
              <w:spacing w:line="240" w:lineRule="auto"/>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职  称</w:t>
            </w:r>
          </w:p>
        </w:tc>
        <w:tc>
          <w:tcPr>
            <w:tcW w:w="886" w:type="pct"/>
            <w:vAlign w:val="center"/>
          </w:tcPr>
          <w:p>
            <w:pPr>
              <w:pStyle w:val="7"/>
              <w:adjustRightInd w:val="0"/>
              <w:spacing w:line="240" w:lineRule="auto"/>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注册情况</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85" w:type="dxa"/>
            <w:bottom w:w="0" w:type="dxa"/>
            <w:right w:w="85" w:type="dxa"/>
          </w:tblCellMar>
        </w:tblPrEx>
        <w:trPr>
          <w:trHeight w:val="567" w:hRule="atLeast"/>
          <w:jc w:val="center"/>
        </w:trPr>
        <w:tc>
          <w:tcPr>
            <w:tcW w:w="1247" w:type="pct"/>
            <w:gridSpan w:val="2"/>
            <w:vAlign w:val="center"/>
          </w:tcPr>
          <w:p>
            <w:pPr>
              <w:pStyle w:val="7"/>
              <w:adjustRightInd w:val="0"/>
              <w:spacing w:line="240" w:lineRule="auto"/>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项目负责人</w:t>
            </w:r>
          </w:p>
        </w:tc>
        <w:tc>
          <w:tcPr>
            <w:tcW w:w="741" w:type="pct"/>
            <w:vAlign w:val="center"/>
          </w:tcPr>
          <w:p>
            <w:pPr>
              <w:adjustRightInd w:val="0"/>
              <w:snapToGrid w:val="0"/>
              <w:jc w:val="center"/>
              <w:rPr>
                <w:rFonts w:asciiTheme="minorEastAsia" w:hAnsiTheme="minorEastAsia"/>
                <w:sz w:val="24"/>
                <w:szCs w:val="24"/>
              </w:rPr>
            </w:pPr>
            <w:r>
              <w:rPr>
                <w:rFonts w:hint="eastAsia" w:asciiTheme="minorEastAsia" w:hAnsiTheme="minorEastAsia"/>
                <w:sz w:val="24"/>
                <w:szCs w:val="24"/>
              </w:rPr>
              <w:t>肖越</w:t>
            </w:r>
          </w:p>
        </w:tc>
        <w:tc>
          <w:tcPr>
            <w:tcW w:w="817" w:type="pct"/>
            <w:vAlign w:val="center"/>
          </w:tcPr>
          <w:p>
            <w:pPr>
              <w:adjustRightInd w:val="0"/>
              <w:snapToGrid w:val="0"/>
              <w:jc w:val="center"/>
              <w:rPr>
                <w:rFonts w:asciiTheme="minorEastAsia" w:hAnsiTheme="minorEastAsia"/>
                <w:sz w:val="24"/>
                <w:szCs w:val="24"/>
              </w:rPr>
            </w:pPr>
          </w:p>
        </w:tc>
        <w:tc>
          <w:tcPr>
            <w:tcW w:w="1309" w:type="pct"/>
            <w:vAlign w:val="center"/>
          </w:tcPr>
          <w:p>
            <w:pPr>
              <w:pStyle w:val="7"/>
              <w:adjustRightInd w:val="0"/>
              <w:spacing w:line="240" w:lineRule="auto"/>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高级工程师</w:t>
            </w:r>
          </w:p>
        </w:tc>
        <w:tc>
          <w:tcPr>
            <w:tcW w:w="886" w:type="pct"/>
            <w:vAlign w:val="center"/>
          </w:tcPr>
          <w:p>
            <w:pPr>
              <w:pStyle w:val="7"/>
              <w:adjustRightInd w:val="0"/>
              <w:spacing w:line="240" w:lineRule="auto"/>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注册规划师</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85" w:type="dxa"/>
            <w:bottom w:w="0" w:type="dxa"/>
            <w:right w:w="85" w:type="dxa"/>
          </w:tblCellMar>
        </w:tblPrEx>
        <w:trPr>
          <w:trHeight w:val="567" w:hRule="atLeast"/>
          <w:jc w:val="center"/>
        </w:trPr>
        <w:tc>
          <w:tcPr>
            <w:tcW w:w="525" w:type="pct"/>
            <w:vMerge w:val="restart"/>
            <w:vAlign w:val="center"/>
          </w:tcPr>
          <w:p>
            <w:pPr>
              <w:pStyle w:val="7"/>
              <w:adjustRightInd w:val="0"/>
              <w:spacing w:line="240" w:lineRule="auto"/>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专</w:t>
            </w:r>
          </w:p>
          <w:p>
            <w:pPr>
              <w:pStyle w:val="7"/>
              <w:adjustRightInd w:val="0"/>
              <w:spacing w:line="240" w:lineRule="auto"/>
              <w:ind w:firstLine="0" w:firstLineChars="0"/>
              <w:jc w:val="center"/>
              <w:rPr>
                <w:rFonts w:asciiTheme="minorEastAsia" w:hAnsiTheme="minorEastAsia" w:eastAsiaTheme="minorEastAsia"/>
                <w:sz w:val="24"/>
                <w:szCs w:val="24"/>
              </w:rPr>
            </w:pPr>
          </w:p>
          <w:p>
            <w:pPr>
              <w:pStyle w:val="7"/>
              <w:adjustRightInd w:val="0"/>
              <w:spacing w:line="240" w:lineRule="auto"/>
              <w:ind w:firstLine="0" w:firstLineChars="0"/>
              <w:jc w:val="center"/>
              <w:rPr>
                <w:rFonts w:asciiTheme="minorEastAsia" w:hAnsiTheme="minorEastAsia" w:eastAsiaTheme="minorEastAsia"/>
                <w:sz w:val="24"/>
                <w:szCs w:val="24"/>
              </w:rPr>
            </w:pPr>
          </w:p>
          <w:p>
            <w:pPr>
              <w:pStyle w:val="7"/>
              <w:adjustRightInd w:val="0"/>
              <w:spacing w:line="240" w:lineRule="auto"/>
              <w:ind w:firstLine="0" w:firstLineChars="0"/>
              <w:jc w:val="center"/>
              <w:rPr>
                <w:rFonts w:asciiTheme="minorEastAsia" w:hAnsiTheme="minorEastAsia" w:eastAsiaTheme="minorEastAsia"/>
                <w:sz w:val="24"/>
                <w:szCs w:val="24"/>
              </w:rPr>
            </w:pPr>
          </w:p>
          <w:p>
            <w:pPr>
              <w:pStyle w:val="7"/>
              <w:adjustRightInd w:val="0"/>
              <w:spacing w:line="240" w:lineRule="auto"/>
              <w:ind w:firstLine="0" w:firstLineChars="0"/>
              <w:jc w:val="center"/>
              <w:rPr>
                <w:rFonts w:asciiTheme="minorEastAsia" w:hAnsiTheme="minorEastAsia" w:eastAsiaTheme="minorEastAsia"/>
                <w:sz w:val="24"/>
                <w:szCs w:val="24"/>
              </w:rPr>
            </w:pPr>
          </w:p>
          <w:p>
            <w:pPr>
              <w:pStyle w:val="7"/>
              <w:adjustRightInd w:val="0"/>
              <w:spacing w:line="240" w:lineRule="auto"/>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业</w:t>
            </w:r>
          </w:p>
          <w:p>
            <w:pPr>
              <w:pStyle w:val="7"/>
              <w:adjustRightInd w:val="0"/>
              <w:spacing w:line="240" w:lineRule="auto"/>
              <w:ind w:firstLine="0" w:firstLineChars="0"/>
              <w:jc w:val="center"/>
              <w:rPr>
                <w:rFonts w:asciiTheme="minorEastAsia" w:hAnsiTheme="minorEastAsia" w:eastAsiaTheme="minorEastAsia"/>
                <w:sz w:val="24"/>
                <w:szCs w:val="24"/>
              </w:rPr>
            </w:pPr>
          </w:p>
          <w:p>
            <w:pPr>
              <w:pStyle w:val="7"/>
              <w:adjustRightInd w:val="0"/>
              <w:spacing w:line="240" w:lineRule="auto"/>
              <w:ind w:firstLine="0" w:firstLineChars="0"/>
              <w:jc w:val="center"/>
              <w:rPr>
                <w:rFonts w:asciiTheme="minorEastAsia" w:hAnsiTheme="minorEastAsia" w:eastAsiaTheme="minorEastAsia"/>
                <w:sz w:val="24"/>
                <w:szCs w:val="24"/>
              </w:rPr>
            </w:pPr>
          </w:p>
        </w:tc>
        <w:tc>
          <w:tcPr>
            <w:tcW w:w="722" w:type="pct"/>
            <w:vAlign w:val="center"/>
          </w:tcPr>
          <w:p>
            <w:pPr>
              <w:pStyle w:val="7"/>
              <w:adjustRightInd w:val="0"/>
              <w:spacing w:line="240" w:lineRule="auto"/>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专业负责</w:t>
            </w:r>
          </w:p>
        </w:tc>
        <w:tc>
          <w:tcPr>
            <w:tcW w:w="741" w:type="pct"/>
            <w:vAlign w:val="center"/>
          </w:tcPr>
          <w:p>
            <w:pPr>
              <w:pStyle w:val="7"/>
              <w:adjustRightInd w:val="0"/>
              <w:spacing w:line="240" w:lineRule="auto"/>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王畅通</w:t>
            </w:r>
          </w:p>
        </w:tc>
        <w:tc>
          <w:tcPr>
            <w:tcW w:w="817" w:type="pct"/>
            <w:vAlign w:val="center"/>
          </w:tcPr>
          <w:p>
            <w:pPr>
              <w:pStyle w:val="7"/>
              <w:adjustRightInd w:val="0"/>
              <w:spacing w:line="240" w:lineRule="auto"/>
              <w:ind w:firstLine="0" w:firstLineChars="0"/>
              <w:jc w:val="center"/>
              <w:rPr>
                <w:rFonts w:asciiTheme="minorEastAsia" w:hAnsiTheme="minorEastAsia" w:eastAsiaTheme="minorEastAsia"/>
                <w:sz w:val="24"/>
                <w:szCs w:val="24"/>
              </w:rPr>
            </w:pPr>
          </w:p>
        </w:tc>
        <w:tc>
          <w:tcPr>
            <w:tcW w:w="1309" w:type="pct"/>
            <w:vAlign w:val="center"/>
          </w:tcPr>
          <w:p>
            <w:pPr>
              <w:pStyle w:val="7"/>
              <w:adjustRightInd w:val="0"/>
              <w:spacing w:line="240" w:lineRule="auto"/>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工程师</w:t>
            </w:r>
          </w:p>
        </w:tc>
        <w:tc>
          <w:tcPr>
            <w:tcW w:w="886" w:type="pct"/>
            <w:vAlign w:val="center"/>
          </w:tcPr>
          <w:p>
            <w:pPr>
              <w:pStyle w:val="7"/>
              <w:adjustRightInd w:val="0"/>
              <w:spacing w:line="240" w:lineRule="auto"/>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注册规划师</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85" w:type="dxa"/>
            <w:bottom w:w="0" w:type="dxa"/>
            <w:right w:w="85" w:type="dxa"/>
          </w:tblCellMar>
        </w:tblPrEx>
        <w:trPr>
          <w:trHeight w:val="567" w:hRule="atLeast"/>
          <w:jc w:val="center"/>
        </w:trPr>
        <w:tc>
          <w:tcPr>
            <w:tcW w:w="525" w:type="pct"/>
            <w:vMerge w:val="continue"/>
            <w:vAlign w:val="center"/>
          </w:tcPr>
          <w:p>
            <w:pPr>
              <w:pStyle w:val="7"/>
              <w:adjustRightInd w:val="0"/>
              <w:spacing w:line="240" w:lineRule="auto"/>
              <w:ind w:firstLine="0" w:firstLineChars="0"/>
              <w:jc w:val="center"/>
              <w:rPr>
                <w:rFonts w:asciiTheme="minorEastAsia" w:hAnsiTheme="minorEastAsia" w:eastAsiaTheme="minorEastAsia"/>
                <w:sz w:val="24"/>
                <w:szCs w:val="24"/>
              </w:rPr>
            </w:pPr>
          </w:p>
        </w:tc>
        <w:tc>
          <w:tcPr>
            <w:tcW w:w="722" w:type="pct"/>
            <w:vMerge w:val="restart"/>
            <w:vAlign w:val="center"/>
          </w:tcPr>
          <w:p>
            <w:pPr>
              <w:pStyle w:val="7"/>
              <w:adjustRightInd w:val="0"/>
              <w:spacing w:line="240" w:lineRule="auto"/>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规</w:t>
            </w:r>
          </w:p>
          <w:p>
            <w:pPr>
              <w:pStyle w:val="7"/>
              <w:adjustRightInd w:val="0"/>
              <w:spacing w:line="240" w:lineRule="auto"/>
              <w:ind w:firstLine="0" w:firstLineChars="0"/>
              <w:jc w:val="center"/>
              <w:rPr>
                <w:rFonts w:asciiTheme="minorEastAsia" w:hAnsiTheme="minorEastAsia" w:eastAsiaTheme="minorEastAsia"/>
                <w:sz w:val="24"/>
                <w:szCs w:val="24"/>
              </w:rPr>
            </w:pPr>
          </w:p>
          <w:p>
            <w:pPr>
              <w:pStyle w:val="7"/>
              <w:adjustRightInd w:val="0"/>
              <w:spacing w:line="240" w:lineRule="auto"/>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划</w:t>
            </w:r>
          </w:p>
        </w:tc>
        <w:tc>
          <w:tcPr>
            <w:tcW w:w="741" w:type="pct"/>
            <w:vAlign w:val="center"/>
          </w:tcPr>
          <w:p>
            <w:pPr>
              <w:pStyle w:val="7"/>
              <w:adjustRightInd w:val="0"/>
              <w:spacing w:line="240" w:lineRule="auto"/>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王畅通</w:t>
            </w:r>
          </w:p>
        </w:tc>
        <w:tc>
          <w:tcPr>
            <w:tcW w:w="817" w:type="pct"/>
            <w:vAlign w:val="center"/>
          </w:tcPr>
          <w:p>
            <w:pPr>
              <w:pStyle w:val="7"/>
              <w:adjustRightInd w:val="0"/>
              <w:spacing w:line="240" w:lineRule="auto"/>
              <w:ind w:firstLine="0" w:firstLineChars="0"/>
              <w:jc w:val="center"/>
              <w:rPr>
                <w:rFonts w:asciiTheme="minorEastAsia" w:hAnsiTheme="minorEastAsia" w:eastAsiaTheme="minorEastAsia"/>
                <w:sz w:val="24"/>
                <w:szCs w:val="24"/>
              </w:rPr>
            </w:pPr>
          </w:p>
        </w:tc>
        <w:tc>
          <w:tcPr>
            <w:tcW w:w="1309" w:type="pct"/>
            <w:vAlign w:val="center"/>
          </w:tcPr>
          <w:p>
            <w:pPr>
              <w:pStyle w:val="7"/>
              <w:adjustRightInd w:val="0"/>
              <w:spacing w:line="240" w:lineRule="auto"/>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工程师</w:t>
            </w:r>
          </w:p>
        </w:tc>
        <w:tc>
          <w:tcPr>
            <w:tcW w:w="886" w:type="pct"/>
            <w:vAlign w:val="center"/>
          </w:tcPr>
          <w:p>
            <w:pPr>
              <w:pStyle w:val="7"/>
              <w:adjustRightInd w:val="0"/>
              <w:spacing w:line="240" w:lineRule="auto"/>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注册规划师</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85" w:type="dxa"/>
            <w:bottom w:w="0" w:type="dxa"/>
            <w:right w:w="85" w:type="dxa"/>
          </w:tblCellMar>
        </w:tblPrEx>
        <w:trPr>
          <w:trHeight w:val="567" w:hRule="atLeast"/>
          <w:jc w:val="center"/>
        </w:trPr>
        <w:tc>
          <w:tcPr>
            <w:tcW w:w="525" w:type="pct"/>
            <w:vMerge w:val="continue"/>
            <w:vAlign w:val="center"/>
          </w:tcPr>
          <w:p>
            <w:pPr>
              <w:pStyle w:val="7"/>
              <w:adjustRightInd w:val="0"/>
              <w:spacing w:line="240" w:lineRule="auto"/>
              <w:ind w:firstLine="0" w:firstLineChars="0"/>
              <w:jc w:val="center"/>
              <w:rPr>
                <w:rFonts w:asciiTheme="minorEastAsia" w:hAnsiTheme="minorEastAsia" w:eastAsiaTheme="minorEastAsia"/>
                <w:sz w:val="24"/>
                <w:szCs w:val="24"/>
              </w:rPr>
            </w:pPr>
          </w:p>
        </w:tc>
        <w:tc>
          <w:tcPr>
            <w:tcW w:w="722" w:type="pct"/>
            <w:vMerge w:val="continue"/>
            <w:vAlign w:val="center"/>
          </w:tcPr>
          <w:p>
            <w:pPr>
              <w:pStyle w:val="7"/>
              <w:adjustRightInd w:val="0"/>
              <w:spacing w:line="240" w:lineRule="auto"/>
              <w:ind w:firstLine="0" w:firstLineChars="0"/>
              <w:jc w:val="center"/>
              <w:rPr>
                <w:rFonts w:asciiTheme="minorEastAsia" w:hAnsiTheme="minorEastAsia" w:eastAsiaTheme="minorEastAsia"/>
                <w:sz w:val="24"/>
                <w:szCs w:val="24"/>
              </w:rPr>
            </w:pPr>
          </w:p>
        </w:tc>
        <w:tc>
          <w:tcPr>
            <w:tcW w:w="741" w:type="pct"/>
            <w:vAlign w:val="center"/>
          </w:tcPr>
          <w:p>
            <w:pPr>
              <w:pStyle w:val="7"/>
              <w:adjustRightInd w:val="0"/>
              <w:spacing w:line="240" w:lineRule="auto"/>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文佳维</w:t>
            </w:r>
          </w:p>
        </w:tc>
        <w:tc>
          <w:tcPr>
            <w:tcW w:w="817" w:type="pct"/>
            <w:vAlign w:val="center"/>
          </w:tcPr>
          <w:p>
            <w:pPr>
              <w:pStyle w:val="7"/>
              <w:adjustRightInd w:val="0"/>
              <w:spacing w:line="240" w:lineRule="auto"/>
              <w:ind w:firstLine="0" w:firstLineChars="0"/>
              <w:jc w:val="center"/>
              <w:rPr>
                <w:rFonts w:asciiTheme="minorEastAsia" w:hAnsiTheme="minorEastAsia" w:eastAsiaTheme="minorEastAsia"/>
                <w:sz w:val="24"/>
                <w:szCs w:val="24"/>
              </w:rPr>
            </w:pPr>
          </w:p>
        </w:tc>
        <w:tc>
          <w:tcPr>
            <w:tcW w:w="1309" w:type="pct"/>
            <w:vAlign w:val="center"/>
          </w:tcPr>
          <w:p>
            <w:pPr>
              <w:pStyle w:val="7"/>
              <w:adjustRightInd w:val="0"/>
              <w:spacing w:line="240" w:lineRule="auto"/>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工程师</w:t>
            </w:r>
          </w:p>
        </w:tc>
        <w:tc>
          <w:tcPr>
            <w:tcW w:w="886" w:type="pct"/>
            <w:vAlign w:val="center"/>
          </w:tcPr>
          <w:p>
            <w:pPr>
              <w:pStyle w:val="7"/>
              <w:adjustRightInd w:val="0"/>
              <w:spacing w:line="240" w:lineRule="auto"/>
              <w:ind w:firstLine="0" w:firstLineChars="0"/>
              <w:jc w:val="center"/>
              <w:rPr>
                <w:rFonts w:asciiTheme="minorEastAsia" w:hAnsiTheme="minorEastAsia" w:eastAsiaTheme="minorEastAsia"/>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85" w:type="dxa"/>
            <w:bottom w:w="0" w:type="dxa"/>
            <w:right w:w="85" w:type="dxa"/>
          </w:tblCellMar>
        </w:tblPrEx>
        <w:trPr>
          <w:trHeight w:val="567" w:hRule="atLeast"/>
          <w:jc w:val="center"/>
        </w:trPr>
        <w:tc>
          <w:tcPr>
            <w:tcW w:w="525" w:type="pct"/>
            <w:vMerge w:val="continue"/>
            <w:vAlign w:val="center"/>
          </w:tcPr>
          <w:p>
            <w:pPr>
              <w:pStyle w:val="7"/>
              <w:adjustRightInd w:val="0"/>
              <w:spacing w:line="240" w:lineRule="auto"/>
              <w:ind w:firstLine="0" w:firstLineChars="0"/>
              <w:jc w:val="center"/>
              <w:rPr>
                <w:rFonts w:asciiTheme="minorEastAsia" w:hAnsiTheme="minorEastAsia" w:eastAsiaTheme="minorEastAsia"/>
                <w:sz w:val="24"/>
                <w:szCs w:val="24"/>
              </w:rPr>
            </w:pPr>
          </w:p>
        </w:tc>
        <w:tc>
          <w:tcPr>
            <w:tcW w:w="722" w:type="pct"/>
            <w:vMerge w:val="continue"/>
            <w:vAlign w:val="center"/>
          </w:tcPr>
          <w:p>
            <w:pPr>
              <w:pStyle w:val="7"/>
              <w:adjustRightInd w:val="0"/>
              <w:spacing w:line="240" w:lineRule="auto"/>
              <w:ind w:firstLine="0" w:firstLineChars="0"/>
              <w:jc w:val="center"/>
              <w:rPr>
                <w:rFonts w:asciiTheme="minorEastAsia" w:hAnsiTheme="minorEastAsia" w:eastAsiaTheme="minorEastAsia"/>
                <w:sz w:val="24"/>
                <w:szCs w:val="24"/>
              </w:rPr>
            </w:pPr>
          </w:p>
        </w:tc>
        <w:tc>
          <w:tcPr>
            <w:tcW w:w="741" w:type="pct"/>
            <w:vAlign w:val="center"/>
          </w:tcPr>
          <w:p>
            <w:pPr>
              <w:pStyle w:val="7"/>
              <w:adjustRightInd w:val="0"/>
              <w:spacing w:line="240" w:lineRule="auto"/>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易美玲</w:t>
            </w:r>
          </w:p>
        </w:tc>
        <w:tc>
          <w:tcPr>
            <w:tcW w:w="817" w:type="pct"/>
            <w:vAlign w:val="center"/>
          </w:tcPr>
          <w:p>
            <w:pPr>
              <w:pStyle w:val="7"/>
              <w:adjustRightInd w:val="0"/>
              <w:spacing w:line="240" w:lineRule="auto"/>
              <w:ind w:firstLine="0" w:firstLineChars="0"/>
              <w:jc w:val="center"/>
              <w:rPr>
                <w:rFonts w:asciiTheme="minorEastAsia" w:hAnsiTheme="minorEastAsia" w:eastAsiaTheme="minorEastAsia"/>
                <w:sz w:val="24"/>
                <w:szCs w:val="24"/>
              </w:rPr>
            </w:pPr>
          </w:p>
        </w:tc>
        <w:tc>
          <w:tcPr>
            <w:tcW w:w="1309" w:type="pct"/>
            <w:vAlign w:val="center"/>
          </w:tcPr>
          <w:p>
            <w:pPr>
              <w:pStyle w:val="7"/>
              <w:adjustRightInd w:val="0"/>
              <w:spacing w:line="240" w:lineRule="auto"/>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工程师</w:t>
            </w:r>
          </w:p>
        </w:tc>
        <w:tc>
          <w:tcPr>
            <w:tcW w:w="886" w:type="pct"/>
            <w:vAlign w:val="center"/>
          </w:tcPr>
          <w:p>
            <w:pPr>
              <w:pStyle w:val="7"/>
              <w:adjustRightInd w:val="0"/>
              <w:spacing w:line="240" w:lineRule="auto"/>
              <w:ind w:firstLine="0" w:firstLineChars="0"/>
              <w:jc w:val="center"/>
              <w:rPr>
                <w:rFonts w:asciiTheme="minorEastAsia" w:hAnsiTheme="minorEastAsia" w:eastAsiaTheme="minorEastAsia"/>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85" w:type="dxa"/>
            <w:bottom w:w="0" w:type="dxa"/>
            <w:right w:w="85" w:type="dxa"/>
          </w:tblCellMar>
        </w:tblPrEx>
        <w:trPr>
          <w:trHeight w:val="567" w:hRule="atLeast"/>
          <w:jc w:val="center"/>
        </w:trPr>
        <w:tc>
          <w:tcPr>
            <w:tcW w:w="525" w:type="pct"/>
            <w:vMerge w:val="continue"/>
            <w:vAlign w:val="center"/>
          </w:tcPr>
          <w:p>
            <w:pPr>
              <w:pStyle w:val="7"/>
              <w:adjustRightInd w:val="0"/>
              <w:spacing w:line="240" w:lineRule="auto"/>
              <w:ind w:firstLine="0" w:firstLineChars="0"/>
              <w:jc w:val="center"/>
              <w:rPr>
                <w:rFonts w:asciiTheme="minorEastAsia" w:hAnsiTheme="minorEastAsia" w:eastAsiaTheme="minorEastAsia"/>
                <w:sz w:val="24"/>
                <w:szCs w:val="24"/>
              </w:rPr>
            </w:pPr>
          </w:p>
        </w:tc>
        <w:tc>
          <w:tcPr>
            <w:tcW w:w="722" w:type="pct"/>
            <w:vMerge w:val="continue"/>
            <w:vAlign w:val="center"/>
          </w:tcPr>
          <w:p>
            <w:pPr>
              <w:pStyle w:val="7"/>
              <w:adjustRightInd w:val="0"/>
              <w:spacing w:line="240" w:lineRule="auto"/>
              <w:ind w:firstLine="0" w:firstLineChars="0"/>
              <w:jc w:val="center"/>
              <w:rPr>
                <w:rFonts w:asciiTheme="minorEastAsia" w:hAnsiTheme="minorEastAsia" w:eastAsiaTheme="minorEastAsia"/>
                <w:sz w:val="24"/>
                <w:szCs w:val="24"/>
              </w:rPr>
            </w:pPr>
          </w:p>
        </w:tc>
        <w:tc>
          <w:tcPr>
            <w:tcW w:w="741" w:type="pct"/>
            <w:vAlign w:val="center"/>
          </w:tcPr>
          <w:p>
            <w:pPr>
              <w:pStyle w:val="7"/>
              <w:adjustRightInd w:val="0"/>
              <w:spacing w:line="240" w:lineRule="auto"/>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胡航</w:t>
            </w:r>
          </w:p>
        </w:tc>
        <w:tc>
          <w:tcPr>
            <w:tcW w:w="817" w:type="pct"/>
            <w:vAlign w:val="center"/>
          </w:tcPr>
          <w:p>
            <w:pPr>
              <w:pStyle w:val="7"/>
              <w:adjustRightInd w:val="0"/>
              <w:spacing w:line="240" w:lineRule="auto"/>
              <w:ind w:firstLine="0" w:firstLineChars="0"/>
              <w:jc w:val="center"/>
              <w:rPr>
                <w:rFonts w:asciiTheme="minorEastAsia" w:hAnsiTheme="minorEastAsia" w:eastAsiaTheme="minorEastAsia"/>
                <w:sz w:val="24"/>
                <w:szCs w:val="24"/>
              </w:rPr>
            </w:pPr>
          </w:p>
        </w:tc>
        <w:tc>
          <w:tcPr>
            <w:tcW w:w="1309" w:type="pct"/>
            <w:vAlign w:val="center"/>
          </w:tcPr>
          <w:p>
            <w:pPr>
              <w:pStyle w:val="7"/>
              <w:adjustRightInd w:val="0"/>
              <w:spacing w:line="240" w:lineRule="auto"/>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助理工程师</w:t>
            </w:r>
          </w:p>
        </w:tc>
        <w:tc>
          <w:tcPr>
            <w:tcW w:w="886" w:type="pct"/>
            <w:vAlign w:val="center"/>
          </w:tcPr>
          <w:p>
            <w:pPr>
              <w:pStyle w:val="7"/>
              <w:adjustRightInd w:val="0"/>
              <w:spacing w:line="240" w:lineRule="auto"/>
              <w:ind w:firstLine="0" w:firstLineChars="0"/>
              <w:jc w:val="center"/>
              <w:rPr>
                <w:rFonts w:asciiTheme="minorEastAsia" w:hAnsiTheme="minorEastAsia" w:eastAsiaTheme="minorEastAsia"/>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85" w:type="dxa"/>
            <w:bottom w:w="0" w:type="dxa"/>
            <w:right w:w="85" w:type="dxa"/>
          </w:tblCellMar>
        </w:tblPrEx>
        <w:trPr>
          <w:trHeight w:val="567" w:hRule="atLeast"/>
          <w:jc w:val="center"/>
        </w:trPr>
        <w:tc>
          <w:tcPr>
            <w:tcW w:w="525" w:type="pct"/>
            <w:vMerge w:val="continue"/>
            <w:vAlign w:val="center"/>
          </w:tcPr>
          <w:p>
            <w:pPr>
              <w:pStyle w:val="7"/>
              <w:adjustRightInd w:val="0"/>
              <w:spacing w:line="240" w:lineRule="auto"/>
              <w:ind w:firstLine="0" w:firstLineChars="0"/>
              <w:jc w:val="center"/>
              <w:rPr>
                <w:rFonts w:asciiTheme="minorEastAsia" w:hAnsiTheme="minorEastAsia" w:eastAsiaTheme="minorEastAsia"/>
                <w:sz w:val="24"/>
                <w:szCs w:val="24"/>
              </w:rPr>
            </w:pPr>
          </w:p>
        </w:tc>
        <w:tc>
          <w:tcPr>
            <w:tcW w:w="722" w:type="pct"/>
            <w:vMerge w:val="restart"/>
            <w:vAlign w:val="center"/>
          </w:tcPr>
          <w:p>
            <w:pPr>
              <w:pStyle w:val="7"/>
              <w:adjustRightInd w:val="0"/>
              <w:spacing w:line="240" w:lineRule="auto"/>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交</w:t>
            </w:r>
          </w:p>
          <w:p>
            <w:pPr>
              <w:pStyle w:val="7"/>
              <w:adjustRightInd w:val="0"/>
              <w:spacing w:line="240" w:lineRule="auto"/>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通</w:t>
            </w:r>
          </w:p>
        </w:tc>
        <w:tc>
          <w:tcPr>
            <w:tcW w:w="741" w:type="pct"/>
            <w:vAlign w:val="center"/>
          </w:tcPr>
          <w:p>
            <w:pPr>
              <w:pStyle w:val="7"/>
              <w:adjustRightInd w:val="0"/>
              <w:spacing w:line="240" w:lineRule="auto"/>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韩玲</w:t>
            </w:r>
          </w:p>
        </w:tc>
        <w:tc>
          <w:tcPr>
            <w:tcW w:w="817" w:type="pct"/>
            <w:vAlign w:val="center"/>
          </w:tcPr>
          <w:p>
            <w:pPr>
              <w:pStyle w:val="7"/>
              <w:adjustRightInd w:val="0"/>
              <w:spacing w:line="240" w:lineRule="auto"/>
              <w:ind w:firstLine="0" w:firstLineChars="0"/>
              <w:jc w:val="center"/>
              <w:rPr>
                <w:rFonts w:asciiTheme="minorEastAsia" w:hAnsiTheme="minorEastAsia" w:eastAsiaTheme="minorEastAsia"/>
                <w:sz w:val="24"/>
                <w:szCs w:val="24"/>
              </w:rPr>
            </w:pPr>
          </w:p>
        </w:tc>
        <w:tc>
          <w:tcPr>
            <w:tcW w:w="1309" w:type="pct"/>
            <w:vAlign w:val="center"/>
          </w:tcPr>
          <w:p>
            <w:pPr>
              <w:pStyle w:val="7"/>
              <w:adjustRightInd w:val="0"/>
              <w:spacing w:line="240" w:lineRule="auto"/>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高级工程师</w:t>
            </w:r>
          </w:p>
        </w:tc>
        <w:tc>
          <w:tcPr>
            <w:tcW w:w="886" w:type="pct"/>
            <w:vAlign w:val="center"/>
          </w:tcPr>
          <w:p>
            <w:pPr>
              <w:pStyle w:val="7"/>
              <w:adjustRightInd w:val="0"/>
              <w:spacing w:line="240" w:lineRule="auto"/>
              <w:ind w:firstLine="0" w:firstLineChars="0"/>
              <w:jc w:val="center"/>
              <w:rPr>
                <w:rFonts w:asciiTheme="minorEastAsia" w:hAnsiTheme="minorEastAsia" w:eastAsiaTheme="minorEastAsia"/>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85" w:type="dxa"/>
            <w:bottom w:w="0" w:type="dxa"/>
            <w:right w:w="85" w:type="dxa"/>
          </w:tblCellMar>
        </w:tblPrEx>
        <w:trPr>
          <w:trHeight w:val="567" w:hRule="atLeast"/>
          <w:jc w:val="center"/>
        </w:trPr>
        <w:tc>
          <w:tcPr>
            <w:tcW w:w="525" w:type="pct"/>
            <w:vMerge w:val="continue"/>
            <w:vAlign w:val="center"/>
          </w:tcPr>
          <w:p>
            <w:pPr>
              <w:pStyle w:val="7"/>
              <w:adjustRightInd w:val="0"/>
              <w:spacing w:line="240" w:lineRule="auto"/>
              <w:ind w:firstLine="0" w:firstLineChars="0"/>
              <w:jc w:val="center"/>
              <w:rPr>
                <w:rFonts w:asciiTheme="minorEastAsia" w:hAnsiTheme="minorEastAsia" w:eastAsiaTheme="minorEastAsia"/>
                <w:sz w:val="24"/>
                <w:szCs w:val="24"/>
              </w:rPr>
            </w:pPr>
          </w:p>
        </w:tc>
        <w:tc>
          <w:tcPr>
            <w:tcW w:w="722" w:type="pct"/>
            <w:vMerge w:val="continue"/>
            <w:vAlign w:val="center"/>
          </w:tcPr>
          <w:p>
            <w:pPr>
              <w:pStyle w:val="7"/>
              <w:adjustRightInd w:val="0"/>
              <w:spacing w:line="240" w:lineRule="auto"/>
              <w:ind w:firstLine="0" w:firstLineChars="0"/>
              <w:jc w:val="center"/>
              <w:rPr>
                <w:rFonts w:asciiTheme="minorEastAsia" w:hAnsiTheme="minorEastAsia" w:eastAsiaTheme="minorEastAsia"/>
                <w:sz w:val="24"/>
                <w:szCs w:val="24"/>
              </w:rPr>
            </w:pPr>
          </w:p>
        </w:tc>
        <w:tc>
          <w:tcPr>
            <w:tcW w:w="741" w:type="pct"/>
            <w:vAlign w:val="center"/>
          </w:tcPr>
          <w:p>
            <w:pPr>
              <w:pStyle w:val="7"/>
              <w:adjustRightInd w:val="0"/>
              <w:spacing w:line="240" w:lineRule="auto"/>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何双林</w:t>
            </w:r>
          </w:p>
        </w:tc>
        <w:tc>
          <w:tcPr>
            <w:tcW w:w="817" w:type="pct"/>
            <w:vAlign w:val="center"/>
          </w:tcPr>
          <w:p>
            <w:pPr>
              <w:pStyle w:val="7"/>
              <w:adjustRightInd w:val="0"/>
              <w:spacing w:line="240" w:lineRule="auto"/>
              <w:ind w:firstLine="0" w:firstLineChars="0"/>
              <w:jc w:val="center"/>
              <w:rPr>
                <w:rFonts w:asciiTheme="minorEastAsia" w:hAnsiTheme="minorEastAsia" w:eastAsiaTheme="minorEastAsia"/>
                <w:sz w:val="24"/>
                <w:szCs w:val="24"/>
              </w:rPr>
            </w:pPr>
          </w:p>
        </w:tc>
        <w:tc>
          <w:tcPr>
            <w:tcW w:w="1309" w:type="pct"/>
            <w:vAlign w:val="center"/>
          </w:tcPr>
          <w:p>
            <w:pPr>
              <w:pStyle w:val="7"/>
              <w:adjustRightInd w:val="0"/>
              <w:spacing w:line="240" w:lineRule="auto"/>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工程师</w:t>
            </w:r>
          </w:p>
        </w:tc>
        <w:tc>
          <w:tcPr>
            <w:tcW w:w="886" w:type="pct"/>
            <w:vAlign w:val="center"/>
          </w:tcPr>
          <w:p>
            <w:pPr>
              <w:pStyle w:val="7"/>
              <w:adjustRightInd w:val="0"/>
              <w:spacing w:line="240" w:lineRule="auto"/>
              <w:ind w:firstLine="0" w:firstLineChars="0"/>
              <w:jc w:val="center"/>
              <w:rPr>
                <w:rFonts w:asciiTheme="minorEastAsia" w:hAnsiTheme="minorEastAsia" w:eastAsiaTheme="minorEastAsia"/>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85" w:type="dxa"/>
            <w:bottom w:w="0" w:type="dxa"/>
            <w:right w:w="85" w:type="dxa"/>
          </w:tblCellMar>
        </w:tblPrEx>
        <w:trPr>
          <w:trHeight w:val="567" w:hRule="atLeast"/>
          <w:jc w:val="center"/>
        </w:trPr>
        <w:tc>
          <w:tcPr>
            <w:tcW w:w="525" w:type="pct"/>
            <w:vMerge w:val="continue"/>
            <w:vAlign w:val="center"/>
          </w:tcPr>
          <w:p>
            <w:pPr>
              <w:pStyle w:val="7"/>
              <w:adjustRightInd w:val="0"/>
              <w:spacing w:line="240" w:lineRule="auto"/>
              <w:ind w:firstLine="0" w:firstLineChars="0"/>
              <w:jc w:val="center"/>
              <w:rPr>
                <w:rFonts w:asciiTheme="minorEastAsia" w:hAnsiTheme="minorEastAsia" w:eastAsiaTheme="minorEastAsia"/>
                <w:sz w:val="24"/>
                <w:szCs w:val="24"/>
              </w:rPr>
            </w:pPr>
          </w:p>
        </w:tc>
        <w:tc>
          <w:tcPr>
            <w:tcW w:w="722" w:type="pct"/>
            <w:vAlign w:val="center"/>
          </w:tcPr>
          <w:p>
            <w:pPr>
              <w:pStyle w:val="7"/>
              <w:adjustRightInd w:val="0"/>
              <w:spacing w:line="240" w:lineRule="auto"/>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市政</w:t>
            </w:r>
          </w:p>
        </w:tc>
        <w:tc>
          <w:tcPr>
            <w:tcW w:w="741" w:type="pct"/>
            <w:vAlign w:val="center"/>
          </w:tcPr>
          <w:p>
            <w:pPr>
              <w:pStyle w:val="7"/>
              <w:adjustRightInd w:val="0"/>
              <w:spacing w:line="240" w:lineRule="auto"/>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姚月</w:t>
            </w:r>
          </w:p>
        </w:tc>
        <w:tc>
          <w:tcPr>
            <w:tcW w:w="817" w:type="pct"/>
            <w:vAlign w:val="center"/>
          </w:tcPr>
          <w:p>
            <w:pPr>
              <w:pStyle w:val="7"/>
              <w:adjustRightInd w:val="0"/>
              <w:spacing w:line="240" w:lineRule="auto"/>
              <w:ind w:firstLine="0" w:firstLineChars="0"/>
              <w:jc w:val="center"/>
              <w:rPr>
                <w:rFonts w:asciiTheme="minorEastAsia" w:hAnsiTheme="minorEastAsia" w:eastAsiaTheme="minorEastAsia"/>
                <w:sz w:val="24"/>
                <w:szCs w:val="24"/>
              </w:rPr>
            </w:pPr>
          </w:p>
        </w:tc>
        <w:tc>
          <w:tcPr>
            <w:tcW w:w="1309" w:type="pct"/>
            <w:vAlign w:val="center"/>
          </w:tcPr>
          <w:p>
            <w:pPr>
              <w:pStyle w:val="7"/>
              <w:adjustRightInd w:val="0"/>
              <w:spacing w:line="240" w:lineRule="auto"/>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工程师</w:t>
            </w:r>
          </w:p>
        </w:tc>
        <w:tc>
          <w:tcPr>
            <w:tcW w:w="886" w:type="pct"/>
            <w:vAlign w:val="center"/>
          </w:tcPr>
          <w:p>
            <w:pPr>
              <w:pStyle w:val="7"/>
              <w:adjustRightInd w:val="0"/>
              <w:spacing w:line="240" w:lineRule="auto"/>
              <w:ind w:firstLine="0" w:firstLineChars="0"/>
              <w:jc w:val="center"/>
              <w:rPr>
                <w:rFonts w:asciiTheme="minorEastAsia" w:hAnsiTheme="minorEastAsia" w:eastAsiaTheme="minorEastAsia"/>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85" w:type="dxa"/>
            <w:bottom w:w="0" w:type="dxa"/>
            <w:right w:w="85" w:type="dxa"/>
          </w:tblCellMar>
        </w:tblPrEx>
        <w:trPr>
          <w:trHeight w:val="567" w:hRule="atLeast"/>
          <w:jc w:val="center"/>
        </w:trPr>
        <w:tc>
          <w:tcPr>
            <w:tcW w:w="525" w:type="pct"/>
            <w:vMerge w:val="continue"/>
            <w:vAlign w:val="center"/>
          </w:tcPr>
          <w:p>
            <w:pPr>
              <w:pStyle w:val="7"/>
              <w:adjustRightInd w:val="0"/>
              <w:spacing w:line="240" w:lineRule="auto"/>
              <w:ind w:firstLine="0" w:firstLineChars="0"/>
              <w:jc w:val="center"/>
              <w:rPr>
                <w:rFonts w:asciiTheme="minorEastAsia" w:hAnsiTheme="minorEastAsia" w:eastAsiaTheme="minorEastAsia"/>
                <w:sz w:val="24"/>
                <w:szCs w:val="24"/>
              </w:rPr>
            </w:pPr>
          </w:p>
        </w:tc>
        <w:tc>
          <w:tcPr>
            <w:tcW w:w="722" w:type="pct"/>
            <w:vAlign w:val="center"/>
          </w:tcPr>
          <w:p>
            <w:pPr>
              <w:pStyle w:val="7"/>
              <w:adjustRightInd w:val="0"/>
              <w:spacing w:line="240" w:lineRule="auto"/>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校</w:t>
            </w:r>
            <w:r>
              <w:rPr>
                <w:rFonts w:asciiTheme="minorEastAsia" w:hAnsiTheme="minorEastAsia" w:eastAsiaTheme="minorEastAsia"/>
                <w:sz w:val="24"/>
                <w:szCs w:val="24"/>
              </w:rPr>
              <w:t xml:space="preserve"> 对</w:t>
            </w:r>
          </w:p>
        </w:tc>
        <w:tc>
          <w:tcPr>
            <w:tcW w:w="741" w:type="pct"/>
            <w:vAlign w:val="center"/>
          </w:tcPr>
          <w:p>
            <w:pPr>
              <w:pStyle w:val="7"/>
              <w:adjustRightInd w:val="0"/>
              <w:spacing w:line="240" w:lineRule="auto"/>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谢婷婷</w:t>
            </w:r>
          </w:p>
        </w:tc>
        <w:tc>
          <w:tcPr>
            <w:tcW w:w="817" w:type="pct"/>
            <w:vAlign w:val="center"/>
          </w:tcPr>
          <w:p>
            <w:pPr>
              <w:pStyle w:val="7"/>
              <w:adjustRightInd w:val="0"/>
              <w:spacing w:line="240" w:lineRule="auto"/>
              <w:ind w:firstLine="0" w:firstLineChars="0"/>
              <w:jc w:val="center"/>
              <w:rPr>
                <w:rFonts w:asciiTheme="minorEastAsia" w:hAnsiTheme="minorEastAsia" w:eastAsiaTheme="minorEastAsia"/>
                <w:sz w:val="24"/>
                <w:szCs w:val="24"/>
              </w:rPr>
            </w:pPr>
          </w:p>
        </w:tc>
        <w:tc>
          <w:tcPr>
            <w:tcW w:w="1309" w:type="pct"/>
            <w:vAlign w:val="center"/>
          </w:tcPr>
          <w:p>
            <w:pPr>
              <w:pStyle w:val="7"/>
              <w:adjustRightInd w:val="0"/>
              <w:spacing w:line="240" w:lineRule="auto"/>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高级工程师</w:t>
            </w:r>
          </w:p>
        </w:tc>
        <w:tc>
          <w:tcPr>
            <w:tcW w:w="886" w:type="pct"/>
            <w:vAlign w:val="center"/>
          </w:tcPr>
          <w:p>
            <w:pPr>
              <w:pStyle w:val="7"/>
              <w:adjustRightInd w:val="0"/>
              <w:spacing w:line="240" w:lineRule="auto"/>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注册规划师</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85" w:type="dxa"/>
            <w:bottom w:w="0" w:type="dxa"/>
            <w:right w:w="85" w:type="dxa"/>
          </w:tblCellMar>
        </w:tblPrEx>
        <w:trPr>
          <w:trHeight w:val="567" w:hRule="atLeast"/>
          <w:jc w:val="center"/>
        </w:trPr>
        <w:tc>
          <w:tcPr>
            <w:tcW w:w="525" w:type="pct"/>
            <w:vMerge w:val="continue"/>
            <w:vAlign w:val="center"/>
          </w:tcPr>
          <w:p>
            <w:pPr>
              <w:pStyle w:val="7"/>
              <w:adjustRightInd w:val="0"/>
              <w:spacing w:line="240" w:lineRule="auto"/>
              <w:ind w:firstLine="0" w:firstLineChars="0"/>
              <w:jc w:val="center"/>
              <w:rPr>
                <w:rFonts w:asciiTheme="minorEastAsia" w:hAnsiTheme="minorEastAsia" w:eastAsiaTheme="minorEastAsia"/>
                <w:sz w:val="24"/>
                <w:szCs w:val="24"/>
              </w:rPr>
            </w:pPr>
          </w:p>
        </w:tc>
        <w:tc>
          <w:tcPr>
            <w:tcW w:w="722" w:type="pct"/>
            <w:vAlign w:val="center"/>
          </w:tcPr>
          <w:p>
            <w:pPr>
              <w:pStyle w:val="7"/>
              <w:adjustRightInd w:val="0"/>
              <w:spacing w:line="240" w:lineRule="auto"/>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 xml:space="preserve">审 </w:t>
            </w:r>
            <w:r>
              <w:rPr>
                <w:rFonts w:hint="eastAsia" w:asciiTheme="minorEastAsia" w:hAnsiTheme="minorEastAsia" w:eastAsiaTheme="minorEastAsia"/>
                <w:sz w:val="24"/>
                <w:szCs w:val="24"/>
              </w:rPr>
              <w:t>核</w:t>
            </w:r>
          </w:p>
        </w:tc>
        <w:tc>
          <w:tcPr>
            <w:tcW w:w="741" w:type="pct"/>
            <w:vAlign w:val="center"/>
          </w:tcPr>
          <w:p>
            <w:pPr>
              <w:pStyle w:val="7"/>
              <w:adjustRightInd w:val="0"/>
              <w:spacing w:line="240" w:lineRule="auto"/>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肖越</w:t>
            </w:r>
          </w:p>
        </w:tc>
        <w:tc>
          <w:tcPr>
            <w:tcW w:w="817" w:type="pct"/>
            <w:vAlign w:val="center"/>
          </w:tcPr>
          <w:p>
            <w:pPr>
              <w:pStyle w:val="7"/>
              <w:adjustRightInd w:val="0"/>
              <w:spacing w:line="240" w:lineRule="auto"/>
              <w:ind w:firstLine="0" w:firstLineChars="0"/>
              <w:jc w:val="center"/>
              <w:rPr>
                <w:rFonts w:asciiTheme="minorEastAsia" w:hAnsiTheme="minorEastAsia" w:eastAsiaTheme="minorEastAsia"/>
                <w:sz w:val="24"/>
                <w:szCs w:val="24"/>
              </w:rPr>
            </w:pPr>
          </w:p>
        </w:tc>
        <w:tc>
          <w:tcPr>
            <w:tcW w:w="1309" w:type="pct"/>
            <w:vAlign w:val="center"/>
          </w:tcPr>
          <w:p>
            <w:pPr>
              <w:pStyle w:val="7"/>
              <w:adjustRightInd w:val="0"/>
              <w:spacing w:line="240" w:lineRule="auto"/>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高级工程师</w:t>
            </w:r>
          </w:p>
        </w:tc>
        <w:tc>
          <w:tcPr>
            <w:tcW w:w="886" w:type="pct"/>
            <w:vAlign w:val="center"/>
          </w:tcPr>
          <w:p>
            <w:pPr>
              <w:pStyle w:val="7"/>
              <w:adjustRightInd w:val="0"/>
              <w:spacing w:line="240" w:lineRule="auto"/>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注册规划师</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85" w:type="dxa"/>
            <w:bottom w:w="0" w:type="dxa"/>
            <w:right w:w="85" w:type="dxa"/>
          </w:tblCellMar>
        </w:tblPrEx>
        <w:trPr>
          <w:trHeight w:val="567" w:hRule="atLeast"/>
          <w:jc w:val="center"/>
        </w:trPr>
        <w:tc>
          <w:tcPr>
            <w:tcW w:w="525" w:type="pct"/>
            <w:vMerge w:val="continue"/>
            <w:vAlign w:val="center"/>
          </w:tcPr>
          <w:p>
            <w:pPr>
              <w:pStyle w:val="7"/>
              <w:adjustRightInd w:val="0"/>
              <w:spacing w:line="240" w:lineRule="auto"/>
              <w:ind w:firstLine="0" w:firstLineChars="0"/>
              <w:jc w:val="center"/>
              <w:rPr>
                <w:rFonts w:asciiTheme="minorEastAsia" w:hAnsiTheme="minorEastAsia" w:eastAsiaTheme="minorEastAsia"/>
                <w:sz w:val="24"/>
                <w:szCs w:val="24"/>
              </w:rPr>
            </w:pPr>
          </w:p>
        </w:tc>
        <w:tc>
          <w:tcPr>
            <w:tcW w:w="722" w:type="pct"/>
            <w:vAlign w:val="center"/>
          </w:tcPr>
          <w:p>
            <w:pPr>
              <w:pStyle w:val="7"/>
              <w:adjustRightInd w:val="0"/>
              <w:spacing w:line="240" w:lineRule="auto"/>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 xml:space="preserve">审 </w:t>
            </w:r>
            <w:r>
              <w:rPr>
                <w:rFonts w:hint="eastAsia" w:asciiTheme="minorEastAsia" w:hAnsiTheme="minorEastAsia" w:eastAsiaTheme="minorEastAsia"/>
                <w:sz w:val="24"/>
                <w:szCs w:val="24"/>
              </w:rPr>
              <w:t>定</w:t>
            </w:r>
          </w:p>
        </w:tc>
        <w:tc>
          <w:tcPr>
            <w:tcW w:w="741" w:type="pct"/>
            <w:vAlign w:val="center"/>
          </w:tcPr>
          <w:p>
            <w:pPr>
              <w:pStyle w:val="7"/>
              <w:adjustRightInd w:val="0"/>
              <w:spacing w:line="240" w:lineRule="auto"/>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罗德</w:t>
            </w:r>
          </w:p>
        </w:tc>
        <w:tc>
          <w:tcPr>
            <w:tcW w:w="817" w:type="pct"/>
            <w:vAlign w:val="center"/>
          </w:tcPr>
          <w:p>
            <w:pPr>
              <w:pStyle w:val="7"/>
              <w:adjustRightInd w:val="0"/>
              <w:spacing w:line="240" w:lineRule="auto"/>
              <w:ind w:firstLine="0" w:firstLineChars="0"/>
              <w:jc w:val="center"/>
              <w:rPr>
                <w:rFonts w:asciiTheme="minorEastAsia" w:hAnsiTheme="minorEastAsia" w:eastAsiaTheme="minorEastAsia"/>
                <w:sz w:val="24"/>
                <w:szCs w:val="24"/>
              </w:rPr>
            </w:pPr>
          </w:p>
        </w:tc>
        <w:tc>
          <w:tcPr>
            <w:tcW w:w="1309" w:type="pct"/>
            <w:vAlign w:val="center"/>
          </w:tcPr>
          <w:p>
            <w:pPr>
              <w:pStyle w:val="7"/>
              <w:adjustRightInd w:val="0"/>
              <w:spacing w:line="240" w:lineRule="auto"/>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教授级高级工程师</w:t>
            </w:r>
          </w:p>
        </w:tc>
        <w:tc>
          <w:tcPr>
            <w:tcW w:w="886" w:type="pct"/>
            <w:vAlign w:val="center"/>
          </w:tcPr>
          <w:p>
            <w:pPr>
              <w:pStyle w:val="7"/>
              <w:adjustRightInd w:val="0"/>
              <w:spacing w:line="240" w:lineRule="auto"/>
              <w:ind w:firstLine="0" w:firstLineChars="0"/>
              <w:jc w:val="center"/>
              <w:rPr>
                <w:rFonts w:asciiTheme="minorEastAsia" w:hAnsiTheme="minorEastAsia" w:eastAsiaTheme="minorEastAsia"/>
                <w:sz w:val="24"/>
                <w:szCs w:val="24"/>
              </w:rPr>
            </w:pPr>
            <w:r>
              <w:rPr>
                <w:rFonts w:asciiTheme="minorEastAsia" w:hAnsiTheme="minorEastAsia" w:eastAsiaTheme="minorEastAsia"/>
                <w:sz w:val="24"/>
                <w:szCs w:val="24"/>
              </w:rPr>
              <w:t>注册规划师</w:t>
            </w:r>
          </w:p>
        </w:tc>
      </w:tr>
    </w:tbl>
    <w:p>
      <w:pPr>
        <w:spacing w:line="360" w:lineRule="auto"/>
        <w:jc w:val="center"/>
        <w:rPr>
          <w:rFonts w:ascii="微软雅黑" w:hAnsi="微软雅黑"/>
          <w:b/>
          <w:szCs w:val="21"/>
        </w:rPr>
      </w:pPr>
    </w:p>
    <w:p>
      <w:pPr>
        <w:spacing w:line="360" w:lineRule="auto"/>
        <w:rPr>
          <w:rFonts w:ascii="微软雅黑" w:hAnsi="微软雅黑"/>
          <w:b/>
          <w:szCs w:val="21"/>
        </w:rPr>
      </w:pPr>
    </w:p>
    <w:p>
      <w:pPr>
        <w:spacing w:line="360" w:lineRule="auto"/>
        <w:rPr>
          <w:rFonts w:ascii="微软雅黑" w:hAnsi="微软雅黑"/>
          <w:b/>
          <w:szCs w:val="21"/>
        </w:rPr>
      </w:pPr>
    </w:p>
    <w:p>
      <w:pPr>
        <w:spacing w:line="360" w:lineRule="auto"/>
        <w:rPr>
          <w:rFonts w:ascii="微软雅黑" w:hAnsi="微软雅黑"/>
          <w:b/>
          <w:szCs w:val="21"/>
        </w:rPr>
      </w:pPr>
    </w:p>
    <w:p>
      <w:pPr>
        <w:spacing w:line="360" w:lineRule="auto"/>
        <w:rPr>
          <w:rFonts w:ascii="微软雅黑" w:hAnsi="微软雅黑"/>
          <w:b/>
          <w:szCs w:val="21"/>
        </w:rPr>
      </w:pPr>
    </w:p>
    <w:p>
      <w:pPr>
        <w:spacing w:line="360" w:lineRule="auto"/>
        <w:jc w:val="center"/>
        <w:rPr>
          <w:rFonts w:ascii="黑体" w:hAnsi="黑体" w:eastAsia="黑体"/>
          <w:b/>
          <w:sz w:val="24"/>
          <w:szCs w:val="24"/>
        </w:rPr>
      </w:pPr>
      <w:r>
        <w:rPr>
          <w:rFonts w:ascii="黑体" w:hAnsi="黑体" w:eastAsia="宋体"/>
          <w:b/>
          <w:sz w:val="24"/>
          <w:szCs w:val="24"/>
        </w:rPr>
        <w:t>规划证书号：自资规甲字21500174</w:t>
      </w:r>
    </w:p>
    <w:p>
      <w:pPr>
        <w:pStyle w:val="30"/>
        <w:spacing w:line="360" w:lineRule="auto"/>
        <w:ind w:left="420" w:firstLine="0" w:firstLineChars="0"/>
        <w:jc w:val="center"/>
        <w:rPr>
          <w:rFonts w:ascii="黑体" w:hAnsi="黑体" w:eastAsia="黑体"/>
          <w:b/>
          <w:sz w:val="24"/>
          <w:szCs w:val="24"/>
        </w:rPr>
      </w:pPr>
      <w:r>
        <w:rPr>
          <w:rFonts w:ascii="黑体" w:hAnsi="黑体" w:eastAsia="黑体"/>
          <w:sz w:val="24"/>
          <w:szCs w:val="24"/>
        </w:rPr>
        <w:drawing>
          <wp:inline distT="0" distB="0" distL="0" distR="0">
            <wp:extent cx="240665" cy="192405"/>
            <wp:effectExtent l="19050" t="0" r="6985" b="0"/>
            <wp:docPr id="3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7"/>
                    <pic:cNvPicPr>
                      <a:picLocks noChangeAspect="1" noChangeArrowheads="1"/>
                    </pic:cNvPicPr>
                  </pic:nvPicPr>
                  <pic:blipFill>
                    <a:blip r:embed="rId11">
                      <a:grayscl/>
                    </a:blip>
                    <a:srcRect l="37376" t="8595" r="57924" b="90019"/>
                    <a:stretch>
                      <a:fillRect/>
                    </a:stretch>
                  </pic:blipFill>
                  <pic:spPr>
                    <a:xfrm>
                      <a:off x="0" y="0"/>
                      <a:ext cx="240665" cy="192405"/>
                    </a:xfrm>
                    <a:prstGeom prst="rect">
                      <a:avLst/>
                    </a:prstGeom>
                    <a:noFill/>
                    <a:ln w="9525">
                      <a:noFill/>
                      <a:miter lim="800000"/>
                      <a:headEnd/>
                      <a:tailEnd/>
                    </a:ln>
                  </pic:spPr>
                </pic:pic>
              </a:graphicData>
            </a:graphic>
          </wp:inline>
        </w:drawing>
      </w:r>
      <w:r>
        <w:rPr>
          <w:rFonts w:ascii="黑体" w:hAnsi="黑体" w:eastAsia="宋体"/>
          <w:b/>
          <w:sz w:val="24"/>
          <w:szCs w:val="24"/>
        </w:rPr>
        <w:t>中机中联工程有限公司</w:t>
      </w:r>
    </w:p>
    <w:p>
      <w:pPr>
        <w:ind w:firstLine="300"/>
        <w:jc w:val="center"/>
        <w:rPr>
          <w:rFonts w:ascii="黑体" w:hAnsi="黑体" w:eastAsia="宋体"/>
          <w:b/>
          <w:sz w:val="24"/>
          <w:szCs w:val="24"/>
        </w:rPr>
      </w:pPr>
      <w:r>
        <w:rPr>
          <w:rFonts w:ascii="黑体" w:hAnsi="黑体" w:eastAsia="宋体"/>
          <w:b/>
          <w:sz w:val="24"/>
          <w:szCs w:val="24"/>
        </w:rPr>
        <w:t>CMCU ENGINEERING CO., LTD</w:t>
      </w:r>
    </w:p>
    <w:p>
      <w:pPr>
        <w:ind w:firstLine="300"/>
        <w:jc w:val="center"/>
        <w:rPr>
          <w:rFonts w:ascii="黑体" w:hAnsi="黑体" w:eastAsia="黑体"/>
          <w:b/>
          <w:sz w:val="24"/>
          <w:szCs w:val="24"/>
        </w:rPr>
      </w:pPr>
    </w:p>
    <w:p>
      <w:pPr>
        <w:ind w:firstLine="723"/>
        <w:jc w:val="center"/>
        <w:rPr>
          <w:rFonts w:ascii="黑体" w:hAnsi="黑体" w:eastAsia="黑体"/>
          <w:sz w:val="36"/>
          <w:szCs w:val="36"/>
        </w:rPr>
      </w:pPr>
    </w:p>
    <w:p>
      <w:pPr>
        <w:ind w:firstLine="723"/>
        <w:jc w:val="center"/>
        <w:rPr>
          <w:rFonts w:ascii="黑体" w:hAnsi="黑体" w:eastAsia="黑体"/>
          <w:sz w:val="36"/>
          <w:szCs w:val="36"/>
        </w:rPr>
      </w:pPr>
    </w:p>
    <w:p>
      <w:pPr>
        <w:ind w:firstLine="723"/>
        <w:jc w:val="center"/>
        <w:rPr>
          <w:rFonts w:ascii="黑体" w:hAnsi="黑体" w:eastAsia="黑体"/>
          <w:sz w:val="36"/>
          <w:szCs w:val="36"/>
        </w:rPr>
      </w:pPr>
    </w:p>
    <w:p>
      <w:pPr>
        <w:ind w:firstLine="723"/>
        <w:jc w:val="center"/>
        <w:rPr>
          <w:rFonts w:ascii="黑体" w:hAnsi="黑体" w:eastAsia="黑体"/>
          <w:sz w:val="36"/>
          <w:szCs w:val="36"/>
        </w:rPr>
      </w:pPr>
    </w:p>
    <w:p>
      <w:pPr>
        <w:ind w:firstLine="723"/>
        <w:jc w:val="center"/>
        <w:rPr>
          <w:rFonts w:ascii="黑体" w:hAnsi="黑体" w:eastAsia="黑体"/>
          <w:sz w:val="36"/>
          <w:szCs w:val="36"/>
        </w:rPr>
      </w:pPr>
    </w:p>
    <w:p>
      <w:pPr>
        <w:ind w:firstLine="723"/>
        <w:jc w:val="center"/>
        <w:rPr>
          <w:rFonts w:ascii="黑体" w:hAnsi="黑体" w:eastAsia="黑体"/>
          <w:sz w:val="36"/>
          <w:szCs w:val="36"/>
        </w:rPr>
      </w:pPr>
    </w:p>
    <w:p>
      <w:pPr>
        <w:ind w:firstLine="723"/>
        <w:jc w:val="center"/>
        <w:rPr>
          <w:rFonts w:ascii="黑体" w:hAnsi="黑体" w:eastAsia="黑体"/>
          <w:sz w:val="36"/>
          <w:szCs w:val="36"/>
        </w:rPr>
      </w:pPr>
    </w:p>
    <w:p>
      <w:pPr>
        <w:ind w:firstLine="723"/>
        <w:jc w:val="center"/>
        <w:rPr>
          <w:rFonts w:ascii="黑体" w:hAnsi="黑体" w:eastAsia="黑体"/>
          <w:sz w:val="36"/>
          <w:szCs w:val="36"/>
        </w:rPr>
      </w:pPr>
    </w:p>
    <w:p>
      <w:pPr>
        <w:ind w:firstLine="723"/>
        <w:jc w:val="center"/>
        <w:rPr>
          <w:rFonts w:ascii="黑体" w:hAnsi="黑体" w:eastAsia="黑体"/>
          <w:sz w:val="36"/>
          <w:szCs w:val="36"/>
        </w:rPr>
      </w:pPr>
    </w:p>
    <w:p>
      <w:pPr>
        <w:ind w:firstLine="723"/>
        <w:jc w:val="center"/>
        <w:rPr>
          <w:rFonts w:ascii="黑体" w:hAnsi="黑体" w:eastAsia="黑体"/>
          <w:sz w:val="36"/>
          <w:szCs w:val="36"/>
        </w:rPr>
      </w:pPr>
    </w:p>
    <w:p>
      <w:pPr>
        <w:ind w:firstLine="723"/>
        <w:jc w:val="center"/>
        <w:rPr>
          <w:rFonts w:ascii="黑体" w:hAnsi="黑体" w:eastAsia="黑体"/>
          <w:sz w:val="36"/>
          <w:szCs w:val="36"/>
        </w:rPr>
      </w:pPr>
    </w:p>
    <w:p>
      <w:pPr>
        <w:spacing w:line="480" w:lineRule="auto"/>
        <w:jc w:val="center"/>
        <w:rPr>
          <w:rFonts w:ascii="黑体" w:hAnsi="黑体" w:eastAsia="黑体"/>
          <w:sz w:val="44"/>
          <w:szCs w:val="44"/>
        </w:rPr>
      </w:pPr>
      <w:r>
        <w:rPr>
          <w:rFonts w:hint="eastAsia" w:ascii="黑体" w:hAnsi="黑体" w:eastAsia="黑体"/>
          <w:sz w:val="44"/>
          <w:szCs w:val="44"/>
        </w:rPr>
        <w:t>文本</w:t>
      </w:r>
    </w:p>
    <w:p>
      <w:pPr>
        <w:ind w:firstLine="723"/>
        <w:jc w:val="center"/>
        <w:rPr>
          <w:rFonts w:ascii="黑体" w:hAnsi="黑体" w:eastAsia="黑体"/>
          <w:sz w:val="36"/>
          <w:szCs w:val="36"/>
        </w:rPr>
      </w:pPr>
    </w:p>
    <w:p>
      <w:pPr>
        <w:ind w:firstLine="723"/>
        <w:jc w:val="center"/>
        <w:rPr>
          <w:rFonts w:ascii="黑体" w:hAnsi="黑体" w:eastAsia="黑体"/>
          <w:sz w:val="36"/>
          <w:szCs w:val="36"/>
        </w:rPr>
      </w:pPr>
    </w:p>
    <w:p>
      <w:pPr>
        <w:ind w:firstLine="723"/>
        <w:jc w:val="center"/>
        <w:rPr>
          <w:rFonts w:ascii="黑体" w:hAnsi="黑体" w:eastAsia="黑体"/>
          <w:sz w:val="36"/>
          <w:szCs w:val="36"/>
        </w:rPr>
      </w:pPr>
    </w:p>
    <w:p>
      <w:pPr>
        <w:ind w:firstLine="723"/>
        <w:jc w:val="center"/>
        <w:rPr>
          <w:rFonts w:ascii="黑体" w:hAnsi="黑体" w:eastAsia="黑体"/>
          <w:sz w:val="36"/>
          <w:szCs w:val="36"/>
        </w:rPr>
      </w:pPr>
    </w:p>
    <w:p>
      <w:pPr>
        <w:ind w:firstLine="723"/>
        <w:jc w:val="center"/>
        <w:rPr>
          <w:rFonts w:ascii="黑体" w:hAnsi="黑体" w:eastAsia="黑体"/>
          <w:sz w:val="36"/>
          <w:szCs w:val="36"/>
        </w:rPr>
      </w:pPr>
    </w:p>
    <w:p>
      <w:pPr>
        <w:ind w:firstLine="723"/>
        <w:jc w:val="center"/>
        <w:rPr>
          <w:rFonts w:ascii="黑体" w:hAnsi="黑体" w:eastAsia="黑体"/>
          <w:sz w:val="36"/>
          <w:szCs w:val="36"/>
        </w:rPr>
      </w:pPr>
    </w:p>
    <w:p>
      <w:pPr>
        <w:ind w:firstLine="723"/>
        <w:jc w:val="center"/>
        <w:rPr>
          <w:rFonts w:ascii="黑体" w:hAnsi="黑体" w:eastAsia="黑体"/>
          <w:sz w:val="36"/>
          <w:szCs w:val="36"/>
        </w:rPr>
      </w:pPr>
    </w:p>
    <w:p>
      <w:pPr>
        <w:ind w:firstLine="723"/>
        <w:jc w:val="center"/>
        <w:rPr>
          <w:rFonts w:ascii="黑体" w:hAnsi="黑体" w:eastAsia="黑体"/>
          <w:sz w:val="36"/>
          <w:szCs w:val="36"/>
        </w:rPr>
      </w:pPr>
    </w:p>
    <w:p>
      <w:pPr>
        <w:ind w:firstLine="723"/>
        <w:jc w:val="center"/>
        <w:rPr>
          <w:rFonts w:ascii="黑体" w:hAnsi="黑体" w:eastAsia="黑体"/>
          <w:sz w:val="36"/>
          <w:szCs w:val="36"/>
        </w:rPr>
      </w:pPr>
    </w:p>
    <w:p>
      <w:pPr>
        <w:ind w:firstLine="723"/>
        <w:jc w:val="center"/>
        <w:rPr>
          <w:rFonts w:ascii="黑体" w:hAnsi="黑体" w:eastAsia="黑体"/>
          <w:sz w:val="36"/>
          <w:szCs w:val="36"/>
        </w:rPr>
      </w:pPr>
    </w:p>
    <w:sdt>
      <w:sdtPr>
        <w:rPr>
          <w:rFonts w:ascii="黑体" w:hAnsi="黑体" w:eastAsia="黑体"/>
          <w:sz w:val="24"/>
          <w:szCs w:val="24"/>
          <w:lang w:val="zh-CN"/>
        </w:rPr>
        <w:id w:val="32471988"/>
      </w:sdtPr>
      <w:sdtEndPr>
        <w:rPr>
          <w:rFonts w:ascii="黑体" w:hAnsi="黑体" w:eastAsia="黑体"/>
          <w:sz w:val="24"/>
          <w:szCs w:val="24"/>
          <w:lang w:val="en-US"/>
        </w:rPr>
      </w:sdtEndPr>
      <w:sdtContent>
        <w:p>
          <w:pPr>
            <w:widowControl/>
            <w:spacing w:line="360" w:lineRule="exact"/>
            <w:jc w:val="center"/>
            <w:rPr>
              <w:rFonts w:ascii="黑体" w:hAnsi="黑体" w:eastAsia="黑体"/>
              <w:b/>
              <w:sz w:val="28"/>
              <w:szCs w:val="24"/>
            </w:rPr>
          </w:pPr>
          <w:r>
            <w:rPr>
              <w:rFonts w:hint="eastAsia" w:ascii="黑体" w:hAnsi="黑体" w:eastAsia="黑体"/>
              <w:b/>
              <w:sz w:val="32"/>
              <w:szCs w:val="30"/>
              <w:lang w:val="zh-CN"/>
            </w:rPr>
            <w:t xml:space="preserve">目 </w:t>
          </w:r>
          <w:r>
            <w:rPr>
              <w:rFonts w:ascii="黑体" w:hAnsi="黑体" w:eastAsia="黑体"/>
              <w:b/>
              <w:sz w:val="32"/>
              <w:szCs w:val="30"/>
              <w:lang w:val="zh-CN"/>
            </w:rPr>
            <w:t>录</w:t>
          </w:r>
        </w:p>
        <w:p>
          <w:pPr>
            <w:pStyle w:val="12"/>
            <w:spacing w:line="360" w:lineRule="auto"/>
            <w:rPr>
              <w:rFonts w:ascii="黑体" w:hAnsi="黑体" w:eastAsia="黑体"/>
              <w:sz w:val="24"/>
              <w:szCs w:val="24"/>
            </w:rPr>
          </w:pPr>
          <w:r>
            <w:rPr>
              <w:rFonts w:ascii="黑体" w:hAnsi="黑体" w:eastAsia="黑体" w:cs="黑体"/>
              <w:sz w:val="24"/>
              <w:szCs w:val="24"/>
            </w:rPr>
            <w:fldChar w:fldCharType="begin"/>
          </w:r>
          <w:r>
            <w:rPr>
              <w:rFonts w:ascii="黑体" w:hAnsi="黑体" w:eastAsia="黑体" w:cs="黑体"/>
              <w:sz w:val="24"/>
              <w:szCs w:val="24"/>
            </w:rPr>
            <w:instrText xml:space="preserve"> </w:instrText>
          </w:r>
          <w:r>
            <w:rPr>
              <w:rFonts w:hint="eastAsia" w:ascii="黑体" w:hAnsi="黑体" w:eastAsia="黑体" w:cs="黑体"/>
              <w:sz w:val="24"/>
              <w:szCs w:val="24"/>
            </w:rPr>
            <w:instrText xml:space="preserve">TOC \o "1-3" \h \z \u</w:instrText>
          </w:r>
          <w:r>
            <w:rPr>
              <w:rFonts w:ascii="黑体" w:hAnsi="黑体" w:eastAsia="黑体" w:cs="黑体"/>
              <w:sz w:val="24"/>
              <w:szCs w:val="24"/>
            </w:rPr>
            <w:instrText xml:space="preserve"> </w:instrText>
          </w:r>
          <w:r>
            <w:rPr>
              <w:rFonts w:ascii="黑体" w:hAnsi="黑体" w:eastAsia="黑体" w:cs="黑体"/>
              <w:sz w:val="24"/>
              <w:szCs w:val="24"/>
            </w:rPr>
            <w:fldChar w:fldCharType="separate"/>
          </w:r>
          <w:r>
            <w:fldChar w:fldCharType="begin"/>
          </w:r>
          <w:r>
            <w:instrText xml:space="preserve"> HYPERLINK \l "_Toc166772149" </w:instrText>
          </w:r>
          <w:r>
            <w:fldChar w:fldCharType="separate"/>
          </w:r>
          <w:r>
            <w:rPr>
              <w:rStyle w:val="20"/>
              <w:rFonts w:hint="eastAsia" w:ascii="黑体" w:hAnsi="黑体" w:eastAsia="黑体"/>
              <w:sz w:val="24"/>
              <w:szCs w:val="24"/>
            </w:rPr>
            <w:t>第一章</w:t>
          </w:r>
          <w:r>
            <w:rPr>
              <w:rFonts w:ascii="黑体" w:hAnsi="黑体" w:eastAsia="黑体"/>
              <w:sz w:val="24"/>
              <w:szCs w:val="24"/>
            </w:rPr>
            <w:tab/>
          </w:r>
          <w:r>
            <w:rPr>
              <w:rStyle w:val="20"/>
              <w:rFonts w:hint="eastAsia" w:ascii="黑体" w:hAnsi="黑体" w:eastAsia="黑体"/>
              <w:sz w:val="24"/>
              <w:szCs w:val="24"/>
            </w:rPr>
            <w:t>总则</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_Toc166772149 \h </w:instrText>
          </w:r>
          <w:r>
            <w:rPr>
              <w:rFonts w:ascii="黑体" w:hAnsi="黑体" w:eastAsia="黑体"/>
              <w:sz w:val="24"/>
              <w:szCs w:val="24"/>
            </w:rPr>
            <w:fldChar w:fldCharType="separate"/>
          </w:r>
          <w:r>
            <w:rPr>
              <w:rFonts w:ascii="黑体" w:hAnsi="黑体" w:eastAsia="黑体"/>
              <w:sz w:val="24"/>
              <w:szCs w:val="24"/>
            </w:rPr>
            <w:t>8</w:t>
          </w:r>
          <w:r>
            <w:rPr>
              <w:rFonts w:ascii="黑体" w:hAnsi="黑体" w:eastAsia="黑体"/>
              <w:sz w:val="24"/>
              <w:szCs w:val="24"/>
            </w:rPr>
            <w:fldChar w:fldCharType="end"/>
          </w:r>
          <w:r>
            <w:rPr>
              <w:rFonts w:ascii="黑体" w:hAnsi="黑体" w:eastAsia="黑体"/>
              <w:sz w:val="24"/>
              <w:szCs w:val="24"/>
            </w:rPr>
            <w:fldChar w:fldCharType="end"/>
          </w:r>
        </w:p>
        <w:p>
          <w:pPr>
            <w:pStyle w:val="13"/>
            <w:tabs>
              <w:tab w:val="left" w:pos="1470"/>
              <w:tab w:val="right" w:leader="dot" w:pos="8296"/>
            </w:tabs>
            <w:spacing w:line="360" w:lineRule="auto"/>
            <w:rPr>
              <w:rFonts w:ascii="黑体" w:hAnsi="黑体" w:eastAsia="黑体"/>
              <w:sz w:val="24"/>
              <w:szCs w:val="24"/>
            </w:rPr>
          </w:pPr>
          <w:r>
            <w:fldChar w:fldCharType="begin"/>
          </w:r>
          <w:r>
            <w:instrText xml:space="preserve"> HYPERLINK \l "_Toc166772150" </w:instrText>
          </w:r>
          <w:r>
            <w:fldChar w:fldCharType="separate"/>
          </w:r>
          <w:r>
            <w:rPr>
              <w:rStyle w:val="20"/>
              <w:rFonts w:hint="eastAsia" w:ascii="黑体" w:hAnsi="黑体" w:eastAsia="黑体"/>
              <w:sz w:val="24"/>
              <w:szCs w:val="24"/>
            </w:rPr>
            <w:t>第一节</w:t>
          </w:r>
          <w:r>
            <w:rPr>
              <w:rFonts w:ascii="黑体" w:hAnsi="黑体" w:eastAsia="黑体"/>
              <w:sz w:val="24"/>
              <w:szCs w:val="24"/>
            </w:rPr>
            <w:tab/>
          </w:r>
          <w:r>
            <w:rPr>
              <w:rStyle w:val="20"/>
              <w:rFonts w:hint="eastAsia" w:ascii="黑体" w:hAnsi="黑体" w:eastAsia="黑体"/>
              <w:sz w:val="24"/>
              <w:szCs w:val="24"/>
            </w:rPr>
            <w:t>规划指导思想和原则</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_Toc166772150 \h </w:instrText>
          </w:r>
          <w:r>
            <w:rPr>
              <w:rFonts w:ascii="黑体" w:hAnsi="黑体" w:eastAsia="黑体"/>
              <w:sz w:val="24"/>
              <w:szCs w:val="24"/>
            </w:rPr>
            <w:fldChar w:fldCharType="separate"/>
          </w:r>
          <w:r>
            <w:rPr>
              <w:rFonts w:ascii="黑体" w:hAnsi="黑体" w:eastAsia="黑体"/>
              <w:sz w:val="24"/>
              <w:szCs w:val="24"/>
            </w:rPr>
            <w:t>8</w:t>
          </w:r>
          <w:r>
            <w:rPr>
              <w:rFonts w:ascii="黑体" w:hAnsi="黑体" w:eastAsia="黑体"/>
              <w:sz w:val="24"/>
              <w:szCs w:val="24"/>
            </w:rPr>
            <w:fldChar w:fldCharType="end"/>
          </w:r>
          <w:r>
            <w:rPr>
              <w:rFonts w:ascii="黑体" w:hAnsi="黑体" w:eastAsia="黑体"/>
              <w:sz w:val="24"/>
              <w:szCs w:val="24"/>
            </w:rPr>
            <w:fldChar w:fldCharType="end"/>
          </w:r>
        </w:p>
        <w:p>
          <w:pPr>
            <w:pStyle w:val="13"/>
            <w:tabs>
              <w:tab w:val="left" w:pos="1470"/>
              <w:tab w:val="right" w:leader="dot" w:pos="8296"/>
            </w:tabs>
            <w:spacing w:line="360" w:lineRule="auto"/>
            <w:rPr>
              <w:rFonts w:ascii="黑体" w:hAnsi="黑体" w:eastAsia="黑体"/>
              <w:sz w:val="24"/>
              <w:szCs w:val="24"/>
            </w:rPr>
          </w:pPr>
          <w:r>
            <w:fldChar w:fldCharType="begin"/>
          </w:r>
          <w:r>
            <w:instrText xml:space="preserve"> HYPERLINK \l "_Toc166772151" </w:instrText>
          </w:r>
          <w:r>
            <w:fldChar w:fldCharType="separate"/>
          </w:r>
          <w:r>
            <w:rPr>
              <w:rStyle w:val="20"/>
              <w:rFonts w:hint="eastAsia" w:ascii="黑体" w:hAnsi="黑体" w:eastAsia="黑体"/>
              <w:sz w:val="24"/>
              <w:szCs w:val="24"/>
            </w:rPr>
            <w:t>第二节</w:t>
          </w:r>
          <w:r>
            <w:rPr>
              <w:rFonts w:ascii="黑体" w:hAnsi="黑体" w:eastAsia="黑体"/>
              <w:sz w:val="24"/>
              <w:szCs w:val="24"/>
            </w:rPr>
            <w:tab/>
          </w:r>
          <w:r>
            <w:rPr>
              <w:rStyle w:val="20"/>
              <w:rFonts w:hint="eastAsia" w:ascii="黑体" w:hAnsi="黑体" w:eastAsia="黑体"/>
              <w:sz w:val="24"/>
              <w:szCs w:val="24"/>
            </w:rPr>
            <w:t>规划依据</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_Toc166772151 \h </w:instrText>
          </w:r>
          <w:r>
            <w:rPr>
              <w:rFonts w:ascii="黑体" w:hAnsi="黑体" w:eastAsia="黑体"/>
              <w:sz w:val="24"/>
              <w:szCs w:val="24"/>
            </w:rPr>
            <w:fldChar w:fldCharType="separate"/>
          </w:r>
          <w:r>
            <w:rPr>
              <w:rFonts w:ascii="黑体" w:hAnsi="黑体" w:eastAsia="黑体"/>
              <w:sz w:val="24"/>
              <w:szCs w:val="24"/>
            </w:rPr>
            <w:t>9</w:t>
          </w:r>
          <w:r>
            <w:rPr>
              <w:rFonts w:ascii="黑体" w:hAnsi="黑体" w:eastAsia="黑体"/>
              <w:sz w:val="24"/>
              <w:szCs w:val="24"/>
            </w:rPr>
            <w:fldChar w:fldCharType="end"/>
          </w:r>
          <w:r>
            <w:rPr>
              <w:rFonts w:ascii="黑体" w:hAnsi="黑体" w:eastAsia="黑体"/>
              <w:sz w:val="24"/>
              <w:szCs w:val="24"/>
            </w:rPr>
            <w:fldChar w:fldCharType="end"/>
          </w:r>
        </w:p>
        <w:p>
          <w:pPr>
            <w:pStyle w:val="13"/>
            <w:tabs>
              <w:tab w:val="left" w:pos="1470"/>
              <w:tab w:val="right" w:leader="dot" w:pos="8296"/>
            </w:tabs>
            <w:spacing w:line="360" w:lineRule="auto"/>
            <w:rPr>
              <w:rFonts w:ascii="黑体" w:hAnsi="黑体" w:eastAsia="黑体"/>
              <w:sz w:val="24"/>
              <w:szCs w:val="24"/>
            </w:rPr>
          </w:pPr>
          <w:r>
            <w:fldChar w:fldCharType="begin"/>
          </w:r>
          <w:r>
            <w:instrText xml:space="preserve"> HYPERLINK \l "_Toc166772152" </w:instrText>
          </w:r>
          <w:r>
            <w:fldChar w:fldCharType="separate"/>
          </w:r>
          <w:r>
            <w:rPr>
              <w:rStyle w:val="20"/>
              <w:rFonts w:hint="eastAsia" w:ascii="黑体" w:hAnsi="黑体" w:eastAsia="黑体"/>
              <w:sz w:val="24"/>
              <w:szCs w:val="24"/>
            </w:rPr>
            <w:t>第三节</w:t>
          </w:r>
          <w:r>
            <w:rPr>
              <w:rFonts w:ascii="黑体" w:hAnsi="黑体" w:eastAsia="黑体"/>
              <w:sz w:val="24"/>
              <w:szCs w:val="24"/>
            </w:rPr>
            <w:tab/>
          </w:r>
          <w:r>
            <w:rPr>
              <w:rStyle w:val="20"/>
              <w:rFonts w:hint="eastAsia" w:ascii="黑体" w:hAnsi="黑体" w:eastAsia="黑体"/>
              <w:sz w:val="24"/>
              <w:szCs w:val="24"/>
            </w:rPr>
            <w:t>规划层次、范围和期限</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_Toc166772152 \h </w:instrText>
          </w:r>
          <w:r>
            <w:rPr>
              <w:rFonts w:ascii="黑体" w:hAnsi="黑体" w:eastAsia="黑体"/>
              <w:sz w:val="24"/>
              <w:szCs w:val="24"/>
            </w:rPr>
            <w:fldChar w:fldCharType="separate"/>
          </w:r>
          <w:r>
            <w:rPr>
              <w:rFonts w:ascii="黑体" w:hAnsi="黑体" w:eastAsia="黑体"/>
              <w:sz w:val="24"/>
              <w:szCs w:val="24"/>
            </w:rPr>
            <w:t>11</w:t>
          </w:r>
          <w:r>
            <w:rPr>
              <w:rFonts w:ascii="黑体" w:hAnsi="黑体" w:eastAsia="黑体"/>
              <w:sz w:val="24"/>
              <w:szCs w:val="24"/>
            </w:rPr>
            <w:fldChar w:fldCharType="end"/>
          </w:r>
          <w:r>
            <w:rPr>
              <w:rFonts w:ascii="黑体" w:hAnsi="黑体" w:eastAsia="黑体"/>
              <w:sz w:val="24"/>
              <w:szCs w:val="24"/>
            </w:rPr>
            <w:fldChar w:fldCharType="end"/>
          </w:r>
        </w:p>
        <w:p>
          <w:pPr>
            <w:pStyle w:val="13"/>
            <w:tabs>
              <w:tab w:val="left" w:pos="1470"/>
              <w:tab w:val="right" w:leader="dot" w:pos="8296"/>
            </w:tabs>
            <w:spacing w:line="360" w:lineRule="auto"/>
            <w:rPr>
              <w:rFonts w:ascii="黑体" w:hAnsi="黑体" w:eastAsia="黑体"/>
              <w:sz w:val="24"/>
              <w:szCs w:val="24"/>
            </w:rPr>
          </w:pPr>
          <w:r>
            <w:fldChar w:fldCharType="begin"/>
          </w:r>
          <w:r>
            <w:instrText xml:space="preserve"> HYPERLINK \l "_Toc166772153" </w:instrText>
          </w:r>
          <w:r>
            <w:fldChar w:fldCharType="separate"/>
          </w:r>
          <w:r>
            <w:rPr>
              <w:rStyle w:val="20"/>
              <w:rFonts w:hint="eastAsia" w:ascii="黑体" w:hAnsi="黑体" w:eastAsia="黑体"/>
              <w:sz w:val="24"/>
              <w:szCs w:val="24"/>
            </w:rPr>
            <w:t>第四节</w:t>
          </w:r>
          <w:r>
            <w:rPr>
              <w:rFonts w:ascii="黑体" w:hAnsi="黑体" w:eastAsia="黑体"/>
              <w:sz w:val="24"/>
              <w:szCs w:val="24"/>
            </w:rPr>
            <w:tab/>
          </w:r>
          <w:r>
            <w:rPr>
              <w:rStyle w:val="20"/>
              <w:rFonts w:hint="eastAsia" w:ascii="黑体" w:hAnsi="黑体" w:eastAsia="黑体"/>
              <w:sz w:val="24"/>
              <w:szCs w:val="24"/>
            </w:rPr>
            <w:t>规划地位和作用</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_Toc166772153 \h </w:instrText>
          </w:r>
          <w:r>
            <w:rPr>
              <w:rFonts w:ascii="黑体" w:hAnsi="黑体" w:eastAsia="黑体"/>
              <w:sz w:val="24"/>
              <w:szCs w:val="24"/>
            </w:rPr>
            <w:fldChar w:fldCharType="separate"/>
          </w:r>
          <w:r>
            <w:rPr>
              <w:rFonts w:ascii="黑体" w:hAnsi="黑体" w:eastAsia="黑体"/>
              <w:sz w:val="24"/>
              <w:szCs w:val="24"/>
            </w:rPr>
            <w:t>11</w:t>
          </w:r>
          <w:r>
            <w:rPr>
              <w:rFonts w:ascii="黑体" w:hAnsi="黑体" w:eastAsia="黑体"/>
              <w:sz w:val="24"/>
              <w:szCs w:val="24"/>
            </w:rPr>
            <w:fldChar w:fldCharType="end"/>
          </w:r>
          <w:r>
            <w:rPr>
              <w:rFonts w:ascii="黑体" w:hAnsi="黑体" w:eastAsia="黑体"/>
              <w:sz w:val="24"/>
              <w:szCs w:val="24"/>
            </w:rPr>
            <w:fldChar w:fldCharType="end"/>
          </w:r>
        </w:p>
        <w:p>
          <w:pPr>
            <w:pStyle w:val="13"/>
            <w:tabs>
              <w:tab w:val="left" w:pos="1470"/>
              <w:tab w:val="right" w:leader="dot" w:pos="8296"/>
            </w:tabs>
            <w:spacing w:line="360" w:lineRule="auto"/>
            <w:rPr>
              <w:rFonts w:ascii="黑体" w:hAnsi="黑体" w:eastAsia="黑体"/>
              <w:sz w:val="24"/>
              <w:szCs w:val="24"/>
            </w:rPr>
          </w:pPr>
          <w:r>
            <w:fldChar w:fldCharType="begin"/>
          </w:r>
          <w:r>
            <w:instrText xml:space="preserve"> HYPERLINK \l "_Toc166772154" </w:instrText>
          </w:r>
          <w:r>
            <w:fldChar w:fldCharType="separate"/>
          </w:r>
          <w:r>
            <w:rPr>
              <w:rStyle w:val="20"/>
              <w:rFonts w:hint="eastAsia" w:ascii="黑体" w:hAnsi="黑体" w:eastAsia="黑体"/>
              <w:sz w:val="24"/>
              <w:szCs w:val="24"/>
            </w:rPr>
            <w:t>第五节</w:t>
          </w:r>
          <w:r>
            <w:rPr>
              <w:rFonts w:ascii="黑体" w:hAnsi="黑体" w:eastAsia="黑体"/>
              <w:sz w:val="24"/>
              <w:szCs w:val="24"/>
            </w:rPr>
            <w:tab/>
          </w:r>
          <w:r>
            <w:rPr>
              <w:rStyle w:val="20"/>
              <w:rFonts w:hint="eastAsia" w:ascii="黑体" w:hAnsi="黑体" w:eastAsia="黑体"/>
              <w:sz w:val="24"/>
              <w:szCs w:val="24"/>
            </w:rPr>
            <w:t>规划强制性内容</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_Toc166772154 \h </w:instrText>
          </w:r>
          <w:r>
            <w:rPr>
              <w:rFonts w:ascii="黑体" w:hAnsi="黑体" w:eastAsia="黑体"/>
              <w:sz w:val="24"/>
              <w:szCs w:val="24"/>
            </w:rPr>
            <w:fldChar w:fldCharType="separate"/>
          </w:r>
          <w:r>
            <w:rPr>
              <w:rFonts w:ascii="黑体" w:hAnsi="黑体" w:eastAsia="黑体"/>
              <w:sz w:val="24"/>
              <w:szCs w:val="24"/>
            </w:rPr>
            <w:t>11</w:t>
          </w:r>
          <w:r>
            <w:rPr>
              <w:rFonts w:ascii="黑体" w:hAnsi="黑体" w:eastAsia="黑体"/>
              <w:sz w:val="24"/>
              <w:szCs w:val="24"/>
            </w:rPr>
            <w:fldChar w:fldCharType="end"/>
          </w:r>
          <w:r>
            <w:rPr>
              <w:rFonts w:ascii="黑体" w:hAnsi="黑体" w:eastAsia="黑体"/>
              <w:sz w:val="24"/>
              <w:szCs w:val="24"/>
            </w:rPr>
            <w:fldChar w:fldCharType="end"/>
          </w:r>
        </w:p>
        <w:p>
          <w:pPr>
            <w:pStyle w:val="12"/>
            <w:spacing w:line="360" w:lineRule="auto"/>
            <w:rPr>
              <w:rFonts w:ascii="黑体" w:hAnsi="黑体" w:eastAsia="黑体"/>
              <w:sz w:val="24"/>
              <w:szCs w:val="24"/>
            </w:rPr>
          </w:pPr>
          <w:r>
            <w:fldChar w:fldCharType="begin"/>
          </w:r>
          <w:r>
            <w:instrText xml:space="preserve"> HYPERLINK \l "_Toc166772155" </w:instrText>
          </w:r>
          <w:r>
            <w:fldChar w:fldCharType="separate"/>
          </w:r>
          <w:r>
            <w:rPr>
              <w:rStyle w:val="20"/>
              <w:rFonts w:hint="eastAsia" w:ascii="黑体" w:hAnsi="黑体" w:eastAsia="黑体"/>
              <w:sz w:val="24"/>
              <w:szCs w:val="24"/>
            </w:rPr>
            <w:t>第二章</w:t>
          </w:r>
          <w:r>
            <w:rPr>
              <w:rFonts w:ascii="黑体" w:hAnsi="黑体" w:eastAsia="黑体"/>
              <w:sz w:val="24"/>
              <w:szCs w:val="24"/>
            </w:rPr>
            <w:tab/>
          </w:r>
          <w:r>
            <w:rPr>
              <w:rStyle w:val="20"/>
              <w:rFonts w:hint="eastAsia" w:ascii="黑体" w:hAnsi="黑体" w:eastAsia="黑体"/>
              <w:sz w:val="24"/>
              <w:szCs w:val="24"/>
            </w:rPr>
            <w:t>片区基础特征分析</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_Toc166772155 \h </w:instrText>
          </w:r>
          <w:r>
            <w:rPr>
              <w:rFonts w:ascii="黑体" w:hAnsi="黑体" w:eastAsia="黑体"/>
              <w:sz w:val="24"/>
              <w:szCs w:val="24"/>
            </w:rPr>
            <w:fldChar w:fldCharType="separate"/>
          </w:r>
          <w:r>
            <w:rPr>
              <w:rFonts w:ascii="黑体" w:hAnsi="黑体" w:eastAsia="黑体"/>
              <w:sz w:val="24"/>
              <w:szCs w:val="24"/>
            </w:rPr>
            <w:t>12</w:t>
          </w:r>
          <w:r>
            <w:rPr>
              <w:rFonts w:ascii="黑体" w:hAnsi="黑体" w:eastAsia="黑体"/>
              <w:sz w:val="24"/>
              <w:szCs w:val="24"/>
            </w:rPr>
            <w:fldChar w:fldCharType="end"/>
          </w:r>
          <w:r>
            <w:rPr>
              <w:rFonts w:ascii="黑体" w:hAnsi="黑体" w:eastAsia="黑体"/>
              <w:sz w:val="24"/>
              <w:szCs w:val="24"/>
            </w:rPr>
            <w:fldChar w:fldCharType="end"/>
          </w:r>
        </w:p>
        <w:p>
          <w:pPr>
            <w:pStyle w:val="13"/>
            <w:tabs>
              <w:tab w:val="left" w:pos="1470"/>
              <w:tab w:val="right" w:leader="dot" w:pos="8296"/>
            </w:tabs>
            <w:spacing w:line="360" w:lineRule="auto"/>
            <w:rPr>
              <w:rFonts w:ascii="黑体" w:hAnsi="黑体" w:eastAsia="黑体"/>
              <w:sz w:val="24"/>
              <w:szCs w:val="24"/>
            </w:rPr>
          </w:pPr>
          <w:r>
            <w:fldChar w:fldCharType="begin"/>
          </w:r>
          <w:r>
            <w:instrText xml:space="preserve"> HYPERLINK \l "_Toc166772156" </w:instrText>
          </w:r>
          <w:r>
            <w:fldChar w:fldCharType="separate"/>
          </w:r>
          <w:r>
            <w:rPr>
              <w:rStyle w:val="20"/>
              <w:rFonts w:hint="eastAsia" w:ascii="黑体" w:hAnsi="黑体" w:eastAsia="黑体"/>
              <w:sz w:val="24"/>
              <w:szCs w:val="24"/>
            </w:rPr>
            <w:t>第一节</w:t>
          </w:r>
          <w:r>
            <w:rPr>
              <w:rFonts w:ascii="黑体" w:hAnsi="黑体" w:eastAsia="黑体"/>
              <w:sz w:val="24"/>
              <w:szCs w:val="24"/>
            </w:rPr>
            <w:tab/>
          </w:r>
          <w:r>
            <w:rPr>
              <w:rStyle w:val="20"/>
              <w:rFonts w:hint="eastAsia" w:ascii="黑体" w:hAnsi="黑体" w:eastAsia="黑体"/>
              <w:sz w:val="24"/>
              <w:szCs w:val="24"/>
            </w:rPr>
            <w:t>现状基础分析</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_Toc166772156 \h </w:instrText>
          </w:r>
          <w:r>
            <w:rPr>
              <w:rFonts w:ascii="黑体" w:hAnsi="黑体" w:eastAsia="黑体"/>
              <w:sz w:val="24"/>
              <w:szCs w:val="24"/>
            </w:rPr>
            <w:fldChar w:fldCharType="separate"/>
          </w:r>
          <w:r>
            <w:rPr>
              <w:rFonts w:ascii="黑体" w:hAnsi="黑体" w:eastAsia="黑体"/>
              <w:sz w:val="24"/>
              <w:szCs w:val="24"/>
            </w:rPr>
            <w:t>12</w:t>
          </w:r>
          <w:r>
            <w:rPr>
              <w:rFonts w:ascii="黑体" w:hAnsi="黑体" w:eastAsia="黑体"/>
              <w:sz w:val="24"/>
              <w:szCs w:val="24"/>
            </w:rPr>
            <w:fldChar w:fldCharType="end"/>
          </w:r>
          <w:r>
            <w:rPr>
              <w:rFonts w:ascii="黑体" w:hAnsi="黑体" w:eastAsia="黑体"/>
              <w:sz w:val="24"/>
              <w:szCs w:val="24"/>
            </w:rPr>
            <w:fldChar w:fldCharType="end"/>
          </w:r>
        </w:p>
        <w:p>
          <w:pPr>
            <w:pStyle w:val="13"/>
            <w:tabs>
              <w:tab w:val="left" w:pos="1470"/>
              <w:tab w:val="right" w:leader="dot" w:pos="8296"/>
            </w:tabs>
            <w:spacing w:line="360" w:lineRule="auto"/>
            <w:rPr>
              <w:rFonts w:ascii="黑体" w:hAnsi="黑体" w:eastAsia="黑体"/>
              <w:sz w:val="24"/>
              <w:szCs w:val="24"/>
            </w:rPr>
          </w:pPr>
          <w:r>
            <w:fldChar w:fldCharType="begin"/>
          </w:r>
          <w:r>
            <w:instrText xml:space="preserve"> HYPERLINK \l "_Toc166772157" </w:instrText>
          </w:r>
          <w:r>
            <w:fldChar w:fldCharType="separate"/>
          </w:r>
          <w:r>
            <w:rPr>
              <w:rStyle w:val="20"/>
              <w:rFonts w:hint="eastAsia" w:ascii="黑体" w:hAnsi="黑体" w:eastAsia="黑体"/>
              <w:sz w:val="24"/>
              <w:szCs w:val="24"/>
            </w:rPr>
            <w:t>第二节</w:t>
          </w:r>
          <w:r>
            <w:rPr>
              <w:rFonts w:ascii="黑体" w:hAnsi="黑体" w:eastAsia="黑体"/>
              <w:sz w:val="24"/>
              <w:szCs w:val="24"/>
            </w:rPr>
            <w:tab/>
          </w:r>
          <w:r>
            <w:rPr>
              <w:rStyle w:val="20"/>
              <w:rFonts w:hint="eastAsia" w:ascii="黑体" w:hAnsi="黑体" w:eastAsia="黑体"/>
              <w:sz w:val="24"/>
              <w:szCs w:val="24"/>
            </w:rPr>
            <w:t>现状特征与主要问题</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_Toc166772157 \h </w:instrText>
          </w:r>
          <w:r>
            <w:rPr>
              <w:rFonts w:ascii="黑体" w:hAnsi="黑体" w:eastAsia="黑体"/>
              <w:sz w:val="24"/>
              <w:szCs w:val="24"/>
            </w:rPr>
            <w:fldChar w:fldCharType="separate"/>
          </w:r>
          <w:r>
            <w:rPr>
              <w:rFonts w:ascii="黑体" w:hAnsi="黑体" w:eastAsia="黑体"/>
              <w:sz w:val="24"/>
              <w:szCs w:val="24"/>
            </w:rPr>
            <w:t>13</w:t>
          </w:r>
          <w:r>
            <w:rPr>
              <w:rFonts w:ascii="黑体" w:hAnsi="黑体" w:eastAsia="黑体"/>
              <w:sz w:val="24"/>
              <w:szCs w:val="24"/>
            </w:rPr>
            <w:fldChar w:fldCharType="end"/>
          </w:r>
          <w:r>
            <w:rPr>
              <w:rFonts w:ascii="黑体" w:hAnsi="黑体" w:eastAsia="黑体"/>
              <w:sz w:val="24"/>
              <w:szCs w:val="24"/>
            </w:rPr>
            <w:fldChar w:fldCharType="end"/>
          </w:r>
        </w:p>
        <w:p>
          <w:pPr>
            <w:pStyle w:val="13"/>
            <w:tabs>
              <w:tab w:val="left" w:pos="1470"/>
              <w:tab w:val="right" w:leader="dot" w:pos="8296"/>
            </w:tabs>
            <w:spacing w:line="360" w:lineRule="auto"/>
            <w:rPr>
              <w:rFonts w:ascii="黑体" w:hAnsi="黑体" w:eastAsia="黑体"/>
              <w:sz w:val="24"/>
              <w:szCs w:val="24"/>
            </w:rPr>
          </w:pPr>
          <w:r>
            <w:fldChar w:fldCharType="begin"/>
          </w:r>
          <w:r>
            <w:instrText xml:space="preserve"> HYPERLINK \l "_Toc166772158" </w:instrText>
          </w:r>
          <w:r>
            <w:fldChar w:fldCharType="separate"/>
          </w:r>
          <w:r>
            <w:rPr>
              <w:rStyle w:val="20"/>
              <w:rFonts w:hint="eastAsia" w:ascii="黑体" w:hAnsi="黑体" w:eastAsia="黑体"/>
              <w:sz w:val="24"/>
              <w:szCs w:val="24"/>
            </w:rPr>
            <w:t>第三节</w:t>
          </w:r>
          <w:r>
            <w:rPr>
              <w:rFonts w:ascii="黑体" w:hAnsi="黑体" w:eastAsia="黑体"/>
              <w:sz w:val="24"/>
              <w:szCs w:val="24"/>
            </w:rPr>
            <w:tab/>
          </w:r>
          <w:r>
            <w:rPr>
              <w:rStyle w:val="20"/>
              <w:rFonts w:hint="eastAsia" w:ascii="黑体" w:hAnsi="黑体" w:eastAsia="黑体"/>
              <w:sz w:val="24"/>
              <w:szCs w:val="24"/>
            </w:rPr>
            <w:t>规划评价与评估</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_Toc166772158 \h </w:instrText>
          </w:r>
          <w:r>
            <w:rPr>
              <w:rFonts w:ascii="黑体" w:hAnsi="黑体" w:eastAsia="黑体"/>
              <w:sz w:val="24"/>
              <w:szCs w:val="24"/>
            </w:rPr>
            <w:fldChar w:fldCharType="separate"/>
          </w:r>
          <w:r>
            <w:rPr>
              <w:rFonts w:ascii="黑体" w:hAnsi="黑体" w:eastAsia="黑体"/>
              <w:sz w:val="24"/>
              <w:szCs w:val="24"/>
            </w:rPr>
            <w:t>20</w:t>
          </w:r>
          <w:r>
            <w:rPr>
              <w:rFonts w:ascii="黑体" w:hAnsi="黑体" w:eastAsia="黑体"/>
              <w:sz w:val="24"/>
              <w:szCs w:val="24"/>
            </w:rPr>
            <w:fldChar w:fldCharType="end"/>
          </w:r>
          <w:r>
            <w:rPr>
              <w:rFonts w:ascii="黑体" w:hAnsi="黑体" w:eastAsia="黑体"/>
              <w:sz w:val="24"/>
              <w:szCs w:val="24"/>
            </w:rPr>
            <w:fldChar w:fldCharType="end"/>
          </w:r>
        </w:p>
        <w:p>
          <w:pPr>
            <w:pStyle w:val="13"/>
            <w:tabs>
              <w:tab w:val="left" w:pos="1470"/>
              <w:tab w:val="right" w:leader="dot" w:pos="8296"/>
            </w:tabs>
            <w:spacing w:line="360" w:lineRule="auto"/>
            <w:rPr>
              <w:rFonts w:ascii="黑体" w:hAnsi="黑体" w:eastAsia="黑体"/>
              <w:sz w:val="24"/>
              <w:szCs w:val="24"/>
            </w:rPr>
          </w:pPr>
          <w:r>
            <w:fldChar w:fldCharType="begin"/>
          </w:r>
          <w:r>
            <w:instrText xml:space="preserve"> HYPERLINK \l "_Toc166772159" </w:instrText>
          </w:r>
          <w:r>
            <w:fldChar w:fldCharType="separate"/>
          </w:r>
          <w:r>
            <w:rPr>
              <w:rStyle w:val="20"/>
              <w:rFonts w:hint="eastAsia" w:ascii="黑体" w:hAnsi="黑体" w:eastAsia="黑体"/>
              <w:sz w:val="24"/>
              <w:szCs w:val="24"/>
            </w:rPr>
            <w:t>第四节</w:t>
          </w:r>
          <w:r>
            <w:rPr>
              <w:rFonts w:ascii="黑体" w:hAnsi="黑体" w:eastAsia="黑体"/>
              <w:sz w:val="24"/>
              <w:szCs w:val="24"/>
            </w:rPr>
            <w:tab/>
          </w:r>
          <w:r>
            <w:rPr>
              <w:rStyle w:val="20"/>
              <w:rFonts w:hint="eastAsia" w:ascii="黑体" w:hAnsi="黑体" w:eastAsia="黑体"/>
              <w:sz w:val="24"/>
              <w:szCs w:val="24"/>
            </w:rPr>
            <w:t>现行城总规与土总规实施评估</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_Toc166772159 \h </w:instrText>
          </w:r>
          <w:r>
            <w:rPr>
              <w:rFonts w:ascii="黑体" w:hAnsi="黑体" w:eastAsia="黑体"/>
              <w:sz w:val="24"/>
              <w:szCs w:val="24"/>
            </w:rPr>
            <w:fldChar w:fldCharType="separate"/>
          </w:r>
          <w:r>
            <w:rPr>
              <w:rFonts w:ascii="黑体" w:hAnsi="黑体" w:eastAsia="黑体"/>
              <w:sz w:val="24"/>
              <w:szCs w:val="24"/>
            </w:rPr>
            <w:t>21</w:t>
          </w:r>
          <w:r>
            <w:rPr>
              <w:rFonts w:ascii="黑体" w:hAnsi="黑体" w:eastAsia="黑体"/>
              <w:sz w:val="24"/>
              <w:szCs w:val="24"/>
            </w:rPr>
            <w:fldChar w:fldCharType="end"/>
          </w:r>
          <w:r>
            <w:rPr>
              <w:rFonts w:ascii="黑体" w:hAnsi="黑体" w:eastAsia="黑体"/>
              <w:sz w:val="24"/>
              <w:szCs w:val="24"/>
            </w:rPr>
            <w:fldChar w:fldCharType="end"/>
          </w:r>
        </w:p>
        <w:p>
          <w:pPr>
            <w:pStyle w:val="13"/>
            <w:tabs>
              <w:tab w:val="left" w:pos="1470"/>
              <w:tab w:val="right" w:leader="dot" w:pos="8296"/>
            </w:tabs>
            <w:spacing w:line="360" w:lineRule="auto"/>
            <w:rPr>
              <w:rFonts w:ascii="黑体" w:hAnsi="黑体" w:eastAsia="黑体"/>
              <w:sz w:val="24"/>
              <w:szCs w:val="24"/>
            </w:rPr>
          </w:pPr>
          <w:r>
            <w:fldChar w:fldCharType="begin"/>
          </w:r>
          <w:r>
            <w:instrText xml:space="preserve"> HYPERLINK \l "_Toc166772160" </w:instrText>
          </w:r>
          <w:r>
            <w:fldChar w:fldCharType="separate"/>
          </w:r>
          <w:r>
            <w:rPr>
              <w:rStyle w:val="20"/>
              <w:rFonts w:hint="eastAsia" w:ascii="黑体" w:hAnsi="黑体" w:eastAsia="黑体"/>
              <w:sz w:val="24"/>
              <w:szCs w:val="24"/>
            </w:rPr>
            <w:t>第五节</w:t>
          </w:r>
          <w:r>
            <w:rPr>
              <w:rFonts w:ascii="黑体" w:hAnsi="黑体" w:eastAsia="黑体"/>
              <w:sz w:val="24"/>
              <w:szCs w:val="24"/>
            </w:rPr>
            <w:tab/>
          </w:r>
          <w:r>
            <w:rPr>
              <w:rStyle w:val="20"/>
              <w:rFonts w:hint="eastAsia" w:ascii="黑体" w:hAnsi="黑体" w:eastAsia="黑体"/>
              <w:sz w:val="24"/>
              <w:szCs w:val="24"/>
            </w:rPr>
            <w:t>风险评估</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_Toc166772160 \h </w:instrText>
          </w:r>
          <w:r>
            <w:rPr>
              <w:rFonts w:ascii="黑体" w:hAnsi="黑体" w:eastAsia="黑体"/>
              <w:sz w:val="24"/>
              <w:szCs w:val="24"/>
            </w:rPr>
            <w:fldChar w:fldCharType="separate"/>
          </w:r>
          <w:r>
            <w:rPr>
              <w:rFonts w:ascii="黑体" w:hAnsi="黑体" w:eastAsia="黑体"/>
              <w:sz w:val="24"/>
              <w:szCs w:val="24"/>
            </w:rPr>
            <w:t>26</w:t>
          </w:r>
          <w:r>
            <w:rPr>
              <w:rFonts w:ascii="黑体" w:hAnsi="黑体" w:eastAsia="黑体"/>
              <w:sz w:val="24"/>
              <w:szCs w:val="24"/>
            </w:rPr>
            <w:fldChar w:fldCharType="end"/>
          </w:r>
          <w:r>
            <w:rPr>
              <w:rFonts w:ascii="黑体" w:hAnsi="黑体" w:eastAsia="黑体"/>
              <w:sz w:val="24"/>
              <w:szCs w:val="24"/>
            </w:rPr>
            <w:fldChar w:fldCharType="end"/>
          </w:r>
        </w:p>
        <w:p>
          <w:pPr>
            <w:pStyle w:val="13"/>
            <w:tabs>
              <w:tab w:val="left" w:pos="1470"/>
              <w:tab w:val="right" w:leader="dot" w:pos="8296"/>
            </w:tabs>
            <w:spacing w:line="360" w:lineRule="auto"/>
            <w:rPr>
              <w:rFonts w:ascii="黑体" w:hAnsi="黑体" w:eastAsia="黑体"/>
              <w:sz w:val="24"/>
              <w:szCs w:val="24"/>
            </w:rPr>
          </w:pPr>
          <w:r>
            <w:fldChar w:fldCharType="begin"/>
          </w:r>
          <w:r>
            <w:instrText xml:space="preserve"> HYPERLINK \l "_Toc166772161" </w:instrText>
          </w:r>
          <w:r>
            <w:fldChar w:fldCharType="separate"/>
          </w:r>
          <w:r>
            <w:rPr>
              <w:rStyle w:val="20"/>
              <w:rFonts w:hint="eastAsia" w:ascii="黑体" w:hAnsi="黑体" w:eastAsia="黑体"/>
              <w:sz w:val="24"/>
              <w:szCs w:val="24"/>
            </w:rPr>
            <w:t>第六节</w:t>
          </w:r>
          <w:r>
            <w:rPr>
              <w:rFonts w:ascii="黑体" w:hAnsi="黑体" w:eastAsia="黑体"/>
              <w:sz w:val="24"/>
              <w:szCs w:val="24"/>
            </w:rPr>
            <w:tab/>
          </w:r>
          <w:r>
            <w:rPr>
              <w:rStyle w:val="20"/>
              <w:rFonts w:hint="eastAsia" w:ascii="黑体" w:hAnsi="黑体" w:eastAsia="黑体"/>
              <w:sz w:val="24"/>
              <w:szCs w:val="24"/>
            </w:rPr>
            <w:t>发展机遇分析</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_Toc166772161 \h </w:instrText>
          </w:r>
          <w:r>
            <w:rPr>
              <w:rFonts w:ascii="黑体" w:hAnsi="黑体" w:eastAsia="黑体"/>
              <w:sz w:val="24"/>
              <w:szCs w:val="24"/>
            </w:rPr>
            <w:fldChar w:fldCharType="separate"/>
          </w:r>
          <w:r>
            <w:rPr>
              <w:rFonts w:ascii="黑体" w:hAnsi="黑体" w:eastAsia="黑体"/>
              <w:sz w:val="24"/>
              <w:szCs w:val="24"/>
            </w:rPr>
            <w:t>27</w:t>
          </w:r>
          <w:r>
            <w:rPr>
              <w:rFonts w:ascii="黑体" w:hAnsi="黑体" w:eastAsia="黑体"/>
              <w:sz w:val="24"/>
              <w:szCs w:val="24"/>
            </w:rPr>
            <w:fldChar w:fldCharType="end"/>
          </w:r>
          <w:r>
            <w:rPr>
              <w:rFonts w:ascii="黑体" w:hAnsi="黑体" w:eastAsia="黑体"/>
              <w:sz w:val="24"/>
              <w:szCs w:val="24"/>
            </w:rPr>
            <w:fldChar w:fldCharType="end"/>
          </w:r>
        </w:p>
        <w:p>
          <w:pPr>
            <w:pStyle w:val="12"/>
            <w:spacing w:line="360" w:lineRule="auto"/>
            <w:rPr>
              <w:rFonts w:ascii="黑体" w:hAnsi="黑体" w:eastAsia="黑体"/>
              <w:sz w:val="24"/>
              <w:szCs w:val="24"/>
            </w:rPr>
          </w:pPr>
          <w:r>
            <w:fldChar w:fldCharType="begin"/>
          </w:r>
          <w:r>
            <w:instrText xml:space="preserve"> HYPERLINK \l "_Toc166772162" </w:instrText>
          </w:r>
          <w:r>
            <w:fldChar w:fldCharType="separate"/>
          </w:r>
          <w:r>
            <w:rPr>
              <w:rStyle w:val="20"/>
              <w:rFonts w:hint="eastAsia" w:ascii="黑体" w:hAnsi="黑体" w:eastAsia="黑体"/>
              <w:sz w:val="24"/>
              <w:szCs w:val="24"/>
            </w:rPr>
            <w:t>第三章</w:t>
          </w:r>
          <w:r>
            <w:rPr>
              <w:rFonts w:ascii="黑体" w:hAnsi="黑体" w:eastAsia="黑体"/>
              <w:sz w:val="24"/>
              <w:szCs w:val="24"/>
            </w:rPr>
            <w:tab/>
          </w:r>
          <w:r>
            <w:rPr>
              <w:rStyle w:val="20"/>
              <w:rFonts w:hint="eastAsia" w:ascii="黑体" w:hAnsi="黑体" w:eastAsia="黑体"/>
              <w:sz w:val="24"/>
              <w:szCs w:val="24"/>
            </w:rPr>
            <w:t>片区规划</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_Toc166772162 \h </w:instrText>
          </w:r>
          <w:r>
            <w:rPr>
              <w:rFonts w:ascii="黑体" w:hAnsi="黑体" w:eastAsia="黑体"/>
              <w:sz w:val="24"/>
              <w:szCs w:val="24"/>
            </w:rPr>
            <w:fldChar w:fldCharType="separate"/>
          </w:r>
          <w:r>
            <w:rPr>
              <w:rFonts w:ascii="黑体" w:hAnsi="黑体" w:eastAsia="黑体"/>
              <w:sz w:val="24"/>
              <w:szCs w:val="24"/>
            </w:rPr>
            <w:t>39</w:t>
          </w:r>
          <w:r>
            <w:rPr>
              <w:rFonts w:ascii="黑体" w:hAnsi="黑体" w:eastAsia="黑体"/>
              <w:sz w:val="24"/>
              <w:szCs w:val="24"/>
            </w:rPr>
            <w:fldChar w:fldCharType="end"/>
          </w:r>
          <w:r>
            <w:rPr>
              <w:rFonts w:ascii="黑体" w:hAnsi="黑体" w:eastAsia="黑体"/>
              <w:sz w:val="24"/>
              <w:szCs w:val="24"/>
            </w:rPr>
            <w:fldChar w:fldCharType="end"/>
          </w:r>
        </w:p>
        <w:p>
          <w:pPr>
            <w:pStyle w:val="13"/>
            <w:tabs>
              <w:tab w:val="left" w:pos="1470"/>
              <w:tab w:val="right" w:leader="dot" w:pos="8296"/>
            </w:tabs>
            <w:spacing w:line="360" w:lineRule="auto"/>
            <w:rPr>
              <w:rFonts w:ascii="黑体" w:hAnsi="黑体" w:eastAsia="黑体"/>
              <w:sz w:val="24"/>
              <w:szCs w:val="24"/>
            </w:rPr>
          </w:pPr>
          <w:r>
            <w:fldChar w:fldCharType="begin"/>
          </w:r>
          <w:r>
            <w:instrText xml:space="preserve"> HYPERLINK \l "_Toc166772163" </w:instrText>
          </w:r>
          <w:r>
            <w:fldChar w:fldCharType="separate"/>
          </w:r>
          <w:r>
            <w:rPr>
              <w:rStyle w:val="20"/>
              <w:rFonts w:hint="eastAsia" w:ascii="黑体" w:hAnsi="黑体" w:eastAsia="黑体"/>
              <w:sz w:val="24"/>
              <w:szCs w:val="24"/>
            </w:rPr>
            <w:t>第一节</w:t>
          </w:r>
          <w:r>
            <w:rPr>
              <w:rFonts w:ascii="黑体" w:hAnsi="黑体" w:eastAsia="黑体"/>
              <w:sz w:val="24"/>
              <w:szCs w:val="24"/>
            </w:rPr>
            <w:tab/>
          </w:r>
          <w:r>
            <w:rPr>
              <w:rStyle w:val="20"/>
              <w:rFonts w:hint="eastAsia" w:ascii="黑体" w:hAnsi="黑体" w:eastAsia="黑体"/>
              <w:sz w:val="24"/>
              <w:szCs w:val="24"/>
            </w:rPr>
            <w:t>功能定位</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_Toc166772163 \h </w:instrText>
          </w:r>
          <w:r>
            <w:rPr>
              <w:rFonts w:ascii="黑体" w:hAnsi="黑体" w:eastAsia="黑体"/>
              <w:sz w:val="24"/>
              <w:szCs w:val="24"/>
            </w:rPr>
            <w:fldChar w:fldCharType="separate"/>
          </w:r>
          <w:r>
            <w:rPr>
              <w:rFonts w:ascii="黑体" w:hAnsi="黑体" w:eastAsia="黑体"/>
              <w:sz w:val="24"/>
              <w:szCs w:val="24"/>
            </w:rPr>
            <w:t>39</w:t>
          </w:r>
          <w:r>
            <w:rPr>
              <w:rFonts w:ascii="黑体" w:hAnsi="黑体" w:eastAsia="黑体"/>
              <w:sz w:val="24"/>
              <w:szCs w:val="24"/>
            </w:rPr>
            <w:fldChar w:fldCharType="end"/>
          </w:r>
          <w:r>
            <w:rPr>
              <w:rFonts w:ascii="黑体" w:hAnsi="黑体" w:eastAsia="黑体"/>
              <w:sz w:val="24"/>
              <w:szCs w:val="24"/>
            </w:rPr>
            <w:fldChar w:fldCharType="end"/>
          </w:r>
        </w:p>
        <w:p>
          <w:pPr>
            <w:pStyle w:val="13"/>
            <w:tabs>
              <w:tab w:val="left" w:pos="1470"/>
              <w:tab w:val="right" w:leader="dot" w:pos="8296"/>
            </w:tabs>
            <w:spacing w:line="360" w:lineRule="auto"/>
            <w:rPr>
              <w:rFonts w:ascii="黑体" w:hAnsi="黑体" w:eastAsia="黑体"/>
              <w:sz w:val="24"/>
              <w:szCs w:val="24"/>
            </w:rPr>
          </w:pPr>
          <w:r>
            <w:fldChar w:fldCharType="begin"/>
          </w:r>
          <w:r>
            <w:instrText xml:space="preserve"> HYPERLINK \l "_Toc166772164" </w:instrText>
          </w:r>
          <w:r>
            <w:fldChar w:fldCharType="separate"/>
          </w:r>
          <w:r>
            <w:rPr>
              <w:rStyle w:val="20"/>
              <w:rFonts w:hint="eastAsia" w:ascii="黑体" w:hAnsi="黑体" w:eastAsia="黑体"/>
              <w:sz w:val="24"/>
              <w:szCs w:val="24"/>
            </w:rPr>
            <w:t>第二节</w:t>
          </w:r>
          <w:r>
            <w:rPr>
              <w:rFonts w:ascii="黑体" w:hAnsi="黑体" w:eastAsia="黑体"/>
              <w:sz w:val="24"/>
              <w:szCs w:val="24"/>
            </w:rPr>
            <w:tab/>
          </w:r>
          <w:r>
            <w:rPr>
              <w:rStyle w:val="20"/>
              <w:rFonts w:hint="eastAsia" w:ascii="黑体" w:hAnsi="黑体" w:eastAsia="黑体"/>
              <w:sz w:val="24"/>
              <w:szCs w:val="24"/>
            </w:rPr>
            <w:t>规划策略</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_Toc166772164 \h </w:instrText>
          </w:r>
          <w:r>
            <w:rPr>
              <w:rFonts w:ascii="黑体" w:hAnsi="黑体" w:eastAsia="黑体"/>
              <w:sz w:val="24"/>
              <w:szCs w:val="24"/>
            </w:rPr>
            <w:fldChar w:fldCharType="separate"/>
          </w:r>
          <w:r>
            <w:rPr>
              <w:rFonts w:ascii="黑体" w:hAnsi="黑体" w:eastAsia="黑体"/>
              <w:sz w:val="24"/>
              <w:szCs w:val="24"/>
            </w:rPr>
            <w:t>40</w:t>
          </w:r>
          <w:r>
            <w:rPr>
              <w:rFonts w:ascii="黑体" w:hAnsi="黑体" w:eastAsia="黑体"/>
              <w:sz w:val="24"/>
              <w:szCs w:val="24"/>
            </w:rPr>
            <w:fldChar w:fldCharType="end"/>
          </w:r>
          <w:r>
            <w:rPr>
              <w:rFonts w:ascii="黑体" w:hAnsi="黑体" w:eastAsia="黑体"/>
              <w:sz w:val="24"/>
              <w:szCs w:val="24"/>
            </w:rPr>
            <w:fldChar w:fldCharType="end"/>
          </w:r>
        </w:p>
        <w:p>
          <w:pPr>
            <w:pStyle w:val="13"/>
            <w:tabs>
              <w:tab w:val="left" w:pos="1470"/>
              <w:tab w:val="right" w:leader="dot" w:pos="8296"/>
            </w:tabs>
            <w:spacing w:line="360" w:lineRule="auto"/>
            <w:rPr>
              <w:rFonts w:ascii="黑体" w:hAnsi="黑体" w:eastAsia="黑体"/>
              <w:sz w:val="24"/>
              <w:szCs w:val="24"/>
            </w:rPr>
          </w:pPr>
          <w:r>
            <w:fldChar w:fldCharType="begin"/>
          </w:r>
          <w:r>
            <w:instrText xml:space="preserve"> HYPERLINK \l "_Toc166772165" </w:instrText>
          </w:r>
          <w:r>
            <w:fldChar w:fldCharType="separate"/>
          </w:r>
          <w:r>
            <w:rPr>
              <w:rStyle w:val="20"/>
              <w:rFonts w:hint="eastAsia" w:ascii="黑体" w:hAnsi="黑体" w:eastAsia="黑体"/>
              <w:sz w:val="24"/>
              <w:szCs w:val="24"/>
            </w:rPr>
            <w:t>第三节</w:t>
          </w:r>
          <w:r>
            <w:rPr>
              <w:rFonts w:ascii="黑体" w:hAnsi="黑体" w:eastAsia="黑体"/>
              <w:sz w:val="24"/>
              <w:szCs w:val="24"/>
            </w:rPr>
            <w:tab/>
          </w:r>
          <w:r>
            <w:rPr>
              <w:rStyle w:val="20"/>
              <w:rFonts w:hint="eastAsia" w:ascii="黑体" w:hAnsi="黑体" w:eastAsia="黑体"/>
              <w:sz w:val="24"/>
              <w:szCs w:val="24"/>
            </w:rPr>
            <w:t>转变经济发展方式</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_Toc166772165 \h </w:instrText>
          </w:r>
          <w:r>
            <w:rPr>
              <w:rFonts w:ascii="黑体" w:hAnsi="黑体" w:eastAsia="黑体"/>
              <w:sz w:val="24"/>
              <w:szCs w:val="24"/>
            </w:rPr>
            <w:fldChar w:fldCharType="separate"/>
          </w:r>
          <w:r>
            <w:rPr>
              <w:rFonts w:ascii="黑体" w:hAnsi="黑体" w:eastAsia="黑体"/>
              <w:sz w:val="24"/>
              <w:szCs w:val="24"/>
            </w:rPr>
            <w:t>45</w:t>
          </w:r>
          <w:r>
            <w:rPr>
              <w:rFonts w:ascii="黑体" w:hAnsi="黑体" w:eastAsia="黑体"/>
              <w:sz w:val="24"/>
              <w:szCs w:val="24"/>
            </w:rPr>
            <w:fldChar w:fldCharType="end"/>
          </w:r>
          <w:r>
            <w:rPr>
              <w:rFonts w:ascii="黑体" w:hAnsi="黑体" w:eastAsia="黑体"/>
              <w:sz w:val="24"/>
              <w:szCs w:val="24"/>
            </w:rPr>
            <w:fldChar w:fldCharType="end"/>
          </w:r>
        </w:p>
        <w:p>
          <w:pPr>
            <w:pStyle w:val="13"/>
            <w:tabs>
              <w:tab w:val="left" w:pos="1470"/>
              <w:tab w:val="right" w:leader="dot" w:pos="8296"/>
            </w:tabs>
            <w:spacing w:line="360" w:lineRule="auto"/>
            <w:rPr>
              <w:rFonts w:ascii="黑体" w:hAnsi="黑体" w:eastAsia="黑体"/>
              <w:sz w:val="24"/>
              <w:szCs w:val="24"/>
            </w:rPr>
          </w:pPr>
          <w:r>
            <w:fldChar w:fldCharType="begin"/>
          </w:r>
          <w:r>
            <w:instrText xml:space="preserve"> HYPERLINK \l "_Toc166772166" </w:instrText>
          </w:r>
          <w:r>
            <w:fldChar w:fldCharType="separate"/>
          </w:r>
          <w:r>
            <w:rPr>
              <w:rStyle w:val="20"/>
              <w:rFonts w:hint="eastAsia" w:ascii="黑体" w:hAnsi="黑体" w:eastAsia="黑体"/>
              <w:sz w:val="24"/>
              <w:szCs w:val="24"/>
            </w:rPr>
            <w:t>第四节</w:t>
          </w:r>
          <w:r>
            <w:rPr>
              <w:rFonts w:ascii="黑体" w:hAnsi="黑体" w:eastAsia="黑体"/>
              <w:sz w:val="24"/>
              <w:szCs w:val="24"/>
            </w:rPr>
            <w:tab/>
          </w:r>
          <w:r>
            <w:rPr>
              <w:rStyle w:val="20"/>
              <w:rFonts w:hint="eastAsia" w:ascii="黑体" w:hAnsi="黑体" w:eastAsia="黑体"/>
              <w:sz w:val="24"/>
              <w:szCs w:val="24"/>
            </w:rPr>
            <w:t>协同规划</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_Toc166772166 \h </w:instrText>
          </w:r>
          <w:r>
            <w:rPr>
              <w:rFonts w:ascii="黑体" w:hAnsi="黑体" w:eastAsia="黑体"/>
              <w:sz w:val="24"/>
              <w:szCs w:val="24"/>
            </w:rPr>
            <w:fldChar w:fldCharType="separate"/>
          </w:r>
          <w:r>
            <w:rPr>
              <w:rFonts w:ascii="黑体" w:hAnsi="黑体" w:eastAsia="黑体"/>
              <w:sz w:val="24"/>
              <w:szCs w:val="24"/>
            </w:rPr>
            <w:t>46</w:t>
          </w:r>
          <w:r>
            <w:rPr>
              <w:rFonts w:ascii="黑体" w:hAnsi="黑体" w:eastAsia="黑体"/>
              <w:sz w:val="24"/>
              <w:szCs w:val="24"/>
            </w:rPr>
            <w:fldChar w:fldCharType="end"/>
          </w:r>
          <w:r>
            <w:rPr>
              <w:rFonts w:ascii="黑体" w:hAnsi="黑体" w:eastAsia="黑体"/>
              <w:sz w:val="24"/>
              <w:szCs w:val="24"/>
            </w:rPr>
            <w:fldChar w:fldCharType="end"/>
          </w:r>
        </w:p>
        <w:p>
          <w:pPr>
            <w:pStyle w:val="13"/>
            <w:tabs>
              <w:tab w:val="left" w:pos="1470"/>
              <w:tab w:val="right" w:leader="dot" w:pos="8296"/>
            </w:tabs>
            <w:spacing w:line="360" w:lineRule="auto"/>
            <w:rPr>
              <w:rFonts w:ascii="黑体" w:hAnsi="黑体" w:eastAsia="黑体"/>
              <w:sz w:val="24"/>
              <w:szCs w:val="24"/>
            </w:rPr>
          </w:pPr>
          <w:r>
            <w:fldChar w:fldCharType="begin"/>
          </w:r>
          <w:r>
            <w:instrText xml:space="preserve"> HYPERLINK \l "_Toc166772167" </w:instrText>
          </w:r>
          <w:r>
            <w:fldChar w:fldCharType="separate"/>
          </w:r>
          <w:r>
            <w:rPr>
              <w:rStyle w:val="20"/>
              <w:rFonts w:hint="eastAsia" w:ascii="黑体" w:hAnsi="黑体" w:eastAsia="黑体"/>
              <w:sz w:val="24"/>
              <w:szCs w:val="24"/>
            </w:rPr>
            <w:t>第五节</w:t>
          </w:r>
          <w:r>
            <w:rPr>
              <w:rFonts w:ascii="黑体" w:hAnsi="黑体" w:eastAsia="黑体"/>
              <w:sz w:val="24"/>
              <w:szCs w:val="24"/>
            </w:rPr>
            <w:tab/>
          </w:r>
          <w:r>
            <w:rPr>
              <w:rStyle w:val="20"/>
              <w:rFonts w:hint="eastAsia" w:ascii="黑体" w:hAnsi="黑体" w:eastAsia="黑体"/>
              <w:sz w:val="24"/>
              <w:szCs w:val="24"/>
            </w:rPr>
            <w:t>底线约束</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_Toc166772167 \h </w:instrText>
          </w:r>
          <w:r>
            <w:rPr>
              <w:rFonts w:ascii="黑体" w:hAnsi="黑体" w:eastAsia="黑体"/>
              <w:sz w:val="24"/>
              <w:szCs w:val="24"/>
            </w:rPr>
            <w:fldChar w:fldCharType="separate"/>
          </w:r>
          <w:r>
            <w:rPr>
              <w:rFonts w:ascii="黑体" w:hAnsi="黑体" w:eastAsia="黑体"/>
              <w:sz w:val="24"/>
              <w:szCs w:val="24"/>
            </w:rPr>
            <w:t>48</w:t>
          </w:r>
          <w:r>
            <w:rPr>
              <w:rFonts w:ascii="黑体" w:hAnsi="黑体" w:eastAsia="黑体"/>
              <w:sz w:val="24"/>
              <w:szCs w:val="24"/>
            </w:rPr>
            <w:fldChar w:fldCharType="end"/>
          </w:r>
          <w:r>
            <w:rPr>
              <w:rFonts w:ascii="黑体" w:hAnsi="黑体" w:eastAsia="黑体"/>
              <w:sz w:val="24"/>
              <w:szCs w:val="24"/>
            </w:rPr>
            <w:fldChar w:fldCharType="end"/>
          </w:r>
        </w:p>
        <w:p>
          <w:pPr>
            <w:pStyle w:val="13"/>
            <w:tabs>
              <w:tab w:val="left" w:pos="1470"/>
              <w:tab w:val="right" w:leader="dot" w:pos="8296"/>
            </w:tabs>
            <w:spacing w:line="360" w:lineRule="auto"/>
            <w:rPr>
              <w:rFonts w:ascii="黑体" w:hAnsi="黑体" w:eastAsia="黑体"/>
              <w:sz w:val="24"/>
              <w:szCs w:val="24"/>
            </w:rPr>
          </w:pPr>
          <w:r>
            <w:fldChar w:fldCharType="begin"/>
          </w:r>
          <w:r>
            <w:instrText xml:space="preserve"> HYPERLINK \l "_Toc166772168" </w:instrText>
          </w:r>
          <w:r>
            <w:fldChar w:fldCharType="separate"/>
          </w:r>
          <w:r>
            <w:rPr>
              <w:rStyle w:val="20"/>
              <w:rFonts w:hint="eastAsia" w:ascii="黑体" w:hAnsi="黑体" w:eastAsia="黑体"/>
              <w:sz w:val="24"/>
              <w:szCs w:val="24"/>
            </w:rPr>
            <w:t>第六节</w:t>
          </w:r>
          <w:r>
            <w:rPr>
              <w:rFonts w:ascii="黑体" w:hAnsi="黑体" w:eastAsia="黑体"/>
              <w:sz w:val="24"/>
              <w:szCs w:val="24"/>
            </w:rPr>
            <w:tab/>
          </w:r>
          <w:r>
            <w:rPr>
              <w:rStyle w:val="20"/>
              <w:rFonts w:hint="eastAsia" w:ascii="黑体" w:hAnsi="黑体" w:eastAsia="黑体"/>
              <w:sz w:val="24"/>
              <w:szCs w:val="24"/>
            </w:rPr>
            <w:t>自然资源保护与利用</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_Toc166772168 \h </w:instrText>
          </w:r>
          <w:r>
            <w:rPr>
              <w:rFonts w:ascii="黑体" w:hAnsi="黑体" w:eastAsia="黑体"/>
              <w:sz w:val="24"/>
              <w:szCs w:val="24"/>
            </w:rPr>
            <w:fldChar w:fldCharType="separate"/>
          </w:r>
          <w:r>
            <w:rPr>
              <w:rFonts w:ascii="黑体" w:hAnsi="黑体" w:eastAsia="黑体"/>
              <w:sz w:val="24"/>
              <w:szCs w:val="24"/>
            </w:rPr>
            <w:t>55</w:t>
          </w:r>
          <w:r>
            <w:rPr>
              <w:rFonts w:ascii="黑体" w:hAnsi="黑体" w:eastAsia="黑体"/>
              <w:sz w:val="24"/>
              <w:szCs w:val="24"/>
            </w:rPr>
            <w:fldChar w:fldCharType="end"/>
          </w:r>
          <w:r>
            <w:rPr>
              <w:rFonts w:ascii="黑体" w:hAnsi="黑体" w:eastAsia="黑体"/>
              <w:sz w:val="24"/>
              <w:szCs w:val="24"/>
            </w:rPr>
            <w:fldChar w:fldCharType="end"/>
          </w:r>
        </w:p>
        <w:p>
          <w:pPr>
            <w:pStyle w:val="13"/>
            <w:tabs>
              <w:tab w:val="left" w:pos="1470"/>
              <w:tab w:val="right" w:leader="dot" w:pos="8296"/>
            </w:tabs>
            <w:spacing w:line="360" w:lineRule="auto"/>
            <w:rPr>
              <w:rFonts w:ascii="黑体" w:hAnsi="黑体" w:eastAsia="黑体"/>
              <w:sz w:val="24"/>
              <w:szCs w:val="24"/>
            </w:rPr>
          </w:pPr>
          <w:r>
            <w:fldChar w:fldCharType="begin"/>
          </w:r>
          <w:r>
            <w:instrText xml:space="preserve"> HYPERLINK \l "_Toc166772169" </w:instrText>
          </w:r>
          <w:r>
            <w:fldChar w:fldCharType="separate"/>
          </w:r>
          <w:r>
            <w:rPr>
              <w:rStyle w:val="20"/>
              <w:rFonts w:hint="eastAsia" w:ascii="黑体" w:hAnsi="黑体" w:eastAsia="黑体"/>
              <w:sz w:val="24"/>
              <w:szCs w:val="24"/>
            </w:rPr>
            <w:t>第七节</w:t>
          </w:r>
          <w:r>
            <w:rPr>
              <w:rFonts w:ascii="黑体" w:hAnsi="黑体" w:eastAsia="黑体"/>
              <w:sz w:val="24"/>
              <w:szCs w:val="24"/>
            </w:rPr>
            <w:tab/>
          </w:r>
          <w:r>
            <w:rPr>
              <w:rStyle w:val="20"/>
              <w:rFonts w:hint="eastAsia" w:ascii="黑体" w:hAnsi="黑体" w:eastAsia="黑体"/>
              <w:sz w:val="24"/>
              <w:szCs w:val="24"/>
            </w:rPr>
            <w:t>镇村建设</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_Toc166772169 \h </w:instrText>
          </w:r>
          <w:r>
            <w:rPr>
              <w:rFonts w:ascii="黑体" w:hAnsi="黑体" w:eastAsia="黑体"/>
              <w:sz w:val="24"/>
              <w:szCs w:val="24"/>
            </w:rPr>
            <w:fldChar w:fldCharType="separate"/>
          </w:r>
          <w:r>
            <w:rPr>
              <w:rFonts w:ascii="黑体" w:hAnsi="黑体" w:eastAsia="黑体"/>
              <w:sz w:val="24"/>
              <w:szCs w:val="24"/>
            </w:rPr>
            <w:t>60</w:t>
          </w:r>
          <w:r>
            <w:rPr>
              <w:rFonts w:ascii="黑体" w:hAnsi="黑体" w:eastAsia="黑体"/>
              <w:sz w:val="24"/>
              <w:szCs w:val="24"/>
            </w:rPr>
            <w:fldChar w:fldCharType="end"/>
          </w:r>
          <w:r>
            <w:rPr>
              <w:rFonts w:ascii="黑体" w:hAnsi="黑体" w:eastAsia="黑体"/>
              <w:sz w:val="24"/>
              <w:szCs w:val="24"/>
            </w:rPr>
            <w:fldChar w:fldCharType="end"/>
          </w:r>
        </w:p>
        <w:p>
          <w:pPr>
            <w:pStyle w:val="13"/>
            <w:tabs>
              <w:tab w:val="left" w:pos="1470"/>
              <w:tab w:val="right" w:leader="dot" w:pos="8296"/>
            </w:tabs>
            <w:spacing w:line="360" w:lineRule="auto"/>
            <w:rPr>
              <w:rFonts w:ascii="黑体" w:hAnsi="黑体" w:eastAsia="黑体"/>
              <w:sz w:val="24"/>
              <w:szCs w:val="24"/>
            </w:rPr>
          </w:pPr>
          <w:r>
            <w:fldChar w:fldCharType="begin"/>
          </w:r>
          <w:r>
            <w:instrText xml:space="preserve"> HYPERLINK \l "_Toc166772170" </w:instrText>
          </w:r>
          <w:r>
            <w:fldChar w:fldCharType="separate"/>
          </w:r>
          <w:r>
            <w:rPr>
              <w:rStyle w:val="20"/>
              <w:rFonts w:hint="eastAsia" w:ascii="黑体" w:hAnsi="黑体" w:eastAsia="黑体"/>
              <w:sz w:val="24"/>
              <w:szCs w:val="24"/>
            </w:rPr>
            <w:t>第八节</w:t>
          </w:r>
          <w:r>
            <w:rPr>
              <w:rFonts w:ascii="黑体" w:hAnsi="黑体" w:eastAsia="黑体"/>
              <w:sz w:val="24"/>
              <w:szCs w:val="24"/>
            </w:rPr>
            <w:tab/>
          </w:r>
          <w:r>
            <w:rPr>
              <w:rStyle w:val="20"/>
              <w:rFonts w:hint="eastAsia" w:ascii="黑体" w:hAnsi="黑体" w:eastAsia="黑体"/>
              <w:sz w:val="24"/>
              <w:szCs w:val="24"/>
            </w:rPr>
            <w:t>用地布局优化调整</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_Toc166772170 \h </w:instrText>
          </w:r>
          <w:r>
            <w:rPr>
              <w:rFonts w:ascii="黑体" w:hAnsi="黑体" w:eastAsia="黑体"/>
              <w:sz w:val="24"/>
              <w:szCs w:val="24"/>
            </w:rPr>
            <w:fldChar w:fldCharType="separate"/>
          </w:r>
          <w:r>
            <w:rPr>
              <w:rFonts w:ascii="黑体" w:hAnsi="黑体" w:eastAsia="黑体"/>
              <w:sz w:val="24"/>
              <w:szCs w:val="24"/>
            </w:rPr>
            <w:t>67</w:t>
          </w:r>
          <w:r>
            <w:rPr>
              <w:rFonts w:ascii="黑体" w:hAnsi="黑体" w:eastAsia="黑体"/>
              <w:sz w:val="24"/>
              <w:szCs w:val="24"/>
            </w:rPr>
            <w:fldChar w:fldCharType="end"/>
          </w:r>
          <w:r>
            <w:rPr>
              <w:rFonts w:ascii="黑体" w:hAnsi="黑体" w:eastAsia="黑体"/>
              <w:sz w:val="24"/>
              <w:szCs w:val="24"/>
            </w:rPr>
            <w:fldChar w:fldCharType="end"/>
          </w:r>
        </w:p>
        <w:p>
          <w:pPr>
            <w:pStyle w:val="13"/>
            <w:tabs>
              <w:tab w:val="left" w:pos="1470"/>
              <w:tab w:val="right" w:leader="dot" w:pos="8296"/>
            </w:tabs>
            <w:spacing w:line="360" w:lineRule="auto"/>
            <w:rPr>
              <w:rFonts w:ascii="黑体" w:hAnsi="黑体" w:eastAsia="黑体"/>
              <w:sz w:val="24"/>
              <w:szCs w:val="24"/>
            </w:rPr>
          </w:pPr>
          <w:r>
            <w:fldChar w:fldCharType="begin"/>
          </w:r>
          <w:r>
            <w:instrText xml:space="preserve"> HYPERLINK \l "_Toc166772171" </w:instrText>
          </w:r>
          <w:r>
            <w:fldChar w:fldCharType="separate"/>
          </w:r>
          <w:r>
            <w:rPr>
              <w:rStyle w:val="20"/>
              <w:rFonts w:hint="eastAsia" w:ascii="黑体" w:hAnsi="黑体" w:eastAsia="黑体"/>
              <w:sz w:val="24"/>
              <w:szCs w:val="24"/>
            </w:rPr>
            <w:t>第九节</w:t>
          </w:r>
          <w:r>
            <w:rPr>
              <w:rFonts w:ascii="黑体" w:hAnsi="黑体" w:eastAsia="黑体"/>
              <w:sz w:val="24"/>
              <w:szCs w:val="24"/>
            </w:rPr>
            <w:tab/>
          </w:r>
          <w:r>
            <w:rPr>
              <w:rStyle w:val="20"/>
              <w:rFonts w:hint="eastAsia" w:ascii="黑体" w:hAnsi="黑体" w:eastAsia="黑体"/>
              <w:sz w:val="24"/>
              <w:szCs w:val="24"/>
            </w:rPr>
            <w:t>产业发展与乡村振兴规划</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_Toc166772171 \h </w:instrText>
          </w:r>
          <w:r>
            <w:rPr>
              <w:rFonts w:ascii="黑体" w:hAnsi="黑体" w:eastAsia="黑体"/>
              <w:sz w:val="24"/>
              <w:szCs w:val="24"/>
            </w:rPr>
            <w:fldChar w:fldCharType="separate"/>
          </w:r>
          <w:r>
            <w:rPr>
              <w:rFonts w:ascii="黑体" w:hAnsi="黑体" w:eastAsia="黑体"/>
              <w:sz w:val="24"/>
              <w:szCs w:val="24"/>
            </w:rPr>
            <w:t>76</w:t>
          </w:r>
          <w:r>
            <w:rPr>
              <w:rFonts w:ascii="黑体" w:hAnsi="黑体" w:eastAsia="黑体"/>
              <w:sz w:val="24"/>
              <w:szCs w:val="24"/>
            </w:rPr>
            <w:fldChar w:fldCharType="end"/>
          </w:r>
          <w:r>
            <w:rPr>
              <w:rFonts w:ascii="黑体" w:hAnsi="黑体" w:eastAsia="黑体"/>
              <w:sz w:val="24"/>
              <w:szCs w:val="24"/>
            </w:rPr>
            <w:fldChar w:fldCharType="end"/>
          </w:r>
        </w:p>
        <w:p>
          <w:pPr>
            <w:pStyle w:val="13"/>
            <w:tabs>
              <w:tab w:val="left" w:pos="1470"/>
              <w:tab w:val="right" w:leader="dot" w:pos="8296"/>
            </w:tabs>
            <w:spacing w:line="360" w:lineRule="auto"/>
            <w:rPr>
              <w:rFonts w:ascii="黑体" w:hAnsi="黑体" w:eastAsia="黑体"/>
              <w:sz w:val="24"/>
              <w:szCs w:val="24"/>
            </w:rPr>
          </w:pPr>
          <w:r>
            <w:fldChar w:fldCharType="begin"/>
          </w:r>
          <w:r>
            <w:instrText xml:space="preserve"> HYPERLINK \l "_Toc166772172" </w:instrText>
          </w:r>
          <w:r>
            <w:fldChar w:fldCharType="separate"/>
          </w:r>
          <w:r>
            <w:rPr>
              <w:rStyle w:val="20"/>
              <w:rFonts w:hint="eastAsia" w:ascii="黑体" w:hAnsi="黑体" w:eastAsia="黑体"/>
              <w:sz w:val="24"/>
              <w:szCs w:val="24"/>
            </w:rPr>
            <w:t>第十节</w:t>
          </w:r>
          <w:r>
            <w:rPr>
              <w:rFonts w:ascii="黑体" w:hAnsi="黑体" w:eastAsia="黑体"/>
              <w:sz w:val="24"/>
              <w:szCs w:val="24"/>
            </w:rPr>
            <w:tab/>
          </w:r>
          <w:r>
            <w:rPr>
              <w:rStyle w:val="20"/>
              <w:rFonts w:hint="eastAsia" w:ascii="黑体" w:hAnsi="黑体" w:eastAsia="黑体"/>
              <w:sz w:val="24"/>
              <w:szCs w:val="24"/>
            </w:rPr>
            <w:t>全域旅游规划</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_Toc166772172 \h </w:instrText>
          </w:r>
          <w:r>
            <w:rPr>
              <w:rFonts w:ascii="黑体" w:hAnsi="黑体" w:eastAsia="黑体"/>
              <w:sz w:val="24"/>
              <w:szCs w:val="24"/>
            </w:rPr>
            <w:fldChar w:fldCharType="separate"/>
          </w:r>
          <w:r>
            <w:rPr>
              <w:rFonts w:ascii="黑体" w:hAnsi="黑体" w:eastAsia="黑体"/>
              <w:sz w:val="24"/>
              <w:szCs w:val="24"/>
            </w:rPr>
            <w:t>83</w:t>
          </w:r>
          <w:r>
            <w:rPr>
              <w:rFonts w:ascii="黑体" w:hAnsi="黑体" w:eastAsia="黑体"/>
              <w:sz w:val="24"/>
              <w:szCs w:val="24"/>
            </w:rPr>
            <w:fldChar w:fldCharType="end"/>
          </w:r>
          <w:r>
            <w:rPr>
              <w:rFonts w:ascii="黑体" w:hAnsi="黑体" w:eastAsia="黑体"/>
              <w:sz w:val="24"/>
              <w:szCs w:val="24"/>
            </w:rPr>
            <w:fldChar w:fldCharType="end"/>
          </w:r>
        </w:p>
        <w:p>
          <w:pPr>
            <w:pStyle w:val="13"/>
            <w:tabs>
              <w:tab w:val="left" w:pos="1680"/>
              <w:tab w:val="right" w:leader="dot" w:pos="8296"/>
            </w:tabs>
            <w:spacing w:line="360" w:lineRule="auto"/>
            <w:rPr>
              <w:rFonts w:ascii="黑体" w:hAnsi="黑体" w:eastAsia="黑体"/>
              <w:sz w:val="24"/>
              <w:szCs w:val="24"/>
            </w:rPr>
          </w:pPr>
          <w:r>
            <w:fldChar w:fldCharType="begin"/>
          </w:r>
          <w:r>
            <w:instrText xml:space="preserve"> HYPERLINK \l "_Toc166772173" </w:instrText>
          </w:r>
          <w:r>
            <w:fldChar w:fldCharType="separate"/>
          </w:r>
          <w:r>
            <w:rPr>
              <w:rStyle w:val="20"/>
              <w:rFonts w:hint="eastAsia" w:ascii="黑体" w:hAnsi="黑体" w:eastAsia="黑体"/>
              <w:sz w:val="24"/>
              <w:szCs w:val="24"/>
            </w:rPr>
            <w:t>第十一节</w:t>
          </w:r>
          <w:r>
            <w:rPr>
              <w:rFonts w:ascii="黑体" w:hAnsi="黑体" w:eastAsia="黑体"/>
              <w:sz w:val="24"/>
              <w:szCs w:val="24"/>
            </w:rPr>
            <w:tab/>
          </w:r>
          <w:r>
            <w:rPr>
              <w:rStyle w:val="20"/>
              <w:rFonts w:hint="eastAsia" w:ascii="黑体" w:hAnsi="黑体" w:eastAsia="黑体"/>
              <w:sz w:val="24"/>
              <w:szCs w:val="24"/>
            </w:rPr>
            <w:t>设施配套规划</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_Toc166772173 \h </w:instrText>
          </w:r>
          <w:r>
            <w:rPr>
              <w:rFonts w:ascii="黑体" w:hAnsi="黑体" w:eastAsia="黑体"/>
              <w:sz w:val="24"/>
              <w:szCs w:val="24"/>
            </w:rPr>
            <w:fldChar w:fldCharType="separate"/>
          </w:r>
          <w:r>
            <w:rPr>
              <w:rFonts w:ascii="黑体" w:hAnsi="黑体" w:eastAsia="黑体"/>
              <w:sz w:val="24"/>
              <w:szCs w:val="24"/>
            </w:rPr>
            <w:t>87</w:t>
          </w:r>
          <w:r>
            <w:rPr>
              <w:rFonts w:ascii="黑体" w:hAnsi="黑体" w:eastAsia="黑体"/>
              <w:sz w:val="24"/>
              <w:szCs w:val="24"/>
            </w:rPr>
            <w:fldChar w:fldCharType="end"/>
          </w:r>
          <w:r>
            <w:rPr>
              <w:rFonts w:ascii="黑体" w:hAnsi="黑体" w:eastAsia="黑体"/>
              <w:sz w:val="24"/>
              <w:szCs w:val="24"/>
            </w:rPr>
            <w:fldChar w:fldCharType="end"/>
          </w:r>
        </w:p>
        <w:p>
          <w:pPr>
            <w:pStyle w:val="13"/>
            <w:tabs>
              <w:tab w:val="left" w:pos="1680"/>
              <w:tab w:val="right" w:leader="dot" w:pos="8296"/>
            </w:tabs>
            <w:spacing w:line="360" w:lineRule="auto"/>
            <w:rPr>
              <w:rFonts w:ascii="黑体" w:hAnsi="黑体" w:eastAsia="黑体"/>
              <w:sz w:val="24"/>
              <w:szCs w:val="24"/>
            </w:rPr>
          </w:pPr>
          <w:r>
            <w:fldChar w:fldCharType="begin"/>
          </w:r>
          <w:r>
            <w:instrText xml:space="preserve"> HYPERLINK \l "_Toc166772174" </w:instrText>
          </w:r>
          <w:r>
            <w:fldChar w:fldCharType="separate"/>
          </w:r>
          <w:r>
            <w:rPr>
              <w:rStyle w:val="20"/>
              <w:rFonts w:hint="eastAsia" w:ascii="黑体" w:hAnsi="黑体" w:eastAsia="黑体"/>
              <w:sz w:val="24"/>
              <w:szCs w:val="24"/>
            </w:rPr>
            <w:t>第十二节</w:t>
          </w:r>
          <w:r>
            <w:rPr>
              <w:rFonts w:ascii="黑体" w:hAnsi="黑体" w:eastAsia="黑体"/>
              <w:sz w:val="24"/>
              <w:szCs w:val="24"/>
            </w:rPr>
            <w:tab/>
          </w:r>
          <w:r>
            <w:rPr>
              <w:rStyle w:val="20"/>
              <w:rFonts w:hint="eastAsia" w:ascii="黑体" w:hAnsi="黑体" w:eastAsia="黑体"/>
              <w:sz w:val="24"/>
              <w:szCs w:val="24"/>
            </w:rPr>
            <w:t>品质提升规划</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_Toc166772174 \h </w:instrText>
          </w:r>
          <w:r>
            <w:rPr>
              <w:rFonts w:ascii="黑体" w:hAnsi="黑体" w:eastAsia="黑体"/>
              <w:sz w:val="24"/>
              <w:szCs w:val="24"/>
            </w:rPr>
            <w:fldChar w:fldCharType="separate"/>
          </w:r>
          <w:r>
            <w:rPr>
              <w:rFonts w:ascii="黑体" w:hAnsi="黑体" w:eastAsia="黑体"/>
              <w:sz w:val="24"/>
              <w:szCs w:val="24"/>
            </w:rPr>
            <w:t>99</w:t>
          </w:r>
          <w:r>
            <w:rPr>
              <w:rFonts w:ascii="黑体" w:hAnsi="黑体" w:eastAsia="黑体"/>
              <w:sz w:val="24"/>
              <w:szCs w:val="24"/>
            </w:rPr>
            <w:fldChar w:fldCharType="end"/>
          </w:r>
          <w:r>
            <w:rPr>
              <w:rFonts w:ascii="黑体" w:hAnsi="黑体" w:eastAsia="黑体"/>
              <w:sz w:val="24"/>
              <w:szCs w:val="24"/>
            </w:rPr>
            <w:fldChar w:fldCharType="end"/>
          </w:r>
        </w:p>
        <w:p>
          <w:pPr>
            <w:pStyle w:val="13"/>
            <w:tabs>
              <w:tab w:val="left" w:pos="1680"/>
              <w:tab w:val="right" w:leader="dot" w:pos="8296"/>
            </w:tabs>
            <w:spacing w:line="360" w:lineRule="auto"/>
            <w:rPr>
              <w:rFonts w:ascii="黑体" w:hAnsi="黑体" w:eastAsia="黑体"/>
              <w:sz w:val="24"/>
              <w:szCs w:val="24"/>
            </w:rPr>
          </w:pPr>
          <w:r>
            <w:fldChar w:fldCharType="begin"/>
          </w:r>
          <w:r>
            <w:instrText xml:space="preserve"> HYPERLINK \l "_Toc166772175" </w:instrText>
          </w:r>
          <w:r>
            <w:fldChar w:fldCharType="separate"/>
          </w:r>
          <w:r>
            <w:rPr>
              <w:rStyle w:val="20"/>
              <w:rFonts w:hint="eastAsia" w:ascii="黑体" w:hAnsi="黑体" w:eastAsia="黑体"/>
              <w:sz w:val="24"/>
              <w:szCs w:val="24"/>
            </w:rPr>
            <w:t>第十三节</w:t>
          </w:r>
          <w:r>
            <w:rPr>
              <w:rFonts w:ascii="黑体" w:hAnsi="黑体" w:eastAsia="黑体"/>
              <w:sz w:val="24"/>
              <w:szCs w:val="24"/>
            </w:rPr>
            <w:tab/>
          </w:r>
          <w:r>
            <w:rPr>
              <w:rStyle w:val="20"/>
              <w:rFonts w:hint="eastAsia" w:ascii="黑体" w:hAnsi="黑体" w:eastAsia="黑体"/>
              <w:sz w:val="24"/>
              <w:szCs w:val="24"/>
            </w:rPr>
            <w:t>规划传导</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_Toc166772175 \h </w:instrText>
          </w:r>
          <w:r>
            <w:rPr>
              <w:rFonts w:ascii="黑体" w:hAnsi="黑体" w:eastAsia="黑体"/>
              <w:sz w:val="24"/>
              <w:szCs w:val="24"/>
            </w:rPr>
            <w:fldChar w:fldCharType="separate"/>
          </w:r>
          <w:r>
            <w:rPr>
              <w:rFonts w:ascii="黑体" w:hAnsi="黑体" w:eastAsia="黑体"/>
              <w:sz w:val="24"/>
              <w:szCs w:val="24"/>
            </w:rPr>
            <w:t>109</w:t>
          </w:r>
          <w:r>
            <w:rPr>
              <w:rFonts w:ascii="黑体" w:hAnsi="黑体" w:eastAsia="黑体"/>
              <w:sz w:val="24"/>
              <w:szCs w:val="24"/>
            </w:rPr>
            <w:fldChar w:fldCharType="end"/>
          </w:r>
          <w:r>
            <w:rPr>
              <w:rFonts w:ascii="黑体" w:hAnsi="黑体" w:eastAsia="黑体"/>
              <w:sz w:val="24"/>
              <w:szCs w:val="24"/>
            </w:rPr>
            <w:fldChar w:fldCharType="end"/>
          </w:r>
        </w:p>
        <w:p>
          <w:pPr>
            <w:pStyle w:val="12"/>
            <w:spacing w:line="360" w:lineRule="auto"/>
            <w:rPr>
              <w:rFonts w:ascii="黑体" w:hAnsi="黑体" w:eastAsia="黑体"/>
              <w:sz w:val="24"/>
              <w:szCs w:val="24"/>
            </w:rPr>
          </w:pPr>
          <w:r>
            <w:fldChar w:fldCharType="begin"/>
          </w:r>
          <w:r>
            <w:instrText xml:space="preserve"> HYPERLINK \l "_Toc166772176" </w:instrText>
          </w:r>
          <w:r>
            <w:fldChar w:fldCharType="separate"/>
          </w:r>
          <w:r>
            <w:rPr>
              <w:rStyle w:val="20"/>
              <w:rFonts w:hint="eastAsia" w:ascii="黑体" w:hAnsi="黑体" w:eastAsia="黑体"/>
              <w:sz w:val="24"/>
              <w:szCs w:val="24"/>
            </w:rPr>
            <w:t>第四章</w:t>
          </w:r>
          <w:r>
            <w:rPr>
              <w:rFonts w:ascii="黑体" w:hAnsi="黑体" w:eastAsia="黑体"/>
              <w:sz w:val="24"/>
              <w:szCs w:val="24"/>
            </w:rPr>
            <w:tab/>
          </w:r>
          <w:r>
            <w:rPr>
              <w:rStyle w:val="20"/>
              <w:rFonts w:hint="eastAsia" w:ascii="黑体" w:hAnsi="黑体" w:eastAsia="黑体"/>
              <w:sz w:val="24"/>
              <w:szCs w:val="24"/>
            </w:rPr>
            <w:t>镇区规划</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_Toc166772176 \h </w:instrText>
          </w:r>
          <w:r>
            <w:rPr>
              <w:rFonts w:ascii="黑体" w:hAnsi="黑体" w:eastAsia="黑体"/>
              <w:sz w:val="24"/>
              <w:szCs w:val="24"/>
            </w:rPr>
            <w:fldChar w:fldCharType="separate"/>
          </w:r>
          <w:r>
            <w:rPr>
              <w:rFonts w:ascii="黑体" w:hAnsi="黑体" w:eastAsia="黑体"/>
              <w:sz w:val="24"/>
              <w:szCs w:val="24"/>
            </w:rPr>
            <w:t>110</w:t>
          </w:r>
          <w:r>
            <w:rPr>
              <w:rFonts w:ascii="黑体" w:hAnsi="黑体" w:eastAsia="黑体"/>
              <w:sz w:val="24"/>
              <w:szCs w:val="24"/>
            </w:rPr>
            <w:fldChar w:fldCharType="end"/>
          </w:r>
          <w:r>
            <w:rPr>
              <w:rFonts w:ascii="黑体" w:hAnsi="黑体" w:eastAsia="黑体"/>
              <w:sz w:val="24"/>
              <w:szCs w:val="24"/>
            </w:rPr>
            <w:fldChar w:fldCharType="end"/>
          </w:r>
        </w:p>
        <w:p>
          <w:pPr>
            <w:pStyle w:val="13"/>
            <w:tabs>
              <w:tab w:val="left" w:pos="1470"/>
              <w:tab w:val="right" w:leader="dot" w:pos="8296"/>
            </w:tabs>
            <w:spacing w:line="360" w:lineRule="auto"/>
            <w:rPr>
              <w:rFonts w:ascii="黑体" w:hAnsi="黑体" w:eastAsia="黑体"/>
              <w:sz w:val="24"/>
              <w:szCs w:val="24"/>
            </w:rPr>
          </w:pPr>
          <w:r>
            <w:fldChar w:fldCharType="begin"/>
          </w:r>
          <w:r>
            <w:instrText xml:space="preserve"> HYPERLINK \l "_Toc166772177" </w:instrText>
          </w:r>
          <w:r>
            <w:fldChar w:fldCharType="separate"/>
          </w:r>
          <w:r>
            <w:rPr>
              <w:rStyle w:val="20"/>
              <w:rFonts w:hint="eastAsia" w:ascii="黑体" w:hAnsi="黑体" w:eastAsia="黑体"/>
              <w:sz w:val="24"/>
              <w:szCs w:val="24"/>
            </w:rPr>
            <w:t>第一节</w:t>
          </w:r>
          <w:r>
            <w:rPr>
              <w:rFonts w:ascii="黑体" w:hAnsi="黑体" w:eastAsia="黑体"/>
              <w:sz w:val="24"/>
              <w:szCs w:val="24"/>
            </w:rPr>
            <w:tab/>
          </w:r>
          <w:r>
            <w:rPr>
              <w:rStyle w:val="20"/>
              <w:rFonts w:hint="eastAsia" w:ascii="黑体" w:hAnsi="黑体" w:eastAsia="黑体"/>
              <w:sz w:val="24"/>
              <w:szCs w:val="24"/>
            </w:rPr>
            <w:t>河边镇镇区规划</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_Toc166772177 \h </w:instrText>
          </w:r>
          <w:r>
            <w:rPr>
              <w:rFonts w:ascii="黑体" w:hAnsi="黑体" w:eastAsia="黑体"/>
              <w:sz w:val="24"/>
              <w:szCs w:val="24"/>
            </w:rPr>
            <w:fldChar w:fldCharType="separate"/>
          </w:r>
          <w:r>
            <w:rPr>
              <w:rFonts w:ascii="黑体" w:hAnsi="黑体" w:eastAsia="黑体"/>
              <w:sz w:val="24"/>
              <w:szCs w:val="24"/>
            </w:rPr>
            <w:t>110</w:t>
          </w:r>
          <w:r>
            <w:rPr>
              <w:rFonts w:ascii="黑体" w:hAnsi="黑体" w:eastAsia="黑体"/>
              <w:sz w:val="24"/>
              <w:szCs w:val="24"/>
            </w:rPr>
            <w:fldChar w:fldCharType="end"/>
          </w:r>
          <w:r>
            <w:rPr>
              <w:rFonts w:ascii="黑体" w:hAnsi="黑体" w:eastAsia="黑体"/>
              <w:sz w:val="24"/>
              <w:szCs w:val="24"/>
            </w:rPr>
            <w:fldChar w:fldCharType="end"/>
          </w:r>
        </w:p>
        <w:p>
          <w:pPr>
            <w:pStyle w:val="13"/>
            <w:tabs>
              <w:tab w:val="left" w:pos="1470"/>
              <w:tab w:val="right" w:leader="dot" w:pos="8296"/>
            </w:tabs>
            <w:spacing w:line="360" w:lineRule="auto"/>
            <w:rPr>
              <w:rFonts w:ascii="黑体" w:hAnsi="黑体" w:eastAsia="黑体"/>
              <w:sz w:val="24"/>
              <w:szCs w:val="24"/>
            </w:rPr>
          </w:pPr>
          <w:r>
            <w:fldChar w:fldCharType="begin"/>
          </w:r>
          <w:r>
            <w:instrText xml:space="preserve"> HYPERLINK \l "_Toc166772178" </w:instrText>
          </w:r>
          <w:r>
            <w:fldChar w:fldCharType="separate"/>
          </w:r>
          <w:r>
            <w:rPr>
              <w:rStyle w:val="20"/>
              <w:rFonts w:hint="eastAsia" w:ascii="黑体" w:hAnsi="黑体" w:eastAsia="黑体"/>
              <w:sz w:val="24"/>
              <w:szCs w:val="24"/>
            </w:rPr>
            <w:t>第二节</w:t>
          </w:r>
          <w:r>
            <w:rPr>
              <w:rFonts w:ascii="黑体" w:hAnsi="黑体" w:eastAsia="黑体"/>
              <w:sz w:val="24"/>
              <w:szCs w:val="24"/>
            </w:rPr>
            <w:tab/>
          </w:r>
          <w:r>
            <w:rPr>
              <w:rStyle w:val="20"/>
              <w:rFonts w:hint="eastAsia" w:ascii="黑体" w:hAnsi="黑体" w:eastAsia="黑体"/>
              <w:sz w:val="24"/>
              <w:szCs w:val="24"/>
            </w:rPr>
            <w:t>象山镇镇区规划</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_Toc166772178 \h </w:instrText>
          </w:r>
          <w:r>
            <w:rPr>
              <w:rFonts w:ascii="黑体" w:hAnsi="黑体" w:eastAsia="黑体"/>
              <w:sz w:val="24"/>
              <w:szCs w:val="24"/>
            </w:rPr>
            <w:fldChar w:fldCharType="separate"/>
          </w:r>
          <w:r>
            <w:rPr>
              <w:rFonts w:ascii="黑体" w:hAnsi="黑体" w:eastAsia="黑体"/>
              <w:sz w:val="24"/>
              <w:szCs w:val="24"/>
            </w:rPr>
            <w:t>123</w:t>
          </w:r>
          <w:r>
            <w:rPr>
              <w:rFonts w:ascii="黑体" w:hAnsi="黑体" w:eastAsia="黑体"/>
              <w:sz w:val="24"/>
              <w:szCs w:val="24"/>
            </w:rPr>
            <w:fldChar w:fldCharType="end"/>
          </w:r>
          <w:r>
            <w:rPr>
              <w:rFonts w:ascii="黑体" w:hAnsi="黑体" w:eastAsia="黑体"/>
              <w:sz w:val="24"/>
              <w:szCs w:val="24"/>
            </w:rPr>
            <w:fldChar w:fldCharType="end"/>
          </w:r>
        </w:p>
        <w:p>
          <w:pPr>
            <w:pStyle w:val="13"/>
            <w:tabs>
              <w:tab w:val="left" w:pos="1470"/>
              <w:tab w:val="right" w:leader="dot" w:pos="8296"/>
            </w:tabs>
            <w:spacing w:line="360" w:lineRule="auto"/>
            <w:rPr>
              <w:rFonts w:ascii="黑体" w:hAnsi="黑体" w:eastAsia="黑体"/>
              <w:sz w:val="24"/>
              <w:szCs w:val="24"/>
            </w:rPr>
          </w:pPr>
          <w:r>
            <w:fldChar w:fldCharType="begin"/>
          </w:r>
          <w:r>
            <w:instrText xml:space="preserve"> HYPERLINK \l "_Toc166772179" </w:instrText>
          </w:r>
          <w:r>
            <w:fldChar w:fldCharType="separate"/>
          </w:r>
          <w:r>
            <w:rPr>
              <w:rStyle w:val="20"/>
              <w:rFonts w:hint="eastAsia" w:ascii="黑体" w:hAnsi="黑体" w:eastAsia="黑体"/>
              <w:sz w:val="24"/>
              <w:szCs w:val="24"/>
            </w:rPr>
            <w:t>第三节</w:t>
          </w:r>
          <w:r>
            <w:rPr>
              <w:rFonts w:ascii="黑体" w:hAnsi="黑体" w:eastAsia="黑体"/>
              <w:sz w:val="24"/>
              <w:szCs w:val="24"/>
            </w:rPr>
            <w:tab/>
          </w:r>
          <w:r>
            <w:rPr>
              <w:rStyle w:val="20"/>
              <w:rFonts w:hint="eastAsia" w:ascii="黑体" w:hAnsi="黑体" w:eastAsia="黑体"/>
              <w:sz w:val="24"/>
              <w:szCs w:val="24"/>
            </w:rPr>
            <w:t>玉峰镇镇区规划</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_Toc166772179 \h </w:instrText>
          </w:r>
          <w:r>
            <w:rPr>
              <w:rFonts w:ascii="黑体" w:hAnsi="黑体" w:eastAsia="黑体"/>
              <w:sz w:val="24"/>
              <w:szCs w:val="24"/>
            </w:rPr>
            <w:fldChar w:fldCharType="separate"/>
          </w:r>
          <w:r>
            <w:rPr>
              <w:rFonts w:ascii="黑体" w:hAnsi="黑体" w:eastAsia="黑体"/>
              <w:sz w:val="24"/>
              <w:szCs w:val="24"/>
            </w:rPr>
            <w:t>136</w:t>
          </w:r>
          <w:r>
            <w:rPr>
              <w:rFonts w:ascii="黑体" w:hAnsi="黑体" w:eastAsia="黑体"/>
              <w:sz w:val="24"/>
              <w:szCs w:val="24"/>
            </w:rPr>
            <w:fldChar w:fldCharType="end"/>
          </w:r>
          <w:r>
            <w:rPr>
              <w:rFonts w:ascii="黑体" w:hAnsi="黑体" w:eastAsia="黑体"/>
              <w:sz w:val="24"/>
              <w:szCs w:val="24"/>
            </w:rPr>
            <w:fldChar w:fldCharType="end"/>
          </w:r>
        </w:p>
        <w:p>
          <w:pPr>
            <w:pStyle w:val="12"/>
            <w:spacing w:line="360" w:lineRule="auto"/>
            <w:rPr>
              <w:rFonts w:ascii="黑体" w:hAnsi="黑体" w:eastAsia="黑体"/>
              <w:sz w:val="24"/>
              <w:szCs w:val="24"/>
            </w:rPr>
          </w:pPr>
          <w:r>
            <w:fldChar w:fldCharType="begin"/>
          </w:r>
          <w:r>
            <w:instrText xml:space="preserve"> HYPERLINK \l "_Toc166772180" </w:instrText>
          </w:r>
          <w:r>
            <w:fldChar w:fldCharType="separate"/>
          </w:r>
          <w:r>
            <w:rPr>
              <w:rStyle w:val="20"/>
              <w:rFonts w:hint="eastAsia" w:ascii="黑体" w:hAnsi="黑体" w:eastAsia="黑体"/>
              <w:sz w:val="24"/>
              <w:szCs w:val="24"/>
            </w:rPr>
            <w:t>第五章</w:t>
          </w:r>
          <w:r>
            <w:rPr>
              <w:rFonts w:ascii="黑体" w:hAnsi="黑体" w:eastAsia="黑体"/>
              <w:sz w:val="24"/>
              <w:szCs w:val="24"/>
            </w:rPr>
            <w:tab/>
          </w:r>
          <w:r>
            <w:rPr>
              <w:rStyle w:val="20"/>
              <w:rFonts w:hint="eastAsia" w:ascii="黑体" w:hAnsi="黑体" w:eastAsia="黑体"/>
              <w:sz w:val="24"/>
              <w:szCs w:val="24"/>
            </w:rPr>
            <w:t>实施保障</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_Toc166772180 \h </w:instrText>
          </w:r>
          <w:r>
            <w:rPr>
              <w:rFonts w:ascii="黑体" w:hAnsi="黑体" w:eastAsia="黑体"/>
              <w:sz w:val="24"/>
              <w:szCs w:val="24"/>
            </w:rPr>
            <w:fldChar w:fldCharType="separate"/>
          </w:r>
          <w:r>
            <w:rPr>
              <w:rFonts w:ascii="黑体" w:hAnsi="黑体" w:eastAsia="黑体"/>
              <w:sz w:val="24"/>
              <w:szCs w:val="24"/>
            </w:rPr>
            <w:t>148</w:t>
          </w:r>
          <w:r>
            <w:rPr>
              <w:rFonts w:ascii="黑体" w:hAnsi="黑体" w:eastAsia="黑体"/>
              <w:sz w:val="24"/>
              <w:szCs w:val="24"/>
            </w:rPr>
            <w:fldChar w:fldCharType="end"/>
          </w:r>
          <w:r>
            <w:rPr>
              <w:rFonts w:ascii="黑体" w:hAnsi="黑体" w:eastAsia="黑体"/>
              <w:sz w:val="24"/>
              <w:szCs w:val="24"/>
            </w:rPr>
            <w:fldChar w:fldCharType="end"/>
          </w:r>
        </w:p>
        <w:p>
          <w:pPr>
            <w:pStyle w:val="13"/>
            <w:tabs>
              <w:tab w:val="left" w:pos="1470"/>
              <w:tab w:val="right" w:leader="dot" w:pos="8296"/>
            </w:tabs>
            <w:spacing w:line="360" w:lineRule="auto"/>
            <w:rPr>
              <w:rFonts w:ascii="黑体" w:hAnsi="黑体" w:eastAsia="黑体"/>
              <w:sz w:val="24"/>
              <w:szCs w:val="24"/>
            </w:rPr>
          </w:pPr>
          <w:r>
            <w:fldChar w:fldCharType="begin"/>
          </w:r>
          <w:r>
            <w:instrText xml:space="preserve"> HYPERLINK \l "_Toc166772181" </w:instrText>
          </w:r>
          <w:r>
            <w:fldChar w:fldCharType="separate"/>
          </w:r>
          <w:r>
            <w:rPr>
              <w:rStyle w:val="20"/>
              <w:rFonts w:hint="eastAsia" w:ascii="黑体" w:hAnsi="黑体" w:eastAsia="黑体"/>
              <w:sz w:val="24"/>
              <w:szCs w:val="24"/>
            </w:rPr>
            <w:t>第一节</w:t>
          </w:r>
          <w:r>
            <w:rPr>
              <w:rFonts w:ascii="黑体" w:hAnsi="黑体" w:eastAsia="黑体"/>
              <w:sz w:val="24"/>
              <w:szCs w:val="24"/>
            </w:rPr>
            <w:tab/>
          </w:r>
          <w:r>
            <w:rPr>
              <w:rStyle w:val="20"/>
              <w:rFonts w:hint="eastAsia" w:ascii="黑体" w:hAnsi="黑体" w:eastAsia="黑体"/>
              <w:sz w:val="24"/>
              <w:szCs w:val="24"/>
            </w:rPr>
            <w:t>组织保障</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_Toc166772181 \h </w:instrText>
          </w:r>
          <w:r>
            <w:rPr>
              <w:rFonts w:ascii="黑体" w:hAnsi="黑体" w:eastAsia="黑体"/>
              <w:sz w:val="24"/>
              <w:szCs w:val="24"/>
            </w:rPr>
            <w:fldChar w:fldCharType="separate"/>
          </w:r>
          <w:r>
            <w:rPr>
              <w:rFonts w:ascii="黑体" w:hAnsi="黑体" w:eastAsia="黑体"/>
              <w:sz w:val="24"/>
              <w:szCs w:val="24"/>
            </w:rPr>
            <w:t>148</w:t>
          </w:r>
          <w:r>
            <w:rPr>
              <w:rFonts w:ascii="黑体" w:hAnsi="黑体" w:eastAsia="黑体"/>
              <w:sz w:val="24"/>
              <w:szCs w:val="24"/>
            </w:rPr>
            <w:fldChar w:fldCharType="end"/>
          </w:r>
          <w:r>
            <w:rPr>
              <w:rFonts w:ascii="黑体" w:hAnsi="黑体" w:eastAsia="黑体"/>
              <w:sz w:val="24"/>
              <w:szCs w:val="24"/>
            </w:rPr>
            <w:fldChar w:fldCharType="end"/>
          </w:r>
        </w:p>
        <w:p>
          <w:pPr>
            <w:pStyle w:val="13"/>
            <w:tabs>
              <w:tab w:val="left" w:pos="1470"/>
              <w:tab w:val="right" w:leader="dot" w:pos="8296"/>
            </w:tabs>
            <w:spacing w:line="360" w:lineRule="auto"/>
            <w:rPr>
              <w:rFonts w:ascii="黑体" w:hAnsi="黑体" w:eastAsia="黑体"/>
              <w:sz w:val="24"/>
              <w:szCs w:val="24"/>
            </w:rPr>
          </w:pPr>
          <w:r>
            <w:fldChar w:fldCharType="begin"/>
          </w:r>
          <w:r>
            <w:instrText xml:space="preserve"> HYPERLINK \l "_Toc166772182" </w:instrText>
          </w:r>
          <w:r>
            <w:fldChar w:fldCharType="separate"/>
          </w:r>
          <w:r>
            <w:rPr>
              <w:rStyle w:val="20"/>
              <w:rFonts w:hint="eastAsia" w:ascii="黑体" w:hAnsi="黑体" w:eastAsia="黑体"/>
              <w:sz w:val="24"/>
              <w:szCs w:val="24"/>
            </w:rPr>
            <w:t>第二节</w:t>
          </w:r>
          <w:r>
            <w:rPr>
              <w:rFonts w:ascii="黑体" w:hAnsi="黑体" w:eastAsia="黑体"/>
              <w:sz w:val="24"/>
              <w:szCs w:val="24"/>
            </w:rPr>
            <w:tab/>
          </w:r>
          <w:r>
            <w:rPr>
              <w:rStyle w:val="20"/>
              <w:rFonts w:hint="eastAsia" w:ascii="黑体" w:hAnsi="黑体" w:eastAsia="黑体"/>
              <w:sz w:val="24"/>
              <w:szCs w:val="24"/>
            </w:rPr>
            <w:t>实施计划</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_Toc166772182 \h </w:instrText>
          </w:r>
          <w:r>
            <w:rPr>
              <w:rFonts w:ascii="黑体" w:hAnsi="黑体" w:eastAsia="黑体"/>
              <w:sz w:val="24"/>
              <w:szCs w:val="24"/>
            </w:rPr>
            <w:fldChar w:fldCharType="separate"/>
          </w:r>
          <w:r>
            <w:rPr>
              <w:rFonts w:ascii="黑体" w:hAnsi="黑体" w:eastAsia="黑体"/>
              <w:sz w:val="24"/>
              <w:szCs w:val="24"/>
            </w:rPr>
            <w:t>148</w:t>
          </w:r>
          <w:r>
            <w:rPr>
              <w:rFonts w:ascii="黑体" w:hAnsi="黑体" w:eastAsia="黑体"/>
              <w:sz w:val="24"/>
              <w:szCs w:val="24"/>
            </w:rPr>
            <w:fldChar w:fldCharType="end"/>
          </w:r>
          <w:r>
            <w:rPr>
              <w:rFonts w:ascii="黑体" w:hAnsi="黑体" w:eastAsia="黑体"/>
              <w:sz w:val="24"/>
              <w:szCs w:val="24"/>
            </w:rPr>
            <w:fldChar w:fldCharType="end"/>
          </w:r>
        </w:p>
        <w:p>
          <w:pPr>
            <w:pStyle w:val="13"/>
            <w:tabs>
              <w:tab w:val="left" w:pos="1470"/>
              <w:tab w:val="right" w:leader="dot" w:pos="8296"/>
            </w:tabs>
            <w:spacing w:line="360" w:lineRule="auto"/>
            <w:rPr>
              <w:rFonts w:ascii="黑体" w:hAnsi="黑体" w:eastAsia="黑体"/>
              <w:sz w:val="24"/>
              <w:szCs w:val="24"/>
            </w:rPr>
          </w:pPr>
          <w:r>
            <w:fldChar w:fldCharType="begin"/>
          </w:r>
          <w:r>
            <w:instrText xml:space="preserve"> HYPERLINK \l "_Toc166772183" </w:instrText>
          </w:r>
          <w:r>
            <w:fldChar w:fldCharType="separate"/>
          </w:r>
          <w:r>
            <w:rPr>
              <w:rStyle w:val="20"/>
              <w:rFonts w:hint="eastAsia" w:ascii="黑体" w:hAnsi="黑体" w:eastAsia="黑体"/>
              <w:sz w:val="24"/>
              <w:szCs w:val="24"/>
            </w:rPr>
            <w:t>第三节</w:t>
          </w:r>
          <w:r>
            <w:rPr>
              <w:rFonts w:ascii="黑体" w:hAnsi="黑体" w:eastAsia="黑体"/>
              <w:sz w:val="24"/>
              <w:szCs w:val="24"/>
            </w:rPr>
            <w:tab/>
          </w:r>
          <w:r>
            <w:rPr>
              <w:rStyle w:val="20"/>
              <w:rFonts w:hint="eastAsia" w:ascii="黑体" w:hAnsi="黑体" w:eastAsia="黑体"/>
              <w:sz w:val="24"/>
              <w:szCs w:val="24"/>
            </w:rPr>
            <w:t>政策配套</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_Toc166772183 \h </w:instrText>
          </w:r>
          <w:r>
            <w:rPr>
              <w:rFonts w:ascii="黑体" w:hAnsi="黑体" w:eastAsia="黑体"/>
              <w:sz w:val="24"/>
              <w:szCs w:val="24"/>
            </w:rPr>
            <w:fldChar w:fldCharType="separate"/>
          </w:r>
          <w:r>
            <w:rPr>
              <w:rFonts w:ascii="黑体" w:hAnsi="黑体" w:eastAsia="黑体"/>
              <w:sz w:val="24"/>
              <w:szCs w:val="24"/>
            </w:rPr>
            <w:t>149</w:t>
          </w:r>
          <w:r>
            <w:rPr>
              <w:rFonts w:ascii="黑体" w:hAnsi="黑体" w:eastAsia="黑体"/>
              <w:sz w:val="24"/>
              <w:szCs w:val="24"/>
            </w:rPr>
            <w:fldChar w:fldCharType="end"/>
          </w:r>
          <w:r>
            <w:rPr>
              <w:rFonts w:ascii="黑体" w:hAnsi="黑体" w:eastAsia="黑体"/>
              <w:sz w:val="24"/>
              <w:szCs w:val="24"/>
            </w:rPr>
            <w:fldChar w:fldCharType="end"/>
          </w:r>
        </w:p>
        <w:p>
          <w:pPr>
            <w:pStyle w:val="13"/>
            <w:tabs>
              <w:tab w:val="left" w:pos="1470"/>
              <w:tab w:val="right" w:leader="dot" w:pos="8296"/>
            </w:tabs>
            <w:spacing w:line="360" w:lineRule="auto"/>
            <w:rPr>
              <w:rFonts w:ascii="黑体" w:hAnsi="黑体" w:eastAsia="黑体"/>
              <w:sz w:val="24"/>
              <w:szCs w:val="24"/>
            </w:rPr>
          </w:pPr>
          <w:r>
            <w:fldChar w:fldCharType="begin"/>
          </w:r>
          <w:r>
            <w:instrText xml:space="preserve"> HYPERLINK \l "_Toc166772184" </w:instrText>
          </w:r>
          <w:r>
            <w:fldChar w:fldCharType="separate"/>
          </w:r>
          <w:r>
            <w:rPr>
              <w:rStyle w:val="20"/>
              <w:rFonts w:hint="eastAsia" w:ascii="黑体" w:hAnsi="黑体" w:eastAsia="黑体"/>
              <w:sz w:val="24"/>
              <w:szCs w:val="24"/>
            </w:rPr>
            <w:t>第四节</w:t>
          </w:r>
          <w:r>
            <w:rPr>
              <w:rFonts w:ascii="黑体" w:hAnsi="黑体" w:eastAsia="黑体"/>
              <w:sz w:val="24"/>
              <w:szCs w:val="24"/>
            </w:rPr>
            <w:tab/>
          </w:r>
          <w:r>
            <w:rPr>
              <w:rStyle w:val="20"/>
              <w:rFonts w:hint="eastAsia" w:ascii="黑体" w:hAnsi="黑体" w:eastAsia="黑体"/>
              <w:sz w:val="24"/>
              <w:szCs w:val="24"/>
            </w:rPr>
            <w:t>监督评估</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_Toc166772184 \h </w:instrText>
          </w:r>
          <w:r>
            <w:rPr>
              <w:rFonts w:ascii="黑体" w:hAnsi="黑体" w:eastAsia="黑体"/>
              <w:sz w:val="24"/>
              <w:szCs w:val="24"/>
            </w:rPr>
            <w:fldChar w:fldCharType="separate"/>
          </w:r>
          <w:r>
            <w:rPr>
              <w:rFonts w:ascii="黑体" w:hAnsi="黑体" w:eastAsia="黑体"/>
              <w:sz w:val="24"/>
              <w:szCs w:val="24"/>
            </w:rPr>
            <w:t>150</w:t>
          </w:r>
          <w:r>
            <w:rPr>
              <w:rFonts w:ascii="黑体" w:hAnsi="黑体" w:eastAsia="黑体"/>
              <w:sz w:val="24"/>
              <w:szCs w:val="24"/>
            </w:rPr>
            <w:fldChar w:fldCharType="end"/>
          </w:r>
          <w:r>
            <w:rPr>
              <w:rFonts w:ascii="黑体" w:hAnsi="黑体" w:eastAsia="黑体"/>
              <w:sz w:val="24"/>
              <w:szCs w:val="24"/>
            </w:rPr>
            <w:fldChar w:fldCharType="end"/>
          </w:r>
        </w:p>
        <w:p>
          <w:pPr>
            <w:pStyle w:val="12"/>
            <w:spacing w:line="360" w:lineRule="auto"/>
            <w:rPr>
              <w:rFonts w:ascii="黑体" w:hAnsi="黑体" w:eastAsia="黑体"/>
              <w:sz w:val="24"/>
              <w:szCs w:val="24"/>
            </w:rPr>
          </w:pPr>
          <w:r>
            <w:fldChar w:fldCharType="begin"/>
          </w:r>
          <w:r>
            <w:instrText xml:space="preserve"> HYPERLINK \l "_Toc166772185" </w:instrText>
          </w:r>
          <w:r>
            <w:fldChar w:fldCharType="separate"/>
          </w:r>
          <w:r>
            <w:rPr>
              <w:rStyle w:val="20"/>
              <w:rFonts w:hint="eastAsia" w:ascii="黑体" w:hAnsi="黑体" w:eastAsia="黑体"/>
              <w:sz w:val="24"/>
              <w:szCs w:val="24"/>
            </w:rPr>
            <w:t>表</w:t>
          </w:r>
          <w:r>
            <w:rPr>
              <w:rStyle w:val="20"/>
              <w:rFonts w:ascii="黑体" w:hAnsi="黑体" w:eastAsia="黑体"/>
              <w:sz w:val="24"/>
              <w:szCs w:val="24"/>
            </w:rPr>
            <w:t xml:space="preserve">1 </w:t>
          </w:r>
          <w:r>
            <w:rPr>
              <w:rStyle w:val="20"/>
              <w:rFonts w:hint="eastAsia" w:ascii="黑体" w:hAnsi="黑体" w:eastAsia="黑体"/>
              <w:sz w:val="24"/>
              <w:szCs w:val="24"/>
            </w:rPr>
            <w:t>片区国土空间保护利用现状表</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_Toc166772185 \h </w:instrText>
          </w:r>
          <w:r>
            <w:rPr>
              <w:rFonts w:ascii="黑体" w:hAnsi="黑体" w:eastAsia="黑体"/>
              <w:sz w:val="24"/>
              <w:szCs w:val="24"/>
            </w:rPr>
            <w:fldChar w:fldCharType="separate"/>
          </w:r>
          <w:r>
            <w:rPr>
              <w:rFonts w:ascii="黑体" w:hAnsi="黑体" w:eastAsia="黑体"/>
              <w:sz w:val="24"/>
              <w:szCs w:val="24"/>
            </w:rPr>
            <w:t>151</w:t>
          </w:r>
          <w:r>
            <w:rPr>
              <w:rFonts w:ascii="黑体" w:hAnsi="黑体" w:eastAsia="黑体"/>
              <w:sz w:val="24"/>
              <w:szCs w:val="24"/>
            </w:rPr>
            <w:fldChar w:fldCharType="end"/>
          </w:r>
          <w:r>
            <w:rPr>
              <w:rFonts w:ascii="黑体" w:hAnsi="黑体" w:eastAsia="黑体"/>
              <w:sz w:val="24"/>
              <w:szCs w:val="24"/>
            </w:rPr>
            <w:fldChar w:fldCharType="end"/>
          </w:r>
        </w:p>
        <w:p>
          <w:pPr>
            <w:pStyle w:val="12"/>
            <w:spacing w:line="360" w:lineRule="auto"/>
            <w:rPr>
              <w:rFonts w:ascii="黑体" w:hAnsi="黑体" w:eastAsia="黑体"/>
              <w:sz w:val="24"/>
              <w:szCs w:val="24"/>
            </w:rPr>
          </w:pPr>
          <w:r>
            <w:fldChar w:fldCharType="begin"/>
          </w:r>
          <w:r>
            <w:instrText xml:space="preserve"> HYPERLINK \l "_Toc166772186" </w:instrText>
          </w:r>
          <w:r>
            <w:fldChar w:fldCharType="separate"/>
          </w:r>
          <w:r>
            <w:rPr>
              <w:rStyle w:val="20"/>
              <w:rFonts w:hint="eastAsia" w:ascii="黑体" w:hAnsi="黑体" w:eastAsia="黑体"/>
              <w:sz w:val="24"/>
              <w:szCs w:val="24"/>
            </w:rPr>
            <w:t>表</w:t>
          </w:r>
          <w:r>
            <w:rPr>
              <w:rStyle w:val="20"/>
              <w:rFonts w:ascii="黑体" w:hAnsi="黑体" w:eastAsia="黑体"/>
              <w:sz w:val="24"/>
              <w:szCs w:val="24"/>
            </w:rPr>
            <w:t>2</w:t>
          </w:r>
          <w:r>
            <w:rPr>
              <w:rStyle w:val="20"/>
              <w:rFonts w:hint="eastAsia" w:ascii="黑体" w:hAnsi="黑体" w:eastAsia="黑体"/>
              <w:sz w:val="24"/>
              <w:szCs w:val="24"/>
            </w:rPr>
            <w:t>片区规划指标体系表</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_Toc166772186 \h </w:instrText>
          </w:r>
          <w:r>
            <w:rPr>
              <w:rFonts w:ascii="黑体" w:hAnsi="黑体" w:eastAsia="黑体"/>
              <w:sz w:val="24"/>
              <w:szCs w:val="24"/>
            </w:rPr>
            <w:fldChar w:fldCharType="separate"/>
          </w:r>
          <w:r>
            <w:rPr>
              <w:rFonts w:ascii="黑体" w:hAnsi="黑体" w:eastAsia="黑体"/>
              <w:sz w:val="24"/>
              <w:szCs w:val="24"/>
            </w:rPr>
            <w:t>153</w:t>
          </w:r>
          <w:r>
            <w:rPr>
              <w:rFonts w:ascii="黑体" w:hAnsi="黑体" w:eastAsia="黑体"/>
              <w:sz w:val="24"/>
              <w:szCs w:val="24"/>
            </w:rPr>
            <w:fldChar w:fldCharType="end"/>
          </w:r>
          <w:r>
            <w:rPr>
              <w:rFonts w:ascii="黑体" w:hAnsi="黑体" w:eastAsia="黑体"/>
              <w:sz w:val="24"/>
              <w:szCs w:val="24"/>
            </w:rPr>
            <w:fldChar w:fldCharType="end"/>
          </w:r>
        </w:p>
        <w:p>
          <w:pPr>
            <w:pStyle w:val="12"/>
            <w:spacing w:line="360" w:lineRule="auto"/>
            <w:rPr>
              <w:rFonts w:ascii="黑体" w:hAnsi="黑体" w:eastAsia="黑体"/>
              <w:sz w:val="24"/>
              <w:szCs w:val="24"/>
            </w:rPr>
          </w:pPr>
          <w:r>
            <w:fldChar w:fldCharType="begin"/>
          </w:r>
          <w:r>
            <w:instrText xml:space="preserve"> HYPERLINK \l "_Toc166772187" </w:instrText>
          </w:r>
          <w:r>
            <w:fldChar w:fldCharType="separate"/>
          </w:r>
          <w:r>
            <w:rPr>
              <w:rStyle w:val="20"/>
              <w:rFonts w:hint="eastAsia" w:ascii="黑体" w:hAnsi="黑体" w:eastAsia="黑体"/>
              <w:sz w:val="24"/>
              <w:szCs w:val="24"/>
            </w:rPr>
            <w:t>表</w:t>
          </w:r>
          <w:r>
            <w:rPr>
              <w:rStyle w:val="20"/>
              <w:rFonts w:ascii="黑体" w:hAnsi="黑体" w:eastAsia="黑体"/>
              <w:sz w:val="24"/>
              <w:szCs w:val="24"/>
            </w:rPr>
            <w:t>3</w:t>
          </w:r>
          <w:r>
            <w:rPr>
              <w:rStyle w:val="20"/>
              <w:rFonts w:hint="eastAsia" w:ascii="黑体" w:hAnsi="黑体" w:eastAsia="黑体"/>
              <w:sz w:val="24"/>
              <w:szCs w:val="24"/>
            </w:rPr>
            <w:t>片区国土空间用途结构调整表</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_Toc166772187 \h </w:instrText>
          </w:r>
          <w:r>
            <w:rPr>
              <w:rFonts w:ascii="黑体" w:hAnsi="黑体" w:eastAsia="黑体"/>
              <w:sz w:val="24"/>
              <w:szCs w:val="24"/>
            </w:rPr>
            <w:fldChar w:fldCharType="separate"/>
          </w:r>
          <w:r>
            <w:rPr>
              <w:rFonts w:ascii="黑体" w:hAnsi="黑体" w:eastAsia="黑体"/>
              <w:sz w:val="24"/>
              <w:szCs w:val="24"/>
            </w:rPr>
            <w:t>153</w:t>
          </w:r>
          <w:r>
            <w:rPr>
              <w:rFonts w:ascii="黑体" w:hAnsi="黑体" w:eastAsia="黑体"/>
              <w:sz w:val="24"/>
              <w:szCs w:val="24"/>
            </w:rPr>
            <w:fldChar w:fldCharType="end"/>
          </w:r>
          <w:r>
            <w:rPr>
              <w:rFonts w:ascii="黑体" w:hAnsi="黑体" w:eastAsia="黑体"/>
              <w:sz w:val="24"/>
              <w:szCs w:val="24"/>
            </w:rPr>
            <w:fldChar w:fldCharType="end"/>
          </w:r>
        </w:p>
        <w:p>
          <w:pPr>
            <w:pStyle w:val="12"/>
            <w:spacing w:line="360" w:lineRule="auto"/>
            <w:rPr>
              <w:rFonts w:ascii="黑体" w:hAnsi="黑体" w:eastAsia="黑体"/>
              <w:sz w:val="24"/>
              <w:szCs w:val="24"/>
            </w:rPr>
          </w:pPr>
          <w:r>
            <w:fldChar w:fldCharType="begin"/>
          </w:r>
          <w:r>
            <w:instrText xml:space="preserve"> HYPERLINK \l "_Toc166772188" </w:instrText>
          </w:r>
          <w:r>
            <w:fldChar w:fldCharType="separate"/>
          </w:r>
          <w:r>
            <w:rPr>
              <w:rStyle w:val="20"/>
              <w:rFonts w:hint="eastAsia" w:ascii="黑体" w:hAnsi="黑体" w:eastAsia="黑体"/>
              <w:sz w:val="24"/>
              <w:szCs w:val="24"/>
            </w:rPr>
            <w:t>表</w:t>
          </w:r>
          <w:r>
            <w:rPr>
              <w:rStyle w:val="20"/>
              <w:rFonts w:ascii="黑体" w:hAnsi="黑体" w:eastAsia="黑体"/>
              <w:sz w:val="24"/>
              <w:szCs w:val="24"/>
            </w:rPr>
            <w:t>4</w:t>
          </w:r>
          <w:r>
            <w:rPr>
              <w:rStyle w:val="20"/>
              <w:rFonts w:hint="eastAsia" w:ascii="黑体" w:hAnsi="黑体" w:eastAsia="黑体"/>
              <w:sz w:val="24"/>
              <w:szCs w:val="24"/>
            </w:rPr>
            <w:t>片区村级片区划分一览表</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_Toc166772188 \h </w:instrText>
          </w:r>
          <w:r>
            <w:rPr>
              <w:rFonts w:ascii="黑体" w:hAnsi="黑体" w:eastAsia="黑体"/>
              <w:sz w:val="24"/>
              <w:szCs w:val="24"/>
            </w:rPr>
            <w:fldChar w:fldCharType="separate"/>
          </w:r>
          <w:r>
            <w:rPr>
              <w:rFonts w:ascii="黑体" w:hAnsi="黑体" w:eastAsia="黑体"/>
              <w:sz w:val="24"/>
              <w:szCs w:val="24"/>
            </w:rPr>
            <w:t>154</w:t>
          </w:r>
          <w:r>
            <w:rPr>
              <w:rFonts w:ascii="黑体" w:hAnsi="黑体" w:eastAsia="黑体"/>
              <w:sz w:val="24"/>
              <w:szCs w:val="24"/>
            </w:rPr>
            <w:fldChar w:fldCharType="end"/>
          </w:r>
          <w:r>
            <w:rPr>
              <w:rFonts w:ascii="黑体" w:hAnsi="黑体" w:eastAsia="黑体"/>
              <w:sz w:val="24"/>
              <w:szCs w:val="24"/>
            </w:rPr>
            <w:fldChar w:fldCharType="end"/>
          </w:r>
        </w:p>
        <w:p>
          <w:pPr>
            <w:pStyle w:val="12"/>
            <w:spacing w:line="360" w:lineRule="auto"/>
            <w:rPr>
              <w:rFonts w:ascii="黑体" w:hAnsi="黑体" w:eastAsia="黑体"/>
              <w:sz w:val="24"/>
              <w:szCs w:val="24"/>
            </w:rPr>
          </w:pPr>
          <w:r>
            <w:fldChar w:fldCharType="begin"/>
          </w:r>
          <w:r>
            <w:instrText xml:space="preserve"> HYPERLINK \l "_Toc166772189" </w:instrText>
          </w:r>
          <w:r>
            <w:fldChar w:fldCharType="separate"/>
          </w:r>
          <w:r>
            <w:rPr>
              <w:rStyle w:val="20"/>
              <w:rFonts w:hint="eastAsia" w:ascii="黑体" w:hAnsi="黑体" w:eastAsia="黑体"/>
              <w:sz w:val="24"/>
              <w:szCs w:val="24"/>
            </w:rPr>
            <w:t>表</w:t>
          </w:r>
          <w:r>
            <w:rPr>
              <w:rStyle w:val="20"/>
              <w:rFonts w:ascii="黑体" w:hAnsi="黑体" w:eastAsia="黑体"/>
              <w:sz w:val="24"/>
              <w:szCs w:val="24"/>
            </w:rPr>
            <w:t>5</w:t>
          </w:r>
          <w:r>
            <w:rPr>
              <w:rStyle w:val="20"/>
              <w:rFonts w:hint="eastAsia" w:ascii="黑体" w:hAnsi="黑体" w:eastAsia="黑体"/>
              <w:sz w:val="24"/>
              <w:szCs w:val="24"/>
            </w:rPr>
            <w:t>片区规划指标分解表</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_Toc166772189 \h </w:instrText>
          </w:r>
          <w:r>
            <w:rPr>
              <w:rFonts w:ascii="黑体" w:hAnsi="黑体" w:eastAsia="黑体"/>
              <w:sz w:val="24"/>
              <w:szCs w:val="24"/>
            </w:rPr>
            <w:fldChar w:fldCharType="separate"/>
          </w:r>
          <w:r>
            <w:rPr>
              <w:rFonts w:ascii="黑体" w:hAnsi="黑体" w:eastAsia="黑体"/>
              <w:sz w:val="24"/>
              <w:szCs w:val="24"/>
            </w:rPr>
            <w:t>155</w:t>
          </w:r>
          <w:r>
            <w:rPr>
              <w:rFonts w:ascii="黑体" w:hAnsi="黑体" w:eastAsia="黑体"/>
              <w:sz w:val="24"/>
              <w:szCs w:val="24"/>
            </w:rPr>
            <w:fldChar w:fldCharType="end"/>
          </w:r>
          <w:r>
            <w:rPr>
              <w:rFonts w:ascii="黑体" w:hAnsi="黑体" w:eastAsia="黑体"/>
              <w:sz w:val="24"/>
              <w:szCs w:val="24"/>
            </w:rPr>
            <w:fldChar w:fldCharType="end"/>
          </w:r>
        </w:p>
        <w:p>
          <w:pPr>
            <w:pStyle w:val="12"/>
            <w:spacing w:line="360" w:lineRule="auto"/>
            <w:rPr>
              <w:rFonts w:ascii="黑体" w:hAnsi="黑体" w:eastAsia="黑体"/>
              <w:sz w:val="24"/>
              <w:szCs w:val="24"/>
            </w:rPr>
          </w:pPr>
          <w:r>
            <w:fldChar w:fldCharType="begin"/>
          </w:r>
          <w:r>
            <w:instrText xml:space="preserve"> HYPERLINK \l "_Toc166772190" </w:instrText>
          </w:r>
          <w:r>
            <w:fldChar w:fldCharType="separate"/>
          </w:r>
          <w:r>
            <w:rPr>
              <w:rStyle w:val="20"/>
              <w:rFonts w:hint="eastAsia" w:ascii="黑体" w:hAnsi="黑体" w:eastAsia="黑体"/>
              <w:sz w:val="24"/>
              <w:szCs w:val="24"/>
            </w:rPr>
            <w:t>表</w:t>
          </w:r>
          <w:r>
            <w:rPr>
              <w:rStyle w:val="20"/>
              <w:rFonts w:ascii="黑体" w:hAnsi="黑体" w:eastAsia="黑体"/>
              <w:sz w:val="24"/>
              <w:szCs w:val="24"/>
            </w:rPr>
            <w:t>6</w:t>
          </w:r>
          <w:r>
            <w:rPr>
              <w:rStyle w:val="20"/>
              <w:rFonts w:hint="eastAsia" w:ascii="黑体" w:hAnsi="黑体" w:eastAsia="黑体"/>
              <w:sz w:val="24"/>
              <w:szCs w:val="24"/>
            </w:rPr>
            <w:t>片区户籍人口预测表</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_Toc166772190 \h </w:instrText>
          </w:r>
          <w:r>
            <w:rPr>
              <w:rFonts w:ascii="黑体" w:hAnsi="黑体" w:eastAsia="黑体"/>
              <w:sz w:val="24"/>
              <w:szCs w:val="24"/>
            </w:rPr>
            <w:fldChar w:fldCharType="separate"/>
          </w:r>
          <w:r>
            <w:rPr>
              <w:rFonts w:ascii="黑体" w:hAnsi="黑体" w:eastAsia="黑体"/>
              <w:sz w:val="24"/>
              <w:szCs w:val="24"/>
            </w:rPr>
            <w:t>156</w:t>
          </w:r>
          <w:r>
            <w:rPr>
              <w:rFonts w:ascii="黑体" w:hAnsi="黑体" w:eastAsia="黑体"/>
              <w:sz w:val="24"/>
              <w:szCs w:val="24"/>
            </w:rPr>
            <w:fldChar w:fldCharType="end"/>
          </w:r>
          <w:r>
            <w:rPr>
              <w:rFonts w:ascii="黑体" w:hAnsi="黑体" w:eastAsia="黑体"/>
              <w:sz w:val="24"/>
              <w:szCs w:val="24"/>
            </w:rPr>
            <w:fldChar w:fldCharType="end"/>
          </w:r>
        </w:p>
        <w:p>
          <w:pPr>
            <w:pStyle w:val="12"/>
            <w:spacing w:line="360" w:lineRule="auto"/>
            <w:rPr>
              <w:rFonts w:ascii="黑体" w:hAnsi="黑体" w:eastAsia="黑体"/>
              <w:sz w:val="24"/>
              <w:szCs w:val="24"/>
            </w:rPr>
          </w:pPr>
          <w:r>
            <w:fldChar w:fldCharType="begin"/>
          </w:r>
          <w:r>
            <w:instrText xml:space="preserve"> HYPERLINK \l "_Toc166772191" </w:instrText>
          </w:r>
          <w:r>
            <w:fldChar w:fldCharType="separate"/>
          </w:r>
          <w:r>
            <w:rPr>
              <w:rStyle w:val="20"/>
              <w:rFonts w:hint="eastAsia" w:ascii="黑体" w:hAnsi="黑体" w:eastAsia="黑体"/>
              <w:sz w:val="24"/>
              <w:szCs w:val="24"/>
            </w:rPr>
            <w:t>表</w:t>
          </w:r>
          <w:r>
            <w:rPr>
              <w:rStyle w:val="20"/>
              <w:rFonts w:ascii="黑体" w:hAnsi="黑体" w:eastAsia="黑体"/>
              <w:sz w:val="24"/>
              <w:szCs w:val="24"/>
            </w:rPr>
            <w:t>7</w:t>
          </w:r>
          <w:r>
            <w:rPr>
              <w:rStyle w:val="20"/>
              <w:rFonts w:hint="eastAsia" w:ascii="黑体" w:hAnsi="黑体" w:eastAsia="黑体"/>
              <w:sz w:val="24"/>
              <w:szCs w:val="24"/>
            </w:rPr>
            <w:t>片区常住人口预测表</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_Toc166772191 \h </w:instrText>
          </w:r>
          <w:r>
            <w:rPr>
              <w:rFonts w:ascii="黑体" w:hAnsi="黑体" w:eastAsia="黑体"/>
              <w:sz w:val="24"/>
              <w:szCs w:val="24"/>
            </w:rPr>
            <w:fldChar w:fldCharType="separate"/>
          </w:r>
          <w:r>
            <w:rPr>
              <w:rFonts w:ascii="黑体" w:hAnsi="黑体" w:eastAsia="黑体"/>
              <w:sz w:val="24"/>
              <w:szCs w:val="24"/>
            </w:rPr>
            <w:t>156</w:t>
          </w:r>
          <w:r>
            <w:rPr>
              <w:rFonts w:ascii="黑体" w:hAnsi="黑体" w:eastAsia="黑体"/>
              <w:sz w:val="24"/>
              <w:szCs w:val="24"/>
            </w:rPr>
            <w:fldChar w:fldCharType="end"/>
          </w:r>
          <w:r>
            <w:rPr>
              <w:rFonts w:ascii="黑体" w:hAnsi="黑体" w:eastAsia="黑体"/>
              <w:sz w:val="24"/>
              <w:szCs w:val="24"/>
            </w:rPr>
            <w:fldChar w:fldCharType="end"/>
          </w:r>
        </w:p>
        <w:p>
          <w:pPr>
            <w:pStyle w:val="12"/>
            <w:spacing w:line="360" w:lineRule="auto"/>
            <w:rPr>
              <w:rFonts w:ascii="黑体" w:hAnsi="黑体" w:eastAsia="黑体"/>
              <w:sz w:val="24"/>
              <w:szCs w:val="24"/>
            </w:rPr>
          </w:pPr>
          <w:r>
            <w:fldChar w:fldCharType="begin"/>
          </w:r>
          <w:r>
            <w:instrText xml:space="preserve"> HYPERLINK \l "_Toc166772192" </w:instrText>
          </w:r>
          <w:r>
            <w:fldChar w:fldCharType="separate"/>
          </w:r>
          <w:r>
            <w:rPr>
              <w:rStyle w:val="20"/>
              <w:rFonts w:hint="eastAsia" w:ascii="黑体" w:hAnsi="黑体" w:eastAsia="黑体"/>
              <w:sz w:val="24"/>
              <w:szCs w:val="24"/>
            </w:rPr>
            <w:t>表</w:t>
          </w:r>
          <w:r>
            <w:rPr>
              <w:rStyle w:val="20"/>
              <w:rFonts w:ascii="黑体" w:hAnsi="黑体" w:eastAsia="黑体"/>
              <w:sz w:val="24"/>
              <w:szCs w:val="24"/>
            </w:rPr>
            <w:t>8</w:t>
          </w:r>
          <w:r>
            <w:rPr>
              <w:rStyle w:val="20"/>
              <w:rFonts w:hint="eastAsia" w:ascii="黑体" w:hAnsi="黑体" w:eastAsia="黑体"/>
              <w:sz w:val="24"/>
              <w:szCs w:val="24"/>
            </w:rPr>
            <w:t>片区农村户籍人口预测表</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_Toc166772192 \h </w:instrText>
          </w:r>
          <w:r>
            <w:rPr>
              <w:rFonts w:ascii="黑体" w:hAnsi="黑体" w:eastAsia="黑体"/>
              <w:sz w:val="24"/>
              <w:szCs w:val="24"/>
            </w:rPr>
            <w:fldChar w:fldCharType="separate"/>
          </w:r>
          <w:r>
            <w:rPr>
              <w:rFonts w:ascii="黑体" w:hAnsi="黑体" w:eastAsia="黑体"/>
              <w:sz w:val="24"/>
              <w:szCs w:val="24"/>
            </w:rPr>
            <w:t>156</w:t>
          </w:r>
          <w:r>
            <w:rPr>
              <w:rFonts w:ascii="黑体" w:hAnsi="黑体" w:eastAsia="黑体"/>
              <w:sz w:val="24"/>
              <w:szCs w:val="24"/>
            </w:rPr>
            <w:fldChar w:fldCharType="end"/>
          </w:r>
          <w:r>
            <w:rPr>
              <w:rFonts w:ascii="黑体" w:hAnsi="黑体" w:eastAsia="黑体"/>
              <w:sz w:val="24"/>
              <w:szCs w:val="24"/>
            </w:rPr>
            <w:fldChar w:fldCharType="end"/>
          </w:r>
        </w:p>
        <w:p>
          <w:pPr>
            <w:pStyle w:val="12"/>
            <w:spacing w:line="360" w:lineRule="auto"/>
            <w:rPr>
              <w:rFonts w:ascii="黑体" w:hAnsi="黑体" w:eastAsia="黑体"/>
              <w:sz w:val="24"/>
              <w:szCs w:val="24"/>
            </w:rPr>
          </w:pPr>
          <w:r>
            <w:fldChar w:fldCharType="begin"/>
          </w:r>
          <w:r>
            <w:instrText xml:space="preserve"> HYPERLINK \l "_Toc166772193" </w:instrText>
          </w:r>
          <w:r>
            <w:fldChar w:fldCharType="separate"/>
          </w:r>
          <w:r>
            <w:rPr>
              <w:rStyle w:val="20"/>
              <w:rFonts w:hint="eastAsia" w:ascii="黑体" w:hAnsi="黑体" w:eastAsia="黑体"/>
              <w:sz w:val="24"/>
              <w:szCs w:val="24"/>
            </w:rPr>
            <w:t>表</w:t>
          </w:r>
          <w:r>
            <w:rPr>
              <w:rStyle w:val="20"/>
              <w:rFonts w:ascii="黑体" w:hAnsi="黑体" w:eastAsia="黑体"/>
              <w:sz w:val="24"/>
              <w:szCs w:val="24"/>
            </w:rPr>
            <w:t>9</w:t>
          </w:r>
          <w:r>
            <w:rPr>
              <w:rStyle w:val="20"/>
              <w:rFonts w:hint="eastAsia" w:ascii="黑体" w:hAnsi="黑体" w:eastAsia="黑体"/>
              <w:sz w:val="24"/>
              <w:szCs w:val="24"/>
            </w:rPr>
            <w:t>河边镇镇区城镇建设用地规划表</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_Toc166772193 \h </w:instrText>
          </w:r>
          <w:r>
            <w:rPr>
              <w:rFonts w:ascii="黑体" w:hAnsi="黑体" w:eastAsia="黑体"/>
              <w:sz w:val="24"/>
              <w:szCs w:val="24"/>
            </w:rPr>
            <w:fldChar w:fldCharType="separate"/>
          </w:r>
          <w:r>
            <w:rPr>
              <w:rFonts w:ascii="黑体" w:hAnsi="黑体" w:eastAsia="黑体"/>
              <w:sz w:val="24"/>
              <w:szCs w:val="24"/>
            </w:rPr>
            <w:t>157</w:t>
          </w:r>
          <w:r>
            <w:rPr>
              <w:rFonts w:ascii="黑体" w:hAnsi="黑体" w:eastAsia="黑体"/>
              <w:sz w:val="24"/>
              <w:szCs w:val="24"/>
            </w:rPr>
            <w:fldChar w:fldCharType="end"/>
          </w:r>
          <w:r>
            <w:rPr>
              <w:rFonts w:ascii="黑体" w:hAnsi="黑体" w:eastAsia="黑体"/>
              <w:sz w:val="24"/>
              <w:szCs w:val="24"/>
            </w:rPr>
            <w:fldChar w:fldCharType="end"/>
          </w:r>
        </w:p>
        <w:p>
          <w:pPr>
            <w:pStyle w:val="12"/>
            <w:spacing w:line="360" w:lineRule="auto"/>
            <w:rPr>
              <w:rFonts w:ascii="黑体" w:hAnsi="黑体" w:eastAsia="黑体"/>
              <w:sz w:val="24"/>
              <w:szCs w:val="24"/>
            </w:rPr>
          </w:pPr>
          <w:r>
            <w:fldChar w:fldCharType="begin"/>
          </w:r>
          <w:r>
            <w:instrText xml:space="preserve"> HYPERLINK \l "_Toc166772194" </w:instrText>
          </w:r>
          <w:r>
            <w:fldChar w:fldCharType="separate"/>
          </w:r>
          <w:r>
            <w:rPr>
              <w:rStyle w:val="20"/>
              <w:rFonts w:hint="eastAsia" w:ascii="黑体" w:hAnsi="黑体" w:eastAsia="黑体"/>
              <w:sz w:val="24"/>
              <w:szCs w:val="24"/>
            </w:rPr>
            <w:t>表</w:t>
          </w:r>
          <w:r>
            <w:rPr>
              <w:rStyle w:val="20"/>
              <w:rFonts w:ascii="黑体" w:hAnsi="黑体" w:eastAsia="黑体"/>
              <w:sz w:val="24"/>
              <w:szCs w:val="24"/>
            </w:rPr>
            <w:t>10</w:t>
          </w:r>
          <w:r>
            <w:rPr>
              <w:rStyle w:val="20"/>
              <w:rFonts w:hint="eastAsia" w:ascii="黑体" w:hAnsi="黑体" w:eastAsia="黑体"/>
              <w:sz w:val="24"/>
              <w:szCs w:val="24"/>
            </w:rPr>
            <w:t>河边镇镇区地块指标一览表</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_Toc166772194 \h </w:instrText>
          </w:r>
          <w:r>
            <w:rPr>
              <w:rFonts w:ascii="黑体" w:hAnsi="黑体" w:eastAsia="黑体"/>
              <w:sz w:val="24"/>
              <w:szCs w:val="24"/>
            </w:rPr>
            <w:fldChar w:fldCharType="separate"/>
          </w:r>
          <w:r>
            <w:rPr>
              <w:rFonts w:ascii="黑体" w:hAnsi="黑体" w:eastAsia="黑体"/>
              <w:sz w:val="24"/>
              <w:szCs w:val="24"/>
            </w:rPr>
            <w:t>159</w:t>
          </w:r>
          <w:r>
            <w:rPr>
              <w:rFonts w:ascii="黑体" w:hAnsi="黑体" w:eastAsia="黑体"/>
              <w:sz w:val="24"/>
              <w:szCs w:val="24"/>
            </w:rPr>
            <w:fldChar w:fldCharType="end"/>
          </w:r>
          <w:r>
            <w:rPr>
              <w:rFonts w:ascii="黑体" w:hAnsi="黑体" w:eastAsia="黑体"/>
              <w:sz w:val="24"/>
              <w:szCs w:val="24"/>
            </w:rPr>
            <w:fldChar w:fldCharType="end"/>
          </w:r>
        </w:p>
        <w:p>
          <w:pPr>
            <w:pStyle w:val="12"/>
            <w:spacing w:line="360" w:lineRule="auto"/>
            <w:rPr>
              <w:rFonts w:ascii="黑体" w:hAnsi="黑体" w:eastAsia="黑体"/>
              <w:sz w:val="24"/>
              <w:szCs w:val="24"/>
            </w:rPr>
          </w:pPr>
          <w:r>
            <w:fldChar w:fldCharType="begin"/>
          </w:r>
          <w:r>
            <w:instrText xml:space="preserve"> HYPERLINK \l "_Toc166772195" </w:instrText>
          </w:r>
          <w:r>
            <w:fldChar w:fldCharType="separate"/>
          </w:r>
          <w:r>
            <w:rPr>
              <w:rStyle w:val="20"/>
              <w:rFonts w:hint="eastAsia" w:ascii="黑体" w:hAnsi="黑体" w:eastAsia="黑体"/>
              <w:sz w:val="24"/>
              <w:szCs w:val="24"/>
            </w:rPr>
            <w:t>表</w:t>
          </w:r>
          <w:r>
            <w:rPr>
              <w:rStyle w:val="20"/>
              <w:rFonts w:ascii="黑体" w:hAnsi="黑体" w:eastAsia="黑体"/>
              <w:sz w:val="24"/>
              <w:szCs w:val="24"/>
            </w:rPr>
            <w:t>11</w:t>
          </w:r>
          <w:r>
            <w:rPr>
              <w:rStyle w:val="20"/>
              <w:rFonts w:hint="eastAsia" w:ascii="黑体" w:hAnsi="黑体" w:eastAsia="黑体"/>
              <w:sz w:val="24"/>
              <w:szCs w:val="24"/>
            </w:rPr>
            <w:t>象山镇镇区城镇建设用地规划表</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_Toc166772195 \h </w:instrText>
          </w:r>
          <w:r>
            <w:rPr>
              <w:rFonts w:ascii="黑体" w:hAnsi="黑体" w:eastAsia="黑体"/>
              <w:sz w:val="24"/>
              <w:szCs w:val="24"/>
            </w:rPr>
            <w:fldChar w:fldCharType="separate"/>
          </w:r>
          <w:r>
            <w:rPr>
              <w:rFonts w:ascii="黑体" w:hAnsi="黑体" w:eastAsia="黑体"/>
              <w:sz w:val="24"/>
              <w:szCs w:val="24"/>
            </w:rPr>
            <w:t>165</w:t>
          </w:r>
          <w:r>
            <w:rPr>
              <w:rFonts w:ascii="黑体" w:hAnsi="黑体" w:eastAsia="黑体"/>
              <w:sz w:val="24"/>
              <w:szCs w:val="24"/>
            </w:rPr>
            <w:fldChar w:fldCharType="end"/>
          </w:r>
          <w:r>
            <w:rPr>
              <w:rFonts w:ascii="黑体" w:hAnsi="黑体" w:eastAsia="黑体"/>
              <w:sz w:val="24"/>
              <w:szCs w:val="24"/>
            </w:rPr>
            <w:fldChar w:fldCharType="end"/>
          </w:r>
        </w:p>
        <w:p>
          <w:pPr>
            <w:pStyle w:val="12"/>
            <w:spacing w:line="360" w:lineRule="auto"/>
            <w:rPr>
              <w:rFonts w:ascii="黑体" w:hAnsi="黑体" w:eastAsia="黑体"/>
              <w:sz w:val="24"/>
              <w:szCs w:val="24"/>
            </w:rPr>
          </w:pPr>
          <w:r>
            <w:fldChar w:fldCharType="begin"/>
          </w:r>
          <w:r>
            <w:instrText xml:space="preserve"> HYPERLINK \l "_Toc166772196" </w:instrText>
          </w:r>
          <w:r>
            <w:fldChar w:fldCharType="separate"/>
          </w:r>
          <w:r>
            <w:rPr>
              <w:rStyle w:val="20"/>
              <w:rFonts w:hint="eastAsia" w:ascii="黑体" w:hAnsi="黑体" w:eastAsia="黑体"/>
              <w:sz w:val="24"/>
              <w:szCs w:val="24"/>
            </w:rPr>
            <w:t>表</w:t>
          </w:r>
          <w:r>
            <w:rPr>
              <w:rStyle w:val="20"/>
              <w:rFonts w:ascii="黑体" w:hAnsi="黑体" w:eastAsia="黑体"/>
              <w:sz w:val="24"/>
              <w:szCs w:val="24"/>
            </w:rPr>
            <w:t>12</w:t>
          </w:r>
          <w:r>
            <w:rPr>
              <w:rStyle w:val="20"/>
              <w:rFonts w:hint="eastAsia" w:ascii="黑体" w:hAnsi="黑体" w:eastAsia="黑体"/>
              <w:sz w:val="24"/>
              <w:szCs w:val="24"/>
            </w:rPr>
            <w:t>象山镇镇区地块指标一览表</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_Toc166772196 \h </w:instrText>
          </w:r>
          <w:r>
            <w:rPr>
              <w:rFonts w:ascii="黑体" w:hAnsi="黑体" w:eastAsia="黑体"/>
              <w:sz w:val="24"/>
              <w:szCs w:val="24"/>
            </w:rPr>
            <w:fldChar w:fldCharType="separate"/>
          </w:r>
          <w:r>
            <w:rPr>
              <w:rFonts w:ascii="黑体" w:hAnsi="黑体" w:eastAsia="黑体"/>
              <w:sz w:val="24"/>
              <w:szCs w:val="24"/>
            </w:rPr>
            <w:t>167</w:t>
          </w:r>
          <w:r>
            <w:rPr>
              <w:rFonts w:ascii="黑体" w:hAnsi="黑体" w:eastAsia="黑体"/>
              <w:sz w:val="24"/>
              <w:szCs w:val="24"/>
            </w:rPr>
            <w:fldChar w:fldCharType="end"/>
          </w:r>
          <w:r>
            <w:rPr>
              <w:rFonts w:ascii="黑体" w:hAnsi="黑体" w:eastAsia="黑体"/>
              <w:sz w:val="24"/>
              <w:szCs w:val="24"/>
            </w:rPr>
            <w:fldChar w:fldCharType="end"/>
          </w:r>
        </w:p>
        <w:p>
          <w:pPr>
            <w:pStyle w:val="12"/>
            <w:spacing w:line="360" w:lineRule="auto"/>
            <w:rPr>
              <w:rFonts w:ascii="黑体" w:hAnsi="黑体" w:eastAsia="黑体"/>
              <w:sz w:val="24"/>
              <w:szCs w:val="24"/>
            </w:rPr>
          </w:pPr>
          <w:r>
            <w:fldChar w:fldCharType="begin"/>
          </w:r>
          <w:r>
            <w:instrText xml:space="preserve"> HYPERLINK \l "_Toc166772197" </w:instrText>
          </w:r>
          <w:r>
            <w:fldChar w:fldCharType="separate"/>
          </w:r>
          <w:r>
            <w:rPr>
              <w:rStyle w:val="20"/>
              <w:rFonts w:hint="eastAsia" w:ascii="黑体" w:hAnsi="黑体" w:eastAsia="黑体"/>
              <w:sz w:val="24"/>
              <w:szCs w:val="24"/>
            </w:rPr>
            <w:t>表</w:t>
          </w:r>
          <w:r>
            <w:rPr>
              <w:rStyle w:val="20"/>
              <w:rFonts w:ascii="黑体" w:hAnsi="黑体" w:eastAsia="黑体"/>
              <w:sz w:val="24"/>
              <w:szCs w:val="24"/>
            </w:rPr>
            <w:t>13</w:t>
          </w:r>
          <w:r>
            <w:rPr>
              <w:rStyle w:val="20"/>
              <w:rFonts w:hint="eastAsia" w:ascii="黑体" w:hAnsi="黑体" w:eastAsia="黑体"/>
              <w:sz w:val="24"/>
              <w:szCs w:val="24"/>
            </w:rPr>
            <w:t>玉峰镇区城镇建设用地规划表</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_Toc166772197 \h </w:instrText>
          </w:r>
          <w:r>
            <w:rPr>
              <w:rFonts w:ascii="黑体" w:hAnsi="黑体" w:eastAsia="黑体"/>
              <w:sz w:val="24"/>
              <w:szCs w:val="24"/>
            </w:rPr>
            <w:fldChar w:fldCharType="separate"/>
          </w:r>
          <w:r>
            <w:rPr>
              <w:rFonts w:ascii="黑体" w:hAnsi="黑体" w:eastAsia="黑体"/>
              <w:sz w:val="24"/>
              <w:szCs w:val="24"/>
            </w:rPr>
            <w:t>171</w:t>
          </w:r>
          <w:r>
            <w:rPr>
              <w:rFonts w:ascii="黑体" w:hAnsi="黑体" w:eastAsia="黑体"/>
              <w:sz w:val="24"/>
              <w:szCs w:val="24"/>
            </w:rPr>
            <w:fldChar w:fldCharType="end"/>
          </w:r>
          <w:r>
            <w:rPr>
              <w:rFonts w:ascii="黑体" w:hAnsi="黑体" w:eastAsia="黑体"/>
              <w:sz w:val="24"/>
              <w:szCs w:val="24"/>
            </w:rPr>
            <w:fldChar w:fldCharType="end"/>
          </w:r>
        </w:p>
        <w:p>
          <w:pPr>
            <w:pStyle w:val="12"/>
            <w:spacing w:line="360" w:lineRule="auto"/>
            <w:rPr>
              <w:rFonts w:ascii="黑体" w:hAnsi="黑体" w:eastAsia="黑体"/>
              <w:sz w:val="24"/>
              <w:szCs w:val="24"/>
            </w:rPr>
          </w:pPr>
          <w:r>
            <w:fldChar w:fldCharType="begin"/>
          </w:r>
          <w:r>
            <w:instrText xml:space="preserve"> HYPERLINK \l "_Toc166772198" </w:instrText>
          </w:r>
          <w:r>
            <w:fldChar w:fldCharType="separate"/>
          </w:r>
          <w:r>
            <w:rPr>
              <w:rStyle w:val="20"/>
              <w:rFonts w:hint="eastAsia" w:ascii="黑体" w:hAnsi="黑体" w:eastAsia="黑体"/>
              <w:sz w:val="24"/>
              <w:szCs w:val="24"/>
            </w:rPr>
            <w:t>表</w:t>
          </w:r>
          <w:r>
            <w:rPr>
              <w:rStyle w:val="20"/>
              <w:rFonts w:ascii="黑体" w:hAnsi="黑体" w:eastAsia="黑体"/>
              <w:sz w:val="24"/>
              <w:szCs w:val="24"/>
            </w:rPr>
            <w:t>14</w:t>
          </w:r>
          <w:r>
            <w:rPr>
              <w:rStyle w:val="20"/>
              <w:rFonts w:hint="eastAsia" w:ascii="黑体" w:hAnsi="黑体" w:eastAsia="黑体"/>
              <w:sz w:val="24"/>
              <w:szCs w:val="24"/>
            </w:rPr>
            <w:t>玉峰镇镇区地块指标一览表</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_Toc166772198 \h </w:instrText>
          </w:r>
          <w:r>
            <w:rPr>
              <w:rFonts w:ascii="黑体" w:hAnsi="黑体" w:eastAsia="黑体"/>
              <w:sz w:val="24"/>
              <w:szCs w:val="24"/>
            </w:rPr>
            <w:fldChar w:fldCharType="separate"/>
          </w:r>
          <w:r>
            <w:rPr>
              <w:rFonts w:ascii="黑体" w:hAnsi="黑体" w:eastAsia="黑体"/>
              <w:sz w:val="24"/>
              <w:szCs w:val="24"/>
            </w:rPr>
            <w:t>173</w:t>
          </w:r>
          <w:r>
            <w:rPr>
              <w:rFonts w:ascii="黑体" w:hAnsi="黑体" w:eastAsia="黑体"/>
              <w:sz w:val="24"/>
              <w:szCs w:val="24"/>
            </w:rPr>
            <w:fldChar w:fldCharType="end"/>
          </w:r>
          <w:r>
            <w:rPr>
              <w:rFonts w:ascii="黑体" w:hAnsi="黑体" w:eastAsia="黑体"/>
              <w:sz w:val="24"/>
              <w:szCs w:val="24"/>
            </w:rPr>
            <w:fldChar w:fldCharType="end"/>
          </w:r>
        </w:p>
        <w:p>
          <w:pPr>
            <w:pStyle w:val="12"/>
            <w:spacing w:line="360" w:lineRule="auto"/>
            <w:rPr>
              <w:rFonts w:ascii="黑体" w:hAnsi="黑体" w:eastAsia="黑体"/>
              <w:sz w:val="24"/>
              <w:szCs w:val="24"/>
            </w:rPr>
          </w:pPr>
          <w:r>
            <w:fldChar w:fldCharType="begin"/>
          </w:r>
          <w:r>
            <w:instrText xml:space="preserve"> HYPERLINK \l "_Toc166772199" </w:instrText>
          </w:r>
          <w:r>
            <w:fldChar w:fldCharType="separate"/>
          </w:r>
          <w:r>
            <w:rPr>
              <w:rStyle w:val="20"/>
              <w:rFonts w:hint="eastAsia" w:ascii="黑体" w:hAnsi="黑体" w:eastAsia="黑体"/>
              <w:sz w:val="24"/>
              <w:szCs w:val="24"/>
            </w:rPr>
            <w:t>表</w:t>
          </w:r>
          <w:r>
            <w:rPr>
              <w:rStyle w:val="20"/>
              <w:rFonts w:ascii="黑体" w:hAnsi="黑体" w:eastAsia="黑体"/>
              <w:sz w:val="24"/>
              <w:szCs w:val="24"/>
            </w:rPr>
            <w:t>15</w:t>
          </w:r>
          <w:r>
            <w:rPr>
              <w:rStyle w:val="20"/>
              <w:rFonts w:hint="eastAsia" w:ascii="黑体" w:hAnsi="黑体" w:eastAsia="黑体"/>
              <w:sz w:val="24"/>
              <w:szCs w:val="24"/>
            </w:rPr>
            <w:t>片区近期建设项目一览表</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_Toc166772199 \h </w:instrText>
          </w:r>
          <w:r>
            <w:rPr>
              <w:rFonts w:ascii="黑体" w:hAnsi="黑体" w:eastAsia="黑体"/>
              <w:sz w:val="24"/>
              <w:szCs w:val="24"/>
            </w:rPr>
            <w:fldChar w:fldCharType="separate"/>
          </w:r>
          <w:r>
            <w:rPr>
              <w:rFonts w:ascii="黑体" w:hAnsi="黑体" w:eastAsia="黑体"/>
              <w:sz w:val="24"/>
              <w:szCs w:val="24"/>
            </w:rPr>
            <w:t>177</w:t>
          </w:r>
          <w:r>
            <w:rPr>
              <w:rFonts w:ascii="黑体" w:hAnsi="黑体" w:eastAsia="黑体"/>
              <w:sz w:val="24"/>
              <w:szCs w:val="24"/>
            </w:rPr>
            <w:fldChar w:fldCharType="end"/>
          </w:r>
          <w:r>
            <w:rPr>
              <w:rFonts w:ascii="黑体" w:hAnsi="黑体" w:eastAsia="黑体"/>
              <w:sz w:val="24"/>
              <w:szCs w:val="24"/>
            </w:rPr>
            <w:fldChar w:fldCharType="end"/>
          </w:r>
        </w:p>
        <w:p>
          <w:pPr>
            <w:pStyle w:val="12"/>
            <w:spacing w:line="360" w:lineRule="auto"/>
            <w:rPr>
              <w:rFonts w:ascii="黑体" w:hAnsi="黑体" w:eastAsia="黑体"/>
              <w:sz w:val="24"/>
              <w:szCs w:val="24"/>
            </w:rPr>
          </w:pPr>
          <w:r>
            <w:fldChar w:fldCharType="begin"/>
          </w:r>
          <w:r>
            <w:instrText xml:space="preserve"> HYPERLINK \l "_Toc166772200" </w:instrText>
          </w:r>
          <w:r>
            <w:fldChar w:fldCharType="separate"/>
          </w:r>
          <w:r>
            <w:rPr>
              <w:rStyle w:val="20"/>
              <w:rFonts w:hint="eastAsia" w:ascii="黑体" w:hAnsi="黑体" w:eastAsia="黑体"/>
              <w:sz w:val="24"/>
              <w:szCs w:val="24"/>
            </w:rPr>
            <w:t>表</w:t>
          </w:r>
          <w:r>
            <w:rPr>
              <w:rStyle w:val="20"/>
              <w:rFonts w:ascii="黑体" w:hAnsi="黑体" w:eastAsia="黑体"/>
              <w:sz w:val="24"/>
              <w:szCs w:val="24"/>
            </w:rPr>
            <w:t>16</w:t>
          </w:r>
          <w:r>
            <w:rPr>
              <w:rStyle w:val="20"/>
              <w:rFonts w:hint="eastAsia" w:ascii="黑体" w:hAnsi="黑体" w:eastAsia="黑体"/>
              <w:sz w:val="24"/>
              <w:szCs w:val="24"/>
            </w:rPr>
            <w:t>片区不可移动文物保护范围划定一览表</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_Toc166772200 \h </w:instrText>
          </w:r>
          <w:r>
            <w:rPr>
              <w:rFonts w:ascii="黑体" w:hAnsi="黑体" w:eastAsia="黑体"/>
              <w:sz w:val="24"/>
              <w:szCs w:val="24"/>
            </w:rPr>
            <w:fldChar w:fldCharType="separate"/>
          </w:r>
          <w:r>
            <w:rPr>
              <w:rFonts w:ascii="黑体" w:hAnsi="黑体" w:eastAsia="黑体"/>
              <w:sz w:val="24"/>
              <w:szCs w:val="24"/>
            </w:rPr>
            <w:t>180</w:t>
          </w:r>
          <w:r>
            <w:rPr>
              <w:rFonts w:ascii="黑体" w:hAnsi="黑体" w:eastAsia="黑体"/>
              <w:sz w:val="24"/>
              <w:szCs w:val="24"/>
            </w:rPr>
            <w:fldChar w:fldCharType="end"/>
          </w:r>
          <w:r>
            <w:rPr>
              <w:rFonts w:ascii="黑体" w:hAnsi="黑体" w:eastAsia="黑体"/>
              <w:sz w:val="24"/>
              <w:szCs w:val="24"/>
            </w:rPr>
            <w:fldChar w:fldCharType="end"/>
          </w:r>
        </w:p>
        <w:p>
          <w:pPr>
            <w:spacing w:line="360" w:lineRule="auto"/>
            <w:rPr>
              <w:rFonts w:ascii="黑体" w:hAnsi="黑体" w:eastAsia="黑体"/>
              <w:sz w:val="24"/>
              <w:szCs w:val="24"/>
            </w:rPr>
          </w:pPr>
          <w:r>
            <w:rPr>
              <w:rFonts w:ascii="黑体" w:hAnsi="黑体" w:eastAsia="黑体" w:cs="黑体"/>
              <w:sz w:val="24"/>
              <w:szCs w:val="24"/>
            </w:rPr>
            <w:fldChar w:fldCharType="end"/>
          </w:r>
        </w:p>
      </w:sdtContent>
    </w:sdt>
    <w:p>
      <w:pPr>
        <w:spacing w:beforeLines="50" w:afterLines="50"/>
        <w:jc w:val="center"/>
        <w:rPr>
          <w:rFonts w:ascii="黑体" w:hAnsi="黑体" w:eastAsia="黑体"/>
          <w:b/>
          <w:kern w:val="0"/>
          <w:sz w:val="30"/>
          <w:szCs w:val="30"/>
        </w:rPr>
      </w:pPr>
    </w:p>
    <w:p>
      <w:pPr>
        <w:spacing w:beforeLines="50" w:afterLines="50"/>
        <w:jc w:val="center"/>
        <w:rPr>
          <w:rFonts w:ascii="黑体" w:hAnsi="黑体" w:eastAsia="黑体"/>
          <w:b/>
          <w:kern w:val="0"/>
          <w:sz w:val="30"/>
          <w:szCs w:val="30"/>
        </w:rPr>
      </w:pPr>
    </w:p>
    <w:p>
      <w:pPr>
        <w:spacing w:beforeLines="50" w:afterLines="50"/>
        <w:jc w:val="center"/>
        <w:rPr>
          <w:rFonts w:ascii="黑体" w:hAnsi="黑体" w:eastAsia="黑体"/>
          <w:b/>
          <w:kern w:val="0"/>
          <w:sz w:val="30"/>
          <w:szCs w:val="30"/>
        </w:rPr>
      </w:pPr>
    </w:p>
    <w:p>
      <w:pPr>
        <w:spacing w:beforeLines="50" w:afterLines="50"/>
        <w:jc w:val="center"/>
        <w:rPr>
          <w:rFonts w:ascii="黑体" w:hAnsi="黑体" w:eastAsia="黑体"/>
          <w:b/>
          <w:kern w:val="0"/>
          <w:sz w:val="30"/>
          <w:szCs w:val="30"/>
        </w:rPr>
      </w:pPr>
      <w:r>
        <w:rPr>
          <w:rFonts w:ascii="黑体" w:hAnsi="黑体" w:eastAsia="黑体"/>
          <w:b/>
          <w:kern w:val="0"/>
          <w:sz w:val="30"/>
          <w:szCs w:val="30"/>
        </w:rPr>
        <w:t>前</w:t>
      </w:r>
      <w:r>
        <w:rPr>
          <w:rFonts w:hint="eastAsia" w:ascii="黑体" w:hAnsi="黑体" w:eastAsia="黑体"/>
          <w:b/>
          <w:kern w:val="0"/>
          <w:sz w:val="30"/>
          <w:szCs w:val="30"/>
        </w:rPr>
        <w:t xml:space="preserve">   </w:t>
      </w:r>
      <w:r>
        <w:rPr>
          <w:rFonts w:ascii="黑体" w:hAnsi="黑体" w:eastAsia="黑体"/>
          <w:b/>
          <w:kern w:val="0"/>
          <w:sz w:val="30"/>
          <w:szCs w:val="30"/>
        </w:rPr>
        <w:t>言</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按照省委两项改革</w:t>
      </w:r>
      <w:r>
        <w:rPr>
          <w:rFonts w:eastAsia="宋体" w:cs="Times New Roman" w:asciiTheme="minorEastAsia" w:hAnsiTheme="minorEastAsia"/>
          <w:kern w:val="0"/>
          <w:sz w:val="24"/>
          <w:szCs w:val="24"/>
        </w:rPr>
        <w:t>“</w:t>
      </w:r>
      <w:r>
        <w:rPr>
          <w:rFonts w:hint="eastAsia" w:eastAsia="宋体" w:cs="Times New Roman" w:asciiTheme="minorEastAsia" w:hAnsiTheme="minorEastAsia"/>
          <w:kern w:val="0"/>
          <w:sz w:val="24"/>
          <w:szCs w:val="24"/>
        </w:rPr>
        <w:t>后半篇</w:t>
      </w:r>
      <w:r>
        <w:rPr>
          <w:rFonts w:eastAsia="宋体" w:cs="Times New Roman" w:asciiTheme="minorEastAsia" w:hAnsiTheme="minorEastAsia"/>
          <w:kern w:val="0"/>
          <w:sz w:val="24"/>
          <w:szCs w:val="24"/>
        </w:rPr>
        <w:t>”</w:t>
      </w:r>
      <w:r>
        <w:rPr>
          <w:rFonts w:hint="eastAsia" w:eastAsia="宋体" w:cs="Times New Roman" w:asciiTheme="minorEastAsia" w:hAnsiTheme="minorEastAsia"/>
          <w:kern w:val="0"/>
          <w:sz w:val="24"/>
          <w:szCs w:val="24"/>
        </w:rPr>
        <w:t>文章工作部署，成遂协同绿色发展片区作为大英县乡镇级片区，被纳入第一批次启动</w:t>
      </w:r>
      <w:r>
        <w:rPr>
          <w:rFonts w:eastAsia="宋体" w:cs="Times New Roman" w:asciiTheme="minorEastAsia" w:hAnsiTheme="minorEastAsia"/>
          <w:kern w:val="0"/>
          <w:sz w:val="24"/>
          <w:szCs w:val="24"/>
        </w:rPr>
        <w:t>“</w:t>
      </w:r>
      <w:r>
        <w:rPr>
          <w:rFonts w:hint="eastAsia" w:eastAsia="宋体" w:cs="Times New Roman" w:asciiTheme="minorEastAsia" w:hAnsiTheme="minorEastAsia"/>
          <w:kern w:val="0"/>
          <w:sz w:val="24"/>
          <w:szCs w:val="24"/>
        </w:rPr>
        <w:t>乡镇级片区国土空间总体规划</w:t>
      </w:r>
      <w:r>
        <w:rPr>
          <w:rFonts w:eastAsia="宋体" w:cs="Times New Roman" w:asciiTheme="minorEastAsia" w:hAnsiTheme="minorEastAsia"/>
          <w:kern w:val="0"/>
          <w:sz w:val="24"/>
          <w:szCs w:val="24"/>
        </w:rPr>
        <w:t>”</w:t>
      </w:r>
      <w:r>
        <w:rPr>
          <w:rFonts w:hint="eastAsia" w:eastAsia="宋体" w:cs="Times New Roman" w:asciiTheme="minorEastAsia" w:hAnsiTheme="minorEastAsia"/>
          <w:kern w:val="0"/>
          <w:sz w:val="24"/>
          <w:szCs w:val="24"/>
        </w:rPr>
        <w:t>名单。</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大英县地处四川盆地中部，位于成渝地区双城经济圈黄金分割点，是成都、重庆、南充、遂宁等中心城市之间的重要节点城市，成渝铁路、沪蓉高速贯穿全境。全县幅员面积 701 平方公里，辖9镇1街道、197个村(社区)，户籍人口 52.25 万人、常住人口 38.73 万人。卓筒井是“世界石油钻井之父”，被誉为“中国第五大发明”，是国务院公布的首批国家级非物质文化遗产、第七批全国重点文物保护单位，是全市唯一获评“双国保”的文化遗产。大英县也是全国粮食生产先进县、全省第二批工业强县示范县、国家级生猪养殖标准化示范区、四川天府旅游名县。2020 年全县地区生产总值实现 183.11亿元，城乡居民人均可支配收入 23858 元。</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围绕成渝地区双城经济圈战略部署，结合</w:t>
      </w:r>
      <w:r>
        <w:rPr>
          <w:rFonts w:eastAsia="宋体" w:cs="Times New Roman" w:asciiTheme="minorEastAsia" w:hAnsiTheme="minorEastAsia"/>
          <w:kern w:val="0"/>
          <w:sz w:val="24"/>
          <w:szCs w:val="24"/>
        </w:rPr>
        <w:t>“</w:t>
      </w:r>
      <w:r>
        <w:rPr>
          <w:rFonts w:hint="eastAsia" w:eastAsia="宋体" w:cs="Times New Roman" w:asciiTheme="minorEastAsia" w:hAnsiTheme="minorEastAsia"/>
          <w:kern w:val="0"/>
          <w:sz w:val="24"/>
          <w:szCs w:val="24"/>
        </w:rPr>
        <w:t>建设成遂协同发展先行区、全国知名旅游度假目的地</w:t>
      </w:r>
      <w:r>
        <w:rPr>
          <w:rFonts w:eastAsia="宋体" w:cs="Times New Roman" w:asciiTheme="minorEastAsia" w:hAnsiTheme="minorEastAsia"/>
          <w:kern w:val="0"/>
          <w:sz w:val="24"/>
          <w:szCs w:val="24"/>
        </w:rPr>
        <w:t>”</w:t>
      </w:r>
      <w:r>
        <w:rPr>
          <w:rFonts w:hint="eastAsia" w:eastAsia="宋体" w:cs="Times New Roman" w:asciiTheme="minorEastAsia" w:hAnsiTheme="minorEastAsia"/>
          <w:kern w:val="0"/>
          <w:sz w:val="24"/>
          <w:szCs w:val="24"/>
        </w:rPr>
        <w:t>的县域发展新定位，按照省委“四个尊重”“六个优化”的要求充分考虑人口流向、经济流向等发展规律，结合县域资源分布、产业发展、生态保护、交通联系、历史文化传承等因素，将县域划分为 3 个镇级片区，即遂大融城发展片区、大英极核发展片区、成遂协同绿色发展片区，形成县城和卓筒井、隆盛、河边等3个中心镇带动的</w:t>
      </w:r>
      <w:r>
        <w:rPr>
          <w:rFonts w:eastAsia="宋体" w:cs="Times New Roman" w:asciiTheme="minorEastAsia" w:hAnsiTheme="minorEastAsia"/>
          <w:kern w:val="0"/>
          <w:sz w:val="24"/>
          <w:szCs w:val="24"/>
        </w:rPr>
        <w:t>“</w:t>
      </w:r>
      <w:r>
        <w:rPr>
          <w:rFonts w:hint="eastAsia" w:eastAsia="宋体" w:cs="Times New Roman" w:asciiTheme="minorEastAsia" w:hAnsiTheme="minorEastAsia"/>
          <w:kern w:val="0"/>
          <w:sz w:val="24"/>
          <w:szCs w:val="24"/>
        </w:rPr>
        <w:t>一干多支</w:t>
      </w:r>
      <w:r>
        <w:rPr>
          <w:rFonts w:eastAsia="宋体" w:cs="Times New Roman" w:asciiTheme="minorEastAsia" w:hAnsiTheme="minorEastAsia"/>
          <w:kern w:val="0"/>
          <w:sz w:val="24"/>
          <w:szCs w:val="24"/>
        </w:rPr>
        <w:t>”</w:t>
      </w:r>
      <w:r>
        <w:rPr>
          <w:rFonts w:hint="eastAsia" w:eastAsia="宋体" w:cs="Times New Roman" w:asciiTheme="minorEastAsia" w:hAnsiTheme="minorEastAsia"/>
          <w:kern w:val="0"/>
          <w:sz w:val="24"/>
          <w:szCs w:val="24"/>
        </w:rPr>
        <w:t>县域经济地理版图。</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成遂协同绿色发展片区由河边镇、玉峰镇和象山镇组成，两项改革前为7镇113村，两项改革后为3镇、62</w:t>
      </w:r>
      <w:r>
        <w:rPr>
          <w:rFonts w:eastAsia="宋体" w:cs="Times New Roman" w:asciiTheme="minorEastAsia" w:hAnsiTheme="minorEastAsia"/>
          <w:kern w:val="0"/>
          <w:sz w:val="24"/>
          <w:szCs w:val="24"/>
        </w:rPr>
        <w:t>个村</w:t>
      </w:r>
      <w:r>
        <w:rPr>
          <w:rFonts w:hint="eastAsia" w:eastAsia="宋体" w:cs="Times New Roman" w:asciiTheme="minorEastAsia" w:hAnsiTheme="minorEastAsia"/>
          <w:kern w:val="0"/>
          <w:sz w:val="24"/>
          <w:szCs w:val="24"/>
        </w:rPr>
        <w:t>（社区），国土面积</w:t>
      </w:r>
      <w:r>
        <w:rPr>
          <w:rFonts w:eastAsia="宋体" w:cs="Times New Roman" w:asciiTheme="minorEastAsia" w:hAnsiTheme="minorEastAsia"/>
          <w:kern w:val="0"/>
          <w:sz w:val="24"/>
          <w:szCs w:val="24"/>
        </w:rPr>
        <w:t>228.87</w:t>
      </w:r>
      <w:r>
        <w:rPr>
          <w:rFonts w:hint="eastAsia" w:eastAsia="宋体" w:cs="Times New Roman" w:asciiTheme="minorEastAsia" w:hAnsiTheme="minorEastAsia"/>
          <w:kern w:val="0"/>
          <w:sz w:val="24"/>
          <w:szCs w:val="24"/>
        </w:rPr>
        <w:t>平方公里。其国土空间总体规划是大英县国土空间总体规划的下位规划，是成遂协同片区国土空间保护、开发、利用、修复等工作的具体安排，是编制详细规划和相关专项规划、实施国土空间用途管制的法定依据。规划期限为</w:t>
      </w:r>
      <w:r>
        <w:rPr>
          <w:rFonts w:eastAsia="宋体" w:cs="Times New Roman" w:asciiTheme="minorEastAsia" w:hAnsiTheme="minorEastAsia"/>
          <w:kern w:val="0"/>
          <w:sz w:val="24"/>
          <w:szCs w:val="24"/>
        </w:rPr>
        <w:t>2021—2035</w:t>
      </w:r>
      <w:r>
        <w:rPr>
          <w:rFonts w:hint="eastAsia" w:eastAsia="宋体" w:cs="Times New Roman" w:asciiTheme="minorEastAsia" w:hAnsiTheme="minorEastAsia"/>
          <w:kern w:val="0"/>
          <w:sz w:val="24"/>
          <w:szCs w:val="24"/>
        </w:rPr>
        <w:t>年，基期年为</w:t>
      </w:r>
      <w:r>
        <w:rPr>
          <w:rFonts w:eastAsia="宋体" w:cs="Times New Roman" w:asciiTheme="minorEastAsia" w:hAnsiTheme="minorEastAsia"/>
          <w:kern w:val="0"/>
          <w:sz w:val="24"/>
          <w:szCs w:val="24"/>
        </w:rPr>
        <w:t>2020</w:t>
      </w:r>
      <w:r>
        <w:rPr>
          <w:rFonts w:hint="eastAsia" w:eastAsia="宋体" w:cs="Times New Roman" w:asciiTheme="minorEastAsia" w:hAnsiTheme="minorEastAsia"/>
          <w:kern w:val="0"/>
          <w:sz w:val="24"/>
          <w:szCs w:val="24"/>
        </w:rPr>
        <w:t>年。</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本规划自</w:t>
      </w:r>
      <w:r>
        <w:rPr>
          <w:rFonts w:eastAsia="宋体" w:cs="Times New Roman" w:asciiTheme="minorEastAsia" w:hAnsiTheme="minorEastAsia"/>
          <w:kern w:val="0"/>
          <w:sz w:val="24"/>
          <w:szCs w:val="24"/>
        </w:rPr>
        <w:t>2021</w:t>
      </w:r>
      <w:r>
        <w:rPr>
          <w:rFonts w:hint="eastAsia" w:eastAsia="宋体" w:cs="Times New Roman" w:asciiTheme="minorEastAsia" w:hAnsiTheme="minorEastAsia"/>
          <w:kern w:val="0"/>
          <w:sz w:val="24"/>
          <w:szCs w:val="24"/>
        </w:rPr>
        <w:t>年10月启动，至今已多次征求县级相关部门意见，反复修改完善，形成了现有规划成果。其成果包括文本、图件、数据库和规划附件，其中文本和图件是成遂协同绿色发展片区国土空间总体规划的法定文件，具有同等法律效力。</w:t>
      </w:r>
      <w:r>
        <w:rPr>
          <w:rFonts w:eastAsia="宋体" w:cs="Times New Roman" w:asciiTheme="minorEastAsia" w:hAnsiTheme="minorEastAsia"/>
          <w:kern w:val="0"/>
          <w:sz w:val="24"/>
          <w:szCs w:val="24"/>
        </w:rPr>
        <w:t xml:space="preserve"> </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本规划经遂宁市人民政府审批，由河边镇、玉峰镇和象山镇人民政府组织实施，大英县自然资源行政主管部门依法按照本规划进行规划管理；任何单位和个人不得擅自修改本规划，确需修改本规划的，应当依照法定程序进行修改，并及时更新国土空间基础信息平台数据信息。</w:t>
      </w:r>
    </w:p>
    <w:p>
      <w:pPr>
        <w:spacing w:line="480" w:lineRule="auto"/>
        <w:jc w:val="center"/>
        <w:rPr>
          <w:rFonts w:ascii="黑体" w:hAnsi="黑体" w:eastAsia="黑体"/>
          <w:sz w:val="44"/>
          <w:szCs w:val="44"/>
        </w:rPr>
      </w:pPr>
    </w:p>
    <w:p>
      <w:pPr>
        <w:spacing w:line="480" w:lineRule="auto"/>
        <w:jc w:val="center"/>
        <w:rPr>
          <w:rFonts w:ascii="黑体" w:hAnsi="黑体" w:eastAsia="黑体"/>
          <w:sz w:val="44"/>
          <w:szCs w:val="44"/>
        </w:rPr>
      </w:pPr>
    </w:p>
    <w:p>
      <w:pPr>
        <w:spacing w:line="480" w:lineRule="auto"/>
        <w:jc w:val="center"/>
        <w:rPr>
          <w:rFonts w:ascii="黑体" w:hAnsi="黑体" w:eastAsia="黑体"/>
          <w:sz w:val="44"/>
          <w:szCs w:val="44"/>
        </w:rPr>
      </w:pPr>
    </w:p>
    <w:p>
      <w:pPr>
        <w:spacing w:line="480" w:lineRule="auto"/>
        <w:jc w:val="center"/>
        <w:rPr>
          <w:rFonts w:ascii="黑体" w:hAnsi="黑体" w:eastAsia="黑体"/>
          <w:sz w:val="44"/>
          <w:szCs w:val="44"/>
        </w:rPr>
      </w:pPr>
    </w:p>
    <w:p>
      <w:pPr>
        <w:spacing w:line="480" w:lineRule="auto"/>
        <w:jc w:val="center"/>
        <w:rPr>
          <w:rFonts w:ascii="黑体" w:hAnsi="黑体" w:eastAsia="黑体"/>
          <w:sz w:val="44"/>
          <w:szCs w:val="44"/>
        </w:rPr>
      </w:pPr>
    </w:p>
    <w:p>
      <w:pPr>
        <w:spacing w:line="480" w:lineRule="auto"/>
        <w:jc w:val="center"/>
        <w:rPr>
          <w:rFonts w:ascii="黑体" w:hAnsi="黑体" w:eastAsia="黑体"/>
          <w:sz w:val="44"/>
          <w:szCs w:val="44"/>
        </w:rPr>
      </w:pPr>
    </w:p>
    <w:p>
      <w:pPr>
        <w:spacing w:line="480" w:lineRule="auto"/>
        <w:jc w:val="center"/>
        <w:rPr>
          <w:rFonts w:ascii="黑体" w:hAnsi="黑体" w:eastAsia="黑体"/>
          <w:sz w:val="44"/>
          <w:szCs w:val="44"/>
        </w:rPr>
      </w:pPr>
    </w:p>
    <w:p>
      <w:pPr>
        <w:spacing w:line="480" w:lineRule="auto"/>
        <w:jc w:val="center"/>
        <w:rPr>
          <w:rFonts w:ascii="黑体" w:hAnsi="黑体" w:eastAsia="黑体"/>
          <w:sz w:val="44"/>
          <w:szCs w:val="44"/>
        </w:rPr>
      </w:pPr>
    </w:p>
    <w:p>
      <w:pPr>
        <w:spacing w:line="480" w:lineRule="auto"/>
        <w:jc w:val="center"/>
        <w:rPr>
          <w:rFonts w:ascii="黑体" w:hAnsi="黑体" w:eastAsia="黑体"/>
          <w:sz w:val="44"/>
          <w:szCs w:val="44"/>
        </w:rPr>
      </w:pPr>
    </w:p>
    <w:p>
      <w:pPr>
        <w:spacing w:line="480" w:lineRule="auto"/>
        <w:jc w:val="center"/>
        <w:rPr>
          <w:rFonts w:ascii="黑体" w:hAnsi="黑体" w:eastAsia="黑体"/>
          <w:sz w:val="44"/>
          <w:szCs w:val="44"/>
        </w:rPr>
      </w:pPr>
    </w:p>
    <w:p>
      <w:pPr>
        <w:spacing w:line="480" w:lineRule="auto"/>
        <w:jc w:val="center"/>
        <w:rPr>
          <w:rFonts w:ascii="黑体" w:hAnsi="黑体" w:eastAsia="黑体"/>
          <w:sz w:val="44"/>
          <w:szCs w:val="44"/>
        </w:rPr>
      </w:pPr>
    </w:p>
    <w:p>
      <w:pPr>
        <w:spacing w:line="480" w:lineRule="auto"/>
        <w:jc w:val="center"/>
        <w:rPr>
          <w:rFonts w:ascii="黑体" w:hAnsi="黑体" w:eastAsia="黑体"/>
          <w:sz w:val="44"/>
          <w:szCs w:val="44"/>
        </w:rPr>
      </w:pPr>
    </w:p>
    <w:p>
      <w:pPr>
        <w:spacing w:line="480" w:lineRule="auto"/>
        <w:jc w:val="center"/>
        <w:rPr>
          <w:rFonts w:ascii="黑体" w:hAnsi="黑体" w:eastAsia="黑体"/>
          <w:sz w:val="44"/>
          <w:szCs w:val="44"/>
        </w:rPr>
      </w:pPr>
    </w:p>
    <w:p>
      <w:pPr>
        <w:spacing w:line="480" w:lineRule="auto"/>
        <w:jc w:val="center"/>
        <w:rPr>
          <w:rFonts w:ascii="黑体" w:hAnsi="黑体" w:eastAsia="黑体"/>
          <w:sz w:val="44"/>
          <w:szCs w:val="44"/>
        </w:rPr>
      </w:pPr>
    </w:p>
    <w:p>
      <w:pPr>
        <w:spacing w:line="480" w:lineRule="auto"/>
        <w:jc w:val="center"/>
        <w:rPr>
          <w:rFonts w:ascii="黑体" w:hAnsi="黑体" w:eastAsia="黑体"/>
          <w:sz w:val="44"/>
          <w:szCs w:val="44"/>
        </w:rPr>
      </w:pPr>
    </w:p>
    <w:p>
      <w:pPr>
        <w:spacing w:line="480" w:lineRule="auto"/>
        <w:jc w:val="center"/>
        <w:rPr>
          <w:rFonts w:ascii="黑体" w:hAnsi="黑体" w:eastAsia="黑体"/>
          <w:sz w:val="44"/>
          <w:szCs w:val="44"/>
        </w:rPr>
      </w:pPr>
    </w:p>
    <w:p>
      <w:pPr>
        <w:spacing w:line="480" w:lineRule="auto"/>
        <w:jc w:val="center"/>
        <w:rPr>
          <w:rFonts w:ascii="黑体" w:hAnsi="黑体" w:eastAsia="黑体"/>
          <w:sz w:val="44"/>
          <w:szCs w:val="44"/>
        </w:rPr>
      </w:pPr>
    </w:p>
    <w:p>
      <w:pPr>
        <w:spacing w:line="480" w:lineRule="auto"/>
        <w:jc w:val="center"/>
        <w:rPr>
          <w:rFonts w:ascii="黑体" w:hAnsi="黑体" w:eastAsia="黑体"/>
          <w:sz w:val="44"/>
          <w:szCs w:val="44"/>
        </w:rPr>
      </w:pPr>
    </w:p>
    <w:p>
      <w:pPr>
        <w:spacing w:line="480" w:lineRule="auto"/>
        <w:jc w:val="center"/>
        <w:rPr>
          <w:rFonts w:ascii="黑体" w:hAnsi="黑体" w:eastAsia="黑体"/>
          <w:sz w:val="44"/>
          <w:szCs w:val="44"/>
        </w:rPr>
      </w:pPr>
    </w:p>
    <w:p>
      <w:pPr>
        <w:spacing w:line="480" w:lineRule="auto"/>
        <w:jc w:val="center"/>
        <w:rPr>
          <w:rFonts w:ascii="黑体" w:hAnsi="黑体" w:eastAsia="黑体"/>
          <w:sz w:val="44"/>
          <w:szCs w:val="44"/>
        </w:rPr>
      </w:pPr>
    </w:p>
    <w:p>
      <w:pPr>
        <w:pStyle w:val="31"/>
        <w:numPr>
          <w:ilvl w:val="0"/>
          <w:numId w:val="1"/>
        </w:numPr>
        <w:spacing w:beforeLines="50" w:afterLines="50"/>
        <w:ind w:left="420"/>
        <w:rPr>
          <w:rFonts w:hAnsi="黑体"/>
        </w:rPr>
      </w:pPr>
      <w:bookmarkStart w:id="0" w:name="_Toc166772149"/>
      <w:r>
        <w:rPr>
          <w:rFonts w:hAnsi="黑体"/>
        </w:rPr>
        <w:t>总则</w:t>
      </w:r>
      <w:bookmarkEnd w:id="0"/>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乡镇级国土空间总体规划是对市县级国土空间总体规划的细化落实，是对划定的县域乡镇级片区（经济区、保护区或其他功能区）国土空间保护、开发、利用、修复等工作做出的具体安排，是实施国土空间用途管制、核发建设规划许可、编制详细规划和相关专项规划的法定依据。</w:t>
      </w:r>
    </w:p>
    <w:p>
      <w:pPr>
        <w:pStyle w:val="36"/>
        <w:numPr>
          <w:ilvl w:val="0"/>
          <w:numId w:val="2"/>
        </w:numPr>
        <w:spacing w:beforeLines="50" w:afterLines="50"/>
        <w:ind w:left="420" w:firstLineChars="0"/>
        <w:jc w:val="center"/>
        <w:rPr>
          <w:rFonts w:ascii="黑体" w:hAnsi="黑体" w:eastAsia="黑体"/>
          <w:b w:val="0"/>
          <w:kern w:val="2"/>
        </w:rPr>
      </w:pPr>
      <w:bookmarkStart w:id="1" w:name="_Toc166772150"/>
      <w:r>
        <w:rPr>
          <w:rFonts w:hint="eastAsia" w:ascii="黑体" w:hAnsi="黑体" w:eastAsia="黑体"/>
          <w:b w:val="0"/>
          <w:kern w:val="2"/>
        </w:rPr>
        <w:t>规划指导思想和原则</w:t>
      </w:r>
      <w:bookmarkEnd w:id="1"/>
    </w:p>
    <w:p>
      <w:pPr>
        <w:adjustRightInd w:val="0"/>
        <w:snapToGrid w:val="0"/>
        <w:spacing w:line="360" w:lineRule="auto"/>
        <w:ind w:firstLine="482" w:firstLineChars="200"/>
        <w:rPr>
          <w:rFonts w:ascii="黑体" w:hAnsi="黑体" w:eastAsia="黑体" w:cs="Times New Roman"/>
          <w:b/>
          <w:kern w:val="0"/>
          <w:sz w:val="24"/>
          <w:szCs w:val="24"/>
        </w:rPr>
      </w:pPr>
      <w:r>
        <w:rPr>
          <w:rFonts w:hint="eastAsia" w:ascii="黑体" w:hAnsi="黑体" w:eastAsia="黑体" w:cs="Times New Roman"/>
          <w:b/>
          <w:kern w:val="0"/>
          <w:sz w:val="24"/>
          <w:szCs w:val="24"/>
        </w:rPr>
        <w:t>一、指导思想</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lang w:val="en-US" w:eastAsia="zh-CN"/>
        </w:rPr>
        <w:t>坚持</w:t>
      </w:r>
      <w:r>
        <w:rPr>
          <w:rFonts w:hint="eastAsia" w:eastAsia="宋体" w:cs="Times New Roman" w:asciiTheme="minorEastAsia" w:hAnsiTheme="minorEastAsia"/>
          <w:kern w:val="0"/>
          <w:sz w:val="24"/>
          <w:szCs w:val="24"/>
        </w:rPr>
        <w:t>以习近平新时代中国特色社会主义思想为指导，</w:t>
      </w:r>
      <w:r>
        <w:rPr>
          <w:rFonts w:eastAsia="宋体" w:cs="Times New Roman" w:asciiTheme="minorEastAsia" w:hAnsiTheme="minorEastAsia"/>
          <w:kern w:val="0"/>
          <w:sz w:val="24"/>
          <w:szCs w:val="24"/>
        </w:rPr>
        <w:t>深入贯彻落实国家生态文明建设要求，全面贯彻党的十九大、二十大</w:t>
      </w:r>
      <w:r>
        <w:rPr>
          <w:rFonts w:hint="eastAsia" w:eastAsia="宋体" w:cs="Times New Roman" w:asciiTheme="minorEastAsia" w:hAnsiTheme="minorEastAsia"/>
          <w:kern w:val="0"/>
          <w:sz w:val="24"/>
          <w:szCs w:val="24"/>
        </w:rPr>
        <w:t>精神，</w:t>
      </w:r>
      <w:r>
        <w:rPr>
          <w:rFonts w:eastAsia="宋体" w:cs="Times New Roman" w:asciiTheme="minorEastAsia" w:hAnsiTheme="minorEastAsia"/>
          <w:kern w:val="0"/>
          <w:sz w:val="24"/>
          <w:szCs w:val="24"/>
        </w:rPr>
        <w:t>立足新发展阶段，贯彻新发展理念，融入新发展格局，全面贯彻落实党中央大政方针和省委决策部署，统筹发展与安全、开发与保护，紧扣“按实际划分片区，按片区编制规划，按规划优化布局、配置资源”的方向路径，科学编制乡村国土空间规划，做深做实四川省两项改革“后半篇”文章，大力推动乡村全面振兴和县域经济高质量发展。</w:t>
      </w:r>
    </w:p>
    <w:p>
      <w:pPr>
        <w:adjustRightInd w:val="0"/>
        <w:snapToGrid w:val="0"/>
        <w:spacing w:line="360" w:lineRule="auto"/>
        <w:ind w:firstLine="482" w:firstLineChars="200"/>
        <w:rPr>
          <w:rFonts w:ascii="黑体" w:hAnsi="黑体" w:eastAsia="黑体" w:cs="Times New Roman"/>
          <w:b/>
          <w:kern w:val="0"/>
          <w:sz w:val="24"/>
          <w:szCs w:val="24"/>
        </w:rPr>
      </w:pPr>
      <w:r>
        <w:rPr>
          <w:rFonts w:hint="eastAsia" w:ascii="黑体" w:hAnsi="黑体" w:eastAsia="黑体" w:cs="Times New Roman"/>
          <w:b/>
          <w:kern w:val="0"/>
          <w:sz w:val="24"/>
          <w:szCs w:val="24"/>
        </w:rPr>
        <w:t>二、规划原则</w:t>
      </w:r>
    </w:p>
    <w:p>
      <w:pPr>
        <w:adjustRightInd w:val="0"/>
        <w:snapToGrid w:val="0"/>
        <w:spacing w:line="360" w:lineRule="auto"/>
        <w:ind w:firstLine="482" w:firstLineChars="200"/>
        <w:rPr>
          <w:rFonts w:eastAsia="宋体" w:cs="Times New Roman" w:asciiTheme="minorEastAsia" w:hAnsiTheme="minorEastAsia"/>
          <w:kern w:val="0"/>
          <w:sz w:val="24"/>
          <w:szCs w:val="24"/>
        </w:rPr>
      </w:pPr>
      <w:r>
        <w:rPr>
          <w:rFonts w:eastAsia="宋体" w:cs="Times New Roman" w:asciiTheme="minorEastAsia" w:hAnsiTheme="minorEastAsia"/>
          <w:b/>
          <w:kern w:val="0"/>
          <w:sz w:val="24"/>
          <w:szCs w:val="24"/>
        </w:rPr>
        <w:t>坚持统筹底线和发展关系。</w:t>
      </w:r>
      <w:r>
        <w:rPr>
          <w:rFonts w:eastAsia="宋体" w:cs="Times New Roman" w:asciiTheme="minorEastAsia" w:hAnsiTheme="minorEastAsia"/>
          <w:kern w:val="0"/>
          <w:sz w:val="24"/>
          <w:szCs w:val="24"/>
        </w:rPr>
        <w:t>落实底线管控，坚持集约适度、绿色发展，统筹当下和长远，保持规划适度弹性，规划布局特色优势产业，引导发展新产业新业态，着力延长产业链条，推动形成产业发展新格局。</w:t>
      </w:r>
    </w:p>
    <w:p>
      <w:pPr>
        <w:adjustRightInd w:val="0"/>
        <w:snapToGrid w:val="0"/>
        <w:spacing w:line="360" w:lineRule="auto"/>
        <w:ind w:firstLine="482" w:firstLineChars="200"/>
        <w:rPr>
          <w:rFonts w:eastAsia="宋体" w:cs="Times New Roman" w:asciiTheme="minorEastAsia" w:hAnsiTheme="minorEastAsia"/>
          <w:kern w:val="0"/>
          <w:sz w:val="24"/>
          <w:szCs w:val="24"/>
        </w:rPr>
      </w:pPr>
      <w:r>
        <w:rPr>
          <w:rFonts w:eastAsia="宋体" w:cs="Times New Roman" w:asciiTheme="minorEastAsia" w:hAnsiTheme="minorEastAsia"/>
          <w:b/>
          <w:kern w:val="0"/>
          <w:sz w:val="24"/>
          <w:szCs w:val="24"/>
        </w:rPr>
        <w:t>坚持顺向优化资源分配</w:t>
      </w:r>
      <w:r>
        <w:rPr>
          <w:rFonts w:hint="eastAsia" w:eastAsia="宋体" w:cs="Times New Roman" w:asciiTheme="minorEastAsia" w:hAnsiTheme="minorEastAsia"/>
          <w:b/>
          <w:kern w:val="0"/>
          <w:sz w:val="24"/>
          <w:szCs w:val="24"/>
        </w:rPr>
        <w:t>。</w:t>
      </w:r>
      <w:r>
        <w:rPr>
          <w:rFonts w:eastAsia="宋体" w:cs="Times New Roman" w:asciiTheme="minorEastAsia" w:hAnsiTheme="minorEastAsia"/>
          <w:kern w:val="0"/>
          <w:sz w:val="24"/>
          <w:szCs w:val="24"/>
        </w:rPr>
        <w:t>把握中心镇与其他建制镇，中心村与一般村的关系，推动片区内教育、医疗、养老以及应急救援力量等公共资源集中布局、精准投放，引导市场要素合理分布。</w:t>
      </w:r>
    </w:p>
    <w:p>
      <w:pPr>
        <w:adjustRightInd w:val="0"/>
        <w:snapToGrid w:val="0"/>
        <w:spacing w:line="360" w:lineRule="auto"/>
        <w:ind w:firstLine="482" w:firstLineChars="200"/>
        <w:rPr>
          <w:rFonts w:eastAsia="宋体" w:cs="Times New Roman" w:asciiTheme="minorEastAsia" w:hAnsiTheme="minorEastAsia"/>
          <w:kern w:val="0"/>
          <w:sz w:val="24"/>
          <w:szCs w:val="24"/>
        </w:rPr>
      </w:pPr>
      <w:r>
        <w:rPr>
          <w:rFonts w:eastAsia="宋体" w:cs="Times New Roman" w:asciiTheme="minorEastAsia" w:hAnsiTheme="minorEastAsia"/>
          <w:b/>
          <w:kern w:val="0"/>
          <w:sz w:val="24"/>
          <w:szCs w:val="24"/>
        </w:rPr>
        <w:t>坚持盘活存量和做优增量。</w:t>
      </w:r>
      <w:r>
        <w:rPr>
          <w:rFonts w:eastAsia="宋体" w:cs="Times New Roman" w:asciiTheme="minorEastAsia" w:hAnsiTheme="minorEastAsia"/>
          <w:kern w:val="0"/>
          <w:sz w:val="24"/>
          <w:szCs w:val="24"/>
        </w:rPr>
        <w:t>通过集中调剂、统一置换、打包租赁等多种方式在更大范围盘活用好剩余闲置资产，对新增投放的各类资源要素严格按照片区规划优化结构和投向，切实提升综</w:t>
      </w:r>
      <w:r>
        <w:rPr>
          <w:rFonts w:hint="eastAsia" w:eastAsia="宋体" w:cs="Times New Roman" w:asciiTheme="minorEastAsia" w:hAnsiTheme="minorEastAsia"/>
          <w:kern w:val="0"/>
          <w:sz w:val="24"/>
          <w:szCs w:val="24"/>
        </w:rPr>
        <w:t>合使用效益。</w:t>
      </w:r>
    </w:p>
    <w:p>
      <w:pPr>
        <w:adjustRightInd w:val="0"/>
        <w:snapToGrid w:val="0"/>
        <w:spacing w:line="360" w:lineRule="auto"/>
        <w:ind w:firstLine="482" w:firstLineChars="200"/>
        <w:rPr>
          <w:rFonts w:eastAsia="宋体" w:cs="Times New Roman" w:asciiTheme="minorEastAsia" w:hAnsiTheme="minorEastAsia"/>
          <w:kern w:val="0"/>
          <w:sz w:val="24"/>
          <w:szCs w:val="24"/>
        </w:rPr>
      </w:pPr>
      <w:r>
        <w:rPr>
          <w:rFonts w:eastAsia="宋体" w:cs="Times New Roman" w:asciiTheme="minorEastAsia" w:hAnsiTheme="minorEastAsia"/>
          <w:b/>
          <w:kern w:val="0"/>
          <w:sz w:val="24"/>
          <w:szCs w:val="24"/>
        </w:rPr>
        <w:t>坚持上下衔接和多规合一。</w:t>
      </w:r>
      <w:r>
        <w:rPr>
          <w:rFonts w:eastAsia="宋体" w:cs="Times New Roman" w:asciiTheme="minorEastAsia" w:hAnsiTheme="minorEastAsia"/>
          <w:kern w:val="0"/>
          <w:sz w:val="24"/>
          <w:szCs w:val="24"/>
        </w:rPr>
        <w:t>科学划定农业、生态、城镇空间，做好与上位规划、其他专项规划的衔接，合理规划布局基础设施和公共服务设施，更好满足人的多样化</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多层次</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多方面需求。</w:t>
      </w:r>
    </w:p>
    <w:p>
      <w:pPr>
        <w:adjustRightInd w:val="0"/>
        <w:snapToGrid w:val="0"/>
        <w:spacing w:line="360" w:lineRule="auto"/>
        <w:ind w:firstLine="480" w:firstLineChars="200"/>
        <w:rPr>
          <w:rFonts w:eastAsia="宋体" w:cs="Times New Roman" w:asciiTheme="minorEastAsia" w:hAnsiTheme="minorEastAsia"/>
          <w:kern w:val="0"/>
          <w:sz w:val="24"/>
          <w:szCs w:val="24"/>
        </w:rPr>
      </w:pPr>
    </w:p>
    <w:p>
      <w:pPr>
        <w:pStyle w:val="36"/>
        <w:numPr>
          <w:ilvl w:val="0"/>
          <w:numId w:val="2"/>
        </w:numPr>
        <w:spacing w:beforeLines="50" w:afterLines="50"/>
        <w:ind w:left="420" w:firstLineChars="0"/>
        <w:jc w:val="center"/>
        <w:rPr>
          <w:rFonts w:ascii="黑体" w:hAnsi="黑体" w:eastAsia="黑体"/>
          <w:b w:val="0"/>
          <w:kern w:val="2"/>
        </w:rPr>
      </w:pPr>
      <w:bookmarkStart w:id="2" w:name="_Toc166772151"/>
      <w:r>
        <w:rPr>
          <w:rFonts w:hint="eastAsia" w:ascii="黑体" w:hAnsi="黑体" w:eastAsia="黑体"/>
          <w:b w:val="0"/>
          <w:kern w:val="2"/>
        </w:rPr>
        <w:t>规划依据</w:t>
      </w:r>
      <w:bookmarkEnd w:id="2"/>
    </w:p>
    <w:p>
      <w:pPr>
        <w:pStyle w:val="44"/>
        <w:numPr>
          <w:ilvl w:val="0"/>
          <w:numId w:val="3"/>
        </w:numPr>
        <w:adjustRightInd w:val="0"/>
        <w:snapToGrid w:val="0"/>
        <w:spacing w:line="360" w:lineRule="auto"/>
        <w:ind w:firstLineChars="0"/>
        <w:rPr>
          <w:rFonts w:ascii="黑体" w:hAnsi="黑体" w:eastAsia="黑体" w:cs="Times New Roman"/>
          <w:b/>
          <w:kern w:val="0"/>
          <w:sz w:val="24"/>
          <w:szCs w:val="24"/>
        </w:rPr>
      </w:pPr>
      <w:r>
        <w:rPr>
          <w:rFonts w:hint="eastAsia" w:ascii="黑体" w:hAnsi="黑体" w:eastAsia="黑体" w:cs="Times New Roman"/>
          <w:b/>
          <w:kern w:val="0"/>
          <w:sz w:val="24"/>
          <w:szCs w:val="24"/>
        </w:rPr>
        <w:t>法律法规</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1、《中华人民共和国土地管理法》（2019 年修订）</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2、《中华人民共和国城乡规划法》(2019 年修订)</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3、《中华人民共和国土地管理法实施条例》(2021 年 9 月1日施行)</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4、《中华人民共和国环境保护法》(2015 年修订)</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5、《中华人民共和国文物保护法》(2017 年修订)</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6、《基本农田保护条例(2011年修订)》</w:t>
      </w:r>
    </w:p>
    <w:p>
      <w:pPr>
        <w:adjustRightInd w:val="0"/>
        <w:snapToGrid w:val="0"/>
        <w:spacing w:line="360" w:lineRule="auto"/>
        <w:ind w:firstLine="480" w:firstLineChars="200"/>
        <w:rPr>
          <w:rFonts w:ascii="宋体" w:hAnsi="宋体" w:eastAsia="宋体" w:cs="Times New Roman"/>
          <w:kern w:val="0"/>
          <w:sz w:val="24"/>
          <w:szCs w:val="24"/>
        </w:rPr>
      </w:pPr>
      <w:r>
        <w:rPr>
          <w:rFonts w:hint="eastAsia" w:eastAsia="宋体" w:cs="Times New Roman" w:asciiTheme="minorEastAsia" w:hAnsiTheme="minorEastAsia"/>
          <w:kern w:val="0"/>
          <w:sz w:val="24"/>
          <w:szCs w:val="24"/>
        </w:rPr>
        <w:t>7、</w:t>
      </w:r>
      <w:r>
        <w:rPr>
          <w:rFonts w:hint="eastAsia" w:ascii="宋体" w:hAnsi="宋体" w:eastAsia="宋体" w:cs="Times New Roman"/>
          <w:kern w:val="0"/>
          <w:sz w:val="24"/>
          <w:szCs w:val="24"/>
        </w:rPr>
        <w:t>《四川省〈中华人民共和国土地管理法〉实施办法》（2022年修订）</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8、《四川省城乡规划条例》(2012年1月1日施行)</w:t>
      </w:r>
    </w:p>
    <w:p>
      <w:pPr>
        <w:adjustRightInd w:val="0"/>
        <w:snapToGrid w:val="0"/>
        <w:spacing w:line="360" w:lineRule="auto"/>
        <w:ind w:firstLine="482" w:firstLineChars="200"/>
        <w:rPr>
          <w:rFonts w:ascii="黑体" w:hAnsi="黑体" w:eastAsia="黑体" w:cs="Times New Roman"/>
          <w:b/>
          <w:kern w:val="0"/>
          <w:sz w:val="24"/>
          <w:szCs w:val="24"/>
        </w:rPr>
      </w:pPr>
      <w:r>
        <w:rPr>
          <w:rFonts w:hint="eastAsia" w:ascii="黑体" w:hAnsi="黑体" w:eastAsia="黑体" w:cs="Times New Roman"/>
          <w:b/>
          <w:kern w:val="0"/>
          <w:sz w:val="24"/>
          <w:szCs w:val="24"/>
        </w:rPr>
        <w:t>（二）政策文件</w:t>
      </w:r>
    </w:p>
    <w:p>
      <w:pPr>
        <w:adjustRightInd w:val="0"/>
        <w:snapToGrid w:val="0"/>
        <w:spacing w:line="360" w:lineRule="auto"/>
        <w:ind w:firstLine="480" w:firstLineChars="200"/>
        <w:rPr>
          <w:rFonts w:ascii="宋体" w:hAnsi="宋体" w:eastAsia="宋体" w:cs="Times New Roman"/>
          <w:kern w:val="0"/>
          <w:sz w:val="24"/>
          <w:szCs w:val="24"/>
        </w:rPr>
      </w:pPr>
      <w:r>
        <w:rPr>
          <w:rFonts w:hint="eastAsia" w:eastAsia="宋体" w:cs="Times New Roman" w:asciiTheme="minorEastAsia" w:hAnsiTheme="minorEastAsia"/>
          <w:kern w:val="0"/>
          <w:sz w:val="24"/>
          <w:szCs w:val="24"/>
        </w:rPr>
        <w:t>1、</w:t>
      </w:r>
      <w:r>
        <w:rPr>
          <w:rFonts w:hint="eastAsia" w:ascii="宋体" w:hAnsi="宋体" w:eastAsia="宋体" w:cs="Times New Roman"/>
          <w:kern w:val="0"/>
          <w:sz w:val="24"/>
          <w:szCs w:val="24"/>
        </w:rPr>
        <w:t>《高举中国特色社会主义伟大旗帜 为全面建设社会主义现代化国家而团结奋斗——在中国共产党第二十次全国代表大会上的报告》（2022年10月印发）</w:t>
      </w:r>
    </w:p>
    <w:p>
      <w:pPr>
        <w:adjustRightInd w:val="0"/>
        <w:snapToGrid w:val="0"/>
        <w:spacing w:line="360" w:lineRule="auto"/>
        <w:ind w:firstLine="480" w:firstLineChars="200"/>
        <w:rPr>
          <w:rFonts w:ascii="宋体" w:hAnsi="宋体" w:eastAsia="宋体" w:cs="Times New Roman"/>
          <w:kern w:val="0"/>
          <w:sz w:val="24"/>
          <w:szCs w:val="24"/>
        </w:rPr>
      </w:pPr>
      <w:r>
        <w:rPr>
          <w:rFonts w:hint="eastAsia" w:eastAsia="宋体" w:cs="Times New Roman" w:asciiTheme="minorEastAsia" w:hAnsiTheme="minorEastAsia"/>
          <w:kern w:val="0"/>
          <w:sz w:val="24"/>
          <w:szCs w:val="24"/>
        </w:rPr>
        <w:t>2、</w:t>
      </w:r>
      <w:r>
        <w:rPr>
          <w:rFonts w:hint="eastAsia" w:ascii="宋体" w:hAnsi="宋体" w:eastAsia="宋体" w:cs="Times New Roman"/>
          <w:kern w:val="0"/>
          <w:sz w:val="24"/>
          <w:szCs w:val="24"/>
        </w:rPr>
        <w:t>《关于建立国土空间规划体系并监督实施的若干意见》（中发〔2019〕18号）</w:t>
      </w:r>
    </w:p>
    <w:p>
      <w:pPr>
        <w:adjustRightInd w:val="0"/>
        <w:snapToGrid w:val="0"/>
        <w:spacing w:line="360" w:lineRule="auto"/>
        <w:ind w:firstLine="480" w:firstLineChars="200"/>
        <w:rPr>
          <w:rFonts w:ascii="宋体" w:hAnsi="宋体" w:eastAsia="宋体" w:cs="Times New Roman"/>
          <w:kern w:val="0"/>
          <w:sz w:val="24"/>
          <w:szCs w:val="24"/>
        </w:rPr>
      </w:pPr>
      <w:r>
        <w:rPr>
          <w:rFonts w:hint="eastAsia" w:eastAsia="宋体" w:cs="Times New Roman" w:asciiTheme="minorEastAsia" w:hAnsiTheme="minorEastAsia"/>
          <w:kern w:val="0"/>
          <w:sz w:val="24"/>
          <w:szCs w:val="24"/>
        </w:rPr>
        <w:t>3、</w:t>
      </w:r>
      <w:r>
        <w:rPr>
          <w:rFonts w:hint="eastAsia" w:ascii="宋体" w:hAnsi="宋体" w:eastAsia="宋体" w:cs="Times New Roman"/>
          <w:kern w:val="0"/>
          <w:sz w:val="24"/>
          <w:szCs w:val="24"/>
        </w:rPr>
        <w:t>《中共四川省委关于深入学习贯彻党的二十大精神在全面建设社会主义现代化国家新征程上奋力谱写四川发展新篇章的决定》（2022年11月印发）</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4、</w:t>
      </w:r>
      <w:r>
        <w:rPr>
          <w:rFonts w:eastAsia="宋体" w:cs="Times New Roman" w:asciiTheme="minorEastAsia" w:hAnsiTheme="minorEastAsia"/>
          <w:kern w:val="0"/>
          <w:sz w:val="24"/>
          <w:szCs w:val="24"/>
        </w:rPr>
        <w:t>《中共中央国务院关于进一步加强城市规划建设管理工作的若干意见》</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5、</w:t>
      </w:r>
      <w:r>
        <w:rPr>
          <w:rFonts w:eastAsia="宋体" w:cs="Times New Roman" w:asciiTheme="minorEastAsia" w:hAnsiTheme="minorEastAsia"/>
          <w:kern w:val="0"/>
          <w:sz w:val="24"/>
          <w:szCs w:val="24"/>
        </w:rPr>
        <w:t>《国务院关于深入推进新型城镇化建设的若干意见》</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6、</w:t>
      </w:r>
      <w:r>
        <w:rPr>
          <w:rFonts w:eastAsia="宋体" w:cs="Times New Roman" w:asciiTheme="minorEastAsia" w:hAnsiTheme="minorEastAsia"/>
          <w:kern w:val="0"/>
          <w:sz w:val="24"/>
          <w:szCs w:val="24"/>
        </w:rPr>
        <w:t>《自然资源部关于全面开展国土空间规划工作的通知》</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7、</w:t>
      </w:r>
      <w:r>
        <w:rPr>
          <w:rFonts w:eastAsia="宋体" w:cs="Times New Roman" w:asciiTheme="minorEastAsia" w:hAnsiTheme="minorEastAsia"/>
          <w:kern w:val="0"/>
          <w:sz w:val="24"/>
          <w:szCs w:val="24"/>
        </w:rPr>
        <w:t>四川省自然资源厅《关于加快推进省级试点乡村国土空间规划编制及典型乡镇级片区专项规划编制工作的通知》</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8、</w:t>
      </w:r>
      <w:r>
        <w:rPr>
          <w:rFonts w:eastAsia="宋体" w:cs="Times New Roman" w:asciiTheme="minorEastAsia" w:hAnsiTheme="minorEastAsia"/>
          <w:kern w:val="0"/>
          <w:sz w:val="24"/>
          <w:szCs w:val="24"/>
        </w:rPr>
        <w:t>四川省级专班《关于做好第一批次乡镇级片区国土空间规划编制工作的通知》</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9、</w:t>
      </w:r>
      <w:r>
        <w:fldChar w:fldCharType="begin"/>
      </w:r>
      <w:r>
        <w:instrText xml:space="preserve"> HYPERLINK "http://www.baidu.com/link?url=2ojij2NRS5X0-I-T-XKFNXQVgZnLnzvNVckxRyuQQFQZyHly99RPvyI7VF7a7r3Omlr4FQ7Xq6otZy0LU7L20-7S6Gk-vCS9K5I9Q2qMacO" \t "https://www.baidu.com/_blank" </w:instrText>
      </w:r>
      <w:r>
        <w:fldChar w:fldCharType="separate"/>
      </w:r>
      <w:r>
        <w:rPr>
          <w:rFonts w:hint="eastAsia" w:eastAsia="宋体" w:cs="Times New Roman" w:asciiTheme="minorEastAsia" w:hAnsiTheme="minorEastAsia"/>
          <w:kern w:val="0"/>
          <w:sz w:val="24"/>
          <w:szCs w:val="24"/>
        </w:rPr>
        <w:t>省委十二届三次全会</w:t>
      </w:r>
      <w:r>
        <w:rPr>
          <w:rFonts w:hint="eastAsia" w:eastAsia="宋体" w:cs="Times New Roman" w:asciiTheme="minorEastAsia" w:hAnsiTheme="minorEastAsia"/>
          <w:kern w:val="0"/>
          <w:sz w:val="24"/>
          <w:szCs w:val="24"/>
        </w:rPr>
        <w:fldChar w:fldCharType="end"/>
      </w:r>
      <w:r>
        <w:rPr>
          <w:rFonts w:hint="eastAsia" w:eastAsia="宋体" w:cs="Times New Roman" w:asciiTheme="minorEastAsia" w:hAnsiTheme="minorEastAsia"/>
          <w:kern w:val="0"/>
          <w:sz w:val="24"/>
          <w:szCs w:val="24"/>
        </w:rPr>
        <w:t>精神以及会议通过的《中共四川省委关于深入推进新型工业化加快建设现代化产业体系的决定》</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10、中共大英</w:t>
      </w:r>
      <w:r>
        <w:rPr>
          <w:rFonts w:eastAsia="宋体" w:cs="Times New Roman" w:asciiTheme="minorEastAsia" w:hAnsiTheme="minorEastAsia"/>
          <w:kern w:val="0"/>
          <w:sz w:val="24"/>
          <w:szCs w:val="24"/>
        </w:rPr>
        <w:t>县委、县人民政府落实中央、省、市决策部署出台的相关政策</w:t>
      </w:r>
      <w:r>
        <w:rPr>
          <w:rFonts w:hint="eastAsia" w:eastAsia="宋体" w:cs="Times New Roman" w:asciiTheme="minorEastAsia" w:hAnsiTheme="minorEastAsia"/>
          <w:kern w:val="0"/>
          <w:sz w:val="24"/>
          <w:szCs w:val="24"/>
        </w:rPr>
        <w:t>文件</w:t>
      </w:r>
    </w:p>
    <w:p>
      <w:pPr>
        <w:adjustRightInd w:val="0"/>
        <w:snapToGrid w:val="0"/>
        <w:spacing w:line="360" w:lineRule="auto"/>
        <w:ind w:firstLine="482" w:firstLineChars="200"/>
        <w:rPr>
          <w:rFonts w:ascii="黑体" w:hAnsi="黑体" w:eastAsia="黑体" w:cs="Times New Roman"/>
          <w:b/>
          <w:kern w:val="0"/>
          <w:sz w:val="24"/>
          <w:szCs w:val="24"/>
        </w:rPr>
      </w:pPr>
      <w:r>
        <w:rPr>
          <w:rFonts w:hint="eastAsia" w:ascii="黑体" w:hAnsi="黑体" w:eastAsia="黑体" w:cs="Times New Roman"/>
          <w:b/>
          <w:kern w:val="0"/>
          <w:sz w:val="24"/>
          <w:szCs w:val="24"/>
        </w:rPr>
        <w:t>（三）标准规范</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1、《国土空间调查、规划、用途管制用地用海分类指南（试行）》</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2、《四川省乡镇级国土空间总体规划编制指南》</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3、</w:t>
      </w:r>
      <w:r>
        <w:rPr>
          <w:rFonts w:eastAsia="宋体" w:cs="Times New Roman" w:asciiTheme="minorEastAsia" w:hAnsiTheme="minorEastAsia"/>
          <w:kern w:val="0"/>
          <w:sz w:val="24"/>
          <w:szCs w:val="24"/>
        </w:rPr>
        <w:t>四川省自然资源厅《四川省乡镇级、村级规划编制指南和备案审查要点的通知</w:t>
      </w:r>
      <w:r>
        <w:rPr>
          <w:rFonts w:hint="eastAsia" w:eastAsia="宋体" w:cs="Times New Roman" w:asciiTheme="minorEastAsia" w:hAnsiTheme="minorEastAsia"/>
          <w:kern w:val="0"/>
          <w:sz w:val="24"/>
          <w:szCs w:val="24"/>
        </w:rPr>
        <w:t>》</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4、《四川省城镇详细规划编制指南（试行）》</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5、《四川省城镇详细规划备案审查工作规程（征求意见稿）》</w:t>
      </w:r>
    </w:p>
    <w:p>
      <w:pPr>
        <w:adjustRightInd w:val="0"/>
        <w:snapToGrid w:val="0"/>
        <w:spacing w:line="360" w:lineRule="auto"/>
        <w:ind w:firstLine="482" w:firstLineChars="200"/>
        <w:rPr>
          <w:rFonts w:ascii="黑体" w:hAnsi="黑体" w:eastAsia="黑体" w:cs="Times New Roman"/>
          <w:b/>
          <w:kern w:val="0"/>
          <w:sz w:val="24"/>
          <w:szCs w:val="24"/>
        </w:rPr>
      </w:pPr>
      <w:r>
        <w:rPr>
          <w:rFonts w:hint="eastAsia" w:ascii="黑体" w:hAnsi="黑体" w:eastAsia="黑体" w:cs="Times New Roman"/>
          <w:b/>
          <w:kern w:val="0"/>
          <w:sz w:val="24"/>
          <w:szCs w:val="24"/>
        </w:rPr>
        <w:t>（四）相关规划</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1、《四川省国土空间规划 (2020-2035 年)》2022.12</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2、《成渝地区双城经济圈发展规划》2020年</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3、《遂宁市国土空间总体规划 (2021-2035 年)》2023.1</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4、《</w:t>
      </w:r>
      <w:r>
        <w:rPr>
          <w:rFonts w:eastAsia="宋体" w:cs="Times New Roman" w:asciiTheme="minorEastAsia" w:hAnsiTheme="minorEastAsia"/>
          <w:kern w:val="0"/>
          <w:sz w:val="24"/>
          <w:szCs w:val="24"/>
        </w:rPr>
        <w:t>大英县国土空间总体规划（20</w:t>
      </w:r>
      <w:r>
        <w:rPr>
          <w:rFonts w:hint="eastAsia" w:eastAsia="宋体" w:cs="Times New Roman" w:asciiTheme="minorEastAsia" w:hAnsiTheme="minorEastAsia"/>
          <w:kern w:val="0"/>
          <w:sz w:val="24"/>
          <w:szCs w:val="24"/>
        </w:rPr>
        <w:t>21</w:t>
      </w:r>
      <w:r>
        <w:rPr>
          <w:rFonts w:eastAsia="宋体" w:cs="Times New Roman" w:asciiTheme="minorEastAsia" w:hAnsiTheme="minorEastAsia"/>
          <w:kern w:val="0"/>
          <w:sz w:val="24"/>
          <w:szCs w:val="24"/>
        </w:rPr>
        <w:t>-2035年）》</w:t>
      </w:r>
      <w:r>
        <w:rPr>
          <w:rFonts w:hint="eastAsia" w:eastAsia="宋体" w:cs="Times New Roman" w:asciiTheme="minorEastAsia" w:hAnsiTheme="minorEastAsia"/>
          <w:kern w:val="0"/>
          <w:sz w:val="24"/>
          <w:szCs w:val="24"/>
        </w:rPr>
        <w:t>2023.2</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5、《大英县国民经济和社会发展第十四个五年规划纲要》2020</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6、其他大英县相关专项规划和调查评价成果</w:t>
      </w:r>
    </w:p>
    <w:p>
      <w:pPr>
        <w:pStyle w:val="36"/>
        <w:numPr>
          <w:ilvl w:val="0"/>
          <w:numId w:val="2"/>
        </w:numPr>
        <w:spacing w:beforeLines="50" w:afterLines="50"/>
        <w:ind w:left="420" w:firstLineChars="0"/>
        <w:jc w:val="center"/>
        <w:rPr>
          <w:rFonts w:ascii="黑体" w:hAnsi="黑体" w:eastAsia="黑体"/>
          <w:b w:val="0"/>
          <w:kern w:val="2"/>
        </w:rPr>
      </w:pPr>
      <w:bookmarkStart w:id="3" w:name="_Toc166772152"/>
      <w:r>
        <w:rPr>
          <w:rFonts w:hint="eastAsia" w:ascii="黑体" w:hAnsi="黑体" w:eastAsia="黑体"/>
          <w:b w:val="0"/>
          <w:kern w:val="2"/>
        </w:rPr>
        <w:t>规划层次、范围和期限</w:t>
      </w:r>
      <w:bookmarkEnd w:id="3"/>
    </w:p>
    <w:p>
      <w:pPr>
        <w:adjustRightInd w:val="0"/>
        <w:snapToGrid w:val="0"/>
        <w:spacing w:line="360" w:lineRule="auto"/>
        <w:ind w:firstLine="482" w:firstLineChars="200"/>
        <w:rPr>
          <w:rFonts w:ascii="黑体" w:hAnsi="黑体" w:eastAsia="黑体" w:cs="Times New Roman"/>
          <w:b/>
          <w:kern w:val="0"/>
          <w:sz w:val="24"/>
          <w:szCs w:val="24"/>
        </w:rPr>
      </w:pPr>
      <w:r>
        <w:rPr>
          <w:rFonts w:hint="eastAsia" w:ascii="黑体" w:hAnsi="黑体" w:eastAsia="黑体" w:cs="Times New Roman"/>
          <w:b/>
          <w:kern w:val="0"/>
          <w:sz w:val="24"/>
          <w:szCs w:val="24"/>
        </w:rPr>
        <w:t>一、规划层次</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本规划包括片区规划和镇区规划两个层次，片区规划的主要任务是对片区全域的国土空间和相关资源要素进行统筹安排；镇区规划的主要任务是对片区内各乡镇人民政府驻地镇城镇开发边界以内的用地进行布局安排。</w:t>
      </w:r>
    </w:p>
    <w:p>
      <w:pPr>
        <w:adjustRightInd w:val="0"/>
        <w:snapToGrid w:val="0"/>
        <w:spacing w:line="360" w:lineRule="auto"/>
        <w:ind w:firstLine="482" w:firstLineChars="200"/>
        <w:rPr>
          <w:rFonts w:ascii="黑体" w:hAnsi="黑体" w:eastAsia="黑体" w:cs="Times New Roman"/>
          <w:b/>
          <w:kern w:val="0"/>
          <w:sz w:val="24"/>
          <w:szCs w:val="24"/>
        </w:rPr>
      </w:pPr>
      <w:r>
        <w:rPr>
          <w:rFonts w:hint="eastAsia" w:ascii="黑体" w:hAnsi="黑体" w:eastAsia="黑体" w:cs="Times New Roman"/>
          <w:b/>
          <w:kern w:val="0"/>
          <w:sz w:val="24"/>
          <w:szCs w:val="24"/>
        </w:rPr>
        <w:t>二、规划范围</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规划范围辖河边镇、象山镇和玉峰镇</w:t>
      </w:r>
      <w:r>
        <w:rPr>
          <w:rFonts w:hint="eastAsia" w:eastAsia="宋体" w:cs="Times New Roman" w:asciiTheme="minorEastAsia" w:hAnsiTheme="minorEastAsia"/>
          <w:kern w:val="0"/>
          <w:sz w:val="24"/>
          <w:szCs w:val="24"/>
        </w:rPr>
        <w:t>全域</w:t>
      </w:r>
      <w:r>
        <w:rPr>
          <w:rFonts w:eastAsia="宋体" w:cs="Times New Roman" w:asciiTheme="minorEastAsia" w:hAnsiTheme="minorEastAsia"/>
          <w:kern w:val="0"/>
          <w:sz w:val="24"/>
          <w:szCs w:val="24"/>
        </w:rPr>
        <w:t>，共包括4个</w:t>
      </w:r>
      <w:r>
        <w:rPr>
          <w:rFonts w:hint="eastAsia" w:eastAsia="宋体" w:cs="Times New Roman" w:asciiTheme="minorEastAsia" w:hAnsiTheme="minorEastAsia"/>
          <w:kern w:val="0"/>
          <w:sz w:val="24"/>
          <w:szCs w:val="24"/>
        </w:rPr>
        <w:t>社区、</w:t>
      </w:r>
      <w:r>
        <w:rPr>
          <w:rFonts w:eastAsia="宋体" w:cs="Times New Roman" w:asciiTheme="minorEastAsia" w:hAnsiTheme="minorEastAsia"/>
          <w:kern w:val="0"/>
          <w:sz w:val="24"/>
          <w:szCs w:val="24"/>
        </w:rPr>
        <w:t>58个村，片区总面积228.87</w:t>
      </w:r>
      <w:r>
        <w:rPr>
          <w:rFonts w:hint="eastAsia" w:eastAsia="宋体" w:cs="Times New Roman" w:asciiTheme="minorEastAsia" w:hAnsiTheme="minorEastAsia"/>
          <w:kern w:val="0"/>
          <w:sz w:val="24"/>
          <w:szCs w:val="24"/>
        </w:rPr>
        <w:t>平方公里。</w:t>
      </w:r>
    </w:p>
    <w:p>
      <w:pPr>
        <w:adjustRightInd w:val="0"/>
        <w:snapToGrid w:val="0"/>
        <w:spacing w:line="360" w:lineRule="auto"/>
        <w:ind w:firstLine="482" w:firstLineChars="200"/>
        <w:rPr>
          <w:rFonts w:ascii="黑体" w:hAnsi="黑体" w:eastAsia="黑体" w:cs="Times New Roman"/>
          <w:b/>
          <w:kern w:val="0"/>
          <w:sz w:val="24"/>
          <w:szCs w:val="24"/>
        </w:rPr>
      </w:pPr>
      <w:r>
        <w:rPr>
          <w:rFonts w:hint="eastAsia" w:ascii="黑体" w:hAnsi="黑体" w:eastAsia="黑体" w:cs="Times New Roman"/>
          <w:b/>
          <w:kern w:val="0"/>
          <w:sz w:val="24"/>
          <w:szCs w:val="24"/>
        </w:rPr>
        <w:t>三、规划期限</w:t>
      </w:r>
    </w:p>
    <w:p>
      <w:pPr>
        <w:adjustRightInd w:val="0"/>
        <w:snapToGrid w:val="0"/>
        <w:spacing w:line="360" w:lineRule="auto"/>
        <w:ind w:firstLine="482" w:firstLineChars="200"/>
        <w:rPr>
          <w:rFonts w:eastAsia="宋体" w:cs="Times New Roman" w:asciiTheme="minorEastAsia" w:hAnsiTheme="minorEastAsia"/>
          <w:b/>
          <w:kern w:val="0"/>
          <w:sz w:val="24"/>
          <w:szCs w:val="24"/>
          <w:u w:val="single"/>
        </w:rPr>
      </w:pPr>
      <w:r>
        <w:rPr>
          <w:rFonts w:eastAsia="宋体" w:cs="Times New Roman" w:asciiTheme="minorEastAsia" w:hAnsiTheme="minorEastAsia"/>
          <w:b/>
          <w:kern w:val="0"/>
          <w:sz w:val="24"/>
          <w:szCs w:val="24"/>
          <w:u w:val="single"/>
        </w:rPr>
        <w:t xml:space="preserve">规划期限为2021-2035 </w:t>
      </w:r>
      <w:r>
        <w:rPr>
          <w:rFonts w:hint="eastAsia" w:eastAsia="宋体" w:cs="Times New Roman" w:asciiTheme="minorEastAsia" w:hAnsiTheme="minorEastAsia"/>
          <w:b/>
          <w:kern w:val="0"/>
          <w:sz w:val="24"/>
          <w:szCs w:val="24"/>
          <w:u w:val="single"/>
        </w:rPr>
        <w:t>年，近期至</w:t>
      </w:r>
      <w:r>
        <w:rPr>
          <w:rFonts w:eastAsia="宋体" w:cs="Times New Roman" w:asciiTheme="minorEastAsia" w:hAnsiTheme="minorEastAsia"/>
          <w:b/>
          <w:kern w:val="0"/>
          <w:sz w:val="24"/>
          <w:szCs w:val="24"/>
          <w:u w:val="single"/>
        </w:rPr>
        <w:t xml:space="preserve">2025 </w:t>
      </w:r>
      <w:r>
        <w:rPr>
          <w:rFonts w:hint="eastAsia" w:eastAsia="宋体" w:cs="Times New Roman" w:asciiTheme="minorEastAsia" w:hAnsiTheme="minorEastAsia"/>
          <w:b/>
          <w:kern w:val="0"/>
          <w:sz w:val="24"/>
          <w:szCs w:val="24"/>
          <w:u w:val="single"/>
        </w:rPr>
        <w:t>年。</w:t>
      </w:r>
    </w:p>
    <w:p>
      <w:pPr>
        <w:pStyle w:val="36"/>
        <w:numPr>
          <w:ilvl w:val="0"/>
          <w:numId w:val="2"/>
        </w:numPr>
        <w:spacing w:beforeLines="50" w:afterLines="50"/>
        <w:ind w:left="420" w:firstLineChars="0"/>
        <w:jc w:val="center"/>
        <w:rPr>
          <w:rFonts w:ascii="黑体" w:hAnsi="黑体" w:eastAsia="黑体"/>
          <w:b w:val="0"/>
          <w:kern w:val="2"/>
        </w:rPr>
      </w:pPr>
      <w:bookmarkStart w:id="4" w:name="_Toc166772153"/>
      <w:r>
        <w:rPr>
          <w:rFonts w:hint="eastAsia" w:ascii="黑体" w:hAnsi="黑体" w:eastAsia="黑体"/>
          <w:b w:val="0"/>
          <w:kern w:val="2"/>
        </w:rPr>
        <w:t>规划地位和作用</w:t>
      </w:r>
      <w:bookmarkEnd w:id="4"/>
    </w:p>
    <w:p>
      <w:pPr>
        <w:adjustRightInd w:val="0"/>
        <w:snapToGrid w:val="0"/>
        <w:spacing w:line="360" w:lineRule="auto"/>
        <w:ind w:firstLine="482" w:firstLineChars="200"/>
        <w:rPr>
          <w:rFonts w:ascii="黑体" w:hAnsi="黑体" w:eastAsia="黑体" w:cs="Times New Roman"/>
          <w:b/>
          <w:kern w:val="0"/>
          <w:sz w:val="24"/>
          <w:szCs w:val="24"/>
        </w:rPr>
      </w:pPr>
      <w:r>
        <w:rPr>
          <w:rFonts w:hint="eastAsia" w:ascii="黑体" w:hAnsi="黑体" w:eastAsia="黑体" w:cs="Times New Roman"/>
          <w:b/>
          <w:kern w:val="0"/>
          <w:sz w:val="24"/>
          <w:szCs w:val="24"/>
        </w:rPr>
        <w:t>一、规划地位</w:t>
      </w:r>
    </w:p>
    <w:p>
      <w:pPr>
        <w:adjustRightInd w:val="0"/>
        <w:snapToGrid w:val="0"/>
        <w:spacing w:line="360" w:lineRule="auto"/>
        <w:ind w:firstLine="482"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b/>
          <w:kern w:val="0"/>
          <w:sz w:val="24"/>
          <w:szCs w:val="24"/>
          <w:u w:val="single"/>
        </w:rPr>
        <w:t>本规划是指导</w:t>
      </w:r>
      <w:r>
        <w:rPr>
          <w:rFonts w:eastAsia="宋体" w:cs="Times New Roman" w:asciiTheme="minorEastAsia" w:hAnsiTheme="minorEastAsia"/>
          <w:b/>
          <w:kern w:val="0"/>
          <w:sz w:val="24"/>
          <w:szCs w:val="24"/>
          <w:u w:val="single"/>
        </w:rPr>
        <w:t>大英县成遂协同绿色发展片区</w:t>
      </w:r>
      <w:r>
        <w:rPr>
          <w:rFonts w:hint="eastAsia" w:eastAsia="宋体" w:cs="Times New Roman" w:asciiTheme="minorEastAsia" w:hAnsiTheme="minorEastAsia"/>
          <w:b/>
          <w:kern w:val="0"/>
          <w:sz w:val="24"/>
          <w:szCs w:val="24"/>
          <w:u w:val="single"/>
        </w:rPr>
        <w:t>未来一定时期内国土空间保护开发利用修复</w:t>
      </w:r>
      <w:r>
        <w:rPr>
          <w:rFonts w:eastAsia="宋体" w:cs="Times New Roman" w:asciiTheme="minorEastAsia" w:hAnsiTheme="minorEastAsia"/>
          <w:b/>
          <w:kern w:val="0"/>
          <w:sz w:val="24"/>
          <w:szCs w:val="24"/>
          <w:u w:val="single"/>
        </w:rPr>
        <w:t>的法定依据</w:t>
      </w:r>
      <w:r>
        <w:rPr>
          <w:rFonts w:hint="eastAsia" w:eastAsia="宋体" w:cs="Times New Roman" w:asciiTheme="minorEastAsia" w:hAnsiTheme="minorEastAsia"/>
          <w:b/>
          <w:kern w:val="0"/>
          <w:sz w:val="24"/>
          <w:szCs w:val="24"/>
          <w:u w:val="single"/>
        </w:rPr>
        <w:t>，是片区编制各类专项规划、详细规划和乡村规划的法定依据。</w:t>
      </w:r>
      <w:r>
        <w:rPr>
          <w:rFonts w:hint="eastAsia" w:eastAsia="宋体" w:cs="Times New Roman" w:asciiTheme="minorEastAsia" w:hAnsiTheme="minorEastAsia"/>
          <w:kern w:val="0"/>
          <w:sz w:val="24"/>
          <w:szCs w:val="24"/>
        </w:rPr>
        <w:t>片区内各项国土空间保护与开发活动，均应符合本规划，涉及国土空间布局的相关规划，不得违背本规划的要求。</w:t>
      </w:r>
    </w:p>
    <w:p>
      <w:pPr>
        <w:adjustRightInd w:val="0"/>
        <w:snapToGrid w:val="0"/>
        <w:spacing w:line="360" w:lineRule="auto"/>
        <w:ind w:firstLine="482" w:firstLineChars="200"/>
        <w:rPr>
          <w:rFonts w:ascii="黑体" w:hAnsi="黑体" w:eastAsia="黑体" w:cs="Times New Roman"/>
          <w:b/>
          <w:kern w:val="0"/>
          <w:sz w:val="24"/>
          <w:szCs w:val="24"/>
        </w:rPr>
      </w:pPr>
      <w:r>
        <w:rPr>
          <w:rFonts w:hint="eastAsia" w:ascii="黑体" w:hAnsi="黑体" w:eastAsia="黑体" w:cs="Times New Roman"/>
          <w:b/>
          <w:kern w:val="0"/>
          <w:sz w:val="24"/>
          <w:szCs w:val="24"/>
        </w:rPr>
        <w:t>二、规划作用</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通过本规划</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引导</w:t>
      </w:r>
      <w:r>
        <w:rPr>
          <w:rFonts w:hint="eastAsia" w:eastAsia="宋体" w:cs="Times New Roman" w:asciiTheme="minorEastAsia" w:hAnsiTheme="minorEastAsia"/>
          <w:kern w:val="0"/>
          <w:sz w:val="24"/>
          <w:szCs w:val="24"/>
        </w:rPr>
        <w:t>大英</w:t>
      </w:r>
      <w:r>
        <w:rPr>
          <w:rFonts w:eastAsia="宋体" w:cs="Times New Roman" w:asciiTheme="minorEastAsia" w:hAnsiTheme="minorEastAsia"/>
          <w:kern w:val="0"/>
          <w:sz w:val="24"/>
          <w:szCs w:val="24"/>
        </w:rPr>
        <w:t>县成遂协同绿色发展片区乡村资源要素配置和布局优化，重塑片区乡村经济地理格局，建强全县经济发展支点，推进基层治理体系和治理能力现代化，为乡村全面振兴、新型城镇化建设培育发展动能。</w:t>
      </w:r>
    </w:p>
    <w:p>
      <w:pPr>
        <w:pStyle w:val="36"/>
        <w:numPr>
          <w:ilvl w:val="0"/>
          <w:numId w:val="2"/>
        </w:numPr>
        <w:spacing w:beforeLines="50" w:afterLines="50"/>
        <w:ind w:left="420" w:firstLineChars="0"/>
        <w:jc w:val="center"/>
        <w:rPr>
          <w:rFonts w:ascii="黑体" w:hAnsi="黑体" w:eastAsia="黑体"/>
          <w:b w:val="0"/>
          <w:kern w:val="2"/>
        </w:rPr>
      </w:pPr>
      <w:bookmarkStart w:id="5" w:name="_Toc166772154"/>
      <w:r>
        <w:rPr>
          <w:rFonts w:hint="eastAsia" w:ascii="黑体" w:hAnsi="黑体" w:eastAsia="黑体"/>
          <w:b w:val="0"/>
          <w:kern w:val="2"/>
        </w:rPr>
        <w:t>规划强制性内容</w:t>
      </w:r>
      <w:bookmarkEnd w:id="5"/>
    </w:p>
    <w:p>
      <w:pPr>
        <w:adjustRightInd w:val="0"/>
        <w:snapToGrid w:val="0"/>
        <w:spacing w:line="360" w:lineRule="auto"/>
        <w:ind w:firstLine="482" w:firstLineChars="200"/>
        <w:rPr>
          <w:rFonts w:eastAsia="宋体" w:cs="Times New Roman" w:asciiTheme="minorEastAsia" w:hAnsiTheme="minorEastAsia"/>
          <w:kern w:val="0"/>
          <w:sz w:val="24"/>
          <w:szCs w:val="24"/>
        </w:rPr>
      </w:pPr>
      <w:r>
        <w:rPr>
          <w:rFonts w:eastAsia="宋体" w:cs="Times New Roman" w:asciiTheme="minorEastAsia" w:hAnsiTheme="minorEastAsia"/>
          <w:b/>
          <w:kern w:val="0"/>
          <w:sz w:val="24"/>
          <w:szCs w:val="24"/>
          <w:u w:val="single"/>
        </w:rPr>
        <w:t>本规划中加粗黑</w:t>
      </w:r>
      <w:r>
        <w:rPr>
          <w:rFonts w:hint="eastAsia" w:eastAsia="宋体" w:cs="Times New Roman" w:asciiTheme="minorEastAsia" w:hAnsiTheme="minorEastAsia"/>
          <w:b/>
          <w:kern w:val="0"/>
          <w:sz w:val="24"/>
          <w:szCs w:val="24"/>
          <w:u w:val="single"/>
        </w:rPr>
        <w:t>下划</w:t>
      </w:r>
      <w:r>
        <w:rPr>
          <w:rFonts w:eastAsia="宋体" w:cs="Times New Roman" w:asciiTheme="minorEastAsia" w:hAnsiTheme="minorEastAsia"/>
          <w:b/>
          <w:kern w:val="0"/>
          <w:sz w:val="24"/>
          <w:szCs w:val="24"/>
          <w:u w:val="single"/>
        </w:rPr>
        <w:t>字体为强制性内容</w:t>
      </w:r>
      <w:r>
        <w:rPr>
          <w:rFonts w:hint="eastAsia" w:eastAsia="宋体" w:cs="Times New Roman" w:asciiTheme="minorEastAsia" w:hAnsiTheme="minorEastAsia"/>
          <w:b/>
          <w:kern w:val="0"/>
          <w:sz w:val="24"/>
          <w:szCs w:val="24"/>
          <w:u w:val="single"/>
        </w:rPr>
        <w:t>，</w:t>
      </w:r>
      <w:r>
        <w:rPr>
          <w:rFonts w:hint="eastAsia" w:eastAsia="宋体" w:cs="Times New Roman" w:asciiTheme="minorEastAsia" w:hAnsiTheme="minorEastAsia"/>
          <w:kern w:val="0"/>
          <w:sz w:val="24"/>
          <w:szCs w:val="24"/>
        </w:rPr>
        <w:t>强制性内容是对片区国土空间总体规划实施进行监督、检查的基本依据，必须严格执行，不得随意调整。调整强制性内容，必须严格按照国土空间保护与开发相关法律法规规定的程序执行。</w:t>
      </w:r>
    </w:p>
    <w:p>
      <w:pPr>
        <w:adjustRightInd w:val="0"/>
        <w:snapToGrid w:val="0"/>
        <w:spacing w:line="360" w:lineRule="auto"/>
        <w:ind w:firstLine="480" w:firstLineChars="200"/>
        <w:rPr>
          <w:rFonts w:cs="Times New Roman" w:asciiTheme="minorEastAsia" w:hAnsiTheme="minorEastAsia"/>
          <w:kern w:val="0"/>
          <w:sz w:val="24"/>
          <w:szCs w:val="24"/>
        </w:rPr>
      </w:pPr>
      <w:r>
        <w:rPr>
          <w:rFonts w:hint="eastAsia" w:eastAsia="宋体" w:cs="Times New Roman" w:asciiTheme="minorEastAsia" w:hAnsiTheme="minorEastAsia"/>
          <w:kern w:val="0"/>
          <w:sz w:val="24"/>
          <w:szCs w:val="24"/>
        </w:rPr>
        <w:t>强制性内容</w:t>
      </w:r>
      <w:r>
        <w:rPr>
          <w:rFonts w:eastAsia="宋体" w:cs="Times New Roman" w:asciiTheme="minorEastAsia" w:hAnsiTheme="minorEastAsia"/>
          <w:kern w:val="0"/>
          <w:sz w:val="24"/>
          <w:szCs w:val="24"/>
        </w:rPr>
        <w:t>包括片区永久基本农田、生态保护红线、城镇开发边界划定范围、面积及管控要求；耕地保有量、建设用地总面积、城乡建设用地面积、林地保有量等规划指标体系中的约束性指标落实及分解下达至各村的情况；重要生态廊道及生态系统保护控制要求；历史文化</w:t>
      </w:r>
      <w:r>
        <w:rPr>
          <w:rFonts w:hint="eastAsia" w:eastAsia="宋体" w:cs="Times New Roman" w:asciiTheme="minorEastAsia" w:hAnsiTheme="minorEastAsia"/>
          <w:kern w:val="0"/>
          <w:sz w:val="24"/>
          <w:szCs w:val="24"/>
          <w:lang w:val="en-US" w:eastAsia="zh-CN"/>
        </w:rPr>
        <w:t>遗产</w:t>
      </w:r>
      <w:r>
        <w:rPr>
          <w:rFonts w:eastAsia="宋体" w:cs="Times New Roman" w:asciiTheme="minorEastAsia" w:hAnsiTheme="minorEastAsia"/>
          <w:kern w:val="0"/>
          <w:sz w:val="24"/>
          <w:szCs w:val="24"/>
        </w:rPr>
        <w:t>保护范围和控制要求；教育、医疗卫生、社会福利等主要公共服务设施的布局；重大交通枢纽、重要线性工程网络、邻避设施等设施布局。镇区公共服务设施、市政基础设施和防灾减灾设施的配建标准和布局，绿线、蓝线、紫线、黄线的控制要求等。强制性内容任何单位和个人未经法定程序不得修改。</w:t>
      </w:r>
    </w:p>
    <w:p>
      <w:pPr>
        <w:pStyle w:val="31"/>
        <w:numPr>
          <w:ilvl w:val="0"/>
          <w:numId w:val="1"/>
        </w:numPr>
        <w:spacing w:beforeLines="50" w:afterLines="50"/>
        <w:ind w:left="420"/>
        <w:rPr>
          <w:rFonts w:hAnsi="黑体"/>
        </w:rPr>
      </w:pPr>
      <w:bookmarkStart w:id="6" w:name="_Toc166772155"/>
      <w:r>
        <w:rPr>
          <w:rFonts w:hint="eastAsia" w:hAnsi="黑体"/>
        </w:rPr>
        <w:t>片区基础特征分析</w:t>
      </w:r>
      <w:bookmarkEnd w:id="6"/>
    </w:p>
    <w:p>
      <w:pPr>
        <w:pStyle w:val="36"/>
        <w:numPr>
          <w:ilvl w:val="0"/>
          <w:numId w:val="4"/>
        </w:numPr>
        <w:spacing w:beforeLines="50" w:afterLines="50"/>
        <w:ind w:left="0" w:firstLine="0" w:firstLineChars="0"/>
        <w:jc w:val="center"/>
        <w:rPr>
          <w:rFonts w:ascii="黑体" w:hAnsi="黑体" w:eastAsia="黑体"/>
          <w:b w:val="0"/>
          <w:kern w:val="2"/>
        </w:rPr>
      </w:pPr>
      <w:bookmarkStart w:id="7" w:name="_Toc166772156"/>
      <w:r>
        <w:rPr>
          <w:rFonts w:hint="eastAsia" w:ascii="黑体" w:hAnsi="黑体" w:eastAsia="黑体"/>
          <w:b w:val="0"/>
          <w:kern w:val="2"/>
        </w:rPr>
        <w:t>现状基础分析</w:t>
      </w:r>
      <w:bookmarkEnd w:id="7"/>
    </w:p>
    <w:p>
      <w:pPr>
        <w:adjustRightInd w:val="0"/>
        <w:snapToGrid w:val="0"/>
        <w:spacing w:line="360" w:lineRule="auto"/>
        <w:ind w:firstLine="482" w:firstLineChars="200"/>
        <w:rPr>
          <w:rFonts w:ascii="黑体" w:hAnsi="黑体" w:eastAsia="黑体" w:cs="Times New Roman"/>
          <w:b/>
          <w:kern w:val="0"/>
          <w:sz w:val="24"/>
          <w:szCs w:val="24"/>
        </w:rPr>
      </w:pPr>
      <w:r>
        <w:rPr>
          <w:rFonts w:hint="eastAsia" w:ascii="黑体" w:hAnsi="黑体" w:eastAsia="黑体" w:cs="Times New Roman"/>
          <w:b/>
          <w:kern w:val="0"/>
          <w:sz w:val="24"/>
          <w:szCs w:val="24"/>
        </w:rPr>
        <w:t>一、片区基本情况</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成遂协同绿色发展片区处于大英县县域西部，以河边镇为中心镇，辐射带动玉峰镇</w:t>
      </w:r>
      <w:r>
        <w:rPr>
          <w:rFonts w:hint="eastAsia" w:eastAsia="宋体" w:cs="Times New Roman" w:asciiTheme="minorEastAsia" w:hAnsiTheme="minorEastAsia"/>
          <w:kern w:val="0"/>
          <w:sz w:val="24"/>
          <w:szCs w:val="24"/>
        </w:rPr>
        <w:t>和</w:t>
      </w:r>
      <w:r>
        <w:rPr>
          <w:rFonts w:eastAsia="宋体" w:cs="Times New Roman" w:asciiTheme="minorEastAsia" w:hAnsiTheme="minorEastAsia"/>
          <w:kern w:val="0"/>
          <w:sz w:val="24"/>
          <w:szCs w:val="24"/>
        </w:rPr>
        <w:t>象山镇</w:t>
      </w:r>
      <w:r>
        <w:rPr>
          <w:rFonts w:hint="eastAsia" w:eastAsia="宋体" w:cs="Times New Roman" w:asciiTheme="minorEastAsia" w:hAnsiTheme="minorEastAsia"/>
          <w:kern w:val="0"/>
          <w:sz w:val="24"/>
          <w:szCs w:val="24"/>
        </w:rPr>
        <w:t>。</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2020年片区户籍人口14.54</w:t>
      </w:r>
      <w:r>
        <w:rPr>
          <w:rFonts w:hint="eastAsia" w:eastAsia="宋体" w:cs="Times New Roman" w:asciiTheme="minorEastAsia" w:hAnsiTheme="minorEastAsia"/>
          <w:kern w:val="0"/>
          <w:sz w:val="24"/>
          <w:szCs w:val="24"/>
        </w:rPr>
        <w:t>万人，常住人口</w:t>
      </w:r>
      <w:r>
        <w:rPr>
          <w:rFonts w:eastAsia="宋体" w:cs="Times New Roman" w:asciiTheme="minorEastAsia" w:hAnsiTheme="minorEastAsia"/>
          <w:kern w:val="0"/>
          <w:sz w:val="24"/>
          <w:szCs w:val="24"/>
        </w:rPr>
        <w:t>7.92万人，净流出人口6.62万人，流出人口以外出务工为主。根据各村人口流动情况，河边镇坤龙村、仁义村</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玉峰镇肖家沟、团结村、星宿村</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象山镇永乐村等部分村庄的人口呈净流出状态，流出规模大于2000</w:t>
      </w:r>
      <w:r>
        <w:rPr>
          <w:rFonts w:hint="eastAsia" w:eastAsia="宋体" w:cs="Times New Roman" w:asciiTheme="minorEastAsia" w:hAnsiTheme="minorEastAsia"/>
          <w:kern w:val="0"/>
          <w:sz w:val="24"/>
          <w:szCs w:val="24"/>
        </w:rPr>
        <w:t>人。</w:t>
      </w:r>
      <w:r>
        <w:rPr>
          <w:rFonts w:eastAsia="宋体" w:cs="Times New Roman" w:asciiTheme="minorEastAsia" w:hAnsiTheme="minorEastAsia"/>
          <w:kern w:val="0"/>
          <w:sz w:val="24"/>
          <w:szCs w:val="24"/>
        </w:rPr>
        <w:t xml:space="preserve"> 位于场镇所在地玉峰村、智水村、象山村、前进村等流出人口较少，户籍和常住基本持平，多为镇区就业、读书、搬迁移民等。片区65岁（2.92万人）以上人口占总人的20.10%，按照联合国标准，60岁以上人口占比超过10%，已进入深度老龄化社会。象山镇人口老龄化程度较深，已达到24%</w:t>
      </w:r>
      <w:r>
        <w:rPr>
          <w:rFonts w:hint="eastAsia" w:eastAsia="宋体" w:cs="Times New Roman" w:asciiTheme="minorEastAsia" w:hAnsiTheme="minorEastAsia"/>
          <w:kern w:val="0"/>
          <w:sz w:val="24"/>
          <w:szCs w:val="24"/>
        </w:rPr>
        <w:t>。</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片区是传统粮油种植区与现代农业示范区</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属于水稻、油菜、玉米等大宗型农产品主产区，片区发展优质粮油10万亩，有中华农业等龙头粮油企业2家，主动配套成都都市圈的“菜篮子”工程，培育建设省级粮油产业示范园。</w:t>
      </w:r>
      <w:r>
        <w:rPr>
          <w:rFonts w:hint="eastAsia" w:eastAsia="宋体" w:cs="Times New Roman" w:asciiTheme="minorEastAsia" w:hAnsiTheme="minorEastAsia"/>
          <w:kern w:val="0"/>
          <w:sz w:val="24"/>
          <w:szCs w:val="24"/>
        </w:rPr>
        <w:t>片区种植</w:t>
      </w:r>
      <w:r>
        <w:rPr>
          <w:rFonts w:eastAsia="宋体" w:cs="Times New Roman" w:asciiTheme="minorEastAsia" w:hAnsiTheme="minorEastAsia"/>
          <w:kern w:val="0"/>
          <w:sz w:val="24"/>
          <w:szCs w:val="24"/>
        </w:rPr>
        <w:t>特色白柠檬种植1.2万亩，</w:t>
      </w:r>
      <w:r>
        <w:rPr>
          <w:rFonts w:hint="eastAsia" w:eastAsia="宋体" w:cs="Times New Roman" w:asciiTheme="minorEastAsia" w:hAnsiTheme="minorEastAsia"/>
          <w:kern w:val="0"/>
          <w:sz w:val="24"/>
          <w:szCs w:val="24"/>
        </w:rPr>
        <w:t>河边白柠檬是中国独一无二的柠檬新品种，享有“果中之王”、“食用佳品”称号。</w:t>
      </w:r>
    </w:p>
    <w:p>
      <w:pPr>
        <w:adjustRightInd w:val="0"/>
        <w:snapToGrid w:val="0"/>
        <w:spacing w:line="360" w:lineRule="auto"/>
        <w:ind w:firstLine="482" w:firstLineChars="200"/>
        <w:rPr>
          <w:rFonts w:ascii="黑体" w:hAnsi="黑体" w:eastAsia="黑体" w:cs="Times New Roman"/>
          <w:b/>
          <w:kern w:val="0"/>
          <w:sz w:val="24"/>
          <w:szCs w:val="24"/>
        </w:rPr>
      </w:pPr>
      <w:r>
        <w:rPr>
          <w:rFonts w:hint="eastAsia" w:ascii="黑体" w:hAnsi="黑体" w:eastAsia="黑体" w:cs="Times New Roman"/>
          <w:b/>
          <w:kern w:val="0"/>
          <w:sz w:val="24"/>
          <w:szCs w:val="24"/>
        </w:rPr>
        <w:t>二、统一底图底数</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按照《关于规范和统一市县国土空间规划现状基数的通知》 (自然资办函(2021) 907 号) 要求，依据《市级国土空间总体规划编制指南(试行)》、《国</w:t>
      </w:r>
      <w:r>
        <w:rPr>
          <w:rFonts w:hint="eastAsia" w:eastAsia="宋体" w:cs="Times New Roman" w:asciiTheme="minorEastAsia" w:hAnsiTheme="minorEastAsia"/>
          <w:kern w:val="0"/>
          <w:sz w:val="24"/>
          <w:szCs w:val="24"/>
          <w:lang w:val="en-US" w:eastAsia="zh-CN"/>
        </w:rPr>
        <w:t>土</w:t>
      </w:r>
      <w:r>
        <w:rPr>
          <w:rFonts w:hint="eastAsia" w:eastAsia="宋体" w:cs="Times New Roman" w:asciiTheme="minorEastAsia" w:hAnsiTheme="minorEastAsia"/>
          <w:kern w:val="0"/>
          <w:sz w:val="24"/>
          <w:szCs w:val="24"/>
        </w:rPr>
        <w:t>空间调查、规划、用途管制用地用海分类指南(试行)》，以大英县 2020 年变更调查成果为基础，结合已在自然资源部监管系统备案的建设用地数据，形成符合规定的镇域和镇区国土空间规划底图底数。</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土地总面积22886.95公顷。农林用地18095.17公顷，占比79.06%</w:t>
      </w:r>
      <w:r>
        <w:rPr>
          <w:rFonts w:hint="eastAsia" w:eastAsia="宋体" w:cs="Times New Roman" w:asciiTheme="minorEastAsia" w:hAnsiTheme="minorEastAsia"/>
          <w:kern w:val="0"/>
          <w:sz w:val="24"/>
          <w:szCs w:val="24"/>
        </w:rPr>
        <w:t>，其中，耕地</w:t>
      </w:r>
      <w:r>
        <w:rPr>
          <w:rFonts w:eastAsia="宋体" w:cs="Times New Roman" w:asciiTheme="minorEastAsia" w:hAnsiTheme="minorEastAsia"/>
          <w:kern w:val="0"/>
          <w:sz w:val="24"/>
          <w:szCs w:val="24"/>
        </w:rPr>
        <w:t>10979.84 公顷，园地719.10 公顷，林地6018.27公顷</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农业设施建设用地359.53</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建设用地2227.33公顷，占比9.73%</w:t>
      </w:r>
      <w:r>
        <w:rPr>
          <w:rFonts w:hint="eastAsia" w:eastAsia="宋体" w:cs="Times New Roman" w:asciiTheme="minorEastAsia" w:hAnsiTheme="minorEastAsia"/>
          <w:kern w:val="0"/>
          <w:sz w:val="24"/>
          <w:szCs w:val="24"/>
        </w:rPr>
        <w:t>，其中，住宅用地</w:t>
      </w:r>
      <w:r>
        <w:rPr>
          <w:rFonts w:eastAsia="宋体" w:cs="Times New Roman" w:asciiTheme="minorEastAsia" w:hAnsiTheme="minorEastAsia"/>
          <w:kern w:val="0"/>
          <w:sz w:val="24"/>
          <w:szCs w:val="24"/>
        </w:rPr>
        <w:t>1958.30公顷，公共管理与公共服务</w:t>
      </w:r>
      <w:r>
        <w:rPr>
          <w:rFonts w:hint="eastAsia" w:eastAsia="宋体" w:cs="Times New Roman" w:asciiTheme="minorEastAsia" w:hAnsiTheme="minorEastAsia"/>
          <w:kern w:val="0"/>
          <w:sz w:val="24"/>
          <w:szCs w:val="24"/>
        </w:rPr>
        <w:t>用地</w:t>
      </w:r>
      <w:r>
        <w:rPr>
          <w:rFonts w:eastAsia="宋体" w:cs="Times New Roman" w:asciiTheme="minorEastAsia" w:hAnsiTheme="minorEastAsia"/>
          <w:kern w:val="0"/>
          <w:sz w:val="24"/>
          <w:szCs w:val="24"/>
        </w:rPr>
        <w:t>36.83公顷，商业服务业用地3.56公顷，工矿用地13.88公顷，交通运输用地169公顷，公用设施用地26.90公顷，绿地与开敞空间用地0.13公顷，</w:t>
      </w:r>
      <w:r>
        <w:rPr>
          <w:rFonts w:hint="eastAsia" w:eastAsia="宋体" w:cs="Times New Roman" w:asciiTheme="minorEastAsia" w:hAnsiTheme="minorEastAsia"/>
          <w:kern w:val="0"/>
          <w:sz w:val="24"/>
          <w:szCs w:val="24"/>
        </w:rPr>
        <w:t>特殊用地</w:t>
      </w:r>
      <w:r>
        <w:rPr>
          <w:rFonts w:eastAsia="宋体" w:cs="Times New Roman" w:asciiTheme="minorEastAsia" w:hAnsiTheme="minorEastAsia"/>
          <w:kern w:val="0"/>
          <w:sz w:val="24"/>
          <w:szCs w:val="24"/>
        </w:rPr>
        <w:t>126.16公顷；陆地水域1058.70公顷；</w:t>
      </w:r>
      <w:r>
        <w:rPr>
          <w:rFonts w:hint="eastAsia" w:eastAsia="宋体" w:cs="Times New Roman" w:asciiTheme="minorEastAsia" w:hAnsiTheme="minorEastAsia"/>
          <w:kern w:val="0"/>
          <w:sz w:val="24"/>
          <w:szCs w:val="24"/>
        </w:rPr>
        <w:t>其他土地</w:t>
      </w:r>
      <w:r>
        <w:rPr>
          <w:rFonts w:eastAsia="宋体" w:cs="Times New Roman" w:asciiTheme="minorEastAsia" w:hAnsiTheme="minorEastAsia"/>
          <w:kern w:val="0"/>
          <w:sz w:val="24"/>
          <w:szCs w:val="24"/>
        </w:rPr>
        <w:t>10505.76公顷，主要为田坎</w:t>
      </w:r>
      <w:r>
        <w:rPr>
          <w:rFonts w:hint="eastAsia" w:eastAsia="宋体" w:cs="Times New Roman" w:asciiTheme="minorEastAsia" w:hAnsiTheme="minorEastAsia"/>
          <w:kern w:val="0"/>
          <w:sz w:val="24"/>
          <w:szCs w:val="24"/>
        </w:rPr>
        <w:t>。</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各类用地面积和占比详见附表1 片区国土空间保护利用现状表。</w:t>
      </w:r>
    </w:p>
    <w:p>
      <w:pPr>
        <w:pStyle w:val="36"/>
        <w:numPr>
          <w:ilvl w:val="0"/>
          <w:numId w:val="4"/>
        </w:numPr>
        <w:spacing w:beforeLines="50" w:afterLines="50"/>
        <w:ind w:left="420" w:firstLineChars="0"/>
        <w:jc w:val="center"/>
        <w:rPr>
          <w:rFonts w:ascii="黑体" w:hAnsi="黑体" w:eastAsia="黑体"/>
          <w:b w:val="0"/>
          <w:kern w:val="2"/>
        </w:rPr>
      </w:pPr>
      <w:bookmarkStart w:id="8" w:name="_Toc166772157"/>
      <w:r>
        <w:rPr>
          <w:rFonts w:hint="eastAsia" w:ascii="黑体" w:hAnsi="黑体" w:eastAsia="黑体"/>
          <w:b w:val="0"/>
          <w:kern w:val="2"/>
        </w:rPr>
        <w:t>现状特征与主要问题</w:t>
      </w:r>
      <w:bookmarkEnd w:id="8"/>
    </w:p>
    <w:p>
      <w:pPr>
        <w:adjustRightInd w:val="0"/>
        <w:snapToGrid w:val="0"/>
        <w:spacing w:line="360" w:lineRule="auto"/>
        <w:ind w:firstLine="482" w:firstLineChars="200"/>
        <w:rPr>
          <w:rFonts w:ascii="黑体" w:hAnsi="黑体" w:eastAsia="黑体" w:cs="Times New Roman"/>
          <w:b/>
          <w:kern w:val="0"/>
          <w:sz w:val="24"/>
          <w:szCs w:val="24"/>
        </w:rPr>
      </w:pPr>
      <w:r>
        <w:rPr>
          <w:rFonts w:hint="eastAsia" w:ascii="黑体" w:hAnsi="黑体" w:eastAsia="黑体" w:cs="Times New Roman"/>
          <w:b/>
          <w:kern w:val="0"/>
          <w:sz w:val="24"/>
          <w:szCs w:val="24"/>
        </w:rPr>
        <w:t>一、片区主要特征</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（一）</w:t>
      </w:r>
      <w:r>
        <w:rPr>
          <w:rFonts w:eastAsia="宋体" w:cs="Times New Roman" w:asciiTheme="minorEastAsia" w:hAnsiTheme="minorEastAsia"/>
          <w:b/>
          <w:kern w:val="0"/>
          <w:sz w:val="24"/>
          <w:szCs w:val="24"/>
        </w:rPr>
        <w:t>居于</w:t>
      </w:r>
      <w:r>
        <w:rPr>
          <w:rFonts w:hint="eastAsia" w:eastAsia="宋体" w:cs="Times New Roman" w:asciiTheme="minorEastAsia" w:hAnsiTheme="minorEastAsia"/>
          <w:b/>
          <w:kern w:val="0"/>
          <w:sz w:val="24"/>
          <w:szCs w:val="24"/>
        </w:rPr>
        <w:t>成</w:t>
      </w:r>
      <w:r>
        <w:rPr>
          <w:rFonts w:eastAsia="宋体" w:cs="Times New Roman" w:asciiTheme="minorEastAsia" w:hAnsiTheme="minorEastAsia"/>
          <w:b/>
          <w:kern w:val="0"/>
          <w:sz w:val="24"/>
          <w:szCs w:val="24"/>
        </w:rPr>
        <w:t>遂几何中心，交通条件优势明显</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片区属于成都平原经济区，位于经济区的东部</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遂潼川渝毗邻地区西部</w:t>
      </w:r>
      <w:r>
        <w:rPr>
          <w:rFonts w:hint="eastAsia" w:eastAsia="宋体" w:cs="Times New Roman" w:asciiTheme="minorEastAsia" w:hAnsiTheme="minorEastAsia"/>
          <w:kern w:val="0"/>
          <w:sz w:val="24"/>
          <w:szCs w:val="24"/>
        </w:rPr>
        <w:t>、遂宁市</w:t>
      </w:r>
      <w:r>
        <w:rPr>
          <w:rFonts w:eastAsia="宋体" w:cs="Times New Roman" w:asciiTheme="minorEastAsia" w:hAnsiTheme="minorEastAsia"/>
          <w:kern w:val="0"/>
          <w:sz w:val="24"/>
          <w:szCs w:val="24"/>
        </w:rPr>
        <w:t>和成都都市圈环线高速</w:t>
      </w:r>
      <w:r>
        <w:rPr>
          <w:rFonts w:hint="eastAsia" w:eastAsia="宋体" w:cs="Times New Roman" w:asciiTheme="minorEastAsia" w:hAnsiTheme="minorEastAsia"/>
          <w:kern w:val="0"/>
          <w:sz w:val="24"/>
          <w:szCs w:val="24"/>
        </w:rPr>
        <w:t>的</w:t>
      </w:r>
      <w:r>
        <w:rPr>
          <w:rFonts w:eastAsia="宋体" w:cs="Times New Roman" w:asciiTheme="minorEastAsia" w:hAnsiTheme="minorEastAsia"/>
          <w:kern w:val="0"/>
          <w:sz w:val="24"/>
          <w:szCs w:val="24"/>
        </w:rPr>
        <w:t>几何中心，距离三台县36</w:t>
      </w:r>
      <w:r>
        <w:rPr>
          <w:rFonts w:hint="eastAsia" w:eastAsia="宋体" w:cs="Times New Roman" w:asciiTheme="minorEastAsia" w:hAnsiTheme="minorEastAsia"/>
          <w:kern w:val="0"/>
          <w:sz w:val="24"/>
          <w:szCs w:val="24"/>
        </w:rPr>
        <w:t>公里、</w:t>
      </w:r>
      <w:r>
        <w:rPr>
          <w:rFonts w:eastAsia="宋体" w:cs="Times New Roman" w:asciiTheme="minorEastAsia" w:hAnsiTheme="minorEastAsia"/>
          <w:kern w:val="0"/>
          <w:sz w:val="24"/>
          <w:szCs w:val="24"/>
        </w:rPr>
        <w:t>距离乐至县16</w:t>
      </w:r>
      <w:r>
        <w:rPr>
          <w:rFonts w:hint="eastAsia" w:eastAsia="宋体" w:cs="Times New Roman" w:asciiTheme="minorEastAsia" w:hAnsiTheme="minorEastAsia"/>
          <w:kern w:val="0"/>
          <w:sz w:val="24"/>
          <w:szCs w:val="24"/>
        </w:rPr>
        <w:t>公里、</w:t>
      </w:r>
      <w:r>
        <w:rPr>
          <w:rFonts w:eastAsia="宋体" w:cs="Times New Roman" w:asciiTheme="minorEastAsia" w:hAnsiTheme="minorEastAsia"/>
          <w:kern w:val="0"/>
          <w:sz w:val="24"/>
          <w:szCs w:val="24"/>
        </w:rPr>
        <w:t>距离遂宁高铁站30公里、距离都市圈环线高速30</w:t>
      </w:r>
      <w:r>
        <w:rPr>
          <w:rFonts w:hint="eastAsia" w:eastAsia="宋体" w:cs="Times New Roman" w:asciiTheme="minorEastAsia" w:hAnsiTheme="minorEastAsia"/>
          <w:kern w:val="0"/>
          <w:sz w:val="24"/>
          <w:szCs w:val="24"/>
        </w:rPr>
        <w:t>公里</w:t>
      </w:r>
      <w:r>
        <w:rPr>
          <w:rFonts w:eastAsia="宋体" w:cs="Times New Roman" w:asciiTheme="minorEastAsia" w:hAnsiTheme="minorEastAsia"/>
          <w:kern w:val="0"/>
          <w:sz w:val="24"/>
          <w:szCs w:val="24"/>
        </w:rPr>
        <w:t>。</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规划三大乐高速是环成都经济区高速公路</w:t>
      </w:r>
      <w:r>
        <w:rPr>
          <w:rFonts w:hint="eastAsia" w:eastAsia="宋体" w:cs="Times New Roman" w:asciiTheme="minorEastAsia" w:hAnsiTheme="minorEastAsia"/>
          <w:kern w:val="0"/>
          <w:sz w:val="24"/>
          <w:szCs w:val="24"/>
        </w:rPr>
        <w:t>的</w:t>
      </w:r>
      <w:r>
        <w:rPr>
          <w:rFonts w:eastAsia="宋体" w:cs="Times New Roman" w:asciiTheme="minorEastAsia" w:hAnsiTheme="minorEastAsia"/>
          <w:kern w:val="0"/>
          <w:sz w:val="24"/>
          <w:szCs w:val="24"/>
        </w:rPr>
        <w:t>组成部分，三大乐高速在三个镇均预留有高速出入口，有利于推进大英与成都协调发展。片区高速公路、铁路</w:t>
      </w:r>
      <w:r>
        <w:rPr>
          <w:rFonts w:hint="eastAsia" w:eastAsia="宋体" w:cs="Times New Roman" w:asciiTheme="minorEastAsia" w:hAnsiTheme="minorEastAsia"/>
          <w:kern w:val="0"/>
          <w:sz w:val="24"/>
          <w:szCs w:val="24"/>
        </w:rPr>
        <w:t>及</w:t>
      </w:r>
      <w:r>
        <w:rPr>
          <w:rFonts w:eastAsia="宋体" w:cs="Times New Roman" w:asciiTheme="minorEastAsia" w:hAnsiTheme="minorEastAsia"/>
          <w:kern w:val="0"/>
          <w:sz w:val="24"/>
          <w:szCs w:val="24"/>
        </w:rPr>
        <w:t>G350</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S401</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S409</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S101等国省道干线交通将三镇</w:t>
      </w:r>
      <w:r>
        <w:rPr>
          <w:rFonts w:hint="eastAsia" w:eastAsia="宋体" w:cs="Times New Roman" w:asciiTheme="minorEastAsia" w:hAnsiTheme="minorEastAsia"/>
          <w:kern w:val="0"/>
          <w:sz w:val="24"/>
          <w:szCs w:val="24"/>
        </w:rPr>
        <w:t>和</w:t>
      </w:r>
      <w:r>
        <w:rPr>
          <w:rFonts w:eastAsia="宋体" w:cs="Times New Roman" w:asciiTheme="minorEastAsia" w:hAnsiTheme="minorEastAsia"/>
          <w:kern w:val="0"/>
          <w:sz w:val="24"/>
          <w:szCs w:val="24"/>
        </w:rPr>
        <w:t>遂大融城片区联通，交通区位明显。</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G42沪蓉高速、达成高铁和达成铁路东西向穿越片区，达成高铁向西至成都，向东至重庆，达成高铁设有大英东站，达成铁路设有大英站。沪蓉高速G42在片区玉峰镇北部经过，在大英设有高速出入口，玉峰镇距高速出入口直线距离约7</w:t>
      </w:r>
      <w:r>
        <w:rPr>
          <w:rFonts w:hint="eastAsia" w:eastAsia="宋体" w:cs="Times New Roman" w:asciiTheme="minorEastAsia" w:hAnsiTheme="minorEastAsia"/>
          <w:kern w:val="0"/>
          <w:sz w:val="24"/>
          <w:szCs w:val="24"/>
        </w:rPr>
        <w:t>公里。</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（二）国土空间总体特征</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全</w:t>
      </w:r>
      <w:r>
        <w:rPr>
          <w:rFonts w:hint="eastAsia" w:eastAsia="宋体" w:cs="Times New Roman" w:asciiTheme="minorEastAsia" w:hAnsiTheme="minorEastAsia"/>
          <w:kern w:val="0"/>
          <w:sz w:val="24"/>
          <w:szCs w:val="24"/>
        </w:rPr>
        <w:t>域</w:t>
      </w:r>
      <w:r>
        <w:rPr>
          <w:rFonts w:eastAsia="宋体" w:cs="Times New Roman" w:asciiTheme="minorEastAsia" w:hAnsiTheme="minorEastAsia"/>
          <w:kern w:val="0"/>
          <w:sz w:val="24"/>
          <w:szCs w:val="24"/>
        </w:rPr>
        <w:t>丘、田、林、塘共生，整体呈现</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三分林地五分田，建设共占一分地”</w:t>
      </w:r>
      <w:r>
        <w:rPr>
          <w:rFonts w:hint="eastAsia" w:eastAsia="宋体" w:cs="Times New Roman" w:asciiTheme="minorEastAsia" w:hAnsiTheme="minorEastAsia"/>
          <w:kern w:val="0"/>
          <w:sz w:val="24"/>
          <w:szCs w:val="24"/>
        </w:rPr>
        <w:t>的国土空间特征。</w:t>
      </w:r>
      <w:r>
        <w:rPr>
          <w:rFonts w:eastAsia="宋体" w:cs="Times New Roman" w:asciiTheme="minorEastAsia" w:hAnsiTheme="minorEastAsia"/>
          <w:kern w:val="0"/>
          <w:sz w:val="24"/>
          <w:szCs w:val="24"/>
        </w:rPr>
        <w:t>耕地面积占比约47.97%，林地面积占比26.30%，山峦起伏，沟谷纵横，一般海拔200</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900米，相对高差100</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200米，乡村建设零散，20户以下村民点户数占总户数比例超过50%</w:t>
      </w:r>
      <w:r>
        <w:rPr>
          <w:rFonts w:hint="eastAsia" w:eastAsia="宋体" w:cs="Times New Roman" w:asciiTheme="minorEastAsia" w:hAnsiTheme="minorEastAsia"/>
          <w:kern w:val="0"/>
          <w:sz w:val="24"/>
          <w:szCs w:val="24"/>
        </w:rPr>
        <w:t>。</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（三）</w:t>
      </w:r>
      <w:r>
        <w:rPr>
          <w:rFonts w:eastAsia="宋体" w:cs="Times New Roman" w:asciiTheme="minorEastAsia" w:hAnsiTheme="minorEastAsia"/>
          <w:b/>
          <w:kern w:val="0"/>
          <w:sz w:val="24"/>
          <w:szCs w:val="24"/>
        </w:rPr>
        <w:t>资源特征</w:t>
      </w:r>
    </w:p>
    <w:p>
      <w:pPr>
        <w:adjustRightInd w:val="0"/>
        <w:snapToGrid w:val="0"/>
        <w:spacing w:line="360" w:lineRule="auto"/>
        <w:ind w:firstLine="480" w:firstLineChars="200"/>
        <w:rPr>
          <w:rFonts w:cs="Times New Roman" w:asciiTheme="minorEastAsia" w:hAnsiTheme="minorEastAsia"/>
          <w:kern w:val="0"/>
          <w:sz w:val="24"/>
          <w:szCs w:val="24"/>
        </w:rPr>
      </w:pPr>
      <w:r>
        <w:rPr>
          <w:rFonts w:hint="eastAsia" w:eastAsia="宋体" w:cs="Times New Roman" w:asciiTheme="minorEastAsia" w:hAnsiTheme="minorEastAsia"/>
          <w:kern w:val="0"/>
          <w:sz w:val="24"/>
          <w:szCs w:val="24"/>
        </w:rPr>
        <w:t>1、</w:t>
      </w:r>
      <w:r>
        <w:rPr>
          <w:rFonts w:eastAsia="宋体" w:cs="Times New Roman" w:asciiTheme="minorEastAsia" w:hAnsiTheme="minorEastAsia"/>
          <w:kern w:val="0"/>
          <w:sz w:val="24"/>
          <w:szCs w:val="24"/>
        </w:rPr>
        <w:t>生态本底良好</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山水林田等资源丰富</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片区山体以低山丘陵为主，有部分是中丘，境内地形呈南北高、中部低。水系众多，郪江由西北入境横穿象山镇，马力河流经河边镇和玉峰镇、寸塘口河横穿河边镇，龙溪河穿</w:t>
      </w:r>
      <w:r>
        <w:rPr>
          <w:rFonts w:hint="eastAsia" w:eastAsia="宋体" w:cs="Times New Roman" w:asciiTheme="minorEastAsia" w:hAnsiTheme="minorEastAsia"/>
          <w:kern w:val="0"/>
          <w:sz w:val="24"/>
          <w:szCs w:val="24"/>
        </w:rPr>
        <w:t>越</w:t>
      </w:r>
      <w:r>
        <w:rPr>
          <w:rFonts w:eastAsia="宋体" w:cs="Times New Roman" w:asciiTheme="minorEastAsia" w:hAnsiTheme="minorEastAsia"/>
          <w:kern w:val="0"/>
          <w:sz w:val="24"/>
          <w:szCs w:val="24"/>
        </w:rPr>
        <w:t>象山镇。水库主要为集中于河边镇和玉峰镇的四五水库</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星花水库和石龙水库等。</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林地总面积6018.27 公顷，占全域面积的26.30%，主要为乔木林地，其次为灌木林地。林地分布较为零散，连片林地较少，主要分布在片区北部地势较高、地形稍复杂的区域。</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耕地总面积10979.84公顷，主要为水田，其次为旱地。</w:t>
      </w:r>
      <w:r>
        <w:rPr>
          <w:rFonts w:hint="eastAsia" w:eastAsia="宋体" w:cs="Times New Roman" w:asciiTheme="minorEastAsia" w:hAnsiTheme="minorEastAsia"/>
          <w:kern w:val="0"/>
          <w:sz w:val="24"/>
          <w:szCs w:val="24"/>
        </w:rPr>
        <w:t>耕地主要集中分布于坡度</w:t>
      </w:r>
      <w:r>
        <w:rPr>
          <w:rFonts w:eastAsia="宋体" w:cs="Times New Roman" w:asciiTheme="minorEastAsia" w:hAnsiTheme="minorEastAsia"/>
          <w:kern w:val="0"/>
          <w:sz w:val="24"/>
          <w:szCs w:val="24"/>
        </w:rPr>
        <w:t>6-15度的缓坡丘陵。</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2、</w:t>
      </w:r>
      <w:r>
        <w:rPr>
          <w:rFonts w:eastAsia="宋体" w:cs="Times New Roman" w:asciiTheme="minorEastAsia" w:hAnsiTheme="minorEastAsia"/>
          <w:kern w:val="0"/>
          <w:sz w:val="24"/>
          <w:szCs w:val="24"/>
        </w:rPr>
        <w:t>人文底蕴丰富，具有地方文化特色</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象山书院曾经是中国共产党地下党地下活动联络的后方基地之一，1938年左右，北京、成都、重庆等地下共产党先后辗转来到象山，以教师身份作掩护，从事地下革命工作，如贺诚、李泛山、谭卫根、谭卫忠等革命志士便先后在此从事革命活动。</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象山花锣鼓系四川省非物质文化遗产，是四川古代特色的音乐，创始于清朝，花锣鼓的乐器由大锣、大鼓、大钵和四个马锣组成，演出灵活，节奏跳跃。</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玉峰镇人文特色明显，涌现出了许多知名书画家，如邓传根，国家一级书画师，曾在2006年太白杯、中国诗书城、三苏杯、亚欧杯国际书艺大赛中获金奖。蒋铭，大英诗书画院院长，中国文物学会理事，着有长篇小说《人种》。卢子辉，现任大英县贾岛诗社副社长，着有旧体诗歌集《天涯放歌》、诗歌集《热血春秋》。</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（四）产业特征</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片区位于大英县粮食产业带上，农业特色鲜明，以传统粮油产业为主导，农民收入稳步提升</w:t>
      </w:r>
      <w:r>
        <w:rPr>
          <w:rFonts w:hint="eastAsia" w:eastAsia="宋体" w:cs="Times New Roman" w:asciiTheme="minorEastAsia" w:hAnsiTheme="minorEastAsia"/>
          <w:kern w:val="0"/>
          <w:sz w:val="24"/>
          <w:szCs w:val="24"/>
        </w:rPr>
        <w:t>。</w:t>
      </w:r>
    </w:p>
    <w:p>
      <w:pPr>
        <w:adjustRightInd w:val="0"/>
        <w:snapToGrid w:val="0"/>
        <w:spacing w:line="360" w:lineRule="auto"/>
        <w:ind w:firstLine="480" w:firstLineChars="200"/>
        <w:rPr>
          <w:rFonts w:cs="Times New Roman" w:asciiTheme="minorEastAsia" w:hAnsiTheme="minorEastAsia"/>
          <w:kern w:val="0"/>
          <w:sz w:val="24"/>
          <w:szCs w:val="24"/>
        </w:rPr>
      </w:pPr>
      <w:r>
        <w:rPr>
          <w:rFonts w:hint="eastAsia" w:eastAsia="宋体" w:cs="Times New Roman" w:asciiTheme="minorEastAsia" w:hAnsiTheme="minorEastAsia"/>
          <w:kern w:val="0"/>
          <w:sz w:val="24"/>
          <w:szCs w:val="24"/>
        </w:rPr>
        <w:t>1、</w:t>
      </w:r>
      <w:r>
        <w:rPr>
          <w:rFonts w:eastAsia="宋体" w:cs="Times New Roman" w:asciiTheme="minorEastAsia" w:hAnsiTheme="minorEastAsia"/>
          <w:kern w:val="0"/>
          <w:sz w:val="24"/>
          <w:szCs w:val="24"/>
        </w:rPr>
        <w:t>第一产业</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片区位于大英县粮食产业带上，农业特色鲜明，以传统粮油产业为主导</w:t>
      </w:r>
      <w:r>
        <w:rPr>
          <w:rFonts w:hint="eastAsia" w:cs="Times New Roman" w:asciiTheme="minorEastAsia" w:hAnsiTheme="minorEastAsia"/>
          <w:kern w:val="0"/>
          <w:sz w:val="24"/>
          <w:szCs w:val="24"/>
        </w:rPr>
        <w:t>，是</w:t>
      </w:r>
      <w:r>
        <w:rPr>
          <w:rFonts w:eastAsia="宋体" w:cs="Times New Roman" w:asciiTheme="minorEastAsia" w:hAnsiTheme="minorEastAsia"/>
          <w:kern w:val="0"/>
          <w:sz w:val="24"/>
          <w:szCs w:val="24"/>
        </w:rPr>
        <w:t>传统粮油种植地区，耕地条件较好，粮食作物播种面积占总面积比重接近80%，大英粮油现代农业园区涵盖玉峰、河边和象山三个乡镇，总面积涵盖100</w:t>
      </w:r>
      <w:r>
        <w:rPr>
          <w:rFonts w:hint="eastAsia" w:eastAsia="宋体" w:cs="Times New Roman" w:asciiTheme="minorEastAsia" w:hAnsiTheme="minorEastAsia"/>
          <w:kern w:val="0"/>
          <w:sz w:val="24"/>
          <w:szCs w:val="24"/>
        </w:rPr>
        <w:t>平方公里，涉及耕地</w:t>
      </w:r>
      <w:r>
        <w:rPr>
          <w:rFonts w:eastAsia="宋体" w:cs="Times New Roman" w:asciiTheme="minorEastAsia" w:hAnsiTheme="minorEastAsia"/>
          <w:kern w:val="0"/>
          <w:sz w:val="24"/>
          <w:szCs w:val="24"/>
        </w:rPr>
        <w:t>15万亩，项目引进中化集团，按照规模化、集约化、机械化、标准化的思路以“一个中心、五大功能区”为重点建设8万亩高标准粮油现代农业园区，已完成撂荒地复垦5000亩，流转土地6000亩以上。</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其中玉峰现代粮油农业产业园达10000亩，目前正创建国家级粮油现代农业产业园。</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以河边镇为中心的柠檬基地达10000亩，是目前世界第二、中国第一的白柠檬生产基地。象山全镇以传统粮油种植为主，包括水稻、玉米、油菜、小麦等</w:t>
      </w:r>
      <w:r>
        <w:rPr>
          <w:rFonts w:hint="eastAsia" w:eastAsia="宋体" w:cs="Times New Roman" w:asciiTheme="minorEastAsia" w:hAnsiTheme="minorEastAsia"/>
          <w:kern w:val="0"/>
          <w:sz w:val="24"/>
          <w:szCs w:val="24"/>
        </w:rPr>
        <w:t>。</w:t>
      </w:r>
    </w:p>
    <w:p>
      <w:pPr>
        <w:adjustRightInd w:val="0"/>
        <w:snapToGrid w:val="0"/>
        <w:spacing w:line="360" w:lineRule="auto"/>
        <w:ind w:firstLine="480" w:firstLineChars="200"/>
        <w:rPr>
          <w:rFonts w:cs="Times New Roman" w:asciiTheme="minorEastAsia" w:hAnsiTheme="minorEastAsia"/>
          <w:kern w:val="0"/>
          <w:sz w:val="24"/>
          <w:szCs w:val="24"/>
        </w:rPr>
      </w:pPr>
      <w:r>
        <w:rPr>
          <w:rFonts w:hint="eastAsia" w:eastAsia="宋体" w:cs="Times New Roman" w:asciiTheme="minorEastAsia" w:hAnsiTheme="minorEastAsia"/>
          <w:kern w:val="0"/>
          <w:sz w:val="24"/>
          <w:szCs w:val="24"/>
        </w:rPr>
        <w:t>2、</w:t>
      </w:r>
      <w:r>
        <w:rPr>
          <w:rFonts w:eastAsia="宋体" w:cs="Times New Roman" w:asciiTheme="minorEastAsia" w:hAnsiTheme="minorEastAsia"/>
          <w:kern w:val="0"/>
          <w:sz w:val="24"/>
          <w:szCs w:val="24"/>
        </w:rPr>
        <w:t>第二产业</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片区工业发展相对较弱，片区内大型工业企业较少，主要为三个镇区周边零散分布的制砖厂、竹器加工厂以及辣椒加工</w:t>
      </w:r>
      <w:r>
        <w:rPr>
          <w:rFonts w:hint="eastAsia" w:eastAsia="宋体" w:cs="Times New Roman" w:asciiTheme="minorEastAsia" w:hAnsiTheme="minorEastAsia"/>
          <w:kern w:val="0"/>
          <w:sz w:val="24"/>
          <w:szCs w:val="24"/>
        </w:rPr>
        <w:t>厂</w:t>
      </w:r>
      <w:r>
        <w:rPr>
          <w:rFonts w:eastAsia="宋体" w:cs="Times New Roman" w:asciiTheme="minorEastAsia" w:hAnsiTheme="minorEastAsia"/>
          <w:kern w:val="0"/>
          <w:sz w:val="24"/>
          <w:szCs w:val="24"/>
        </w:rPr>
        <w:t>等为主。</w:t>
      </w:r>
    </w:p>
    <w:p>
      <w:pPr>
        <w:adjustRightInd w:val="0"/>
        <w:snapToGrid w:val="0"/>
        <w:spacing w:line="360" w:lineRule="auto"/>
        <w:ind w:firstLine="480" w:firstLineChars="200"/>
        <w:rPr>
          <w:rFonts w:cs="Times New Roman" w:asciiTheme="minorEastAsia" w:hAnsiTheme="minorEastAsia"/>
          <w:kern w:val="0"/>
          <w:sz w:val="24"/>
          <w:szCs w:val="24"/>
        </w:rPr>
      </w:pPr>
      <w:r>
        <w:rPr>
          <w:rFonts w:hint="eastAsia" w:eastAsia="宋体" w:cs="Times New Roman" w:asciiTheme="minorEastAsia" w:hAnsiTheme="minorEastAsia"/>
          <w:kern w:val="0"/>
          <w:sz w:val="24"/>
          <w:szCs w:val="24"/>
        </w:rPr>
        <w:t>3、</w:t>
      </w:r>
      <w:r>
        <w:rPr>
          <w:rFonts w:eastAsia="宋体" w:cs="Times New Roman" w:asciiTheme="minorEastAsia" w:hAnsiTheme="minorEastAsia"/>
          <w:kern w:val="0"/>
          <w:sz w:val="24"/>
          <w:szCs w:val="24"/>
        </w:rPr>
        <w:t>第三产业</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片区第三产业以传统商贸、餐饮业为主，其他第三产业所占比重较低。其中，象山镇以商贸、餐饮为主，旅游服务业发展较弱。玉峰镇以商贸、餐饮为主，其他第三产业所占比重较低。河边镇以商贸为主，餐饮业次之，其他第三产业所占比重较低。片区旅游业还处在初级阶段，目前片区胜利村、三块碑村、斗笠村、指石河村、凤阳村的农旅开发正在进行，主要以农业观光、农耕体验、农家乐为主，但是开发方式单一、知名度较低、宣传推广力度较弱，缺少休闲设施和参与活动。</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（五）城镇化特征</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1、人口和城镇化</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 xml:space="preserve">2020年片区户籍人口14.54万人，常住人口7.92万人，净流出人口6.62万人，流出人口以外出务工为主。根据各村人口流动情况，河边镇坤龙村、仁义村、玉峰镇肖家沟、团结村、星宿村、象山镇永乐村等部分村庄的人口呈净流出状态，流出规模大于2000人。位于场镇所在地玉峰村、智水村、象山村、前进村等流出人口较少，户籍和常住基本持平，多为镇区就业、读书、搬迁移民等。 </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人口总体流出、老龄化严重、城镇化进程缓慢，进入老龄化阶段</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乡村</w:t>
      </w:r>
      <w:r>
        <w:rPr>
          <w:rFonts w:hint="eastAsia" w:eastAsia="宋体" w:cs="Times New Roman" w:asciiTheme="minorEastAsia" w:hAnsiTheme="minorEastAsia"/>
          <w:kern w:val="0"/>
          <w:sz w:val="24"/>
          <w:szCs w:val="24"/>
        </w:rPr>
        <w:t>人口逐步</w:t>
      </w:r>
      <w:r>
        <w:rPr>
          <w:rFonts w:eastAsia="宋体" w:cs="Times New Roman" w:asciiTheme="minorEastAsia" w:hAnsiTheme="minorEastAsia"/>
          <w:kern w:val="0"/>
          <w:sz w:val="24"/>
          <w:szCs w:val="24"/>
        </w:rPr>
        <w:t>向镇区和县城</w:t>
      </w:r>
      <w:r>
        <w:rPr>
          <w:rFonts w:hint="eastAsia" w:eastAsia="宋体" w:cs="Times New Roman" w:asciiTheme="minorEastAsia" w:hAnsiTheme="minorEastAsia"/>
          <w:kern w:val="0"/>
          <w:sz w:val="24"/>
          <w:szCs w:val="24"/>
        </w:rPr>
        <w:t>集聚，但</w:t>
      </w:r>
      <w:r>
        <w:rPr>
          <w:rFonts w:eastAsia="宋体" w:cs="Times New Roman" w:asciiTheme="minorEastAsia" w:hAnsiTheme="minorEastAsia"/>
          <w:kern w:val="0"/>
          <w:sz w:val="24"/>
          <w:szCs w:val="24"/>
        </w:rPr>
        <w:t>城镇化进程较为缓慢</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根据人口资料统计，河边镇城镇化率为6.25%，玉峰镇5.72%，象山镇12.26%，远低于大英县的平均水平</w:t>
      </w:r>
      <w:r>
        <w:rPr>
          <w:rFonts w:hint="eastAsia" w:eastAsia="宋体" w:cs="Times New Roman" w:asciiTheme="minorEastAsia" w:hAnsiTheme="minorEastAsia"/>
          <w:kern w:val="0"/>
          <w:sz w:val="24"/>
          <w:szCs w:val="24"/>
        </w:rPr>
        <w:t xml:space="preserve">。 </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2、</w:t>
      </w:r>
      <w:r>
        <w:rPr>
          <w:rFonts w:eastAsia="宋体" w:cs="Times New Roman" w:asciiTheme="minorEastAsia" w:hAnsiTheme="minorEastAsia"/>
          <w:kern w:val="0"/>
          <w:sz w:val="24"/>
          <w:szCs w:val="24"/>
        </w:rPr>
        <w:t>城乡建设特征</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人均建设指标偏高，整理潜力较大。成遂协同绿色发展片区城乡建设用地总面积2227.33公顷，占全域面积的9.73%，主要为农村宅基地，总面积1885.64公顷，其次为交通运输用地，总面积169公顷。</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农村居民点布局散落，户籍人口人均农村宅基地面积129.69</w:t>
      </w:r>
      <w:r>
        <w:rPr>
          <w:rFonts w:hint="eastAsia" w:eastAsia="宋体" w:cs="Times New Roman" w:asciiTheme="minorEastAsia" w:hAnsiTheme="minorEastAsia"/>
          <w:kern w:val="0"/>
          <w:sz w:val="24"/>
          <w:szCs w:val="24"/>
        </w:rPr>
        <w:t>平方米</w:t>
      </w:r>
      <w:r>
        <w:rPr>
          <w:rFonts w:eastAsia="宋体" w:cs="Times New Roman" w:asciiTheme="minorEastAsia" w:hAnsiTheme="minorEastAsia"/>
          <w:kern w:val="0"/>
          <w:sz w:val="24"/>
          <w:szCs w:val="24"/>
        </w:rPr>
        <w:t>/人，常住人口人均农村宅基地面积238.09</w:t>
      </w:r>
      <w:r>
        <w:rPr>
          <w:rFonts w:hint="eastAsia" w:eastAsia="宋体" w:cs="Times New Roman" w:asciiTheme="minorEastAsia" w:hAnsiTheme="minorEastAsia"/>
          <w:kern w:val="0"/>
          <w:sz w:val="24"/>
          <w:szCs w:val="24"/>
        </w:rPr>
        <w:t>平方米</w:t>
      </w:r>
      <w:r>
        <w:rPr>
          <w:rFonts w:eastAsia="宋体" w:cs="Times New Roman" w:asciiTheme="minorEastAsia" w:hAnsiTheme="minorEastAsia"/>
          <w:kern w:val="0"/>
          <w:sz w:val="24"/>
          <w:szCs w:val="24"/>
        </w:rPr>
        <w:t>/人，高于全县平均水平（182.69</w:t>
      </w:r>
      <w:r>
        <w:rPr>
          <w:rFonts w:hint="eastAsia" w:eastAsia="宋体" w:cs="Times New Roman" w:asciiTheme="minorEastAsia" w:hAnsiTheme="minorEastAsia"/>
          <w:kern w:val="0"/>
          <w:sz w:val="24"/>
          <w:szCs w:val="24"/>
        </w:rPr>
        <w:t>平方米</w:t>
      </w:r>
      <w:r>
        <w:rPr>
          <w:rFonts w:eastAsia="宋体" w:cs="Times New Roman" w:asciiTheme="minorEastAsia" w:hAnsiTheme="minorEastAsia"/>
          <w:kern w:val="0"/>
          <w:sz w:val="24"/>
          <w:szCs w:val="24"/>
        </w:rPr>
        <w:t>/人），且部分场镇内有如粮站、废弃砖厂、废弃小学等闲置用地，存量土地整理潜力较大。</w:t>
      </w:r>
    </w:p>
    <w:p>
      <w:pPr>
        <w:adjustRightInd w:val="0"/>
        <w:snapToGrid w:val="0"/>
        <w:spacing w:line="360" w:lineRule="auto"/>
        <w:ind w:firstLine="482" w:firstLineChars="200"/>
        <w:rPr>
          <w:rFonts w:ascii="黑体" w:hAnsi="黑体" w:eastAsia="黑体" w:cs="Times New Roman"/>
          <w:b/>
          <w:kern w:val="0"/>
          <w:sz w:val="24"/>
          <w:szCs w:val="24"/>
        </w:rPr>
      </w:pPr>
      <w:r>
        <w:rPr>
          <w:rFonts w:hint="eastAsia" w:ascii="黑体" w:hAnsi="黑体" w:eastAsia="黑体" w:cs="Times New Roman"/>
          <w:b/>
          <w:kern w:val="0"/>
          <w:sz w:val="24"/>
          <w:szCs w:val="24"/>
        </w:rPr>
        <w:t>二、片区发展面临的主要问题</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（一）</w:t>
      </w:r>
      <w:r>
        <w:rPr>
          <w:rFonts w:eastAsia="宋体" w:cs="Times New Roman" w:asciiTheme="minorEastAsia" w:hAnsiTheme="minorEastAsia"/>
          <w:b/>
          <w:kern w:val="0"/>
          <w:sz w:val="24"/>
          <w:szCs w:val="24"/>
        </w:rPr>
        <w:t>资源分配：耕地逐年减少，永久基本农田保护与产业发展矛盾凸显，粮食安全保障压力较大</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1、耕地</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片区2020年耕地面积较2019年减少约</w:t>
      </w:r>
      <w:r>
        <w:rPr>
          <w:rFonts w:hint="eastAsia" w:eastAsia="宋体" w:cs="Times New Roman" w:asciiTheme="minorEastAsia" w:hAnsiTheme="minorEastAsia"/>
          <w:kern w:val="0"/>
          <w:sz w:val="24"/>
          <w:szCs w:val="24"/>
        </w:rPr>
        <w:t>54</w:t>
      </w:r>
      <w:r>
        <w:rPr>
          <w:rFonts w:eastAsia="宋体" w:cs="Times New Roman" w:asciiTheme="minorEastAsia" w:hAnsiTheme="minorEastAsia"/>
          <w:kern w:val="0"/>
          <w:sz w:val="24"/>
          <w:szCs w:val="24"/>
        </w:rPr>
        <w:t>公顷，主要流向林地、建设用地。根据大英县2020年变更调查资料，片区坡耕地占比高，耕地坡度主要为6-15°</w:t>
      </w:r>
      <w:r>
        <w:rPr>
          <w:rFonts w:hint="eastAsia" w:eastAsia="宋体" w:cs="Times New Roman" w:asciiTheme="minorEastAsia" w:hAnsiTheme="minorEastAsia"/>
          <w:kern w:val="0"/>
          <w:sz w:val="24"/>
          <w:szCs w:val="24"/>
        </w:rPr>
        <w:t>的占比</w:t>
      </w:r>
      <w:r>
        <w:rPr>
          <w:rFonts w:eastAsia="宋体" w:cs="Times New Roman" w:asciiTheme="minorEastAsia" w:hAnsiTheme="minorEastAsia"/>
          <w:kern w:val="0"/>
          <w:sz w:val="24"/>
          <w:szCs w:val="24"/>
        </w:rPr>
        <w:t>52.64%</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耕地坡度主要为2-6°</w:t>
      </w:r>
      <w:r>
        <w:rPr>
          <w:rFonts w:hint="eastAsia" w:eastAsia="宋体" w:cs="Times New Roman" w:asciiTheme="minorEastAsia" w:hAnsiTheme="minorEastAsia"/>
          <w:kern w:val="0"/>
          <w:sz w:val="24"/>
          <w:szCs w:val="24"/>
        </w:rPr>
        <w:t>的占比</w:t>
      </w:r>
      <w:r>
        <w:rPr>
          <w:rFonts w:eastAsia="宋体" w:cs="Times New Roman" w:asciiTheme="minorEastAsia" w:hAnsiTheme="minorEastAsia"/>
          <w:kern w:val="0"/>
          <w:sz w:val="24"/>
          <w:szCs w:val="24"/>
        </w:rPr>
        <w:t>21.72%</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 xml:space="preserve">耕地质量以中等为主，中等耕地（9-11 </w:t>
      </w:r>
      <w:r>
        <w:rPr>
          <w:rFonts w:hint="eastAsia" w:eastAsia="宋体" w:cs="Times New Roman" w:asciiTheme="minorEastAsia" w:hAnsiTheme="minorEastAsia"/>
          <w:kern w:val="0"/>
          <w:sz w:val="24"/>
          <w:szCs w:val="24"/>
        </w:rPr>
        <w:t>等）占比</w:t>
      </w:r>
      <w:r>
        <w:rPr>
          <w:rFonts w:eastAsia="宋体" w:cs="Times New Roman" w:asciiTheme="minorEastAsia" w:hAnsiTheme="minorEastAsia"/>
          <w:kern w:val="0"/>
          <w:sz w:val="24"/>
          <w:szCs w:val="24"/>
        </w:rPr>
        <w:t>58.90%</w:t>
      </w:r>
      <w:r>
        <w:rPr>
          <w:rFonts w:hint="eastAsia" w:eastAsia="宋体" w:cs="Times New Roman" w:asciiTheme="minorEastAsia" w:hAnsiTheme="minorEastAsia"/>
          <w:kern w:val="0"/>
          <w:sz w:val="24"/>
          <w:szCs w:val="24"/>
        </w:rPr>
        <w:t>，高等耕地（</w:t>
      </w:r>
      <w:r>
        <w:rPr>
          <w:rFonts w:eastAsia="宋体" w:cs="Times New Roman" w:asciiTheme="minorEastAsia" w:hAnsiTheme="minorEastAsia"/>
          <w:kern w:val="0"/>
          <w:sz w:val="24"/>
          <w:szCs w:val="24"/>
        </w:rPr>
        <w:t xml:space="preserve">6-8 </w:t>
      </w:r>
      <w:r>
        <w:rPr>
          <w:rFonts w:hint="eastAsia" w:eastAsia="宋体" w:cs="Times New Roman" w:asciiTheme="minorEastAsia" w:hAnsiTheme="minorEastAsia"/>
          <w:kern w:val="0"/>
          <w:sz w:val="24"/>
          <w:szCs w:val="24"/>
        </w:rPr>
        <w:t>等）占比</w:t>
      </w:r>
      <w:r>
        <w:rPr>
          <w:rFonts w:eastAsia="宋体" w:cs="Times New Roman" w:asciiTheme="minorEastAsia" w:hAnsiTheme="minorEastAsia"/>
          <w:kern w:val="0"/>
          <w:sz w:val="24"/>
          <w:szCs w:val="24"/>
        </w:rPr>
        <w:t>39.94%，耕地抛荒仅1.16%，种植中轮作占比95.66%</w:t>
      </w:r>
      <w:r>
        <w:rPr>
          <w:rFonts w:hint="eastAsia" w:eastAsia="宋体" w:cs="Times New Roman" w:asciiTheme="minorEastAsia" w:hAnsiTheme="minorEastAsia"/>
          <w:kern w:val="0"/>
          <w:sz w:val="24"/>
          <w:szCs w:val="24"/>
        </w:rPr>
        <w:t>。</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2、</w:t>
      </w:r>
      <w:r>
        <w:rPr>
          <w:rFonts w:eastAsia="宋体" w:cs="Times New Roman" w:asciiTheme="minorEastAsia" w:hAnsiTheme="minorEastAsia"/>
          <w:kern w:val="0"/>
          <w:sz w:val="24"/>
          <w:szCs w:val="24"/>
        </w:rPr>
        <w:t>永久基本农田</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大英县“三区三线”</w:t>
      </w:r>
      <w:r>
        <w:rPr>
          <w:rFonts w:eastAsia="宋体" w:cs="Times New Roman" w:asciiTheme="minorEastAsia" w:hAnsiTheme="minorEastAsia"/>
          <w:kern w:val="0"/>
          <w:sz w:val="24"/>
          <w:szCs w:val="24"/>
        </w:rPr>
        <w:t>确定永久基本农田</w:t>
      </w:r>
      <w:r>
        <w:rPr>
          <w:rFonts w:hint="eastAsia" w:eastAsia="宋体" w:cs="Times New Roman" w:asciiTheme="minorEastAsia" w:hAnsiTheme="minorEastAsia"/>
          <w:kern w:val="0"/>
          <w:sz w:val="24"/>
          <w:szCs w:val="24"/>
        </w:rPr>
        <w:t>10389.60</w:t>
      </w:r>
      <w:r>
        <w:rPr>
          <w:rFonts w:eastAsia="宋体" w:cs="Times New Roman" w:asciiTheme="minorEastAsia" w:hAnsiTheme="minorEastAsia"/>
          <w:kern w:val="0"/>
          <w:sz w:val="24"/>
          <w:szCs w:val="24"/>
        </w:rPr>
        <w:t>公顷，河边镇柠檬、西瓜，象山镇蔬菜等特色农业种植范围广，永久基本农田内非粮化问题突出，随着河边柠檬、蔬菜等特色农业进一步规模化发展，矛盾将越加凸显。</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（二）</w:t>
      </w:r>
      <w:r>
        <w:rPr>
          <w:rFonts w:eastAsia="宋体" w:cs="Times New Roman" w:asciiTheme="minorEastAsia" w:hAnsiTheme="minorEastAsia"/>
          <w:b/>
          <w:kern w:val="0"/>
          <w:sz w:val="24"/>
          <w:szCs w:val="24"/>
        </w:rPr>
        <w:t>产业发展：一二三产业深度融合有待突破，未能融入成都平原经济区、</w:t>
      </w:r>
      <w:r>
        <w:rPr>
          <w:rFonts w:hint="eastAsia" w:eastAsia="宋体" w:cs="Times New Roman" w:asciiTheme="minorEastAsia" w:hAnsiTheme="minorEastAsia"/>
          <w:b/>
          <w:kern w:val="0"/>
          <w:sz w:val="24"/>
          <w:szCs w:val="24"/>
        </w:rPr>
        <w:t>成遂</w:t>
      </w:r>
      <w:r>
        <w:rPr>
          <w:rFonts w:eastAsia="宋体" w:cs="Times New Roman" w:asciiTheme="minorEastAsia" w:hAnsiTheme="minorEastAsia"/>
          <w:b/>
          <w:kern w:val="0"/>
          <w:sz w:val="24"/>
          <w:szCs w:val="24"/>
        </w:rPr>
        <w:t>一体发展先行区产业体系</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1、片区整体产业融合度较低</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片区整体农业规模化、特色化程度还不够高，农业种植与农产品加工关联度不高，农业种植观光体验较弱，农旅融合度不高，二三产业发展的空间不足。</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按照县委要求，用建设工业园区的标准建设粮油现代农业园区，努力将粮油现代农业园区创建为国家级粮油现代农业产业园区。玉峰镇处于大英粮油产业带核心区，为了抓住粮油产业发展机遇，盘活闲置资产，建起了包含有育秧大棚、粮食深加工车间等配套设施的玉峰农事服务中心，但因产业发展服务群体增加，导致出现了农业设备服务能力不足的情况</w:t>
      </w:r>
      <w:r>
        <w:rPr>
          <w:rFonts w:hint="eastAsia" w:eastAsia="宋体" w:cs="Times New Roman" w:asciiTheme="minorEastAsia" w:hAnsiTheme="minorEastAsia"/>
          <w:kern w:val="0"/>
          <w:sz w:val="24"/>
          <w:szCs w:val="24"/>
        </w:rPr>
        <w:t>。</w:t>
      </w:r>
    </w:p>
    <w:p>
      <w:pPr>
        <w:adjustRightInd w:val="0"/>
        <w:snapToGrid w:val="0"/>
        <w:spacing w:line="360" w:lineRule="auto"/>
        <w:ind w:firstLine="480" w:firstLineChars="200"/>
        <w:rPr>
          <w:rFonts w:cs="Times New Roman" w:asciiTheme="minorEastAsia" w:hAnsiTheme="minorEastAsia"/>
          <w:kern w:val="0"/>
          <w:sz w:val="24"/>
          <w:szCs w:val="24"/>
        </w:rPr>
      </w:pPr>
      <w:r>
        <w:rPr>
          <w:rFonts w:hint="eastAsia" w:eastAsia="宋体" w:cs="Times New Roman" w:asciiTheme="minorEastAsia" w:hAnsiTheme="minorEastAsia"/>
          <w:kern w:val="0"/>
          <w:sz w:val="24"/>
          <w:szCs w:val="24"/>
        </w:rPr>
        <w:t>2、与区域产业未能协同发展</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成都平原经济区主要发展目标在现代产业、科技创新、基础设施、公共服务、生态环境等领域一体化方面率先突破</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内圈同城化、</w:t>
      </w:r>
      <w:r>
        <w:rPr>
          <w:rFonts w:hint="eastAsia" w:eastAsia="宋体" w:cs="Times New Roman" w:asciiTheme="minorEastAsia" w:hAnsiTheme="minorEastAsia"/>
          <w:kern w:val="0"/>
          <w:sz w:val="24"/>
          <w:szCs w:val="24"/>
        </w:rPr>
        <w:t>全域</w:t>
      </w:r>
      <w:r>
        <w:rPr>
          <w:rFonts w:eastAsia="宋体" w:cs="Times New Roman" w:asciiTheme="minorEastAsia" w:hAnsiTheme="minorEastAsia"/>
          <w:kern w:val="0"/>
          <w:sz w:val="24"/>
          <w:szCs w:val="24"/>
        </w:rPr>
        <w:t>一体化取得实质性进展。在都市农业发展方面，未来加快发展休闲农业、绿色农业、数字农业,促进农村一二三产业深度融合</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打造重要农产品高质量保供基地。成都平原经济区的农业产业发展重心主要在新津、仁寿、乐至、峨眉山、安岳、船山、峨眉山等特色比较明显的市县</w:t>
      </w:r>
      <w:r>
        <w:rPr>
          <w:rFonts w:hint="eastAsia" w:eastAsia="宋体" w:cs="Times New Roman" w:asciiTheme="minorEastAsia" w:hAnsiTheme="minorEastAsia"/>
          <w:kern w:val="0"/>
          <w:sz w:val="24"/>
          <w:szCs w:val="24"/>
        </w:rPr>
        <w:t>，且</w:t>
      </w:r>
      <w:r>
        <w:rPr>
          <w:rFonts w:eastAsia="宋体" w:cs="Times New Roman" w:asciiTheme="minorEastAsia" w:hAnsiTheme="minorEastAsia"/>
          <w:kern w:val="0"/>
          <w:sz w:val="24"/>
          <w:szCs w:val="24"/>
        </w:rPr>
        <w:t>产业规模、产业特色大于成遂协同绿色发展片，当前片区主要以传统粮油种植为主导，与其他市县存在明显的同构现象，未能够融为成都平原经济区。</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（三）</w:t>
      </w:r>
      <w:r>
        <w:rPr>
          <w:rFonts w:eastAsia="宋体" w:cs="Times New Roman" w:asciiTheme="minorEastAsia" w:hAnsiTheme="minorEastAsia"/>
          <w:b/>
          <w:kern w:val="0"/>
          <w:sz w:val="24"/>
          <w:szCs w:val="24"/>
        </w:rPr>
        <w:t>服务能力：设施较为完善，建设质量有待提高</w:t>
      </w:r>
    </w:p>
    <w:p>
      <w:pPr>
        <w:adjustRightInd w:val="0"/>
        <w:snapToGrid w:val="0"/>
        <w:spacing w:line="360" w:lineRule="auto"/>
        <w:ind w:firstLine="480" w:firstLineChars="200"/>
        <w:rPr>
          <w:rFonts w:cs="Times New Roman" w:asciiTheme="minorEastAsia" w:hAnsiTheme="minorEastAsia"/>
          <w:kern w:val="0"/>
          <w:sz w:val="24"/>
          <w:szCs w:val="24"/>
        </w:rPr>
      </w:pPr>
      <w:r>
        <w:rPr>
          <w:rFonts w:hint="eastAsia" w:eastAsia="宋体" w:cs="Times New Roman" w:asciiTheme="minorEastAsia" w:hAnsiTheme="minorEastAsia"/>
          <w:kern w:val="0"/>
          <w:sz w:val="24"/>
          <w:szCs w:val="24"/>
        </w:rPr>
        <w:t>1、</w:t>
      </w:r>
      <w:r>
        <w:rPr>
          <w:rFonts w:eastAsia="宋体" w:cs="Times New Roman" w:asciiTheme="minorEastAsia" w:hAnsiTheme="minorEastAsia"/>
          <w:kern w:val="0"/>
          <w:sz w:val="24"/>
          <w:szCs w:val="24"/>
        </w:rPr>
        <w:t>公共服务设施</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片区内共有幼儿园15所、小学11所、中学4所、卫生院4所等教育、医疗公共服务设施，各村包括村委会、卫生站、养老服务站、文化活动室、健身活动广场、商业服务点等公共服务设施，各村设施建设情况各异，种类尚不齐全，但基本能满足居民生活需求，镇村公共服务设施建设需进一步补充完善。</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成遂协同绿色发展片区为农村片区</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距县城较近、区位优势好，出现近郊农文旅发展萌芽</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整体处于较为初级的阶段</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目前象山镇打造的凤阳农耕园以科普</w:t>
      </w:r>
      <w:r>
        <w:rPr>
          <w:rFonts w:hint="eastAsia" w:eastAsia="宋体" w:cs="Times New Roman" w:asciiTheme="minorEastAsia" w:hAnsiTheme="minorEastAsia"/>
          <w:kern w:val="0"/>
          <w:sz w:val="24"/>
          <w:szCs w:val="24"/>
        </w:rPr>
        <w:t>观光</w:t>
      </w:r>
      <w:r>
        <w:rPr>
          <w:rFonts w:eastAsia="宋体" w:cs="Times New Roman" w:asciiTheme="minorEastAsia" w:hAnsiTheme="minorEastAsia"/>
          <w:kern w:val="0"/>
          <w:sz w:val="24"/>
          <w:szCs w:val="24"/>
        </w:rPr>
        <w:t>为主，玉峰镇依托</w:t>
      </w:r>
      <w:r>
        <w:rPr>
          <w:rFonts w:hint="eastAsia" w:eastAsia="宋体" w:cs="Times New Roman" w:asciiTheme="minorEastAsia" w:hAnsiTheme="minorEastAsia"/>
          <w:kern w:val="0"/>
          <w:sz w:val="24"/>
          <w:szCs w:val="24"/>
        </w:rPr>
        <w:t>四</w:t>
      </w:r>
      <w:r>
        <w:rPr>
          <w:rFonts w:eastAsia="宋体" w:cs="Times New Roman" w:asciiTheme="minorEastAsia" w:hAnsiTheme="minorEastAsia"/>
          <w:kern w:val="0"/>
          <w:sz w:val="24"/>
          <w:szCs w:val="24"/>
        </w:rPr>
        <w:t>五水库主要</w:t>
      </w:r>
      <w:r>
        <w:rPr>
          <w:rFonts w:hint="eastAsia" w:eastAsia="宋体" w:cs="Times New Roman" w:asciiTheme="minorEastAsia" w:hAnsiTheme="minorEastAsia"/>
          <w:kern w:val="0"/>
          <w:sz w:val="24"/>
          <w:szCs w:val="24"/>
        </w:rPr>
        <w:t>以</w:t>
      </w:r>
      <w:r>
        <w:rPr>
          <w:rFonts w:eastAsia="宋体" w:cs="Times New Roman" w:asciiTheme="minorEastAsia" w:hAnsiTheme="minorEastAsia"/>
          <w:kern w:val="0"/>
          <w:sz w:val="24"/>
          <w:szCs w:val="24"/>
        </w:rPr>
        <w:t>农家乐、特色餐饮休闲为主，</w:t>
      </w:r>
      <w:r>
        <w:rPr>
          <w:rFonts w:hint="eastAsia" w:eastAsia="宋体" w:cs="Times New Roman" w:asciiTheme="minorEastAsia" w:hAnsiTheme="minorEastAsia"/>
          <w:kern w:val="0"/>
          <w:sz w:val="24"/>
          <w:szCs w:val="24"/>
        </w:rPr>
        <w:t>但</w:t>
      </w:r>
      <w:r>
        <w:rPr>
          <w:rFonts w:eastAsia="宋体" w:cs="Times New Roman" w:asciiTheme="minorEastAsia" w:hAnsiTheme="minorEastAsia"/>
          <w:kern w:val="0"/>
          <w:sz w:val="24"/>
          <w:szCs w:val="24"/>
        </w:rPr>
        <w:t xml:space="preserve">片区内旅游配套设施不足，质量不高，缺乏特色化、多样化的住宿、餐饮、购物等高质量旅游休闲服务设施。 </w:t>
      </w:r>
    </w:p>
    <w:p>
      <w:pPr>
        <w:adjustRightInd w:val="0"/>
        <w:snapToGrid w:val="0"/>
        <w:spacing w:line="360" w:lineRule="auto"/>
        <w:ind w:firstLine="480" w:firstLineChars="200"/>
        <w:rPr>
          <w:rFonts w:cs="Times New Roman" w:asciiTheme="minorEastAsia" w:hAnsiTheme="minorEastAsia"/>
          <w:kern w:val="0"/>
          <w:sz w:val="24"/>
          <w:szCs w:val="24"/>
        </w:rPr>
      </w:pPr>
      <w:r>
        <w:rPr>
          <w:rFonts w:hint="eastAsia" w:eastAsia="宋体" w:cs="Times New Roman" w:asciiTheme="minorEastAsia" w:hAnsiTheme="minorEastAsia"/>
          <w:kern w:val="0"/>
          <w:sz w:val="24"/>
          <w:szCs w:val="24"/>
        </w:rPr>
        <w:t>2、道路交通设施</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片区道路骨架已经形成，持续加快逐步融入环成都经济区</w:t>
      </w:r>
      <w:r>
        <w:rPr>
          <w:rFonts w:hint="eastAsia" w:eastAsia="宋体" w:cs="Times New Roman" w:asciiTheme="minorEastAsia" w:hAnsiTheme="minorEastAsia"/>
          <w:kern w:val="0"/>
          <w:sz w:val="24"/>
          <w:szCs w:val="24"/>
        </w:rPr>
        <w:t>的步伐。</w:t>
      </w:r>
      <w:r>
        <w:rPr>
          <w:rFonts w:eastAsia="宋体" w:cs="Times New Roman" w:asciiTheme="minorEastAsia" w:hAnsiTheme="minorEastAsia"/>
          <w:kern w:val="0"/>
          <w:sz w:val="24"/>
          <w:szCs w:val="24"/>
        </w:rPr>
        <w:t>目前已经形成“一横”铁路、高速公路的交通格局，达成铁路东西向穿越片区，达成高铁向西至成都，向东至重庆，达成高铁设有大英东站和大英站。沪蓉高速G42在片区玉峰镇北部经过，在大英设有高速出入口，玉峰镇距高速出入口直线距离约7</w:t>
      </w:r>
      <w:r>
        <w:rPr>
          <w:rFonts w:hint="eastAsia" w:eastAsia="宋体" w:cs="Times New Roman" w:asciiTheme="minorEastAsia" w:hAnsiTheme="minorEastAsia"/>
          <w:kern w:val="0"/>
          <w:sz w:val="24"/>
          <w:szCs w:val="24"/>
        </w:rPr>
        <w:t>公里。</w:t>
      </w:r>
      <w:r>
        <w:rPr>
          <w:rFonts w:eastAsia="宋体" w:cs="Times New Roman" w:asciiTheme="minorEastAsia" w:hAnsiTheme="minorEastAsia"/>
          <w:kern w:val="0"/>
          <w:sz w:val="24"/>
          <w:szCs w:val="24"/>
        </w:rPr>
        <w:t>在国、省道方面，片区目前</w:t>
      </w:r>
      <w:r>
        <w:rPr>
          <w:rFonts w:hint="eastAsia" w:eastAsia="宋体" w:cs="Times New Roman" w:asciiTheme="minorEastAsia" w:hAnsiTheme="minorEastAsia"/>
          <w:kern w:val="0"/>
          <w:sz w:val="24"/>
          <w:szCs w:val="24"/>
        </w:rPr>
        <w:t>形成了</w:t>
      </w:r>
      <w:r>
        <w:rPr>
          <w:rFonts w:eastAsia="宋体" w:cs="Times New Roman" w:asciiTheme="minorEastAsia" w:hAnsiTheme="minorEastAsia"/>
          <w:kern w:val="0"/>
          <w:sz w:val="24"/>
          <w:szCs w:val="24"/>
        </w:rPr>
        <w:t>“两横一纵”</w:t>
      </w:r>
      <w:r>
        <w:rPr>
          <w:rFonts w:hint="eastAsia" w:eastAsia="宋体" w:cs="Times New Roman" w:asciiTheme="minorEastAsia" w:hAnsiTheme="minorEastAsia"/>
          <w:kern w:val="0"/>
          <w:sz w:val="24"/>
          <w:szCs w:val="24"/>
        </w:rPr>
        <w:t>公路网</w:t>
      </w:r>
      <w:r>
        <w:rPr>
          <w:rFonts w:eastAsia="宋体" w:cs="Times New Roman" w:asciiTheme="minorEastAsia" w:hAnsiTheme="minorEastAsia"/>
          <w:kern w:val="0"/>
          <w:sz w:val="24"/>
          <w:szCs w:val="24"/>
        </w:rPr>
        <w:t xml:space="preserve">格局，中部有国道G350穿过， </w:t>
      </w:r>
      <w:r>
        <w:rPr>
          <w:rFonts w:hint="eastAsia" w:eastAsia="宋体" w:cs="Times New Roman" w:asciiTheme="minorEastAsia" w:hAnsiTheme="minorEastAsia"/>
          <w:kern w:val="0"/>
          <w:sz w:val="24"/>
          <w:szCs w:val="24"/>
        </w:rPr>
        <w:t>省道</w:t>
      </w:r>
      <w:r>
        <w:rPr>
          <w:rFonts w:eastAsia="宋体" w:cs="Times New Roman" w:asciiTheme="minorEastAsia" w:hAnsiTheme="minorEastAsia"/>
          <w:kern w:val="0"/>
          <w:sz w:val="24"/>
          <w:szCs w:val="24"/>
        </w:rPr>
        <w:t>S401南北向贯穿片区，S101</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S209东西向穿越象山镇域，S307东西向穿越河边镇南部区域。片区已实现村村通公路，路面已基本硬化，呈枝状通往各个行政村，但道路宽度不等，道路等级较低，存在部分道路较窄、路面质量较差的情况。</w:t>
      </w:r>
    </w:p>
    <w:p>
      <w:pPr>
        <w:adjustRightInd w:val="0"/>
        <w:snapToGrid w:val="0"/>
        <w:spacing w:line="360" w:lineRule="auto"/>
        <w:ind w:firstLine="480" w:firstLineChars="200"/>
        <w:rPr>
          <w:rFonts w:cs="Times New Roman" w:asciiTheme="minorEastAsia" w:hAnsiTheme="minorEastAsia"/>
          <w:kern w:val="0"/>
          <w:sz w:val="24"/>
          <w:szCs w:val="24"/>
        </w:rPr>
      </w:pPr>
      <w:r>
        <w:rPr>
          <w:rFonts w:hint="eastAsia" w:eastAsia="宋体" w:cs="Times New Roman" w:asciiTheme="minorEastAsia" w:hAnsiTheme="minorEastAsia"/>
          <w:kern w:val="0"/>
          <w:sz w:val="24"/>
          <w:szCs w:val="24"/>
        </w:rPr>
        <w:t>3、</w:t>
      </w:r>
      <w:r>
        <w:rPr>
          <w:rFonts w:eastAsia="宋体" w:cs="Times New Roman" w:asciiTheme="minorEastAsia" w:hAnsiTheme="minorEastAsia"/>
          <w:kern w:val="0"/>
          <w:sz w:val="24"/>
          <w:szCs w:val="24"/>
        </w:rPr>
        <w:t>市政基础设施</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片区市政设施</w:t>
      </w:r>
      <w:r>
        <w:rPr>
          <w:rFonts w:hint="eastAsia" w:eastAsia="宋体" w:cs="Times New Roman" w:asciiTheme="minorEastAsia" w:hAnsiTheme="minorEastAsia"/>
          <w:kern w:val="0"/>
          <w:sz w:val="24"/>
          <w:szCs w:val="24"/>
        </w:rPr>
        <w:t>方面</w:t>
      </w:r>
      <w:r>
        <w:rPr>
          <w:rFonts w:eastAsia="宋体" w:cs="Times New Roman" w:asciiTheme="minorEastAsia" w:hAnsiTheme="minorEastAsia"/>
          <w:kern w:val="0"/>
          <w:sz w:val="24"/>
          <w:szCs w:val="24"/>
        </w:rPr>
        <w:t>整体较好，各镇均建有自来水厂，目前供水基本满足现状，但农村自来水普及率不高。各镇均建有污水处理厂，各村已基本完成改厕，污水处理率接近</w:t>
      </w:r>
      <w:r>
        <w:rPr>
          <w:rFonts w:hint="eastAsia" w:eastAsia="宋体" w:cs="Times New Roman" w:asciiTheme="minorEastAsia" w:hAnsiTheme="minorEastAsia"/>
          <w:kern w:val="0"/>
          <w:sz w:val="24"/>
          <w:szCs w:val="24"/>
        </w:rPr>
        <w:t>60</w:t>
      </w:r>
      <w:r>
        <w:rPr>
          <w:rFonts w:eastAsia="宋体" w:cs="Times New Roman" w:asciiTheme="minorEastAsia" w:hAnsiTheme="minorEastAsia"/>
          <w:kern w:val="0"/>
          <w:sz w:val="24"/>
          <w:szCs w:val="24"/>
        </w:rPr>
        <w:t>%。河边、玉峰、象山永乐均设有35KV变电站，各镇供电基本满足现状。各镇电信网络覆盖，通讯并入市网，已实现村村通电话，公众移动通信设施配套齐全，无线通信发达。各镇燃气干管皆已铺设，但燃气入户率并不高。</w:t>
      </w:r>
    </w:p>
    <w:p>
      <w:pPr>
        <w:adjustRightInd w:val="0"/>
        <w:snapToGrid w:val="0"/>
        <w:spacing w:line="360" w:lineRule="auto"/>
        <w:ind w:firstLine="480" w:firstLineChars="200"/>
        <w:rPr>
          <w:rFonts w:cs="Times New Roman" w:asciiTheme="minorEastAsia" w:hAnsiTheme="minorEastAsia"/>
          <w:kern w:val="0"/>
          <w:sz w:val="24"/>
          <w:szCs w:val="24"/>
        </w:rPr>
      </w:pPr>
      <w:r>
        <w:rPr>
          <w:rFonts w:hint="eastAsia" w:eastAsia="宋体" w:cs="Times New Roman" w:asciiTheme="minorEastAsia" w:hAnsiTheme="minorEastAsia"/>
          <w:kern w:val="0"/>
          <w:sz w:val="24"/>
          <w:szCs w:val="24"/>
        </w:rPr>
        <w:t>4、</w:t>
      </w:r>
      <w:r>
        <w:rPr>
          <w:rFonts w:eastAsia="宋体" w:cs="Times New Roman" w:asciiTheme="minorEastAsia" w:hAnsiTheme="minorEastAsia"/>
          <w:kern w:val="0"/>
          <w:sz w:val="24"/>
          <w:szCs w:val="24"/>
        </w:rPr>
        <w:t>水利设施</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片区水系相对发达，郪江、马力河、龙溪河在片区内穿越，水资源较为丰沛</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2019</w:t>
      </w:r>
      <w:r>
        <w:rPr>
          <w:rFonts w:hint="eastAsia" w:eastAsia="宋体" w:cs="Times New Roman" w:asciiTheme="minorEastAsia" w:hAnsiTheme="minorEastAsia"/>
          <w:kern w:val="0"/>
          <w:sz w:val="24"/>
          <w:szCs w:val="24"/>
        </w:rPr>
        <w:t>年片</w:t>
      </w:r>
      <w:r>
        <w:rPr>
          <w:rFonts w:eastAsia="宋体" w:cs="Times New Roman" w:asciiTheme="minorEastAsia" w:hAnsiTheme="minorEastAsia"/>
          <w:kern w:val="0"/>
          <w:sz w:val="24"/>
          <w:szCs w:val="24"/>
        </w:rPr>
        <w:t>区完成了象山龙溪河</w:t>
      </w:r>
      <w:r>
        <w:rPr>
          <w:rFonts w:hint="eastAsia" w:eastAsia="宋体" w:cs="Times New Roman" w:asciiTheme="minorEastAsia" w:hAnsiTheme="minorEastAsia"/>
          <w:kern w:val="0"/>
          <w:sz w:val="24"/>
          <w:szCs w:val="24"/>
        </w:rPr>
        <w:t>小流域、</w:t>
      </w:r>
      <w:r>
        <w:rPr>
          <w:rFonts w:eastAsia="宋体" w:cs="Times New Roman" w:asciiTheme="minorEastAsia" w:hAnsiTheme="minorEastAsia"/>
          <w:kern w:val="0"/>
          <w:sz w:val="24"/>
          <w:szCs w:val="24"/>
        </w:rPr>
        <w:t>玉峰镇马力河小流域、寸塘口河小流域的水土流失综合治理，片区共建有8处水库，小一型水库2座，小二型水库6</w:t>
      </w:r>
      <w:r>
        <w:rPr>
          <w:rFonts w:hint="eastAsia" w:eastAsia="宋体" w:cs="Times New Roman" w:asciiTheme="minorEastAsia" w:hAnsiTheme="minorEastAsia"/>
          <w:kern w:val="0"/>
          <w:sz w:val="24"/>
          <w:szCs w:val="24"/>
        </w:rPr>
        <w:t>座。</w:t>
      </w:r>
      <w:r>
        <w:rPr>
          <w:rFonts w:eastAsia="宋体" w:cs="Times New Roman" w:asciiTheme="minorEastAsia" w:hAnsiTheme="minorEastAsia"/>
          <w:kern w:val="0"/>
          <w:sz w:val="24"/>
          <w:szCs w:val="24"/>
        </w:rPr>
        <w:t>分别是四五水库、拦河堰水库、石龙水库、桐梓水库、人民水库、青狮水库和星花水库</w:t>
      </w:r>
      <w:r>
        <w:rPr>
          <w:rFonts w:hint="eastAsia" w:eastAsia="宋体" w:cs="Times New Roman" w:asciiTheme="minorEastAsia" w:hAnsiTheme="minorEastAsia"/>
          <w:kern w:val="0"/>
          <w:sz w:val="24"/>
          <w:szCs w:val="24"/>
        </w:rPr>
        <w:t>。</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（四）</w:t>
      </w:r>
      <w:r>
        <w:rPr>
          <w:rFonts w:eastAsia="宋体" w:cs="Times New Roman" w:asciiTheme="minorEastAsia" w:hAnsiTheme="minorEastAsia"/>
          <w:b/>
          <w:kern w:val="0"/>
          <w:sz w:val="24"/>
          <w:szCs w:val="24"/>
        </w:rPr>
        <w:t>空间治理效能：乡村治理能力较弱，丘陵人居环境存在一定程度的建设破坏</w:t>
      </w:r>
      <w:r>
        <w:rPr>
          <w:rFonts w:hint="eastAsia" w:eastAsia="宋体" w:cs="Times New Roman" w:asciiTheme="minorEastAsia" w:hAnsiTheme="minorEastAsia"/>
          <w:b/>
          <w:kern w:val="0"/>
          <w:sz w:val="24"/>
          <w:szCs w:val="24"/>
        </w:rPr>
        <w:t>，</w:t>
      </w:r>
      <w:r>
        <w:rPr>
          <w:rFonts w:eastAsia="宋体" w:cs="Times New Roman" w:asciiTheme="minorEastAsia" w:hAnsiTheme="minorEastAsia"/>
          <w:b/>
          <w:kern w:val="0"/>
          <w:sz w:val="24"/>
          <w:szCs w:val="24"/>
        </w:rPr>
        <w:t>生态要素齐备，生态</w:t>
      </w:r>
      <w:r>
        <w:rPr>
          <w:rFonts w:hint="eastAsia" w:eastAsia="宋体" w:cs="Times New Roman" w:asciiTheme="minorEastAsia" w:hAnsiTheme="minorEastAsia"/>
          <w:b/>
          <w:kern w:val="0"/>
          <w:sz w:val="24"/>
          <w:szCs w:val="24"/>
        </w:rPr>
        <w:t>功能不足</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1.</w:t>
      </w:r>
      <w:r>
        <w:rPr>
          <w:rFonts w:eastAsia="宋体" w:cs="Times New Roman" w:asciiTheme="minorEastAsia" w:hAnsiTheme="minorEastAsia"/>
          <w:kern w:val="0"/>
          <w:sz w:val="24"/>
          <w:szCs w:val="24"/>
        </w:rPr>
        <w:t>乡村治理效能</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片区外流人口量大，乡村治理能力衰退。片区近年来人口流出规模约6.62万人，占户籍人口比重</w:t>
      </w:r>
      <w:r>
        <w:rPr>
          <w:rFonts w:hint="eastAsia" w:eastAsia="宋体" w:cs="Times New Roman" w:asciiTheme="minorEastAsia" w:hAnsiTheme="minorEastAsia"/>
          <w:kern w:val="0"/>
          <w:sz w:val="24"/>
          <w:szCs w:val="24"/>
        </w:rPr>
        <w:t>的</w:t>
      </w:r>
      <w:r>
        <w:rPr>
          <w:rFonts w:eastAsia="宋体" w:cs="Times New Roman" w:asciiTheme="minorEastAsia" w:hAnsiTheme="minorEastAsia"/>
          <w:kern w:val="0"/>
          <w:sz w:val="24"/>
          <w:szCs w:val="24"/>
        </w:rPr>
        <w:t>45.46%</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同时，留在乡村的人口以65 岁以上的居多，占常住人口比例</w:t>
      </w:r>
      <w:r>
        <w:rPr>
          <w:rFonts w:hint="eastAsia" w:eastAsia="宋体" w:cs="Times New Roman" w:asciiTheme="minorEastAsia" w:hAnsiTheme="minorEastAsia"/>
          <w:kern w:val="0"/>
          <w:sz w:val="24"/>
          <w:szCs w:val="24"/>
        </w:rPr>
        <w:t>的</w:t>
      </w:r>
      <w:r>
        <w:rPr>
          <w:rFonts w:eastAsia="宋体" w:cs="Times New Roman" w:asciiTheme="minorEastAsia" w:hAnsiTheme="minorEastAsia"/>
          <w:kern w:val="0"/>
          <w:sz w:val="24"/>
          <w:szCs w:val="24"/>
        </w:rPr>
        <w:t>25.25%</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空心化、老龄化问题突出，大规模的人口外流，导致乡村治理能力衰退。</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自</w:t>
      </w:r>
      <w:r>
        <w:rPr>
          <w:rFonts w:eastAsia="宋体" w:cs="Times New Roman" w:asciiTheme="minorEastAsia" w:hAnsiTheme="minorEastAsia"/>
          <w:kern w:val="0"/>
          <w:sz w:val="24"/>
          <w:szCs w:val="24"/>
        </w:rPr>
        <w:t>2000</w:t>
      </w:r>
      <w:r>
        <w:rPr>
          <w:rFonts w:hint="eastAsia" w:eastAsia="宋体" w:cs="Times New Roman" w:asciiTheme="minorEastAsia" w:hAnsiTheme="minorEastAsia"/>
          <w:kern w:val="0"/>
          <w:sz w:val="24"/>
          <w:szCs w:val="24"/>
        </w:rPr>
        <w:t>年起，</w:t>
      </w:r>
      <w:r>
        <w:rPr>
          <w:rFonts w:eastAsia="宋体" w:cs="Times New Roman" w:asciiTheme="minorEastAsia" w:hAnsiTheme="minorEastAsia"/>
          <w:kern w:val="0"/>
          <w:sz w:val="24"/>
          <w:szCs w:val="24"/>
        </w:rPr>
        <w:t>片区少年儿童人口占比不断下降，老龄人口占比不断升高，对比国际标准，片区已经迈入老年型社会。随着乡村地区青少年外出求学、青壮年外出务工，剩余人口以老年人为主。除大量跨省、跨市外流的年轻人群以外，乡村地区有一定技能、劳动能力较强的壮年人群不断向</w:t>
      </w:r>
      <w:r>
        <w:rPr>
          <w:rFonts w:hint="eastAsia" w:eastAsia="宋体" w:cs="Times New Roman" w:asciiTheme="minorEastAsia" w:hAnsiTheme="minorEastAsia"/>
          <w:kern w:val="0"/>
          <w:sz w:val="24"/>
          <w:szCs w:val="24"/>
        </w:rPr>
        <w:t>大英</w:t>
      </w:r>
      <w:r>
        <w:rPr>
          <w:rFonts w:eastAsia="宋体" w:cs="Times New Roman" w:asciiTheme="minorEastAsia" w:hAnsiTheme="minorEastAsia"/>
          <w:kern w:val="0"/>
          <w:sz w:val="24"/>
          <w:szCs w:val="24"/>
        </w:rPr>
        <w:t>县城、镇区转移，农村老年人普遍文化程度低、劳动技能单一</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难以适应城镇的生产生活方式，成为乡村地区的主要“</w:t>
      </w:r>
      <w:r>
        <w:rPr>
          <w:rFonts w:hint="eastAsia" w:eastAsia="宋体" w:cs="Times New Roman" w:asciiTheme="minorEastAsia" w:hAnsiTheme="minorEastAsia"/>
          <w:kern w:val="0"/>
          <w:sz w:val="24"/>
          <w:szCs w:val="24"/>
        </w:rPr>
        <w:t>留守人群</w:t>
      </w:r>
      <w:r>
        <w:rPr>
          <w:rFonts w:eastAsia="宋体" w:cs="Times New Roman" w:asciiTheme="minorEastAsia" w:hAnsiTheme="minorEastAsia"/>
          <w:kern w:val="0"/>
          <w:sz w:val="24"/>
          <w:szCs w:val="24"/>
        </w:rPr>
        <w:t>”</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长远来看，片区乡村地区老龄化、空心化问题将严重影响乡村及农业的可持续发展，城乡共荣、乡村现代化难以实现。应以维持乡村发展活力为目的，改善乡村人居环境、完善乡村基础设施配套、培育乡村新型产业、提升乡村对青壮年及城市人才的吸引力和就业吸纳能力，营造城乡各美其美的生产生活空间。</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集体经济发展缓慢，乡村缺乏向心力，经济发展动力不足。片区除了智水村、斗笠村、方平沟村、牌坊村、前进村、永乐村等农业产业发展较好的村庄，大部分村庄集体经济呈“空壳化”状态。乡村发展缺乏“领头羊”，农业产业大户利益难以得到保障，村集体与其成员之间利益联接松散，农民缺乏归属感，集体缺少向心力。</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乡村产业发展要素保障不足，农业经济效益不明显，导致资本难以下乡，村民大量外流，传统乡村共同体瓦解，乡村治理能力衰退。大部分乡村能有效运营的村集体经营性资产较少，且缺少专业管理，导致村集体与其成员之间利益联接松散，农民缺乏归属感，集体缺少向心力。</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2、乡村丘陵</w:t>
      </w:r>
      <w:r>
        <w:rPr>
          <w:rFonts w:eastAsia="宋体" w:cs="Times New Roman" w:asciiTheme="minorEastAsia" w:hAnsiTheme="minorEastAsia"/>
          <w:kern w:val="0"/>
          <w:sz w:val="24"/>
          <w:szCs w:val="24"/>
        </w:rPr>
        <w:t>人居形态</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片区整体具有丘陵川中</w:t>
      </w:r>
      <w:r>
        <w:rPr>
          <w:rFonts w:eastAsia="宋体" w:cs="Times New Roman" w:asciiTheme="minorEastAsia" w:hAnsiTheme="minorEastAsia"/>
          <w:kern w:val="0"/>
          <w:sz w:val="24"/>
          <w:szCs w:val="24"/>
        </w:rPr>
        <w:t>风</w:t>
      </w:r>
      <w:r>
        <w:rPr>
          <w:rFonts w:hint="eastAsia" w:eastAsia="宋体" w:cs="Times New Roman" w:asciiTheme="minorEastAsia" w:hAnsiTheme="minorEastAsia"/>
          <w:kern w:val="0"/>
          <w:sz w:val="24"/>
          <w:szCs w:val="24"/>
        </w:rPr>
        <w:t>貌</w:t>
      </w:r>
      <w:r>
        <w:rPr>
          <w:rFonts w:eastAsia="宋体" w:cs="Times New Roman" w:asciiTheme="minorEastAsia" w:hAnsiTheme="minorEastAsia"/>
          <w:kern w:val="0"/>
          <w:sz w:val="24"/>
          <w:szCs w:val="24"/>
        </w:rPr>
        <w:t>特色，但乡村建设质量与环境质量有待整体提升。乡村建筑外立面缺乏统一管控，农户建设呈现多样风貌，乡土特色彰显不足。对整体生态环境过度侵占，自然乡村风貌存在一定破坏。片区集聚点</w:t>
      </w:r>
      <w:r>
        <w:rPr>
          <w:rFonts w:hint="eastAsia" w:eastAsia="宋体" w:cs="Times New Roman" w:asciiTheme="minorEastAsia" w:hAnsiTheme="minorEastAsia"/>
          <w:kern w:val="0"/>
          <w:sz w:val="24"/>
          <w:szCs w:val="24"/>
        </w:rPr>
        <w:t>“依山、靠林、面田”的川中丘陵</w:t>
      </w:r>
      <w:r>
        <w:rPr>
          <w:rFonts w:eastAsia="宋体" w:cs="Times New Roman" w:asciiTheme="minorEastAsia" w:hAnsiTheme="minorEastAsia"/>
          <w:kern w:val="0"/>
          <w:sz w:val="24"/>
          <w:szCs w:val="24"/>
        </w:rPr>
        <w:t>特色较强；由于农民自建房因修建技术、审美艺术等限制，不伦不类，杂乱多样，农房建筑局部风貌不协调，对自然山水田园的尊重和利用不足，风格风貌上存在老旧传统建筑、欧式</w:t>
      </w:r>
      <w:r>
        <w:rPr>
          <w:rFonts w:hint="eastAsia" w:eastAsia="宋体" w:cs="Times New Roman" w:asciiTheme="minorEastAsia" w:hAnsiTheme="minorEastAsia"/>
          <w:kern w:val="0"/>
          <w:sz w:val="24"/>
          <w:szCs w:val="24"/>
        </w:rPr>
        <w:t>建筑</w:t>
      </w:r>
      <w:r>
        <w:rPr>
          <w:rFonts w:eastAsia="宋体" w:cs="Times New Roman" w:asciiTheme="minorEastAsia" w:hAnsiTheme="minorEastAsia"/>
          <w:kern w:val="0"/>
          <w:sz w:val="24"/>
          <w:szCs w:val="24"/>
        </w:rPr>
        <w:t>、现代等多种风格，</w:t>
      </w:r>
      <w:r>
        <w:rPr>
          <w:rFonts w:hint="eastAsia" w:eastAsia="宋体" w:cs="Times New Roman" w:asciiTheme="minorEastAsia" w:hAnsiTheme="minorEastAsia"/>
          <w:kern w:val="0"/>
          <w:sz w:val="24"/>
          <w:szCs w:val="24"/>
        </w:rPr>
        <w:t>丘陵川中</w:t>
      </w:r>
      <w:r>
        <w:rPr>
          <w:rFonts w:eastAsia="宋体" w:cs="Times New Roman" w:asciiTheme="minorEastAsia" w:hAnsiTheme="minorEastAsia"/>
          <w:kern w:val="0"/>
          <w:sz w:val="24"/>
          <w:szCs w:val="24"/>
        </w:rPr>
        <w:t>特色不明显，整体风貌上有待提升。</w:t>
      </w:r>
    </w:p>
    <w:p>
      <w:pPr>
        <w:adjustRightInd w:val="0"/>
        <w:snapToGrid w:val="0"/>
        <w:spacing w:line="360" w:lineRule="auto"/>
        <w:ind w:firstLine="480" w:firstLineChars="200"/>
        <w:rPr>
          <w:rFonts w:cs="Times New Roman" w:asciiTheme="minorEastAsia" w:hAnsiTheme="minorEastAsia"/>
          <w:kern w:val="0"/>
          <w:sz w:val="24"/>
          <w:szCs w:val="24"/>
        </w:rPr>
      </w:pPr>
      <w:r>
        <w:rPr>
          <w:rFonts w:hint="eastAsia" w:eastAsia="宋体" w:cs="Times New Roman" w:asciiTheme="minorEastAsia" w:hAnsiTheme="minorEastAsia"/>
          <w:kern w:val="0"/>
          <w:sz w:val="24"/>
          <w:szCs w:val="24"/>
        </w:rPr>
        <w:t>3.</w:t>
      </w:r>
      <w:r>
        <w:rPr>
          <w:rFonts w:eastAsia="宋体" w:cs="Times New Roman" w:asciiTheme="minorEastAsia" w:hAnsiTheme="minorEastAsia"/>
          <w:kern w:val="0"/>
          <w:sz w:val="24"/>
          <w:szCs w:val="24"/>
        </w:rPr>
        <w:t>生态环境</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片区大部分为生态保护一般区，极重要区主要分布在象山镇内</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片区水环境质量持续改善，在水资源方面片区呈“一江一溪三河多水库” 的总体格局，水资源相对丰沛，“十三五”以来，大英县通过实施《郪江流域水体达标方案》，郪江水环境质量逐步好转，2019年郪江口断面年均水质达到Ⅲ类地表水水质标准。但郪江受上游输入性污染、自身环保基础设施不完善、城镇生活污染治理不足、上下游协同治污制度不健全、生态流量不足等因素影响,水环境质量达标成果尚不稳固,超标风险仍然存在，需要进一步深入推进郪江的流域治理和区域减排。</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片区环境空气质量持续改善，各项指标均明显趋好。2016-2020年县城区环境空气质量指针中SO2</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N O2</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C0达标率均为100%</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PM10</w:t>
      </w:r>
      <w:r>
        <w:rPr>
          <w:rFonts w:hint="eastAsia" w:eastAsia="宋体" w:cs="Times New Roman" w:asciiTheme="minorEastAsia" w:hAnsiTheme="minorEastAsia"/>
          <w:kern w:val="0"/>
          <w:sz w:val="24"/>
          <w:szCs w:val="24"/>
        </w:rPr>
        <w:t>在</w:t>
      </w:r>
      <w:r>
        <w:rPr>
          <w:rFonts w:eastAsia="宋体" w:cs="Times New Roman" w:asciiTheme="minorEastAsia" w:hAnsiTheme="minorEastAsia"/>
          <w:kern w:val="0"/>
          <w:sz w:val="24"/>
          <w:szCs w:val="24"/>
        </w:rPr>
        <w:t>2017年后达标、PM2.5</w:t>
      </w:r>
      <w:r>
        <w:rPr>
          <w:rFonts w:hint="eastAsia" w:eastAsia="宋体" w:cs="Times New Roman" w:asciiTheme="minorEastAsia" w:hAnsiTheme="minorEastAsia"/>
          <w:kern w:val="0"/>
          <w:sz w:val="24"/>
          <w:szCs w:val="24"/>
        </w:rPr>
        <w:t>在</w:t>
      </w:r>
      <w:r>
        <w:rPr>
          <w:rFonts w:eastAsia="宋体" w:cs="Times New Roman" w:asciiTheme="minorEastAsia" w:hAnsiTheme="minorEastAsia"/>
          <w:kern w:val="0"/>
          <w:sz w:val="24"/>
          <w:szCs w:val="24"/>
        </w:rPr>
        <w:t>2019年以后达标，优良天数率持续升高。</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镇区基本实现污水单独处理，</w:t>
      </w:r>
      <w:r>
        <w:rPr>
          <w:rFonts w:hint="eastAsia" w:eastAsia="宋体" w:cs="Times New Roman" w:asciiTheme="minorEastAsia" w:hAnsiTheme="minorEastAsia"/>
          <w:kern w:val="0"/>
          <w:sz w:val="24"/>
          <w:szCs w:val="24"/>
        </w:rPr>
        <w:t>但污</w:t>
      </w:r>
      <w:r>
        <w:rPr>
          <w:rFonts w:eastAsia="宋体" w:cs="Times New Roman" w:asciiTheme="minorEastAsia" w:hAnsiTheme="minorEastAsia"/>
          <w:kern w:val="0"/>
          <w:sz w:val="24"/>
          <w:szCs w:val="24"/>
        </w:rPr>
        <w:t>水收集管网建设不完整，</w:t>
      </w:r>
      <w:r>
        <w:rPr>
          <w:rFonts w:hint="eastAsia" w:eastAsia="宋体" w:cs="Times New Roman" w:asciiTheme="minorEastAsia" w:hAnsiTheme="minorEastAsia"/>
          <w:kern w:val="0"/>
          <w:sz w:val="24"/>
          <w:szCs w:val="24"/>
          <w:lang w:eastAsia="zh-CN"/>
        </w:rPr>
        <w:t>已建成</w:t>
      </w:r>
      <w:r>
        <w:rPr>
          <w:rFonts w:eastAsia="宋体" w:cs="Times New Roman" w:asciiTheme="minorEastAsia" w:hAnsiTheme="minorEastAsia"/>
          <w:kern w:val="0"/>
          <w:sz w:val="24"/>
          <w:szCs w:val="24"/>
        </w:rPr>
        <w:t>成的乡镇污水处理厂运行管理水平低，污水处理效果不佳。雨污分流系统不健全，生活污水漏排、雨污混流时有发生。</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农村污水管网覆盖不够全面。片区雨水排水管线覆盖面积小，部分地区缺乏雨水排水设施；雨水排水主要是以排水沟的形式呈现。</w:t>
      </w:r>
    </w:p>
    <w:p>
      <w:pPr>
        <w:pStyle w:val="36"/>
        <w:numPr>
          <w:ilvl w:val="0"/>
          <w:numId w:val="4"/>
        </w:numPr>
        <w:spacing w:beforeLines="50" w:afterLines="50"/>
        <w:ind w:left="420" w:firstLineChars="0"/>
        <w:jc w:val="center"/>
        <w:rPr>
          <w:rFonts w:ascii="黑体" w:hAnsi="黑体" w:eastAsia="黑体"/>
          <w:b w:val="0"/>
          <w:kern w:val="2"/>
        </w:rPr>
      </w:pPr>
      <w:bookmarkStart w:id="9" w:name="_Toc166772158"/>
      <w:r>
        <w:rPr>
          <w:rFonts w:hint="eastAsia" w:ascii="黑体" w:hAnsi="黑体" w:eastAsia="黑体"/>
          <w:b w:val="0"/>
          <w:kern w:val="2"/>
        </w:rPr>
        <w:t>规划评价与评估</w:t>
      </w:r>
      <w:bookmarkEnd w:id="9"/>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在大英县“双评价”初步方案基础上，结合镇级数据精度进行补充细化，通过对片区耕地质量、坡度</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水体资源、林地资源、地灾点等多项因子</w:t>
      </w:r>
      <w:r>
        <w:rPr>
          <w:rFonts w:hint="eastAsia" w:eastAsia="宋体" w:cs="Times New Roman" w:asciiTheme="minorEastAsia" w:hAnsiTheme="minorEastAsia"/>
          <w:kern w:val="0"/>
          <w:sz w:val="24"/>
          <w:szCs w:val="24"/>
        </w:rPr>
        <w:t>叠加</w:t>
      </w:r>
      <w:r>
        <w:rPr>
          <w:rFonts w:eastAsia="宋体" w:cs="Times New Roman" w:asciiTheme="minorEastAsia" w:hAnsiTheme="minorEastAsia"/>
          <w:kern w:val="0"/>
          <w:sz w:val="24"/>
          <w:szCs w:val="24"/>
        </w:rPr>
        <w:t>分析，重点识别农业生产</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生态保护极重要区和建设不适宜区，形成三类适宜性分析结果。</w:t>
      </w:r>
    </w:p>
    <w:p>
      <w:pPr>
        <w:adjustRightInd w:val="0"/>
        <w:snapToGrid w:val="0"/>
        <w:spacing w:line="360" w:lineRule="auto"/>
        <w:ind w:firstLine="482" w:firstLineChars="200"/>
        <w:rPr>
          <w:rFonts w:ascii="黑体" w:hAnsi="黑体" w:eastAsia="黑体" w:cs="Times New Roman"/>
          <w:b/>
          <w:kern w:val="0"/>
          <w:sz w:val="24"/>
          <w:szCs w:val="24"/>
        </w:rPr>
      </w:pPr>
      <w:r>
        <w:rPr>
          <w:rFonts w:hint="eastAsia" w:ascii="黑体" w:hAnsi="黑体" w:eastAsia="黑体" w:cs="Times New Roman"/>
          <w:b/>
          <w:kern w:val="0"/>
          <w:sz w:val="24"/>
          <w:szCs w:val="24"/>
        </w:rPr>
        <w:t>一、农业生产适宜性评价</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片区种植业生产条件优越，生态极重要保护区以外并扣除水域，种植业生产适宜区面积为18183.5</w:t>
      </w:r>
      <w:r>
        <w:rPr>
          <w:rFonts w:hint="eastAsia" w:eastAsia="宋体" w:cs="Times New Roman" w:asciiTheme="minorEastAsia" w:hAnsiTheme="minorEastAsia"/>
          <w:kern w:val="0"/>
          <w:sz w:val="24"/>
          <w:szCs w:val="24"/>
        </w:rPr>
        <w:t>7</w:t>
      </w:r>
      <w:r>
        <w:rPr>
          <w:rFonts w:eastAsia="宋体" w:cs="Times New Roman" w:asciiTheme="minorEastAsia" w:hAnsiTheme="minorEastAsia"/>
          <w:kern w:val="0"/>
          <w:sz w:val="24"/>
          <w:szCs w:val="24"/>
        </w:rPr>
        <w:t>公顷，占</w:t>
      </w:r>
      <w:r>
        <w:rPr>
          <w:rFonts w:hint="eastAsia" w:eastAsia="宋体" w:cs="Times New Roman" w:asciiTheme="minorEastAsia" w:hAnsiTheme="minorEastAsia"/>
          <w:kern w:val="0"/>
          <w:sz w:val="24"/>
          <w:szCs w:val="24"/>
        </w:rPr>
        <w:t>全域</w:t>
      </w:r>
      <w:r>
        <w:rPr>
          <w:rFonts w:eastAsia="宋体" w:cs="Times New Roman" w:asciiTheme="minorEastAsia" w:hAnsiTheme="minorEastAsia"/>
          <w:kern w:val="0"/>
          <w:sz w:val="24"/>
          <w:szCs w:val="24"/>
        </w:rPr>
        <w:t>总面积79.45%，广泛分布于宽缓丘陵</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平原区，其中以玉峰镇肖家村、葡萄店村、团结村、送家沟、得鱼沟村、斗笠村、指石河村、方平沟村、河中井村、河里坊村、八德桥村、智水村、智平村、星宿村，河边镇除牌坊村、红岩嘴村的大部分区域，象山镇的永乐村、青龙滩村、马蹄垭村、永南坝村等沿郪江流域的村分布面积最大</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种植业生产一般适宜区面积为1978.14 公顷，占</w:t>
      </w:r>
      <w:r>
        <w:rPr>
          <w:rFonts w:hint="eastAsia" w:eastAsia="宋体" w:cs="Times New Roman" w:asciiTheme="minorEastAsia" w:hAnsiTheme="minorEastAsia"/>
          <w:kern w:val="0"/>
          <w:sz w:val="24"/>
          <w:szCs w:val="24"/>
        </w:rPr>
        <w:t>全域</w:t>
      </w:r>
      <w:r>
        <w:rPr>
          <w:rFonts w:eastAsia="宋体" w:cs="Times New Roman" w:asciiTheme="minorEastAsia" w:hAnsiTheme="minorEastAsia"/>
          <w:kern w:val="0"/>
          <w:sz w:val="24"/>
          <w:szCs w:val="24"/>
        </w:rPr>
        <w:t>总面积8.64%，主要分布于浅丘</w:t>
      </w:r>
      <w:r>
        <w:rPr>
          <w:rFonts w:hint="eastAsia" w:eastAsia="宋体" w:cs="Times New Roman" w:asciiTheme="minorEastAsia" w:hAnsiTheme="minorEastAsia"/>
          <w:kern w:val="0"/>
          <w:sz w:val="24"/>
          <w:szCs w:val="24"/>
        </w:rPr>
        <w:t>—中丘地带。</w:t>
      </w:r>
      <w:r>
        <w:rPr>
          <w:rFonts w:eastAsia="宋体" w:cs="Times New Roman" w:asciiTheme="minorEastAsia" w:hAnsiTheme="minorEastAsia"/>
          <w:kern w:val="0"/>
          <w:sz w:val="24"/>
          <w:szCs w:val="24"/>
        </w:rPr>
        <w:t>种植业生产不适宜区面积为2725.24 公顷，占</w:t>
      </w:r>
      <w:r>
        <w:rPr>
          <w:rFonts w:hint="eastAsia" w:eastAsia="宋体" w:cs="Times New Roman" w:asciiTheme="minorEastAsia" w:hAnsiTheme="minorEastAsia"/>
          <w:kern w:val="0"/>
          <w:sz w:val="24"/>
          <w:szCs w:val="24"/>
        </w:rPr>
        <w:t>全域</w:t>
      </w:r>
      <w:r>
        <w:rPr>
          <w:rFonts w:eastAsia="宋体" w:cs="Times New Roman" w:asciiTheme="minorEastAsia" w:hAnsiTheme="minorEastAsia"/>
          <w:kern w:val="0"/>
          <w:sz w:val="24"/>
          <w:szCs w:val="24"/>
        </w:rPr>
        <w:t>总面积11.91%，主要分布于中丘区的陡坡地带</w:t>
      </w:r>
      <w:r>
        <w:rPr>
          <w:rFonts w:hint="eastAsia" w:eastAsia="宋体" w:cs="Times New Roman" w:asciiTheme="minorEastAsia" w:hAnsiTheme="minorEastAsia"/>
          <w:kern w:val="0"/>
          <w:sz w:val="24"/>
          <w:szCs w:val="24"/>
        </w:rPr>
        <w:t>。</w:t>
      </w:r>
    </w:p>
    <w:p>
      <w:pPr>
        <w:adjustRightInd w:val="0"/>
        <w:snapToGrid w:val="0"/>
        <w:spacing w:line="360" w:lineRule="auto"/>
        <w:ind w:firstLine="482" w:firstLineChars="200"/>
        <w:rPr>
          <w:rFonts w:ascii="黑体" w:hAnsi="黑体" w:eastAsia="黑体" w:cs="Times New Roman"/>
          <w:b/>
          <w:kern w:val="0"/>
          <w:sz w:val="24"/>
          <w:szCs w:val="24"/>
        </w:rPr>
      </w:pPr>
      <w:r>
        <w:rPr>
          <w:rFonts w:hint="eastAsia" w:ascii="黑体" w:hAnsi="黑体" w:eastAsia="黑体" w:cs="Times New Roman"/>
          <w:b/>
          <w:kern w:val="0"/>
          <w:sz w:val="24"/>
          <w:szCs w:val="24"/>
        </w:rPr>
        <w:t>二、生态保护重要性评价</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片区生态保护极重要区面积1012.67公顷，占片区国土总面积的4.42%</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主要分布在象山镇</w:t>
      </w:r>
      <w:r>
        <w:rPr>
          <w:rFonts w:hint="eastAsia" w:eastAsia="宋体" w:cs="Times New Roman" w:asciiTheme="minorEastAsia" w:hAnsiTheme="minorEastAsia"/>
          <w:kern w:val="0"/>
          <w:sz w:val="24"/>
          <w:szCs w:val="24"/>
        </w:rPr>
        <w:t>、郪江、</w:t>
      </w:r>
      <w:r>
        <w:rPr>
          <w:rFonts w:eastAsia="宋体" w:cs="Times New Roman" w:asciiTheme="minorEastAsia" w:hAnsiTheme="minorEastAsia"/>
          <w:kern w:val="0"/>
          <w:sz w:val="24"/>
          <w:szCs w:val="24"/>
        </w:rPr>
        <w:t>龙溪河、马力河、四五水库以及星花水库饮用水水源地等，具有生物多样性维护、水源涵养的重要作用</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河边镇和玉峰镇生态保护极重要区分布数量较少</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生态保护重要区7021.9</w:t>
      </w:r>
      <w:r>
        <w:rPr>
          <w:rFonts w:hint="eastAsia" w:eastAsia="宋体" w:cs="Times New Roman" w:asciiTheme="minorEastAsia" w:hAnsiTheme="minorEastAsia"/>
          <w:kern w:val="0"/>
          <w:sz w:val="24"/>
          <w:szCs w:val="24"/>
        </w:rPr>
        <w:t>5</w:t>
      </w:r>
      <w:r>
        <w:rPr>
          <w:rFonts w:eastAsia="宋体" w:cs="Times New Roman" w:asciiTheme="minorEastAsia" w:hAnsiTheme="minorEastAsia"/>
          <w:kern w:val="0"/>
          <w:sz w:val="24"/>
          <w:szCs w:val="24"/>
        </w:rPr>
        <w:t>公顷，占片区国土总面积的30.68%</w:t>
      </w:r>
      <w:r>
        <w:rPr>
          <w:rFonts w:hint="eastAsia" w:eastAsia="宋体" w:cs="Times New Roman" w:asciiTheme="minorEastAsia" w:hAnsiTheme="minorEastAsia"/>
          <w:kern w:val="0"/>
          <w:sz w:val="24"/>
          <w:szCs w:val="24"/>
        </w:rPr>
        <w:t>，主要分布在郪江、四五水库以及其他河流的</w:t>
      </w:r>
      <w:r>
        <w:rPr>
          <w:rFonts w:eastAsia="宋体" w:cs="Times New Roman" w:asciiTheme="minorEastAsia" w:hAnsiTheme="minorEastAsia"/>
          <w:kern w:val="0"/>
          <w:sz w:val="24"/>
          <w:szCs w:val="24"/>
        </w:rPr>
        <w:t>汇水区</w:t>
      </w:r>
      <w:r>
        <w:rPr>
          <w:rFonts w:hint="eastAsia" w:eastAsia="宋体" w:cs="Times New Roman" w:asciiTheme="minorEastAsia" w:hAnsiTheme="minorEastAsia"/>
          <w:kern w:val="0"/>
          <w:sz w:val="24"/>
          <w:szCs w:val="24"/>
        </w:rPr>
        <w:t>和</w:t>
      </w:r>
      <w:r>
        <w:rPr>
          <w:rFonts w:eastAsia="宋体" w:cs="Times New Roman" w:asciiTheme="minorEastAsia" w:hAnsiTheme="minorEastAsia"/>
          <w:kern w:val="0"/>
          <w:sz w:val="24"/>
          <w:szCs w:val="24"/>
        </w:rPr>
        <w:t>覆盖度较高的陡坡林地等，具有生物多样性维护、水源涵养、水土保持的作用。生态保护一般重要区14852.3公顷，占片区国土总面积的64.89%</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广泛分布于</w:t>
      </w:r>
      <w:r>
        <w:rPr>
          <w:rFonts w:hint="eastAsia" w:eastAsia="宋体" w:cs="Times New Roman" w:asciiTheme="minorEastAsia" w:hAnsiTheme="minorEastAsia"/>
          <w:kern w:val="0"/>
          <w:sz w:val="24"/>
          <w:szCs w:val="24"/>
        </w:rPr>
        <w:t>片</w:t>
      </w:r>
      <w:r>
        <w:rPr>
          <w:rFonts w:eastAsia="宋体" w:cs="Times New Roman" w:asciiTheme="minorEastAsia" w:hAnsiTheme="minorEastAsia"/>
          <w:kern w:val="0"/>
          <w:sz w:val="24"/>
          <w:szCs w:val="24"/>
        </w:rPr>
        <w:t>区。</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片区生态保护重要性主要体现在生态系统服务功能重要性上，主要功能为生物多样性维护、水源涵养重要性。</w:t>
      </w:r>
    </w:p>
    <w:p>
      <w:pPr>
        <w:adjustRightInd w:val="0"/>
        <w:snapToGrid w:val="0"/>
        <w:spacing w:line="360" w:lineRule="auto"/>
        <w:ind w:firstLine="482" w:firstLineChars="200"/>
        <w:rPr>
          <w:rFonts w:ascii="黑体" w:hAnsi="黑体" w:eastAsia="黑体" w:cs="Times New Roman"/>
          <w:b/>
          <w:kern w:val="0"/>
          <w:sz w:val="24"/>
          <w:szCs w:val="24"/>
        </w:rPr>
      </w:pPr>
      <w:r>
        <w:rPr>
          <w:rFonts w:hint="eastAsia" w:ascii="黑体" w:hAnsi="黑体" w:eastAsia="黑体" w:cs="Times New Roman"/>
          <w:b/>
          <w:kern w:val="0"/>
          <w:sz w:val="24"/>
          <w:szCs w:val="24"/>
        </w:rPr>
        <w:t>三、城镇建设适宜性评价</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片区生态极重要保护区以外并扣除水域，城镇建设适宜区面积为</w:t>
      </w:r>
      <w:r>
        <w:rPr>
          <w:rFonts w:eastAsia="宋体" w:cs="Times New Roman" w:asciiTheme="minorEastAsia" w:hAnsiTheme="minorEastAsia"/>
        </w:rPr>
        <w:t xml:space="preserve">5576.83 </w:t>
      </w:r>
      <w:r>
        <w:rPr>
          <w:rFonts w:eastAsia="宋体" w:cs="Times New Roman" w:asciiTheme="minorEastAsia" w:hAnsiTheme="minorEastAsia"/>
          <w:kern w:val="0"/>
          <w:sz w:val="24"/>
          <w:szCs w:val="24"/>
        </w:rPr>
        <w:t>公顷，占片区国土面积</w:t>
      </w:r>
      <w:r>
        <w:rPr>
          <w:rFonts w:hint="eastAsia" w:eastAsia="宋体" w:cs="Times New Roman" w:asciiTheme="minorEastAsia" w:hAnsiTheme="minorEastAsia"/>
          <w:kern w:val="0"/>
          <w:sz w:val="24"/>
          <w:szCs w:val="24"/>
        </w:rPr>
        <w:t>的</w:t>
      </w:r>
      <w:r>
        <w:rPr>
          <w:rFonts w:eastAsia="宋体" w:cs="Times New Roman" w:asciiTheme="minorEastAsia" w:hAnsiTheme="minorEastAsia"/>
          <w:kern w:val="0"/>
          <w:sz w:val="24"/>
          <w:szCs w:val="24"/>
        </w:rPr>
        <w:t>24.37%，主要分布于</w:t>
      </w:r>
      <w:r>
        <w:rPr>
          <w:rFonts w:hint="eastAsia" w:eastAsia="宋体" w:cs="Times New Roman" w:asciiTheme="minorEastAsia" w:hAnsiTheme="minorEastAsia"/>
          <w:kern w:val="0"/>
          <w:sz w:val="24"/>
          <w:szCs w:val="24"/>
        </w:rPr>
        <w:t>片区</w:t>
      </w:r>
      <w:r>
        <w:rPr>
          <w:rFonts w:eastAsia="宋体" w:cs="Times New Roman" w:asciiTheme="minorEastAsia" w:hAnsiTheme="minorEastAsia"/>
          <w:kern w:val="0"/>
          <w:sz w:val="24"/>
          <w:szCs w:val="24"/>
        </w:rPr>
        <w:t>的缓丘宽谷区域，其中以象山镇象山村、永乐村、永南坝村、马蹄垭村等区域和玉峰镇肖家沟村</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水阁村</w:t>
      </w:r>
      <w:r>
        <w:rPr>
          <w:rFonts w:hint="eastAsia" w:eastAsia="宋体" w:cs="Times New Roman" w:asciiTheme="minorEastAsia" w:hAnsiTheme="minorEastAsia"/>
          <w:kern w:val="0"/>
          <w:sz w:val="24"/>
          <w:szCs w:val="24"/>
        </w:rPr>
        <w:t>、玉峰村、</w:t>
      </w:r>
      <w:r>
        <w:rPr>
          <w:rFonts w:eastAsia="宋体" w:cs="Times New Roman" w:asciiTheme="minorEastAsia" w:hAnsiTheme="minorEastAsia"/>
          <w:kern w:val="0"/>
          <w:sz w:val="24"/>
          <w:szCs w:val="24"/>
        </w:rPr>
        <w:t>团结村</w:t>
      </w:r>
      <w:r>
        <w:rPr>
          <w:rFonts w:hint="eastAsia" w:eastAsia="宋体" w:cs="Times New Roman" w:asciiTheme="minorEastAsia" w:hAnsiTheme="minorEastAsia"/>
          <w:kern w:val="0"/>
          <w:sz w:val="24"/>
          <w:szCs w:val="24"/>
        </w:rPr>
        <w:t>、玉印村、</w:t>
      </w:r>
      <w:r>
        <w:rPr>
          <w:rFonts w:eastAsia="宋体" w:cs="Times New Roman" w:asciiTheme="minorEastAsia" w:hAnsiTheme="minorEastAsia"/>
          <w:kern w:val="0"/>
          <w:sz w:val="24"/>
          <w:szCs w:val="24"/>
        </w:rPr>
        <w:t>得鱼沟村</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送家沟村</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双古磨村</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方平沟村</w:t>
      </w:r>
      <w:r>
        <w:rPr>
          <w:rFonts w:hint="eastAsia" w:eastAsia="宋体" w:cs="Times New Roman" w:asciiTheme="minorEastAsia" w:hAnsiTheme="minorEastAsia"/>
          <w:kern w:val="0"/>
          <w:sz w:val="24"/>
          <w:szCs w:val="24"/>
        </w:rPr>
        <w:t>、河中井村、河里坊村、</w:t>
      </w:r>
      <w:r>
        <w:rPr>
          <w:rFonts w:eastAsia="宋体" w:cs="Times New Roman" w:asciiTheme="minorEastAsia" w:hAnsiTheme="minorEastAsia"/>
          <w:kern w:val="0"/>
          <w:sz w:val="24"/>
          <w:szCs w:val="24"/>
        </w:rPr>
        <w:t>八德桥村以及指石河村的大部分区域</w:t>
      </w:r>
      <w:r>
        <w:rPr>
          <w:rFonts w:hint="eastAsia" w:eastAsia="宋体" w:cs="Times New Roman" w:asciiTheme="minorEastAsia" w:hAnsiTheme="minorEastAsia"/>
          <w:kern w:val="0"/>
          <w:sz w:val="24"/>
          <w:szCs w:val="24"/>
        </w:rPr>
        <w:t>。</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城镇建设一般适宜区面积为10064.33</w:t>
      </w:r>
      <w:r>
        <w:rPr>
          <w:rFonts w:hint="eastAsia" w:eastAsia="宋体" w:cs="Times New Roman" w:asciiTheme="minorEastAsia" w:hAnsiTheme="minorEastAsia"/>
          <w:kern w:val="0"/>
          <w:sz w:val="24"/>
          <w:szCs w:val="24"/>
        </w:rPr>
        <w:t>公</w:t>
      </w:r>
      <w:r>
        <w:rPr>
          <w:rFonts w:eastAsia="宋体" w:cs="Times New Roman" w:asciiTheme="minorEastAsia" w:hAnsiTheme="minorEastAsia"/>
          <w:kern w:val="0"/>
          <w:sz w:val="24"/>
          <w:szCs w:val="24"/>
        </w:rPr>
        <w:t>顷，占片区国土面积</w:t>
      </w:r>
      <w:r>
        <w:rPr>
          <w:rFonts w:hint="eastAsia" w:eastAsia="宋体" w:cs="Times New Roman" w:asciiTheme="minorEastAsia" w:hAnsiTheme="minorEastAsia"/>
          <w:kern w:val="0"/>
          <w:sz w:val="24"/>
          <w:szCs w:val="24"/>
        </w:rPr>
        <w:t>的</w:t>
      </w:r>
      <w:r>
        <w:rPr>
          <w:rFonts w:eastAsia="宋体" w:cs="Times New Roman" w:asciiTheme="minorEastAsia" w:hAnsiTheme="minorEastAsia"/>
          <w:kern w:val="0"/>
          <w:sz w:val="24"/>
          <w:szCs w:val="24"/>
        </w:rPr>
        <w:t>43.97%</w:t>
      </w:r>
      <w:r>
        <w:rPr>
          <w:rFonts w:hint="eastAsia" w:eastAsia="宋体" w:cs="Times New Roman" w:asciiTheme="minorEastAsia" w:hAnsiTheme="minorEastAsia"/>
          <w:kern w:val="0"/>
          <w:sz w:val="24"/>
          <w:szCs w:val="24"/>
        </w:rPr>
        <w:t>，主要分布在</w:t>
      </w:r>
      <w:r>
        <w:rPr>
          <w:rFonts w:eastAsia="宋体" w:cs="Times New Roman" w:asciiTheme="minorEastAsia" w:hAnsiTheme="minorEastAsia"/>
          <w:kern w:val="0"/>
          <w:sz w:val="24"/>
          <w:szCs w:val="24"/>
        </w:rPr>
        <w:t>基础设施难以覆盖</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区位较差的区域，其中以象山镇文龙村</w:t>
      </w:r>
      <w:r>
        <w:rPr>
          <w:rFonts w:hint="eastAsia" w:eastAsia="宋体" w:cs="Times New Roman" w:asciiTheme="minorEastAsia" w:hAnsiTheme="minorEastAsia"/>
          <w:kern w:val="0"/>
          <w:sz w:val="24"/>
          <w:szCs w:val="24"/>
        </w:rPr>
        <w:t>、三溪村、</w:t>
      </w:r>
      <w:r>
        <w:rPr>
          <w:rFonts w:eastAsia="宋体" w:cs="Times New Roman" w:asciiTheme="minorEastAsia" w:hAnsiTheme="minorEastAsia"/>
          <w:kern w:val="0"/>
          <w:sz w:val="24"/>
          <w:szCs w:val="24"/>
        </w:rPr>
        <w:t>凤阳村</w:t>
      </w:r>
      <w:r>
        <w:rPr>
          <w:rFonts w:hint="eastAsia" w:eastAsia="宋体" w:cs="Times New Roman" w:asciiTheme="minorEastAsia" w:hAnsiTheme="minorEastAsia"/>
          <w:kern w:val="0"/>
          <w:sz w:val="24"/>
          <w:szCs w:val="24"/>
        </w:rPr>
        <w:t>、象山村、</w:t>
      </w:r>
      <w:r>
        <w:rPr>
          <w:rFonts w:eastAsia="宋体" w:cs="Times New Roman" w:asciiTheme="minorEastAsia" w:hAnsiTheme="minorEastAsia"/>
          <w:kern w:val="0"/>
          <w:sz w:val="24"/>
          <w:szCs w:val="24"/>
        </w:rPr>
        <w:t>冯家楼</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观桃村</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马蹄垭村</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青龙滩村</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犁浅垭村</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永乐村的大部分区域，玉峰镇的水阁村、肖家沟村、葡萄店村、玉峰村、浅垭子村、团结村、玉印村、智水村、智平村、星宿村、方平沟村、河里坊村的部分区域，河边镇坤龙村、石龙村、大屋沟村、拦江村、九店村、胜利村、铁路沟村、梁家村、石山村、鹿角沟村、四方村和铜鼓村的部分区域分布面积较广。</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不适宜区面积为</w:t>
      </w:r>
      <w:r>
        <w:rPr>
          <w:rFonts w:eastAsia="宋体" w:cs="Times New Roman" w:asciiTheme="minorEastAsia" w:hAnsiTheme="minorEastAsia"/>
        </w:rPr>
        <w:t xml:space="preserve">7245.79 </w:t>
      </w:r>
      <w:r>
        <w:rPr>
          <w:rFonts w:eastAsia="宋体" w:cs="Times New Roman" w:asciiTheme="minorEastAsia" w:hAnsiTheme="minorEastAsia"/>
          <w:kern w:val="0"/>
          <w:sz w:val="24"/>
          <w:szCs w:val="24"/>
        </w:rPr>
        <w:t>公顷，占片区国土总面积</w:t>
      </w:r>
      <w:r>
        <w:rPr>
          <w:rFonts w:hint="eastAsia" w:eastAsia="宋体" w:cs="Times New Roman" w:asciiTheme="minorEastAsia" w:hAnsiTheme="minorEastAsia"/>
          <w:kern w:val="0"/>
          <w:sz w:val="24"/>
          <w:szCs w:val="24"/>
        </w:rPr>
        <w:t>的</w:t>
      </w:r>
      <w:r>
        <w:rPr>
          <w:rFonts w:eastAsia="宋体" w:cs="Times New Roman" w:asciiTheme="minorEastAsia" w:hAnsiTheme="minorEastAsia"/>
          <w:kern w:val="0"/>
          <w:sz w:val="24"/>
          <w:szCs w:val="24"/>
        </w:rPr>
        <w:t>31.66%，主要分布在地形切割剧烈、地形陡峭的区域，玉峰镇四五水库片区</w:t>
      </w:r>
      <w:r>
        <w:rPr>
          <w:rFonts w:hint="eastAsia" w:eastAsia="宋体" w:cs="Times New Roman" w:asciiTheme="minorEastAsia" w:hAnsiTheme="minorEastAsia"/>
          <w:kern w:val="0"/>
          <w:sz w:val="24"/>
          <w:szCs w:val="24"/>
        </w:rPr>
        <w:t>、星宿村、智水村</w:t>
      </w:r>
      <w:r>
        <w:rPr>
          <w:rFonts w:eastAsia="宋体" w:cs="Times New Roman" w:asciiTheme="minorEastAsia" w:hAnsiTheme="minorEastAsia"/>
          <w:kern w:val="0"/>
          <w:sz w:val="24"/>
          <w:szCs w:val="24"/>
        </w:rPr>
        <w:t>，河边镇牌坊村，象山镇文龙村、三溪村、凤阳村、观桃村，河边镇人民村、八里沟村、坤龙村、九店村、胜利村、上坝子村、梁家村、铜鼓村和四方村分布面积较广。</w:t>
      </w:r>
    </w:p>
    <w:p>
      <w:pPr>
        <w:pStyle w:val="36"/>
        <w:numPr>
          <w:ilvl w:val="0"/>
          <w:numId w:val="4"/>
        </w:numPr>
        <w:spacing w:beforeLines="50" w:afterLines="50"/>
        <w:ind w:left="420" w:firstLineChars="0"/>
        <w:jc w:val="center"/>
        <w:rPr>
          <w:rFonts w:ascii="黑体" w:hAnsi="黑体" w:eastAsia="黑体"/>
          <w:b w:val="0"/>
          <w:kern w:val="2"/>
        </w:rPr>
      </w:pPr>
      <w:bookmarkStart w:id="10" w:name="_Toc166772159"/>
      <w:r>
        <w:rPr>
          <w:rFonts w:hint="eastAsia" w:ascii="黑体" w:hAnsi="黑体" w:eastAsia="黑体"/>
          <w:b w:val="0"/>
          <w:kern w:val="2"/>
        </w:rPr>
        <w:t>现行城总规与土总规实施评估</w:t>
      </w:r>
      <w:bookmarkEnd w:id="10"/>
    </w:p>
    <w:p>
      <w:pPr>
        <w:adjustRightInd w:val="0"/>
        <w:snapToGrid w:val="0"/>
        <w:spacing w:line="360" w:lineRule="auto"/>
        <w:ind w:firstLine="482" w:firstLineChars="200"/>
        <w:rPr>
          <w:rFonts w:ascii="黑体" w:hAnsi="黑体" w:eastAsia="黑体" w:cs="Times New Roman"/>
          <w:b/>
          <w:kern w:val="0"/>
          <w:sz w:val="24"/>
          <w:szCs w:val="24"/>
        </w:rPr>
      </w:pPr>
      <w:r>
        <w:rPr>
          <w:rFonts w:hint="eastAsia" w:ascii="黑体" w:hAnsi="黑体" w:eastAsia="黑体" w:cs="Times New Roman"/>
          <w:b/>
          <w:kern w:val="0"/>
          <w:sz w:val="24"/>
          <w:szCs w:val="24"/>
        </w:rPr>
        <w:t>一、片区现行城市总体规划实施情况评估</w:t>
      </w:r>
    </w:p>
    <w:p>
      <w:pPr>
        <w:adjustRightInd w:val="0"/>
        <w:snapToGrid w:val="0"/>
        <w:spacing w:line="360" w:lineRule="auto"/>
        <w:ind w:firstLine="480" w:firstLineChars="200"/>
        <w:rPr>
          <w:rFonts w:cs="Times New Roman" w:asciiTheme="minorEastAsia" w:hAnsiTheme="minorEastAsia"/>
          <w:kern w:val="0"/>
          <w:sz w:val="24"/>
          <w:szCs w:val="24"/>
        </w:rPr>
      </w:pP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大英县河边镇总体规划</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2015-2030</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、《大英县象山镇总体规划（2015-2030）》和《大英县玉峰镇总体规划（2015-2030</w:t>
      </w:r>
      <w:r>
        <w:rPr>
          <w:rFonts w:hint="eastAsia" w:eastAsia="宋体" w:cs="Times New Roman" w:asciiTheme="minorEastAsia" w:hAnsiTheme="minorEastAsia"/>
          <w:kern w:val="0"/>
          <w:sz w:val="24"/>
          <w:szCs w:val="24"/>
        </w:rPr>
        <w:t>）》于</w:t>
      </w:r>
      <w:r>
        <w:rPr>
          <w:rFonts w:eastAsia="宋体" w:cs="Times New Roman" w:asciiTheme="minorEastAsia" w:hAnsiTheme="minorEastAsia"/>
          <w:kern w:val="0"/>
          <w:sz w:val="24"/>
          <w:szCs w:val="24"/>
        </w:rPr>
        <w:t>2015</w:t>
      </w:r>
      <w:r>
        <w:rPr>
          <w:rFonts w:hint="eastAsia" w:eastAsia="宋体" w:cs="Times New Roman" w:asciiTheme="minorEastAsia" w:hAnsiTheme="minorEastAsia"/>
          <w:kern w:val="0"/>
          <w:sz w:val="24"/>
          <w:szCs w:val="24"/>
        </w:rPr>
        <w:t>年</w:t>
      </w:r>
      <w:r>
        <w:rPr>
          <w:rFonts w:eastAsia="宋体" w:cs="Times New Roman" w:asciiTheme="minorEastAsia" w:hAnsiTheme="minorEastAsia"/>
          <w:kern w:val="0"/>
          <w:sz w:val="24"/>
          <w:szCs w:val="24"/>
        </w:rPr>
        <w:t>由相应的镇人民政府组织编制，2019</w:t>
      </w:r>
      <w:r>
        <w:rPr>
          <w:rFonts w:hint="eastAsia" w:eastAsia="宋体" w:cs="Times New Roman" w:asciiTheme="minorEastAsia" w:hAnsiTheme="minorEastAsia"/>
          <w:kern w:val="0"/>
          <w:sz w:val="24"/>
          <w:szCs w:val="24"/>
        </w:rPr>
        <w:t>年</w:t>
      </w:r>
      <w:r>
        <w:rPr>
          <w:rFonts w:eastAsia="宋体" w:cs="Times New Roman" w:asciiTheme="minorEastAsia" w:hAnsiTheme="minorEastAsia"/>
          <w:kern w:val="0"/>
          <w:sz w:val="24"/>
          <w:szCs w:val="24"/>
        </w:rPr>
        <w:t>5月三乡镇分别对规划进行了修编完善。自规划编制实施以来，规划在引导片区三乡镇的建设和发展发挥了重要作用。</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（一）</w:t>
      </w:r>
      <w:r>
        <w:rPr>
          <w:rFonts w:eastAsia="宋体" w:cs="Times New Roman" w:asciiTheme="minorEastAsia" w:hAnsiTheme="minorEastAsia"/>
          <w:b/>
          <w:kern w:val="0"/>
          <w:sz w:val="24"/>
          <w:szCs w:val="24"/>
        </w:rPr>
        <w:t>规划定位</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片区三乡镇当前发展定位与原乡镇总体规划确定的城镇定位基本相符，原河边镇总体规划定位河边镇为“以生态农业为基础，突出“中国白柠檬之乡”，以商贸服务业为支撑，打造县域西南部中心镇”。</w:t>
      </w:r>
      <w:r>
        <w:rPr>
          <w:rFonts w:hint="eastAsia" w:eastAsia="宋体" w:cs="Times New Roman" w:asciiTheme="minorEastAsia" w:hAnsiTheme="minorEastAsia"/>
          <w:kern w:val="0"/>
          <w:sz w:val="24"/>
          <w:szCs w:val="24"/>
        </w:rPr>
        <w:t>目前</w:t>
      </w:r>
      <w:r>
        <w:rPr>
          <w:rFonts w:eastAsia="宋体" w:cs="Times New Roman" w:asciiTheme="minorEastAsia" w:hAnsiTheme="minorEastAsia"/>
          <w:kern w:val="0"/>
          <w:sz w:val="24"/>
          <w:szCs w:val="24"/>
        </w:rPr>
        <w:t>河边镇主要发展粮油种植和沿蓬乐公路发展白柠檬产业，已具一定的规模，但未形成完善的上下游产业链，对地方经济带动力较一般，</w:t>
      </w:r>
      <w:r>
        <w:rPr>
          <w:rFonts w:hint="eastAsia" w:eastAsia="宋体" w:cs="Times New Roman" w:asciiTheme="minorEastAsia" w:hAnsiTheme="minorEastAsia"/>
          <w:kern w:val="0"/>
          <w:sz w:val="24"/>
          <w:szCs w:val="24"/>
        </w:rPr>
        <w:t>未</w:t>
      </w:r>
      <w:r>
        <w:rPr>
          <w:rFonts w:eastAsia="宋体" w:cs="Times New Roman" w:asciiTheme="minorEastAsia" w:hAnsiTheme="minorEastAsia"/>
          <w:kern w:val="0"/>
          <w:sz w:val="24"/>
          <w:szCs w:val="24"/>
        </w:rPr>
        <w:t>发挥中心镇的功能。</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原象山镇总体规划定位象山镇为</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二级重点城镇，西北部象山现代农业发展单元核心城镇，郪江水岸生态湿地休闲旅游廊道西部服务中心，以发展区域商贸、旅游服务和农产品加工为主的综合型城镇”。象山镇目前主要发展粮油、蔬菜等产业，商贸活动活跃、区域商贸辐射能力较强，生态湿地休闲旅游廊道西部服务中心未形成，镇区依托象山书院发展党建教育。农产品加工产业较少，还未形成综合性的功能，对地方经济带动力较一般</w:t>
      </w:r>
      <w:r>
        <w:rPr>
          <w:rFonts w:hint="eastAsia" w:eastAsia="宋体" w:cs="Times New Roman" w:asciiTheme="minorEastAsia" w:hAnsiTheme="minorEastAsia"/>
          <w:kern w:val="0"/>
          <w:sz w:val="24"/>
          <w:szCs w:val="24"/>
        </w:rPr>
        <w:t>。</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原玉峰镇总体规划定位玉峰镇为“建设大英县西部重要的物资集散地，以居住、休闲为主导，融度假、旅游、运动体验等多功能于一体的小城镇”。当前玉峰镇</w:t>
      </w:r>
      <w:r>
        <w:rPr>
          <w:rFonts w:hint="eastAsia" w:eastAsia="宋体" w:cs="Times New Roman" w:asciiTheme="minorEastAsia" w:hAnsiTheme="minorEastAsia"/>
          <w:kern w:val="0"/>
          <w:sz w:val="24"/>
          <w:szCs w:val="24"/>
        </w:rPr>
        <w:t>以</w:t>
      </w:r>
      <w:r>
        <w:rPr>
          <w:rFonts w:eastAsia="宋体" w:cs="Times New Roman" w:asciiTheme="minorEastAsia" w:hAnsiTheme="minorEastAsia"/>
          <w:kern w:val="0"/>
          <w:sz w:val="24"/>
          <w:szCs w:val="24"/>
        </w:rPr>
        <w:t>粮油种植为主</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目前在创建国家级粮油示范</w:t>
      </w:r>
      <w:r>
        <w:rPr>
          <w:rFonts w:hint="eastAsia" w:eastAsia="宋体" w:cs="Times New Roman" w:asciiTheme="minorEastAsia" w:hAnsiTheme="minorEastAsia"/>
          <w:kern w:val="0"/>
          <w:sz w:val="24"/>
          <w:szCs w:val="24"/>
        </w:rPr>
        <w:t>基地，</w:t>
      </w:r>
      <w:r>
        <w:rPr>
          <w:rFonts w:eastAsia="宋体" w:cs="Times New Roman" w:asciiTheme="minorEastAsia" w:hAnsiTheme="minorEastAsia"/>
          <w:kern w:val="0"/>
          <w:sz w:val="24"/>
          <w:szCs w:val="24"/>
        </w:rPr>
        <w:t>由于玉峰物流基地项目未实施，大英县西部物资集散地</w:t>
      </w:r>
      <w:r>
        <w:rPr>
          <w:rFonts w:hint="eastAsia" w:eastAsia="宋体" w:cs="Times New Roman" w:asciiTheme="minorEastAsia" w:hAnsiTheme="minorEastAsia"/>
          <w:kern w:val="0"/>
          <w:sz w:val="24"/>
          <w:szCs w:val="24"/>
        </w:rPr>
        <w:t>未</w:t>
      </w:r>
      <w:r>
        <w:rPr>
          <w:rFonts w:eastAsia="宋体" w:cs="Times New Roman" w:asciiTheme="minorEastAsia" w:hAnsiTheme="minorEastAsia"/>
          <w:kern w:val="0"/>
          <w:sz w:val="24"/>
          <w:szCs w:val="24"/>
        </w:rPr>
        <w:t>形成，玉峰围绕四五水库逐步开展乡村旅游项目的包装实施，基本符合规划定位。</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（二）</w:t>
      </w:r>
      <w:r>
        <w:rPr>
          <w:rFonts w:eastAsia="宋体" w:cs="Times New Roman" w:asciiTheme="minorEastAsia" w:hAnsiTheme="minorEastAsia"/>
          <w:b/>
          <w:kern w:val="0"/>
          <w:sz w:val="24"/>
          <w:szCs w:val="24"/>
        </w:rPr>
        <w:t>经济和人口规模</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片区经济发展基本接近发展预期</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经济发展总体向好</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规划人口除象山镇达到了规划预期，河边镇和玉峰镇均</w:t>
      </w:r>
      <w:r>
        <w:rPr>
          <w:rFonts w:hint="eastAsia" w:eastAsia="宋体" w:cs="Times New Roman" w:asciiTheme="minorEastAsia" w:hAnsiTheme="minorEastAsia"/>
          <w:kern w:val="0"/>
          <w:sz w:val="24"/>
          <w:szCs w:val="24"/>
        </w:rPr>
        <w:t>未</w:t>
      </w:r>
      <w:r>
        <w:rPr>
          <w:rFonts w:eastAsia="宋体" w:cs="Times New Roman" w:asciiTheme="minorEastAsia" w:hAnsiTheme="minorEastAsia"/>
          <w:kern w:val="0"/>
          <w:sz w:val="24"/>
          <w:szCs w:val="24"/>
        </w:rPr>
        <w:t>达标，三乡镇城镇化进程缓慢，现状与规划预期相差较远。</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（三）</w:t>
      </w:r>
      <w:r>
        <w:rPr>
          <w:rFonts w:eastAsia="宋体" w:cs="Times New Roman" w:asciiTheme="minorEastAsia" w:hAnsiTheme="minorEastAsia"/>
          <w:b/>
          <w:kern w:val="0"/>
          <w:sz w:val="24"/>
          <w:szCs w:val="24"/>
        </w:rPr>
        <w:t>片区镇村体系实施情况</w:t>
      </w:r>
    </w:p>
    <w:p>
      <w:pPr>
        <w:adjustRightInd w:val="0"/>
        <w:snapToGrid w:val="0"/>
        <w:spacing w:line="360" w:lineRule="auto"/>
        <w:ind w:firstLine="480" w:firstLineChars="200"/>
        <w:rPr>
          <w:rFonts w:cs="Times New Roman" w:asciiTheme="minorEastAsia" w:hAnsiTheme="minorEastAsia"/>
          <w:kern w:val="0"/>
          <w:sz w:val="24"/>
          <w:szCs w:val="24"/>
        </w:rPr>
      </w:pPr>
      <w:r>
        <w:rPr>
          <w:rFonts w:hint="eastAsia" w:eastAsia="宋体" w:cs="Times New Roman" w:asciiTheme="minorEastAsia" w:hAnsiTheme="minorEastAsia"/>
          <w:kern w:val="0"/>
          <w:sz w:val="24"/>
          <w:szCs w:val="24"/>
        </w:rPr>
        <w:t>由于</w:t>
      </w:r>
      <w:r>
        <w:rPr>
          <w:rFonts w:eastAsia="宋体" w:cs="Times New Roman" w:asciiTheme="minorEastAsia" w:hAnsiTheme="minorEastAsia"/>
          <w:kern w:val="0"/>
          <w:sz w:val="24"/>
          <w:szCs w:val="24"/>
        </w:rPr>
        <w:t>“两项改革”行政区划调整，现状镇村人口与规划镇村人口趋势不完全一致。同时，规划的中心村发展滞后，未发挥带动周边各村发展的作用。</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规划片区三乡镇的镇村体系结构为“中心镇—中心村—基层村”的三级结构体系，目前片区基本形成了以“中心镇—中心村—基层村”为主的镇村体系结构。</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（四）</w:t>
      </w:r>
      <w:r>
        <w:rPr>
          <w:rFonts w:eastAsia="宋体" w:cs="Times New Roman" w:asciiTheme="minorEastAsia" w:hAnsiTheme="minorEastAsia"/>
          <w:b/>
          <w:kern w:val="0"/>
          <w:sz w:val="24"/>
          <w:szCs w:val="24"/>
        </w:rPr>
        <w:t>产业发展实施情况</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规划河边镇</w:t>
      </w:r>
      <w:r>
        <w:rPr>
          <w:rFonts w:hint="eastAsia" w:eastAsia="宋体" w:cs="Times New Roman" w:asciiTheme="minorEastAsia" w:hAnsiTheme="minorEastAsia"/>
          <w:kern w:val="0"/>
          <w:sz w:val="24"/>
          <w:szCs w:val="24"/>
        </w:rPr>
        <w:t>形成“</w:t>
      </w:r>
      <w:r>
        <w:rPr>
          <w:rFonts w:eastAsia="宋体" w:cs="Times New Roman" w:asciiTheme="minorEastAsia" w:hAnsiTheme="minorEastAsia"/>
          <w:kern w:val="0"/>
          <w:sz w:val="24"/>
          <w:szCs w:val="24"/>
        </w:rPr>
        <w:t>一核二轴三单元</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产业空间结构。</w:t>
      </w:r>
      <w:r>
        <w:rPr>
          <w:rFonts w:hint="eastAsia" w:eastAsia="宋体" w:cs="Times New Roman" w:asciiTheme="minorEastAsia" w:hAnsiTheme="minorEastAsia"/>
          <w:kern w:val="0"/>
          <w:sz w:val="24"/>
          <w:szCs w:val="24"/>
        </w:rPr>
        <w:t>一核：</w:t>
      </w:r>
      <w:r>
        <w:rPr>
          <w:rFonts w:eastAsia="宋体" w:cs="Times New Roman" w:asciiTheme="minorEastAsia" w:hAnsiTheme="minorEastAsia"/>
          <w:kern w:val="0"/>
          <w:sz w:val="24"/>
          <w:szCs w:val="24"/>
        </w:rPr>
        <w:t>依托河边城镇，以发展集商贸、旅游服务和农副产品深加工为一体的镇域经济增长核。二轴：蓬乐沿线生态农业发展轴，沿隆盛—河边—象山形成的产业发展轴。三单元：西部的特色柠檬产业产村单元；东部循环农业产村单元；南部生态农业产村单元。目前河边镇形成了以粮油种植为主导，白柠檬种植为特色的主要发展模式，镇区的商贸服务能力较强，设施配套较为齐全，但农副产品深加工没有成为经济增长核。</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规划象山镇形成“一轴一带三片”的现代产业布局。一轴：南北经济发展轴线；一带：郪江现代产业示范带；</w:t>
      </w:r>
      <w:r>
        <w:rPr>
          <w:rFonts w:hint="eastAsia" w:eastAsia="宋体" w:cs="Times New Roman" w:asciiTheme="minorEastAsia" w:hAnsiTheme="minorEastAsia"/>
          <w:kern w:val="0"/>
          <w:sz w:val="24"/>
          <w:szCs w:val="24"/>
        </w:rPr>
        <w:t>三片：</w:t>
      </w:r>
      <w:r>
        <w:rPr>
          <w:rFonts w:eastAsia="宋体" w:cs="Times New Roman" w:asciiTheme="minorEastAsia" w:hAnsiTheme="minorEastAsia"/>
          <w:kern w:val="0"/>
          <w:sz w:val="24"/>
          <w:szCs w:val="24"/>
        </w:rPr>
        <w:t>优质干果产业片、优质水果产业片、优质蔬菜产业片。优质干果产业片：牟家湾村、梨浅垭村、等村发展优质干果产业；优质水果产业片：三溪村、桥头村、象山村为主，发展优质水果产业；优质蔬菜产业片：冯家楼、凤阳村、马蹄垭村、永乐村、等发展优质蔬菜业。目前象山镇产业发展以粮油种植为核心，附带发展瓜果、蔬菜种植，目前凤阳村以农耕体验为主题的农耕园正在打造。优质干果和优质水果片区基本未按规划实施。</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 xml:space="preserve">规划玉峰镇形成“一心、两点、两轴、三片”的产业结构。 </w:t>
      </w:r>
      <w:r>
        <w:rPr>
          <w:rFonts w:hint="eastAsia" w:eastAsia="宋体" w:cs="Times New Roman" w:asciiTheme="minorEastAsia" w:hAnsiTheme="minorEastAsia"/>
          <w:kern w:val="0"/>
          <w:sz w:val="24"/>
          <w:szCs w:val="24"/>
        </w:rPr>
        <w:t>一心：</w:t>
      </w:r>
      <w:r>
        <w:rPr>
          <w:rFonts w:eastAsia="宋体" w:cs="Times New Roman" w:asciiTheme="minorEastAsia" w:hAnsiTheme="minorEastAsia"/>
          <w:kern w:val="0"/>
          <w:sz w:val="24"/>
          <w:szCs w:val="24"/>
        </w:rPr>
        <w:t>玉峰场镇产业服务核心。两点：依托方平沟村和团结村两个中心村形成两大产业服务节点。两轴：沿规划省道形成横向的产业发展主轴，沿玉峰-象山线、玉峰-河边线形成纵向的产业发展次轴。</w:t>
      </w:r>
      <w:r>
        <w:rPr>
          <w:rFonts w:hint="eastAsia" w:eastAsia="宋体" w:cs="Times New Roman" w:asciiTheme="minorEastAsia" w:hAnsiTheme="minorEastAsia"/>
          <w:kern w:val="0"/>
          <w:sz w:val="24"/>
          <w:szCs w:val="24"/>
        </w:rPr>
        <w:t>三片：</w:t>
      </w:r>
      <w:r>
        <w:rPr>
          <w:rFonts w:eastAsia="宋体" w:cs="Times New Roman" w:asciiTheme="minorEastAsia" w:hAnsiTheme="minorEastAsia"/>
          <w:kern w:val="0"/>
          <w:sz w:val="24"/>
          <w:szCs w:val="24"/>
        </w:rPr>
        <w:t>结合现有产业，在北部形成以桂花、百香果为主的经济林业区，中部围绕四五水库打造旅游观光区，南部形成以传统种养殖为主的生态种养区</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玉峰镇产业实施情况较好，玉峰镇是大英县高效粮油基地的核心，当前全镇重点发展高效粮油，规划</w:t>
      </w:r>
      <w:r>
        <w:rPr>
          <w:rFonts w:hint="eastAsia" w:eastAsia="宋体" w:cs="Times New Roman" w:asciiTheme="minorEastAsia" w:hAnsiTheme="minorEastAsia"/>
          <w:kern w:val="0"/>
          <w:sz w:val="24"/>
          <w:szCs w:val="24"/>
        </w:rPr>
        <w:t>北部的</w:t>
      </w:r>
      <w:r>
        <w:rPr>
          <w:rFonts w:eastAsia="宋体" w:cs="Times New Roman" w:asciiTheme="minorEastAsia" w:hAnsiTheme="minorEastAsia"/>
          <w:kern w:val="0"/>
          <w:sz w:val="24"/>
          <w:szCs w:val="24"/>
        </w:rPr>
        <w:t>桂花、百香果为主的经济林业区</w:t>
      </w:r>
      <w:r>
        <w:rPr>
          <w:rFonts w:hint="eastAsia" w:eastAsia="宋体" w:cs="Times New Roman" w:asciiTheme="minorEastAsia" w:hAnsiTheme="minorEastAsia"/>
          <w:kern w:val="0"/>
          <w:sz w:val="24"/>
          <w:szCs w:val="24"/>
        </w:rPr>
        <w:t>未形成</w:t>
      </w:r>
      <w:r>
        <w:rPr>
          <w:rFonts w:eastAsia="宋体" w:cs="Times New Roman" w:asciiTheme="minorEastAsia" w:hAnsiTheme="minorEastAsia"/>
          <w:kern w:val="0"/>
          <w:sz w:val="24"/>
          <w:szCs w:val="24"/>
        </w:rPr>
        <w:t>，围绕四五水库正在打造以乡旅为主题的旅游主题。整体发展向好。</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（五）</w:t>
      </w:r>
      <w:r>
        <w:rPr>
          <w:rFonts w:eastAsia="宋体" w:cs="Times New Roman" w:asciiTheme="minorEastAsia" w:hAnsiTheme="minorEastAsia"/>
          <w:b/>
          <w:kern w:val="0"/>
          <w:sz w:val="24"/>
          <w:szCs w:val="24"/>
        </w:rPr>
        <w:t>基础设施实施情况</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片区对外交通大部分</w:t>
      </w:r>
      <w:r>
        <w:rPr>
          <w:rFonts w:hint="eastAsia" w:eastAsia="宋体" w:cs="Times New Roman" w:asciiTheme="minorEastAsia" w:hAnsiTheme="minorEastAsia"/>
          <w:kern w:val="0"/>
          <w:sz w:val="24"/>
          <w:szCs w:val="24"/>
          <w:lang w:eastAsia="zh-CN"/>
        </w:rPr>
        <w:t>已建成</w:t>
      </w:r>
      <w:r>
        <w:rPr>
          <w:rFonts w:eastAsia="宋体" w:cs="Times New Roman" w:asciiTheme="minorEastAsia" w:hAnsiTheme="minorEastAsia"/>
          <w:kern w:val="0"/>
          <w:sz w:val="24"/>
          <w:szCs w:val="24"/>
        </w:rPr>
        <w:t>成 ，市政基础设施与规划基本一致，象山镇内</w:t>
      </w:r>
      <w:r>
        <w:rPr>
          <w:rFonts w:hint="eastAsia" w:eastAsia="宋体" w:cs="Times New Roman" w:asciiTheme="minorEastAsia" w:hAnsiTheme="minorEastAsia"/>
          <w:kern w:val="0"/>
          <w:sz w:val="24"/>
          <w:szCs w:val="24"/>
        </w:rPr>
        <w:t>省道</w:t>
      </w:r>
      <w:r>
        <w:rPr>
          <w:rFonts w:eastAsia="宋体" w:cs="Times New Roman" w:asciiTheme="minorEastAsia" w:hAnsiTheme="minorEastAsia"/>
          <w:kern w:val="0"/>
          <w:sz w:val="24"/>
          <w:szCs w:val="24"/>
        </w:rPr>
        <w:t>S101</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S409以及</w:t>
      </w:r>
      <w:r>
        <w:rPr>
          <w:rFonts w:hint="eastAsia" w:eastAsia="宋体" w:cs="Times New Roman" w:asciiTheme="minorEastAsia" w:hAnsiTheme="minorEastAsia"/>
          <w:kern w:val="0"/>
          <w:sz w:val="24"/>
          <w:szCs w:val="24"/>
        </w:rPr>
        <w:t>火</w:t>
      </w:r>
      <w:r>
        <w:rPr>
          <w:rFonts w:eastAsia="宋体" w:cs="Times New Roman" w:asciiTheme="minorEastAsia" w:hAnsiTheme="minorEastAsia"/>
          <w:kern w:val="0"/>
          <w:sz w:val="24"/>
          <w:szCs w:val="24"/>
        </w:rPr>
        <w:t>象路未实施，对象山发展有较大制约。给水、排水、供电、供气、环卫等市政基础设施基本落实，需进一步考虑是否满足城镇未来发展的需求。</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玉峰镇镇域内对外交通的达成铁路、达成铁路复线以及成南高速均已实施。联系乡镇的蓬乐路已经建成。 给水、排水、供电、供气、环卫等市政基础设施基本落实，需进一步考虑是否满足城镇</w:t>
      </w:r>
      <w:r>
        <w:rPr>
          <w:rFonts w:hint="eastAsia" w:eastAsia="宋体" w:cs="Times New Roman" w:asciiTheme="minorEastAsia" w:hAnsiTheme="minorEastAsia"/>
          <w:kern w:val="0"/>
          <w:sz w:val="24"/>
          <w:szCs w:val="24"/>
        </w:rPr>
        <w:t>。</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河边镇镇域内县级总规确定的高速公路未实施、现行总体规划中内部形成的环形道路还未实施，对河边镇发展有一定的制约。给水、排水、供电、供气、环卫等市政基础设施基本落实</w:t>
      </w:r>
      <w:r>
        <w:rPr>
          <w:rFonts w:hint="eastAsia" w:eastAsia="宋体" w:cs="Times New Roman" w:asciiTheme="minorEastAsia" w:hAnsiTheme="minorEastAsia"/>
          <w:kern w:val="0"/>
          <w:sz w:val="24"/>
          <w:szCs w:val="24"/>
        </w:rPr>
        <w:t>。</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（六）</w:t>
      </w:r>
      <w:r>
        <w:rPr>
          <w:rFonts w:eastAsia="宋体" w:cs="Times New Roman" w:asciiTheme="minorEastAsia" w:hAnsiTheme="minorEastAsia"/>
          <w:b/>
          <w:kern w:val="0"/>
          <w:sz w:val="24"/>
          <w:szCs w:val="24"/>
        </w:rPr>
        <w:t>镇区实施情况</w:t>
      </w:r>
    </w:p>
    <w:p>
      <w:pPr>
        <w:adjustRightInd w:val="0"/>
        <w:snapToGrid w:val="0"/>
        <w:spacing w:line="360" w:lineRule="auto"/>
        <w:ind w:firstLine="480" w:firstLineChars="200"/>
        <w:rPr>
          <w:rFonts w:cs="Times New Roman" w:asciiTheme="minorEastAsia" w:hAnsiTheme="minorEastAsia"/>
          <w:kern w:val="0"/>
          <w:sz w:val="24"/>
          <w:szCs w:val="24"/>
        </w:rPr>
      </w:pPr>
      <w:r>
        <w:rPr>
          <w:rFonts w:hint="eastAsia" w:eastAsia="宋体" w:cs="Times New Roman" w:asciiTheme="minorEastAsia" w:hAnsiTheme="minorEastAsia"/>
          <w:kern w:val="0"/>
          <w:sz w:val="24"/>
          <w:szCs w:val="24"/>
        </w:rPr>
        <w:t>1、</w:t>
      </w:r>
      <w:r>
        <w:rPr>
          <w:rFonts w:eastAsia="宋体" w:cs="Times New Roman" w:asciiTheme="minorEastAsia" w:hAnsiTheme="minorEastAsia"/>
          <w:kern w:val="0"/>
          <w:sz w:val="24"/>
          <w:szCs w:val="24"/>
        </w:rPr>
        <w:t>城镇发展</w:t>
      </w:r>
      <w:r>
        <w:rPr>
          <w:rFonts w:hint="eastAsia" w:eastAsia="宋体" w:cs="Times New Roman" w:asciiTheme="minorEastAsia" w:hAnsiTheme="minorEastAsia"/>
          <w:kern w:val="0"/>
          <w:sz w:val="24"/>
          <w:szCs w:val="24"/>
        </w:rPr>
        <w:t>方向</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河边镇：规划城镇发展方向主要是沿濛溪河向上游发展，占用现状柠檬产业基地，形成依山傍水带状组团发展态势，构建山水宜居城镇，现状发展方向与总规基本一致。</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象山镇：规划城镇用地发展方向选择在保留老镇区的基础上向东北、向南纵向发展。从现状建设情况来看，现状发展方向与总规基本一致，但北部、西部居住区未形成。</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玉峰镇：规划城镇发展方向为东、南，现状发展方向与总规基本一致。</w:t>
      </w:r>
    </w:p>
    <w:p>
      <w:pPr>
        <w:adjustRightInd w:val="0"/>
        <w:snapToGrid w:val="0"/>
        <w:spacing w:line="360" w:lineRule="auto"/>
        <w:ind w:firstLine="480" w:firstLineChars="200"/>
        <w:rPr>
          <w:rFonts w:cs="Times New Roman" w:asciiTheme="minorEastAsia" w:hAnsiTheme="minorEastAsia"/>
          <w:kern w:val="0"/>
          <w:sz w:val="24"/>
          <w:szCs w:val="24"/>
        </w:rPr>
      </w:pPr>
      <w:r>
        <w:rPr>
          <w:rFonts w:hint="eastAsia" w:eastAsia="宋体" w:cs="Times New Roman" w:asciiTheme="minorEastAsia" w:hAnsiTheme="minorEastAsia"/>
          <w:kern w:val="0"/>
          <w:sz w:val="24"/>
          <w:szCs w:val="24"/>
        </w:rPr>
        <w:t>2、</w:t>
      </w:r>
      <w:r>
        <w:rPr>
          <w:rFonts w:eastAsia="宋体" w:cs="Times New Roman" w:asciiTheme="minorEastAsia" w:hAnsiTheme="minorEastAsia"/>
          <w:kern w:val="0"/>
          <w:sz w:val="24"/>
          <w:szCs w:val="24"/>
        </w:rPr>
        <w:t>镇区用地规模及用地结构</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河边镇：现状城镇建成区面积41.32公顷，占规划城镇建设用地的57.90%，建设用地规模未达到预期，发展较为缓慢。现状以居住用地、公共管理与公共服务设施用地为主，不符合总规确定的以商贸流通为核心功能，以居住配套为主导功能，以农副产品深加工工业为辅助功能的发展方向。</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象山镇：现状城镇建成区面积44.72公顷，占规划城镇建设用地指标的75.88%，建设用地规模未达到预期。现状以居住用地、交通设施、公共管理与公共服务设施用地为主，不符合郪江水岸生态湿地休闲旅游廊道西部服务中心，以发展区域商贸、旅游服务和农产品加工为主的综合型城镇。工矿用地、绿地与广场用地，未按照规划进行实施。</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玉峰镇：现状城镇建成区面积27.32公顷，占规划城镇建设用地指标的36%，建设用地规模未达到预期，发展缓慢。现状以居住用地、公共管理与公共服务设施用地为主，不符合总规确定的发展方向。</w:t>
      </w:r>
    </w:p>
    <w:p>
      <w:pPr>
        <w:adjustRightInd w:val="0"/>
        <w:snapToGrid w:val="0"/>
        <w:spacing w:line="360" w:lineRule="auto"/>
        <w:ind w:firstLine="480" w:firstLineChars="200"/>
        <w:rPr>
          <w:rFonts w:cs="Times New Roman" w:asciiTheme="minorEastAsia" w:hAnsiTheme="minorEastAsia"/>
          <w:kern w:val="0"/>
          <w:sz w:val="24"/>
          <w:szCs w:val="24"/>
        </w:rPr>
      </w:pPr>
      <w:r>
        <w:rPr>
          <w:rFonts w:hint="eastAsia" w:eastAsia="宋体" w:cs="Times New Roman" w:asciiTheme="minorEastAsia" w:hAnsiTheme="minorEastAsia"/>
          <w:kern w:val="0"/>
          <w:sz w:val="24"/>
          <w:szCs w:val="24"/>
        </w:rPr>
        <w:t>3、</w:t>
      </w:r>
      <w:r>
        <w:rPr>
          <w:rFonts w:eastAsia="宋体" w:cs="Times New Roman" w:asciiTheme="minorEastAsia" w:hAnsiTheme="minorEastAsia"/>
          <w:kern w:val="0"/>
          <w:sz w:val="24"/>
          <w:szCs w:val="24"/>
        </w:rPr>
        <w:t>镇区公共服务设施和基础设施</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河边镇：公共服务设施包括行政办公、中小学、幼儿园、医院、敬老院、集贸市场、综合文化服务中心等，大部分未按现行总规进行建设。基本维持总规编制基期年的现状。市政基础设施包括自来水厂、污水处理厂、变电站、邮局、燃气站等部分基础设施布局与规划不一致，未按照现行总规进行建设布局。</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象山镇：公共服务设施包括行政办公、车站、幼儿园、设施、消防站、医院、敬老院、集贸市场、综合文化服务中心等，大部分未按照现行总规进行建设，基本维持总规编制基期年的现状。市政基础设施包括污水处理厂、邮局、燃气站等部分基础设施布局与规划不一致，未按照现行总规进行建设布局。</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玉峰镇：公共服务设施包括行政办公、中小学、幼儿园、医院、敬老院、集贸市场、综合文化服务中心等，除行政办公用地外，其余均按照现行总规进行建设。公共服务设施总体实施率为80%</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市政基础设施与规划不一致，未按照现行总规进行建设布局。</w:t>
      </w:r>
    </w:p>
    <w:p>
      <w:pPr>
        <w:adjustRightInd w:val="0"/>
        <w:snapToGrid w:val="0"/>
        <w:spacing w:line="360" w:lineRule="auto"/>
        <w:ind w:firstLine="482" w:firstLineChars="200"/>
        <w:rPr>
          <w:rFonts w:ascii="黑体" w:hAnsi="黑体" w:eastAsia="黑体" w:cs="Times New Roman"/>
          <w:b/>
          <w:kern w:val="0"/>
          <w:sz w:val="24"/>
          <w:szCs w:val="24"/>
        </w:rPr>
      </w:pPr>
      <w:r>
        <w:rPr>
          <w:rFonts w:hint="eastAsia" w:ascii="黑体" w:hAnsi="黑体" w:eastAsia="黑体" w:cs="Times New Roman"/>
          <w:b/>
          <w:kern w:val="0"/>
          <w:sz w:val="24"/>
          <w:szCs w:val="24"/>
        </w:rPr>
        <w:t>二、片区现行土地利用规划实施情况评估</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（一）</w:t>
      </w:r>
      <w:r>
        <w:rPr>
          <w:rFonts w:eastAsia="宋体" w:cs="Times New Roman" w:asciiTheme="minorEastAsia" w:hAnsiTheme="minorEastAsia"/>
          <w:b/>
          <w:kern w:val="0"/>
          <w:sz w:val="24"/>
          <w:szCs w:val="24"/>
        </w:rPr>
        <w:t>片区现行土地利用总体规划</w:t>
      </w:r>
      <w:r>
        <w:rPr>
          <w:rFonts w:hint="eastAsia" w:eastAsia="宋体" w:cs="Times New Roman" w:asciiTheme="minorEastAsia" w:hAnsiTheme="minorEastAsia"/>
          <w:b/>
          <w:kern w:val="0"/>
          <w:sz w:val="24"/>
          <w:szCs w:val="24"/>
        </w:rPr>
        <w:t>（</w:t>
      </w:r>
      <w:r>
        <w:rPr>
          <w:rFonts w:eastAsia="宋体" w:cs="Times New Roman" w:asciiTheme="minorEastAsia" w:hAnsiTheme="minorEastAsia"/>
          <w:b/>
          <w:kern w:val="0"/>
          <w:sz w:val="24"/>
          <w:szCs w:val="24"/>
        </w:rPr>
        <w:t>2017调整完善</w:t>
      </w:r>
      <w:r>
        <w:rPr>
          <w:rFonts w:hint="eastAsia" w:eastAsia="宋体" w:cs="Times New Roman" w:asciiTheme="minorEastAsia" w:hAnsiTheme="minorEastAsia"/>
          <w:b/>
          <w:kern w:val="0"/>
          <w:sz w:val="24"/>
          <w:szCs w:val="24"/>
        </w:rPr>
        <w:t>）</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规划至2020年，片区基本农田保护区11926.32公顷，一般农用地区15793.03公顷，城镇村建设用地区2675.78公顷，独立工矿用地区18.36公顷，风景旅游用地区5.69公顷，生态环境安全控制区458.81 公顷，林业用地区3561.64公顷，其他用地区372.78公顷。</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（二）</w:t>
      </w:r>
      <w:r>
        <w:rPr>
          <w:rFonts w:eastAsia="宋体" w:cs="Times New Roman" w:asciiTheme="minorEastAsia" w:hAnsiTheme="minorEastAsia"/>
          <w:b/>
          <w:kern w:val="0"/>
          <w:sz w:val="24"/>
          <w:szCs w:val="24"/>
        </w:rPr>
        <w:t>片区各乡镇土地用途分区</w:t>
      </w:r>
      <w:r>
        <w:rPr>
          <w:rFonts w:hint="eastAsia" w:eastAsia="宋体" w:cs="Times New Roman" w:asciiTheme="minorEastAsia" w:hAnsiTheme="minorEastAsia"/>
          <w:b/>
          <w:kern w:val="0"/>
          <w:sz w:val="24"/>
          <w:szCs w:val="24"/>
        </w:rPr>
        <w:t>表（</w:t>
      </w:r>
      <w:r>
        <w:rPr>
          <w:rFonts w:eastAsia="宋体" w:cs="Times New Roman" w:asciiTheme="minorEastAsia" w:hAnsiTheme="minorEastAsia"/>
          <w:b/>
          <w:kern w:val="0"/>
          <w:sz w:val="24"/>
          <w:szCs w:val="24"/>
        </w:rPr>
        <w:t>2017调整完善）</w:t>
      </w:r>
      <w:r>
        <w:rPr>
          <w:rFonts w:hint="eastAsia" w:eastAsia="宋体" w:cs="Times New Roman" w:asciiTheme="minorEastAsia" w:hAnsiTheme="minorEastAsia"/>
          <w:b/>
          <w:kern w:val="0"/>
          <w:sz w:val="24"/>
          <w:szCs w:val="24"/>
        </w:rPr>
        <w:t>：</w:t>
      </w:r>
    </w:p>
    <w:p>
      <w:pPr>
        <w:adjustRightInd w:val="0"/>
        <w:snapToGrid w:val="0"/>
        <w:spacing w:line="360" w:lineRule="auto"/>
        <w:ind w:firstLine="480" w:firstLineChars="200"/>
        <w:jc w:val="right"/>
        <w:rPr>
          <w:rFonts w:cs="Times New Roman" w:asciiTheme="minorEastAsia" w:hAnsiTheme="minorEastAsia"/>
          <w:kern w:val="0"/>
          <w:sz w:val="24"/>
          <w:szCs w:val="24"/>
        </w:rPr>
      </w:pPr>
      <w:r>
        <w:rPr>
          <w:rFonts w:eastAsia="宋体" w:cs="Times New Roman" w:asciiTheme="minorEastAsia" w:hAnsiTheme="minorEastAsia"/>
          <w:kern w:val="0"/>
          <w:sz w:val="24"/>
          <w:szCs w:val="24"/>
        </w:rPr>
        <w:t>单位:公顷</w:t>
      </w:r>
    </w:p>
    <w:tbl>
      <w:tblPr>
        <w:tblStyle w:val="16"/>
        <w:tblW w:w="5000" w:type="pct"/>
        <w:tblInd w:w="0" w:type="dxa"/>
        <w:tblLayout w:type="fixed"/>
        <w:tblCellMar>
          <w:top w:w="0" w:type="dxa"/>
          <w:left w:w="108" w:type="dxa"/>
          <w:bottom w:w="0" w:type="dxa"/>
          <w:right w:w="108" w:type="dxa"/>
        </w:tblCellMar>
      </w:tblPr>
      <w:tblGrid>
        <w:gridCol w:w="860"/>
        <w:gridCol w:w="1056"/>
        <w:gridCol w:w="1057"/>
        <w:gridCol w:w="951"/>
        <w:gridCol w:w="861"/>
        <w:gridCol w:w="994"/>
        <w:gridCol w:w="849"/>
        <w:gridCol w:w="994"/>
        <w:gridCol w:w="900"/>
      </w:tblGrid>
      <w:tr>
        <w:tblPrEx>
          <w:tblCellMar>
            <w:top w:w="0" w:type="dxa"/>
            <w:left w:w="108" w:type="dxa"/>
            <w:bottom w:w="0" w:type="dxa"/>
            <w:right w:w="108" w:type="dxa"/>
          </w:tblCellMar>
        </w:tblPrEx>
        <w:trPr>
          <w:trHeight w:val="810" w:hRule="atLeast"/>
        </w:trPr>
        <w:tc>
          <w:tcPr>
            <w:tcW w:w="50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乡镇</w:t>
            </w:r>
          </w:p>
          <w:p>
            <w:pPr>
              <w:widowControl/>
              <w:jc w:val="center"/>
              <w:rPr>
                <w:rFonts w:cs="宋体" w:asciiTheme="minorEastAsia" w:hAnsiTheme="minorEastAsia"/>
                <w:kern w:val="0"/>
                <w:szCs w:val="21"/>
              </w:rPr>
            </w:pPr>
            <w:r>
              <w:rPr>
                <w:rFonts w:eastAsia="宋体" w:cs="宋体" w:asciiTheme="minorEastAsia" w:hAnsiTheme="minorEastAsia"/>
                <w:kern w:val="0"/>
                <w:szCs w:val="21"/>
              </w:rPr>
              <w:t>名称</w:t>
            </w:r>
          </w:p>
        </w:tc>
        <w:tc>
          <w:tcPr>
            <w:tcW w:w="620"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基本农田保护区</w:t>
            </w:r>
          </w:p>
        </w:tc>
        <w:tc>
          <w:tcPr>
            <w:tcW w:w="620"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一般农用地区</w:t>
            </w:r>
          </w:p>
        </w:tc>
        <w:tc>
          <w:tcPr>
            <w:tcW w:w="558"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城镇村建设用地区</w:t>
            </w:r>
          </w:p>
        </w:tc>
        <w:tc>
          <w:tcPr>
            <w:tcW w:w="505"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独立工矿用地区</w:t>
            </w:r>
          </w:p>
        </w:tc>
        <w:tc>
          <w:tcPr>
            <w:tcW w:w="583"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风景旅游用地区</w:t>
            </w:r>
          </w:p>
        </w:tc>
        <w:tc>
          <w:tcPr>
            <w:tcW w:w="498"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生态环境安全控制区</w:t>
            </w:r>
          </w:p>
        </w:tc>
        <w:tc>
          <w:tcPr>
            <w:tcW w:w="583"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林业用地区</w:t>
            </w:r>
          </w:p>
        </w:tc>
        <w:tc>
          <w:tcPr>
            <w:tcW w:w="529"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eastAsia="宋体" w:cs="宋体" w:asciiTheme="minorEastAsia" w:hAnsiTheme="minorEastAsia"/>
                <w:kern w:val="0"/>
                <w:szCs w:val="21"/>
              </w:rPr>
              <w:t>其他</w:t>
            </w:r>
          </w:p>
          <w:p>
            <w:pPr>
              <w:widowControl/>
              <w:jc w:val="center"/>
              <w:rPr>
                <w:rFonts w:cs="宋体" w:asciiTheme="minorEastAsia" w:hAnsiTheme="minorEastAsia"/>
                <w:kern w:val="0"/>
                <w:szCs w:val="21"/>
              </w:rPr>
            </w:pPr>
            <w:r>
              <w:rPr>
                <w:rFonts w:eastAsia="宋体" w:cs="宋体" w:asciiTheme="minorEastAsia" w:hAnsiTheme="minorEastAsia"/>
                <w:kern w:val="0"/>
                <w:szCs w:val="21"/>
              </w:rPr>
              <w:t>用地区</w:t>
            </w:r>
          </w:p>
        </w:tc>
      </w:tr>
      <w:tr>
        <w:tblPrEx>
          <w:tblCellMar>
            <w:top w:w="0" w:type="dxa"/>
            <w:left w:w="108" w:type="dxa"/>
            <w:bottom w:w="0" w:type="dxa"/>
            <w:right w:w="108" w:type="dxa"/>
          </w:tblCellMar>
        </w:tblPrEx>
        <w:trPr>
          <w:trHeight w:val="270" w:hRule="atLeast"/>
        </w:trPr>
        <w:tc>
          <w:tcPr>
            <w:tcW w:w="505"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象山镇</w:t>
            </w:r>
          </w:p>
        </w:tc>
        <w:tc>
          <w:tcPr>
            <w:tcW w:w="620"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2590.34</w:t>
            </w:r>
          </w:p>
        </w:tc>
        <w:tc>
          <w:tcPr>
            <w:tcW w:w="620"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3398.33</w:t>
            </w:r>
          </w:p>
        </w:tc>
        <w:tc>
          <w:tcPr>
            <w:tcW w:w="558"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548.77</w:t>
            </w:r>
          </w:p>
        </w:tc>
        <w:tc>
          <w:tcPr>
            <w:tcW w:w="505"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2.13</w:t>
            </w:r>
          </w:p>
        </w:tc>
        <w:tc>
          <w:tcPr>
            <w:tcW w:w="583"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0.9</w:t>
            </w:r>
          </w:p>
        </w:tc>
        <w:tc>
          <w:tcPr>
            <w:tcW w:w="498"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169.56</w:t>
            </w:r>
          </w:p>
        </w:tc>
        <w:tc>
          <w:tcPr>
            <w:tcW w:w="583"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1144.04</w:t>
            </w:r>
          </w:p>
        </w:tc>
        <w:tc>
          <w:tcPr>
            <w:tcW w:w="529"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51.64</w:t>
            </w:r>
          </w:p>
        </w:tc>
      </w:tr>
      <w:tr>
        <w:tblPrEx>
          <w:tblCellMar>
            <w:top w:w="0" w:type="dxa"/>
            <w:left w:w="108" w:type="dxa"/>
            <w:bottom w:w="0" w:type="dxa"/>
            <w:right w:w="108" w:type="dxa"/>
          </w:tblCellMar>
        </w:tblPrEx>
        <w:trPr>
          <w:trHeight w:val="270" w:hRule="atLeast"/>
        </w:trPr>
        <w:tc>
          <w:tcPr>
            <w:tcW w:w="505"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玉峰镇</w:t>
            </w:r>
          </w:p>
        </w:tc>
        <w:tc>
          <w:tcPr>
            <w:tcW w:w="620"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4023.88</w:t>
            </w:r>
          </w:p>
        </w:tc>
        <w:tc>
          <w:tcPr>
            <w:tcW w:w="620"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5322.74</w:t>
            </w:r>
          </w:p>
        </w:tc>
        <w:tc>
          <w:tcPr>
            <w:tcW w:w="558"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969.97</w:t>
            </w:r>
          </w:p>
        </w:tc>
        <w:tc>
          <w:tcPr>
            <w:tcW w:w="505"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12.22</w:t>
            </w:r>
          </w:p>
        </w:tc>
        <w:tc>
          <w:tcPr>
            <w:tcW w:w="583"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1.8</w:t>
            </w:r>
          </w:p>
        </w:tc>
        <w:tc>
          <w:tcPr>
            <w:tcW w:w="498"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148.05</w:t>
            </w:r>
          </w:p>
        </w:tc>
        <w:tc>
          <w:tcPr>
            <w:tcW w:w="583"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1548.55</w:t>
            </w:r>
          </w:p>
        </w:tc>
        <w:tc>
          <w:tcPr>
            <w:tcW w:w="529"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203.36</w:t>
            </w:r>
          </w:p>
        </w:tc>
      </w:tr>
      <w:tr>
        <w:tblPrEx>
          <w:tblCellMar>
            <w:top w:w="0" w:type="dxa"/>
            <w:left w:w="108" w:type="dxa"/>
            <w:bottom w:w="0" w:type="dxa"/>
            <w:right w:w="108" w:type="dxa"/>
          </w:tblCellMar>
        </w:tblPrEx>
        <w:trPr>
          <w:trHeight w:val="270" w:hRule="atLeast"/>
        </w:trPr>
        <w:tc>
          <w:tcPr>
            <w:tcW w:w="505"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河边镇</w:t>
            </w:r>
          </w:p>
        </w:tc>
        <w:tc>
          <w:tcPr>
            <w:tcW w:w="620"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5312.1</w:t>
            </w:r>
          </w:p>
        </w:tc>
        <w:tc>
          <w:tcPr>
            <w:tcW w:w="620"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7071.96</w:t>
            </w:r>
          </w:p>
        </w:tc>
        <w:tc>
          <w:tcPr>
            <w:tcW w:w="558"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1157.04</w:t>
            </w:r>
          </w:p>
        </w:tc>
        <w:tc>
          <w:tcPr>
            <w:tcW w:w="505"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4.01</w:t>
            </w:r>
          </w:p>
        </w:tc>
        <w:tc>
          <w:tcPr>
            <w:tcW w:w="583"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2.99</w:t>
            </w:r>
          </w:p>
        </w:tc>
        <w:tc>
          <w:tcPr>
            <w:tcW w:w="498"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141.2</w:t>
            </w:r>
          </w:p>
        </w:tc>
        <w:tc>
          <w:tcPr>
            <w:tcW w:w="583"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869.05</w:t>
            </w:r>
          </w:p>
        </w:tc>
        <w:tc>
          <w:tcPr>
            <w:tcW w:w="529"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117.79</w:t>
            </w:r>
          </w:p>
        </w:tc>
      </w:tr>
      <w:tr>
        <w:tblPrEx>
          <w:tblCellMar>
            <w:top w:w="0" w:type="dxa"/>
            <w:left w:w="108" w:type="dxa"/>
            <w:bottom w:w="0" w:type="dxa"/>
            <w:right w:w="108" w:type="dxa"/>
          </w:tblCellMar>
        </w:tblPrEx>
        <w:trPr>
          <w:trHeight w:val="270" w:hRule="atLeast"/>
        </w:trPr>
        <w:tc>
          <w:tcPr>
            <w:tcW w:w="505"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合计</w:t>
            </w:r>
          </w:p>
        </w:tc>
        <w:tc>
          <w:tcPr>
            <w:tcW w:w="620"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11926.32</w:t>
            </w:r>
          </w:p>
        </w:tc>
        <w:tc>
          <w:tcPr>
            <w:tcW w:w="620"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15793.03</w:t>
            </w:r>
          </w:p>
        </w:tc>
        <w:tc>
          <w:tcPr>
            <w:tcW w:w="558"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2675.78</w:t>
            </w:r>
          </w:p>
        </w:tc>
        <w:tc>
          <w:tcPr>
            <w:tcW w:w="505"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18.36</w:t>
            </w:r>
          </w:p>
        </w:tc>
        <w:tc>
          <w:tcPr>
            <w:tcW w:w="583"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5.69</w:t>
            </w:r>
          </w:p>
        </w:tc>
        <w:tc>
          <w:tcPr>
            <w:tcW w:w="498"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458.81</w:t>
            </w:r>
          </w:p>
        </w:tc>
        <w:tc>
          <w:tcPr>
            <w:tcW w:w="583"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3561.64</w:t>
            </w:r>
          </w:p>
        </w:tc>
        <w:tc>
          <w:tcPr>
            <w:tcW w:w="529"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372.78</w:t>
            </w:r>
          </w:p>
        </w:tc>
      </w:tr>
    </w:tbl>
    <w:p>
      <w:pPr>
        <w:adjustRightInd w:val="0"/>
        <w:snapToGrid w:val="0"/>
        <w:spacing w:beforeLines="50"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（三）</w:t>
      </w:r>
      <w:r>
        <w:rPr>
          <w:rFonts w:eastAsia="宋体" w:cs="Times New Roman" w:asciiTheme="minorEastAsia" w:hAnsiTheme="minorEastAsia"/>
          <w:b/>
          <w:kern w:val="0"/>
          <w:sz w:val="24"/>
          <w:szCs w:val="24"/>
        </w:rPr>
        <w:t>“三调”</w:t>
      </w:r>
      <w:r>
        <w:rPr>
          <w:rFonts w:hint="eastAsia" w:eastAsia="宋体" w:cs="Times New Roman" w:asciiTheme="minorEastAsia" w:hAnsiTheme="minorEastAsia"/>
          <w:b/>
          <w:kern w:val="0"/>
          <w:sz w:val="24"/>
          <w:szCs w:val="24"/>
        </w:rPr>
        <w:t>与</w:t>
      </w:r>
      <w:r>
        <w:rPr>
          <w:rFonts w:eastAsia="宋体" w:cs="Times New Roman" w:asciiTheme="minorEastAsia" w:hAnsiTheme="minorEastAsia"/>
          <w:b/>
          <w:kern w:val="0"/>
          <w:sz w:val="24"/>
          <w:szCs w:val="24"/>
        </w:rPr>
        <w:t>现行土地利用规划指标对比表</w:t>
      </w:r>
      <w:r>
        <w:rPr>
          <w:rFonts w:hint="eastAsia" w:eastAsia="宋体" w:cs="Times New Roman" w:asciiTheme="minorEastAsia" w:hAnsiTheme="minorEastAsia"/>
          <w:b/>
          <w:kern w:val="0"/>
          <w:sz w:val="24"/>
          <w:szCs w:val="24"/>
        </w:rPr>
        <w:t>：</w:t>
      </w:r>
    </w:p>
    <w:p>
      <w:pPr>
        <w:adjustRightInd w:val="0"/>
        <w:snapToGrid w:val="0"/>
        <w:spacing w:line="360" w:lineRule="auto"/>
        <w:ind w:firstLine="480" w:firstLineChars="200"/>
        <w:jc w:val="right"/>
        <w:rPr>
          <w:rFonts w:cs="Times New Roman" w:asciiTheme="minorEastAsia" w:hAnsiTheme="minorEastAsia"/>
          <w:kern w:val="0"/>
          <w:sz w:val="24"/>
          <w:szCs w:val="24"/>
        </w:rPr>
      </w:pPr>
      <w:r>
        <w:rPr>
          <w:rFonts w:eastAsia="宋体" w:cs="Times New Roman" w:asciiTheme="minorEastAsia" w:hAnsiTheme="minorEastAsia"/>
          <w:kern w:val="0"/>
          <w:sz w:val="24"/>
          <w:szCs w:val="24"/>
        </w:rPr>
        <w:t>单位:公顷</w:t>
      </w:r>
    </w:p>
    <w:tbl>
      <w:tblPr>
        <w:tblStyle w:val="16"/>
        <w:tblW w:w="5000" w:type="pct"/>
        <w:tblInd w:w="0" w:type="dxa"/>
        <w:tblLayout w:type="autofit"/>
        <w:tblCellMar>
          <w:top w:w="0" w:type="dxa"/>
          <w:left w:w="108" w:type="dxa"/>
          <w:bottom w:w="0" w:type="dxa"/>
          <w:right w:w="108" w:type="dxa"/>
        </w:tblCellMar>
      </w:tblPr>
      <w:tblGrid>
        <w:gridCol w:w="1571"/>
        <w:gridCol w:w="2666"/>
        <w:gridCol w:w="2575"/>
        <w:gridCol w:w="1710"/>
      </w:tblGrid>
      <w:tr>
        <w:tblPrEx>
          <w:tblCellMar>
            <w:top w:w="0" w:type="dxa"/>
            <w:left w:w="108" w:type="dxa"/>
            <w:bottom w:w="0" w:type="dxa"/>
            <w:right w:w="108" w:type="dxa"/>
          </w:tblCellMar>
        </w:tblPrEx>
        <w:trPr>
          <w:trHeight w:val="285" w:hRule="atLeast"/>
        </w:trPr>
        <w:tc>
          <w:tcPr>
            <w:tcW w:w="92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ascii="宋体" w:hAnsi="宋体" w:eastAsia="宋体" w:cs="宋体"/>
                <w:kern w:val="0"/>
                <w:sz w:val="24"/>
                <w:szCs w:val="24"/>
              </w:rPr>
              <w:t>指标类别</w:t>
            </w:r>
          </w:p>
        </w:tc>
        <w:tc>
          <w:tcPr>
            <w:tcW w:w="1564"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ascii="宋体" w:hAnsi="宋体" w:eastAsia="宋体" w:cs="宋体"/>
                <w:kern w:val="0"/>
                <w:sz w:val="24"/>
                <w:szCs w:val="24"/>
              </w:rPr>
              <w:t>三调数据现状指针</w:t>
            </w:r>
          </w:p>
        </w:tc>
        <w:tc>
          <w:tcPr>
            <w:tcW w:w="1511"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ascii="宋体" w:hAnsi="宋体" w:eastAsia="宋体" w:cs="宋体"/>
                <w:kern w:val="0"/>
                <w:sz w:val="24"/>
                <w:szCs w:val="24"/>
              </w:rPr>
              <w:t>2020年规划指标</w:t>
            </w:r>
          </w:p>
        </w:tc>
        <w:tc>
          <w:tcPr>
            <w:tcW w:w="1003"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ascii="宋体" w:hAnsi="宋体" w:eastAsia="宋体" w:cs="宋体"/>
                <w:kern w:val="0"/>
                <w:sz w:val="24"/>
                <w:szCs w:val="24"/>
              </w:rPr>
              <w:t>规划评估</w:t>
            </w:r>
          </w:p>
        </w:tc>
      </w:tr>
      <w:tr>
        <w:tblPrEx>
          <w:tblCellMar>
            <w:top w:w="0" w:type="dxa"/>
            <w:left w:w="108" w:type="dxa"/>
            <w:bottom w:w="0" w:type="dxa"/>
            <w:right w:w="108" w:type="dxa"/>
          </w:tblCellMar>
        </w:tblPrEx>
        <w:trPr>
          <w:trHeight w:val="285" w:hRule="atLeast"/>
        </w:trPr>
        <w:tc>
          <w:tcPr>
            <w:tcW w:w="922"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耕地</w:t>
            </w:r>
          </w:p>
        </w:tc>
        <w:tc>
          <w:tcPr>
            <w:tcW w:w="1564"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ascii="宋体" w:hAnsi="宋体" w:eastAsia="宋体" w:cs="宋体"/>
                <w:kern w:val="0"/>
                <w:sz w:val="24"/>
                <w:szCs w:val="24"/>
              </w:rPr>
              <w:t>11032.8</w:t>
            </w:r>
          </w:p>
        </w:tc>
        <w:tc>
          <w:tcPr>
            <w:tcW w:w="1511"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ascii="宋体" w:hAnsi="宋体" w:eastAsia="宋体" w:cs="宋体"/>
                <w:kern w:val="0"/>
                <w:sz w:val="24"/>
                <w:szCs w:val="24"/>
              </w:rPr>
              <w:t>15042.98</w:t>
            </w:r>
          </w:p>
        </w:tc>
        <w:tc>
          <w:tcPr>
            <w:tcW w:w="1003"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ascii="宋体" w:hAnsi="宋体" w:eastAsia="宋体" w:cs="宋体"/>
                <w:kern w:val="0"/>
                <w:sz w:val="24"/>
                <w:szCs w:val="24"/>
              </w:rPr>
              <w:t>未达标</w:t>
            </w:r>
          </w:p>
        </w:tc>
      </w:tr>
      <w:tr>
        <w:tblPrEx>
          <w:tblCellMar>
            <w:top w:w="0" w:type="dxa"/>
            <w:left w:w="108" w:type="dxa"/>
            <w:bottom w:w="0" w:type="dxa"/>
            <w:right w:w="108" w:type="dxa"/>
          </w:tblCellMar>
        </w:tblPrEx>
        <w:trPr>
          <w:trHeight w:val="285" w:hRule="atLeast"/>
        </w:trPr>
        <w:tc>
          <w:tcPr>
            <w:tcW w:w="922"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林地</w:t>
            </w:r>
          </w:p>
        </w:tc>
        <w:tc>
          <w:tcPr>
            <w:tcW w:w="1564"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ascii="宋体" w:hAnsi="宋体" w:eastAsia="宋体" w:cs="宋体"/>
                <w:kern w:val="0"/>
                <w:sz w:val="24"/>
                <w:szCs w:val="24"/>
              </w:rPr>
              <w:t>6002.8</w:t>
            </w:r>
          </w:p>
        </w:tc>
        <w:tc>
          <w:tcPr>
            <w:tcW w:w="1511"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ascii="宋体" w:hAnsi="宋体" w:eastAsia="宋体" w:cs="宋体"/>
                <w:kern w:val="0"/>
                <w:sz w:val="24"/>
                <w:szCs w:val="24"/>
              </w:rPr>
              <w:t>3561.64</w:t>
            </w:r>
          </w:p>
        </w:tc>
        <w:tc>
          <w:tcPr>
            <w:tcW w:w="1003"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ascii="宋体" w:hAnsi="宋体" w:eastAsia="宋体" w:cs="宋体"/>
                <w:kern w:val="0"/>
                <w:sz w:val="24"/>
                <w:szCs w:val="24"/>
              </w:rPr>
              <w:t>超额完成</w:t>
            </w:r>
          </w:p>
        </w:tc>
      </w:tr>
      <w:tr>
        <w:tblPrEx>
          <w:tblCellMar>
            <w:top w:w="0" w:type="dxa"/>
            <w:left w:w="108" w:type="dxa"/>
            <w:bottom w:w="0" w:type="dxa"/>
            <w:right w:w="108" w:type="dxa"/>
          </w:tblCellMar>
        </w:tblPrEx>
        <w:trPr>
          <w:trHeight w:val="285" w:hRule="atLeast"/>
        </w:trPr>
        <w:tc>
          <w:tcPr>
            <w:tcW w:w="922"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ascii="宋体" w:hAnsi="宋体" w:eastAsia="宋体" w:cs="宋体"/>
                <w:kern w:val="0"/>
                <w:sz w:val="24"/>
                <w:szCs w:val="24"/>
              </w:rPr>
              <w:t>建设用地</w:t>
            </w:r>
          </w:p>
        </w:tc>
        <w:tc>
          <w:tcPr>
            <w:tcW w:w="1564"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ascii="宋体" w:hAnsi="宋体" w:eastAsia="宋体" w:cs="宋体"/>
                <w:kern w:val="0"/>
                <w:sz w:val="24"/>
                <w:szCs w:val="24"/>
              </w:rPr>
              <w:t>2186.72</w:t>
            </w:r>
          </w:p>
        </w:tc>
        <w:tc>
          <w:tcPr>
            <w:tcW w:w="1511"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ascii="宋体" w:hAnsi="宋体" w:eastAsia="宋体" w:cs="宋体"/>
                <w:kern w:val="0"/>
                <w:sz w:val="24"/>
                <w:szCs w:val="24"/>
              </w:rPr>
              <w:t>2675.78</w:t>
            </w:r>
          </w:p>
        </w:tc>
        <w:tc>
          <w:tcPr>
            <w:tcW w:w="1003"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ascii="宋体" w:hAnsi="宋体" w:eastAsia="宋体" w:cs="宋体"/>
                <w:kern w:val="0"/>
                <w:sz w:val="24"/>
                <w:szCs w:val="24"/>
              </w:rPr>
              <w:t>未达标</w:t>
            </w:r>
          </w:p>
        </w:tc>
      </w:tr>
      <w:tr>
        <w:tblPrEx>
          <w:tblCellMar>
            <w:top w:w="0" w:type="dxa"/>
            <w:left w:w="108" w:type="dxa"/>
            <w:bottom w:w="0" w:type="dxa"/>
            <w:right w:w="108" w:type="dxa"/>
          </w:tblCellMar>
        </w:tblPrEx>
        <w:trPr>
          <w:trHeight w:val="285" w:hRule="atLeast"/>
        </w:trPr>
        <w:tc>
          <w:tcPr>
            <w:tcW w:w="922"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ascii="宋体" w:hAnsi="宋体" w:eastAsia="宋体" w:cs="宋体"/>
                <w:kern w:val="0"/>
                <w:sz w:val="24"/>
                <w:szCs w:val="24"/>
              </w:rPr>
              <w:t>工矿用地</w:t>
            </w:r>
          </w:p>
        </w:tc>
        <w:tc>
          <w:tcPr>
            <w:tcW w:w="1564"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ascii="宋体" w:hAnsi="宋体" w:eastAsia="宋体" w:cs="宋体"/>
                <w:kern w:val="0"/>
                <w:sz w:val="24"/>
                <w:szCs w:val="24"/>
              </w:rPr>
              <w:t>10.46</w:t>
            </w:r>
          </w:p>
        </w:tc>
        <w:tc>
          <w:tcPr>
            <w:tcW w:w="1511"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ascii="宋体" w:hAnsi="宋体" w:eastAsia="宋体" w:cs="宋体"/>
                <w:kern w:val="0"/>
                <w:sz w:val="24"/>
                <w:szCs w:val="24"/>
              </w:rPr>
              <w:t>18.36</w:t>
            </w:r>
          </w:p>
        </w:tc>
        <w:tc>
          <w:tcPr>
            <w:tcW w:w="1003"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ascii="宋体" w:hAnsi="宋体" w:eastAsia="宋体" w:cs="宋体"/>
                <w:kern w:val="0"/>
                <w:sz w:val="24"/>
                <w:szCs w:val="24"/>
              </w:rPr>
              <w:t>未达标</w:t>
            </w:r>
          </w:p>
        </w:tc>
      </w:tr>
    </w:tbl>
    <w:p>
      <w:pPr>
        <w:adjustRightInd w:val="0"/>
        <w:snapToGrid w:val="0"/>
        <w:spacing w:beforeLines="50"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（四）</w:t>
      </w:r>
      <w:r>
        <w:rPr>
          <w:rFonts w:eastAsia="宋体" w:cs="Times New Roman" w:asciiTheme="minorEastAsia" w:hAnsiTheme="minorEastAsia"/>
          <w:b/>
          <w:kern w:val="0"/>
          <w:sz w:val="24"/>
          <w:szCs w:val="24"/>
        </w:rPr>
        <w:t>实施</w:t>
      </w:r>
      <w:r>
        <w:rPr>
          <w:rFonts w:hint="eastAsia" w:eastAsia="宋体" w:cs="Times New Roman" w:asciiTheme="minorEastAsia" w:hAnsiTheme="minorEastAsia"/>
          <w:b/>
          <w:kern w:val="0"/>
          <w:sz w:val="24"/>
          <w:szCs w:val="24"/>
        </w:rPr>
        <w:t>成效</w:t>
      </w:r>
    </w:p>
    <w:p>
      <w:pPr>
        <w:adjustRightInd w:val="0"/>
        <w:snapToGrid w:val="0"/>
        <w:spacing w:line="360" w:lineRule="auto"/>
        <w:ind w:firstLine="480" w:firstLineChars="200"/>
        <w:rPr>
          <w:rFonts w:cs="Times New Roman" w:asciiTheme="minorEastAsia" w:hAnsiTheme="minorEastAsia"/>
          <w:kern w:val="0"/>
          <w:sz w:val="24"/>
          <w:szCs w:val="24"/>
        </w:rPr>
      </w:pPr>
      <w:r>
        <w:rPr>
          <w:rFonts w:hint="eastAsia" w:eastAsia="宋体" w:cs="Times New Roman" w:asciiTheme="minorEastAsia" w:hAnsiTheme="minorEastAsia"/>
          <w:kern w:val="0"/>
          <w:sz w:val="24"/>
          <w:szCs w:val="24"/>
        </w:rPr>
        <w:t>自《</w:t>
      </w:r>
      <w:r>
        <w:rPr>
          <w:rFonts w:eastAsia="宋体" w:cs="Times New Roman" w:asciiTheme="minorEastAsia" w:hAnsiTheme="minorEastAsia"/>
          <w:kern w:val="0"/>
          <w:sz w:val="24"/>
          <w:szCs w:val="24"/>
        </w:rPr>
        <w:t>大英县土地利用总体规划</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2006-2020年）》批准实施以来，在社会经济发展用地快速增长、土地供给约束日趋严峻的形势下，对加强土地宏观管理和实施土地用途管制、严格保护耕地特别是基本农田、保障重点建设项目和生态环境用地、促进土地资源集约利用和经济社会协调发展等方面，发挥了重要作用，也取得了明显成效。规划实施期间，大英县贯彻落实最严格的耕地保护制度，通过土地利用总体规划编制、永久基本农田划定工作明确了耕地和基本农田保护范围；同时，积极开展土地整治以补充耕地数量、提升耕地质量，土地利用率明显提高，土地产出效能和农业综合生产力得到一定提</w:t>
      </w:r>
      <w:r>
        <w:rPr>
          <w:rFonts w:hint="eastAsia" w:eastAsia="宋体" w:cs="Times New Roman" w:asciiTheme="minorEastAsia" w:hAnsiTheme="minorEastAsia"/>
          <w:kern w:val="0"/>
          <w:sz w:val="24"/>
          <w:szCs w:val="24"/>
        </w:rPr>
        <w:t>升。</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规划实施期间，大英县积极探索缓解用地供需矛盾的实现途径，有力保障了全县</w:t>
      </w:r>
      <w:r>
        <w:rPr>
          <w:rFonts w:hint="eastAsia" w:eastAsia="宋体" w:cs="Times New Roman" w:asciiTheme="minorEastAsia" w:hAnsiTheme="minorEastAsia"/>
          <w:kern w:val="0"/>
          <w:sz w:val="24"/>
          <w:szCs w:val="24"/>
        </w:rPr>
        <w:t>的</w:t>
      </w:r>
      <w:r>
        <w:rPr>
          <w:rFonts w:eastAsia="宋体" w:cs="Times New Roman" w:asciiTheme="minorEastAsia" w:hAnsiTheme="minorEastAsia"/>
          <w:kern w:val="0"/>
          <w:sz w:val="24"/>
          <w:szCs w:val="24"/>
        </w:rPr>
        <w:t>经济社会发展的用地需求，有效保证了达成铁路、成南高速公路等国家及省市重点建设项目用地的需要。</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（五）</w:t>
      </w:r>
      <w:r>
        <w:rPr>
          <w:rFonts w:eastAsia="宋体" w:cs="Times New Roman" w:asciiTheme="minorEastAsia" w:hAnsiTheme="minorEastAsia"/>
          <w:b/>
          <w:kern w:val="0"/>
          <w:sz w:val="24"/>
          <w:szCs w:val="24"/>
        </w:rPr>
        <w:t>主要问题</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现行规划虽在一定程度上保障了经济社会发展用地需求，但在实施过程中不能完全适应未来经济社会发展趋势，对规划的实施管理提出了严峻的挑战。</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耕地和基本农田保护任务艰巨。规划实施至今，片区现状耕地</w:t>
      </w:r>
      <w:r>
        <w:rPr>
          <w:rFonts w:hint="eastAsia" w:eastAsia="宋体" w:cs="Times New Roman" w:asciiTheme="minorEastAsia" w:hAnsiTheme="minorEastAsia"/>
          <w:kern w:val="0"/>
          <w:sz w:val="24"/>
          <w:szCs w:val="24"/>
        </w:rPr>
        <w:t>10979.84</w:t>
      </w:r>
      <w:r>
        <w:rPr>
          <w:rFonts w:eastAsia="宋体" w:cs="Times New Roman" w:asciiTheme="minorEastAsia" w:hAnsiTheme="minorEastAsia"/>
          <w:kern w:val="0"/>
          <w:sz w:val="24"/>
          <w:szCs w:val="24"/>
        </w:rPr>
        <w:t>公顷</w:t>
      </w:r>
      <w:r>
        <w:rPr>
          <w:rFonts w:hint="eastAsia" w:eastAsia="宋体" w:cs="Times New Roman" w:asciiTheme="minorEastAsia" w:hAnsiTheme="minorEastAsia"/>
          <w:kern w:val="0"/>
          <w:sz w:val="24"/>
          <w:szCs w:val="24"/>
        </w:rPr>
        <w:t>（2020变更调查）</w:t>
      </w:r>
      <w:r>
        <w:rPr>
          <w:rFonts w:eastAsia="宋体" w:cs="Times New Roman" w:asciiTheme="minorEastAsia" w:hAnsiTheme="minorEastAsia"/>
          <w:kern w:val="0"/>
          <w:sz w:val="24"/>
          <w:szCs w:val="24"/>
        </w:rPr>
        <w:t>，耕地保有量缺口达</w:t>
      </w:r>
      <w:r>
        <w:rPr>
          <w:rFonts w:hint="eastAsia" w:eastAsia="宋体" w:cs="Times New Roman" w:asciiTheme="minorEastAsia" w:hAnsiTheme="minorEastAsia"/>
          <w:kern w:val="0"/>
          <w:sz w:val="24"/>
          <w:szCs w:val="24"/>
        </w:rPr>
        <w:t>4063</w:t>
      </w:r>
      <w:r>
        <w:rPr>
          <w:rFonts w:eastAsia="宋体" w:cs="Times New Roman" w:asciiTheme="minorEastAsia" w:hAnsiTheme="minorEastAsia"/>
          <w:kern w:val="0"/>
          <w:sz w:val="24"/>
          <w:szCs w:val="24"/>
        </w:rPr>
        <w:t>公顷</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耕地和基本农田保护压力大、保护任务难以完成。</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规划实施以来，片区三次产业结构不断优化，基础设施不断完善，经济、社会情况都发生了较大的变化，但是发展速度较为缓慢</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城市建设较为滞后，三调建设用地2227.33 公顷，低于规划448.75公顷，城镇建设基本维系现状，建设动力较弱。</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规划农村居民点用地与现实需求差异较大，大量现状农村居民点用地布局于规划农村居民点用地之外，常住人口人均农村宅基地面积238.09</w:t>
      </w:r>
      <w:r>
        <w:rPr>
          <w:rFonts w:hint="eastAsia" w:eastAsia="宋体" w:cs="Times New Roman" w:asciiTheme="minorEastAsia" w:hAnsiTheme="minorEastAsia"/>
          <w:kern w:val="0"/>
          <w:sz w:val="24"/>
          <w:szCs w:val="24"/>
        </w:rPr>
        <w:t>平方米</w:t>
      </w:r>
      <w:r>
        <w:rPr>
          <w:rFonts w:eastAsia="宋体" w:cs="Times New Roman" w:asciiTheme="minorEastAsia" w:hAnsiTheme="minorEastAsia"/>
          <w:kern w:val="0"/>
          <w:sz w:val="24"/>
          <w:szCs w:val="24"/>
        </w:rPr>
        <w:t>/</w:t>
      </w:r>
      <w:r>
        <w:rPr>
          <w:rFonts w:hint="eastAsia" w:eastAsia="宋体" w:cs="Times New Roman" w:asciiTheme="minorEastAsia" w:hAnsiTheme="minorEastAsia"/>
          <w:kern w:val="0"/>
          <w:sz w:val="24"/>
          <w:szCs w:val="24"/>
        </w:rPr>
        <w:t>人，高于全</w:t>
      </w:r>
      <w:r>
        <w:rPr>
          <w:rFonts w:eastAsia="宋体" w:cs="Times New Roman" w:asciiTheme="minorEastAsia" w:hAnsiTheme="minorEastAsia"/>
          <w:kern w:val="0"/>
          <w:sz w:val="24"/>
          <w:szCs w:val="24"/>
        </w:rPr>
        <w:t>县平均水平（182.69</w:t>
      </w:r>
      <w:r>
        <w:rPr>
          <w:rFonts w:hint="eastAsia" w:eastAsia="宋体" w:cs="Times New Roman" w:asciiTheme="minorEastAsia" w:hAnsiTheme="minorEastAsia"/>
          <w:kern w:val="0"/>
          <w:sz w:val="24"/>
          <w:szCs w:val="24"/>
        </w:rPr>
        <w:t>平方米</w:t>
      </w:r>
      <w:r>
        <w:rPr>
          <w:rFonts w:eastAsia="宋体" w:cs="Times New Roman" w:asciiTheme="minorEastAsia" w:hAnsiTheme="minorEastAsia"/>
          <w:kern w:val="0"/>
          <w:sz w:val="24"/>
          <w:szCs w:val="24"/>
        </w:rPr>
        <w:t>/人），部分场镇内</w:t>
      </w:r>
      <w:r>
        <w:rPr>
          <w:rFonts w:hint="eastAsia" w:eastAsia="宋体" w:cs="Times New Roman" w:asciiTheme="minorEastAsia" w:hAnsiTheme="minorEastAsia"/>
          <w:kern w:val="0"/>
          <w:sz w:val="24"/>
          <w:szCs w:val="24"/>
        </w:rPr>
        <w:t>存在</w:t>
      </w:r>
      <w:r>
        <w:rPr>
          <w:rFonts w:eastAsia="宋体" w:cs="Times New Roman" w:asciiTheme="minorEastAsia" w:hAnsiTheme="minorEastAsia"/>
          <w:kern w:val="0"/>
          <w:sz w:val="24"/>
          <w:szCs w:val="24"/>
        </w:rPr>
        <w:t>粮站、废弃砖厂、废弃小学</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废弃村委会等闲置用地，土地整理潜力较大</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集约节约水平不高，规划引导作用没有得到充分发挥。</w:t>
      </w:r>
    </w:p>
    <w:p>
      <w:pPr>
        <w:pStyle w:val="36"/>
        <w:numPr>
          <w:ilvl w:val="0"/>
          <w:numId w:val="4"/>
        </w:numPr>
        <w:spacing w:beforeLines="50" w:afterLines="50"/>
        <w:ind w:left="420" w:firstLineChars="0"/>
        <w:jc w:val="center"/>
        <w:rPr>
          <w:rFonts w:ascii="黑体" w:hAnsi="黑体" w:eastAsia="黑体"/>
          <w:b w:val="0"/>
          <w:kern w:val="2"/>
        </w:rPr>
      </w:pPr>
      <w:bookmarkStart w:id="11" w:name="_Toc166772160"/>
      <w:r>
        <w:rPr>
          <w:rFonts w:hint="eastAsia" w:ascii="黑体" w:hAnsi="黑体" w:eastAsia="黑体"/>
          <w:b w:val="0"/>
          <w:kern w:val="2"/>
        </w:rPr>
        <w:t>风险评估</w:t>
      </w:r>
      <w:bookmarkEnd w:id="11"/>
    </w:p>
    <w:p>
      <w:pPr>
        <w:adjustRightInd w:val="0"/>
        <w:snapToGrid w:val="0"/>
        <w:spacing w:line="360" w:lineRule="auto"/>
        <w:ind w:firstLine="482" w:firstLineChars="200"/>
        <w:rPr>
          <w:rFonts w:ascii="黑体" w:hAnsi="黑体" w:eastAsia="黑体" w:cs="Times New Roman"/>
          <w:b/>
          <w:kern w:val="0"/>
          <w:sz w:val="24"/>
          <w:szCs w:val="24"/>
        </w:rPr>
      </w:pPr>
      <w:r>
        <w:rPr>
          <w:rFonts w:hint="eastAsia" w:ascii="黑体" w:hAnsi="黑体" w:eastAsia="黑体" w:cs="Times New Roman"/>
          <w:b/>
          <w:kern w:val="0"/>
          <w:sz w:val="24"/>
          <w:szCs w:val="24"/>
        </w:rPr>
        <w:t>一、防水资源环境风险与水土流失风险，推进空间治理和生态修复</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通过对森林系统风险因子、水资源风险因子、土壤资源风险因子、耕地安全风险因子、洪涝灾害风险因子、地质灾害风险因子、矿产资源风险因子</w:t>
      </w:r>
      <w:r>
        <w:rPr>
          <w:rFonts w:hint="eastAsia" w:eastAsia="宋体" w:cs="Times New Roman" w:asciiTheme="minorEastAsia" w:hAnsiTheme="minorEastAsia"/>
          <w:kern w:val="0"/>
          <w:sz w:val="24"/>
          <w:szCs w:val="24"/>
        </w:rPr>
        <w:t>和</w:t>
      </w:r>
      <w:r>
        <w:rPr>
          <w:rFonts w:eastAsia="宋体" w:cs="Times New Roman" w:asciiTheme="minorEastAsia" w:hAnsiTheme="minorEastAsia"/>
          <w:kern w:val="0"/>
          <w:sz w:val="24"/>
          <w:szCs w:val="24"/>
        </w:rPr>
        <w:t>生物多样性风险因子</w:t>
      </w:r>
      <w:r>
        <w:rPr>
          <w:rFonts w:hint="eastAsia" w:eastAsia="宋体" w:cs="Times New Roman" w:asciiTheme="minorEastAsia" w:hAnsiTheme="minorEastAsia"/>
          <w:kern w:val="0"/>
          <w:sz w:val="24"/>
          <w:szCs w:val="24"/>
        </w:rPr>
        <w:t>叠加</w:t>
      </w:r>
      <w:r>
        <w:rPr>
          <w:rFonts w:eastAsia="宋体" w:cs="Times New Roman" w:asciiTheme="minorEastAsia" w:hAnsiTheme="minorEastAsia"/>
          <w:kern w:val="0"/>
          <w:sz w:val="24"/>
          <w:szCs w:val="24"/>
        </w:rPr>
        <w:t>评估分析，片区最需预防的风险类型为水资源环境风险与水土流失风险。</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抓好天然林保护工作，在</w:t>
      </w:r>
      <w:r>
        <w:rPr>
          <w:rFonts w:hint="eastAsia" w:eastAsia="宋体" w:cs="Times New Roman" w:asciiTheme="minorEastAsia" w:hAnsiTheme="minorEastAsia"/>
          <w:kern w:val="0"/>
          <w:sz w:val="24"/>
          <w:szCs w:val="24"/>
        </w:rPr>
        <w:t>郪江、</w:t>
      </w:r>
      <w:r>
        <w:rPr>
          <w:rFonts w:eastAsia="宋体" w:cs="Times New Roman" w:asciiTheme="minorEastAsia" w:hAnsiTheme="minorEastAsia"/>
          <w:kern w:val="0"/>
          <w:sz w:val="24"/>
          <w:szCs w:val="24"/>
        </w:rPr>
        <w:t>龙溪河</w:t>
      </w:r>
      <w:r>
        <w:rPr>
          <w:rFonts w:hint="eastAsia" w:eastAsia="宋体" w:cs="Times New Roman" w:asciiTheme="minorEastAsia" w:hAnsiTheme="minorEastAsia"/>
          <w:kern w:val="0"/>
          <w:sz w:val="24"/>
          <w:szCs w:val="24"/>
        </w:rPr>
        <w:t>、濛溪河（</w:t>
      </w:r>
      <w:r>
        <w:rPr>
          <w:rFonts w:eastAsia="宋体" w:cs="Times New Roman" w:asciiTheme="minorEastAsia" w:hAnsiTheme="minorEastAsia"/>
          <w:kern w:val="0"/>
          <w:sz w:val="24"/>
          <w:szCs w:val="24"/>
        </w:rPr>
        <w:t>寸塘口河</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和马力河河道沿岸采取封育保护、自然修复等措施，大力实施以水土保持功能为主的项目，扩大林草覆盖面积，提高流域内植被覆盖率和水源涵养能力</w:t>
      </w:r>
      <w:r>
        <w:rPr>
          <w:rFonts w:hint="eastAsia" w:eastAsia="宋体" w:cs="Times New Roman" w:asciiTheme="minorEastAsia" w:hAnsiTheme="minorEastAsia"/>
          <w:kern w:val="0"/>
          <w:sz w:val="24"/>
          <w:szCs w:val="24"/>
        </w:rPr>
        <w:t>，以“</w:t>
      </w:r>
      <w:r>
        <w:rPr>
          <w:rFonts w:eastAsia="宋体" w:cs="Times New Roman" w:asciiTheme="minorEastAsia" w:hAnsiTheme="minorEastAsia"/>
          <w:kern w:val="0"/>
          <w:sz w:val="24"/>
          <w:szCs w:val="24"/>
        </w:rPr>
        <w:t>大规模绿化全川大英”行动为抓手，打造以</w:t>
      </w:r>
      <w:r>
        <w:rPr>
          <w:rFonts w:hint="eastAsia" w:eastAsia="宋体" w:cs="Times New Roman" w:asciiTheme="minorEastAsia" w:hAnsiTheme="minorEastAsia"/>
          <w:kern w:val="0"/>
          <w:sz w:val="24"/>
          <w:szCs w:val="24"/>
        </w:rPr>
        <w:t>郪江、</w:t>
      </w:r>
      <w:r>
        <w:rPr>
          <w:rFonts w:eastAsia="宋体" w:cs="Times New Roman" w:asciiTheme="minorEastAsia" w:hAnsiTheme="minorEastAsia"/>
          <w:kern w:val="0"/>
          <w:sz w:val="24"/>
          <w:szCs w:val="24"/>
        </w:rPr>
        <w:t>马力河</w:t>
      </w:r>
      <w:r>
        <w:rPr>
          <w:rFonts w:hint="eastAsia" w:eastAsia="宋体" w:cs="Times New Roman" w:asciiTheme="minorEastAsia" w:hAnsiTheme="minorEastAsia"/>
          <w:kern w:val="0"/>
          <w:sz w:val="24"/>
          <w:szCs w:val="24"/>
        </w:rPr>
        <w:t>、濛溪河（寸塘口河）</w:t>
      </w:r>
      <w:r>
        <w:rPr>
          <w:rFonts w:eastAsia="宋体" w:cs="Times New Roman" w:asciiTheme="minorEastAsia" w:hAnsiTheme="minorEastAsia"/>
          <w:kern w:val="0"/>
          <w:sz w:val="24"/>
          <w:szCs w:val="24"/>
        </w:rPr>
        <w:t>为骨架，其他支流为脉络的河流绿色生态廊道防护林体系。</w:t>
      </w:r>
    </w:p>
    <w:p>
      <w:pPr>
        <w:adjustRightInd w:val="0"/>
        <w:snapToGrid w:val="0"/>
        <w:spacing w:line="360" w:lineRule="auto"/>
        <w:ind w:firstLine="482" w:firstLineChars="200"/>
        <w:rPr>
          <w:rFonts w:ascii="黑体" w:hAnsi="黑体" w:eastAsia="黑体" w:cs="Times New Roman"/>
          <w:b/>
          <w:kern w:val="0"/>
          <w:sz w:val="24"/>
          <w:szCs w:val="24"/>
        </w:rPr>
      </w:pPr>
      <w:r>
        <w:rPr>
          <w:rFonts w:hint="eastAsia" w:ascii="黑体" w:hAnsi="黑体" w:eastAsia="黑体" w:cs="Times New Roman"/>
          <w:b/>
          <w:kern w:val="0"/>
          <w:sz w:val="24"/>
          <w:szCs w:val="24"/>
        </w:rPr>
        <w:t>二、本地水资源不足，提升过境水资源利用率</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片区内过境水量比较丰富，</w:t>
      </w:r>
      <w:r>
        <w:rPr>
          <w:rFonts w:hint="eastAsia" w:eastAsia="宋体" w:cs="Times New Roman" w:asciiTheme="minorEastAsia" w:hAnsiTheme="minorEastAsia"/>
          <w:kern w:val="0"/>
          <w:sz w:val="24"/>
          <w:szCs w:val="24"/>
        </w:rPr>
        <w:t>但</w:t>
      </w:r>
      <w:r>
        <w:rPr>
          <w:rFonts w:eastAsia="宋体" w:cs="Times New Roman" w:asciiTheme="minorEastAsia" w:hAnsiTheme="minorEastAsia"/>
          <w:kern w:val="0"/>
          <w:sz w:val="24"/>
          <w:szCs w:val="24"/>
        </w:rPr>
        <w:t>年均产水量少，开发利用不够</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 xml:space="preserve">大英县多年平均水资源总量为1.57 亿立方米，人均占有水资源量为325 </w:t>
      </w:r>
      <w:r>
        <w:rPr>
          <w:rFonts w:hint="eastAsia" w:eastAsia="宋体" w:cs="Times New Roman" w:asciiTheme="minorEastAsia" w:hAnsiTheme="minorEastAsia"/>
          <w:kern w:val="0"/>
          <w:sz w:val="24"/>
          <w:szCs w:val="24"/>
        </w:rPr>
        <w:t>立方米，是四</w:t>
      </w:r>
      <w:r>
        <w:rPr>
          <w:rFonts w:eastAsia="宋体" w:cs="Times New Roman" w:asciiTheme="minorEastAsia" w:hAnsiTheme="minorEastAsia"/>
          <w:kern w:val="0"/>
          <w:sz w:val="24"/>
          <w:szCs w:val="24"/>
        </w:rPr>
        <w:t>川省人均水资源量的1/10，全国人均水平的1/7</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全县单位（每平方公里）国土面积水资源量为22.3 万立方米，仅为全省平均值的33%</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 xml:space="preserve">亩均水资源量348 </w:t>
      </w:r>
      <w:r>
        <w:rPr>
          <w:rFonts w:hint="eastAsia" w:eastAsia="宋体" w:cs="Times New Roman" w:asciiTheme="minorEastAsia" w:hAnsiTheme="minorEastAsia"/>
          <w:kern w:val="0"/>
          <w:sz w:val="24"/>
          <w:szCs w:val="24"/>
        </w:rPr>
        <w:t>立方米，不足全省平均值的</w:t>
      </w:r>
      <w:r>
        <w:rPr>
          <w:rFonts w:eastAsia="宋体" w:cs="Times New Roman" w:asciiTheme="minorEastAsia" w:hAnsiTheme="minorEastAsia"/>
          <w:kern w:val="0"/>
          <w:sz w:val="24"/>
          <w:szCs w:val="24"/>
        </w:rPr>
        <w:t>11%</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水资源时空分布不均，降水量和河川径流量主要集中在汛期，冬春季节又常易发生干旱缺水，常造成夏秋洪涝，冬干及春旱等，对开发利用水资源极为不利。全县</w:t>
      </w:r>
      <w:r>
        <w:rPr>
          <w:rFonts w:hint="eastAsia" w:eastAsia="宋体" w:cs="Times New Roman" w:asciiTheme="minorEastAsia" w:hAnsiTheme="minorEastAsia"/>
          <w:kern w:val="0"/>
          <w:sz w:val="24"/>
          <w:szCs w:val="24"/>
          <w:lang w:eastAsia="zh-CN"/>
        </w:rPr>
        <w:t>已建成</w:t>
      </w:r>
      <w:r>
        <w:rPr>
          <w:rFonts w:eastAsia="宋体" w:cs="Times New Roman" w:asciiTheme="minorEastAsia" w:hAnsiTheme="minorEastAsia"/>
          <w:kern w:val="0"/>
          <w:sz w:val="24"/>
          <w:szCs w:val="24"/>
        </w:rPr>
        <w:t>成的引水、蓄水工程，对水资源的利用创造了很好的条件，但未从根本上解决水资源开发利用不充分、时空分布不均等问题。</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在保护生态的前提下，以自然河湖水系、调蓄工程和引排工程为依托，合理兴建必要的引调水工程，加强末梢水系连通和坑塘水体保护治理，全面推进</w:t>
      </w:r>
      <w:r>
        <w:rPr>
          <w:rFonts w:hint="eastAsia" w:eastAsia="宋体" w:cs="Times New Roman" w:asciiTheme="minorEastAsia" w:hAnsiTheme="minorEastAsia"/>
          <w:kern w:val="0"/>
          <w:sz w:val="24"/>
          <w:szCs w:val="24"/>
        </w:rPr>
        <w:t>毗河工程引水干渠、</w:t>
      </w:r>
      <w:r>
        <w:rPr>
          <w:rFonts w:eastAsia="宋体" w:cs="Times New Roman" w:asciiTheme="minorEastAsia" w:hAnsiTheme="minorEastAsia"/>
          <w:kern w:val="0"/>
          <w:sz w:val="24"/>
          <w:szCs w:val="24"/>
        </w:rPr>
        <w:t>接继光水库右干渠、接射洪金华引水工程的建设工作，保障城乡用水需求。在水污染治理方面，以控制和削减总磷、氨氮、化学需氧量污染物为主攻方向，加快推进片区废水处理设施提质增效</w:t>
      </w:r>
      <w:r>
        <w:rPr>
          <w:rFonts w:hint="eastAsia" w:eastAsia="宋体" w:cs="Times New Roman" w:asciiTheme="minorEastAsia" w:hAnsiTheme="minorEastAsia"/>
          <w:kern w:val="0"/>
          <w:sz w:val="24"/>
          <w:szCs w:val="24"/>
        </w:rPr>
        <w:t>，以郪江、</w:t>
      </w:r>
      <w:r>
        <w:rPr>
          <w:rFonts w:eastAsia="宋体" w:cs="Times New Roman" w:asciiTheme="minorEastAsia" w:hAnsiTheme="minorEastAsia"/>
          <w:kern w:val="0"/>
          <w:sz w:val="24"/>
          <w:szCs w:val="24"/>
        </w:rPr>
        <w:t>马力河流域为重点整治区域，全面改善水环境质量。</w:t>
      </w:r>
    </w:p>
    <w:p>
      <w:pPr>
        <w:pStyle w:val="36"/>
        <w:numPr>
          <w:ilvl w:val="0"/>
          <w:numId w:val="4"/>
        </w:numPr>
        <w:spacing w:beforeLines="50" w:afterLines="50"/>
        <w:ind w:left="420" w:firstLineChars="0"/>
        <w:jc w:val="center"/>
        <w:rPr>
          <w:rFonts w:ascii="黑体" w:hAnsi="黑体" w:eastAsia="黑体"/>
          <w:b w:val="0"/>
          <w:kern w:val="2"/>
        </w:rPr>
      </w:pPr>
      <w:bookmarkStart w:id="12" w:name="_Toc166772161"/>
      <w:r>
        <w:rPr>
          <w:rFonts w:hint="eastAsia" w:ascii="黑体" w:hAnsi="黑体" w:eastAsia="黑体"/>
          <w:b w:val="0"/>
          <w:kern w:val="2"/>
        </w:rPr>
        <w:t>发展机遇分析</w:t>
      </w:r>
      <w:bookmarkEnd w:id="12"/>
    </w:p>
    <w:p>
      <w:pPr>
        <w:adjustRightInd w:val="0"/>
        <w:snapToGrid w:val="0"/>
        <w:spacing w:line="360" w:lineRule="auto"/>
        <w:ind w:firstLine="482" w:firstLineChars="200"/>
        <w:rPr>
          <w:rFonts w:ascii="黑体" w:hAnsi="黑体" w:eastAsia="黑体" w:cs="Times New Roman"/>
          <w:b/>
          <w:kern w:val="0"/>
          <w:sz w:val="24"/>
          <w:szCs w:val="24"/>
        </w:rPr>
      </w:pPr>
      <w:r>
        <w:rPr>
          <w:rFonts w:hint="eastAsia" w:ascii="黑体" w:hAnsi="黑体" w:eastAsia="黑体" w:cs="Times New Roman"/>
          <w:b/>
          <w:kern w:val="0"/>
          <w:sz w:val="24"/>
          <w:szCs w:val="24"/>
        </w:rPr>
        <w:t>一、上位规划和相关规划发展要求</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（一）《遂宁市国土空间总体规划（</w:t>
      </w:r>
      <w:r>
        <w:rPr>
          <w:rFonts w:eastAsia="宋体" w:cs="Times New Roman" w:asciiTheme="minorEastAsia" w:hAnsiTheme="minorEastAsia"/>
          <w:b/>
          <w:kern w:val="0"/>
          <w:sz w:val="24"/>
          <w:szCs w:val="24"/>
        </w:rPr>
        <w:t>20</w:t>
      </w:r>
      <w:r>
        <w:rPr>
          <w:rFonts w:hint="eastAsia" w:eastAsia="宋体" w:cs="Times New Roman" w:asciiTheme="minorEastAsia" w:hAnsiTheme="minorEastAsia"/>
          <w:b/>
          <w:kern w:val="0"/>
          <w:sz w:val="24"/>
          <w:szCs w:val="24"/>
        </w:rPr>
        <w:t>21</w:t>
      </w:r>
      <w:r>
        <w:rPr>
          <w:rFonts w:eastAsia="宋体" w:cs="Times New Roman" w:asciiTheme="minorEastAsia" w:hAnsiTheme="minorEastAsia"/>
          <w:b/>
          <w:kern w:val="0"/>
          <w:sz w:val="24"/>
          <w:szCs w:val="24"/>
        </w:rPr>
        <w:t>-2035年</w:t>
      </w:r>
      <w:r>
        <w:rPr>
          <w:rFonts w:hint="eastAsia" w:eastAsia="宋体" w:cs="Times New Roman" w:asciiTheme="minorEastAsia" w:hAnsiTheme="minorEastAsia"/>
          <w:b/>
          <w:kern w:val="0"/>
          <w:sz w:val="24"/>
          <w:szCs w:val="24"/>
        </w:rPr>
        <w:t>）》</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1、总体发展目标</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规划打造遂宁市为</w:t>
      </w:r>
      <w:r>
        <w:rPr>
          <w:sz w:val="23"/>
          <w:szCs w:val="23"/>
        </w:rPr>
        <w:t>成渝中部现代化建设示范市</w:t>
      </w:r>
      <w:r>
        <w:rPr>
          <w:rFonts w:eastAsia="宋体" w:cs="Times New Roman" w:asciiTheme="minorEastAsia" w:hAnsiTheme="minorEastAsia"/>
          <w:kern w:val="0"/>
          <w:sz w:val="24"/>
          <w:szCs w:val="24"/>
        </w:rPr>
        <w:t>。</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2、人口和城镇化建设</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规划至2025年，全市常住人口290万人，城镇人口约192万人，城镇化率约66%；至2035年，全市常住人口规模控制在315万人以内，城镇人口约245万人，城镇化水平约78%。</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3、构建“一环两区六带多园”的农业发展格局</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推动川渝毗邻地区合作，建设国家优质粮油保障基地、优质生猪生产基地，打造渝遂绵优质蔬菜生产带。</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调整优化现代农业发展空间布局，构建“一环两区六带多园”全域农业发展格局。“一环”为农文旅融合产业大环线；“两区”为建设农产品加工区和仓储物流聚集区；“六带”分别为优质粮油产业带、现代畜禽产业带、特色水果产业带、绿色菌菜产业带、道地中药材产业带、生态水产产业带；“多园”即推动建成49个现代农业园区。</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4、</w:t>
      </w:r>
      <w:r>
        <w:rPr>
          <w:rFonts w:eastAsia="宋体" w:cs="Times New Roman" w:asciiTheme="minorEastAsia" w:hAnsiTheme="minorEastAsia"/>
          <w:kern w:val="0"/>
          <w:sz w:val="24"/>
          <w:szCs w:val="24"/>
        </w:rPr>
        <w:t>构建“一核三片多点”城镇发展格局</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优化县域城镇人口布局，充分发挥县城集聚辐射带动作用，深入推进县域城镇化补短板，推动公服、市政、产业等设施提档升级，打造新型城镇化主战场</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大英围绕文旅和油气化工产业基础，打造“成遂协同发展先行区”和“全国知名旅游目的地”。</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5、</w:t>
      </w:r>
      <w:r>
        <w:rPr>
          <w:rFonts w:eastAsia="宋体" w:cs="Times New Roman" w:asciiTheme="minorEastAsia" w:hAnsiTheme="minorEastAsia"/>
          <w:kern w:val="0"/>
          <w:sz w:val="24"/>
          <w:szCs w:val="24"/>
        </w:rPr>
        <w:t>形成“1+3+18+10+31”市域城镇规模等级体系</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突出核心引领、区域联动、节点支撑、功能成网，构建“市域中心-县域中心-中心镇-副中心镇-一般镇”五级城镇体系。</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大英县城是推进城乡融合发展和新型工业化的重要阵地，规划河边镇为全市</w:t>
      </w:r>
      <w:r>
        <w:rPr>
          <w:rFonts w:hint="eastAsia" w:eastAsia="宋体" w:cs="Times New Roman" w:asciiTheme="minorEastAsia" w:hAnsiTheme="minorEastAsia"/>
          <w:kern w:val="0"/>
          <w:sz w:val="24"/>
          <w:szCs w:val="24"/>
        </w:rPr>
        <w:t>18个中心镇之一，象山镇为全市10个副中心之一，</w:t>
      </w:r>
      <w:r>
        <w:rPr>
          <w:rFonts w:eastAsia="宋体" w:cs="Times New Roman" w:asciiTheme="minorEastAsia" w:hAnsiTheme="minorEastAsia"/>
          <w:kern w:val="0"/>
          <w:sz w:val="24"/>
          <w:szCs w:val="24"/>
        </w:rPr>
        <w:t>与中心镇共同承担辐射乡镇片区职能</w:t>
      </w:r>
      <w:r>
        <w:rPr>
          <w:rFonts w:hint="eastAsia" w:eastAsia="宋体" w:cs="Times New Roman" w:asciiTheme="minorEastAsia" w:hAnsiTheme="minorEastAsia"/>
          <w:kern w:val="0"/>
          <w:sz w:val="24"/>
          <w:szCs w:val="24"/>
        </w:rPr>
        <w:t>。规划象山镇为商贸型城镇，河边玉峰为农业型城镇。</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6</w:t>
      </w:r>
      <w:r>
        <w:rPr>
          <w:rFonts w:eastAsia="宋体" w:cs="Times New Roman" w:asciiTheme="minorEastAsia" w:hAnsiTheme="minorEastAsia"/>
          <w:kern w:val="0"/>
          <w:sz w:val="24"/>
          <w:szCs w:val="24"/>
        </w:rPr>
        <w:t>、对大英县规划</w:t>
      </w:r>
      <w:r>
        <w:rPr>
          <w:rFonts w:hint="eastAsia" w:eastAsia="宋体" w:cs="Times New Roman" w:asciiTheme="minorEastAsia" w:hAnsiTheme="minorEastAsia"/>
          <w:kern w:val="0"/>
          <w:sz w:val="24"/>
          <w:szCs w:val="24"/>
        </w:rPr>
        <w:t>指引</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（1）</w:t>
      </w:r>
      <w:r>
        <w:rPr>
          <w:rFonts w:eastAsia="宋体" w:cs="Times New Roman" w:asciiTheme="minorEastAsia" w:hAnsiTheme="minorEastAsia"/>
          <w:kern w:val="0"/>
          <w:sz w:val="24"/>
          <w:szCs w:val="24"/>
        </w:rPr>
        <w:t>目标定位指引</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规划支持大英县围绕“建设绿色油气化工新材料示范基地、天府旅游名县、全域旅游示范区”目标定位，重点发展能源化工、新材料产业集群，大力发展现代旅游业，率先融入巴蜀文化旅游走廊。规划至2035年，大英县常住人口规模应控制在38万人以内。城镇人口26万人，农村人口12万人，城区人口19-22万人；按照45万服务人口容量配置城市交通基础设施、公共服务设施及市政基础设施。</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（2）</w:t>
      </w:r>
      <w:r>
        <w:rPr>
          <w:rFonts w:eastAsia="宋体" w:cs="Times New Roman" w:asciiTheme="minorEastAsia" w:hAnsiTheme="minorEastAsia"/>
          <w:kern w:val="0"/>
          <w:sz w:val="24"/>
          <w:szCs w:val="24"/>
        </w:rPr>
        <w:t>底线管控</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规划至2035年，大英县生态保护红线面积1.36平方公里，新增生态修复面积252.45平方公里，永久基本农田保护面积不低于262.96平方公里（39.4444万亩），城镇开发边界面积33.60平方公里。</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（3）</w:t>
      </w:r>
      <w:r>
        <w:rPr>
          <w:rFonts w:eastAsia="宋体" w:cs="Times New Roman" w:asciiTheme="minorEastAsia" w:hAnsiTheme="minorEastAsia"/>
          <w:kern w:val="0"/>
          <w:sz w:val="24"/>
          <w:szCs w:val="24"/>
        </w:rPr>
        <w:t>指标约束</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规划至2035年，大英县全域耕地保有量不低于288.87平方公里（43.3303万亩），森林覆盖率不低于17.94%，湿地面积不低于0.54平方公里，湿地保护率9.1%，用水总量不超过1.96亿立方米，中心城区人均城镇建设用地面积不超过100平方米，道路网密度不低于7千米/平方公里，公园绿地、广场（400平方米以上）步行5分钟覆盖率不低于90%。</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（4）</w:t>
      </w:r>
      <w:r>
        <w:rPr>
          <w:rFonts w:eastAsia="宋体" w:cs="Times New Roman" w:asciiTheme="minorEastAsia" w:hAnsiTheme="minorEastAsia"/>
          <w:kern w:val="0"/>
          <w:sz w:val="24"/>
          <w:szCs w:val="24"/>
        </w:rPr>
        <w:t>名录管理：规划严格保护2处国家级文物保护单位、8处省级文物保护单位、10处市级文物保护单位，并实施定期评估增补。</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6</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发展启示</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成遂协同绿色发展片属于遂宁市“一环两区六带多园”农业开发格局的重要组成部分，在强化优势特色粮油功能区建设的基础上可打造一二三产业融合发展先导区</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加快发展蓬乐路县级现代农业园区及特色园区建设，以为服务成都平原经济区为导向，以实现共同富裕为目标</w:t>
      </w:r>
      <w:r>
        <w:rPr>
          <w:rFonts w:hint="eastAsia" w:eastAsia="宋体" w:cs="Times New Roman" w:asciiTheme="minorEastAsia" w:hAnsiTheme="minorEastAsia"/>
          <w:kern w:val="0"/>
          <w:sz w:val="24"/>
          <w:szCs w:val="24"/>
        </w:rPr>
        <w:t>，可</w:t>
      </w:r>
      <w:r>
        <w:rPr>
          <w:rFonts w:eastAsia="宋体" w:cs="Times New Roman" w:asciiTheme="minorEastAsia" w:hAnsiTheme="minorEastAsia"/>
          <w:kern w:val="0"/>
          <w:sz w:val="24"/>
          <w:szCs w:val="24"/>
        </w:rPr>
        <w:t>推进休闲农业与乡村旅游示范区建设。</w:t>
      </w:r>
    </w:p>
    <w:p>
      <w:pPr>
        <w:adjustRightInd w:val="0"/>
        <w:snapToGrid w:val="0"/>
        <w:spacing w:line="360" w:lineRule="auto"/>
        <w:ind w:firstLine="480" w:firstLineChars="200"/>
        <w:rPr>
          <w:rFonts w:cs="Times New Roman" w:asciiTheme="minorEastAsia" w:hAnsiTheme="minorEastAsia"/>
          <w:kern w:val="0"/>
          <w:sz w:val="24"/>
          <w:szCs w:val="24"/>
          <w:lang w:eastAsia="zh-TW"/>
        </w:rPr>
      </w:pPr>
      <w:r>
        <w:rPr>
          <w:rFonts w:eastAsia="宋体" w:cs="Times New Roman" w:asciiTheme="minorEastAsia" w:hAnsiTheme="minorEastAsia"/>
          <w:kern w:val="0"/>
          <w:sz w:val="24"/>
          <w:szCs w:val="24"/>
        </w:rPr>
        <w:t>在城镇体系方面，确定河边镇为市域中心镇</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象山镇为市域副中心镇，玉峰镇为一般镇。确定象山镇为商贸型城镇，河边镇和玉峰镇为农业型城镇。</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未来全县城镇化率约56%，根据《推动以县城为载体的城镇化建设的意见》</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县城是我国城镇体系的重要组成部分，是城乡融合发展的关键支撑，对促进新型城镇化建设、构建新型工农城乡关系具有重要意义。未来随着大英县城特色优势产业的培育发展，市政设施体系的完善、公共服务供给不断强化，片区未来农村人口会大量减少。</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（二）《大英县国民经济和社会发展第十四个五年规划和二〇三五年远景</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目标纲要》</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1</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文旅发展</w:t>
      </w:r>
    </w:p>
    <w:p>
      <w:pPr>
        <w:adjustRightInd w:val="0"/>
        <w:snapToGrid w:val="0"/>
        <w:spacing w:line="360" w:lineRule="auto"/>
        <w:ind w:firstLine="480" w:firstLineChars="200"/>
        <w:rPr>
          <w:rFonts w:cs="Times New Roman" w:asciiTheme="minorEastAsia" w:hAnsiTheme="minorEastAsia"/>
          <w:kern w:val="0"/>
          <w:sz w:val="24"/>
          <w:szCs w:val="24"/>
          <w:lang w:eastAsia="zh-TW"/>
        </w:rPr>
      </w:pPr>
      <w:r>
        <w:rPr>
          <w:rFonts w:eastAsia="宋体" w:cs="Times New Roman" w:asciiTheme="minorEastAsia" w:hAnsiTheme="minorEastAsia"/>
          <w:kern w:val="0"/>
          <w:sz w:val="24"/>
          <w:szCs w:val="24"/>
        </w:rPr>
        <w:t>推动“</w:t>
      </w:r>
      <w:r>
        <w:rPr>
          <w:rFonts w:hint="eastAsia" w:eastAsia="宋体" w:cs="Times New Roman" w:asciiTheme="minorEastAsia" w:hAnsiTheme="minorEastAsia"/>
          <w:kern w:val="0"/>
          <w:sz w:val="24"/>
          <w:szCs w:val="24"/>
        </w:rPr>
        <w:t>旅游</w:t>
      </w:r>
      <w:r>
        <w:rPr>
          <w:rFonts w:eastAsia="宋体" w:cs="Times New Roman" w:asciiTheme="minorEastAsia" w:hAnsiTheme="minorEastAsia"/>
          <w:kern w:val="0"/>
          <w:sz w:val="24"/>
          <w:szCs w:val="24"/>
        </w:rPr>
        <w:t>+”“+</w:t>
      </w:r>
      <w:r>
        <w:rPr>
          <w:rFonts w:hint="eastAsia" w:eastAsia="宋体" w:cs="Times New Roman" w:asciiTheme="minorEastAsia" w:hAnsiTheme="minorEastAsia"/>
          <w:kern w:val="0"/>
          <w:sz w:val="24"/>
          <w:szCs w:val="24"/>
        </w:rPr>
        <w:t>旅游</w:t>
      </w:r>
      <w:r>
        <w:rPr>
          <w:rFonts w:eastAsia="宋体" w:cs="Times New Roman" w:asciiTheme="minorEastAsia" w:hAnsiTheme="minorEastAsia"/>
          <w:kern w:val="0"/>
          <w:sz w:val="24"/>
          <w:szCs w:val="24"/>
        </w:rPr>
        <w:t>”双向发力，不断丰富文旅业态，打造产业发展新引擎。实施“</w:t>
      </w:r>
      <w:r>
        <w:rPr>
          <w:rFonts w:hint="eastAsia" w:eastAsia="宋体" w:cs="Times New Roman" w:asciiTheme="minorEastAsia" w:hAnsiTheme="minorEastAsia"/>
          <w:kern w:val="0"/>
          <w:sz w:val="24"/>
          <w:szCs w:val="24"/>
        </w:rPr>
        <w:t>旅游</w:t>
      </w:r>
      <w:r>
        <w:rPr>
          <w:rFonts w:eastAsia="宋体" w:cs="Times New Roman" w:asciiTheme="minorEastAsia" w:hAnsiTheme="minorEastAsia"/>
          <w:kern w:val="0"/>
          <w:sz w:val="24"/>
          <w:szCs w:val="24"/>
        </w:rPr>
        <w:t>+农业”融合工程，重点在蓬乐路、遂大快捷通道两条乡村旅游廊道沿线打造一批精品休闲农庄、乡村酒店、森林人家等新业态。推动“</w:t>
      </w:r>
      <w:r>
        <w:rPr>
          <w:rFonts w:hint="eastAsia" w:eastAsia="宋体" w:cs="Times New Roman" w:asciiTheme="minorEastAsia" w:hAnsiTheme="minorEastAsia"/>
          <w:kern w:val="0"/>
          <w:sz w:val="24"/>
          <w:szCs w:val="24"/>
        </w:rPr>
        <w:t>旅游</w:t>
      </w:r>
      <w:r>
        <w:rPr>
          <w:rFonts w:eastAsia="宋体" w:cs="Times New Roman" w:asciiTheme="minorEastAsia" w:hAnsiTheme="minorEastAsia"/>
          <w:kern w:val="0"/>
          <w:sz w:val="24"/>
          <w:szCs w:val="24"/>
        </w:rPr>
        <w:t>+研学”融合工程，立足本土特色资源，打造研学旅游基地。推动“</w:t>
      </w:r>
      <w:r>
        <w:rPr>
          <w:rFonts w:hint="eastAsia" w:eastAsia="宋体" w:cs="Times New Roman" w:asciiTheme="minorEastAsia" w:hAnsiTheme="minorEastAsia"/>
          <w:kern w:val="0"/>
          <w:sz w:val="24"/>
          <w:szCs w:val="24"/>
        </w:rPr>
        <w:t>旅游</w:t>
      </w:r>
      <w:r>
        <w:rPr>
          <w:rFonts w:eastAsia="宋体" w:cs="Times New Roman" w:asciiTheme="minorEastAsia" w:hAnsiTheme="minorEastAsia"/>
          <w:kern w:val="0"/>
          <w:sz w:val="24"/>
          <w:szCs w:val="24"/>
        </w:rPr>
        <w:t>+</w:t>
      </w:r>
      <w:r>
        <w:rPr>
          <w:rFonts w:hint="eastAsia" w:eastAsia="宋体" w:cs="Times New Roman" w:asciiTheme="minorEastAsia" w:hAnsiTheme="minorEastAsia"/>
          <w:kern w:val="0"/>
          <w:sz w:val="24"/>
          <w:szCs w:val="24"/>
        </w:rPr>
        <w:t>体育</w:t>
      </w:r>
      <w:r>
        <w:rPr>
          <w:rFonts w:eastAsia="宋体" w:cs="Times New Roman" w:asciiTheme="minorEastAsia" w:hAnsiTheme="minorEastAsia"/>
          <w:kern w:val="0"/>
          <w:sz w:val="24"/>
          <w:szCs w:val="24"/>
        </w:rPr>
        <w:t>”融合工程，建设一批健身绿道、自行车道、登山步道等设施，打造马拉松等系列体育赛事品牌，培育一批复合型、特色化体育旅游产品。</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2</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加快服务业发展</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优化城乡商贸服务体系，重点建设县城商贸主中心和卓筒井镇、隆盛镇、回马镇、象山镇、河边镇五大重点镇商贸</w:t>
      </w:r>
      <w:r>
        <w:rPr>
          <w:rFonts w:hint="eastAsia" w:eastAsia="宋体" w:cs="Times New Roman" w:asciiTheme="minorEastAsia" w:hAnsiTheme="minorEastAsia"/>
          <w:kern w:val="0"/>
          <w:sz w:val="24"/>
          <w:szCs w:val="24"/>
        </w:rPr>
        <w:t>副</w:t>
      </w:r>
      <w:r>
        <w:rPr>
          <w:rFonts w:eastAsia="宋体" w:cs="Times New Roman" w:asciiTheme="minorEastAsia" w:hAnsiTheme="minorEastAsia"/>
          <w:kern w:val="0"/>
          <w:sz w:val="24"/>
          <w:szCs w:val="24"/>
        </w:rPr>
        <w:t>中心，提升全县农贸市场水平。建设电子商务大楼，依托电子商务，打造高层次、高水平的农产品批发市场。争创国家级电子商务进农村综合示范县。</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3</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优化国土空间总体布局</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以县城区为核心，成南高速、达成铁路（复线）和遂大快速通道为东西向发展主轴，遂简快速和蓬乐路为南北向发展次轴，着力建设象山—蓬莱北现代农业发展区、玉峰—蓬莱—</w:t>
      </w:r>
      <w:r>
        <w:rPr>
          <w:rFonts w:hint="eastAsia" w:eastAsia="宋体" w:cs="Times New Roman" w:asciiTheme="minorEastAsia" w:hAnsiTheme="minorEastAsia"/>
          <w:kern w:val="0"/>
          <w:sz w:val="24"/>
          <w:szCs w:val="24"/>
        </w:rPr>
        <w:t>隆盛</w:t>
      </w:r>
      <w:r>
        <w:rPr>
          <w:rFonts w:eastAsia="宋体" w:cs="Times New Roman" w:asciiTheme="minorEastAsia" w:hAnsiTheme="minorEastAsia"/>
          <w:kern w:val="0"/>
          <w:sz w:val="24"/>
          <w:szCs w:val="24"/>
        </w:rPr>
        <w:t>—回马城乡</w:t>
      </w:r>
      <w:r>
        <w:rPr>
          <w:rFonts w:hint="eastAsia" w:eastAsia="宋体" w:cs="Times New Roman" w:asciiTheme="minorEastAsia" w:hAnsiTheme="minorEastAsia"/>
          <w:kern w:val="0"/>
          <w:sz w:val="24"/>
          <w:szCs w:val="24"/>
          <w:lang w:val="en-US" w:eastAsia="zh-CN"/>
        </w:rPr>
        <w:t>融合</w:t>
      </w:r>
      <w:r>
        <w:rPr>
          <w:rFonts w:eastAsia="宋体" w:cs="Times New Roman" w:asciiTheme="minorEastAsia" w:hAnsiTheme="minorEastAsia"/>
          <w:kern w:val="0"/>
          <w:sz w:val="24"/>
          <w:szCs w:val="24"/>
        </w:rPr>
        <w:t>发展区、河边—</w:t>
      </w:r>
      <w:r>
        <w:rPr>
          <w:rFonts w:hint="eastAsia" w:eastAsia="宋体" w:cs="Times New Roman" w:asciiTheme="minorEastAsia" w:hAnsiTheme="minorEastAsia"/>
          <w:kern w:val="0"/>
          <w:sz w:val="24"/>
          <w:szCs w:val="24"/>
        </w:rPr>
        <w:t>卓筒井</w:t>
      </w:r>
      <w:r>
        <w:rPr>
          <w:rFonts w:eastAsia="宋体" w:cs="Times New Roman" w:asciiTheme="minorEastAsia" w:hAnsiTheme="minorEastAsia"/>
          <w:kern w:val="0"/>
          <w:sz w:val="24"/>
          <w:szCs w:val="24"/>
        </w:rPr>
        <w:t>—</w:t>
      </w:r>
      <w:r>
        <w:rPr>
          <w:rFonts w:hint="eastAsia" w:eastAsia="宋体" w:cs="Times New Roman" w:asciiTheme="minorEastAsia" w:hAnsiTheme="minorEastAsia"/>
          <w:kern w:val="0"/>
          <w:sz w:val="24"/>
          <w:szCs w:val="24"/>
        </w:rPr>
        <w:t>天保</w:t>
      </w:r>
      <w:r>
        <w:rPr>
          <w:rFonts w:eastAsia="宋体" w:cs="Times New Roman" w:asciiTheme="minorEastAsia" w:hAnsiTheme="minorEastAsia"/>
          <w:kern w:val="0"/>
          <w:sz w:val="24"/>
          <w:szCs w:val="24"/>
        </w:rPr>
        <w:t>—金元现代农业与乡村旅游发展区，构建“一核两轴三区”城镇总体发展格局，全力打造县域发展共同体。</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4、乡村振兴</w:t>
      </w:r>
    </w:p>
    <w:p>
      <w:pPr>
        <w:adjustRightInd w:val="0"/>
        <w:snapToGrid w:val="0"/>
        <w:spacing w:line="360" w:lineRule="auto"/>
        <w:ind w:firstLine="480" w:firstLineChars="200"/>
        <w:rPr>
          <w:rFonts w:cs="Times New Roman" w:asciiTheme="minorEastAsia" w:hAnsiTheme="minorEastAsia"/>
          <w:kern w:val="0"/>
          <w:sz w:val="24"/>
          <w:szCs w:val="24"/>
          <w:lang w:eastAsia="zh-TW"/>
        </w:rPr>
      </w:pPr>
      <w:r>
        <w:rPr>
          <w:rFonts w:eastAsia="宋体" w:cs="Times New Roman" w:asciiTheme="minorEastAsia" w:hAnsiTheme="minorEastAsia"/>
          <w:kern w:val="0"/>
          <w:sz w:val="24"/>
          <w:szCs w:val="24"/>
        </w:rPr>
        <w:t>以保障粮食安全和生猪等重要农产品有效供给为核心，在稳定粮油产量的前提下，加快科技投入和结构调整。积极发展品牌大米、优质小麦、优质玉米和优质油菜。实施绿色粮油增产增收示范工程，依托祥凤寨水库、寸塘口水库、星花水库、四五水库、郪江水资源优势，加快推进标准化粮食生产基地建设。以培优做强智水香大米等粮油品牌为抓手，大力发展绿色优质粮油，推动绿色粮食提质增效。</w:t>
      </w:r>
    </w:p>
    <w:p>
      <w:pPr>
        <w:adjustRightInd w:val="0"/>
        <w:snapToGrid w:val="0"/>
        <w:spacing w:line="360" w:lineRule="auto"/>
        <w:ind w:firstLine="480" w:firstLineChars="200"/>
        <w:rPr>
          <w:rFonts w:cs="Times New Roman" w:asciiTheme="minorEastAsia" w:hAnsiTheme="minorEastAsia"/>
          <w:kern w:val="0"/>
          <w:sz w:val="24"/>
          <w:szCs w:val="24"/>
          <w:lang w:eastAsia="zh-TW"/>
        </w:rPr>
      </w:pPr>
      <w:r>
        <w:rPr>
          <w:rFonts w:hint="eastAsia" w:eastAsia="宋体" w:cs="Times New Roman" w:asciiTheme="minorEastAsia" w:hAnsiTheme="minorEastAsia"/>
          <w:kern w:val="0"/>
          <w:sz w:val="24"/>
          <w:szCs w:val="24"/>
        </w:rPr>
        <w:t>按照</w:t>
      </w:r>
      <w:r>
        <w:rPr>
          <w:rFonts w:eastAsia="宋体" w:cs="Times New Roman" w:asciiTheme="minorEastAsia" w:hAnsiTheme="minorEastAsia"/>
          <w:kern w:val="0"/>
          <w:sz w:val="24"/>
          <w:szCs w:val="24"/>
        </w:rPr>
        <w:t>“</w:t>
      </w:r>
      <w:r>
        <w:rPr>
          <w:rFonts w:hint="eastAsia" w:eastAsia="宋体" w:cs="Times New Roman" w:asciiTheme="minorEastAsia" w:hAnsiTheme="minorEastAsia"/>
          <w:kern w:val="0"/>
          <w:sz w:val="24"/>
          <w:szCs w:val="24"/>
        </w:rPr>
        <w:t>一村一品、多村一品</w:t>
      </w:r>
      <w:r>
        <w:rPr>
          <w:rFonts w:eastAsia="宋体" w:cs="Times New Roman" w:asciiTheme="minorEastAsia" w:hAnsiTheme="minorEastAsia"/>
          <w:kern w:val="0"/>
          <w:sz w:val="24"/>
          <w:szCs w:val="24"/>
        </w:rPr>
        <w:t>”“一镇一业、多镇一业”的思路，突出优质粮油、优质中药材、优质柑橘三大主导产业，实施“菜篮子”工程，依托回马、隆盛、象山涪江（郪江）沿河两岸水资源和土壤优势，着力打造“渝遂绵优质蔬菜生产建设带”，大力实施设施农业、智慧农业，打造成渝绿色有机农产品供给示范基地。</w:t>
      </w:r>
      <w:r>
        <w:rPr>
          <w:rFonts w:hint="eastAsia" w:eastAsia="宋体" w:cs="Times New Roman" w:asciiTheme="minorEastAsia" w:hAnsiTheme="minorEastAsia"/>
          <w:kern w:val="0"/>
          <w:sz w:val="24"/>
          <w:szCs w:val="24"/>
        </w:rPr>
        <w:t>依托融入</w:t>
      </w:r>
      <w:r>
        <w:rPr>
          <w:rFonts w:eastAsia="宋体" w:cs="Times New Roman" w:asciiTheme="minorEastAsia" w:hAnsiTheme="minorEastAsia"/>
          <w:kern w:val="0"/>
          <w:sz w:val="24"/>
          <w:szCs w:val="24"/>
        </w:rPr>
        <w:t>“川字号”“遂宁鲜”</w:t>
      </w:r>
      <w:r>
        <w:rPr>
          <w:rFonts w:hint="eastAsia" w:eastAsia="宋体" w:cs="Times New Roman" w:asciiTheme="minorEastAsia" w:hAnsiTheme="minorEastAsia"/>
          <w:kern w:val="0"/>
          <w:sz w:val="24"/>
          <w:szCs w:val="24"/>
        </w:rPr>
        <w:t>加快</w:t>
      </w:r>
      <w:r>
        <w:rPr>
          <w:rFonts w:eastAsia="宋体" w:cs="Times New Roman" w:asciiTheme="minorEastAsia" w:hAnsiTheme="minorEastAsia"/>
          <w:kern w:val="0"/>
          <w:sz w:val="24"/>
          <w:szCs w:val="24"/>
        </w:rPr>
        <w:t>“三品一标”特色农业品牌创建，用活河边白柠檬国家地理标志品牌</w:t>
      </w:r>
      <w:r>
        <w:rPr>
          <w:rFonts w:hint="eastAsia" w:eastAsia="宋体" w:cs="Times New Roman" w:asciiTheme="minorEastAsia" w:hAnsiTheme="minorEastAsia"/>
          <w:kern w:val="0"/>
          <w:sz w:val="24"/>
          <w:szCs w:val="24"/>
        </w:rPr>
        <w:t>。</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加大规划引领、项目招引、资金整合、装配提升和产业链条延伸力度，提档培优优质粮油、优质柑橘、优质中药材、优质青花椒、优质甜桃、优质柠檬、绿色蔬菜和种养循环、休闲农业9个现代农业产业园。</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5、区域市政设施</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加快建立公铁水运一体化的现代综合交通运输体系。协同推进成南高速扩容、遂德高速、三大乐（三台经大英至乐至）高速项目建设，积极推进大英至中江（国道350）公路建设，稳妥推进遂宁至大英城市公交和轨道交通建设</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打通镇际交通环线，促进象山镇、卓筒井镇、隆盛镇、天保镇等重要镇连接形成内循环，努力打造“三环九射七联络”区域内伞状骨架公路网，实现相邻镇半小时通达。</w:t>
      </w:r>
    </w:p>
    <w:p>
      <w:pPr>
        <w:adjustRightInd w:val="0"/>
        <w:snapToGrid w:val="0"/>
        <w:spacing w:line="360" w:lineRule="auto"/>
        <w:ind w:firstLine="480" w:firstLineChars="200"/>
        <w:rPr>
          <w:rFonts w:cs="Times New Roman" w:asciiTheme="minorEastAsia" w:hAnsiTheme="minorEastAsia"/>
          <w:kern w:val="0"/>
          <w:sz w:val="24"/>
          <w:szCs w:val="24"/>
          <w:lang w:eastAsia="zh-TW"/>
        </w:rPr>
      </w:pPr>
      <w:r>
        <w:rPr>
          <w:rFonts w:eastAsia="宋体" w:cs="Times New Roman" w:asciiTheme="minorEastAsia" w:hAnsiTheme="minorEastAsia"/>
          <w:kern w:val="0"/>
          <w:sz w:val="24"/>
          <w:szCs w:val="24"/>
        </w:rPr>
        <w:t>加快流域控制性水库建设，继续实施寸塘口、五五、星花三座中型水库枢纽除险加固整治工程</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推进城乡一体化规模化农村供水工程建设，完成星花、五五、寸塘口集中供水站扩建任务，改造镇乡集中供水站，进一步提升全县城乡供水能力。</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6、发展启示</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大英县</w:t>
      </w:r>
      <w:r>
        <w:rPr>
          <w:rFonts w:hint="eastAsia" w:eastAsia="宋体" w:cs="Times New Roman" w:asciiTheme="minorEastAsia" w:hAnsiTheme="minorEastAsia"/>
          <w:kern w:val="0"/>
          <w:sz w:val="24"/>
          <w:szCs w:val="24"/>
          <w:lang w:eastAsia="zh-CN"/>
        </w:rPr>
        <w:t>“</w:t>
      </w:r>
      <w:r>
        <w:rPr>
          <w:rFonts w:eastAsia="宋体" w:cs="Times New Roman" w:asciiTheme="minorEastAsia" w:hAnsiTheme="minorEastAsia"/>
          <w:kern w:val="0"/>
          <w:sz w:val="24"/>
          <w:szCs w:val="24"/>
        </w:rPr>
        <w:t>十四五</w:t>
      </w:r>
      <w:r>
        <w:rPr>
          <w:rFonts w:hint="eastAsia" w:eastAsia="宋体" w:cs="Times New Roman" w:asciiTheme="minorEastAsia" w:hAnsiTheme="minorEastAsia"/>
          <w:kern w:val="0"/>
          <w:sz w:val="24"/>
          <w:szCs w:val="24"/>
          <w:lang w:eastAsia="zh-CN"/>
        </w:rPr>
        <w:t>”</w:t>
      </w:r>
      <w:r>
        <w:rPr>
          <w:rFonts w:eastAsia="宋体" w:cs="Times New Roman" w:asciiTheme="minorEastAsia" w:hAnsiTheme="minorEastAsia"/>
          <w:kern w:val="0"/>
          <w:sz w:val="24"/>
          <w:szCs w:val="24"/>
        </w:rPr>
        <w:t>规划是全县人民的行动纲领，以及各级政府履行职责的重要依据和引导市场主体决策的重要参考，引领全县人民共同奋斗，奋力谱写社会主义现代化建设新篇章的重要文件</w:t>
      </w:r>
      <w:r>
        <w:rPr>
          <w:rFonts w:hint="eastAsia" w:eastAsia="宋体" w:cs="Times New Roman" w:asciiTheme="minorEastAsia" w:hAnsiTheme="minorEastAsia"/>
          <w:kern w:val="0"/>
          <w:sz w:val="24"/>
          <w:szCs w:val="24"/>
        </w:rPr>
        <w:t>，成遂</w:t>
      </w:r>
      <w:r>
        <w:rPr>
          <w:rFonts w:eastAsia="宋体" w:cs="Times New Roman" w:asciiTheme="minorEastAsia" w:hAnsiTheme="minorEastAsia"/>
          <w:kern w:val="0"/>
          <w:sz w:val="24"/>
          <w:szCs w:val="24"/>
        </w:rPr>
        <w:t>协同发展片区在未来全县的发展中，无论是从农产品供给、文旅打造、现代服务业、农业服务还是基础设施供给等方面</w:t>
      </w:r>
      <w:r>
        <w:rPr>
          <w:rFonts w:hint="eastAsia" w:eastAsia="宋体" w:cs="Times New Roman" w:asciiTheme="minorEastAsia" w:hAnsiTheme="minorEastAsia"/>
          <w:kern w:val="0"/>
          <w:sz w:val="24"/>
          <w:szCs w:val="24"/>
          <w:lang w:val="en-US" w:eastAsia="zh-CN"/>
        </w:rPr>
        <w:t>都</w:t>
      </w:r>
      <w:r>
        <w:rPr>
          <w:rFonts w:eastAsia="宋体" w:cs="Times New Roman" w:asciiTheme="minorEastAsia" w:hAnsiTheme="minorEastAsia"/>
          <w:kern w:val="0"/>
          <w:sz w:val="24"/>
          <w:szCs w:val="24"/>
        </w:rPr>
        <w:t>具有重要的地位</w:t>
      </w:r>
      <w:r>
        <w:rPr>
          <w:rFonts w:hint="eastAsia" w:eastAsia="宋体" w:cs="Times New Roman" w:asciiTheme="minorEastAsia" w:hAnsiTheme="minorEastAsia"/>
          <w:kern w:val="0"/>
          <w:sz w:val="24"/>
          <w:szCs w:val="24"/>
        </w:rPr>
        <w:t>。</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（三）《遂宁市县域内片区划分方案》</w:t>
      </w:r>
    </w:p>
    <w:p>
      <w:pPr>
        <w:adjustRightInd w:val="0"/>
        <w:snapToGrid w:val="0"/>
        <w:spacing w:line="360" w:lineRule="auto"/>
        <w:ind w:firstLine="480" w:firstLineChars="200"/>
        <w:rPr>
          <w:rFonts w:cs="Times New Roman" w:asciiTheme="minorEastAsia" w:hAnsiTheme="minorEastAsia"/>
          <w:kern w:val="0"/>
          <w:sz w:val="24"/>
          <w:szCs w:val="24"/>
          <w:lang w:eastAsia="zh-TW"/>
        </w:rPr>
      </w:pPr>
      <w:r>
        <w:rPr>
          <w:rFonts w:eastAsia="宋体" w:cs="Times New Roman" w:asciiTheme="minorEastAsia" w:hAnsiTheme="minorEastAsia"/>
          <w:kern w:val="0"/>
          <w:sz w:val="24"/>
          <w:szCs w:val="24"/>
        </w:rPr>
        <w:t>根据统筹推进全省乡村国土空间规划编制和两项改革“后半篇”文章工作会议精神，按照《中共四川省委办公厅、四川省人民政府办公厅印发〈关于全省县域内片区划分的指导意见〉〈关于以片区为单元编制乡村国土空间规划的指导意见&gt;</w:t>
      </w:r>
      <w:r>
        <w:rPr>
          <w:rFonts w:hint="eastAsia" w:eastAsia="宋体" w:cs="Times New Roman" w:asciiTheme="minorEastAsia" w:hAnsiTheme="minorEastAsia"/>
          <w:kern w:val="0"/>
          <w:sz w:val="24"/>
          <w:szCs w:val="24"/>
        </w:rPr>
        <w:t>的通知》</w:t>
      </w:r>
      <w:r>
        <w:rPr>
          <w:rFonts w:eastAsia="宋体" w:cs="Times New Roman" w:asciiTheme="minorEastAsia" w:hAnsiTheme="minorEastAsia"/>
          <w:kern w:val="0"/>
          <w:sz w:val="24"/>
          <w:szCs w:val="24"/>
        </w:rPr>
        <w:t>(川委厅〔2021]53号）要求，经市政府八届12次常务会、八届市委常委会第13次会议审议通过，形成遂宁市县域内片区划分方案。大英县划分为大英极核发展片区、遂大融城发展片区、成遂协同绿色发展片区3个乡镇级片区，平均每片辖3.33个乡镇(</w:t>
      </w:r>
      <w:r>
        <w:rPr>
          <w:rFonts w:hint="eastAsia" w:eastAsia="宋体" w:cs="Times New Roman" w:asciiTheme="minorEastAsia" w:hAnsiTheme="minorEastAsia"/>
          <w:kern w:val="0"/>
          <w:sz w:val="24"/>
          <w:szCs w:val="24"/>
        </w:rPr>
        <w:t>街道</w:t>
      </w:r>
      <w:r>
        <w:rPr>
          <w:rFonts w:eastAsia="宋体" w:cs="Times New Roman" w:asciiTheme="minorEastAsia" w:hAnsiTheme="minorEastAsia"/>
          <w:kern w:val="0"/>
          <w:sz w:val="24"/>
          <w:szCs w:val="24"/>
        </w:rPr>
        <w:t>)、平均面积233.66平方公里、平均户籍人口17.42</w:t>
      </w:r>
      <w:r>
        <w:rPr>
          <w:rFonts w:hint="eastAsia" w:eastAsia="宋体" w:cs="Times New Roman" w:asciiTheme="minorEastAsia" w:hAnsiTheme="minorEastAsia"/>
          <w:kern w:val="0"/>
          <w:sz w:val="24"/>
          <w:szCs w:val="24"/>
        </w:rPr>
        <w:t>万、平均常住人口</w:t>
      </w:r>
      <w:r>
        <w:rPr>
          <w:rFonts w:eastAsia="宋体" w:cs="Times New Roman" w:asciiTheme="minorEastAsia" w:hAnsiTheme="minorEastAsia"/>
          <w:kern w:val="0"/>
          <w:sz w:val="24"/>
          <w:szCs w:val="24"/>
        </w:rPr>
        <w:t>12.91</w:t>
      </w:r>
      <w:r>
        <w:rPr>
          <w:rFonts w:hint="eastAsia" w:eastAsia="宋体" w:cs="Times New Roman" w:asciiTheme="minorEastAsia" w:hAnsiTheme="minorEastAsia"/>
          <w:kern w:val="0"/>
          <w:sz w:val="24"/>
          <w:szCs w:val="24"/>
        </w:rPr>
        <w:t>万。</w:t>
      </w:r>
      <w:r>
        <w:rPr>
          <w:rFonts w:eastAsia="宋体" w:cs="Times New Roman" w:asciiTheme="minorEastAsia" w:hAnsiTheme="minorEastAsia"/>
          <w:kern w:val="0"/>
          <w:sz w:val="24"/>
          <w:szCs w:val="24"/>
        </w:rPr>
        <w:t>设中心镇2个，副中心镇3个。</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划定成遂协同绿色发展片区为农村片区，辖河边镇、象山镇和玉峰镇，幅员面积228.86</w:t>
      </w:r>
      <w:r>
        <w:rPr>
          <w:rFonts w:hint="eastAsia" w:eastAsia="宋体" w:cs="Times New Roman" w:asciiTheme="minorEastAsia" w:hAnsiTheme="minorEastAsia"/>
          <w:kern w:val="0"/>
          <w:sz w:val="24"/>
          <w:szCs w:val="24"/>
        </w:rPr>
        <w:t>平方公里，</w:t>
      </w:r>
      <w:r>
        <w:rPr>
          <w:rFonts w:eastAsia="宋体" w:cs="Times New Roman" w:asciiTheme="minorEastAsia" w:hAnsiTheme="minorEastAsia"/>
          <w:kern w:val="0"/>
          <w:sz w:val="24"/>
          <w:szCs w:val="24"/>
        </w:rPr>
        <w:t>功能定位为绿色发展片区</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确定河边镇为片区中心镇、象山镇为副中心镇、玉峰镇为一般镇。</w:t>
      </w:r>
      <w:r>
        <w:rPr>
          <w:rFonts w:hint="eastAsia" w:eastAsia="宋体" w:cs="Times New Roman" w:asciiTheme="minorEastAsia" w:hAnsiTheme="minorEastAsia"/>
          <w:kern w:val="0"/>
          <w:sz w:val="24"/>
          <w:szCs w:val="24"/>
        </w:rPr>
        <w:t>要求</w:t>
      </w:r>
      <w:r>
        <w:rPr>
          <w:rFonts w:eastAsia="宋体" w:cs="Times New Roman" w:asciiTheme="minorEastAsia" w:hAnsiTheme="minorEastAsia"/>
          <w:kern w:val="0"/>
          <w:sz w:val="24"/>
          <w:szCs w:val="24"/>
        </w:rPr>
        <w:t>立足“生态优先、协同发展”，在强化基本农田、生态保护的前提下，要求提升片区基础设施、公共服务、交通路网互联互通水平，完善农产品加工、冷链物流、商贸流通等配套，建设全省优质粮油示范区</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确定片区的主导产业为水稻、油菜、玉米、柠檬、商贸流通。</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（四）《大英县国土空间总体规划（2021</w:t>
      </w:r>
      <w:r>
        <w:rPr>
          <w:rFonts w:eastAsia="宋体" w:cs="Times New Roman" w:asciiTheme="minorEastAsia" w:hAnsiTheme="minorEastAsia"/>
          <w:b/>
          <w:kern w:val="0"/>
          <w:sz w:val="24"/>
          <w:szCs w:val="24"/>
        </w:rPr>
        <w:t>-2035</w:t>
      </w:r>
      <w:r>
        <w:rPr>
          <w:rFonts w:hint="eastAsia" w:eastAsia="宋体" w:cs="Times New Roman" w:asciiTheme="minorEastAsia" w:hAnsiTheme="minorEastAsia"/>
          <w:b/>
          <w:kern w:val="0"/>
          <w:sz w:val="24"/>
          <w:szCs w:val="24"/>
        </w:rPr>
        <w:t>）》</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1、城市目标和性质</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紧紧围绕“工业强县、文旅兴城”发展战略，加快推进融城发展与区域协同发展，积极融入成渝地区双城经济圈，加快建设“西部绿色油气融合发展样板区、全国知名旅游度假目的地、成渝发展主轴工业强县、全省城乡融合与乡村振兴示范县、联动渝遂发展的重要增长极”。</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2、</w:t>
      </w:r>
      <w:r>
        <w:rPr>
          <w:rFonts w:hint="eastAsia" w:eastAsia="宋体" w:cs="Times New Roman" w:asciiTheme="minorEastAsia" w:hAnsiTheme="minorEastAsia"/>
          <w:kern w:val="0"/>
          <w:sz w:val="24"/>
          <w:szCs w:val="24"/>
        </w:rPr>
        <w:t>构建“两带四廊、一核两轴、一环三区”的国土空间总体格局</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落实四川省和遂宁市区域发展战略、主体功能区划和新型城镇化战略，基于大英县自然地理格局和“双评价”结果，严格保护生态环境，强化人口和产业向县城集中，突出产业发展的重要性，尊重全县西、中、东三片的地区自然差异，规划构建“两带四廊、一核两轴、一环三区”的国土空间总体格局。</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3、强化基础，构建“两带三片五路”的现代农业空间格局</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以粮油、中药、水果、蔬菜等产业基地为基础，以中药材现代农业园区、柠檬现代农业园、柑橘现代农业园、甜桃现代农业园、九叶青花椒现代农业园、乡村休闲农业园、水产现代农业园区、种养循环产业园、绿色蔬菜产业园等现代</w:t>
      </w:r>
      <w:r>
        <w:rPr>
          <w:rFonts w:hint="eastAsia" w:eastAsia="宋体" w:cs="Times New Roman" w:asciiTheme="minorEastAsia" w:hAnsiTheme="minorEastAsia"/>
          <w:kern w:val="0"/>
          <w:sz w:val="24"/>
          <w:szCs w:val="24"/>
          <w:lang w:val="en-US" w:eastAsia="zh-CN"/>
        </w:rPr>
        <w:t>农</w:t>
      </w:r>
      <w:r>
        <w:rPr>
          <w:rFonts w:hint="eastAsia" w:eastAsia="宋体" w:cs="Times New Roman" w:asciiTheme="minorEastAsia" w:hAnsiTheme="minorEastAsia"/>
          <w:kern w:val="0"/>
          <w:sz w:val="24"/>
          <w:szCs w:val="24"/>
        </w:rPr>
        <w:t>业园区为载体，形成“两廊两片五路”的现代农业发展格局。</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3</w:t>
      </w:r>
      <w:r>
        <w:rPr>
          <w:rFonts w:eastAsia="宋体" w:cs="Times New Roman" w:asciiTheme="minorEastAsia" w:hAnsiTheme="minorEastAsia"/>
          <w:kern w:val="0"/>
          <w:sz w:val="24"/>
          <w:szCs w:val="24"/>
        </w:rPr>
        <w:t>、城镇开发边界</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河边镇开发边界</w:t>
      </w:r>
      <w:r>
        <w:rPr>
          <w:rFonts w:hint="eastAsia" w:eastAsia="宋体" w:cs="Times New Roman" w:asciiTheme="minorEastAsia" w:hAnsiTheme="minorEastAsia"/>
          <w:kern w:val="0"/>
          <w:sz w:val="24"/>
          <w:szCs w:val="24"/>
        </w:rPr>
        <w:t>52.09</w:t>
      </w:r>
      <w:r>
        <w:rPr>
          <w:rFonts w:eastAsia="宋体" w:cs="Times New Roman" w:asciiTheme="minorEastAsia" w:hAnsiTheme="minorEastAsia"/>
          <w:kern w:val="0"/>
          <w:sz w:val="24"/>
          <w:szCs w:val="24"/>
        </w:rPr>
        <w:t>公顷，集中建设区</w:t>
      </w:r>
      <w:r>
        <w:rPr>
          <w:rFonts w:hint="eastAsia" w:eastAsia="宋体" w:cs="Times New Roman" w:asciiTheme="minorEastAsia" w:hAnsiTheme="minorEastAsia"/>
          <w:kern w:val="0"/>
          <w:sz w:val="24"/>
          <w:szCs w:val="24"/>
        </w:rPr>
        <w:t>52.09</w:t>
      </w:r>
      <w:r>
        <w:rPr>
          <w:rFonts w:eastAsia="宋体" w:cs="Times New Roman" w:asciiTheme="minorEastAsia" w:hAnsiTheme="minorEastAsia"/>
          <w:kern w:val="0"/>
          <w:sz w:val="24"/>
          <w:szCs w:val="24"/>
        </w:rPr>
        <w:t>公顷</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象山镇开发边界</w:t>
      </w:r>
      <w:r>
        <w:rPr>
          <w:rFonts w:hint="eastAsia" w:eastAsia="宋体" w:cs="Times New Roman" w:asciiTheme="minorEastAsia" w:hAnsiTheme="minorEastAsia"/>
          <w:kern w:val="0"/>
          <w:sz w:val="24"/>
          <w:szCs w:val="24"/>
        </w:rPr>
        <w:t>56.77</w:t>
      </w:r>
      <w:r>
        <w:rPr>
          <w:rFonts w:eastAsia="宋体" w:cs="Times New Roman" w:asciiTheme="minorEastAsia" w:hAnsiTheme="minorEastAsia"/>
          <w:kern w:val="0"/>
          <w:sz w:val="24"/>
          <w:szCs w:val="24"/>
        </w:rPr>
        <w:t>公顷，其中</w:t>
      </w:r>
      <w:r>
        <w:rPr>
          <w:rFonts w:hint="eastAsia" w:eastAsia="宋体" w:cs="Times New Roman" w:asciiTheme="minorEastAsia" w:hAnsiTheme="minorEastAsia"/>
          <w:kern w:val="0"/>
          <w:sz w:val="24"/>
          <w:szCs w:val="24"/>
        </w:rPr>
        <w:t>镇区55.87公顷、其他0.9公顷；</w:t>
      </w:r>
      <w:r>
        <w:rPr>
          <w:rFonts w:eastAsia="宋体" w:cs="Times New Roman" w:asciiTheme="minorEastAsia" w:hAnsiTheme="minorEastAsia"/>
          <w:kern w:val="0"/>
          <w:sz w:val="24"/>
          <w:szCs w:val="24"/>
        </w:rPr>
        <w:t>玉峰镇开发边界</w:t>
      </w:r>
      <w:r>
        <w:rPr>
          <w:rFonts w:hint="eastAsia" w:eastAsia="宋体" w:cs="Times New Roman" w:asciiTheme="minorEastAsia" w:hAnsiTheme="minorEastAsia"/>
          <w:kern w:val="0"/>
          <w:sz w:val="24"/>
          <w:szCs w:val="24"/>
        </w:rPr>
        <w:t>68.40</w:t>
      </w:r>
      <w:r>
        <w:rPr>
          <w:rFonts w:eastAsia="宋体" w:cs="Times New Roman" w:asciiTheme="minorEastAsia" w:hAnsiTheme="minorEastAsia"/>
          <w:kern w:val="0"/>
          <w:sz w:val="24"/>
          <w:szCs w:val="24"/>
        </w:rPr>
        <w:t>公顷，</w:t>
      </w:r>
      <w:r>
        <w:rPr>
          <w:rFonts w:hint="eastAsia" w:eastAsia="宋体" w:cs="Times New Roman" w:asciiTheme="minorEastAsia" w:hAnsiTheme="minorEastAsia"/>
          <w:kern w:val="0"/>
          <w:sz w:val="24"/>
          <w:szCs w:val="24"/>
        </w:rPr>
        <w:t>其中</w:t>
      </w:r>
      <w:r>
        <w:rPr>
          <w:rFonts w:eastAsia="宋体" w:cs="Times New Roman" w:asciiTheme="minorEastAsia" w:hAnsiTheme="minorEastAsia"/>
          <w:kern w:val="0"/>
          <w:sz w:val="24"/>
          <w:szCs w:val="24"/>
        </w:rPr>
        <w:t>玉峰镇区</w:t>
      </w:r>
      <w:r>
        <w:rPr>
          <w:rFonts w:hint="eastAsia" w:eastAsia="宋体" w:cs="Times New Roman" w:asciiTheme="minorEastAsia" w:hAnsiTheme="minorEastAsia"/>
          <w:kern w:val="0"/>
          <w:sz w:val="24"/>
          <w:szCs w:val="24"/>
        </w:rPr>
        <w:t>40.26公顷、原智水场镇15.16公顷、原五方场镇（方平沟村）12.98公顷。</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4</w:t>
      </w:r>
      <w:r>
        <w:rPr>
          <w:rFonts w:hint="eastAsia" w:eastAsia="宋体" w:cs="Times New Roman" w:asciiTheme="minorEastAsia" w:hAnsiTheme="minorEastAsia"/>
          <w:kern w:val="0"/>
          <w:sz w:val="24"/>
          <w:szCs w:val="24"/>
        </w:rPr>
        <w:t>、强化基础，构建“两带三片五路”的现代农业空间格局</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以粮油、中药、水果、蔬菜等产业基地为基础，以中药材现代农业园区、柠檬现代农业园、柑橘现代农业园、甜桃现代农业园、九叶青花椒现代农业远、乡村休闲农业园、水产现代农业园区、种养循环产业园、绿色蔬菜产业园等现代农业园区为载体，形成“两廊两片五路”的现代农业发展格局。</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两带:以现状蓬乐路为轴带，串联现代农业园区和蓬乐路农业发展片区而形成的农业发展带，以江为轴带，串联象山、蓬莱、玉峰等现代农业园区而形成的农业发展带；</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三片: 即位于县域西部包括河边镇、象山镇和玉峰镇为主体的精品粮油复合产业示范片；位于县域东部以大英县中药材现代农业园区、绿色蔬菜现代农业园区和种植循环现代农业</w:t>
      </w:r>
      <w:r>
        <w:rPr>
          <w:rFonts w:hint="eastAsia" w:eastAsia="宋体" w:cs="Times New Roman" w:asciiTheme="minorEastAsia" w:hAnsiTheme="minorEastAsia"/>
          <w:kern w:val="0"/>
          <w:sz w:val="24"/>
          <w:szCs w:val="24"/>
          <w:lang w:val="en-US" w:eastAsia="zh-CN"/>
        </w:rPr>
        <w:t>园</w:t>
      </w:r>
      <w:r>
        <w:rPr>
          <w:rFonts w:hint="eastAsia" w:eastAsia="宋体" w:cs="Times New Roman" w:asciiTheme="minorEastAsia" w:hAnsiTheme="minorEastAsia"/>
          <w:kern w:val="0"/>
          <w:sz w:val="24"/>
          <w:szCs w:val="24"/>
        </w:rPr>
        <w:t>区为主体的遂大融城现代农业发展片，位于县域中南部，包括蓬莱镇、卓筒井镇部分区域，以柑现代农业园区和甜桃现代农业园区的蓬乐路巩固提升片。</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5、城多融合，加快推进新型城镇化</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以中心镇为支撑，加快推进卓筒井和隆盛、回马、河边、象山等中心镇建设作为县域就地就近城镇化的重要载体。其中，卓筒并镇以卓简并遗址公园为载体发展文旅产业；回马镇以经开区回马园区为载体发展农副产品加工及装备制造等；隆盛镇以现代农业产业为载体发展农副产品加工业；象山和河边以绿色生态农业为基础，发展商贸服务业。</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6、</w:t>
      </w:r>
      <w:r>
        <w:rPr>
          <w:rFonts w:hint="eastAsia" w:eastAsia="宋体" w:cs="Times New Roman" w:asciiTheme="minorEastAsia" w:hAnsiTheme="minorEastAsia"/>
          <w:kern w:val="0"/>
          <w:sz w:val="24"/>
          <w:szCs w:val="24"/>
        </w:rPr>
        <w:t>构建层次分明、分工明确的五级城镇村体系</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坚持以县城为中心，构建“中心城区-中心镇-一般镇-中心村-基层村”五级城镇村等级体系</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确定河边镇（农贸型）为中心镇，象山镇（商贸型）为副中心镇，玉峰镇为一般镇。</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7、产业引领，合理划分乡镇级片区</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统筹考虑全县资源</w:t>
      </w:r>
      <w:r>
        <w:rPr>
          <w:rFonts w:hint="eastAsia" w:eastAsia="宋体" w:cs="Times New Roman" w:asciiTheme="minorEastAsia" w:hAnsiTheme="minorEastAsia"/>
          <w:kern w:val="0"/>
          <w:sz w:val="24"/>
          <w:szCs w:val="24"/>
          <w:lang w:val="en-US" w:eastAsia="zh-CN"/>
        </w:rPr>
        <w:t>禀赋</w:t>
      </w:r>
      <w:r>
        <w:rPr>
          <w:rFonts w:hint="eastAsia" w:eastAsia="宋体" w:cs="Times New Roman" w:asciiTheme="minorEastAsia" w:hAnsiTheme="minorEastAsia"/>
          <w:kern w:val="0"/>
          <w:sz w:val="24"/>
          <w:szCs w:val="24"/>
        </w:rPr>
        <w:t>、交通区位、产业基础和未来发展需求，以产业振兴为目标，将全县划分为西、中、东三大乡镇级片区.</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西部成遂协同绿色发展片区: 重点</w:t>
      </w:r>
      <w:r>
        <w:rPr>
          <w:rFonts w:hint="eastAsia" w:eastAsia="宋体" w:cs="Times New Roman" w:asciiTheme="minorEastAsia" w:hAnsiTheme="minorEastAsia"/>
          <w:kern w:val="0"/>
          <w:sz w:val="24"/>
          <w:szCs w:val="24"/>
          <w:lang w:val="en-US" w:eastAsia="zh-CN"/>
        </w:rPr>
        <w:t>依托</w:t>
      </w:r>
      <w:r>
        <w:rPr>
          <w:rFonts w:hint="eastAsia" w:eastAsia="宋体" w:cs="Times New Roman" w:asciiTheme="minorEastAsia" w:hAnsiTheme="minorEastAsia"/>
          <w:kern w:val="0"/>
          <w:sz w:val="24"/>
          <w:szCs w:val="24"/>
        </w:rPr>
        <w:t>河边和象山城镇,对接成都发展粮油柠檬、中药材、核桃和蔬菜等特色农业。</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8</w:t>
      </w:r>
      <w:r>
        <w:rPr>
          <w:rFonts w:eastAsia="宋体" w:cs="Times New Roman" w:asciiTheme="minorEastAsia" w:hAnsiTheme="minorEastAsia"/>
          <w:kern w:val="0"/>
          <w:sz w:val="24"/>
          <w:szCs w:val="24"/>
        </w:rPr>
        <w:t>、县域市政基础设施</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（1）交通网络</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规划形成“两横、六纵、两环、九射”的公路网络布局。三大乐高速(S45)设象山、玉峰、河边三处出入口；规划保留大英县汽车客运中心站和 8 处镇客运站位置和规模取消智水长途客运，作为乡村公交客运场站。规划结合县域乡村公交建设在行政村布置招呼站，方便居民出行；规划建设祥凤寨旅游码头，发展水上旅游产业；</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（2）注重量水而行，推进重大水利基础设施建设</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加快推进县域重大水利基础设施建设，包括祥凤寨水库供水工程建设，涪江右岸大英县回马镇段防洪工程、星花水库中型灌区配套改造试点项目建设，星花水库、五五水库、寸塘口水库三座中型水库除险加固工程建设，都江堰大英灌区火井支渠工程、大英县都江隆盛镇民主段防洪治理工程等项目。</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（3）高效服务，提高能源供应与保障能力</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扩建隆盛、永乐及天保 3 座35 千伏变电站，保留红旗桥、河边及玉峰3 座 35 千伏变电站。气源以白末线为主，规划保留城区现状储配站，各乡镇建调压站。</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乡镇燃气采用中压一级制。单独设置的高压电力线走廊110 千伏15—25米，35 千伏15-20 米。中心城区除大英经开区外，高压电力线原则上采用地下电力通道方式实施建设高压输气干线在城市建设用地区域按单侧 50 米进行控制，次高压输气管按单侧 15 米进行控制。</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（4）智慧引领，加快市政基础设施建设</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扩建县城二水厂、星花、寸塘口及五五 4座区域供水厂，保留其他乡镇供水站，辐射延伸区域供水管网，形成多源互补、集散结合的全域联合供水体系。在合理利用祥凤寨水库、星花水库、寸塘口水库及五五水库水源的基础上，扩建寸塘口水库，推进涪江右岸引水工程和毗河引水二期工程，积极实施火井支渠、江平支渠、五五水库右干渠等都江堰灌区配套与节水改造工程。</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提升天保、金元、隆盛、卓筒井、河边、回马、玉峰及象山等 8 污水处理厂处理能力和尾水排放标准。县城和重点镇排水体制采用雨、污水分流制，现状建成区逐步改造为雨、污分流的排水体制；新区应按雨、污分流的排水体制建设。农村地区可根据实际情况就近接入城镇污水管网系统或单独建设污水处理设施处理污水。</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新建天保、金元、隆盛、卓筒井、河边、回马、玉峰及象山等 83 座垃圾压缩转运站并配套建设垃圾分类设施，全县生活垃圾回收利用后，由县城及各乡镇垃圾转运站运至射洪市垃圾焚烧发电厂进行处理处置。</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医疗垃圾、危险废弃物必须单独收集、运输和处理，规划保留县城现状危险废弃物处置中心，大英县无法自行处理处置的医疗垃圾、危险废弃物必须单独收集和运输，集中运至成都市医疗废物和危险固废处置中心进行处理处置。</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9</w:t>
      </w:r>
      <w:r>
        <w:rPr>
          <w:rFonts w:eastAsia="宋体" w:cs="Times New Roman" w:asciiTheme="minorEastAsia" w:hAnsiTheme="minorEastAsia"/>
          <w:kern w:val="0"/>
          <w:sz w:val="24"/>
          <w:szCs w:val="24"/>
        </w:rPr>
        <w:t>、规划启示</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由于大英县国土空间规划2019年启动编制，随着两项改革“后半篇”以片区（经济区）为单元编制乡村规划试点</w:t>
      </w:r>
      <w:r>
        <w:rPr>
          <w:rFonts w:hint="eastAsia" w:eastAsia="宋体" w:cs="Times New Roman" w:asciiTheme="minorEastAsia" w:hAnsiTheme="minorEastAsia"/>
          <w:kern w:val="0"/>
          <w:sz w:val="24"/>
          <w:szCs w:val="24"/>
        </w:rPr>
        <w:t>先行的</w:t>
      </w:r>
      <w:r>
        <w:rPr>
          <w:rFonts w:eastAsia="宋体" w:cs="Times New Roman" w:asciiTheme="minorEastAsia" w:hAnsiTheme="minorEastAsia"/>
          <w:kern w:val="0"/>
          <w:sz w:val="24"/>
          <w:szCs w:val="24"/>
        </w:rPr>
        <w:t>不断推进，以及</w:t>
      </w:r>
      <w:r>
        <w:rPr>
          <w:rFonts w:hint="eastAsia" w:eastAsia="宋体" w:cs="Times New Roman" w:asciiTheme="minorEastAsia" w:hAnsiTheme="minorEastAsia"/>
          <w:kern w:val="0"/>
          <w:sz w:val="24"/>
          <w:szCs w:val="24"/>
        </w:rPr>
        <w:t>大英县“三区三线”划定</w:t>
      </w:r>
      <w:r>
        <w:rPr>
          <w:rFonts w:eastAsia="宋体" w:cs="Times New Roman" w:asciiTheme="minorEastAsia" w:hAnsiTheme="minorEastAsia"/>
          <w:kern w:val="0"/>
          <w:sz w:val="24"/>
          <w:szCs w:val="24"/>
        </w:rPr>
        <w:t>成果的下发，大英县域内片区划分成果已经完成。大英县国土空间规划</w:t>
      </w:r>
      <w:r>
        <w:rPr>
          <w:rFonts w:hint="eastAsia" w:eastAsia="宋体" w:cs="Times New Roman" w:asciiTheme="minorEastAsia" w:hAnsiTheme="minorEastAsia"/>
          <w:kern w:val="0"/>
          <w:sz w:val="24"/>
          <w:szCs w:val="24"/>
        </w:rPr>
        <w:t>确定的规划分区、耕地保护、</w:t>
      </w:r>
      <w:r>
        <w:rPr>
          <w:rFonts w:eastAsia="宋体" w:cs="Times New Roman" w:asciiTheme="minorEastAsia" w:hAnsiTheme="minorEastAsia"/>
          <w:kern w:val="0"/>
          <w:sz w:val="24"/>
          <w:szCs w:val="24"/>
        </w:rPr>
        <w:t>城镇</w:t>
      </w:r>
      <w:r>
        <w:rPr>
          <w:rFonts w:hint="eastAsia" w:eastAsia="宋体" w:cs="Times New Roman" w:asciiTheme="minorEastAsia" w:hAnsiTheme="minorEastAsia"/>
          <w:kern w:val="0"/>
          <w:sz w:val="24"/>
          <w:szCs w:val="24"/>
          <w:lang w:val="en-US" w:eastAsia="zh-CN"/>
        </w:rPr>
        <w:t>开发</w:t>
      </w:r>
      <w:r>
        <w:rPr>
          <w:rFonts w:eastAsia="宋体" w:cs="Times New Roman" w:asciiTheme="minorEastAsia" w:hAnsiTheme="minorEastAsia"/>
          <w:kern w:val="0"/>
          <w:sz w:val="24"/>
          <w:szCs w:val="24"/>
        </w:rPr>
        <w:t>边界、生态保护</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协同发展</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人口规模</w:t>
      </w:r>
      <w:r>
        <w:rPr>
          <w:rFonts w:hint="eastAsia" w:eastAsia="宋体" w:cs="Times New Roman" w:asciiTheme="minorEastAsia" w:hAnsiTheme="minorEastAsia"/>
          <w:kern w:val="0"/>
          <w:sz w:val="24"/>
          <w:szCs w:val="24"/>
        </w:rPr>
        <w:t>和</w:t>
      </w:r>
      <w:r>
        <w:rPr>
          <w:rFonts w:eastAsia="宋体" w:cs="Times New Roman" w:asciiTheme="minorEastAsia" w:hAnsiTheme="minorEastAsia"/>
          <w:kern w:val="0"/>
          <w:sz w:val="24"/>
          <w:szCs w:val="24"/>
        </w:rPr>
        <w:t>城镇等级</w:t>
      </w:r>
      <w:r>
        <w:rPr>
          <w:rFonts w:hint="eastAsia" w:eastAsia="宋体" w:cs="Times New Roman" w:asciiTheme="minorEastAsia" w:hAnsiTheme="minorEastAsia"/>
          <w:kern w:val="0"/>
          <w:sz w:val="24"/>
          <w:szCs w:val="24"/>
        </w:rPr>
        <w:t>、基础设施建设、</w:t>
      </w:r>
      <w:r>
        <w:rPr>
          <w:rFonts w:eastAsia="宋体" w:cs="Times New Roman" w:asciiTheme="minorEastAsia" w:hAnsiTheme="minorEastAsia"/>
          <w:kern w:val="0"/>
          <w:sz w:val="24"/>
          <w:szCs w:val="24"/>
        </w:rPr>
        <w:t>产业发展、设施构建等方面对片区乡镇国土空间规划具有重要的指导意义，由于县国空当前处于规划草案公示阶段</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待规划批准后，片区规划按照上位规划进行完善调整。</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（五）其他行业规划</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重点分析全县</w:t>
      </w:r>
      <w:r>
        <w:rPr>
          <w:rFonts w:hint="eastAsia" w:eastAsia="宋体" w:cs="Times New Roman" w:asciiTheme="minorEastAsia" w:hAnsiTheme="minorEastAsia"/>
          <w:kern w:val="0"/>
          <w:sz w:val="24"/>
          <w:szCs w:val="24"/>
        </w:rPr>
        <w:t>两项改革“后半篇”文章29个专项工作方案相关要求</w:t>
      </w:r>
      <w:r>
        <w:rPr>
          <w:rFonts w:eastAsia="宋体" w:cs="Times New Roman" w:asciiTheme="minorEastAsia" w:hAnsiTheme="minorEastAsia"/>
          <w:kern w:val="0"/>
          <w:sz w:val="24"/>
          <w:szCs w:val="24"/>
        </w:rPr>
        <w:t>和其他行业与本片区相关的 “十四五”规划，落实具体项目，保障项目用地，同时与片区便民服务设施</w:t>
      </w:r>
      <w:r>
        <w:rPr>
          <w:rFonts w:hint="eastAsia" w:eastAsia="宋体" w:cs="Times New Roman" w:asciiTheme="minorEastAsia" w:hAnsiTheme="minorEastAsia"/>
          <w:kern w:val="0"/>
          <w:sz w:val="24"/>
          <w:szCs w:val="24"/>
        </w:rPr>
        <w:t>、粮油现代农业园区、市政</w:t>
      </w:r>
      <w:r>
        <w:rPr>
          <w:rFonts w:eastAsia="宋体" w:cs="Times New Roman" w:asciiTheme="minorEastAsia" w:hAnsiTheme="minorEastAsia"/>
          <w:kern w:val="0"/>
          <w:sz w:val="24"/>
          <w:szCs w:val="24"/>
        </w:rPr>
        <w:t>设施</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旅游规划</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文化设施</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应急设施等专项规划相衔接协调</w:t>
      </w:r>
      <w:r>
        <w:rPr>
          <w:rFonts w:hint="eastAsia" w:eastAsia="宋体" w:cs="Times New Roman" w:asciiTheme="minorEastAsia" w:hAnsiTheme="minorEastAsia"/>
          <w:kern w:val="0"/>
          <w:sz w:val="24"/>
          <w:szCs w:val="24"/>
        </w:rPr>
        <w:t>。</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1、全县两项改革29个工作方案相关要求</w:t>
      </w:r>
    </w:p>
    <w:p>
      <w:pPr>
        <w:adjustRightInd w:val="0"/>
        <w:snapToGrid w:val="0"/>
        <w:spacing w:line="360" w:lineRule="auto"/>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全县29个专项工作方案要求汇总表：</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7"/>
        <w:gridCol w:w="60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477" w:type="pct"/>
            <w:shd w:val="clear" w:color="auto" w:fill="auto"/>
            <w:noWrap/>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专项工作名称</w:t>
            </w:r>
          </w:p>
        </w:tc>
        <w:tc>
          <w:tcPr>
            <w:tcW w:w="3523" w:type="pct"/>
            <w:shd w:val="clear" w:color="auto" w:fill="auto"/>
            <w:noWrap/>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主要内容要求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477" w:type="pct"/>
            <w:shd w:val="clear" w:color="auto" w:fill="auto"/>
            <w:noWrap/>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大英县优化镇机构编制资源配置工作方案</w:t>
            </w:r>
          </w:p>
        </w:tc>
        <w:tc>
          <w:tcPr>
            <w:tcW w:w="3523" w:type="pct"/>
            <w:shd w:val="clear" w:color="auto" w:fill="auto"/>
            <w:vAlign w:val="center"/>
          </w:tcPr>
          <w:p>
            <w:pPr>
              <w:widowControl/>
              <w:jc w:val="left"/>
              <w:rPr>
                <w:rFonts w:cs="宋体" w:asciiTheme="minorEastAsia" w:hAnsiTheme="minorEastAsia"/>
                <w:kern w:val="0"/>
                <w:szCs w:val="21"/>
              </w:rPr>
            </w:pPr>
            <w:r>
              <w:rPr>
                <w:rFonts w:hint="eastAsia" w:cs="宋体" w:asciiTheme="minorEastAsia" w:hAnsiTheme="minorEastAsia"/>
                <w:kern w:val="0"/>
                <w:szCs w:val="21"/>
              </w:rPr>
              <w:t>1、大力推进扩权赋能工作；2、切实厘清职能职责边界；3、着力完善派驻机构管理体制；4、健全完善镇机构设置；5、全力提升编制使用效益；6、合力构建基层综合执法体系；7、全面提升机构编制管理水平；8、努力强化机构编制刚性约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477" w:type="pct"/>
            <w:shd w:val="clear" w:color="auto" w:fill="auto"/>
            <w:noWrap/>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大英县盘活用好镇村公有资产工作方案</w:t>
            </w:r>
          </w:p>
        </w:tc>
        <w:tc>
          <w:tcPr>
            <w:tcW w:w="3523" w:type="pct"/>
            <w:shd w:val="clear" w:color="auto" w:fill="auto"/>
            <w:vAlign w:val="center"/>
          </w:tcPr>
          <w:p>
            <w:pPr>
              <w:widowControl/>
              <w:jc w:val="left"/>
              <w:rPr>
                <w:rFonts w:cs="宋体" w:asciiTheme="minorEastAsia" w:hAnsiTheme="minorEastAsia"/>
                <w:kern w:val="0"/>
                <w:szCs w:val="21"/>
              </w:rPr>
            </w:pPr>
            <w:r>
              <w:rPr>
                <w:rFonts w:hint="eastAsia" w:cs="宋体" w:asciiTheme="minorEastAsia" w:hAnsiTheme="minorEastAsia"/>
                <w:kern w:val="0"/>
                <w:szCs w:val="21"/>
              </w:rPr>
              <w:t>1、组织开展资产清查；2、做好资产移交管理；3、分类制定盘活方案；4、盘活镇（街道）国有资产；5、盘活村级活动阵地；6、有序推进资产确权登记。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1477" w:type="pct"/>
            <w:shd w:val="clear" w:color="auto" w:fill="auto"/>
            <w:noWrap/>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大英县加大政府购买服务力度工作方案</w:t>
            </w:r>
          </w:p>
        </w:tc>
        <w:tc>
          <w:tcPr>
            <w:tcW w:w="3523" w:type="pct"/>
            <w:shd w:val="clear" w:color="auto" w:fill="auto"/>
            <w:vAlign w:val="center"/>
          </w:tcPr>
          <w:p>
            <w:pPr>
              <w:widowControl/>
              <w:jc w:val="left"/>
              <w:rPr>
                <w:rFonts w:cs="宋体" w:asciiTheme="minorEastAsia" w:hAnsiTheme="minorEastAsia"/>
                <w:kern w:val="0"/>
                <w:szCs w:val="21"/>
              </w:rPr>
            </w:pPr>
            <w:r>
              <w:rPr>
                <w:rFonts w:hint="eastAsia" w:cs="宋体" w:asciiTheme="minorEastAsia" w:hAnsiTheme="minorEastAsia"/>
                <w:kern w:val="0"/>
                <w:szCs w:val="21"/>
              </w:rPr>
              <w:t>1、制定试点方案，细化工作目标任务；2、出台支持镇（街道）加大政府购买服务力度的指导意见；3、制定大英县镇（街道）政府购买服务指导目录；4、完善分行业政府购买服务制度体系；</w:t>
            </w:r>
            <w:r>
              <w:rPr>
                <w:rFonts w:hint="eastAsia" w:cs="宋体" w:asciiTheme="minorEastAsia" w:hAnsiTheme="minorEastAsia"/>
                <w:kern w:val="0"/>
                <w:szCs w:val="21"/>
              </w:rPr>
              <w:br w:type="textWrapping"/>
            </w:r>
            <w:r>
              <w:rPr>
                <w:rFonts w:hint="eastAsia" w:cs="宋体" w:asciiTheme="minorEastAsia" w:hAnsiTheme="minorEastAsia"/>
                <w:kern w:val="0"/>
                <w:szCs w:val="21"/>
              </w:rPr>
              <w:t>5、加强基层政府购买服务承接主体引导培育；6、开展政府购买服务效果绩效评价。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477" w:type="pct"/>
            <w:shd w:val="clear" w:color="auto" w:fill="auto"/>
            <w:noWrap/>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大英县加强涉改乡镇干部周转房保障工作方案</w:t>
            </w:r>
          </w:p>
        </w:tc>
        <w:tc>
          <w:tcPr>
            <w:tcW w:w="3523" w:type="pct"/>
            <w:shd w:val="clear" w:color="auto" w:fill="auto"/>
            <w:vAlign w:val="center"/>
          </w:tcPr>
          <w:p>
            <w:pPr>
              <w:widowControl/>
              <w:jc w:val="left"/>
              <w:rPr>
                <w:rFonts w:cs="宋体" w:asciiTheme="minorEastAsia" w:hAnsiTheme="minorEastAsia"/>
                <w:kern w:val="0"/>
                <w:szCs w:val="21"/>
              </w:rPr>
            </w:pPr>
            <w:r>
              <w:rPr>
                <w:rFonts w:hint="eastAsia" w:cs="宋体" w:asciiTheme="minorEastAsia" w:hAnsiTheme="minorEastAsia"/>
                <w:kern w:val="0"/>
                <w:szCs w:val="21"/>
              </w:rPr>
              <w:t>1、重点推进河边镇干部周转房保障试点工作。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477" w:type="pct"/>
            <w:shd w:val="clear" w:color="auto" w:fill="auto"/>
            <w:noWrap/>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大英县加强</w:t>
            </w:r>
          </w:p>
          <w:p>
            <w:pPr>
              <w:widowControl/>
              <w:jc w:val="center"/>
              <w:rPr>
                <w:rFonts w:cs="宋体" w:asciiTheme="minorEastAsia" w:hAnsiTheme="minorEastAsia"/>
                <w:kern w:val="0"/>
                <w:szCs w:val="21"/>
              </w:rPr>
            </w:pPr>
            <w:r>
              <w:rPr>
                <w:rFonts w:hint="eastAsia" w:cs="宋体" w:asciiTheme="minorEastAsia" w:hAnsiTheme="minorEastAsia"/>
                <w:kern w:val="0"/>
                <w:szCs w:val="21"/>
              </w:rPr>
              <w:t>乡村规划建设工作方案</w:t>
            </w:r>
          </w:p>
        </w:tc>
        <w:tc>
          <w:tcPr>
            <w:tcW w:w="3523" w:type="pct"/>
            <w:shd w:val="clear" w:color="auto" w:fill="auto"/>
            <w:vAlign w:val="center"/>
          </w:tcPr>
          <w:p>
            <w:pPr>
              <w:widowControl/>
              <w:jc w:val="left"/>
              <w:rPr>
                <w:rFonts w:cs="宋体" w:asciiTheme="minorEastAsia" w:hAnsiTheme="minorEastAsia"/>
                <w:kern w:val="0"/>
                <w:szCs w:val="21"/>
              </w:rPr>
            </w:pPr>
            <w:r>
              <w:rPr>
                <w:rFonts w:hint="eastAsia" w:cs="宋体" w:asciiTheme="minorEastAsia" w:hAnsiTheme="minorEastAsia"/>
                <w:kern w:val="0"/>
                <w:szCs w:val="21"/>
              </w:rPr>
              <w:t>1、研究县域经济区划定；2、启动镇国土空间总体规划编制；3、推进“多规合一”村规划编制；4、提升村庄人居环境；6、优化乡村发展空间；7、提升规划建设质量；8、统筹力量推进村规划建设。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477" w:type="pct"/>
            <w:shd w:val="clear" w:color="auto" w:fill="auto"/>
            <w:noWrap/>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大英县提升农村交通运输服务水平工作方案</w:t>
            </w:r>
          </w:p>
        </w:tc>
        <w:tc>
          <w:tcPr>
            <w:tcW w:w="3523" w:type="pct"/>
            <w:shd w:val="clear" w:color="auto" w:fill="auto"/>
            <w:vAlign w:val="center"/>
          </w:tcPr>
          <w:p>
            <w:pPr>
              <w:widowControl/>
              <w:jc w:val="left"/>
              <w:rPr>
                <w:rFonts w:cs="宋体" w:asciiTheme="minorEastAsia" w:hAnsiTheme="minorEastAsia"/>
                <w:kern w:val="0"/>
                <w:szCs w:val="21"/>
              </w:rPr>
            </w:pPr>
            <w:r>
              <w:rPr>
                <w:rFonts w:hint="eastAsia" w:cs="宋体" w:asciiTheme="minorEastAsia" w:hAnsiTheme="minorEastAsia"/>
                <w:kern w:val="0"/>
                <w:szCs w:val="21"/>
              </w:rPr>
              <w:t>1、实施撤并建制村畅通工程；2、实施乡村振兴产业路旅游路工程；3、实施乡村运输“金通工程”。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477" w:type="pct"/>
            <w:shd w:val="clear" w:color="auto" w:fill="auto"/>
            <w:noWrap/>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大英县加强农村水利基层服务与建设管理工作方案</w:t>
            </w:r>
          </w:p>
        </w:tc>
        <w:tc>
          <w:tcPr>
            <w:tcW w:w="3523" w:type="pct"/>
            <w:shd w:val="clear" w:color="auto" w:fill="auto"/>
            <w:vAlign w:val="center"/>
          </w:tcPr>
          <w:p>
            <w:pPr>
              <w:widowControl/>
              <w:jc w:val="left"/>
              <w:rPr>
                <w:rFonts w:cs="宋体" w:asciiTheme="minorEastAsia" w:hAnsiTheme="minorEastAsia"/>
                <w:kern w:val="0"/>
                <w:szCs w:val="21"/>
              </w:rPr>
            </w:pPr>
            <w:r>
              <w:rPr>
                <w:rFonts w:hint="eastAsia" w:cs="宋体" w:asciiTheme="minorEastAsia" w:hAnsiTheme="minorEastAsia"/>
                <w:kern w:val="0"/>
                <w:szCs w:val="21"/>
              </w:rPr>
              <w:t>1、完善新型基层水利服务体系；2、完善农村水利工程管理体制机制；3、提升农民群众饮水安全水平；4、提升产业发展水利保障能力；5、提升农村宜居水环境质量。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477" w:type="pct"/>
            <w:shd w:val="clear" w:color="auto" w:fill="auto"/>
            <w:noWrap/>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大英县推动农村电网改造升级工作方案</w:t>
            </w:r>
          </w:p>
        </w:tc>
        <w:tc>
          <w:tcPr>
            <w:tcW w:w="3523" w:type="pct"/>
            <w:shd w:val="clear" w:color="auto" w:fill="auto"/>
            <w:vAlign w:val="center"/>
          </w:tcPr>
          <w:p>
            <w:pPr>
              <w:widowControl/>
              <w:jc w:val="left"/>
              <w:rPr>
                <w:rFonts w:cs="宋体" w:asciiTheme="minorEastAsia" w:hAnsiTheme="minorEastAsia"/>
                <w:kern w:val="0"/>
                <w:szCs w:val="21"/>
              </w:rPr>
            </w:pPr>
            <w:r>
              <w:rPr>
                <w:rFonts w:hint="eastAsia" w:cs="宋体" w:asciiTheme="minorEastAsia" w:hAnsiTheme="minorEastAsia"/>
                <w:kern w:val="0"/>
                <w:szCs w:val="21"/>
              </w:rPr>
              <w:t>1、实施辖区涉改镇农村电网改造升级优先行动；2、协调推进全县非涉改镇农村电网改造升级；3、实施电力服务水平提升</w:t>
            </w:r>
            <w:r>
              <w:rPr>
                <w:rFonts w:hint="eastAsia" w:cs="宋体" w:asciiTheme="minorEastAsia" w:hAnsiTheme="minorEastAsia"/>
                <w:kern w:val="0"/>
                <w:szCs w:val="21"/>
                <w:lang w:val="en-US" w:eastAsia="zh-CN"/>
              </w:rPr>
              <w:t>行动</w:t>
            </w:r>
            <w:r>
              <w:rPr>
                <w:rFonts w:hint="eastAsia" w:cs="宋体" w:asciiTheme="minorEastAsia" w:hAnsiTheme="minorEastAsia"/>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477" w:type="pct"/>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大英县开展乡镇市政设施和村镇建设管理“两不一增”行动工作方案</w:t>
            </w:r>
          </w:p>
        </w:tc>
        <w:tc>
          <w:tcPr>
            <w:tcW w:w="3523" w:type="pct"/>
            <w:shd w:val="clear" w:color="auto" w:fill="auto"/>
            <w:vAlign w:val="center"/>
          </w:tcPr>
          <w:p>
            <w:pPr>
              <w:widowControl/>
              <w:jc w:val="left"/>
              <w:rPr>
                <w:rFonts w:cs="宋体" w:asciiTheme="minorEastAsia" w:hAnsiTheme="minorEastAsia"/>
                <w:kern w:val="0"/>
                <w:szCs w:val="21"/>
              </w:rPr>
            </w:pPr>
            <w:r>
              <w:rPr>
                <w:rFonts w:hint="eastAsia" w:cs="宋体" w:asciiTheme="minorEastAsia" w:hAnsiTheme="minorEastAsia"/>
                <w:kern w:val="0"/>
                <w:szCs w:val="21"/>
              </w:rPr>
              <w:t>1、开展被撤并乡镇市政设施不过度建设专项行动；2、开展被撤并乡镇市政设施不降低维护管理水平专项行动；3、开展增强村镇建设管理能力专项行动。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477" w:type="pct"/>
            <w:shd w:val="clear" w:color="auto" w:fill="auto"/>
            <w:noWrap/>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大英县推进乡村特色农业产业发展工作方案</w:t>
            </w:r>
          </w:p>
        </w:tc>
        <w:tc>
          <w:tcPr>
            <w:tcW w:w="3523" w:type="pct"/>
            <w:shd w:val="clear" w:color="auto" w:fill="auto"/>
            <w:vAlign w:val="center"/>
          </w:tcPr>
          <w:p>
            <w:pPr>
              <w:widowControl/>
              <w:jc w:val="left"/>
              <w:rPr>
                <w:rFonts w:cs="宋体" w:asciiTheme="minorEastAsia" w:hAnsiTheme="minorEastAsia"/>
                <w:kern w:val="0"/>
                <w:szCs w:val="21"/>
              </w:rPr>
            </w:pPr>
            <w:r>
              <w:rPr>
                <w:rFonts w:hint="eastAsia" w:cs="宋体" w:asciiTheme="minorEastAsia" w:hAnsiTheme="minorEastAsia"/>
                <w:kern w:val="0"/>
                <w:szCs w:val="21"/>
              </w:rPr>
              <w:t>1、实施产业基地提升工程；2、实施初加工能力提升工程；3、实施产业融合发展工程；4、实施经营主体培育工程；5、实施科技服务提升工程；6、明确试点目标任务；7、确定试点乡镇。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1477" w:type="pct"/>
            <w:shd w:val="clear" w:color="auto" w:fill="auto"/>
            <w:noWrap/>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大英县乡村旅游</w:t>
            </w:r>
          </w:p>
          <w:p>
            <w:pPr>
              <w:widowControl/>
              <w:jc w:val="center"/>
              <w:rPr>
                <w:rFonts w:cs="宋体" w:asciiTheme="minorEastAsia" w:hAnsiTheme="minorEastAsia"/>
                <w:kern w:val="0"/>
                <w:szCs w:val="21"/>
              </w:rPr>
            </w:pPr>
            <w:r>
              <w:rPr>
                <w:rFonts w:hint="eastAsia" w:cs="宋体" w:asciiTheme="minorEastAsia" w:hAnsiTheme="minorEastAsia"/>
                <w:kern w:val="0"/>
                <w:szCs w:val="21"/>
              </w:rPr>
              <w:t>产业发展工作方案</w:t>
            </w:r>
          </w:p>
        </w:tc>
        <w:tc>
          <w:tcPr>
            <w:tcW w:w="3523" w:type="pct"/>
            <w:shd w:val="clear" w:color="auto" w:fill="auto"/>
            <w:vAlign w:val="center"/>
          </w:tcPr>
          <w:p>
            <w:pPr>
              <w:widowControl/>
              <w:jc w:val="left"/>
              <w:rPr>
                <w:rFonts w:cs="宋体" w:asciiTheme="minorEastAsia" w:hAnsiTheme="minorEastAsia"/>
                <w:kern w:val="0"/>
                <w:szCs w:val="21"/>
              </w:rPr>
            </w:pPr>
            <w:r>
              <w:rPr>
                <w:rFonts w:hint="eastAsia" w:cs="宋体" w:asciiTheme="minorEastAsia" w:hAnsiTheme="minorEastAsia"/>
                <w:kern w:val="0"/>
                <w:szCs w:val="21"/>
              </w:rPr>
              <w:t>1、强化规划引领，全域布局旅游产业；2、推动产业融合，大力实施乡村振兴；3、打造特色亮点，培育乡村旅游重点村；4、挖掘特色资源，培育特色旅游品牌；5、加快项目建设，完善旅游配套设施；6、完善管理体制，实施人才培训计划；7、强化宣传营销，提升品牌影响力；8、挖掘本土文化，举办特色系列活动；9、推出文艺精品，繁荣乡村旅游市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477" w:type="pct"/>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大英县开展合并村集体经济融合发展试点</w:t>
            </w:r>
          </w:p>
          <w:p>
            <w:pPr>
              <w:widowControl/>
              <w:jc w:val="center"/>
              <w:rPr>
                <w:rFonts w:cs="宋体" w:asciiTheme="minorEastAsia" w:hAnsiTheme="minorEastAsia"/>
                <w:kern w:val="0"/>
                <w:szCs w:val="21"/>
              </w:rPr>
            </w:pPr>
            <w:r>
              <w:rPr>
                <w:rFonts w:hint="eastAsia" w:cs="宋体" w:asciiTheme="minorEastAsia" w:hAnsiTheme="minorEastAsia"/>
                <w:kern w:val="0"/>
                <w:szCs w:val="21"/>
              </w:rPr>
              <w:t>工作方案</w:t>
            </w:r>
          </w:p>
        </w:tc>
        <w:tc>
          <w:tcPr>
            <w:tcW w:w="3523" w:type="pct"/>
            <w:shd w:val="clear" w:color="auto" w:fill="auto"/>
            <w:vAlign w:val="center"/>
          </w:tcPr>
          <w:p>
            <w:pPr>
              <w:widowControl/>
              <w:jc w:val="left"/>
              <w:rPr>
                <w:rFonts w:cs="宋体" w:asciiTheme="minorEastAsia" w:hAnsiTheme="minorEastAsia"/>
                <w:kern w:val="0"/>
                <w:szCs w:val="21"/>
              </w:rPr>
            </w:pPr>
            <w:r>
              <w:rPr>
                <w:rFonts w:hint="eastAsia" w:cs="宋体" w:asciiTheme="minorEastAsia" w:hAnsiTheme="minorEastAsia"/>
                <w:kern w:val="0"/>
                <w:szCs w:val="21"/>
              </w:rPr>
              <w:t>1、确定试点对象；2、制定五年融合发展规划；3、率先全面完成农村集体产权制度改革；4、建立集体经济组织财务制度；5、探索新型农村集体经济实现形式。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477" w:type="pct"/>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加强“美丽大英·宜居乡村”农村人居环境整治</w:t>
            </w:r>
          </w:p>
          <w:p>
            <w:pPr>
              <w:widowControl/>
              <w:jc w:val="center"/>
              <w:rPr>
                <w:rFonts w:cs="宋体" w:asciiTheme="minorEastAsia" w:hAnsiTheme="minorEastAsia"/>
                <w:kern w:val="0"/>
                <w:szCs w:val="21"/>
              </w:rPr>
            </w:pPr>
            <w:r>
              <w:rPr>
                <w:rFonts w:hint="eastAsia" w:cs="宋体" w:asciiTheme="minorEastAsia" w:hAnsiTheme="minorEastAsia"/>
                <w:kern w:val="0"/>
                <w:szCs w:val="21"/>
              </w:rPr>
              <w:t>工作方案</w:t>
            </w:r>
          </w:p>
        </w:tc>
        <w:tc>
          <w:tcPr>
            <w:tcW w:w="3523" w:type="pct"/>
            <w:shd w:val="clear" w:color="auto" w:fill="auto"/>
            <w:vAlign w:val="center"/>
          </w:tcPr>
          <w:p>
            <w:pPr>
              <w:widowControl/>
              <w:jc w:val="left"/>
              <w:rPr>
                <w:rFonts w:cs="宋体" w:asciiTheme="minorEastAsia" w:hAnsiTheme="minorEastAsia"/>
                <w:kern w:val="0"/>
                <w:szCs w:val="21"/>
              </w:rPr>
            </w:pPr>
            <w:r>
              <w:rPr>
                <w:rFonts w:hint="eastAsia" w:cs="宋体" w:asciiTheme="minorEastAsia" w:hAnsiTheme="minorEastAsia"/>
                <w:kern w:val="0"/>
                <w:szCs w:val="21"/>
              </w:rPr>
              <w:t>1、补齐农村“厕所革命”短板；2、稳步推进农村生活垃圾治理；3、梯次推进农村生活污水治理；4、持续开展农业面源污染治理；5、统筹推进村容村貌提升。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477" w:type="pct"/>
            <w:shd w:val="clear" w:color="auto" w:fill="auto"/>
            <w:noWrap/>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大英县加强基层供销社建设工作方案</w:t>
            </w:r>
          </w:p>
        </w:tc>
        <w:tc>
          <w:tcPr>
            <w:tcW w:w="3523" w:type="pct"/>
            <w:shd w:val="clear" w:color="auto" w:fill="auto"/>
            <w:vAlign w:val="center"/>
          </w:tcPr>
          <w:p>
            <w:pPr>
              <w:widowControl/>
              <w:jc w:val="left"/>
              <w:rPr>
                <w:rFonts w:cs="宋体" w:asciiTheme="minorEastAsia" w:hAnsiTheme="minorEastAsia"/>
                <w:kern w:val="0"/>
                <w:szCs w:val="21"/>
              </w:rPr>
            </w:pPr>
            <w:r>
              <w:rPr>
                <w:rFonts w:hint="eastAsia" w:cs="宋体" w:asciiTheme="minorEastAsia" w:hAnsiTheme="minorEastAsia"/>
                <w:kern w:val="0"/>
                <w:szCs w:val="21"/>
              </w:rPr>
              <w:t>1、增强县级供销社行业引领能力；2、提升镇级供销社经营服务质效；3、促进村级供销社有序建设发展；4、推进农村综合服务全面覆盖；5、加强镇村供销社队伍建设。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477" w:type="pct"/>
            <w:shd w:val="clear" w:color="auto" w:fill="auto"/>
            <w:noWrap/>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大英县提升农村特色产业车间就业保障能力</w:t>
            </w:r>
          </w:p>
          <w:p>
            <w:pPr>
              <w:widowControl/>
              <w:jc w:val="center"/>
              <w:rPr>
                <w:rFonts w:cs="宋体" w:asciiTheme="minorEastAsia" w:hAnsiTheme="minorEastAsia"/>
                <w:kern w:val="0"/>
                <w:szCs w:val="21"/>
              </w:rPr>
            </w:pPr>
            <w:r>
              <w:rPr>
                <w:rFonts w:hint="eastAsia" w:cs="宋体" w:asciiTheme="minorEastAsia" w:hAnsiTheme="minorEastAsia"/>
                <w:kern w:val="0"/>
                <w:szCs w:val="21"/>
              </w:rPr>
              <w:t>工作方案</w:t>
            </w:r>
          </w:p>
        </w:tc>
        <w:tc>
          <w:tcPr>
            <w:tcW w:w="3523" w:type="pct"/>
            <w:shd w:val="clear" w:color="auto" w:fill="auto"/>
            <w:vAlign w:val="center"/>
          </w:tcPr>
          <w:p>
            <w:pPr>
              <w:widowControl/>
              <w:jc w:val="left"/>
              <w:rPr>
                <w:rFonts w:cs="宋体" w:asciiTheme="minorEastAsia" w:hAnsiTheme="minorEastAsia"/>
                <w:kern w:val="0"/>
                <w:szCs w:val="21"/>
              </w:rPr>
            </w:pPr>
            <w:r>
              <w:rPr>
                <w:rFonts w:hint="eastAsia" w:cs="宋体" w:asciiTheme="minorEastAsia" w:hAnsiTheme="minorEastAsia"/>
                <w:kern w:val="0"/>
                <w:szCs w:val="21"/>
              </w:rPr>
              <w:t>1、做优做强特色产业车间，打造地方特色品牌；2、提升特色产业车间吸纳能力，促进就地就近就业；3、加强产业融合，实现互利共赢。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477" w:type="pct"/>
            <w:shd w:val="clear" w:color="auto" w:fill="auto"/>
            <w:noWrap/>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大英县加强农村实用人才队伍建设工作方案</w:t>
            </w:r>
          </w:p>
        </w:tc>
        <w:tc>
          <w:tcPr>
            <w:tcW w:w="3523" w:type="pct"/>
            <w:shd w:val="clear" w:color="auto" w:fill="auto"/>
            <w:vAlign w:val="center"/>
          </w:tcPr>
          <w:p>
            <w:pPr>
              <w:widowControl/>
              <w:jc w:val="left"/>
              <w:rPr>
                <w:rFonts w:cs="宋体" w:asciiTheme="minorEastAsia" w:hAnsiTheme="minorEastAsia"/>
                <w:kern w:val="0"/>
                <w:szCs w:val="21"/>
              </w:rPr>
            </w:pPr>
            <w:r>
              <w:rPr>
                <w:rFonts w:hint="eastAsia" w:cs="宋体" w:asciiTheme="minorEastAsia" w:hAnsiTheme="minorEastAsia"/>
                <w:kern w:val="0"/>
                <w:szCs w:val="21"/>
              </w:rPr>
              <w:t>1、实施农民工回引工程，壮大农村实用人才队伍；2、实施人才培育工程，提升农村实用人才能力素质；3、完善农村实用人才体制机制。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477" w:type="pct"/>
            <w:shd w:val="clear" w:color="auto" w:fill="auto"/>
            <w:noWrap/>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大英县完善镇（街道）便民服务体系工作方案</w:t>
            </w:r>
          </w:p>
        </w:tc>
        <w:tc>
          <w:tcPr>
            <w:tcW w:w="3523" w:type="pct"/>
            <w:shd w:val="clear" w:color="auto" w:fill="auto"/>
            <w:vAlign w:val="center"/>
          </w:tcPr>
          <w:p>
            <w:pPr>
              <w:widowControl/>
              <w:jc w:val="left"/>
              <w:rPr>
                <w:rFonts w:cs="宋体" w:asciiTheme="minorEastAsia" w:hAnsiTheme="minorEastAsia"/>
                <w:kern w:val="0"/>
                <w:szCs w:val="21"/>
              </w:rPr>
            </w:pPr>
            <w:r>
              <w:rPr>
                <w:rFonts w:hint="eastAsia" w:cs="宋体" w:asciiTheme="minorEastAsia" w:hAnsiTheme="minorEastAsia"/>
                <w:kern w:val="0"/>
                <w:szCs w:val="21"/>
              </w:rPr>
              <w:t>1、标准化建设；2、规范化设置；3、便利化服务。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477" w:type="pct"/>
            <w:shd w:val="clear" w:color="auto" w:fill="auto"/>
            <w:noWrap/>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大英县优化基础教育学校布局调整工作方案</w:t>
            </w:r>
          </w:p>
        </w:tc>
        <w:tc>
          <w:tcPr>
            <w:tcW w:w="3523" w:type="pct"/>
            <w:shd w:val="clear" w:color="auto" w:fill="auto"/>
            <w:vAlign w:val="center"/>
          </w:tcPr>
          <w:p>
            <w:pPr>
              <w:widowControl/>
              <w:jc w:val="left"/>
              <w:rPr>
                <w:rFonts w:cs="宋体" w:asciiTheme="minorEastAsia" w:hAnsiTheme="minorEastAsia"/>
                <w:kern w:val="0"/>
                <w:szCs w:val="21"/>
              </w:rPr>
            </w:pPr>
            <w:r>
              <w:rPr>
                <w:rFonts w:hint="eastAsia" w:cs="宋体" w:asciiTheme="minorEastAsia" w:hAnsiTheme="minorEastAsia"/>
                <w:kern w:val="0"/>
                <w:szCs w:val="21"/>
              </w:rPr>
              <w:t>1、实施学校布局调整优化工程；2、实施闲置资源转化利用工程；3、实施教师学生合理分流工程；4、实施学校现代化建设工程；5、实施优质学校引领示范工程；6、实施教育治理能力提升工程。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477" w:type="pct"/>
            <w:shd w:val="clear" w:color="auto" w:fill="auto"/>
            <w:noWrap/>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大英县提升乡村医疗卫生服务能力工作方案</w:t>
            </w:r>
          </w:p>
        </w:tc>
        <w:tc>
          <w:tcPr>
            <w:tcW w:w="3523" w:type="pct"/>
            <w:shd w:val="clear" w:color="auto" w:fill="auto"/>
            <w:vAlign w:val="center"/>
          </w:tcPr>
          <w:p>
            <w:pPr>
              <w:widowControl/>
              <w:jc w:val="left"/>
              <w:rPr>
                <w:rFonts w:cs="宋体" w:asciiTheme="minorEastAsia" w:hAnsiTheme="minorEastAsia"/>
                <w:kern w:val="0"/>
                <w:szCs w:val="21"/>
              </w:rPr>
            </w:pPr>
            <w:r>
              <w:rPr>
                <w:rFonts w:hint="eastAsia" w:cs="宋体" w:asciiTheme="minorEastAsia" w:hAnsiTheme="minorEastAsia"/>
                <w:kern w:val="0"/>
                <w:szCs w:val="21"/>
              </w:rPr>
              <w:t>1、优化机构整合，健全服务网络；2、加强硬件建设，改善服务条件；3、加强队伍建设，提升服务能力；4、加强机制建设，增强发展活力。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477" w:type="pct"/>
            <w:shd w:val="clear" w:color="auto" w:fill="auto"/>
            <w:noWrap/>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大英县提升农村公共文化服务效能工作方案</w:t>
            </w:r>
          </w:p>
        </w:tc>
        <w:tc>
          <w:tcPr>
            <w:tcW w:w="3523" w:type="pct"/>
            <w:shd w:val="clear" w:color="auto" w:fill="auto"/>
            <w:vAlign w:val="center"/>
          </w:tcPr>
          <w:p>
            <w:pPr>
              <w:widowControl/>
              <w:jc w:val="left"/>
              <w:rPr>
                <w:rFonts w:cs="宋体" w:asciiTheme="minorEastAsia" w:hAnsiTheme="minorEastAsia"/>
                <w:kern w:val="0"/>
                <w:szCs w:val="21"/>
              </w:rPr>
            </w:pPr>
            <w:r>
              <w:rPr>
                <w:rFonts w:hint="eastAsia" w:cs="宋体" w:asciiTheme="minorEastAsia" w:hAnsiTheme="minorEastAsia"/>
                <w:kern w:val="0"/>
                <w:szCs w:val="21"/>
              </w:rPr>
              <w:t>1、优化整合农村公共文化服务资源；2、加强中心镇（街道）、村（社区）公共文化服务能力建设；3、实施公共文化供给质量提升行动；4、推进数字文化建设；5、推广社会共建创新行动。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477" w:type="pct"/>
            <w:shd w:val="clear" w:color="auto" w:fill="auto"/>
            <w:noWrap/>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大英县提升养老育幼基本公共服务能力工作方案</w:t>
            </w:r>
          </w:p>
        </w:tc>
        <w:tc>
          <w:tcPr>
            <w:tcW w:w="3523" w:type="pct"/>
            <w:shd w:val="clear" w:color="auto" w:fill="auto"/>
            <w:vAlign w:val="center"/>
          </w:tcPr>
          <w:p>
            <w:pPr>
              <w:widowControl/>
              <w:jc w:val="left"/>
              <w:rPr>
                <w:rFonts w:cs="宋体" w:asciiTheme="minorEastAsia" w:hAnsiTheme="minorEastAsia"/>
                <w:kern w:val="0"/>
                <w:szCs w:val="21"/>
              </w:rPr>
            </w:pPr>
            <w:r>
              <w:rPr>
                <w:rFonts w:hint="eastAsia" w:cs="宋体" w:asciiTheme="minorEastAsia" w:hAnsiTheme="minorEastAsia"/>
                <w:kern w:val="0"/>
                <w:szCs w:val="21"/>
              </w:rPr>
              <w:t>1、推进养老服务体系建设；2、健全完善儿童服务体系；3、培育壮大专业服务队伍。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477" w:type="pct"/>
            <w:shd w:val="clear" w:color="auto" w:fill="auto"/>
            <w:noWrap/>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大英县加强乡村基层组织建设工作方案</w:t>
            </w:r>
          </w:p>
        </w:tc>
        <w:tc>
          <w:tcPr>
            <w:tcW w:w="3523" w:type="pct"/>
            <w:shd w:val="clear" w:color="auto" w:fill="auto"/>
            <w:vAlign w:val="center"/>
          </w:tcPr>
          <w:p>
            <w:pPr>
              <w:widowControl/>
              <w:jc w:val="left"/>
              <w:rPr>
                <w:rFonts w:cs="宋体" w:asciiTheme="minorEastAsia" w:hAnsiTheme="minorEastAsia"/>
                <w:kern w:val="0"/>
                <w:szCs w:val="21"/>
              </w:rPr>
            </w:pPr>
            <w:r>
              <w:rPr>
                <w:rFonts w:hint="eastAsia" w:cs="宋体" w:asciiTheme="minorEastAsia" w:hAnsiTheme="minorEastAsia"/>
                <w:kern w:val="0"/>
                <w:szCs w:val="21"/>
              </w:rPr>
              <w:t>1、实施“组织体系优化行动”，着力深化乡村善治格局；2、实施“班子队伍优化行动”，着力锻造高素质干部队伍；3、实施“运行机制优化行动”，着力提升基层组织力；4、实施“基础保障强化行动”。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477" w:type="pct"/>
            <w:shd w:val="clear" w:color="auto" w:fill="auto"/>
            <w:noWrap/>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大英县加强基层群众自治工作方案</w:t>
            </w:r>
          </w:p>
        </w:tc>
        <w:tc>
          <w:tcPr>
            <w:tcW w:w="3523" w:type="pct"/>
            <w:shd w:val="clear" w:color="auto" w:fill="auto"/>
            <w:vAlign w:val="center"/>
          </w:tcPr>
          <w:p>
            <w:pPr>
              <w:widowControl/>
              <w:jc w:val="left"/>
              <w:rPr>
                <w:rFonts w:cs="宋体" w:asciiTheme="minorEastAsia" w:hAnsiTheme="minorEastAsia"/>
                <w:kern w:val="0"/>
                <w:szCs w:val="21"/>
              </w:rPr>
            </w:pPr>
            <w:r>
              <w:rPr>
                <w:rFonts w:hint="eastAsia" w:cs="宋体" w:asciiTheme="minorEastAsia" w:hAnsiTheme="minorEastAsia"/>
                <w:kern w:val="0"/>
                <w:szCs w:val="21"/>
              </w:rPr>
              <w:t>1、坚持党建引领，配套完善组织体系；2、加强队伍建设，增强基层自治活力；3、创新工作方法，全面明确自治权责；4、完善制度机制，扎实推进自治实践；5、健全监督体系，全面提升治理效能。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1477" w:type="pct"/>
            <w:shd w:val="clear" w:color="auto" w:fill="auto"/>
            <w:noWrap/>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大英县加强和创新城乡社区治理工作方案</w:t>
            </w:r>
          </w:p>
        </w:tc>
        <w:tc>
          <w:tcPr>
            <w:tcW w:w="3523" w:type="pct"/>
            <w:shd w:val="clear" w:color="auto" w:fill="auto"/>
            <w:vAlign w:val="center"/>
          </w:tcPr>
          <w:p>
            <w:pPr>
              <w:widowControl/>
              <w:jc w:val="left"/>
              <w:rPr>
                <w:rFonts w:cs="宋体" w:asciiTheme="minorEastAsia" w:hAnsiTheme="minorEastAsia"/>
                <w:kern w:val="0"/>
                <w:szCs w:val="21"/>
              </w:rPr>
            </w:pPr>
            <w:r>
              <w:rPr>
                <w:rFonts w:hint="eastAsia" w:cs="宋体" w:asciiTheme="minorEastAsia" w:hAnsiTheme="minorEastAsia"/>
                <w:kern w:val="0"/>
                <w:szCs w:val="21"/>
              </w:rPr>
              <w:t>1、实施党建引领社区治理计划；2、实施编制社区发展治理计划；3、实施城乡街区有机更新计划；4、实施社区设施功能达标计划；5、实施居民小区治理计划；6、实施社区服务经济培育计划；7、实施社区服务“三集成”供给计划；8、实施“三治融合”推进计划；9、实施“互联网+社区”行动计划；10、实施平安社区建设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477" w:type="pct"/>
            <w:shd w:val="clear" w:color="auto" w:fill="auto"/>
            <w:noWrap/>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大英县完善农村司法体系工作方案</w:t>
            </w:r>
          </w:p>
        </w:tc>
        <w:tc>
          <w:tcPr>
            <w:tcW w:w="3523" w:type="pct"/>
            <w:shd w:val="clear" w:color="auto" w:fill="auto"/>
            <w:vAlign w:val="center"/>
          </w:tcPr>
          <w:p>
            <w:pPr>
              <w:widowControl/>
              <w:jc w:val="left"/>
              <w:rPr>
                <w:rFonts w:cs="宋体" w:asciiTheme="minorEastAsia" w:hAnsiTheme="minorEastAsia"/>
                <w:kern w:val="0"/>
                <w:szCs w:val="21"/>
              </w:rPr>
            </w:pPr>
            <w:r>
              <w:rPr>
                <w:rFonts w:hint="eastAsia" w:cs="宋体" w:asciiTheme="minorEastAsia" w:hAnsiTheme="minorEastAsia"/>
                <w:kern w:val="0"/>
                <w:szCs w:val="21"/>
              </w:rPr>
              <w:t>1、优化镇（街道）政法委员配备；2、优化公安派出所设置；3、优化司法所设置；4、优化人民法庭设置；5、优化网格化服务管理体系；6、夯实社会治理基层基础。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477" w:type="pct"/>
            <w:shd w:val="clear" w:color="auto" w:fill="auto"/>
            <w:noWrap/>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大英县多元化解基层矛盾纠纷工作方案</w:t>
            </w:r>
          </w:p>
        </w:tc>
        <w:tc>
          <w:tcPr>
            <w:tcW w:w="3523" w:type="pct"/>
            <w:shd w:val="clear" w:color="auto" w:fill="auto"/>
            <w:vAlign w:val="center"/>
          </w:tcPr>
          <w:p>
            <w:pPr>
              <w:widowControl/>
              <w:jc w:val="left"/>
              <w:rPr>
                <w:rFonts w:cs="宋体" w:asciiTheme="minorEastAsia" w:hAnsiTheme="minorEastAsia"/>
                <w:kern w:val="0"/>
                <w:szCs w:val="21"/>
              </w:rPr>
            </w:pPr>
            <w:r>
              <w:rPr>
                <w:rFonts w:hint="eastAsia" w:cs="宋体" w:asciiTheme="minorEastAsia" w:hAnsiTheme="minorEastAsia"/>
                <w:kern w:val="0"/>
                <w:szCs w:val="21"/>
              </w:rPr>
              <w:t>1、健全矛盾纠纷多元化解体制机制；2、构建矛盾排查化解长效常治体系；3、提升基层矛盾化解实战能力。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477" w:type="pct"/>
            <w:shd w:val="clear" w:color="auto" w:fill="auto"/>
            <w:noWrap/>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大英县提升基层应急管理能力工作方案</w:t>
            </w:r>
          </w:p>
        </w:tc>
        <w:tc>
          <w:tcPr>
            <w:tcW w:w="3523" w:type="pct"/>
            <w:shd w:val="clear" w:color="auto" w:fill="auto"/>
            <w:vAlign w:val="center"/>
          </w:tcPr>
          <w:p>
            <w:pPr>
              <w:widowControl/>
              <w:jc w:val="left"/>
              <w:rPr>
                <w:rFonts w:cs="宋体" w:asciiTheme="minorEastAsia" w:hAnsiTheme="minorEastAsia"/>
                <w:kern w:val="0"/>
                <w:szCs w:val="21"/>
              </w:rPr>
            </w:pPr>
            <w:r>
              <w:rPr>
                <w:rFonts w:hint="eastAsia" w:cs="宋体" w:asciiTheme="minorEastAsia" w:hAnsiTheme="minorEastAsia"/>
                <w:kern w:val="0"/>
                <w:szCs w:val="21"/>
              </w:rPr>
              <w:t>1、夯实基层应急管理基础；2、做实应急力量体系建设；3、强化应急工作规范化建设；4、切实提高应急保障能力。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477" w:type="pct"/>
            <w:shd w:val="clear" w:color="auto" w:fill="auto"/>
            <w:noWrap/>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大英县健全社会工作服务体系工作方案</w:t>
            </w:r>
          </w:p>
        </w:tc>
        <w:tc>
          <w:tcPr>
            <w:tcW w:w="3523" w:type="pct"/>
            <w:shd w:val="clear" w:color="auto" w:fill="auto"/>
            <w:vAlign w:val="center"/>
          </w:tcPr>
          <w:p>
            <w:pPr>
              <w:widowControl/>
              <w:jc w:val="left"/>
              <w:rPr>
                <w:rFonts w:cs="宋体" w:asciiTheme="minorEastAsia" w:hAnsiTheme="minorEastAsia"/>
                <w:kern w:val="0"/>
                <w:szCs w:val="21"/>
              </w:rPr>
            </w:pPr>
            <w:r>
              <w:rPr>
                <w:rFonts w:hint="eastAsia" w:cs="宋体" w:asciiTheme="minorEastAsia" w:hAnsiTheme="minorEastAsia"/>
                <w:kern w:val="0"/>
                <w:szCs w:val="21"/>
              </w:rPr>
              <w:t>1、优化站点布局；2、多元整合构建；3、校准功能定位；4、优化资源配置；5、创新队伍建设；6、健全运行机制；7、抓好试点示范；8、夯实行业枢纽；9、强化党建引领。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477" w:type="pct"/>
            <w:shd w:val="clear" w:color="auto" w:fill="auto"/>
            <w:noWrap/>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大英县完善镇村邮政综合服务体系工作方案</w:t>
            </w:r>
          </w:p>
        </w:tc>
        <w:tc>
          <w:tcPr>
            <w:tcW w:w="3523" w:type="pct"/>
            <w:shd w:val="clear" w:color="auto" w:fill="auto"/>
            <w:vAlign w:val="center"/>
          </w:tcPr>
          <w:p>
            <w:pPr>
              <w:widowControl/>
              <w:jc w:val="left"/>
              <w:rPr>
                <w:rFonts w:cs="宋体" w:asciiTheme="minorEastAsia" w:hAnsiTheme="minorEastAsia"/>
                <w:kern w:val="0"/>
                <w:szCs w:val="21"/>
              </w:rPr>
            </w:pPr>
            <w:r>
              <w:rPr>
                <w:rFonts w:hint="eastAsia" w:cs="宋体" w:asciiTheme="minorEastAsia" w:hAnsiTheme="minorEastAsia"/>
                <w:kern w:val="0"/>
                <w:szCs w:val="21"/>
              </w:rPr>
              <w:t>1、提升邮政普遍服务网点服务能力；2、增强农村交通运输发展能力；3、深入开展农村普惠金融服务；4、提升农村公共文化服务效能；5、完善村镇综合便民服务体系；6、全面推动实施邮政惠农合作项目。</w:t>
            </w:r>
          </w:p>
        </w:tc>
      </w:tr>
    </w:tbl>
    <w:p>
      <w:pPr>
        <w:adjustRightInd w:val="0"/>
        <w:snapToGrid w:val="0"/>
        <w:spacing w:beforeLines="50"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2、全县行业</w:t>
      </w:r>
      <w:r>
        <w:rPr>
          <w:rFonts w:eastAsia="宋体" w:cs="Times New Roman" w:asciiTheme="minorEastAsia" w:hAnsiTheme="minorEastAsia"/>
          <w:kern w:val="0"/>
          <w:sz w:val="24"/>
          <w:szCs w:val="24"/>
        </w:rPr>
        <w:t>“十四五”</w:t>
      </w:r>
      <w:r>
        <w:rPr>
          <w:rFonts w:hint="eastAsia" w:eastAsia="宋体" w:cs="Times New Roman" w:asciiTheme="minorEastAsia" w:hAnsiTheme="minorEastAsia"/>
          <w:kern w:val="0"/>
          <w:sz w:val="24"/>
          <w:szCs w:val="24"/>
        </w:rPr>
        <w:t>专项规划</w:t>
      </w:r>
    </w:p>
    <w:p>
      <w:pPr>
        <w:adjustRightInd w:val="0"/>
        <w:snapToGrid w:val="0"/>
        <w:spacing w:line="360" w:lineRule="auto"/>
        <w:rPr>
          <w:rFonts w:cs="Times New Roman" w:asciiTheme="minorEastAsia" w:hAnsiTheme="minorEastAsia"/>
          <w:kern w:val="0"/>
          <w:sz w:val="24"/>
          <w:szCs w:val="24"/>
        </w:rPr>
      </w:pPr>
      <w:r>
        <w:rPr>
          <w:rFonts w:eastAsia="宋体" w:cs="Times New Roman" w:asciiTheme="minorEastAsia" w:hAnsiTheme="minorEastAsia"/>
          <w:kern w:val="0"/>
          <w:sz w:val="24"/>
          <w:szCs w:val="24"/>
        </w:rPr>
        <w:t xml:space="preserve"> “十四五”衔接汇总表</w:t>
      </w:r>
      <w:r>
        <w:rPr>
          <w:rFonts w:hint="eastAsia" w:eastAsia="宋体" w:cs="Times New Roman" w:asciiTheme="minorEastAsia" w:hAnsiTheme="minorEastAsia"/>
          <w:kern w:val="0"/>
          <w:sz w:val="24"/>
          <w:szCs w:val="24"/>
        </w:rPr>
        <w:t>：</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9"/>
        <w:gridCol w:w="68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979" w:type="pct"/>
            <w:shd w:val="clear" w:color="auto" w:fill="auto"/>
            <w:noWrap/>
            <w:vAlign w:val="center"/>
          </w:tcPr>
          <w:p>
            <w:pPr>
              <w:widowControl/>
              <w:jc w:val="center"/>
              <w:rPr>
                <w:rFonts w:ascii="宋体" w:hAnsi="宋体" w:eastAsia="宋体" w:cs="宋体"/>
                <w:kern w:val="0"/>
                <w:szCs w:val="21"/>
              </w:rPr>
            </w:pPr>
            <w:r>
              <w:rPr>
                <w:rFonts w:eastAsia="宋体" w:cs="Times New Roman" w:asciiTheme="minorEastAsia" w:hAnsiTheme="minorEastAsia"/>
                <w:kern w:val="0"/>
                <w:sz w:val="24"/>
                <w:szCs w:val="24"/>
              </w:rPr>
              <w:t>“十四五”</w:t>
            </w:r>
            <w:r>
              <w:rPr>
                <w:rFonts w:ascii="宋体" w:hAnsi="宋体" w:eastAsia="宋体" w:cs="宋体"/>
                <w:kern w:val="0"/>
                <w:szCs w:val="21"/>
              </w:rPr>
              <w:t>名称</w:t>
            </w:r>
          </w:p>
        </w:tc>
        <w:tc>
          <w:tcPr>
            <w:tcW w:w="4021" w:type="pct"/>
            <w:shd w:val="clear" w:color="auto" w:fill="auto"/>
            <w:noWrap/>
            <w:vAlign w:val="center"/>
          </w:tcPr>
          <w:p>
            <w:pPr>
              <w:widowControl/>
              <w:jc w:val="center"/>
              <w:rPr>
                <w:rFonts w:ascii="宋体" w:hAnsi="宋体" w:eastAsia="宋体" w:cs="宋体"/>
                <w:kern w:val="0"/>
                <w:szCs w:val="21"/>
              </w:rPr>
            </w:pPr>
            <w:r>
              <w:rPr>
                <w:rFonts w:ascii="宋体" w:hAnsi="宋体" w:eastAsia="宋体" w:cs="宋体"/>
                <w:kern w:val="0"/>
                <w:szCs w:val="21"/>
              </w:rPr>
              <w:t>涉及片区规划的相关内容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979" w:type="pct"/>
            <w:shd w:val="clear" w:color="auto" w:fill="auto"/>
            <w:noWrap/>
            <w:vAlign w:val="center"/>
          </w:tcPr>
          <w:p>
            <w:pPr>
              <w:widowControl/>
              <w:jc w:val="center"/>
              <w:rPr>
                <w:rFonts w:ascii="宋体" w:hAnsi="宋体" w:eastAsia="宋体" w:cs="宋体"/>
                <w:kern w:val="0"/>
                <w:szCs w:val="21"/>
              </w:rPr>
            </w:pPr>
            <w:r>
              <w:rPr>
                <w:rFonts w:ascii="宋体" w:hAnsi="宋体" w:eastAsia="宋体" w:cs="宋体"/>
                <w:kern w:val="0"/>
                <w:szCs w:val="21"/>
              </w:rPr>
              <w:t>大英县“十四五”应急管理应急体系建设专项规划</w:t>
            </w:r>
          </w:p>
        </w:tc>
        <w:tc>
          <w:tcPr>
            <w:tcW w:w="4021" w:type="pct"/>
            <w:shd w:val="clear" w:color="auto" w:fill="auto"/>
            <w:vAlign w:val="center"/>
          </w:tcPr>
          <w:p>
            <w:pPr>
              <w:widowControl/>
              <w:jc w:val="left"/>
              <w:rPr>
                <w:rFonts w:ascii="宋体" w:hAnsi="宋体" w:eastAsia="宋体" w:cs="宋体"/>
                <w:kern w:val="0"/>
                <w:szCs w:val="21"/>
              </w:rPr>
            </w:pPr>
            <w:r>
              <w:rPr>
                <w:rFonts w:hint="eastAsia" w:ascii="宋体" w:hAnsi="宋体" w:eastAsia="宋体" w:cs="宋体"/>
                <w:kern w:val="0"/>
                <w:szCs w:val="21"/>
              </w:rPr>
              <w:t>截止</w:t>
            </w:r>
            <w:r>
              <w:rPr>
                <w:rFonts w:ascii="宋体" w:hAnsi="宋体" w:eastAsia="宋体" w:cs="宋体"/>
                <w:kern w:val="0"/>
                <w:szCs w:val="21"/>
              </w:rPr>
              <w:t>2025年全县需按照《城市消防站建设标准》（建标152-2017）和《乡镇消防队建设标准》（GB/T35547</w:t>
            </w:r>
            <w:r>
              <w:rPr>
                <w:rFonts w:hint="eastAsia" w:ascii="宋体" w:hAnsi="宋体" w:eastAsia="宋体" w:cs="宋体"/>
                <w:kern w:val="0"/>
                <w:szCs w:val="21"/>
              </w:rPr>
              <w:t>—</w:t>
            </w:r>
            <w:r>
              <w:rPr>
                <w:rFonts w:ascii="宋体" w:hAnsi="宋体" w:eastAsia="宋体" w:cs="宋体"/>
                <w:kern w:val="0"/>
                <w:szCs w:val="21"/>
              </w:rPr>
              <w:t>2017）配备配齐各类消防器材和消防车辆，同时逐步规范增加布设各级城乡消防站（点）。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979" w:type="pct"/>
            <w:shd w:val="clear" w:color="auto" w:fill="auto"/>
            <w:noWrap/>
            <w:vAlign w:val="center"/>
          </w:tcPr>
          <w:p>
            <w:pPr>
              <w:widowControl/>
              <w:jc w:val="center"/>
              <w:rPr>
                <w:rFonts w:ascii="宋体" w:hAnsi="宋体" w:eastAsia="宋体" w:cs="宋体"/>
                <w:kern w:val="0"/>
                <w:szCs w:val="21"/>
              </w:rPr>
            </w:pPr>
            <w:r>
              <w:rPr>
                <w:rFonts w:ascii="宋体" w:hAnsi="宋体" w:eastAsia="宋体" w:cs="宋体"/>
                <w:kern w:val="0"/>
                <w:szCs w:val="21"/>
              </w:rPr>
              <w:t>大英县教育事业发展“十四五”规划</w:t>
            </w:r>
          </w:p>
        </w:tc>
        <w:tc>
          <w:tcPr>
            <w:tcW w:w="4021" w:type="pct"/>
            <w:shd w:val="clear" w:color="auto" w:fill="auto"/>
            <w:vAlign w:val="center"/>
          </w:tcPr>
          <w:p>
            <w:pPr>
              <w:widowControl/>
              <w:jc w:val="left"/>
              <w:rPr>
                <w:rFonts w:ascii="宋体" w:hAnsi="宋体" w:eastAsia="宋体" w:cs="宋体"/>
                <w:kern w:val="0"/>
                <w:szCs w:val="21"/>
                <w:lang w:eastAsia="zh-TW"/>
              </w:rPr>
            </w:pPr>
            <w:r>
              <w:rPr>
                <w:rFonts w:ascii="宋体" w:hAnsi="宋体" w:eastAsia="宋体" w:cs="宋体"/>
                <w:kern w:val="0"/>
                <w:szCs w:val="21"/>
              </w:rPr>
              <w:t>点位：新建玉峰幼儿园。撤销智水初中，撤销福禄小学、永乐小学、黄莲小学，改造智水小学、永乐小学、黄莲小学为幼儿园，永乐小学与象山小学合并建设。调整星花小学为九年一贯制。</w:t>
            </w:r>
            <w:r>
              <w:rPr>
                <w:rFonts w:hint="eastAsia" w:ascii="宋体" w:hAnsi="宋体" w:eastAsia="宋体" w:cs="宋体"/>
                <w:kern w:val="0"/>
                <w:szCs w:val="21"/>
              </w:rPr>
              <w:br w:type="textWrapping"/>
            </w:r>
            <w:r>
              <w:rPr>
                <w:rFonts w:ascii="宋体" w:hAnsi="宋体" w:eastAsia="宋体" w:cs="宋体"/>
                <w:kern w:val="0"/>
                <w:szCs w:val="21"/>
              </w:rPr>
              <w:t>建设项目：象山小学校学生宿舍及运动场建设项目，象山中学运动场、综合楼建设；河边小学宿舍和运动场建设，河边中学校舍建设，星花小学食堂建设；玉峰小学扩建，玉峰中学校舍改建。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979" w:type="pct"/>
            <w:shd w:val="clear" w:color="auto" w:fill="auto"/>
            <w:noWrap/>
            <w:vAlign w:val="center"/>
          </w:tcPr>
          <w:p>
            <w:pPr>
              <w:widowControl/>
              <w:jc w:val="center"/>
              <w:rPr>
                <w:rFonts w:ascii="宋体" w:hAnsi="宋体" w:eastAsia="宋体" w:cs="宋体"/>
                <w:kern w:val="0"/>
                <w:szCs w:val="21"/>
              </w:rPr>
            </w:pPr>
            <w:r>
              <w:rPr>
                <w:rFonts w:ascii="宋体" w:hAnsi="宋体" w:eastAsia="宋体" w:cs="宋体"/>
                <w:kern w:val="0"/>
                <w:szCs w:val="21"/>
              </w:rPr>
              <w:t>大英县“十四五”生态建设与环境</w:t>
            </w:r>
          </w:p>
          <w:p>
            <w:pPr>
              <w:widowControl/>
              <w:jc w:val="center"/>
              <w:rPr>
                <w:rFonts w:ascii="宋体" w:hAnsi="宋体" w:eastAsia="宋体" w:cs="宋体"/>
                <w:kern w:val="0"/>
                <w:szCs w:val="21"/>
              </w:rPr>
            </w:pPr>
            <w:r>
              <w:rPr>
                <w:rFonts w:ascii="宋体" w:hAnsi="宋体" w:eastAsia="宋体" w:cs="宋体"/>
                <w:kern w:val="0"/>
                <w:szCs w:val="21"/>
              </w:rPr>
              <w:t>保护规划</w:t>
            </w:r>
          </w:p>
        </w:tc>
        <w:tc>
          <w:tcPr>
            <w:tcW w:w="4021" w:type="pct"/>
            <w:shd w:val="clear" w:color="auto" w:fill="auto"/>
            <w:vAlign w:val="center"/>
          </w:tcPr>
          <w:p>
            <w:pPr>
              <w:widowControl/>
              <w:jc w:val="left"/>
              <w:rPr>
                <w:rFonts w:ascii="宋体" w:hAnsi="宋体" w:eastAsia="宋体" w:cs="宋体"/>
                <w:kern w:val="0"/>
                <w:szCs w:val="21"/>
              </w:rPr>
            </w:pPr>
            <w:r>
              <w:rPr>
                <w:rFonts w:ascii="宋体" w:hAnsi="宋体" w:eastAsia="宋体" w:cs="宋体"/>
                <w:kern w:val="0"/>
                <w:szCs w:val="21"/>
              </w:rPr>
              <w:t>河边镇处于环境空气二类功能区，星花水库饮用水源地、寸塘口水源地、郪江黄颡鱼国家级水产种质资源保护区为生态优先保护区。推进龙溪河、马力河、寸塘口河等河流的小流域综合治理，对水质超标和群众反映强烈的污染河段，全面排查污染源。加快各镇污水处理设施提升改造，至2025年镇污水处理率达到80%</w:t>
            </w:r>
            <w:r>
              <w:rPr>
                <w:rFonts w:hint="eastAsia" w:ascii="宋体" w:hAnsi="宋体" w:eastAsia="宋体" w:cs="宋体"/>
                <w:kern w:val="0"/>
                <w:szCs w:val="21"/>
              </w:rPr>
              <w:t>以上。</w:t>
            </w:r>
            <w:r>
              <w:rPr>
                <w:rFonts w:ascii="宋体" w:hAnsi="宋体" w:eastAsia="宋体" w:cs="宋体"/>
                <w:kern w:val="0"/>
                <w:szCs w:val="21"/>
              </w:rPr>
              <w:t>因地制宜开展农村生活污水治理，到2025</w:t>
            </w:r>
            <w:r>
              <w:rPr>
                <w:rFonts w:hint="eastAsia" w:ascii="宋体" w:hAnsi="宋体" w:eastAsia="宋体" w:cs="宋体"/>
                <w:kern w:val="0"/>
                <w:szCs w:val="21"/>
              </w:rPr>
              <w:t>年，</w:t>
            </w:r>
            <w:r>
              <w:rPr>
                <w:rFonts w:ascii="宋体" w:hAnsi="宋体" w:eastAsia="宋体" w:cs="宋体"/>
                <w:kern w:val="0"/>
                <w:szCs w:val="21"/>
              </w:rPr>
              <w:t>85%</w:t>
            </w:r>
            <w:r>
              <w:rPr>
                <w:rFonts w:hint="eastAsia" w:ascii="宋体" w:hAnsi="宋体" w:eastAsia="宋体" w:cs="宋体"/>
                <w:kern w:val="0"/>
                <w:szCs w:val="21"/>
              </w:rPr>
              <w:t>以上的行政村生活污水得到有效治理。</w:t>
            </w:r>
            <w:r>
              <w:rPr>
                <w:rFonts w:hint="eastAsia" w:ascii="宋体" w:hAnsi="宋体" w:eastAsia="宋体" w:cs="宋体"/>
                <w:kern w:val="0"/>
                <w:szCs w:val="21"/>
              </w:rPr>
              <w:br w:type="textWrapping"/>
            </w:r>
            <w:r>
              <w:rPr>
                <w:rFonts w:hint="eastAsia" w:ascii="宋体" w:hAnsi="宋体" w:eastAsia="宋体" w:cs="宋体"/>
                <w:kern w:val="0"/>
                <w:szCs w:val="21"/>
              </w:rPr>
              <w:t>到</w:t>
            </w:r>
            <w:r>
              <w:rPr>
                <w:rFonts w:ascii="宋体" w:hAnsi="宋体" w:eastAsia="宋体" w:cs="宋体"/>
                <w:kern w:val="0"/>
                <w:szCs w:val="21"/>
              </w:rPr>
              <w:t>2025年，全县95%</w:t>
            </w:r>
            <w:r>
              <w:rPr>
                <w:rFonts w:hint="eastAsia" w:ascii="宋体" w:hAnsi="宋体" w:eastAsia="宋体" w:cs="宋体"/>
                <w:kern w:val="0"/>
                <w:szCs w:val="21"/>
              </w:rPr>
              <w:t>以上的行政村生活垃圾得到有效治理。</w:t>
            </w:r>
            <w:r>
              <w:rPr>
                <w:rFonts w:ascii="宋体" w:hAnsi="宋体" w:eastAsia="宋体" w:cs="宋体"/>
                <w:kern w:val="0"/>
                <w:szCs w:val="21"/>
              </w:rPr>
              <w:t>玉峰镇花溪河流域水环境治理项目新建生态护坡11</w:t>
            </w:r>
            <w:r>
              <w:rPr>
                <w:rFonts w:hint="eastAsia" w:ascii="宋体" w:hAnsi="宋体" w:eastAsia="宋体" w:cs="宋体"/>
                <w:kern w:val="0"/>
                <w:szCs w:val="21"/>
              </w:rPr>
              <w:t>公里；</w:t>
            </w:r>
            <w:r>
              <w:rPr>
                <w:rFonts w:ascii="宋体" w:hAnsi="宋体" w:eastAsia="宋体" w:cs="宋体"/>
                <w:kern w:val="0"/>
                <w:szCs w:val="21"/>
              </w:rPr>
              <w:t>新建生态渠系3</w:t>
            </w:r>
            <w:r>
              <w:rPr>
                <w:rFonts w:hint="eastAsia" w:ascii="宋体" w:hAnsi="宋体" w:eastAsia="宋体" w:cs="宋体"/>
                <w:kern w:val="0"/>
                <w:szCs w:val="21"/>
              </w:rPr>
              <w:t>公里；新建河道堡坎</w:t>
            </w:r>
            <w:r>
              <w:rPr>
                <w:rFonts w:ascii="宋体" w:hAnsi="宋体" w:eastAsia="宋体" w:cs="宋体"/>
                <w:kern w:val="0"/>
                <w:szCs w:val="21"/>
              </w:rPr>
              <w:t>3</w:t>
            </w:r>
            <w:r>
              <w:rPr>
                <w:rFonts w:hint="eastAsia" w:ascii="宋体" w:hAnsi="宋体" w:eastAsia="宋体" w:cs="宋体"/>
                <w:kern w:val="0"/>
                <w:szCs w:val="21"/>
              </w:rPr>
              <w:t>公里；</w:t>
            </w:r>
            <w:r>
              <w:rPr>
                <w:rFonts w:ascii="宋体" w:hAnsi="宋体" w:eastAsia="宋体" w:cs="宋体"/>
                <w:kern w:val="0"/>
                <w:szCs w:val="21"/>
              </w:rPr>
              <w:t>新建污水处理厂污水管网10</w:t>
            </w:r>
            <w:r>
              <w:rPr>
                <w:rFonts w:hint="eastAsia" w:ascii="宋体" w:hAnsi="宋体" w:eastAsia="宋体" w:cs="宋体"/>
                <w:kern w:val="0"/>
                <w:szCs w:val="21"/>
              </w:rPr>
              <w:t>公里；</w:t>
            </w:r>
            <w:r>
              <w:rPr>
                <w:rFonts w:ascii="宋体" w:hAnsi="宋体" w:eastAsia="宋体" w:cs="宋体"/>
                <w:kern w:val="0"/>
                <w:szCs w:val="21"/>
              </w:rPr>
              <w:t>改建污水处理厂污水管网5</w:t>
            </w:r>
            <w:r>
              <w:rPr>
                <w:rFonts w:hint="eastAsia" w:ascii="宋体" w:hAnsi="宋体" w:eastAsia="宋体" w:cs="宋体"/>
                <w:kern w:val="0"/>
                <w:szCs w:val="21"/>
              </w:rPr>
              <w:t>公里。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0" w:hRule="atLeast"/>
        </w:trPr>
        <w:tc>
          <w:tcPr>
            <w:tcW w:w="979" w:type="pct"/>
            <w:shd w:val="clear" w:color="auto" w:fill="auto"/>
            <w:noWrap/>
            <w:vAlign w:val="center"/>
          </w:tcPr>
          <w:p>
            <w:pPr>
              <w:widowControl/>
              <w:jc w:val="center"/>
              <w:rPr>
                <w:rFonts w:ascii="宋体" w:hAnsi="宋体" w:eastAsia="宋体" w:cs="宋体"/>
                <w:kern w:val="0"/>
                <w:szCs w:val="21"/>
              </w:rPr>
            </w:pPr>
            <w:r>
              <w:rPr>
                <w:rFonts w:ascii="宋体" w:hAnsi="宋体" w:eastAsia="宋体" w:cs="宋体"/>
                <w:kern w:val="0"/>
                <w:szCs w:val="21"/>
              </w:rPr>
              <w:t>大英县“十四五”农业农村</w:t>
            </w:r>
          </w:p>
          <w:p>
            <w:pPr>
              <w:widowControl/>
              <w:jc w:val="center"/>
              <w:rPr>
                <w:rFonts w:ascii="宋体" w:hAnsi="宋体" w:eastAsia="宋体" w:cs="宋体"/>
                <w:kern w:val="0"/>
                <w:szCs w:val="21"/>
              </w:rPr>
            </w:pPr>
            <w:r>
              <w:rPr>
                <w:rFonts w:ascii="宋体" w:hAnsi="宋体" w:eastAsia="宋体" w:cs="宋体"/>
                <w:kern w:val="0"/>
                <w:szCs w:val="21"/>
              </w:rPr>
              <w:t>发展规划</w:t>
            </w:r>
          </w:p>
        </w:tc>
        <w:tc>
          <w:tcPr>
            <w:tcW w:w="4021" w:type="pct"/>
            <w:shd w:val="clear" w:color="auto" w:fill="auto"/>
            <w:vAlign w:val="center"/>
          </w:tcPr>
          <w:p>
            <w:pPr>
              <w:widowControl/>
              <w:jc w:val="left"/>
              <w:rPr>
                <w:rFonts w:ascii="宋体" w:hAnsi="宋体" w:eastAsia="宋体" w:cs="宋体"/>
                <w:kern w:val="0"/>
                <w:szCs w:val="21"/>
              </w:rPr>
            </w:pPr>
            <w:r>
              <w:rPr>
                <w:rFonts w:ascii="宋体" w:hAnsi="宋体" w:eastAsia="宋体" w:cs="宋体"/>
                <w:kern w:val="0"/>
                <w:szCs w:val="21"/>
              </w:rPr>
              <w:t>现代农业园区实现转型升级，建成南部区域3万亩河边、天保现代特色水果产业园区，依托寸塘口水库、星花水库、四五水库、五五水库和郪江等水资源优势，支持河边以油菜为主全面发展无公害油菜、水稻；支持玉峰、天保、金元、象山在巩固粮油生产的基础上，有序建设无公害粮油标准化示范基地，象山智能化万头优质种猪繁育场养殖发展，支持河边、玉峰、天保规划建设万头优质种猪繁育养殖场、优质育肥猪养殖小区。培优做强擦亮河边白柠檬地理标志和富鑫牌柠檬，加强冷链物流配送体系建设，加快发展果汁饮料加工增值。支持两江沿线的象山、隆盛、回马建设绿色蔬菜基地，支持象山、隆盛大力发展设施农业，以实施智慧农业打造绿色蔬菜示范基地。以蓬莱、隆盛、象山、回马、天保、玉峰等镇为主的水库、塘堰和稻田生态养殖水产品。在隆盛镇、河边镇规划建设农产品交易中心2个</w:t>
            </w:r>
            <w:r>
              <w:rPr>
                <w:rFonts w:hint="eastAsia" w:ascii="宋体" w:hAnsi="宋体" w:eastAsia="宋体" w:cs="宋体"/>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979" w:type="pct"/>
            <w:shd w:val="clear" w:color="auto" w:fill="auto"/>
            <w:noWrap/>
            <w:vAlign w:val="center"/>
          </w:tcPr>
          <w:p>
            <w:pPr>
              <w:widowControl/>
              <w:jc w:val="center"/>
              <w:rPr>
                <w:rFonts w:ascii="宋体" w:hAnsi="宋体" w:eastAsia="宋体" w:cs="宋体"/>
                <w:kern w:val="0"/>
                <w:szCs w:val="21"/>
              </w:rPr>
            </w:pPr>
            <w:r>
              <w:rPr>
                <w:rFonts w:ascii="宋体" w:hAnsi="宋体" w:eastAsia="宋体" w:cs="宋体"/>
                <w:kern w:val="0"/>
                <w:szCs w:val="21"/>
              </w:rPr>
              <w:t>四川省大英县“十四五”水安全保障规划</w:t>
            </w:r>
          </w:p>
        </w:tc>
        <w:tc>
          <w:tcPr>
            <w:tcW w:w="4021" w:type="pct"/>
            <w:shd w:val="clear" w:color="auto" w:fill="auto"/>
            <w:vAlign w:val="center"/>
          </w:tcPr>
          <w:p>
            <w:pPr>
              <w:widowControl/>
              <w:jc w:val="left"/>
              <w:rPr>
                <w:rFonts w:ascii="宋体" w:hAnsi="宋体" w:eastAsia="宋体" w:cs="宋体"/>
                <w:kern w:val="0"/>
                <w:szCs w:val="21"/>
              </w:rPr>
            </w:pPr>
            <w:r>
              <w:rPr>
                <w:rFonts w:ascii="宋体" w:hAnsi="宋体" w:eastAsia="宋体" w:cs="宋体"/>
                <w:kern w:val="0"/>
                <w:szCs w:val="21"/>
              </w:rPr>
              <w:t>加快推进毗河大英灌区引水工程、寸塘口水库扩建前期工作，着力提高水资源调蓄能力，进一步增强城乡供水保障和应急能力。</w:t>
            </w:r>
            <w:r>
              <w:rPr>
                <w:rFonts w:hint="eastAsia" w:ascii="宋体" w:hAnsi="宋体" w:eastAsia="宋体" w:cs="宋体"/>
                <w:kern w:val="0"/>
                <w:szCs w:val="21"/>
              </w:rPr>
              <w:t>到</w:t>
            </w:r>
            <w:r>
              <w:rPr>
                <w:rFonts w:ascii="宋体" w:hAnsi="宋体" w:eastAsia="宋体" w:cs="宋体"/>
                <w:kern w:val="0"/>
                <w:szCs w:val="21"/>
              </w:rPr>
              <w:t>2025 年，农村集中供水率达到90%，农村自来水普及率达到85%，农村自来水合格率达到90%</w:t>
            </w:r>
            <w:r>
              <w:rPr>
                <w:rFonts w:hint="eastAsia" w:ascii="宋体" w:hAnsi="宋体" w:eastAsia="宋体" w:cs="宋体"/>
                <w:kern w:val="0"/>
                <w:szCs w:val="21"/>
              </w:rPr>
              <w:t>以上。</w:t>
            </w:r>
            <w:r>
              <w:rPr>
                <w:rFonts w:ascii="宋体" w:hAnsi="宋体" w:eastAsia="宋体" w:cs="宋体"/>
                <w:kern w:val="0"/>
                <w:szCs w:val="21"/>
              </w:rPr>
              <w:t>完成星花、寸塘口集中供水站扩建任务</w:t>
            </w:r>
            <w:r>
              <w:rPr>
                <w:rFonts w:hint="eastAsia" w:ascii="宋体" w:hAnsi="宋体" w:eastAsia="宋体" w:cs="宋体"/>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979" w:type="pct"/>
            <w:shd w:val="clear" w:color="auto" w:fill="auto"/>
            <w:noWrap/>
            <w:vAlign w:val="center"/>
          </w:tcPr>
          <w:p>
            <w:pPr>
              <w:widowControl/>
              <w:jc w:val="center"/>
              <w:rPr>
                <w:rFonts w:ascii="宋体" w:hAnsi="宋体" w:eastAsia="宋体" w:cs="宋体"/>
                <w:kern w:val="0"/>
                <w:szCs w:val="21"/>
              </w:rPr>
            </w:pPr>
            <w:r>
              <w:rPr>
                <w:rFonts w:ascii="宋体" w:hAnsi="宋体" w:eastAsia="宋体" w:cs="宋体"/>
                <w:kern w:val="0"/>
                <w:szCs w:val="21"/>
              </w:rPr>
              <w:t>大英县“十四五”文化和旅游业发展规划</w:t>
            </w:r>
          </w:p>
        </w:tc>
        <w:tc>
          <w:tcPr>
            <w:tcW w:w="4021" w:type="pct"/>
            <w:shd w:val="clear" w:color="auto" w:fill="auto"/>
            <w:vAlign w:val="center"/>
          </w:tcPr>
          <w:p>
            <w:pPr>
              <w:widowControl/>
              <w:jc w:val="left"/>
              <w:rPr>
                <w:rFonts w:ascii="宋体" w:hAnsi="宋体" w:eastAsia="宋体" w:cs="宋体"/>
                <w:kern w:val="0"/>
                <w:szCs w:val="21"/>
                <w:lang w:eastAsia="zh-TW"/>
              </w:rPr>
            </w:pPr>
            <w:r>
              <w:rPr>
                <w:rFonts w:ascii="宋体" w:hAnsi="宋体" w:eastAsia="宋体" w:cs="宋体"/>
                <w:kern w:val="0"/>
                <w:szCs w:val="21"/>
              </w:rPr>
              <w:t>充分利用遂大快捷通道和蓬乐路沿线资源富集、产业聚集、区位独特的优势，推进“农文旅”深度融合，打造一批特色镇村、特色民宿、特色休闲基地，着力构建农旅品牌突出、特色业态丰富、配套设施完整、服务要素齐全的遂大快捷通道乡村旅游振兴示范带和蓬乐路农文旅观光带，辐射带动全县乡村旅游提档升级。重点打造凤阳村等农旅融合示范村，构建</w:t>
            </w:r>
            <w:r>
              <w:rPr>
                <w:rFonts w:hint="eastAsia" w:ascii="宋体" w:hAnsi="宋体" w:eastAsia="宋体" w:cs="宋体"/>
                <w:kern w:val="0"/>
                <w:szCs w:val="21"/>
              </w:rPr>
              <w:t>全域</w:t>
            </w:r>
            <w:r>
              <w:rPr>
                <w:rFonts w:ascii="宋体" w:hAnsi="宋体" w:eastAsia="宋体" w:cs="宋体"/>
                <w:kern w:val="0"/>
                <w:szCs w:val="21"/>
              </w:rPr>
              <w:t>旅游乡村示范基地，提升乡村旅游质量和品牌。推动10 公里沿郪江生态休闲绿道建设。支持象山镇凤阳村打造“盆地花海”，发展“农耕文化旅游”，支持玉峰镇斗笠村发展特色</w:t>
            </w:r>
            <w:r>
              <w:rPr>
                <w:rFonts w:hint="eastAsia" w:ascii="宋体" w:hAnsi="宋体" w:eastAsia="宋体" w:cs="宋体"/>
                <w:kern w:val="0"/>
                <w:szCs w:val="21"/>
              </w:rPr>
              <w:t>民</w:t>
            </w:r>
            <w:r>
              <w:rPr>
                <w:rFonts w:ascii="宋体" w:hAnsi="宋体" w:eastAsia="宋体" w:cs="宋体"/>
                <w:kern w:val="0"/>
                <w:szCs w:val="21"/>
              </w:rPr>
              <w:t>宿、休闲农庄。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979" w:type="pct"/>
            <w:shd w:val="clear" w:color="auto" w:fill="auto"/>
            <w:noWrap/>
            <w:vAlign w:val="center"/>
          </w:tcPr>
          <w:p>
            <w:pPr>
              <w:widowControl/>
              <w:jc w:val="center"/>
              <w:rPr>
                <w:rFonts w:ascii="宋体" w:hAnsi="宋体" w:eastAsia="宋体" w:cs="宋体"/>
                <w:kern w:val="0"/>
                <w:szCs w:val="21"/>
              </w:rPr>
            </w:pPr>
            <w:r>
              <w:rPr>
                <w:rFonts w:ascii="宋体" w:hAnsi="宋体" w:eastAsia="宋体" w:cs="宋体"/>
                <w:kern w:val="0"/>
                <w:szCs w:val="21"/>
              </w:rPr>
              <w:t>大英县“十四五”消防</w:t>
            </w:r>
          </w:p>
          <w:p>
            <w:pPr>
              <w:widowControl/>
              <w:jc w:val="center"/>
              <w:rPr>
                <w:rFonts w:ascii="宋体" w:hAnsi="宋体" w:eastAsia="宋体" w:cs="宋体"/>
                <w:kern w:val="0"/>
                <w:szCs w:val="21"/>
              </w:rPr>
            </w:pPr>
            <w:r>
              <w:rPr>
                <w:rFonts w:ascii="宋体" w:hAnsi="宋体" w:eastAsia="宋体" w:cs="宋体"/>
                <w:kern w:val="0"/>
                <w:szCs w:val="21"/>
              </w:rPr>
              <w:t>专项规划</w:t>
            </w:r>
          </w:p>
        </w:tc>
        <w:tc>
          <w:tcPr>
            <w:tcW w:w="4021" w:type="pct"/>
            <w:shd w:val="clear" w:color="auto" w:fill="auto"/>
            <w:vAlign w:val="center"/>
          </w:tcPr>
          <w:p>
            <w:pPr>
              <w:widowControl/>
              <w:jc w:val="left"/>
              <w:rPr>
                <w:rFonts w:ascii="宋体" w:hAnsi="宋体" w:eastAsia="宋体" w:cs="宋体"/>
                <w:kern w:val="0"/>
                <w:szCs w:val="21"/>
              </w:rPr>
            </w:pPr>
            <w:r>
              <w:rPr>
                <w:rFonts w:ascii="宋体" w:hAnsi="宋体" w:eastAsia="宋体" w:cs="宋体"/>
                <w:kern w:val="0"/>
                <w:szCs w:val="21"/>
              </w:rPr>
              <w:t>2024年底前完成河边镇专职消防队、象山镇专职消防队、消防志愿者等消防救援力量转型升级，2000 人（含）以上的自然村落和居民小区，应建立一级微型消防站。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979" w:type="pct"/>
            <w:shd w:val="clear" w:color="auto" w:fill="auto"/>
            <w:noWrap/>
            <w:vAlign w:val="center"/>
          </w:tcPr>
          <w:p>
            <w:pPr>
              <w:widowControl/>
              <w:jc w:val="center"/>
              <w:rPr>
                <w:rFonts w:ascii="宋体" w:hAnsi="宋体" w:eastAsia="宋体" w:cs="宋体"/>
                <w:kern w:val="0"/>
                <w:szCs w:val="21"/>
              </w:rPr>
            </w:pPr>
            <w:r>
              <w:rPr>
                <w:rFonts w:ascii="宋体" w:hAnsi="宋体" w:eastAsia="宋体" w:cs="宋体"/>
                <w:kern w:val="0"/>
                <w:szCs w:val="21"/>
              </w:rPr>
              <w:t>大英县“十四五”交通运输</w:t>
            </w:r>
          </w:p>
          <w:p>
            <w:pPr>
              <w:widowControl/>
              <w:jc w:val="center"/>
              <w:rPr>
                <w:rFonts w:ascii="宋体" w:hAnsi="宋体" w:eastAsia="宋体" w:cs="宋体"/>
                <w:kern w:val="0"/>
                <w:szCs w:val="21"/>
              </w:rPr>
            </w:pPr>
            <w:r>
              <w:rPr>
                <w:rFonts w:ascii="宋体" w:hAnsi="宋体" w:eastAsia="宋体" w:cs="宋体"/>
                <w:kern w:val="0"/>
                <w:szCs w:val="21"/>
              </w:rPr>
              <w:t>发展规划</w:t>
            </w:r>
          </w:p>
        </w:tc>
        <w:tc>
          <w:tcPr>
            <w:tcW w:w="4021" w:type="pct"/>
            <w:shd w:val="clear" w:color="auto" w:fill="auto"/>
            <w:vAlign w:val="center"/>
          </w:tcPr>
          <w:p>
            <w:pPr>
              <w:widowControl/>
              <w:jc w:val="left"/>
              <w:rPr>
                <w:rFonts w:ascii="宋体" w:hAnsi="宋体" w:eastAsia="宋体" w:cs="宋体"/>
                <w:kern w:val="0"/>
                <w:szCs w:val="21"/>
              </w:rPr>
            </w:pPr>
            <w:r>
              <w:rPr>
                <w:rFonts w:ascii="宋体" w:hAnsi="宋体" w:eastAsia="宋体" w:cs="宋体"/>
                <w:kern w:val="0"/>
                <w:szCs w:val="21"/>
              </w:rPr>
              <w:t>按一级路标准建设G350大英县隆盛镇（玉龙村）至大英县玉峰镇（中江县交界）改建工程，按二级路标准建设S101大英县象山镇（凤阳村)至大英县象山镇(</w:t>
            </w:r>
            <w:r>
              <w:rPr>
                <w:rFonts w:hint="eastAsia" w:ascii="宋体" w:hAnsi="宋体" w:eastAsia="宋体" w:cs="宋体"/>
                <w:kern w:val="0"/>
                <w:szCs w:val="21"/>
              </w:rPr>
              <w:t>象山村）段改建工程</w:t>
            </w:r>
            <w:r>
              <w:rPr>
                <w:rFonts w:ascii="宋体" w:hAnsi="宋体" w:eastAsia="宋体" w:cs="宋体"/>
                <w:kern w:val="0"/>
                <w:szCs w:val="21"/>
              </w:rPr>
              <w:t>，按二级路标准建设S209大英县象山镇（无神村）至大英县天保镇（龙坝村）改建工程，按二级路标准建设S401大英县蓬莱镇（福桥村）至大英县河边镇（铜鼓村）段改建工程。</w:t>
            </w:r>
          </w:p>
        </w:tc>
      </w:tr>
    </w:tbl>
    <w:p>
      <w:pPr>
        <w:adjustRightInd w:val="0"/>
        <w:snapToGrid w:val="0"/>
        <w:spacing w:beforeLines="50" w:line="360" w:lineRule="auto"/>
        <w:ind w:firstLine="482" w:firstLineChars="200"/>
        <w:rPr>
          <w:rFonts w:ascii="黑体" w:hAnsi="黑体" w:eastAsia="黑体" w:cs="Times New Roman"/>
          <w:b/>
          <w:kern w:val="0"/>
          <w:sz w:val="24"/>
          <w:szCs w:val="24"/>
        </w:rPr>
      </w:pPr>
      <w:r>
        <w:rPr>
          <w:rFonts w:ascii="黑体" w:hAnsi="黑体" w:eastAsia="黑体" w:cs="Times New Roman"/>
          <w:b/>
          <w:kern w:val="0"/>
          <w:sz w:val="24"/>
          <w:szCs w:val="24"/>
        </w:rPr>
        <w:t>二</w:t>
      </w:r>
      <w:r>
        <w:rPr>
          <w:rFonts w:hint="eastAsia" w:ascii="黑体" w:hAnsi="黑体" w:eastAsia="黑体" w:cs="Times New Roman"/>
          <w:b/>
          <w:kern w:val="0"/>
          <w:sz w:val="24"/>
          <w:szCs w:val="24"/>
        </w:rPr>
        <w:t>、</w:t>
      </w:r>
      <w:r>
        <w:rPr>
          <w:rFonts w:ascii="黑体" w:hAnsi="黑体" w:eastAsia="黑体" w:cs="Times New Roman"/>
          <w:b/>
          <w:kern w:val="0"/>
          <w:sz w:val="24"/>
          <w:szCs w:val="24"/>
        </w:rPr>
        <w:t>发展机遇</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（一）成渝双城经济圈</w:t>
      </w:r>
    </w:p>
    <w:p>
      <w:pPr>
        <w:adjustRightInd w:val="0"/>
        <w:snapToGrid w:val="0"/>
        <w:spacing w:line="360" w:lineRule="auto"/>
        <w:ind w:firstLine="480" w:firstLineChars="200"/>
        <w:rPr>
          <w:rFonts w:cs="Times New Roman" w:asciiTheme="minorEastAsia" w:hAnsiTheme="minorEastAsia"/>
          <w:kern w:val="0"/>
          <w:sz w:val="24"/>
          <w:szCs w:val="24"/>
          <w:lang w:eastAsia="zh-TW"/>
        </w:rPr>
      </w:pPr>
      <w:r>
        <w:rPr>
          <w:rFonts w:eastAsia="宋体" w:cs="Times New Roman" w:asciiTheme="minorEastAsia" w:hAnsiTheme="minorEastAsia"/>
          <w:kern w:val="0"/>
          <w:sz w:val="24"/>
          <w:szCs w:val="24"/>
        </w:rPr>
        <w:t>成渝地区双城经济圈位于“一带一路”和长江经济带交汇处，是西部陆海新通道的起点，具有连接西南西北，沟通东亚与东南亚、南亚的独特优势。是新形势下促进区域协调发展，形成优势互补、高质量发展区域经济布局的重大战略支撑，也是构建以国内大循环为主体、国内国际双循环相互促进新发展格局的一项重大举措，有利于在西部形成高质量发展的重要增长极，其一体化发展即将上升为国家战略。随着成都东进，重庆西拓，成渝呈现相向发展态势，功能联系日益加强，开放式网络格局显现，遂宁作为位于成渝之间的次级中心城市，将率先受益于成渝相向发展，具有成为成渝城市群一体化发展先行示范的潜力。接力双城经济圈开放网络格局</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片区积极发展现代农业示范，不断推进农业高质量发展，借势不断融入成渝高效特色农业带，分担渝遂绵优质蔬菜生产带上的都市农业功能，利用国家农业高新技术产业园区、现代农业科技创新中心的优质资源和技术</w:t>
      </w:r>
      <w:r>
        <w:rPr>
          <w:rFonts w:hint="eastAsia" w:eastAsia="宋体" w:cs="Times New Roman" w:asciiTheme="minorEastAsia" w:hAnsiTheme="minorEastAsia"/>
          <w:kern w:val="0"/>
          <w:sz w:val="24"/>
          <w:szCs w:val="24"/>
          <w:lang w:val="en-US" w:eastAsia="zh-CN"/>
        </w:rPr>
        <w:t>支撑</w:t>
      </w:r>
      <w:r>
        <w:rPr>
          <w:rFonts w:eastAsia="宋体" w:cs="Times New Roman" w:asciiTheme="minorEastAsia" w:hAnsiTheme="minorEastAsia"/>
          <w:kern w:val="0"/>
          <w:sz w:val="24"/>
          <w:szCs w:val="24"/>
        </w:rPr>
        <w:t>，改良片区耕种技术、提升耕种质量，高质量打造渝遂绵优质蔬菜生产带上的优质粮油示范基地。</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（二）成都平原经济区</w:t>
      </w:r>
    </w:p>
    <w:p>
      <w:pPr>
        <w:adjustRightInd w:val="0"/>
        <w:snapToGrid w:val="0"/>
        <w:spacing w:line="360" w:lineRule="auto"/>
        <w:ind w:firstLine="480" w:firstLineChars="200"/>
        <w:rPr>
          <w:rFonts w:cs="Times New Roman" w:asciiTheme="minorEastAsia" w:hAnsiTheme="minorEastAsia"/>
          <w:kern w:val="0"/>
          <w:sz w:val="24"/>
          <w:szCs w:val="24"/>
          <w:lang w:eastAsia="zh-TW"/>
        </w:rPr>
      </w:pPr>
      <w:r>
        <w:rPr>
          <w:rFonts w:eastAsia="宋体" w:cs="Times New Roman" w:asciiTheme="minorEastAsia" w:hAnsiTheme="minorEastAsia"/>
          <w:kern w:val="0"/>
          <w:sz w:val="24"/>
          <w:szCs w:val="24"/>
        </w:rPr>
        <w:t>成都平原经济区是四川省五大经济区之首，是四川构建“一干多支，五区协同”区域发展新格局的关键，同时也是成渝地区双城经济圈建设的重点区域。根据区域划分，成都平原经济区共由成都、绵阳、德阳、乐山、遂宁、资阳、雅安等8座地级市组成。成都平原经济区定位为高质量发展活跃增长极，科技创新重要策源地，内陆改革开放示范区和大都市宜居生活典范区。</w:t>
      </w:r>
      <w:r>
        <w:rPr>
          <w:rFonts w:hint="eastAsia" w:eastAsia="宋体" w:cs="Times New Roman" w:asciiTheme="minorEastAsia" w:hAnsiTheme="minorEastAsia"/>
          <w:kern w:val="0"/>
          <w:sz w:val="24"/>
          <w:szCs w:val="24"/>
        </w:rPr>
        <w:t>在</w:t>
      </w:r>
      <w:r>
        <w:rPr>
          <w:rFonts w:eastAsia="宋体" w:cs="Times New Roman" w:asciiTheme="minorEastAsia" w:hAnsiTheme="minorEastAsia"/>
          <w:kern w:val="0"/>
          <w:sz w:val="24"/>
          <w:szCs w:val="24"/>
        </w:rPr>
        <w:t>合力做强优势特色产业方面，规划</w:t>
      </w:r>
      <w:r>
        <w:rPr>
          <w:rFonts w:hint="eastAsia" w:eastAsia="宋体" w:cs="Times New Roman" w:asciiTheme="minorEastAsia" w:hAnsiTheme="minorEastAsia"/>
          <w:kern w:val="0"/>
          <w:sz w:val="24"/>
          <w:szCs w:val="24"/>
        </w:rPr>
        <w:t>聚焦“</w:t>
      </w:r>
      <w:r>
        <w:rPr>
          <w:rFonts w:eastAsia="宋体" w:cs="Times New Roman" w:asciiTheme="minorEastAsia" w:hAnsiTheme="minorEastAsia"/>
          <w:kern w:val="0"/>
          <w:sz w:val="24"/>
          <w:szCs w:val="24"/>
        </w:rPr>
        <w:t>10+3</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 xml:space="preserve"> 现代农业体系,加快发展休闲农业、绿色农业、数字农业,促进农村一二三产业深度融合。</w:t>
      </w:r>
      <w:r>
        <w:rPr>
          <w:rFonts w:hint="eastAsia" w:eastAsia="宋体" w:cs="Times New Roman" w:asciiTheme="minorEastAsia" w:hAnsiTheme="minorEastAsia"/>
          <w:kern w:val="0"/>
          <w:sz w:val="24"/>
          <w:szCs w:val="24"/>
        </w:rPr>
        <w:t>要求</w:t>
      </w:r>
      <w:r>
        <w:rPr>
          <w:rFonts w:eastAsia="宋体" w:cs="Times New Roman" w:asciiTheme="minorEastAsia" w:hAnsiTheme="minorEastAsia"/>
          <w:kern w:val="0"/>
          <w:sz w:val="24"/>
          <w:szCs w:val="24"/>
        </w:rPr>
        <w:t>做强渝遂绵优质蔬菜生产带、雅乐名优茶产业带、眉乐晚熟柑橘产业带,共同推进川茶、川药、川酒等地理标志保护和高质量发展。开展农业科技创新和推广,强化现代农业技术装备支撑,打造国家现代农业产业科技创新中心,建设中国天府农业博览园、国家种质资源库西部中心库和国家农业高新技术产业示范区。健全农业社会化服务体系,加大家庭农场、专业合作社、龙头企业培育力度,提高农业集约化专业化组织化水平。片区在保障粮食安全的前提下，积极融入成都平原经济区一体化发展，主动与简阳、金堂、乐至等周边毗邻城市和成渝发展主轴重要节点城市建立战略合作及友好城市关系，强化通道、产业、生态、</w:t>
      </w:r>
      <w:r>
        <w:rPr>
          <w:rFonts w:hint="eastAsia" w:eastAsia="宋体" w:cs="Times New Roman" w:asciiTheme="minorEastAsia" w:hAnsiTheme="minorEastAsia"/>
          <w:kern w:val="0"/>
          <w:sz w:val="24"/>
          <w:szCs w:val="24"/>
        </w:rPr>
        <w:t>旅游</w:t>
      </w:r>
      <w:r>
        <w:rPr>
          <w:rFonts w:eastAsia="宋体" w:cs="Times New Roman" w:asciiTheme="minorEastAsia" w:hAnsiTheme="minorEastAsia"/>
          <w:kern w:val="0"/>
          <w:sz w:val="24"/>
          <w:szCs w:val="24"/>
        </w:rPr>
        <w:t>等功能协作</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积极发展绿色休闲农业，为都市区提供农事体验、拓展训练、亲子体验等系列乡村旅游产品，推动片区产业规模集中连片发展，使片区农村实现更多的农业增值收益，借助平原经济区广阔的腹地条件，助力片区实现共同富裕。</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（三）成遂一体协同发展的带动契机</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全省</w:t>
      </w:r>
      <w:r>
        <w:rPr>
          <w:rFonts w:eastAsia="宋体" w:cs="Times New Roman" w:asciiTheme="minorEastAsia" w:hAnsiTheme="minorEastAsia"/>
          <w:kern w:val="0"/>
          <w:sz w:val="24"/>
          <w:szCs w:val="24"/>
        </w:rPr>
        <w:t>“一干多支、五区协同”发展格局加快形成。遂宁与成都山水相连，环境资源条件和经济产业基础互联互补，签署实行成遂协同发展框架协议成效显著。</w:t>
      </w:r>
      <w:r>
        <w:rPr>
          <w:rFonts w:hint="eastAsia" w:eastAsia="宋体" w:cs="Times New Roman" w:asciiTheme="minorEastAsia" w:hAnsiTheme="minorEastAsia"/>
          <w:kern w:val="0"/>
          <w:sz w:val="24"/>
          <w:szCs w:val="24"/>
        </w:rPr>
        <w:t>大英</w:t>
      </w:r>
      <w:r>
        <w:rPr>
          <w:rFonts w:eastAsia="宋体" w:cs="Times New Roman" w:asciiTheme="minorEastAsia" w:hAnsiTheme="minorEastAsia"/>
          <w:kern w:val="0"/>
          <w:sz w:val="24"/>
          <w:szCs w:val="24"/>
        </w:rPr>
        <w:t>位于成渝地区黄金节点，既有对接成都东进战略的天然地缘优势，又有配套成都、服务成都的产业基础，打造遂宁西向融入成都的“门户城”，不断放大在成都平原经济区的影响，将为片区发展带来重大利好。</w:t>
      </w:r>
    </w:p>
    <w:p>
      <w:pPr>
        <w:pStyle w:val="31"/>
        <w:numPr>
          <w:ilvl w:val="0"/>
          <w:numId w:val="1"/>
        </w:numPr>
        <w:spacing w:beforeLines="50" w:afterLines="50"/>
        <w:ind w:left="420"/>
        <w:rPr>
          <w:rFonts w:hAnsi="黑体"/>
        </w:rPr>
      </w:pPr>
      <w:bookmarkStart w:id="13" w:name="_Toc166772162"/>
      <w:r>
        <w:rPr>
          <w:rFonts w:hAnsi="黑体"/>
        </w:rPr>
        <w:t>片区规划</w:t>
      </w:r>
      <w:bookmarkEnd w:id="13"/>
    </w:p>
    <w:p>
      <w:pPr>
        <w:pStyle w:val="36"/>
        <w:numPr>
          <w:ilvl w:val="0"/>
          <w:numId w:val="5"/>
        </w:numPr>
        <w:spacing w:beforeLines="50" w:afterLines="50"/>
        <w:ind w:firstLineChars="0"/>
        <w:jc w:val="center"/>
        <w:rPr>
          <w:rFonts w:ascii="黑体" w:hAnsi="黑体" w:eastAsia="黑体"/>
          <w:b w:val="0"/>
          <w:kern w:val="2"/>
        </w:rPr>
      </w:pPr>
      <w:bookmarkStart w:id="14" w:name="_Toc166772163"/>
      <w:r>
        <w:rPr>
          <w:rFonts w:hint="eastAsia" w:ascii="黑体" w:hAnsi="黑体" w:eastAsia="黑体"/>
          <w:b w:val="0"/>
          <w:kern w:val="2"/>
        </w:rPr>
        <w:t>功能定位</w:t>
      </w:r>
      <w:bookmarkEnd w:id="14"/>
    </w:p>
    <w:p>
      <w:pPr>
        <w:adjustRightInd w:val="0"/>
        <w:snapToGrid w:val="0"/>
        <w:spacing w:line="360" w:lineRule="auto"/>
        <w:ind w:firstLine="482" w:firstLineChars="200"/>
        <w:rPr>
          <w:rFonts w:ascii="黑体" w:hAnsi="黑体" w:eastAsia="黑体" w:cs="Times New Roman"/>
          <w:b/>
          <w:kern w:val="0"/>
          <w:sz w:val="24"/>
          <w:szCs w:val="24"/>
        </w:rPr>
      </w:pPr>
      <w:r>
        <w:rPr>
          <w:rFonts w:hint="eastAsia" w:ascii="黑体" w:hAnsi="黑体" w:eastAsia="黑体" w:cs="Times New Roman"/>
          <w:b/>
          <w:kern w:val="0"/>
          <w:sz w:val="24"/>
          <w:szCs w:val="24"/>
        </w:rPr>
        <w:t>一、发展定位</w:t>
      </w:r>
    </w:p>
    <w:p>
      <w:pPr>
        <w:adjustRightInd w:val="0"/>
        <w:snapToGrid w:val="0"/>
        <w:spacing w:line="360" w:lineRule="auto"/>
        <w:ind w:firstLine="482"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b/>
          <w:kern w:val="0"/>
          <w:sz w:val="24"/>
          <w:szCs w:val="24"/>
          <w:u w:val="single"/>
        </w:rPr>
        <w:t>国家级高效粮油复合产业示范基地。</w:t>
      </w:r>
      <w:r>
        <w:rPr>
          <w:rFonts w:eastAsia="宋体" w:cs="Times New Roman" w:asciiTheme="minorEastAsia" w:hAnsiTheme="minorEastAsia"/>
          <w:kern w:val="0"/>
          <w:sz w:val="24"/>
          <w:szCs w:val="24"/>
        </w:rPr>
        <w:t>紧抓现代农业产业功能区机遇，深耕粮油种植的资源本底，打造</w:t>
      </w:r>
      <w:r>
        <w:rPr>
          <w:rFonts w:hint="eastAsia" w:eastAsia="宋体" w:cs="Times New Roman" w:asciiTheme="minorEastAsia" w:hAnsiTheme="minorEastAsia"/>
          <w:kern w:val="0"/>
          <w:sz w:val="24"/>
          <w:szCs w:val="24"/>
        </w:rPr>
        <w:t>大英县国家级粮油现代农业产业园。</w:t>
      </w:r>
      <w:r>
        <w:rPr>
          <w:rFonts w:eastAsia="宋体" w:cs="Times New Roman" w:asciiTheme="minorEastAsia" w:hAnsiTheme="minorEastAsia"/>
          <w:kern w:val="0"/>
          <w:sz w:val="24"/>
          <w:szCs w:val="24"/>
        </w:rPr>
        <w:t>根植农耕文化和山水林田资源，依托优质乡村旅游资源的示范带动，打造遂宁最具农耕情怀的稻香农旅目的地。</w:t>
      </w:r>
    </w:p>
    <w:p>
      <w:pPr>
        <w:adjustRightInd w:val="0"/>
        <w:snapToGrid w:val="0"/>
        <w:spacing w:line="360" w:lineRule="auto"/>
        <w:ind w:firstLine="482" w:firstLineChars="200"/>
        <w:rPr>
          <w:rFonts w:ascii="黑体" w:hAnsi="黑体" w:eastAsia="黑体" w:cs="Times New Roman"/>
          <w:b/>
          <w:kern w:val="0"/>
          <w:sz w:val="24"/>
          <w:szCs w:val="24"/>
        </w:rPr>
      </w:pPr>
      <w:r>
        <w:rPr>
          <w:rFonts w:hint="eastAsia" w:ascii="黑体" w:hAnsi="黑体" w:eastAsia="黑体" w:cs="Times New Roman"/>
          <w:b/>
          <w:kern w:val="0"/>
          <w:sz w:val="24"/>
          <w:szCs w:val="24"/>
        </w:rPr>
        <w:t>二、规划目标</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至</w:t>
      </w:r>
      <w:r>
        <w:rPr>
          <w:rFonts w:eastAsia="宋体" w:cs="Times New Roman" w:asciiTheme="minorEastAsia" w:hAnsiTheme="minorEastAsia"/>
          <w:kern w:val="0"/>
          <w:sz w:val="24"/>
          <w:szCs w:val="24"/>
        </w:rPr>
        <w:t>2025年，完成粮油现代农业园区创建为</w:t>
      </w:r>
      <w:r>
        <w:rPr>
          <w:rFonts w:hint="eastAsia" w:eastAsia="宋体" w:cs="Times New Roman" w:asciiTheme="minorEastAsia" w:hAnsiTheme="minorEastAsia"/>
          <w:kern w:val="0"/>
          <w:sz w:val="24"/>
          <w:szCs w:val="24"/>
        </w:rPr>
        <w:t>国家级粮油现代农业产业园</w:t>
      </w:r>
      <w:r>
        <w:rPr>
          <w:rFonts w:eastAsia="宋体" w:cs="Times New Roman" w:asciiTheme="minorEastAsia" w:hAnsiTheme="minorEastAsia"/>
          <w:kern w:val="0"/>
          <w:sz w:val="24"/>
          <w:szCs w:val="24"/>
        </w:rPr>
        <w:t>工作。食安</w:t>
      </w:r>
      <w:r>
        <w:rPr>
          <w:rFonts w:hint="eastAsia" w:eastAsia="宋体" w:cs="Times New Roman" w:asciiTheme="minorEastAsia" w:hAnsiTheme="minorEastAsia"/>
          <w:kern w:val="0"/>
          <w:sz w:val="24"/>
          <w:szCs w:val="24"/>
          <w:lang w:val="en-US" w:eastAsia="zh-CN"/>
        </w:rPr>
        <w:t>安全</w:t>
      </w:r>
      <w:r>
        <w:rPr>
          <w:rFonts w:eastAsia="宋体" w:cs="Times New Roman" w:asciiTheme="minorEastAsia" w:hAnsiTheme="minorEastAsia"/>
          <w:kern w:val="0"/>
          <w:sz w:val="24"/>
          <w:szCs w:val="24"/>
        </w:rPr>
        <w:t>得到全面保障，生态景观美丽宜人，生态价值全面彰显</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大英粮油”、“河边白柠檬”成功争创国家地理标志产品，片区初步融入环成都经济区。结合四五水库以及凤阳农耕打造一批乡村民宿、农家乐、农村电商、研学科普基地，片区乡韵稻香的形象基本形成，农民人均纯收入力争达到2.5万元以上，基本形成遂宁市最具乡韵稻香农旅目的地。</w:t>
      </w:r>
    </w:p>
    <w:p>
      <w:pPr>
        <w:adjustRightInd w:val="0"/>
        <w:snapToGrid w:val="0"/>
        <w:spacing w:line="360" w:lineRule="auto"/>
        <w:ind w:firstLine="480" w:firstLineChars="200"/>
        <w:rPr>
          <w:rFonts w:cs="Times New Roman" w:asciiTheme="minorEastAsia" w:hAnsiTheme="minorEastAsia"/>
          <w:kern w:val="0"/>
          <w:sz w:val="24"/>
          <w:szCs w:val="24"/>
        </w:rPr>
      </w:pPr>
      <w:r>
        <w:rPr>
          <w:rFonts w:hint="eastAsia" w:eastAsia="宋体" w:cs="Times New Roman" w:asciiTheme="minorEastAsia" w:hAnsiTheme="minorEastAsia"/>
          <w:kern w:val="0"/>
          <w:sz w:val="24"/>
          <w:szCs w:val="24"/>
        </w:rPr>
        <w:t>至</w:t>
      </w:r>
      <w:r>
        <w:rPr>
          <w:rFonts w:eastAsia="宋体" w:cs="Times New Roman" w:asciiTheme="minorEastAsia" w:hAnsiTheme="minorEastAsia"/>
          <w:kern w:val="0"/>
          <w:sz w:val="24"/>
          <w:szCs w:val="24"/>
        </w:rPr>
        <w:t>2035年，片区基本实现国土空间治理体系和治理能力现代化，农业、农村现代化基本实现，乡村振兴取得突破性进展</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土地利用效率得到有效提升，河边镇辐射能力得到明显提高，河边、玉峰、象山城镇宜居水平得到全面改善，现代川</w:t>
      </w:r>
      <w:r>
        <w:rPr>
          <w:rFonts w:hint="eastAsia" w:eastAsia="宋体" w:cs="Times New Roman" w:asciiTheme="minorEastAsia" w:hAnsiTheme="minorEastAsia"/>
          <w:kern w:val="0"/>
          <w:sz w:val="24"/>
          <w:szCs w:val="24"/>
        </w:rPr>
        <w:t>中</w:t>
      </w:r>
      <w:r>
        <w:rPr>
          <w:rFonts w:eastAsia="宋体" w:cs="Times New Roman" w:asciiTheme="minorEastAsia" w:hAnsiTheme="minorEastAsia"/>
          <w:kern w:val="0"/>
          <w:sz w:val="24"/>
          <w:szCs w:val="24"/>
        </w:rPr>
        <w:t>风貌特色彰显，乡村空间富有魅力。农业现代化体系完善，林下养殖、</w:t>
      </w:r>
      <w:r>
        <w:rPr>
          <w:rFonts w:hint="eastAsia" w:eastAsia="宋体" w:cs="Times New Roman" w:asciiTheme="minorEastAsia" w:hAnsiTheme="minorEastAsia"/>
          <w:kern w:val="0"/>
          <w:sz w:val="24"/>
          <w:szCs w:val="24"/>
        </w:rPr>
        <w:t>稻</w:t>
      </w:r>
      <w:r>
        <w:rPr>
          <w:rFonts w:eastAsia="宋体" w:cs="Times New Roman" w:asciiTheme="minorEastAsia" w:hAnsiTheme="minorEastAsia"/>
          <w:kern w:val="0"/>
          <w:sz w:val="24"/>
          <w:szCs w:val="24"/>
        </w:rPr>
        <w:t>虾养殖等循环</w:t>
      </w:r>
      <w:r>
        <w:rPr>
          <w:rFonts w:hint="eastAsia" w:eastAsia="宋体" w:cs="Times New Roman" w:asciiTheme="minorEastAsia" w:hAnsiTheme="minorEastAsia"/>
          <w:kern w:val="0"/>
          <w:sz w:val="24"/>
          <w:szCs w:val="24"/>
        </w:rPr>
        <w:t>立体</w:t>
      </w:r>
      <w:r>
        <w:rPr>
          <w:rFonts w:eastAsia="宋体" w:cs="Times New Roman" w:asciiTheme="minorEastAsia" w:hAnsiTheme="minorEastAsia"/>
          <w:kern w:val="0"/>
          <w:sz w:val="24"/>
          <w:szCs w:val="24"/>
        </w:rPr>
        <w:t>产业辐射带动能力凸显，村民生活更加富裕。农村生活设施便利化</w:t>
      </w:r>
      <w:r>
        <w:rPr>
          <w:rFonts w:hint="eastAsia" w:eastAsia="宋体" w:cs="Times New Roman" w:asciiTheme="minorEastAsia" w:hAnsiTheme="minorEastAsia"/>
          <w:kern w:val="0"/>
          <w:sz w:val="24"/>
          <w:szCs w:val="24"/>
        </w:rPr>
        <w:t>基本</w:t>
      </w:r>
      <w:r>
        <w:rPr>
          <w:rFonts w:eastAsia="宋体" w:cs="Times New Roman" w:asciiTheme="minorEastAsia" w:hAnsiTheme="minorEastAsia"/>
          <w:kern w:val="0"/>
          <w:sz w:val="24"/>
          <w:szCs w:val="24"/>
        </w:rPr>
        <w:t>实现，城乡基本公共服务均等化水平明显提高。</w:t>
      </w:r>
    </w:p>
    <w:p>
      <w:pPr>
        <w:adjustRightInd w:val="0"/>
        <w:snapToGrid w:val="0"/>
        <w:spacing w:line="360" w:lineRule="auto"/>
        <w:ind w:firstLine="482" w:firstLineChars="200"/>
        <w:rPr>
          <w:rFonts w:ascii="黑体" w:hAnsi="黑体" w:eastAsia="黑体" w:cs="Times New Roman"/>
          <w:b/>
          <w:kern w:val="0"/>
          <w:sz w:val="24"/>
          <w:szCs w:val="24"/>
        </w:rPr>
      </w:pPr>
      <w:r>
        <w:rPr>
          <w:rFonts w:hint="eastAsia" w:ascii="黑体" w:hAnsi="黑体" w:eastAsia="黑体" w:cs="Times New Roman"/>
          <w:b/>
          <w:kern w:val="0"/>
          <w:sz w:val="24"/>
          <w:szCs w:val="24"/>
        </w:rPr>
        <w:t>三、指标体系</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 xml:space="preserve">在传导上位规划指标的基础上，结合片区粮油特征与农耕产业发展目标， </w:t>
      </w:r>
      <w:r>
        <w:rPr>
          <w:rFonts w:eastAsia="宋体" w:cs="Times New Roman" w:asciiTheme="minorEastAsia" w:hAnsiTheme="minorEastAsia"/>
          <w:b/>
          <w:kern w:val="0"/>
          <w:sz w:val="24"/>
          <w:szCs w:val="24"/>
          <w:u w:val="single"/>
        </w:rPr>
        <w:t>确定本片区规划指标体系由15个指标组成，其中约束性指标6个，预期性指标9个。</w:t>
      </w:r>
      <w:r>
        <w:rPr>
          <w:rFonts w:eastAsia="宋体" w:cs="Times New Roman" w:asciiTheme="minorEastAsia" w:hAnsiTheme="minorEastAsia"/>
          <w:kern w:val="0"/>
          <w:sz w:val="24"/>
          <w:szCs w:val="24"/>
        </w:rPr>
        <w:t>具体指标</w:t>
      </w:r>
      <w:r>
        <w:rPr>
          <w:rFonts w:hint="eastAsia" w:eastAsia="宋体" w:cs="Times New Roman" w:asciiTheme="minorEastAsia" w:hAnsiTheme="minorEastAsia"/>
          <w:kern w:val="0"/>
          <w:sz w:val="24"/>
          <w:szCs w:val="24"/>
        </w:rPr>
        <w:t>详见</w:t>
      </w:r>
      <w:r>
        <w:rPr>
          <w:rFonts w:eastAsia="宋体" w:cs="Times New Roman" w:asciiTheme="minorEastAsia" w:hAnsiTheme="minorEastAsia"/>
          <w:kern w:val="0"/>
          <w:sz w:val="24"/>
          <w:szCs w:val="24"/>
        </w:rPr>
        <w:t>附表2片区规划指标体系表</w:t>
      </w:r>
    </w:p>
    <w:p>
      <w:pPr>
        <w:pStyle w:val="36"/>
        <w:numPr>
          <w:ilvl w:val="0"/>
          <w:numId w:val="5"/>
        </w:numPr>
        <w:spacing w:beforeLines="50" w:afterLines="50"/>
        <w:ind w:left="980" w:firstLineChars="0"/>
        <w:jc w:val="center"/>
        <w:rPr>
          <w:rFonts w:ascii="黑体" w:hAnsi="黑体" w:eastAsia="黑体"/>
          <w:b w:val="0"/>
          <w:kern w:val="2"/>
        </w:rPr>
      </w:pPr>
      <w:bookmarkStart w:id="15" w:name="_Toc166772164"/>
      <w:r>
        <w:rPr>
          <w:rFonts w:hint="eastAsia" w:ascii="黑体" w:hAnsi="黑体" w:eastAsia="黑体"/>
          <w:b w:val="0"/>
          <w:kern w:val="2"/>
        </w:rPr>
        <w:t>规划策略</w:t>
      </w:r>
      <w:bookmarkEnd w:id="15"/>
    </w:p>
    <w:p>
      <w:pPr>
        <w:adjustRightInd w:val="0"/>
        <w:snapToGrid w:val="0"/>
        <w:spacing w:line="360" w:lineRule="auto"/>
        <w:ind w:firstLine="482" w:firstLineChars="200"/>
        <w:rPr>
          <w:rFonts w:ascii="黑体" w:hAnsi="黑体" w:eastAsia="黑体" w:cs="Times New Roman"/>
          <w:b/>
          <w:kern w:val="0"/>
          <w:sz w:val="24"/>
          <w:szCs w:val="24"/>
        </w:rPr>
      </w:pPr>
      <w:r>
        <w:rPr>
          <w:rFonts w:hint="eastAsia" w:ascii="黑体" w:hAnsi="黑体" w:eastAsia="黑体" w:cs="Times New Roman"/>
          <w:b/>
          <w:kern w:val="0"/>
          <w:sz w:val="24"/>
          <w:szCs w:val="24"/>
        </w:rPr>
        <w:t>一、筑底线，以保护片区良田沃土为导向，探索“绿色循环”的土地保护利用方式</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开展</w:t>
      </w:r>
      <w:r>
        <w:rPr>
          <w:rFonts w:hint="eastAsia" w:eastAsia="宋体" w:cs="Times New Roman" w:asciiTheme="minorEastAsia" w:hAnsiTheme="minorEastAsia"/>
          <w:kern w:val="0"/>
          <w:sz w:val="24"/>
          <w:szCs w:val="24"/>
        </w:rPr>
        <w:t>全域</w:t>
      </w:r>
      <w:r>
        <w:rPr>
          <w:rFonts w:eastAsia="宋体" w:cs="Times New Roman" w:asciiTheme="minorEastAsia" w:hAnsiTheme="minorEastAsia"/>
          <w:kern w:val="0"/>
          <w:sz w:val="24"/>
          <w:szCs w:val="24"/>
        </w:rPr>
        <w:t>土地综合整治，提升耕地数量，结合</w:t>
      </w:r>
      <w:r>
        <w:rPr>
          <w:rFonts w:hint="eastAsia" w:eastAsia="宋体" w:cs="Times New Roman" w:asciiTheme="minorEastAsia" w:hAnsiTheme="minorEastAsia"/>
          <w:kern w:val="0"/>
          <w:sz w:val="24"/>
          <w:szCs w:val="24"/>
        </w:rPr>
        <w:t>片</w:t>
      </w:r>
      <w:r>
        <w:rPr>
          <w:rFonts w:eastAsia="宋体" w:cs="Times New Roman" w:asciiTheme="minorEastAsia" w:hAnsiTheme="minorEastAsia"/>
          <w:kern w:val="0"/>
          <w:sz w:val="24"/>
          <w:szCs w:val="24"/>
        </w:rPr>
        <w:t>区地形，探索立体农业绿色循环模式，通过分层引导与技术创新，推动土地高效利用，科学划定永久基本农田储备区，促进乡村保护与发展相协调，为未来发展留下空间。</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（一）</w:t>
      </w:r>
      <w:r>
        <w:rPr>
          <w:rFonts w:eastAsia="宋体" w:cs="Times New Roman" w:asciiTheme="minorEastAsia" w:hAnsiTheme="minorEastAsia"/>
          <w:b/>
          <w:kern w:val="0"/>
          <w:sz w:val="24"/>
          <w:szCs w:val="24"/>
        </w:rPr>
        <w:t>保量，开展</w:t>
      </w:r>
      <w:r>
        <w:rPr>
          <w:rFonts w:hint="eastAsia" w:eastAsia="宋体" w:cs="Times New Roman" w:asciiTheme="minorEastAsia" w:hAnsiTheme="minorEastAsia"/>
          <w:b/>
          <w:kern w:val="0"/>
          <w:sz w:val="24"/>
          <w:szCs w:val="24"/>
        </w:rPr>
        <w:t>全域</w:t>
      </w:r>
      <w:r>
        <w:rPr>
          <w:rFonts w:eastAsia="宋体" w:cs="Times New Roman" w:asciiTheme="minorEastAsia" w:hAnsiTheme="minorEastAsia"/>
          <w:b/>
          <w:kern w:val="0"/>
          <w:sz w:val="24"/>
          <w:szCs w:val="24"/>
        </w:rPr>
        <w:t>土地综合整治</w:t>
      </w:r>
    </w:p>
    <w:p>
      <w:pPr>
        <w:tabs>
          <w:tab w:val="left" w:pos="720"/>
        </w:tabs>
        <w:adjustRightInd w:val="0"/>
        <w:snapToGrid w:val="0"/>
        <w:spacing w:line="360" w:lineRule="auto"/>
        <w:ind w:firstLine="482" w:firstLineChars="200"/>
        <w:rPr>
          <w:rFonts w:eastAsia="宋体" w:cs="Times New Roman" w:asciiTheme="minorEastAsia" w:hAnsiTheme="minorEastAsia"/>
          <w:b/>
          <w:bCs/>
          <w:kern w:val="0"/>
          <w:sz w:val="24"/>
          <w:szCs w:val="24"/>
          <w:u w:val="single"/>
        </w:rPr>
      </w:pPr>
      <w:r>
        <w:rPr>
          <w:rFonts w:hint="eastAsia" w:eastAsia="宋体" w:cs="Times New Roman" w:asciiTheme="minorEastAsia" w:hAnsiTheme="minorEastAsia"/>
          <w:b/>
          <w:bCs/>
          <w:kern w:val="0"/>
          <w:sz w:val="24"/>
          <w:szCs w:val="24"/>
          <w:u w:val="single"/>
        </w:rPr>
        <w:t>根据大英县“三区三线”最终成果，片区耕地保护目标10775.20公顷，本次规划落实耕地11371.18公顷。结合大英县“双评价”和变更调查成果，耕地分时序整治补足来源主要为土地整治，土地整治补充耕地总规模为595.98 公顷，其中，农用地整理218.42公顷、农村建设用地整理372.32公顷、废弃工矿整理5.24公顷。</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（二）</w:t>
      </w:r>
      <w:r>
        <w:rPr>
          <w:rFonts w:eastAsia="宋体" w:cs="Times New Roman" w:asciiTheme="minorEastAsia" w:hAnsiTheme="minorEastAsia"/>
          <w:b/>
          <w:kern w:val="0"/>
          <w:sz w:val="24"/>
          <w:szCs w:val="24"/>
        </w:rPr>
        <w:t>提质，引导绿色立体循环</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 xml:space="preserve">对现有规模化较大、效益较好的经果林耕地区推行“粮+果”、“粮+菜”等粮经复合种植新模式，通过林下种植，扩大生产播种面积，提高产量，推广“种养一体”，探索水土保持、畜禽粪污和农业废弃物协同资源化利用，改善土壤健康，减少化肥施用，提高耕地产能。 </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引</w:t>
      </w:r>
      <w:r>
        <w:rPr>
          <w:rFonts w:eastAsia="宋体" w:cs="Times New Roman" w:asciiTheme="minorEastAsia" w:hAnsiTheme="minorEastAsia"/>
          <w:kern w:val="0"/>
          <w:sz w:val="24"/>
          <w:szCs w:val="24"/>
        </w:rPr>
        <w:t>导丘</w:t>
      </w:r>
      <w:r>
        <w:rPr>
          <w:rFonts w:hint="eastAsia" w:eastAsia="宋体" w:cs="Times New Roman" w:asciiTheme="minorEastAsia" w:hAnsiTheme="minorEastAsia"/>
          <w:kern w:val="0"/>
          <w:sz w:val="24"/>
          <w:szCs w:val="24"/>
          <w:lang w:val="en-US" w:eastAsia="zh-CN"/>
        </w:rPr>
        <w:t>地</w:t>
      </w:r>
      <w:r>
        <w:rPr>
          <w:rFonts w:eastAsia="宋体" w:cs="Times New Roman" w:asciiTheme="minorEastAsia" w:hAnsiTheme="minorEastAsia"/>
          <w:kern w:val="0"/>
          <w:sz w:val="24"/>
          <w:szCs w:val="24"/>
        </w:rPr>
        <w:t>开展高标准农田建设，采取横坡耕作和聚土垄作等水土保持措施，改善灌溉条件，推广“粮油+</w:t>
      </w:r>
      <w:r>
        <w:rPr>
          <w:rFonts w:hint="eastAsia" w:eastAsia="宋体" w:cs="Times New Roman" w:asciiTheme="minorEastAsia" w:hAnsiTheme="minorEastAsia"/>
          <w:kern w:val="0"/>
          <w:sz w:val="24"/>
          <w:szCs w:val="24"/>
        </w:rPr>
        <w:t>蔬菜”“水稻</w:t>
      </w:r>
      <w:r>
        <w:rPr>
          <w:rFonts w:eastAsia="宋体" w:cs="Times New Roman" w:asciiTheme="minorEastAsia" w:hAnsiTheme="minorEastAsia"/>
          <w:kern w:val="0"/>
          <w:sz w:val="24"/>
          <w:szCs w:val="24"/>
        </w:rPr>
        <w:t>+小麦”、“水稻+</w:t>
      </w:r>
      <w:r>
        <w:rPr>
          <w:rFonts w:hint="eastAsia" w:eastAsia="宋体" w:cs="Times New Roman" w:asciiTheme="minorEastAsia" w:hAnsiTheme="minorEastAsia"/>
          <w:kern w:val="0"/>
          <w:sz w:val="24"/>
          <w:szCs w:val="24"/>
        </w:rPr>
        <w:t>油菜”、“玉米</w:t>
      </w:r>
      <w:r>
        <w:rPr>
          <w:rFonts w:eastAsia="宋体" w:cs="Times New Roman" w:asciiTheme="minorEastAsia" w:hAnsiTheme="minorEastAsia"/>
          <w:kern w:val="0"/>
          <w:sz w:val="24"/>
          <w:szCs w:val="24"/>
        </w:rPr>
        <w:t>+</w:t>
      </w:r>
      <w:r>
        <w:rPr>
          <w:rFonts w:hint="eastAsia" w:eastAsia="宋体" w:cs="Times New Roman" w:asciiTheme="minorEastAsia" w:hAnsiTheme="minorEastAsia"/>
          <w:kern w:val="0"/>
          <w:sz w:val="24"/>
          <w:szCs w:val="24"/>
        </w:rPr>
        <w:t>油菜”</w:t>
      </w:r>
      <w:r>
        <w:rPr>
          <w:rFonts w:eastAsia="宋体" w:cs="Times New Roman" w:asciiTheme="minorEastAsia" w:hAnsiTheme="minorEastAsia"/>
          <w:kern w:val="0"/>
          <w:sz w:val="24"/>
          <w:szCs w:val="24"/>
        </w:rPr>
        <w:t>套种、轮作，调优粮食生产结构，适当增加红薯、水稻、玉米种植面积，推行“增、间、套、围”等多种高产高效利用耕地模式，增加复种指数，提升土地利用率、产出率。</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引导</w:t>
      </w:r>
      <w:r>
        <w:rPr>
          <w:rFonts w:hint="eastAsia" w:eastAsia="宋体" w:cs="Times New Roman" w:asciiTheme="minorEastAsia" w:hAnsiTheme="minorEastAsia"/>
          <w:kern w:val="0"/>
          <w:sz w:val="24"/>
          <w:szCs w:val="24"/>
        </w:rPr>
        <w:t>丘腰聚居，在</w:t>
      </w:r>
      <w:r>
        <w:rPr>
          <w:rFonts w:eastAsia="宋体" w:cs="Times New Roman" w:asciiTheme="minorEastAsia" w:hAnsiTheme="minorEastAsia"/>
          <w:kern w:val="0"/>
          <w:sz w:val="24"/>
          <w:szCs w:val="24"/>
        </w:rPr>
        <w:t>玉峰镇集中发展高效粮油种植</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河边镇发展柠檬和粮油等主导产业，象山镇发展粮油和蔬菜等主导产业，建设“产、</w:t>
      </w:r>
      <w:r>
        <w:rPr>
          <w:rFonts w:hint="eastAsia" w:eastAsia="宋体" w:cs="Times New Roman" w:asciiTheme="minorEastAsia" w:hAnsiTheme="minorEastAsia"/>
          <w:kern w:val="0"/>
          <w:sz w:val="24"/>
          <w:szCs w:val="24"/>
        </w:rPr>
        <w:t>研、</w:t>
      </w:r>
      <w:r>
        <w:rPr>
          <w:rFonts w:eastAsia="宋体" w:cs="Times New Roman" w:asciiTheme="minorEastAsia" w:hAnsiTheme="minorEastAsia"/>
          <w:kern w:val="0"/>
          <w:sz w:val="24"/>
          <w:szCs w:val="24"/>
        </w:rPr>
        <w:t>加、销”一条龙示范基地</w:t>
      </w:r>
      <w:r>
        <w:rPr>
          <w:rFonts w:hint="eastAsia" w:eastAsia="宋体" w:cs="Times New Roman" w:asciiTheme="minorEastAsia" w:hAnsiTheme="minorEastAsia"/>
          <w:kern w:val="0"/>
          <w:sz w:val="24"/>
          <w:szCs w:val="24"/>
        </w:rPr>
        <w:t>。引导丘肩规模养殖，优先沼液至果/蔬自流灌溉，发展“猪—沼—果/林/菜”循环农业经济。</w:t>
      </w:r>
      <w:r>
        <w:rPr>
          <w:rFonts w:eastAsia="宋体" w:cs="Times New Roman" w:asciiTheme="minorEastAsia" w:hAnsiTheme="minorEastAsia"/>
          <w:kern w:val="0"/>
          <w:sz w:val="24"/>
          <w:szCs w:val="24"/>
        </w:rPr>
        <w:t>在前进村、经义村、石山村、四方村、九店村、坤龙村、鲤鱼浸村、智平村、河中井村、方平沟村、肖家沟村、青龙滩村、永乐村、冯家楼村开展“</w:t>
      </w:r>
      <w:r>
        <w:rPr>
          <w:rFonts w:hint="eastAsia" w:eastAsia="宋体" w:cs="Times New Roman" w:asciiTheme="minorEastAsia" w:hAnsiTheme="minorEastAsia"/>
          <w:kern w:val="0"/>
          <w:sz w:val="24"/>
          <w:szCs w:val="24"/>
        </w:rPr>
        <w:t>油菜—稻—</w:t>
      </w:r>
      <w:r>
        <w:rPr>
          <w:rFonts w:eastAsia="宋体" w:cs="Times New Roman" w:asciiTheme="minorEastAsia" w:hAnsiTheme="minorEastAsia"/>
          <w:kern w:val="0"/>
          <w:sz w:val="24"/>
          <w:szCs w:val="24"/>
        </w:rPr>
        <w:t>鱼/虾/鸭”、“藕-鱼/鸭”等绿色种养试点。</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引导</w:t>
      </w:r>
      <w:r>
        <w:rPr>
          <w:rFonts w:hint="eastAsia" w:eastAsia="宋体" w:cs="Times New Roman" w:asciiTheme="minorEastAsia" w:hAnsiTheme="minorEastAsia"/>
          <w:kern w:val="0"/>
          <w:sz w:val="24"/>
          <w:szCs w:val="24"/>
        </w:rPr>
        <w:t xml:space="preserve">丘顶开展休闲景观功能，根据片区的地形条件，在丘顶发展柠檬、桑葚等耐旱经济林采摘，打造乡村景观及采摘旅游。 </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（三）</w:t>
      </w:r>
      <w:r>
        <w:rPr>
          <w:rFonts w:eastAsia="宋体" w:cs="Times New Roman" w:asciiTheme="minorEastAsia" w:hAnsiTheme="minorEastAsia"/>
          <w:b/>
          <w:kern w:val="0"/>
          <w:sz w:val="24"/>
          <w:szCs w:val="24"/>
        </w:rPr>
        <w:t>定策，注重科技赋能</w:t>
      </w:r>
      <w:r>
        <w:rPr>
          <w:rFonts w:hint="eastAsia" w:eastAsia="宋体" w:cs="Times New Roman" w:asciiTheme="minorEastAsia" w:hAnsiTheme="minorEastAsia"/>
          <w:b/>
          <w:kern w:val="0"/>
          <w:sz w:val="24"/>
          <w:szCs w:val="24"/>
        </w:rPr>
        <w:t>、</w:t>
      </w:r>
      <w:r>
        <w:rPr>
          <w:rFonts w:eastAsia="宋体" w:cs="Times New Roman" w:asciiTheme="minorEastAsia" w:hAnsiTheme="minorEastAsia"/>
          <w:b/>
          <w:kern w:val="0"/>
          <w:sz w:val="24"/>
          <w:szCs w:val="24"/>
        </w:rPr>
        <w:t>落实耕地三位一体保护</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种子是农业的“芯片”，种业安全才能确保粮食安全。注重科技赋能，加强与农业院校、科研院所合作，指导从育种到加工全过程，提高生产效率和农业附加值。不断培育粮食新品种，才能实现种业科技自立自强、种源自主可控。要发展壮大粮油精深加工、种养循环、农旅融合等产业，实现“一产往后延、二产两端连、三产走高端”的全产业链格局。</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抓好土地整治项目实施，提升耕地地力。按照质量标准，严把选址关、实施关、初验关，并与项目所在镇政府签订管护协议，确保土地整治项目发挥长期有效综合效益，切实提升耕地生产能力。优化种植业结构，</w:t>
      </w:r>
      <w:r>
        <w:rPr>
          <w:rFonts w:hint="eastAsia" w:eastAsia="宋体" w:cs="Times New Roman" w:asciiTheme="minorEastAsia" w:hAnsiTheme="minorEastAsia"/>
          <w:kern w:val="0"/>
          <w:sz w:val="24"/>
          <w:szCs w:val="24"/>
          <w:lang w:val="en-US" w:eastAsia="zh-CN"/>
        </w:rPr>
        <w:t>提高</w:t>
      </w:r>
      <w:r>
        <w:rPr>
          <w:rFonts w:eastAsia="宋体" w:cs="Times New Roman" w:asciiTheme="minorEastAsia" w:hAnsiTheme="minorEastAsia"/>
          <w:kern w:val="0"/>
          <w:sz w:val="24"/>
          <w:szCs w:val="24"/>
        </w:rPr>
        <w:t>土地利用率，严格落实各项强农惠农富农政策，全面落实良种推广、测土配方施肥、绿色防控、病虫害综合防治等科技增粮措施，注重质量、调优结构、主攻单产、提高总产，实现由量增逐步转变为质增。持续推进化肥、农药减量增效，推广农作物病虫害绿色防控产品和技术，加强畜禽粪污资源化利用。</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要坚持走市场化道路，持续完善利益联结机制，积极探索创新生产经营模式，提高群众参与度、受益度。要积极做好道路建设、沿线风貌、土地调型、抢收抢种、氛围营造等相关工作，不断提升片区农业现代化水平。</w:t>
      </w:r>
    </w:p>
    <w:p>
      <w:pPr>
        <w:adjustRightInd w:val="0"/>
        <w:snapToGrid w:val="0"/>
        <w:spacing w:line="360" w:lineRule="auto"/>
        <w:ind w:firstLine="482" w:firstLineChars="200"/>
        <w:rPr>
          <w:rFonts w:ascii="黑体" w:hAnsi="黑体" w:eastAsia="黑体" w:cs="Times New Roman"/>
          <w:b/>
          <w:kern w:val="0"/>
          <w:sz w:val="24"/>
          <w:szCs w:val="24"/>
        </w:rPr>
      </w:pPr>
      <w:r>
        <w:rPr>
          <w:rFonts w:hint="eastAsia" w:ascii="黑体" w:hAnsi="黑体" w:eastAsia="黑体" w:cs="Times New Roman"/>
          <w:b/>
          <w:kern w:val="0"/>
          <w:sz w:val="24"/>
          <w:szCs w:val="24"/>
        </w:rPr>
        <w:t>二、促产业，以促进现代农旅融合为目标，夯实乡村振兴产业基础</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打响“大英粮油”、“河边白柠檬”品牌效应组合拳，发挥片区临环成都经济区区位优势，构建“种—加—销—用”粮油全产业链，引导“一区</w:t>
      </w:r>
      <w:r>
        <w:rPr>
          <w:rFonts w:hint="eastAsia" w:eastAsia="宋体" w:cs="Times New Roman" w:asciiTheme="minorEastAsia" w:hAnsiTheme="minorEastAsia"/>
          <w:kern w:val="0"/>
          <w:sz w:val="24"/>
          <w:szCs w:val="24"/>
        </w:rPr>
        <w:t>、两</w:t>
      </w:r>
      <w:r>
        <w:rPr>
          <w:rFonts w:eastAsia="宋体" w:cs="Times New Roman" w:asciiTheme="minorEastAsia" w:hAnsiTheme="minorEastAsia"/>
          <w:kern w:val="0"/>
          <w:sz w:val="24"/>
          <w:szCs w:val="24"/>
        </w:rPr>
        <w:t>心</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三</w:t>
      </w:r>
      <w:r>
        <w:rPr>
          <w:rFonts w:hint="eastAsia" w:eastAsia="宋体" w:cs="Times New Roman" w:asciiTheme="minorEastAsia" w:hAnsiTheme="minorEastAsia"/>
          <w:kern w:val="0"/>
          <w:sz w:val="24"/>
          <w:szCs w:val="24"/>
        </w:rPr>
        <w:t>片、</w:t>
      </w:r>
      <w:r>
        <w:rPr>
          <w:rFonts w:eastAsia="宋体" w:cs="Times New Roman" w:asciiTheme="minorEastAsia" w:hAnsiTheme="minorEastAsia"/>
          <w:kern w:val="0"/>
          <w:sz w:val="24"/>
          <w:szCs w:val="24"/>
        </w:rPr>
        <w:t>多线</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多节点”的产业空间布局，</w:t>
      </w:r>
      <w:r>
        <w:rPr>
          <w:rFonts w:hint="eastAsia" w:eastAsia="宋体" w:cs="Times New Roman" w:asciiTheme="minorEastAsia" w:hAnsiTheme="minorEastAsia"/>
          <w:kern w:val="0"/>
          <w:sz w:val="24"/>
          <w:szCs w:val="24"/>
        </w:rPr>
        <w:t>三区为玉峰现代农业科技创新引领示范区，象山粮菜绿色发展示范区，河边粮果高效发展示范区。</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（一）</w:t>
      </w:r>
      <w:r>
        <w:rPr>
          <w:rFonts w:eastAsia="宋体" w:cs="Times New Roman" w:asciiTheme="minorEastAsia" w:hAnsiTheme="minorEastAsia"/>
          <w:b/>
          <w:kern w:val="0"/>
          <w:sz w:val="24"/>
          <w:szCs w:val="24"/>
        </w:rPr>
        <w:t>种植标准化</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引导特色粮油</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白柠檬</w:t>
      </w:r>
      <w:r>
        <w:rPr>
          <w:rFonts w:hint="eastAsia" w:eastAsia="宋体" w:cs="Times New Roman" w:asciiTheme="minorEastAsia" w:hAnsiTheme="minorEastAsia"/>
          <w:kern w:val="0"/>
          <w:sz w:val="24"/>
          <w:szCs w:val="24"/>
        </w:rPr>
        <w:t>、蔬菜、</w:t>
      </w:r>
      <w:r>
        <w:rPr>
          <w:rFonts w:eastAsia="宋体" w:cs="Times New Roman" w:asciiTheme="minorEastAsia" w:hAnsiTheme="minorEastAsia"/>
          <w:kern w:val="0"/>
          <w:sz w:val="24"/>
          <w:szCs w:val="24"/>
        </w:rPr>
        <w:t>稻虾、稻鱼等特色优势农产品成片、标准化种植，制定农产品生产技术标准，实行标准化生产管理，因地制宜建设山坪塘、机耕道，完善智水乡农事服务中心，新建象山镇农事服务中心，</w:t>
      </w:r>
      <w:r>
        <w:rPr>
          <w:rFonts w:hint="eastAsia" w:eastAsia="宋体" w:cs="Times New Roman" w:asciiTheme="minorEastAsia" w:hAnsiTheme="minorEastAsia"/>
          <w:kern w:val="0"/>
          <w:sz w:val="24"/>
          <w:szCs w:val="24"/>
        </w:rPr>
        <w:t>新建多</w:t>
      </w:r>
      <w:r>
        <w:rPr>
          <w:rFonts w:eastAsia="宋体" w:cs="Times New Roman" w:asciiTheme="minorEastAsia" w:hAnsiTheme="minorEastAsia"/>
          <w:kern w:val="0"/>
          <w:sz w:val="24"/>
          <w:szCs w:val="24"/>
        </w:rPr>
        <w:t>处粮食烘储中心，完善相应农业设施配套。</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（二）</w:t>
      </w:r>
      <w:r>
        <w:rPr>
          <w:rFonts w:eastAsia="宋体" w:cs="Times New Roman" w:asciiTheme="minorEastAsia" w:hAnsiTheme="minorEastAsia"/>
          <w:b/>
          <w:kern w:val="0"/>
          <w:sz w:val="24"/>
          <w:szCs w:val="24"/>
        </w:rPr>
        <w:t>体验多元化</w:t>
      </w:r>
    </w:p>
    <w:p>
      <w:pPr>
        <w:adjustRightInd w:val="0"/>
        <w:snapToGrid w:val="0"/>
        <w:spacing w:line="360" w:lineRule="auto"/>
        <w:ind w:firstLine="480" w:firstLineChars="200"/>
        <w:rPr>
          <w:rFonts w:eastAsia="宋体" w:cs="Times New Roman" w:asciiTheme="minorEastAsia" w:hAnsiTheme="minorEastAsia"/>
          <w:b/>
          <w:kern w:val="0"/>
          <w:sz w:val="24"/>
          <w:szCs w:val="24"/>
        </w:rPr>
      </w:pPr>
      <w:r>
        <w:rPr>
          <w:rFonts w:eastAsia="宋体" w:cs="Times New Roman" w:asciiTheme="minorEastAsia" w:hAnsiTheme="minorEastAsia"/>
          <w:kern w:val="0"/>
          <w:sz w:val="24"/>
          <w:szCs w:val="24"/>
        </w:rPr>
        <w:t>结合片区内优美的自然风光</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优质的生态环境、清新的空气及初具规模的农耕体验园和斗笠都市近郊乡村度假旅游地为基础</w:t>
      </w:r>
      <w:r>
        <w:rPr>
          <w:rFonts w:hint="eastAsia" w:eastAsia="宋体" w:cs="Times New Roman" w:asciiTheme="minorEastAsia" w:hAnsiTheme="minorEastAsia"/>
          <w:kern w:val="0"/>
          <w:sz w:val="24"/>
          <w:szCs w:val="24"/>
        </w:rPr>
        <w:t>，瞄准成都、遂宁等都市人群，以“</w:t>
      </w:r>
      <w:r>
        <w:rPr>
          <w:rFonts w:eastAsia="宋体" w:cs="Times New Roman" w:asciiTheme="minorEastAsia" w:hAnsiTheme="minorEastAsia"/>
          <w:kern w:val="0"/>
          <w:sz w:val="24"/>
          <w:szCs w:val="24"/>
        </w:rPr>
        <w:t>乡韵稻香 ”为主题定位，以乡愁理念为引领，以生态</w:t>
      </w:r>
      <w:r>
        <w:rPr>
          <w:rFonts w:hint="eastAsia" w:eastAsia="宋体" w:cs="Times New Roman" w:asciiTheme="minorEastAsia" w:hAnsiTheme="minorEastAsia"/>
          <w:kern w:val="0"/>
          <w:sz w:val="24"/>
          <w:szCs w:val="24"/>
        </w:rPr>
        <w:t>观光、</w:t>
      </w:r>
      <w:r>
        <w:rPr>
          <w:rFonts w:eastAsia="宋体" w:cs="Times New Roman" w:asciiTheme="minorEastAsia" w:hAnsiTheme="minorEastAsia"/>
          <w:kern w:val="0"/>
          <w:sz w:val="24"/>
          <w:szCs w:val="24"/>
        </w:rPr>
        <w:t>农耕体验为特色，以旅游业为引领和先导，积极实施“现代农业+”发展战略，打造集研学科普</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亲子体验、户外拓展体验</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文化体验</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文化创意</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农耕</w:t>
      </w:r>
      <w:r>
        <w:rPr>
          <w:rFonts w:hint="eastAsia" w:eastAsia="宋体" w:cs="Times New Roman" w:asciiTheme="minorEastAsia" w:hAnsiTheme="minorEastAsia"/>
          <w:kern w:val="0"/>
          <w:sz w:val="24"/>
          <w:szCs w:val="24"/>
        </w:rPr>
        <w:t>旅行等功能于一体</w:t>
      </w:r>
      <w:r>
        <w:rPr>
          <w:rFonts w:eastAsia="宋体" w:cs="Times New Roman" w:asciiTheme="minorEastAsia" w:hAnsiTheme="minorEastAsia"/>
          <w:kern w:val="0"/>
          <w:sz w:val="24"/>
          <w:szCs w:val="24"/>
        </w:rPr>
        <w:t>遂宁市最具乡韵稻香农旅目的地</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协同带动</w:t>
      </w:r>
      <w:r>
        <w:rPr>
          <w:rFonts w:hint="eastAsia" w:eastAsia="宋体" w:cs="Times New Roman" w:asciiTheme="minorEastAsia" w:hAnsiTheme="minorEastAsia"/>
          <w:kern w:val="0"/>
          <w:sz w:val="24"/>
          <w:szCs w:val="24"/>
        </w:rPr>
        <w:t>水岸斗笠、</w:t>
      </w:r>
      <w:r>
        <w:rPr>
          <w:rFonts w:eastAsia="宋体" w:cs="Times New Roman" w:asciiTheme="minorEastAsia" w:hAnsiTheme="minorEastAsia"/>
          <w:kern w:val="0"/>
          <w:sz w:val="24"/>
          <w:szCs w:val="24"/>
        </w:rPr>
        <w:t>凤阳农耕等文旅项目建设，与</w:t>
      </w:r>
      <w:r>
        <w:rPr>
          <w:rFonts w:hint="eastAsia" w:eastAsia="宋体" w:cs="Times New Roman" w:asciiTheme="minorEastAsia" w:hAnsiTheme="minorEastAsia"/>
          <w:kern w:val="0"/>
          <w:sz w:val="24"/>
          <w:szCs w:val="24"/>
        </w:rPr>
        <w:t>中国死海、</w:t>
      </w:r>
      <w:r>
        <w:rPr>
          <w:rFonts w:eastAsia="宋体" w:cs="Times New Roman" w:asciiTheme="minorEastAsia" w:hAnsiTheme="minorEastAsia"/>
          <w:kern w:val="0"/>
          <w:sz w:val="24"/>
          <w:szCs w:val="24"/>
        </w:rPr>
        <w:t>中江盆底景区</w:t>
      </w:r>
      <w:r>
        <w:rPr>
          <w:rFonts w:hint="eastAsia" w:eastAsia="宋体" w:cs="Times New Roman" w:asciiTheme="minorEastAsia" w:hAnsiTheme="minorEastAsia"/>
          <w:kern w:val="0"/>
          <w:sz w:val="24"/>
          <w:szCs w:val="24"/>
        </w:rPr>
        <w:t>、浪漫地中海、海洋之心、思路奇幻城</w:t>
      </w:r>
      <w:r>
        <w:rPr>
          <w:rFonts w:eastAsia="宋体" w:cs="Times New Roman" w:asciiTheme="minorEastAsia" w:hAnsiTheme="minorEastAsia"/>
          <w:kern w:val="0"/>
          <w:sz w:val="24"/>
          <w:szCs w:val="24"/>
        </w:rPr>
        <w:t>等知名</w:t>
      </w:r>
      <w:r>
        <w:rPr>
          <w:rFonts w:hint="eastAsia" w:eastAsia="宋体" w:cs="Times New Roman" w:asciiTheme="minorEastAsia" w:hAnsiTheme="minorEastAsia"/>
          <w:kern w:val="0"/>
          <w:sz w:val="24"/>
          <w:szCs w:val="24"/>
        </w:rPr>
        <w:t>景区</w:t>
      </w:r>
      <w:r>
        <w:rPr>
          <w:rFonts w:eastAsia="宋体" w:cs="Times New Roman" w:asciiTheme="minorEastAsia" w:hAnsiTheme="minorEastAsia"/>
          <w:kern w:val="0"/>
          <w:sz w:val="24"/>
          <w:szCs w:val="24"/>
        </w:rPr>
        <w:t>形成联动互补</w:t>
      </w:r>
      <w:r>
        <w:rPr>
          <w:rFonts w:hint="eastAsia" w:eastAsia="宋体" w:cs="Times New Roman" w:asciiTheme="minorEastAsia" w:hAnsiTheme="minorEastAsia"/>
          <w:kern w:val="0"/>
          <w:sz w:val="24"/>
          <w:szCs w:val="24"/>
        </w:rPr>
        <w:t>。</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（三）产业科技化</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采取“科教单位</w:t>
      </w:r>
      <w:r>
        <w:rPr>
          <w:rFonts w:eastAsia="宋体" w:cs="Times New Roman" w:asciiTheme="minorEastAsia" w:hAnsiTheme="minorEastAsia"/>
          <w:kern w:val="0"/>
          <w:sz w:val="24"/>
          <w:szCs w:val="24"/>
        </w:rPr>
        <w:t>+</w:t>
      </w:r>
      <w:r>
        <w:rPr>
          <w:rFonts w:hint="eastAsia" w:eastAsia="宋体" w:cs="Times New Roman" w:asciiTheme="minorEastAsia" w:hAnsiTheme="minorEastAsia"/>
          <w:kern w:val="0"/>
          <w:sz w:val="24"/>
          <w:szCs w:val="24"/>
        </w:rPr>
        <w:t>基地</w:t>
      </w:r>
      <w:r>
        <w:rPr>
          <w:rFonts w:eastAsia="宋体" w:cs="Times New Roman" w:asciiTheme="minorEastAsia" w:hAnsiTheme="minorEastAsia"/>
          <w:kern w:val="0"/>
          <w:sz w:val="24"/>
          <w:szCs w:val="24"/>
        </w:rPr>
        <w:t>+</w:t>
      </w:r>
      <w:r>
        <w:rPr>
          <w:rFonts w:hint="eastAsia" w:eastAsia="宋体" w:cs="Times New Roman" w:asciiTheme="minorEastAsia" w:hAnsiTheme="minorEastAsia"/>
          <w:kern w:val="0"/>
          <w:sz w:val="24"/>
          <w:szCs w:val="24"/>
        </w:rPr>
        <w:t>农户”、“科教单位</w:t>
      </w:r>
      <w:r>
        <w:rPr>
          <w:rFonts w:eastAsia="宋体" w:cs="Times New Roman" w:asciiTheme="minorEastAsia" w:hAnsiTheme="minorEastAsia"/>
          <w:kern w:val="0"/>
          <w:sz w:val="24"/>
          <w:szCs w:val="24"/>
        </w:rPr>
        <w:t>+</w:t>
      </w:r>
      <w:r>
        <w:rPr>
          <w:rFonts w:hint="eastAsia" w:eastAsia="宋体" w:cs="Times New Roman" w:asciiTheme="minorEastAsia" w:hAnsiTheme="minorEastAsia"/>
          <w:kern w:val="0"/>
          <w:sz w:val="24"/>
          <w:szCs w:val="24"/>
        </w:rPr>
        <w:t>企业</w:t>
      </w:r>
      <w:r>
        <w:rPr>
          <w:rFonts w:eastAsia="宋体" w:cs="Times New Roman" w:asciiTheme="minorEastAsia" w:hAnsiTheme="minorEastAsia"/>
          <w:kern w:val="0"/>
          <w:sz w:val="24"/>
          <w:szCs w:val="24"/>
        </w:rPr>
        <w:t>+</w:t>
      </w:r>
      <w:r>
        <w:rPr>
          <w:rFonts w:hint="eastAsia" w:eastAsia="宋体" w:cs="Times New Roman" w:asciiTheme="minorEastAsia" w:hAnsiTheme="minorEastAsia"/>
          <w:kern w:val="0"/>
          <w:sz w:val="24"/>
          <w:szCs w:val="24"/>
        </w:rPr>
        <w:t>农户”、“科教单位</w:t>
      </w:r>
      <w:r>
        <w:rPr>
          <w:rFonts w:eastAsia="宋体" w:cs="Times New Roman" w:asciiTheme="minorEastAsia" w:hAnsiTheme="minorEastAsia"/>
          <w:kern w:val="0"/>
          <w:sz w:val="24"/>
          <w:szCs w:val="24"/>
        </w:rPr>
        <w:t>+</w:t>
      </w:r>
      <w:r>
        <w:rPr>
          <w:rFonts w:hint="eastAsia" w:eastAsia="宋体" w:cs="Times New Roman" w:asciiTheme="minorEastAsia" w:hAnsiTheme="minorEastAsia"/>
          <w:kern w:val="0"/>
          <w:sz w:val="24"/>
          <w:szCs w:val="24"/>
        </w:rPr>
        <w:t>推广机构</w:t>
      </w:r>
      <w:r>
        <w:rPr>
          <w:rFonts w:eastAsia="宋体" w:cs="Times New Roman" w:asciiTheme="minorEastAsia" w:hAnsiTheme="minorEastAsia"/>
          <w:kern w:val="0"/>
          <w:sz w:val="24"/>
          <w:szCs w:val="24"/>
        </w:rPr>
        <w:t>+</w:t>
      </w:r>
      <w:r>
        <w:rPr>
          <w:rFonts w:hint="eastAsia" w:eastAsia="宋体" w:cs="Times New Roman" w:asciiTheme="minorEastAsia" w:hAnsiTheme="minorEastAsia"/>
          <w:kern w:val="0"/>
          <w:sz w:val="24"/>
          <w:szCs w:val="24"/>
        </w:rPr>
        <w:t>农户”、“技术转让型”等推广方式，向农民科技示范户、农村经济合作组织、涉农企业和广大农民推广高效粮油技术，提升农业科技水平</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1、智慧粮油数字化管理</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依托遂宁市政务云平台及智慧农业大数据平台，对平台数据资源情况进行梳理，形成农业数据信息资源目录，并开展数据治理、数据管理、数据开发和数据服务。</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2、科技推广</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依托智水村现有基础设施，打造大英县产业振兴研究院，内设网络信息化服务中心、农产品质量监督检测中心、国家畜禽粪污资源化利用工程技术中心、智慧农机研发推广中心、大豆+玉米带状复合种植及循环利用研究院、酒粮研究院、院士专家工作站。</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3、人才支撑</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依托象山镇现有基础开展院地合作基地建设，可推进大英全县农业科技推广应用。院地合作基地以推进先进适用农业技术和推广应用科研成果为主，同时加大扶持农业科技力度，打造科技合作项目，全力推动先进技术转化为现实生产力。</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lang w:val="en-US" w:eastAsia="zh-CN"/>
        </w:rPr>
        <w:t>依托</w:t>
      </w:r>
      <w:r>
        <w:rPr>
          <w:rFonts w:hint="eastAsia" w:eastAsia="宋体" w:cs="Times New Roman" w:asciiTheme="minorEastAsia" w:hAnsiTheme="minorEastAsia"/>
          <w:kern w:val="0"/>
          <w:sz w:val="24"/>
          <w:szCs w:val="24"/>
        </w:rPr>
        <w:t>智水村产业振兴研究院开设农夫学院，学院将以热心“三农"事业、具有一定文化基础的农村实用人才和职业农民为重点，抓好农村实用人才教育，努力做到培训一批农民、推广—项技术、发展一项产业，从而实现"学农、务农、兴农"的目的。</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4、提升农业科技</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以智水农事服务中心现有育苗基地为依托，在玉峰镇水阁村通过建立智能化、标准化种质繁育推广改良基地，实现统一晒种、浸种、消毒、催芽，统一配制营养土等综合技术措施培育壮秧，示范集中育秧、供秧新模式，为片区及周边农户提供代育服务。</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为进一步选育和筛选出适宜大英种植的油菜、柠檬新品种，建设油菜新品种示范基地、柠檬品种改良基地，从品种的适应性、丰产性、稳定性、抗逆性、高效性等综合性状进行生产试验比对，筛选出适应片区油菜、柠檬新品种，开展良种示范，为片区推广良种提供科学依据。</w:t>
      </w:r>
    </w:p>
    <w:p>
      <w:pPr>
        <w:adjustRightInd w:val="0"/>
        <w:snapToGrid w:val="0"/>
        <w:spacing w:line="360" w:lineRule="auto"/>
        <w:ind w:firstLine="482" w:firstLineChars="200"/>
        <w:rPr>
          <w:rFonts w:ascii="黑体" w:hAnsi="黑体" w:eastAsia="黑体" w:cs="Times New Roman"/>
          <w:b/>
          <w:kern w:val="0"/>
          <w:sz w:val="24"/>
          <w:szCs w:val="24"/>
        </w:rPr>
      </w:pPr>
      <w:r>
        <w:rPr>
          <w:rFonts w:hint="eastAsia" w:ascii="黑体" w:hAnsi="黑体" w:eastAsia="黑体" w:cs="Times New Roman"/>
          <w:b/>
          <w:kern w:val="0"/>
          <w:sz w:val="24"/>
          <w:szCs w:val="24"/>
        </w:rPr>
        <w:t>三、优设施，以满足人民多元需求为核心，推动公共资源精准投放</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（一）</w:t>
      </w:r>
      <w:r>
        <w:rPr>
          <w:rFonts w:eastAsia="宋体" w:cs="Times New Roman" w:asciiTheme="minorEastAsia" w:hAnsiTheme="minorEastAsia"/>
          <w:b/>
          <w:kern w:val="0"/>
          <w:sz w:val="24"/>
          <w:szCs w:val="24"/>
        </w:rPr>
        <w:t>促进城乡基本公共服务均等化</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根据</w:t>
      </w:r>
      <w:r>
        <w:rPr>
          <w:rFonts w:hint="eastAsia" w:eastAsia="宋体" w:cs="Times New Roman" w:asciiTheme="minorEastAsia" w:hAnsiTheme="minorEastAsia"/>
          <w:kern w:val="0"/>
          <w:sz w:val="24"/>
          <w:szCs w:val="24"/>
        </w:rPr>
        <w:t>四川省</w:t>
      </w:r>
      <w:r>
        <w:rPr>
          <w:rFonts w:eastAsia="宋体" w:cs="Times New Roman" w:asciiTheme="minorEastAsia" w:hAnsiTheme="minorEastAsia"/>
          <w:kern w:val="0"/>
          <w:sz w:val="24"/>
          <w:szCs w:val="24"/>
        </w:rPr>
        <w:t>乡镇级国土空间总体规划编制指南，结合</w:t>
      </w:r>
      <w:r>
        <w:rPr>
          <w:rFonts w:hint="eastAsia" w:eastAsia="宋体" w:cs="Times New Roman" w:asciiTheme="minorEastAsia" w:hAnsiTheme="minorEastAsia"/>
          <w:kern w:val="0"/>
          <w:sz w:val="24"/>
          <w:szCs w:val="24"/>
        </w:rPr>
        <w:t>两项</w:t>
      </w:r>
      <w:r>
        <w:rPr>
          <w:rFonts w:eastAsia="宋体" w:cs="Times New Roman" w:asciiTheme="minorEastAsia" w:hAnsiTheme="minorEastAsia"/>
          <w:kern w:val="0"/>
          <w:sz w:val="24"/>
          <w:szCs w:val="24"/>
        </w:rPr>
        <w:t>改革“后半篇”文章，落实“乡村生活圈”理念</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按照镇乡-村级经济片区-</w:t>
      </w:r>
      <w:r>
        <w:rPr>
          <w:rFonts w:hint="eastAsia" w:eastAsia="宋体" w:cs="Times New Roman" w:asciiTheme="minorEastAsia" w:hAnsiTheme="minorEastAsia"/>
          <w:kern w:val="0"/>
          <w:sz w:val="24"/>
          <w:szCs w:val="24"/>
        </w:rPr>
        <w:t>行政村</w:t>
      </w:r>
      <w:r>
        <w:rPr>
          <w:rFonts w:eastAsia="宋体" w:cs="Times New Roman" w:asciiTheme="minorEastAsia" w:hAnsiTheme="minorEastAsia"/>
          <w:kern w:val="0"/>
          <w:sz w:val="24"/>
          <w:szCs w:val="24"/>
        </w:rPr>
        <w:t>-居民点四级结构完善镇域公共服务设施。构建片区“</w:t>
      </w:r>
      <w:r>
        <w:rPr>
          <w:rFonts w:hint="eastAsia" w:eastAsia="宋体" w:cs="Times New Roman" w:asciiTheme="minorEastAsia" w:hAnsiTheme="minorEastAsia"/>
          <w:kern w:val="0"/>
          <w:sz w:val="24"/>
          <w:szCs w:val="24"/>
        </w:rPr>
        <w:t>2</w:t>
      </w:r>
      <w:r>
        <w:rPr>
          <w:rFonts w:eastAsia="宋体" w:cs="Times New Roman" w:asciiTheme="minorEastAsia" w:hAnsiTheme="minorEastAsia"/>
          <w:kern w:val="0"/>
          <w:sz w:val="24"/>
          <w:szCs w:val="24"/>
        </w:rPr>
        <w:t>个镇级生活圈、5个村级片区级生活圈、15个</w:t>
      </w:r>
      <w:r>
        <w:rPr>
          <w:rFonts w:hint="eastAsia" w:eastAsia="宋体" w:cs="Times New Roman" w:asciiTheme="minorEastAsia" w:hAnsiTheme="minorEastAsia"/>
          <w:kern w:val="0"/>
          <w:sz w:val="24"/>
          <w:szCs w:val="24"/>
        </w:rPr>
        <w:t>行政村</w:t>
      </w:r>
      <w:r>
        <w:rPr>
          <w:rFonts w:eastAsia="宋体" w:cs="Times New Roman" w:asciiTheme="minorEastAsia" w:hAnsiTheme="minorEastAsia"/>
          <w:kern w:val="0"/>
          <w:sz w:val="24"/>
          <w:szCs w:val="24"/>
        </w:rPr>
        <w:t>级生活服务圈、多个居民点生活圈”。镇级生活圈，10公里服务半径，为片区居民服务的中学、医疗设施、文化设施、社会福利设施、社会管理设施等。村级经济片区生活圈，5公里服务半径，满足一定范围内居民生活所需的幼儿园、小学、托儿所、体育设施。</w:t>
      </w:r>
      <w:r>
        <w:rPr>
          <w:rFonts w:hint="eastAsia" w:eastAsia="宋体" w:cs="Times New Roman" w:asciiTheme="minorEastAsia" w:hAnsiTheme="minorEastAsia"/>
          <w:kern w:val="0"/>
          <w:sz w:val="24"/>
          <w:szCs w:val="24"/>
        </w:rPr>
        <w:t>行政村</w:t>
      </w:r>
      <w:r>
        <w:rPr>
          <w:rFonts w:eastAsia="宋体" w:cs="Times New Roman" w:asciiTheme="minorEastAsia" w:hAnsiTheme="minorEastAsia"/>
          <w:kern w:val="0"/>
          <w:sz w:val="24"/>
          <w:szCs w:val="24"/>
        </w:rPr>
        <w:t xml:space="preserve">级生活圈，2公里服务半径 </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满足居民最基本需求的村委会、小学、幼儿园、文化站、老年活动中心、村级体育活动站（室）、健身场地、村医疗卫生机构、村养老设施、小卖部等。 居民点生活圈，1公里服务半径。满足居民日常使用的活动场</w:t>
      </w:r>
      <w:r>
        <w:rPr>
          <w:rFonts w:hint="eastAsia" w:eastAsia="宋体" w:cs="Times New Roman" w:asciiTheme="minorEastAsia" w:hAnsiTheme="minorEastAsia"/>
          <w:kern w:val="0"/>
          <w:sz w:val="24"/>
          <w:szCs w:val="24"/>
        </w:rPr>
        <w:t>地、便利店等。</w:t>
      </w:r>
      <w:r>
        <w:rPr>
          <w:rFonts w:eastAsia="宋体" w:cs="Times New Roman" w:asciiTheme="minorEastAsia" w:hAnsiTheme="minorEastAsia"/>
          <w:kern w:val="0"/>
          <w:sz w:val="24"/>
          <w:szCs w:val="24"/>
        </w:rPr>
        <w:t>以河边镇为中心形成一个镇级生活圈</w:t>
      </w:r>
      <w:r>
        <w:rPr>
          <w:rFonts w:hint="eastAsia" w:eastAsia="宋体" w:cs="Times New Roman" w:asciiTheme="minorEastAsia" w:hAnsiTheme="minorEastAsia"/>
          <w:kern w:val="0"/>
          <w:sz w:val="24"/>
          <w:szCs w:val="24"/>
        </w:rPr>
        <w:t>，以</w:t>
      </w:r>
      <w:r>
        <w:rPr>
          <w:rFonts w:eastAsia="宋体" w:cs="Times New Roman" w:asciiTheme="minorEastAsia" w:hAnsiTheme="minorEastAsia"/>
          <w:kern w:val="0"/>
          <w:sz w:val="24"/>
          <w:szCs w:val="24"/>
        </w:rPr>
        <w:t>象山镇为中心形成1 个镇级生活圈</w:t>
      </w:r>
      <w:r>
        <w:rPr>
          <w:rFonts w:hint="eastAsia" w:eastAsia="宋体" w:cs="Times New Roman" w:asciiTheme="minorEastAsia" w:hAnsiTheme="minorEastAsia"/>
          <w:kern w:val="0"/>
          <w:sz w:val="24"/>
          <w:szCs w:val="24"/>
        </w:rPr>
        <w:t>。以</w:t>
      </w:r>
      <w:r>
        <w:rPr>
          <w:rFonts w:eastAsia="宋体" w:cs="Times New Roman" w:asciiTheme="minorEastAsia" w:hAnsiTheme="minorEastAsia"/>
          <w:kern w:val="0"/>
          <w:sz w:val="24"/>
          <w:szCs w:val="24"/>
        </w:rPr>
        <w:t>象山村、团结村、智水村、牌坊村、地风井村为中心形成5 个村级片区</w:t>
      </w:r>
      <w:r>
        <w:rPr>
          <w:rFonts w:hint="eastAsia" w:eastAsia="宋体" w:cs="Times New Roman" w:asciiTheme="minorEastAsia" w:hAnsiTheme="minorEastAsia"/>
          <w:kern w:val="0"/>
          <w:sz w:val="24"/>
          <w:szCs w:val="24"/>
        </w:rPr>
        <w:t>生活圈，</w:t>
      </w:r>
      <w:r>
        <w:rPr>
          <w:rFonts w:eastAsia="宋体" w:cs="Times New Roman" w:asciiTheme="minorEastAsia" w:hAnsiTheme="minorEastAsia"/>
          <w:kern w:val="0"/>
          <w:sz w:val="24"/>
          <w:szCs w:val="24"/>
        </w:rPr>
        <w:t>以行政村为中心形成15个村级生活服务圈。</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（二）</w:t>
      </w:r>
      <w:r>
        <w:rPr>
          <w:rFonts w:eastAsia="宋体" w:cs="Times New Roman" w:asciiTheme="minorEastAsia" w:hAnsiTheme="minorEastAsia"/>
          <w:b/>
          <w:kern w:val="0"/>
          <w:sz w:val="24"/>
          <w:szCs w:val="24"/>
        </w:rPr>
        <w:t>改善乡村道</w:t>
      </w:r>
      <w:r>
        <w:rPr>
          <w:rFonts w:hint="eastAsia" w:eastAsia="宋体" w:cs="Times New Roman" w:asciiTheme="minorEastAsia" w:hAnsiTheme="minorEastAsia"/>
          <w:b/>
          <w:kern w:val="0"/>
          <w:sz w:val="24"/>
          <w:szCs w:val="24"/>
        </w:rPr>
        <w:t>路交通</w:t>
      </w:r>
    </w:p>
    <w:p>
      <w:pPr>
        <w:adjustRightInd w:val="0"/>
        <w:snapToGrid w:val="0"/>
        <w:spacing w:line="360" w:lineRule="auto"/>
        <w:ind w:firstLine="480" w:firstLineChars="200"/>
        <w:rPr>
          <w:rFonts w:cs="Times New Roman" w:asciiTheme="minorEastAsia" w:hAnsiTheme="minorEastAsia"/>
          <w:kern w:val="0"/>
          <w:sz w:val="24"/>
          <w:szCs w:val="24"/>
          <w:lang w:eastAsia="zh-TW"/>
        </w:rPr>
      </w:pPr>
      <w:r>
        <w:rPr>
          <w:rFonts w:eastAsia="宋体" w:cs="Times New Roman" w:asciiTheme="minorEastAsia" w:hAnsiTheme="minorEastAsia"/>
          <w:kern w:val="0"/>
          <w:sz w:val="24"/>
          <w:szCs w:val="24"/>
        </w:rPr>
        <w:t>完善乡村道路系统。对部分宽度较窄、路况较差的村道进行提级优化，打通现状断头路，同时增设与新建聚居点的连接村道。</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（三）</w:t>
      </w:r>
      <w:r>
        <w:rPr>
          <w:rFonts w:eastAsia="宋体" w:cs="Times New Roman" w:asciiTheme="minorEastAsia" w:hAnsiTheme="minorEastAsia"/>
          <w:b/>
          <w:kern w:val="0"/>
          <w:sz w:val="24"/>
          <w:szCs w:val="24"/>
        </w:rPr>
        <w:t>补齐水利设施建设短板</w:t>
      </w:r>
    </w:p>
    <w:p>
      <w:pPr>
        <w:adjustRightInd w:val="0"/>
        <w:snapToGrid w:val="0"/>
        <w:spacing w:line="360" w:lineRule="auto"/>
        <w:ind w:firstLine="480" w:firstLineChars="200"/>
        <w:rPr>
          <w:rFonts w:cs="Times New Roman" w:asciiTheme="minorEastAsia" w:hAnsiTheme="minorEastAsia"/>
          <w:kern w:val="0"/>
          <w:sz w:val="24"/>
          <w:szCs w:val="24"/>
          <w:lang w:eastAsia="zh-TW"/>
        </w:rPr>
      </w:pPr>
      <w:r>
        <w:rPr>
          <w:rFonts w:eastAsia="宋体" w:cs="Times New Roman" w:asciiTheme="minorEastAsia" w:hAnsiTheme="minorEastAsia"/>
          <w:kern w:val="0"/>
          <w:sz w:val="24"/>
          <w:szCs w:val="24"/>
        </w:rPr>
        <w:t>完善片区农业输水、灌溉提水设施建设与改造，扩建星花水库供水站和寸塘口水库供水站</w:t>
      </w:r>
      <w:r>
        <w:rPr>
          <w:rFonts w:hint="eastAsia" w:eastAsia="宋体" w:cs="Times New Roman" w:asciiTheme="minorEastAsia" w:hAnsiTheme="minorEastAsia"/>
          <w:kern w:val="0"/>
          <w:sz w:val="24"/>
          <w:szCs w:val="24"/>
        </w:rPr>
        <w:t>，完善</w:t>
      </w:r>
      <w:r>
        <w:rPr>
          <w:rFonts w:eastAsia="宋体" w:cs="Times New Roman" w:asciiTheme="minorEastAsia" w:hAnsiTheme="minorEastAsia"/>
          <w:kern w:val="0"/>
          <w:sz w:val="24"/>
          <w:szCs w:val="24"/>
        </w:rPr>
        <w:t>四五水库支渠建设，完善星花水库主干渠、中干渠和左干渠，高标准建设大英饮水分干渠至寸滩口水库引水河道，加快都江堰续建配套与节水改造先锋支渠工程建设。对现状老旧渠系进行防渗改造和生态化建设，构建“沙石衬砌，水草覆盖”的生态沟渠系统，强化配套渠系日常维护管理。</w:t>
      </w:r>
    </w:p>
    <w:p>
      <w:pPr>
        <w:adjustRightInd w:val="0"/>
        <w:snapToGrid w:val="0"/>
        <w:spacing w:line="360" w:lineRule="auto"/>
        <w:ind w:firstLine="482" w:firstLineChars="200"/>
        <w:rPr>
          <w:rFonts w:ascii="黑体" w:hAnsi="黑体" w:eastAsia="黑体" w:cs="Times New Roman"/>
          <w:b/>
          <w:kern w:val="0"/>
          <w:sz w:val="24"/>
          <w:szCs w:val="24"/>
        </w:rPr>
      </w:pPr>
      <w:r>
        <w:rPr>
          <w:rFonts w:hint="eastAsia" w:ascii="黑体" w:hAnsi="黑体" w:eastAsia="黑体" w:cs="Times New Roman"/>
          <w:b/>
          <w:kern w:val="0"/>
          <w:sz w:val="24"/>
          <w:szCs w:val="24"/>
        </w:rPr>
        <w:t>四、提品质，以塑造田园丘陵地域特色为重点，提升乡镇空间品质</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（一）</w:t>
      </w:r>
      <w:r>
        <w:rPr>
          <w:rFonts w:eastAsia="宋体" w:cs="Times New Roman" w:asciiTheme="minorEastAsia" w:hAnsiTheme="minorEastAsia"/>
          <w:b/>
          <w:kern w:val="0"/>
          <w:sz w:val="24"/>
          <w:szCs w:val="24"/>
        </w:rPr>
        <w:t>营造山水田园生态环境</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疏田理水，修复“</w:t>
      </w:r>
      <w:r>
        <w:rPr>
          <w:rFonts w:hint="eastAsia" w:eastAsia="宋体" w:cs="Times New Roman" w:asciiTheme="minorEastAsia" w:hAnsiTheme="minorEastAsia"/>
          <w:kern w:val="0"/>
          <w:sz w:val="24"/>
          <w:szCs w:val="24"/>
        </w:rPr>
        <w:t>田—塘</w:t>
      </w:r>
      <w:r>
        <w:rPr>
          <w:rFonts w:eastAsia="宋体" w:cs="Times New Roman" w:asciiTheme="minorEastAsia" w:hAnsiTheme="minorEastAsia"/>
          <w:kern w:val="0"/>
          <w:sz w:val="24"/>
          <w:szCs w:val="24"/>
        </w:rPr>
        <w:t>”系统，加强农田斑块形态规划，规模化种植，优化田埂线条，营造丘区“蜿蜒而行，梯田跌落”的大地景观形态；依托</w:t>
      </w:r>
      <w:r>
        <w:rPr>
          <w:rFonts w:hint="eastAsia" w:eastAsia="宋体" w:cs="Times New Roman" w:asciiTheme="minorEastAsia" w:hAnsiTheme="minorEastAsia"/>
          <w:kern w:val="0"/>
          <w:sz w:val="24"/>
          <w:szCs w:val="24"/>
        </w:rPr>
        <w:t>稻田</w:t>
      </w:r>
      <w:r>
        <w:rPr>
          <w:rFonts w:eastAsia="宋体" w:cs="Times New Roman" w:asciiTheme="minorEastAsia" w:hAnsiTheme="minorEastAsia"/>
          <w:kern w:val="0"/>
          <w:sz w:val="24"/>
          <w:szCs w:val="24"/>
        </w:rPr>
        <w:t>系统建立“宅前湿地-梯级水塘-调蓄湿地”三级湿地体系；宅前利用肥料池，种植湿地植物，形成宅前小微湿地；田间兼顾生产性与景观性，利用丘区冲田跌落的格局，打造梯级水塘，增加生物多样性，改善生态环境；汇水下游区域设置调蓄湿地，净化水质，兼顾观赏休憩功能。</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（二）</w:t>
      </w:r>
      <w:r>
        <w:rPr>
          <w:rFonts w:eastAsia="宋体" w:cs="Times New Roman" w:asciiTheme="minorEastAsia" w:hAnsiTheme="minorEastAsia"/>
          <w:b/>
          <w:kern w:val="0"/>
          <w:sz w:val="24"/>
          <w:szCs w:val="24"/>
        </w:rPr>
        <w:t>提升农房院落风貌</w:t>
      </w:r>
    </w:p>
    <w:p>
      <w:pPr>
        <w:adjustRightInd w:val="0"/>
        <w:snapToGrid w:val="0"/>
        <w:spacing w:line="360" w:lineRule="auto"/>
        <w:ind w:firstLine="480" w:firstLineChars="200"/>
        <w:rPr>
          <w:rFonts w:cs="Times New Roman" w:asciiTheme="minorEastAsia" w:hAnsiTheme="minorEastAsia"/>
          <w:kern w:val="0"/>
          <w:sz w:val="24"/>
          <w:szCs w:val="24"/>
          <w:lang w:eastAsia="zh-TW"/>
        </w:rPr>
      </w:pPr>
      <w:r>
        <w:rPr>
          <w:rFonts w:eastAsia="宋体" w:cs="Times New Roman" w:asciiTheme="minorEastAsia" w:hAnsiTheme="minorEastAsia"/>
          <w:kern w:val="0"/>
          <w:sz w:val="24"/>
          <w:szCs w:val="24"/>
        </w:rPr>
        <w:t>采用拆、改、建的方式改善旧房质量。拆除房龄较长且处于自然地灾地区的房屋；维修加固具有安全隐患的</w:t>
      </w:r>
      <w:r>
        <w:rPr>
          <w:rFonts w:hint="eastAsia" w:eastAsia="宋体" w:cs="Times New Roman" w:asciiTheme="minorEastAsia" w:hAnsiTheme="minorEastAsia"/>
          <w:kern w:val="0"/>
          <w:sz w:val="24"/>
          <w:szCs w:val="24"/>
        </w:rPr>
        <w:t>房屋；</w:t>
      </w:r>
      <w:r>
        <w:rPr>
          <w:rFonts w:eastAsia="宋体" w:cs="Times New Roman" w:asciiTheme="minorEastAsia" w:hAnsiTheme="minorEastAsia"/>
          <w:kern w:val="0"/>
          <w:sz w:val="24"/>
          <w:szCs w:val="24"/>
        </w:rPr>
        <w:t>对于存在严重安全隐患无法加固或地灾区域的农房进行拆除重建。详见质量提升规划章节。</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（三）</w:t>
      </w:r>
      <w:r>
        <w:rPr>
          <w:rFonts w:eastAsia="宋体" w:cs="Times New Roman" w:asciiTheme="minorEastAsia" w:hAnsiTheme="minorEastAsia"/>
          <w:b/>
          <w:kern w:val="0"/>
          <w:sz w:val="24"/>
          <w:szCs w:val="24"/>
        </w:rPr>
        <w:t>试点“负碳乡村”建设</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提升农房建设选型，充分利用乡土材料，鼓励节能设计，采用自然通风散热等纳凉技术及节能器具，建设绿色节能农房；充分利用农房屋顶、院落空地，按每户</w:t>
      </w:r>
      <w:r>
        <w:rPr>
          <w:rFonts w:hint="eastAsia" w:eastAsia="宋体" w:cs="Times New Roman" w:asciiTheme="minorEastAsia" w:hAnsiTheme="minorEastAsia"/>
          <w:kern w:val="0"/>
          <w:sz w:val="24"/>
          <w:szCs w:val="24"/>
        </w:rPr>
        <w:t>10</w:t>
      </w:r>
      <w:r>
        <w:rPr>
          <w:rFonts w:eastAsia="宋体" w:cs="Times New Roman" w:asciiTheme="minorEastAsia" w:hAnsiTheme="minorEastAsia"/>
          <w:kern w:val="0"/>
          <w:sz w:val="24"/>
          <w:szCs w:val="24"/>
        </w:rPr>
        <w:t xml:space="preserve"> 平方米配备太阳能光伏系统，采取“光储直柔”技术，建立乡村直流微电网，自发自用、余电上网；有条件区域优先利用生物质沼气供能，降低建设成本。鼓励低碳出行，推动公交服务全面向乡村延伸，扩大新能源汽车和农业机械应用；推进生活垃圾源头分类，探索畜禽粪便、秸秆等农业废弃物资源化协同利用。结合冲田系统及聚居点建设，布局乡村小微湿地，配合“大规模绿化全川大英”行动，开展乔木补植和林盘恢复，增强蓝绿碳汇补偿。试点先行，开展</w:t>
      </w:r>
      <w:r>
        <w:rPr>
          <w:rFonts w:hint="eastAsia" w:eastAsia="宋体" w:cs="Times New Roman" w:asciiTheme="minorEastAsia" w:hAnsiTheme="minorEastAsia"/>
          <w:kern w:val="0"/>
          <w:sz w:val="24"/>
          <w:szCs w:val="24"/>
        </w:rPr>
        <w:t>斗笠村</w:t>
      </w:r>
      <w:r>
        <w:rPr>
          <w:rFonts w:eastAsia="宋体" w:cs="Times New Roman" w:asciiTheme="minorEastAsia" w:hAnsiTheme="minorEastAsia"/>
          <w:kern w:val="0"/>
          <w:sz w:val="24"/>
          <w:szCs w:val="24"/>
        </w:rPr>
        <w:t>“负碳乡村”试点建设。</w:t>
      </w:r>
    </w:p>
    <w:p>
      <w:pPr>
        <w:pStyle w:val="36"/>
        <w:numPr>
          <w:ilvl w:val="0"/>
          <w:numId w:val="5"/>
        </w:numPr>
        <w:spacing w:beforeLines="50" w:afterLines="50"/>
        <w:ind w:firstLineChars="0"/>
        <w:jc w:val="center"/>
        <w:rPr>
          <w:rFonts w:ascii="黑体" w:hAnsi="黑体" w:eastAsia="黑体"/>
          <w:b w:val="0"/>
          <w:kern w:val="2"/>
        </w:rPr>
      </w:pPr>
      <w:bookmarkStart w:id="16" w:name="_Toc166772165"/>
      <w:r>
        <w:rPr>
          <w:rFonts w:hint="eastAsia" w:ascii="黑体" w:hAnsi="黑体" w:eastAsia="黑体"/>
          <w:b w:val="0"/>
          <w:kern w:val="2"/>
        </w:rPr>
        <w:t>转变经济发展方式</w:t>
      </w:r>
      <w:bookmarkEnd w:id="16"/>
    </w:p>
    <w:p>
      <w:pPr>
        <w:adjustRightInd w:val="0"/>
        <w:snapToGrid w:val="0"/>
        <w:spacing w:line="360" w:lineRule="auto"/>
        <w:ind w:firstLine="482" w:firstLineChars="200"/>
        <w:rPr>
          <w:rFonts w:ascii="黑体" w:hAnsi="黑体" w:eastAsia="黑体" w:cs="Times New Roman"/>
          <w:b/>
          <w:kern w:val="0"/>
          <w:sz w:val="24"/>
          <w:szCs w:val="24"/>
        </w:rPr>
      </w:pPr>
      <w:r>
        <w:rPr>
          <w:rFonts w:hint="eastAsia" w:ascii="黑体" w:hAnsi="黑体" w:eastAsia="黑体" w:cs="Times New Roman"/>
          <w:b/>
          <w:kern w:val="0"/>
          <w:sz w:val="24"/>
          <w:szCs w:val="24"/>
        </w:rPr>
        <w:t>一、推广适度规模、绿色循环的家庭农场模式</w:t>
      </w:r>
    </w:p>
    <w:p>
      <w:pPr>
        <w:adjustRightInd w:val="0"/>
        <w:snapToGrid w:val="0"/>
        <w:spacing w:line="360" w:lineRule="auto"/>
        <w:ind w:firstLine="480" w:firstLineChars="200"/>
        <w:rPr>
          <w:rFonts w:cs="Times New Roman" w:asciiTheme="minorEastAsia" w:hAnsiTheme="minorEastAsia"/>
          <w:kern w:val="0"/>
          <w:sz w:val="24"/>
          <w:szCs w:val="24"/>
        </w:rPr>
      </w:pPr>
      <w:r>
        <w:rPr>
          <w:rFonts w:hint="eastAsia" w:eastAsia="宋体" w:cs="Times New Roman" w:asciiTheme="minorEastAsia" w:hAnsiTheme="minorEastAsia"/>
          <w:kern w:val="0"/>
          <w:sz w:val="24"/>
          <w:szCs w:val="24"/>
        </w:rPr>
        <w:t>充分利用城市近郊</w:t>
      </w:r>
      <w:r>
        <w:rPr>
          <w:rFonts w:eastAsia="宋体" w:cs="Times New Roman" w:asciiTheme="minorEastAsia" w:hAnsiTheme="minorEastAsia"/>
          <w:kern w:val="0"/>
          <w:sz w:val="24"/>
          <w:szCs w:val="24"/>
        </w:rPr>
        <w:t>、环成都经济区区位优势、浅丘地理和乡村发展基础，宜田则田、宜产则产、宜养则养、宜林则林，宜居则居。丘底为高标准农田功能区，推进以“冲田”为单元的田型调整，实施高标准农田建设，推广机械化生产，鼓励粮菜轮作，单个家庭农场20-30亩。丘坡为丘陵人居和特色农业发展功能区，引导集中连片发展白柠檬、</w:t>
      </w:r>
      <w:r>
        <w:rPr>
          <w:rFonts w:hint="eastAsia" w:eastAsia="宋体" w:cs="Times New Roman" w:asciiTheme="minorEastAsia" w:hAnsiTheme="minorEastAsia"/>
          <w:kern w:val="0"/>
          <w:sz w:val="24"/>
          <w:szCs w:val="24"/>
        </w:rPr>
        <w:t>花椒、文旦柚</w:t>
      </w:r>
      <w:r>
        <w:rPr>
          <w:rFonts w:eastAsia="宋体" w:cs="Times New Roman" w:asciiTheme="minorEastAsia" w:hAnsiTheme="minorEastAsia"/>
          <w:kern w:val="0"/>
          <w:sz w:val="24"/>
          <w:szCs w:val="24"/>
        </w:rPr>
        <w:t>等特色产业，鼓励果粮间种，单个家庭农场50-100 亩，建设示范基地，形成“产、加、销”一条龙。</w:t>
      </w:r>
    </w:p>
    <w:p>
      <w:pPr>
        <w:adjustRightInd w:val="0"/>
        <w:snapToGrid w:val="0"/>
        <w:spacing w:line="360" w:lineRule="auto"/>
        <w:ind w:firstLine="482" w:firstLineChars="200"/>
        <w:rPr>
          <w:rFonts w:ascii="黑体" w:hAnsi="黑体" w:eastAsia="黑体" w:cs="Times New Roman"/>
          <w:b/>
          <w:kern w:val="0"/>
          <w:sz w:val="24"/>
          <w:szCs w:val="24"/>
        </w:rPr>
      </w:pPr>
      <w:r>
        <w:rPr>
          <w:rFonts w:hint="eastAsia" w:ascii="黑体" w:hAnsi="黑体" w:eastAsia="黑体" w:cs="Times New Roman"/>
          <w:b/>
          <w:kern w:val="0"/>
          <w:sz w:val="24"/>
          <w:szCs w:val="24"/>
        </w:rPr>
        <w:t>二、引导农民减量化、职业化</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顺应农民向非农产业和城镇转移</w:t>
      </w:r>
      <w:r>
        <w:rPr>
          <w:rFonts w:hint="eastAsia" w:eastAsia="宋体" w:cs="Times New Roman" w:asciiTheme="minorEastAsia" w:hAnsiTheme="minorEastAsia"/>
          <w:kern w:val="0"/>
          <w:sz w:val="24"/>
          <w:szCs w:val="24"/>
        </w:rPr>
        <w:t>和</w:t>
      </w:r>
      <w:r>
        <w:rPr>
          <w:rFonts w:eastAsia="宋体" w:cs="Times New Roman" w:asciiTheme="minorEastAsia" w:hAnsiTheme="minorEastAsia"/>
          <w:kern w:val="0"/>
          <w:sz w:val="24"/>
          <w:szCs w:val="24"/>
        </w:rPr>
        <w:t>片区人口减量的历史趋势，引导“市民下乡、人才返乡、村民进城、村民留乡”。基于农村常住人口为老人、幼儿特征，通过县城、中心镇提供高质量养老服务引导村民进城、进镇养老，自愿有偿退出宅基地；</w:t>
      </w:r>
      <w:r>
        <w:rPr>
          <w:rFonts w:hint="eastAsia" w:eastAsia="宋体" w:cs="Times New Roman" w:asciiTheme="minorEastAsia" w:hAnsiTheme="minorEastAsia"/>
          <w:kern w:val="0"/>
          <w:sz w:val="24"/>
          <w:szCs w:val="24"/>
        </w:rPr>
        <w:t>依托中心村打造</w:t>
      </w:r>
      <w:r>
        <w:rPr>
          <w:rFonts w:eastAsia="宋体" w:cs="Times New Roman" w:asciiTheme="minorEastAsia" w:hAnsiTheme="minorEastAsia"/>
          <w:kern w:val="0"/>
          <w:sz w:val="24"/>
          <w:szCs w:val="24"/>
        </w:rPr>
        <w:t>片区中心，布局聚居点满足村民聚居意愿，方便村民养老和儿童上学；鼓励市民下乡创业成为新村民；吸引人才返乡创业，壮大职业农民与兼业农民。</w:t>
      </w:r>
    </w:p>
    <w:p>
      <w:pPr>
        <w:adjustRightInd w:val="0"/>
        <w:snapToGrid w:val="0"/>
        <w:spacing w:line="360" w:lineRule="auto"/>
        <w:ind w:firstLine="482" w:firstLineChars="200"/>
        <w:rPr>
          <w:rFonts w:ascii="黑体" w:hAnsi="黑体" w:eastAsia="黑体" w:cs="Times New Roman"/>
          <w:b/>
          <w:kern w:val="0"/>
          <w:sz w:val="24"/>
          <w:szCs w:val="24"/>
        </w:rPr>
      </w:pPr>
      <w:r>
        <w:rPr>
          <w:rFonts w:hint="eastAsia" w:ascii="黑体" w:hAnsi="黑体" w:eastAsia="黑体" w:cs="Times New Roman"/>
          <w:b/>
          <w:kern w:val="0"/>
          <w:sz w:val="24"/>
          <w:szCs w:val="24"/>
        </w:rPr>
        <w:t>三、引导农业规模化、特色化</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立足农业产业基础优势，加强内生动力，探索“龙头企业主导+大户带动+散户参与”模式</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推广使用良种选育、测土配方施肥、绿色防控等关键技术。</w:t>
      </w:r>
      <w:r>
        <w:rPr>
          <w:rFonts w:hint="eastAsia" w:eastAsia="宋体" w:cs="Times New Roman" w:asciiTheme="minorEastAsia" w:hAnsiTheme="minorEastAsia"/>
          <w:kern w:val="0"/>
          <w:sz w:val="24"/>
          <w:szCs w:val="24"/>
        </w:rPr>
        <w:t>定向培育“高效</w:t>
      </w:r>
      <w:r>
        <w:rPr>
          <w:rFonts w:eastAsia="宋体" w:cs="Times New Roman" w:asciiTheme="minorEastAsia" w:hAnsiTheme="minorEastAsia"/>
          <w:kern w:val="0"/>
          <w:sz w:val="24"/>
          <w:szCs w:val="24"/>
        </w:rPr>
        <w:t>粮油+白柠檬”战略性专业化产业，推动形成以白柠檬种植为主的特色农业产业片区</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从促进城乡和区域协调发展的角度，以做强大英粮油品牌为抓手，谋划、策划新产业、新业态，包括区域性的粮油研发、田园康养、生产加工、农事服务，城市近郊农旅休闲体验等，打造农业全产业链，促进农文旅融合发展，进而推动产业发展“量”和“质”的双重提高，激发县域经济增长潜力。</w:t>
      </w:r>
    </w:p>
    <w:p>
      <w:pPr>
        <w:adjustRightInd w:val="0"/>
        <w:snapToGrid w:val="0"/>
        <w:spacing w:line="360" w:lineRule="auto"/>
        <w:ind w:firstLine="482" w:firstLineChars="200"/>
        <w:rPr>
          <w:rFonts w:ascii="黑体" w:hAnsi="黑体" w:eastAsia="黑体" w:cs="Times New Roman"/>
          <w:b/>
          <w:kern w:val="0"/>
          <w:sz w:val="24"/>
          <w:szCs w:val="24"/>
        </w:rPr>
      </w:pPr>
      <w:r>
        <w:rPr>
          <w:rFonts w:hint="eastAsia" w:ascii="黑体" w:hAnsi="黑体" w:eastAsia="黑体" w:cs="Times New Roman"/>
          <w:b/>
          <w:kern w:val="0"/>
          <w:sz w:val="24"/>
          <w:szCs w:val="24"/>
        </w:rPr>
        <w:t>四、引导农村高效化、品质化</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充分梳理土地要素，坚持“总量锁定、增量递减、存量优化、流量增效、品质提高”“五量调控”的原则，在优先保障粮食安全和生态安全的前提下，通过土地资源的优化配置，包括腾退复垦、存量更新、闲置资源再利用等方式，促进中心镇的聚集发展和保障乡村的发展需求。资源调配过程中，优化引导分散闲置宅基地自愿有偿退出，加快土地规模化；充分尊重当地文化传统与风俗习惯，充分利用合并前的村委会、老乡场、一般场镇的现有公共服务、基础设施等，降低资源优化成本；加快补齐城乡、区域之间在公共服务、基础设施、流通体系方面的短板弱项。</w:t>
      </w:r>
    </w:p>
    <w:p>
      <w:pPr>
        <w:pStyle w:val="36"/>
        <w:numPr>
          <w:ilvl w:val="0"/>
          <w:numId w:val="5"/>
        </w:numPr>
        <w:spacing w:beforeLines="50" w:afterLines="50"/>
        <w:ind w:firstLineChars="0"/>
        <w:jc w:val="center"/>
        <w:rPr>
          <w:rFonts w:ascii="黑体" w:hAnsi="黑体" w:eastAsia="黑体"/>
          <w:b w:val="0"/>
          <w:kern w:val="2"/>
        </w:rPr>
      </w:pPr>
      <w:bookmarkStart w:id="17" w:name="_Toc166772166"/>
      <w:r>
        <w:rPr>
          <w:rFonts w:hint="eastAsia" w:ascii="黑体" w:hAnsi="黑体" w:eastAsia="黑体"/>
          <w:b w:val="0"/>
          <w:kern w:val="2"/>
        </w:rPr>
        <w:t>协同规划</w:t>
      </w:r>
      <w:bookmarkEnd w:id="17"/>
    </w:p>
    <w:p>
      <w:pPr>
        <w:adjustRightInd w:val="0"/>
        <w:snapToGrid w:val="0"/>
        <w:spacing w:line="360" w:lineRule="auto"/>
        <w:ind w:firstLine="482" w:firstLineChars="200"/>
        <w:rPr>
          <w:rFonts w:ascii="黑体" w:hAnsi="黑体" w:eastAsia="黑体" w:cs="Times New Roman"/>
          <w:b/>
          <w:kern w:val="0"/>
          <w:sz w:val="24"/>
          <w:szCs w:val="24"/>
        </w:rPr>
      </w:pPr>
      <w:r>
        <w:rPr>
          <w:rFonts w:hint="eastAsia" w:ascii="黑体" w:hAnsi="黑体" w:eastAsia="黑体" w:cs="Times New Roman"/>
          <w:b/>
          <w:kern w:val="0"/>
          <w:sz w:val="24"/>
          <w:szCs w:val="24"/>
        </w:rPr>
        <w:t>一、协同成都经济圈</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（一）推动协同发展平台建设</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积极融入成都经济圈现代农业体系, 线创新走廊。承接</w:t>
      </w:r>
      <w:r>
        <w:rPr>
          <w:rFonts w:hint="eastAsia" w:eastAsia="宋体" w:cs="Times New Roman" w:asciiTheme="minorEastAsia" w:hAnsiTheme="minorEastAsia"/>
          <w:kern w:val="0"/>
          <w:sz w:val="24"/>
          <w:szCs w:val="24"/>
        </w:rPr>
        <w:t>农产品服务</w:t>
      </w:r>
      <w:r>
        <w:rPr>
          <w:rFonts w:eastAsia="宋体" w:cs="Times New Roman" w:asciiTheme="minorEastAsia" w:hAnsiTheme="minorEastAsia"/>
          <w:kern w:val="0"/>
          <w:sz w:val="24"/>
          <w:szCs w:val="24"/>
        </w:rPr>
        <w:t>、</w:t>
      </w:r>
      <w:r>
        <w:rPr>
          <w:rFonts w:hint="eastAsia" w:eastAsia="宋体" w:cs="Times New Roman" w:asciiTheme="minorEastAsia" w:hAnsiTheme="minorEastAsia"/>
          <w:kern w:val="0"/>
          <w:sz w:val="24"/>
          <w:szCs w:val="24"/>
        </w:rPr>
        <w:t>粮食</w:t>
      </w:r>
      <w:r>
        <w:rPr>
          <w:rFonts w:eastAsia="宋体" w:cs="Times New Roman" w:asciiTheme="minorEastAsia" w:hAnsiTheme="minorEastAsia"/>
          <w:kern w:val="0"/>
          <w:sz w:val="24"/>
          <w:szCs w:val="24"/>
        </w:rPr>
        <w:t>供给、</w:t>
      </w:r>
      <w:r>
        <w:rPr>
          <w:rFonts w:hint="eastAsia" w:eastAsia="宋体" w:cs="Times New Roman" w:asciiTheme="minorEastAsia" w:hAnsiTheme="minorEastAsia"/>
          <w:kern w:val="0"/>
          <w:sz w:val="24"/>
          <w:szCs w:val="24"/>
        </w:rPr>
        <w:t>乡村</w:t>
      </w:r>
      <w:r>
        <w:rPr>
          <w:rFonts w:eastAsia="宋体" w:cs="Times New Roman" w:asciiTheme="minorEastAsia" w:hAnsiTheme="minorEastAsia"/>
          <w:kern w:val="0"/>
          <w:sz w:val="24"/>
          <w:szCs w:val="24"/>
        </w:rPr>
        <w:t>休闲度假、</w:t>
      </w:r>
      <w:r>
        <w:rPr>
          <w:rFonts w:hint="eastAsia" w:eastAsia="宋体" w:cs="Times New Roman" w:asciiTheme="minorEastAsia" w:hAnsiTheme="minorEastAsia"/>
          <w:kern w:val="0"/>
          <w:sz w:val="24"/>
          <w:szCs w:val="24"/>
        </w:rPr>
        <w:t>良种</w:t>
      </w:r>
      <w:r>
        <w:rPr>
          <w:rFonts w:eastAsia="宋体" w:cs="Times New Roman" w:asciiTheme="minorEastAsia" w:hAnsiTheme="minorEastAsia"/>
          <w:kern w:val="0"/>
          <w:sz w:val="24"/>
          <w:szCs w:val="24"/>
        </w:rPr>
        <w:t>培育等产业转移，加强与渝遂绵优质蔬菜生产带、雅乐名优茶产业带、眉乐晚熟柑橘产业带等产业方面的协作</w:t>
      </w:r>
      <w:r>
        <w:rPr>
          <w:rFonts w:hint="eastAsia" w:eastAsia="宋体" w:cs="Times New Roman" w:asciiTheme="minorEastAsia" w:hAnsiTheme="minorEastAsia"/>
          <w:kern w:val="0"/>
          <w:sz w:val="24"/>
          <w:szCs w:val="24"/>
        </w:rPr>
        <w:t>互补</w:t>
      </w:r>
      <w:r>
        <w:rPr>
          <w:rFonts w:eastAsia="宋体" w:cs="Times New Roman" w:asciiTheme="minorEastAsia" w:hAnsiTheme="minorEastAsia"/>
          <w:kern w:val="0"/>
          <w:sz w:val="24"/>
          <w:szCs w:val="24"/>
        </w:rPr>
        <w:t>。支持</w:t>
      </w:r>
      <w:r>
        <w:rPr>
          <w:rFonts w:hint="eastAsia" w:eastAsia="宋体" w:cs="Times New Roman" w:asciiTheme="minorEastAsia" w:hAnsiTheme="minorEastAsia"/>
          <w:kern w:val="0"/>
          <w:sz w:val="24"/>
          <w:szCs w:val="24"/>
        </w:rPr>
        <w:t>经济圈</w:t>
      </w:r>
      <w:r>
        <w:rPr>
          <w:rFonts w:eastAsia="宋体" w:cs="Times New Roman" w:asciiTheme="minorEastAsia" w:hAnsiTheme="minorEastAsia"/>
          <w:kern w:val="0"/>
          <w:sz w:val="24"/>
          <w:szCs w:val="24"/>
        </w:rPr>
        <w:t>内的农业产业化龙头企业到</w:t>
      </w:r>
      <w:r>
        <w:rPr>
          <w:rFonts w:hint="eastAsia" w:eastAsia="宋体" w:cs="Times New Roman" w:asciiTheme="minorEastAsia" w:hAnsiTheme="minorEastAsia"/>
          <w:kern w:val="0"/>
          <w:sz w:val="24"/>
          <w:szCs w:val="24"/>
        </w:rPr>
        <w:t>成遂</w:t>
      </w:r>
      <w:r>
        <w:rPr>
          <w:rFonts w:eastAsia="宋体" w:cs="Times New Roman" w:asciiTheme="minorEastAsia" w:hAnsiTheme="minorEastAsia"/>
          <w:kern w:val="0"/>
          <w:sz w:val="24"/>
          <w:szCs w:val="24"/>
        </w:rPr>
        <w:t>协同片区建设优质特色农产品生产基地、农产品深加工基地和农副产品配送基地，搭建农产品产销对接平台，建设农业科技合作交流平台。鼓励、引导</w:t>
      </w:r>
      <w:r>
        <w:rPr>
          <w:rFonts w:hint="eastAsia" w:eastAsia="宋体" w:cs="Times New Roman" w:asciiTheme="minorEastAsia" w:hAnsiTheme="minorEastAsia"/>
          <w:kern w:val="0"/>
          <w:sz w:val="24"/>
          <w:szCs w:val="24"/>
        </w:rPr>
        <w:t>经济圈</w:t>
      </w:r>
      <w:r>
        <w:rPr>
          <w:rFonts w:eastAsia="宋体" w:cs="Times New Roman" w:asciiTheme="minorEastAsia" w:hAnsiTheme="minorEastAsia"/>
          <w:kern w:val="0"/>
          <w:sz w:val="24"/>
          <w:szCs w:val="24"/>
        </w:rPr>
        <w:t>内的物流企业在</w:t>
      </w:r>
      <w:r>
        <w:rPr>
          <w:rFonts w:hint="eastAsia" w:eastAsia="宋体" w:cs="Times New Roman" w:asciiTheme="minorEastAsia" w:hAnsiTheme="minorEastAsia"/>
          <w:kern w:val="0"/>
          <w:sz w:val="24"/>
          <w:szCs w:val="24"/>
        </w:rPr>
        <w:t>片区</w:t>
      </w:r>
      <w:r>
        <w:rPr>
          <w:rFonts w:eastAsia="宋体" w:cs="Times New Roman" w:asciiTheme="minorEastAsia" w:hAnsiTheme="minorEastAsia"/>
          <w:kern w:val="0"/>
          <w:sz w:val="24"/>
          <w:szCs w:val="24"/>
        </w:rPr>
        <w:t>内设立仓储、分拨、配送中心，共建跨境电子商务合作平台和区域性物流信息平台。联合成都、绵阳、德阳遂宁等城市打造跨市域精品旅游线路。推动</w:t>
      </w:r>
      <w:r>
        <w:rPr>
          <w:rFonts w:hint="eastAsia" w:eastAsia="宋体" w:cs="Times New Roman" w:asciiTheme="minorEastAsia" w:hAnsiTheme="minorEastAsia"/>
          <w:kern w:val="0"/>
          <w:sz w:val="24"/>
          <w:szCs w:val="24"/>
        </w:rPr>
        <w:t>经济圈</w:t>
      </w:r>
      <w:r>
        <w:rPr>
          <w:rFonts w:eastAsia="宋体" w:cs="Times New Roman" w:asciiTheme="minorEastAsia" w:hAnsiTheme="minorEastAsia"/>
          <w:kern w:val="0"/>
          <w:sz w:val="24"/>
          <w:szCs w:val="24"/>
        </w:rPr>
        <w:t>内金融机构到</w:t>
      </w:r>
      <w:r>
        <w:rPr>
          <w:rFonts w:hint="eastAsia" w:eastAsia="宋体" w:cs="Times New Roman" w:asciiTheme="minorEastAsia" w:hAnsiTheme="minorEastAsia"/>
          <w:kern w:val="0"/>
          <w:sz w:val="24"/>
          <w:szCs w:val="24"/>
        </w:rPr>
        <w:t>成遂</w:t>
      </w:r>
      <w:r>
        <w:rPr>
          <w:rFonts w:eastAsia="宋体" w:cs="Times New Roman" w:asciiTheme="minorEastAsia" w:hAnsiTheme="minorEastAsia"/>
          <w:kern w:val="0"/>
          <w:sz w:val="24"/>
          <w:szCs w:val="24"/>
        </w:rPr>
        <w:t>协同片区投资</w:t>
      </w:r>
      <w:r>
        <w:rPr>
          <w:rFonts w:hint="eastAsia" w:eastAsia="宋体" w:cs="Times New Roman" w:asciiTheme="minorEastAsia" w:hAnsiTheme="minorEastAsia"/>
          <w:kern w:val="0"/>
          <w:sz w:val="24"/>
          <w:szCs w:val="24"/>
        </w:rPr>
        <w:t>产业</w:t>
      </w:r>
      <w:r>
        <w:rPr>
          <w:rFonts w:eastAsia="宋体" w:cs="Times New Roman" w:asciiTheme="minorEastAsia" w:hAnsiTheme="minorEastAsia"/>
          <w:kern w:val="0"/>
          <w:sz w:val="24"/>
          <w:szCs w:val="24"/>
        </w:rPr>
        <w:t>，引进</w:t>
      </w:r>
      <w:r>
        <w:rPr>
          <w:rFonts w:hint="eastAsia" w:eastAsia="宋体" w:cs="Times New Roman" w:asciiTheme="minorEastAsia" w:hAnsiTheme="minorEastAsia"/>
          <w:kern w:val="0"/>
          <w:sz w:val="24"/>
          <w:szCs w:val="24"/>
        </w:rPr>
        <w:t>优质金融机构在片区设立分支机构。</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（二）协同共建城乡融合发展</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协商区域设施共享、共建，推动城镇公共服务和基础设施向片区延伸</w:t>
      </w:r>
      <w:r>
        <w:rPr>
          <w:rFonts w:eastAsia="宋体" w:cs="Times New Roman" w:asciiTheme="minorEastAsia" w:hAnsiTheme="minorEastAsia"/>
          <w:kern w:val="0"/>
          <w:sz w:val="24"/>
          <w:szCs w:val="24"/>
        </w:rPr>
        <w:t>,</w:t>
      </w:r>
      <w:r>
        <w:rPr>
          <w:rFonts w:hint="eastAsia" w:eastAsia="宋体" w:cs="Times New Roman" w:asciiTheme="minorEastAsia" w:hAnsiTheme="minorEastAsia"/>
          <w:kern w:val="0"/>
          <w:sz w:val="24"/>
          <w:szCs w:val="24"/>
        </w:rPr>
        <w:t>促进农村一二三产业深度融合</w:t>
      </w:r>
      <w:r>
        <w:rPr>
          <w:rFonts w:eastAsia="宋体" w:cs="Times New Roman" w:asciiTheme="minorEastAsia" w:hAnsiTheme="minorEastAsia"/>
          <w:kern w:val="0"/>
          <w:sz w:val="24"/>
          <w:szCs w:val="24"/>
        </w:rPr>
        <w:t>,</w:t>
      </w:r>
      <w:r>
        <w:rPr>
          <w:rFonts w:hint="eastAsia" w:eastAsia="宋体" w:cs="Times New Roman" w:asciiTheme="minorEastAsia" w:hAnsiTheme="minorEastAsia"/>
          <w:kern w:val="0"/>
          <w:sz w:val="24"/>
          <w:szCs w:val="24"/>
        </w:rPr>
        <w:t>全面建设美丽宜居乡村</w:t>
      </w:r>
      <w:r>
        <w:rPr>
          <w:rFonts w:eastAsia="宋体" w:cs="Times New Roman" w:asciiTheme="minorEastAsia" w:hAnsiTheme="minorEastAsia"/>
          <w:kern w:val="0"/>
          <w:sz w:val="24"/>
          <w:szCs w:val="24"/>
        </w:rPr>
        <w:t>,积极借鉴</w:t>
      </w:r>
      <w:r>
        <w:rPr>
          <w:rFonts w:hint="eastAsia" w:eastAsia="宋体" w:cs="Times New Roman" w:asciiTheme="minorEastAsia" w:hAnsiTheme="minorEastAsia"/>
          <w:kern w:val="0"/>
          <w:sz w:val="24"/>
          <w:szCs w:val="24"/>
        </w:rPr>
        <w:t>圈内脱贫攻坚成果。规范有序探索农村集体经营性建设用地入市</w:t>
      </w:r>
      <w:r>
        <w:rPr>
          <w:rFonts w:eastAsia="宋体" w:cs="Times New Roman" w:asciiTheme="minorEastAsia" w:hAnsiTheme="minorEastAsia"/>
          <w:kern w:val="0"/>
          <w:sz w:val="24"/>
          <w:szCs w:val="24"/>
        </w:rPr>
        <w:t>,</w:t>
      </w:r>
      <w:r>
        <w:rPr>
          <w:rFonts w:hint="eastAsia" w:eastAsia="宋体" w:cs="Times New Roman" w:asciiTheme="minorEastAsia" w:hAnsiTheme="minorEastAsia"/>
          <w:kern w:val="0"/>
          <w:sz w:val="24"/>
          <w:szCs w:val="24"/>
        </w:rPr>
        <w:t>深化承包地三权分置改革</w:t>
      </w:r>
      <w:r>
        <w:rPr>
          <w:rFonts w:eastAsia="宋体" w:cs="Times New Roman" w:asciiTheme="minorEastAsia" w:hAnsiTheme="minorEastAsia"/>
          <w:kern w:val="0"/>
          <w:sz w:val="24"/>
          <w:szCs w:val="24"/>
        </w:rPr>
        <w:t>,</w:t>
      </w:r>
      <w:r>
        <w:rPr>
          <w:rFonts w:hint="eastAsia" w:eastAsia="宋体" w:cs="Times New Roman" w:asciiTheme="minorEastAsia" w:hAnsiTheme="minorEastAsia"/>
          <w:kern w:val="0"/>
          <w:sz w:val="24"/>
          <w:szCs w:val="24"/>
        </w:rPr>
        <w:t>健全进城落户农民依法自愿有偿转让农村权益机制。鼓励圈内农业科研人员在片区兼职兼薪和离岗创业制度</w:t>
      </w:r>
      <w:r>
        <w:rPr>
          <w:rFonts w:eastAsia="宋体" w:cs="Times New Roman" w:asciiTheme="minorEastAsia" w:hAnsiTheme="minorEastAsia"/>
          <w:kern w:val="0"/>
          <w:sz w:val="24"/>
          <w:szCs w:val="24"/>
        </w:rPr>
        <w:t>,</w:t>
      </w:r>
      <w:r>
        <w:rPr>
          <w:rFonts w:hint="eastAsia" w:eastAsia="宋体" w:cs="Times New Roman" w:asciiTheme="minorEastAsia" w:hAnsiTheme="minorEastAsia"/>
          <w:kern w:val="0"/>
          <w:sz w:val="24"/>
          <w:szCs w:val="24"/>
        </w:rPr>
        <w:t>允许片区外来就业创业人员在原籍地或就业创业地落户并享受相关权益。积极引导社会资本入乡</w:t>
      </w:r>
      <w:r>
        <w:rPr>
          <w:rFonts w:eastAsia="宋体" w:cs="Times New Roman" w:asciiTheme="minorEastAsia" w:hAnsiTheme="minorEastAsia"/>
          <w:kern w:val="0"/>
          <w:sz w:val="24"/>
          <w:szCs w:val="24"/>
        </w:rPr>
        <w:t>,</w:t>
      </w:r>
      <w:r>
        <w:rPr>
          <w:rFonts w:hint="eastAsia" w:eastAsia="宋体" w:cs="Times New Roman" w:asciiTheme="minorEastAsia" w:hAnsiTheme="minorEastAsia"/>
          <w:kern w:val="0"/>
          <w:sz w:val="24"/>
          <w:szCs w:val="24"/>
        </w:rPr>
        <w:t>参与城乡融合发展项目建设。</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（三）协同发展现代都市农业</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聚焦圈内“</w:t>
      </w:r>
      <w:r>
        <w:rPr>
          <w:rFonts w:eastAsia="宋体" w:cs="Times New Roman" w:asciiTheme="minorEastAsia" w:hAnsiTheme="minorEastAsia"/>
          <w:kern w:val="0"/>
          <w:sz w:val="24"/>
          <w:szCs w:val="24"/>
        </w:rPr>
        <w:t>10+3</w:t>
      </w:r>
      <w:r>
        <w:rPr>
          <w:rFonts w:hint="eastAsia" w:eastAsia="宋体" w:cs="Times New Roman" w:asciiTheme="minorEastAsia" w:hAnsiTheme="minorEastAsia"/>
          <w:kern w:val="0"/>
          <w:sz w:val="24"/>
          <w:szCs w:val="24"/>
        </w:rPr>
        <w:t>”现代农业体系</w:t>
      </w:r>
      <w:r>
        <w:rPr>
          <w:rFonts w:eastAsia="宋体" w:cs="Times New Roman" w:asciiTheme="minorEastAsia" w:hAnsiTheme="minorEastAsia"/>
          <w:kern w:val="0"/>
          <w:sz w:val="24"/>
          <w:szCs w:val="24"/>
        </w:rPr>
        <w:t>,</w:t>
      </w:r>
      <w:r>
        <w:rPr>
          <w:rFonts w:hint="eastAsia" w:eastAsia="宋体" w:cs="Times New Roman" w:asciiTheme="minorEastAsia" w:hAnsiTheme="minorEastAsia"/>
          <w:kern w:val="0"/>
          <w:sz w:val="24"/>
          <w:szCs w:val="24"/>
        </w:rPr>
        <w:t>加快发展休闲农业、绿色农业、数字农业</w:t>
      </w:r>
      <w:r>
        <w:rPr>
          <w:rFonts w:eastAsia="宋体" w:cs="Times New Roman" w:asciiTheme="minorEastAsia" w:hAnsiTheme="minorEastAsia"/>
          <w:kern w:val="0"/>
          <w:sz w:val="24"/>
          <w:szCs w:val="24"/>
        </w:rPr>
        <w:t>,</w:t>
      </w:r>
      <w:r>
        <w:rPr>
          <w:rFonts w:hint="eastAsia" w:eastAsia="宋体" w:cs="Times New Roman" w:asciiTheme="minorEastAsia" w:hAnsiTheme="minorEastAsia"/>
          <w:kern w:val="0"/>
          <w:sz w:val="24"/>
          <w:szCs w:val="24"/>
        </w:rPr>
        <w:t>促进农村一二三产业深度融合。开展农业科技创新和推广</w:t>
      </w:r>
      <w:r>
        <w:rPr>
          <w:rFonts w:eastAsia="宋体" w:cs="Times New Roman" w:asciiTheme="minorEastAsia" w:hAnsiTheme="minorEastAsia"/>
          <w:kern w:val="0"/>
          <w:sz w:val="24"/>
          <w:szCs w:val="24"/>
        </w:rPr>
        <w:t>,</w:t>
      </w:r>
      <w:r>
        <w:rPr>
          <w:rFonts w:hint="eastAsia" w:eastAsia="宋体" w:cs="Times New Roman" w:asciiTheme="minorEastAsia" w:hAnsiTheme="minorEastAsia"/>
          <w:kern w:val="0"/>
          <w:sz w:val="24"/>
          <w:szCs w:val="24"/>
        </w:rPr>
        <w:t>强化现代农业技术装</w:t>
      </w:r>
    </w:p>
    <w:p>
      <w:pPr>
        <w:adjustRightInd w:val="0"/>
        <w:snapToGrid w:val="0"/>
        <w:spacing w:line="360" w:lineRule="auto"/>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备支撑</w:t>
      </w:r>
      <w:r>
        <w:rPr>
          <w:rFonts w:eastAsia="宋体" w:cs="Times New Roman" w:asciiTheme="minorEastAsia" w:hAnsiTheme="minorEastAsia"/>
          <w:kern w:val="0"/>
          <w:sz w:val="24"/>
          <w:szCs w:val="24"/>
        </w:rPr>
        <w:t>,</w:t>
      </w:r>
      <w:r>
        <w:rPr>
          <w:rFonts w:hint="eastAsia" w:eastAsia="宋体" w:cs="Times New Roman" w:asciiTheme="minorEastAsia" w:hAnsiTheme="minorEastAsia"/>
          <w:kern w:val="0"/>
          <w:sz w:val="24"/>
          <w:szCs w:val="24"/>
        </w:rPr>
        <w:t>联动中国天府农业博览园、国家种质资源库西部中心库和国家农业高新技术产业示范区。健全农业社会化服务体系</w:t>
      </w:r>
      <w:r>
        <w:rPr>
          <w:rFonts w:eastAsia="宋体" w:cs="Times New Roman" w:asciiTheme="minorEastAsia" w:hAnsiTheme="minorEastAsia"/>
          <w:kern w:val="0"/>
          <w:sz w:val="24"/>
          <w:szCs w:val="24"/>
        </w:rPr>
        <w:t>,</w:t>
      </w:r>
      <w:r>
        <w:rPr>
          <w:rFonts w:hint="eastAsia" w:eastAsia="宋体" w:cs="Times New Roman" w:asciiTheme="minorEastAsia" w:hAnsiTheme="minorEastAsia"/>
          <w:kern w:val="0"/>
          <w:sz w:val="24"/>
          <w:szCs w:val="24"/>
        </w:rPr>
        <w:t>加大家庭农场、专业合作社、龙头企业培育力度</w:t>
      </w:r>
      <w:r>
        <w:rPr>
          <w:rFonts w:eastAsia="宋体" w:cs="Times New Roman" w:asciiTheme="minorEastAsia" w:hAnsiTheme="minorEastAsia"/>
          <w:kern w:val="0"/>
          <w:sz w:val="24"/>
          <w:szCs w:val="24"/>
        </w:rPr>
        <w:t>,</w:t>
      </w:r>
      <w:r>
        <w:rPr>
          <w:rFonts w:hint="eastAsia" w:eastAsia="宋体" w:cs="Times New Roman" w:asciiTheme="minorEastAsia" w:hAnsiTheme="minorEastAsia"/>
          <w:kern w:val="0"/>
          <w:sz w:val="24"/>
          <w:szCs w:val="24"/>
        </w:rPr>
        <w:t>提高农业集约化专业化组织化水平。</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（四）协同</w:t>
      </w:r>
      <w:r>
        <w:rPr>
          <w:rFonts w:eastAsia="宋体" w:cs="Times New Roman" w:asciiTheme="minorEastAsia" w:hAnsiTheme="minorEastAsia"/>
          <w:b/>
          <w:kern w:val="0"/>
          <w:sz w:val="24"/>
          <w:szCs w:val="24"/>
        </w:rPr>
        <w:t>推动交通一体发展</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依托</w:t>
      </w:r>
      <w:r>
        <w:rPr>
          <w:rFonts w:hint="eastAsia" w:eastAsia="宋体" w:cs="Times New Roman" w:asciiTheme="minorEastAsia" w:hAnsiTheme="minorEastAsia"/>
          <w:kern w:val="0"/>
          <w:sz w:val="24"/>
          <w:szCs w:val="24"/>
        </w:rPr>
        <w:t>沪蓉</w:t>
      </w:r>
      <w:r>
        <w:rPr>
          <w:rFonts w:eastAsia="宋体" w:cs="Times New Roman" w:asciiTheme="minorEastAsia" w:hAnsiTheme="minorEastAsia"/>
          <w:kern w:val="0"/>
          <w:sz w:val="24"/>
          <w:szCs w:val="24"/>
        </w:rPr>
        <w:t>高速、三台-大英-乐至高速</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加强与</w:t>
      </w:r>
      <w:r>
        <w:rPr>
          <w:rFonts w:hint="eastAsia" w:eastAsia="宋体" w:cs="Times New Roman" w:asciiTheme="minorEastAsia" w:hAnsiTheme="minorEastAsia"/>
          <w:kern w:val="0"/>
          <w:sz w:val="24"/>
          <w:szCs w:val="24"/>
        </w:rPr>
        <w:t>成都、资阳、德阳、</w:t>
      </w:r>
      <w:r>
        <w:rPr>
          <w:rFonts w:eastAsia="宋体" w:cs="Times New Roman" w:asciiTheme="minorEastAsia" w:hAnsiTheme="minorEastAsia"/>
          <w:kern w:val="0"/>
          <w:sz w:val="24"/>
          <w:szCs w:val="24"/>
        </w:rPr>
        <w:t>三台</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乐至</w:t>
      </w:r>
      <w:r>
        <w:rPr>
          <w:rFonts w:hint="eastAsia" w:eastAsia="宋体" w:cs="Times New Roman" w:asciiTheme="minorEastAsia" w:hAnsiTheme="minorEastAsia"/>
          <w:kern w:val="0"/>
          <w:sz w:val="24"/>
          <w:szCs w:val="24"/>
        </w:rPr>
        <w:t>、中江、射洪等</w:t>
      </w:r>
      <w:r>
        <w:rPr>
          <w:rFonts w:eastAsia="宋体" w:cs="Times New Roman" w:asciiTheme="minorEastAsia" w:hAnsiTheme="minorEastAsia"/>
          <w:kern w:val="0"/>
          <w:sz w:val="24"/>
          <w:szCs w:val="24"/>
        </w:rPr>
        <w:t>方向的联系。</w:t>
      </w:r>
    </w:p>
    <w:p>
      <w:pPr>
        <w:adjustRightInd w:val="0"/>
        <w:snapToGrid w:val="0"/>
        <w:spacing w:line="360" w:lineRule="auto"/>
        <w:ind w:firstLine="482" w:firstLineChars="200"/>
        <w:rPr>
          <w:rFonts w:ascii="黑体" w:hAnsi="黑体" w:eastAsia="黑体" w:cs="Times New Roman"/>
          <w:b/>
          <w:kern w:val="0"/>
          <w:sz w:val="24"/>
          <w:szCs w:val="24"/>
        </w:rPr>
      </w:pPr>
      <w:r>
        <w:rPr>
          <w:rFonts w:hint="eastAsia" w:ascii="黑体" w:hAnsi="黑体" w:eastAsia="黑体" w:cs="Times New Roman"/>
          <w:b/>
          <w:kern w:val="0"/>
          <w:sz w:val="24"/>
          <w:szCs w:val="24"/>
        </w:rPr>
        <w:t>二、协同周边地区</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（一）</w:t>
      </w:r>
      <w:r>
        <w:rPr>
          <w:rFonts w:eastAsia="宋体" w:cs="Times New Roman" w:asciiTheme="minorEastAsia" w:hAnsiTheme="minorEastAsia"/>
          <w:b/>
          <w:kern w:val="0"/>
          <w:sz w:val="24"/>
          <w:szCs w:val="24"/>
        </w:rPr>
        <w:t>协同遂宁市中部环城生态休闲区保护</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联动船山区</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高新区</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重点保护连片农田区，严格保护永久基本农田，提升耕地资源质量，储备优质耕地和建设高标农田，保护重要的粮、棉、油生产基地。以水城关系协调为重点，加强涪江南段、郪江及关联河涌水系、湿地资源以及船山区涪江水源地及北移后保护区，寸塘口水库、星花水库、二水厂、五五水库等饮用水源保护区等水资源保护和利用，严格保护郪江黄颡鱼国家级水产种质资源保护区，严格控制各类环境污染排放，加强水、土环境治理与生态修复。结合湿地生态修复，保障实施野生动物栖息地区域的保护工程。</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（二）</w:t>
      </w:r>
      <w:r>
        <w:rPr>
          <w:rFonts w:eastAsia="宋体" w:cs="Times New Roman" w:asciiTheme="minorEastAsia" w:hAnsiTheme="minorEastAsia"/>
          <w:b/>
          <w:kern w:val="0"/>
          <w:sz w:val="24"/>
          <w:szCs w:val="24"/>
        </w:rPr>
        <w:t>协同生态环境协同保护与治理</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片区</w:t>
      </w:r>
      <w:r>
        <w:rPr>
          <w:rFonts w:eastAsia="宋体" w:cs="Times New Roman" w:asciiTheme="minorEastAsia" w:hAnsiTheme="minorEastAsia"/>
          <w:kern w:val="0"/>
          <w:sz w:val="24"/>
          <w:szCs w:val="24"/>
        </w:rPr>
        <w:t>与</w:t>
      </w:r>
      <w:r>
        <w:rPr>
          <w:rFonts w:hint="eastAsia" w:eastAsia="宋体" w:cs="Times New Roman" w:asciiTheme="minorEastAsia" w:hAnsiTheme="minorEastAsia"/>
          <w:kern w:val="0"/>
          <w:sz w:val="24"/>
          <w:szCs w:val="24"/>
        </w:rPr>
        <w:t>中江</w:t>
      </w:r>
      <w:r>
        <w:rPr>
          <w:rFonts w:eastAsia="宋体" w:cs="Times New Roman" w:asciiTheme="minorEastAsia" w:hAnsiTheme="minorEastAsia"/>
          <w:kern w:val="0"/>
          <w:sz w:val="24"/>
          <w:szCs w:val="24"/>
        </w:rPr>
        <w:t>、</w:t>
      </w:r>
      <w:r>
        <w:rPr>
          <w:rFonts w:hint="eastAsia" w:eastAsia="宋体" w:cs="Times New Roman" w:asciiTheme="minorEastAsia" w:hAnsiTheme="minorEastAsia"/>
          <w:kern w:val="0"/>
          <w:sz w:val="24"/>
          <w:szCs w:val="24"/>
        </w:rPr>
        <w:t>射洪等</w:t>
      </w:r>
      <w:r>
        <w:rPr>
          <w:rFonts w:eastAsia="宋体" w:cs="Times New Roman" w:asciiTheme="minorEastAsia" w:hAnsiTheme="minorEastAsia"/>
          <w:kern w:val="0"/>
          <w:sz w:val="24"/>
          <w:szCs w:val="24"/>
        </w:rPr>
        <w:t>县共担</w:t>
      </w:r>
      <w:r>
        <w:rPr>
          <w:rFonts w:hint="eastAsia" w:eastAsia="宋体" w:cs="Times New Roman" w:asciiTheme="minorEastAsia" w:hAnsiTheme="minorEastAsia"/>
          <w:kern w:val="0"/>
          <w:sz w:val="24"/>
          <w:szCs w:val="24"/>
        </w:rPr>
        <w:t>郪江</w:t>
      </w:r>
      <w:r>
        <w:rPr>
          <w:rFonts w:eastAsia="宋体" w:cs="Times New Roman" w:asciiTheme="minorEastAsia" w:hAnsiTheme="minorEastAsia"/>
          <w:kern w:val="0"/>
          <w:sz w:val="24"/>
          <w:szCs w:val="24"/>
        </w:rPr>
        <w:t>、马力河</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龙溪河等跨界河流水生态和水环境保护重任，补齐</w:t>
      </w:r>
      <w:r>
        <w:rPr>
          <w:rFonts w:hint="eastAsia" w:eastAsia="宋体" w:cs="Times New Roman" w:asciiTheme="minorEastAsia" w:hAnsiTheme="minorEastAsia"/>
          <w:kern w:val="0"/>
          <w:sz w:val="24"/>
          <w:szCs w:val="24"/>
        </w:rPr>
        <w:t>周边</w:t>
      </w:r>
      <w:r>
        <w:rPr>
          <w:rFonts w:eastAsia="宋体" w:cs="Times New Roman" w:asciiTheme="minorEastAsia" w:hAnsiTheme="minorEastAsia"/>
          <w:kern w:val="0"/>
          <w:sz w:val="24"/>
          <w:szCs w:val="24"/>
        </w:rPr>
        <w:t>水生态一体化治理的短板弱项，注重水环境治理，完善流域内乡镇、农村的污水收集处理设施，合理控制农药和化肥用量，削弱农业面源污染；在河道整治、河流生态修复等方面共同打造样板工程。共享</w:t>
      </w:r>
      <w:r>
        <w:rPr>
          <w:rFonts w:hint="eastAsia" w:eastAsia="宋体" w:cs="Times New Roman" w:asciiTheme="minorEastAsia" w:hAnsiTheme="minorEastAsia"/>
          <w:kern w:val="0"/>
          <w:sz w:val="24"/>
          <w:szCs w:val="24"/>
        </w:rPr>
        <w:t>马力河</w:t>
      </w:r>
      <w:r>
        <w:rPr>
          <w:rFonts w:eastAsia="宋体" w:cs="Times New Roman" w:asciiTheme="minorEastAsia" w:hAnsiTheme="minorEastAsia"/>
          <w:kern w:val="0"/>
          <w:sz w:val="24"/>
          <w:szCs w:val="24"/>
        </w:rPr>
        <w:t>、</w:t>
      </w:r>
      <w:r>
        <w:rPr>
          <w:rFonts w:hint="eastAsia" w:eastAsia="宋体" w:cs="Times New Roman" w:asciiTheme="minorEastAsia" w:hAnsiTheme="minorEastAsia"/>
          <w:kern w:val="0"/>
          <w:sz w:val="24"/>
          <w:szCs w:val="24"/>
        </w:rPr>
        <w:t>郪江</w:t>
      </w:r>
      <w:r>
        <w:rPr>
          <w:rFonts w:eastAsia="宋体" w:cs="Times New Roman" w:asciiTheme="minorEastAsia" w:hAnsiTheme="minorEastAsia"/>
          <w:kern w:val="0"/>
          <w:sz w:val="24"/>
          <w:szCs w:val="24"/>
        </w:rPr>
        <w:t>等河流监测信息和跨界断面水质监测数据，落实跨界突发环境事件应急协作处置机制。共同强化重污染企业的大气污染管控，建立定期会商及联合执法机制，维护区域大气、水环境质量。</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（三）</w:t>
      </w:r>
      <w:r>
        <w:rPr>
          <w:rFonts w:eastAsia="宋体" w:cs="Times New Roman" w:asciiTheme="minorEastAsia" w:hAnsiTheme="minorEastAsia"/>
          <w:b/>
          <w:kern w:val="0"/>
          <w:sz w:val="24"/>
          <w:szCs w:val="24"/>
        </w:rPr>
        <w:t>协同</w:t>
      </w:r>
      <w:r>
        <w:rPr>
          <w:rFonts w:hint="eastAsia" w:eastAsia="宋体" w:cs="Times New Roman" w:asciiTheme="minorEastAsia" w:hAnsiTheme="minorEastAsia"/>
          <w:b/>
          <w:kern w:val="0"/>
          <w:sz w:val="24"/>
          <w:szCs w:val="24"/>
        </w:rPr>
        <w:t>中江、三台基础设施共享共建</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协同推进</w:t>
      </w:r>
      <w:r>
        <w:rPr>
          <w:rFonts w:hint="eastAsia" w:eastAsia="宋体" w:cs="Times New Roman" w:asciiTheme="minorEastAsia" w:hAnsiTheme="minorEastAsia"/>
          <w:kern w:val="0"/>
          <w:sz w:val="24"/>
          <w:szCs w:val="24"/>
        </w:rPr>
        <w:t>继光</w:t>
      </w:r>
      <w:r>
        <w:rPr>
          <w:rFonts w:eastAsia="宋体" w:cs="Times New Roman" w:asciiTheme="minorEastAsia" w:hAnsiTheme="minorEastAsia"/>
          <w:kern w:val="0"/>
          <w:sz w:val="24"/>
          <w:szCs w:val="24"/>
        </w:rPr>
        <w:t>水库右干渠、毗河工程饮水干渠</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鲁班水库大明支渠等骨干水利设施建设，不断提高与周边市县在电力、燃气、信息等设施网络的互联互通能力，提高水资源及能源的供应保障能力。加强防洪、地灾防治等领域的合作，实现区域灾害信息共享，建立应急联动合作机制，搭建应急管理交流平台，组织</w:t>
      </w:r>
      <w:r>
        <w:rPr>
          <w:rFonts w:hint="eastAsia" w:eastAsia="宋体" w:cs="Times New Roman" w:asciiTheme="minorEastAsia" w:hAnsiTheme="minorEastAsia"/>
          <w:kern w:val="0"/>
          <w:sz w:val="24"/>
          <w:szCs w:val="24"/>
        </w:rPr>
        <w:t>三地</w:t>
      </w:r>
      <w:r>
        <w:rPr>
          <w:rFonts w:eastAsia="宋体" w:cs="Times New Roman" w:asciiTheme="minorEastAsia" w:hAnsiTheme="minorEastAsia"/>
          <w:kern w:val="0"/>
          <w:sz w:val="24"/>
          <w:szCs w:val="24"/>
        </w:rPr>
        <w:t>应急演练，共同应对和处置区域内自然灾害和安全生产类突发事件。</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（四）协同联动产业发展</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1、文化旅游</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围绕遂宁市建设巴蜀特色康养休闲度假目的地目标，大力推动片区文旅融合创新转型发展</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主动融入巴蜀文化旅游走廊，加强与成都周边区县形成旅游线路联通、市场互通、资源共享，共同打造精品旅游线路。</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深挖片区红色文化、农耕文化和特有的民俗文化，联动大英</w:t>
      </w:r>
      <w:r>
        <w:rPr>
          <w:rFonts w:eastAsia="宋体" w:cs="Times New Roman" w:asciiTheme="minorEastAsia" w:hAnsiTheme="minorEastAsia"/>
          <w:kern w:val="0"/>
          <w:sz w:val="24"/>
          <w:szCs w:val="24"/>
        </w:rPr>
        <w:t>井盐文化、泰坦尼克大爱文化</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射洪诗酒文化、地质文化等内涵，打造知名科普研学旅游基地</w:t>
      </w:r>
      <w:r>
        <w:rPr>
          <w:rFonts w:hint="eastAsia" w:eastAsia="宋体" w:cs="Times New Roman" w:asciiTheme="minorEastAsia" w:hAnsiTheme="minorEastAsia"/>
          <w:kern w:val="0"/>
          <w:sz w:val="24"/>
          <w:szCs w:val="24"/>
        </w:rPr>
        <w:t>。联动</w:t>
      </w:r>
      <w:r>
        <w:rPr>
          <w:rFonts w:eastAsia="宋体" w:cs="Times New Roman" w:asciiTheme="minorEastAsia" w:hAnsiTheme="minorEastAsia"/>
          <w:kern w:val="0"/>
          <w:sz w:val="24"/>
          <w:szCs w:val="24"/>
        </w:rPr>
        <w:t>蓬溪书法文化、红色文化、道教文化等内涵，</w:t>
      </w:r>
      <w:r>
        <w:rPr>
          <w:rFonts w:hint="eastAsia" w:eastAsia="宋体" w:cs="Times New Roman" w:asciiTheme="minorEastAsia" w:hAnsiTheme="minorEastAsia"/>
          <w:kern w:val="0"/>
          <w:sz w:val="24"/>
          <w:szCs w:val="24"/>
        </w:rPr>
        <w:t>与</w:t>
      </w:r>
      <w:r>
        <w:rPr>
          <w:rFonts w:eastAsia="宋体" w:cs="Times New Roman" w:asciiTheme="minorEastAsia" w:hAnsiTheme="minorEastAsia"/>
          <w:kern w:val="0"/>
          <w:sz w:val="24"/>
          <w:szCs w:val="24"/>
        </w:rPr>
        <w:t>蓬溪错位互补。融入全市173公里农环线沿线农耕文化、乡村民俗文化和农业农村等资源，推进“农文旅”深度融合，建设乡村旅游大环线</w:t>
      </w:r>
      <w:r>
        <w:rPr>
          <w:rFonts w:hint="eastAsia" w:eastAsia="宋体" w:cs="Times New Roman" w:asciiTheme="minorEastAsia" w:hAnsiTheme="minorEastAsia"/>
          <w:kern w:val="0"/>
          <w:sz w:val="24"/>
          <w:szCs w:val="24"/>
        </w:rPr>
        <w:t>。</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2、特色产业协同</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安岳文化镇拥有国家级现代农业产业园、世界柠檬产业发展大会、世界柠檬品种博览园、3A级旅游景区等开放合作平台，号称中国柠檬文化农旅小镇，在柠檬种植、乡村旅游、柠檬会展等柠檬相关产业方面具备一定的发展基础，文化镇宝森柠檬小镇是国家3A</w:t>
      </w:r>
      <w:r>
        <w:rPr>
          <w:rFonts w:hint="eastAsia" w:eastAsia="宋体" w:cs="Times New Roman" w:asciiTheme="minorEastAsia" w:hAnsiTheme="minorEastAsia"/>
          <w:kern w:val="0"/>
          <w:sz w:val="24"/>
          <w:szCs w:val="24"/>
          <w:lang w:val="en-US" w:eastAsia="zh-CN"/>
        </w:rPr>
        <w:t>级</w:t>
      </w:r>
      <w:r>
        <w:rPr>
          <w:rFonts w:hint="eastAsia" w:eastAsia="宋体" w:cs="Times New Roman" w:asciiTheme="minorEastAsia" w:hAnsiTheme="minorEastAsia"/>
          <w:kern w:val="0"/>
          <w:sz w:val="24"/>
          <w:szCs w:val="24"/>
        </w:rPr>
        <w:t>旅游景区，高峰游客3万人/天。河边白柠檬是中国独一无二的柠檬新品种，享有“果中之王”、“食用佳品”称号。协同安岳柠檬文化农旅小镇，以“柠檬”文化为载体，创新融合农业空间和服务业空间，打造区域文化旅游线路，做强田园文化、柠檬文化。</w:t>
      </w:r>
    </w:p>
    <w:p>
      <w:pPr>
        <w:pStyle w:val="36"/>
        <w:numPr>
          <w:ilvl w:val="0"/>
          <w:numId w:val="5"/>
        </w:numPr>
        <w:spacing w:beforeLines="50" w:afterLines="50"/>
        <w:ind w:firstLineChars="0"/>
        <w:jc w:val="center"/>
        <w:rPr>
          <w:rFonts w:ascii="黑体" w:hAnsi="黑体" w:eastAsia="黑体"/>
          <w:b w:val="0"/>
          <w:kern w:val="2"/>
        </w:rPr>
      </w:pPr>
      <w:bookmarkStart w:id="18" w:name="_Toc166772167"/>
      <w:r>
        <w:rPr>
          <w:rFonts w:hint="eastAsia" w:ascii="黑体" w:hAnsi="黑体" w:eastAsia="黑体"/>
          <w:b w:val="0"/>
          <w:kern w:val="2"/>
        </w:rPr>
        <w:t>底线约束</w:t>
      </w:r>
      <w:bookmarkEnd w:id="18"/>
    </w:p>
    <w:p>
      <w:pPr>
        <w:adjustRightInd w:val="0"/>
        <w:snapToGrid w:val="0"/>
        <w:spacing w:line="360" w:lineRule="auto"/>
        <w:ind w:firstLine="482" w:firstLineChars="200"/>
        <w:rPr>
          <w:rFonts w:ascii="黑体" w:hAnsi="黑体" w:eastAsia="黑体" w:cs="Times New Roman"/>
          <w:b/>
          <w:kern w:val="0"/>
          <w:sz w:val="24"/>
          <w:szCs w:val="24"/>
        </w:rPr>
      </w:pPr>
      <w:r>
        <w:rPr>
          <w:rFonts w:ascii="黑体" w:hAnsi="黑体" w:eastAsia="黑体" w:cs="Times New Roman"/>
          <w:b/>
          <w:kern w:val="0"/>
          <w:sz w:val="24"/>
          <w:szCs w:val="24"/>
        </w:rPr>
        <w:t>一</w:t>
      </w:r>
      <w:r>
        <w:rPr>
          <w:rFonts w:hint="eastAsia" w:ascii="黑体" w:hAnsi="黑体" w:eastAsia="黑体" w:cs="Times New Roman"/>
          <w:b/>
          <w:kern w:val="0"/>
          <w:sz w:val="24"/>
          <w:szCs w:val="24"/>
        </w:rPr>
        <w:t>、</w:t>
      </w:r>
      <w:r>
        <w:rPr>
          <w:rFonts w:ascii="黑体" w:hAnsi="黑体" w:eastAsia="黑体" w:cs="Times New Roman"/>
          <w:b/>
          <w:kern w:val="0"/>
          <w:sz w:val="24"/>
          <w:szCs w:val="24"/>
        </w:rPr>
        <w:t>构建国土空间开发保护新格局</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为落实遂宁市和大英县区域发展战略、主体功能区布局，立足于遂宁市</w:t>
      </w:r>
      <w:r>
        <w:rPr>
          <w:rFonts w:eastAsia="宋体" w:cs="Times New Roman" w:asciiTheme="minorEastAsia" w:hAnsiTheme="minorEastAsia"/>
          <w:kern w:val="0"/>
          <w:sz w:val="24"/>
          <w:szCs w:val="24"/>
        </w:rPr>
        <w:t>“一江两片，一核两点三区”的市域总体格局和大英县“两廊两片五路”的农业发展格局</w:t>
      </w:r>
      <w:r>
        <w:rPr>
          <w:rFonts w:hint="eastAsia" w:eastAsia="宋体" w:cs="Times New Roman" w:asciiTheme="minorEastAsia" w:hAnsiTheme="minorEastAsia"/>
          <w:kern w:val="0"/>
          <w:sz w:val="24"/>
          <w:szCs w:val="24"/>
        </w:rPr>
        <w:t>，以保护片区粮食安全和生态系统为前提，以大英县资源环境承载能力和国土开发适宜性评价为基础，保护和延续自然地理格局，面向未来的可持续发展，统筹农业、生态和城乡空间格局，形成</w:t>
      </w:r>
      <w:r>
        <w:rPr>
          <w:rFonts w:eastAsia="宋体" w:cs="Times New Roman" w:asciiTheme="minorEastAsia" w:hAnsiTheme="minorEastAsia"/>
          <w:kern w:val="0"/>
          <w:sz w:val="24"/>
          <w:szCs w:val="24"/>
        </w:rPr>
        <w:t>“一核两点、两轴三片”的开发格局</w:t>
      </w:r>
      <w:r>
        <w:rPr>
          <w:rFonts w:hint="eastAsia" w:eastAsia="宋体" w:cs="Times New Roman" w:asciiTheme="minorEastAsia" w:hAnsiTheme="minorEastAsia"/>
          <w:kern w:val="0"/>
          <w:sz w:val="24"/>
          <w:szCs w:val="24"/>
        </w:rPr>
        <w:t>，构建开放式、网络化、集约型、生态化的片区国土空间总体格局。</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一核：</w:t>
      </w:r>
      <w:r>
        <w:rPr>
          <w:rFonts w:eastAsia="宋体" w:cs="Times New Roman" w:asciiTheme="minorEastAsia" w:hAnsiTheme="minorEastAsia"/>
          <w:kern w:val="0"/>
          <w:sz w:val="24"/>
          <w:szCs w:val="24"/>
        </w:rPr>
        <w:t>以河边镇镇区为城镇发展建设的核心区，发展粮油研发</w:t>
      </w:r>
      <w:r>
        <w:rPr>
          <w:rFonts w:hint="eastAsia" w:eastAsia="宋体" w:cs="Times New Roman" w:asciiTheme="minorEastAsia" w:hAnsiTheme="minorEastAsia"/>
          <w:kern w:val="0"/>
          <w:sz w:val="24"/>
          <w:szCs w:val="24"/>
        </w:rPr>
        <w:t>、农业创新、农产品展销、</w:t>
      </w:r>
      <w:r>
        <w:rPr>
          <w:rFonts w:eastAsia="宋体" w:cs="Times New Roman" w:asciiTheme="minorEastAsia" w:hAnsiTheme="minorEastAsia"/>
          <w:kern w:val="0"/>
          <w:sz w:val="24"/>
          <w:szCs w:val="24"/>
        </w:rPr>
        <w:t>农事服务，引导产业和人口集聚发展。</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两点：象山镇、玉峰镇镇区为</w:t>
      </w:r>
      <w:r>
        <w:rPr>
          <w:rFonts w:hint="eastAsia" w:eastAsia="宋体" w:cs="Times New Roman" w:asciiTheme="minorEastAsia" w:hAnsiTheme="minorEastAsia"/>
          <w:kern w:val="0"/>
          <w:sz w:val="24"/>
          <w:szCs w:val="24"/>
        </w:rPr>
        <w:t>片区</w:t>
      </w:r>
      <w:r>
        <w:rPr>
          <w:rFonts w:eastAsia="宋体" w:cs="Times New Roman" w:asciiTheme="minorEastAsia" w:hAnsiTheme="minorEastAsia"/>
          <w:kern w:val="0"/>
          <w:sz w:val="24"/>
          <w:szCs w:val="24"/>
        </w:rPr>
        <w:t>的服务次核，为片区提供居住</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商贸服务等功能。</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两轴：依托沪蓉高速</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国道G305</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成达高铁</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三大乐高速（三台至乐至）等交通廊道形成的片区东西</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南北向产业联动发展轴，逐步融入</w:t>
      </w:r>
      <w:r>
        <w:rPr>
          <w:rFonts w:hint="eastAsia" w:eastAsia="宋体" w:cs="Times New Roman" w:asciiTheme="minorEastAsia" w:hAnsiTheme="minorEastAsia"/>
          <w:kern w:val="0"/>
          <w:sz w:val="24"/>
          <w:szCs w:val="24"/>
        </w:rPr>
        <w:t>成都</w:t>
      </w:r>
      <w:r>
        <w:rPr>
          <w:rFonts w:eastAsia="宋体" w:cs="Times New Roman" w:asciiTheme="minorEastAsia" w:hAnsiTheme="minorEastAsia"/>
          <w:kern w:val="0"/>
          <w:sz w:val="24"/>
          <w:szCs w:val="24"/>
        </w:rPr>
        <w:t>平原经济区</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协同遂宁船山区</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射洪</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三台</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中江</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乐至</w:t>
      </w:r>
      <w:r>
        <w:rPr>
          <w:rFonts w:hint="eastAsia" w:eastAsia="宋体" w:cs="Times New Roman" w:asciiTheme="minorEastAsia" w:hAnsiTheme="minorEastAsia"/>
          <w:kern w:val="0"/>
          <w:sz w:val="24"/>
          <w:szCs w:val="24"/>
        </w:rPr>
        <w:t>、安岳、</w:t>
      </w:r>
      <w:r>
        <w:rPr>
          <w:rFonts w:eastAsia="宋体" w:cs="Times New Roman" w:asciiTheme="minorEastAsia" w:hAnsiTheme="minorEastAsia"/>
          <w:kern w:val="0"/>
          <w:sz w:val="24"/>
          <w:szCs w:val="24"/>
        </w:rPr>
        <w:t>资阳在平台建设</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区域生态环境治理</w:t>
      </w:r>
      <w:r>
        <w:rPr>
          <w:rFonts w:hint="eastAsia" w:eastAsia="宋体" w:cs="Times New Roman" w:asciiTheme="minorEastAsia" w:hAnsiTheme="minorEastAsia"/>
          <w:kern w:val="0"/>
          <w:sz w:val="24"/>
          <w:szCs w:val="24"/>
        </w:rPr>
        <w:t>、区域</w:t>
      </w:r>
      <w:r>
        <w:rPr>
          <w:rFonts w:eastAsia="宋体" w:cs="Times New Roman" w:asciiTheme="minorEastAsia" w:hAnsiTheme="minorEastAsia"/>
          <w:kern w:val="0"/>
          <w:sz w:val="24"/>
          <w:szCs w:val="24"/>
        </w:rPr>
        <w:t>基础设施联动</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特色产业</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文化旅游等方面联动发展</w:t>
      </w:r>
      <w:r>
        <w:rPr>
          <w:rFonts w:hint="eastAsia" w:eastAsia="宋体" w:cs="Times New Roman" w:asciiTheme="minorEastAsia" w:hAnsiTheme="minorEastAsia"/>
          <w:kern w:val="0"/>
          <w:sz w:val="24"/>
          <w:szCs w:val="24"/>
        </w:rPr>
        <w:t>。</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三区： 象山农耕体验与</w:t>
      </w:r>
      <w:r>
        <w:rPr>
          <w:rFonts w:hint="eastAsia" w:eastAsia="宋体" w:cs="Times New Roman" w:asciiTheme="minorEastAsia" w:hAnsiTheme="minorEastAsia"/>
          <w:kern w:val="0"/>
          <w:sz w:val="24"/>
          <w:szCs w:val="24"/>
        </w:rPr>
        <w:t>红色</w:t>
      </w:r>
      <w:r>
        <w:rPr>
          <w:rFonts w:eastAsia="宋体" w:cs="Times New Roman" w:asciiTheme="minorEastAsia" w:hAnsiTheme="minorEastAsia"/>
          <w:kern w:val="0"/>
          <w:sz w:val="24"/>
          <w:szCs w:val="24"/>
        </w:rPr>
        <w:t>文化旅游区</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玉峰精品高效粮油与城郊休闲区</w:t>
      </w:r>
      <w:r>
        <w:rPr>
          <w:rFonts w:hint="eastAsia" w:eastAsia="宋体" w:cs="Times New Roman" w:asciiTheme="minorEastAsia" w:hAnsiTheme="minorEastAsia"/>
          <w:kern w:val="0"/>
          <w:sz w:val="24"/>
          <w:szCs w:val="24"/>
        </w:rPr>
        <w:t>和</w:t>
      </w:r>
      <w:r>
        <w:rPr>
          <w:rFonts w:eastAsia="宋体" w:cs="Times New Roman" w:asciiTheme="minorEastAsia" w:hAnsiTheme="minorEastAsia"/>
          <w:kern w:val="0"/>
          <w:sz w:val="24"/>
          <w:szCs w:val="24"/>
        </w:rPr>
        <w:t>河边特色柠檬与</w:t>
      </w:r>
      <w:r>
        <w:rPr>
          <w:rFonts w:hint="eastAsia" w:eastAsia="宋体" w:cs="Times New Roman" w:asciiTheme="minorEastAsia" w:hAnsiTheme="minorEastAsia"/>
          <w:kern w:val="0"/>
          <w:sz w:val="24"/>
          <w:szCs w:val="24"/>
        </w:rPr>
        <w:t>田园</w:t>
      </w:r>
      <w:r>
        <w:rPr>
          <w:rFonts w:eastAsia="宋体" w:cs="Times New Roman" w:asciiTheme="minorEastAsia" w:hAnsiTheme="minorEastAsia"/>
          <w:kern w:val="0"/>
          <w:sz w:val="24"/>
          <w:szCs w:val="24"/>
        </w:rPr>
        <w:t>发展区</w:t>
      </w:r>
      <w:r>
        <w:rPr>
          <w:rFonts w:hint="eastAsia" w:eastAsia="宋体" w:cs="Times New Roman" w:asciiTheme="minorEastAsia" w:hAnsiTheme="minorEastAsia"/>
          <w:kern w:val="0"/>
          <w:sz w:val="24"/>
          <w:szCs w:val="24"/>
        </w:rPr>
        <w:t>。</w:t>
      </w:r>
    </w:p>
    <w:p>
      <w:pPr>
        <w:adjustRightInd w:val="0"/>
        <w:snapToGrid w:val="0"/>
        <w:spacing w:line="360" w:lineRule="auto"/>
        <w:ind w:firstLine="482" w:firstLineChars="200"/>
        <w:rPr>
          <w:rFonts w:ascii="黑体" w:hAnsi="黑体" w:eastAsia="黑体" w:cs="Times New Roman"/>
          <w:b/>
          <w:kern w:val="0"/>
          <w:sz w:val="24"/>
          <w:szCs w:val="24"/>
        </w:rPr>
      </w:pPr>
      <w:r>
        <w:rPr>
          <w:rFonts w:hint="eastAsia" w:ascii="黑体" w:hAnsi="黑体" w:eastAsia="黑体" w:cs="Times New Roman"/>
          <w:b/>
          <w:kern w:val="0"/>
          <w:sz w:val="24"/>
          <w:szCs w:val="24"/>
        </w:rPr>
        <w:t>二、三类空间划定</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（一）优先保障农业发展空间</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立足于保障主要农产品供给和城市生态安全，率先实现农业现代化的战略目标，将布局集中、用途稳定、具有良好水利和水土保持设施的高产、稳产、优质耕地纳入永久基本农田保护红线。优先划入城市周边易被占用的优质耕地，并将生态间隔带、近郊绿环及生态走廊内具有重要生态功能的耕地划入永久基本农田，充分发挥耕地的生态保育功能，倒逼城镇紧凑发展。主要包括永久基本农田、一般农用地和农村居民点，面积</w:t>
      </w:r>
      <w:r>
        <w:rPr>
          <w:rFonts w:hint="eastAsia" w:eastAsia="宋体" w:cs="Times New Roman" w:asciiTheme="minorEastAsia" w:hAnsiTheme="minorEastAsia"/>
          <w:kern w:val="0"/>
          <w:sz w:val="24"/>
          <w:szCs w:val="24"/>
        </w:rPr>
        <w:t>16497.19</w:t>
      </w:r>
      <w:r>
        <w:rPr>
          <w:rFonts w:eastAsia="宋体" w:cs="Times New Roman" w:asciiTheme="minorEastAsia" w:hAnsiTheme="minorEastAsia"/>
          <w:kern w:val="0"/>
          <w:sz w:val="24"/>
          <w:szCs w:val="24"/>
        </w:rPr>
        <w:t>公顷，占比</w:t>
      </w:r>
      <w:r>
        <w:rPr>
          <w:rFonts w:hint="eastAsia" w:eastAsia="宋体" w:cs="Times New Roman" w:asciiTheme="minorEastAsia" w:hAnsiTheme="minorEastAsia"/>
          <w:kern w:val="0"/>
          <w:sz w:val="24"/>
          <w:szCs w:val="24"/>
        </w:rPr>
        <w:t>72.08</w:t>
      </w:r>
      <w:r>
        <w:rPr>
          <w:rFonts w:eastAsia="宋体" w:cs="Times New Roman" w:asciiTheme="minorEastAsia" w:hAnsiTheme="minorEastAsia"/>
          <w:kern w:val="0"/>
          <w:sz w:val="24"/>
          <w:szCs w:val="24"/>
        </w:rPr>
        <w:t>%</w:t>
      </w:r>
      <w:r>
        <w:rPr>
          <w:rFonts w:hint="eastAsia" w:eastAsia="宋体" w:cs="Times New Roman" w:asciiTheme="minorEastAsia" w:hAnsiTheme="minorEastAsia"/>
          <w:kern w:val="0"/>
          <w:sz w:val="24"/>
          <w:szCs w:val="24"/>
        </w:rPr>
        <w:t>。</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（二）确定生态保护空间</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生态空间作为生态培育、生态建设的首选地，原则上禁止除科学研究和森林防火需要外的任何城乡建设行为，可适当结合蓝廊绿道建设散点式、低强度配置服务设施。严格管理生态控制区内建设行为，严格控制与生态保护无关的建设活动，基于现状评估分类制定差异化管控措施，保障生态空间只增不减、土地开发强度只降不升。统筹山水林田湖等生态资源保护利用，严格保护生态用地，提升生态服务功能，重点提高绿地总量和质量，构建乔灌草立体配置、系统稳定、生物多样性丰富的森林生态系统，强化生态网络建设，优化生态空间格局。主要包括陈家大坡、笔架山、马鞍山、郪江、龙溪河、马力河、幸福溪、濛溪河、四五水库、石龙水库、龙王水库、青狮水库等区域，面积</w:t>
      </w:r>
      <w:r>
        <w:rPr>
          <w:rFonts w:hint="eastAsia" w:eastAsia="宋体" w:cs="Times New Roman" w:asciiTheme="minorEastAsia" w:hAnsiTheme="minorEastAsia"/>
          <w:kern w:val="0"/>
          <w:sz w:val="24"/>
          <w:szCs w:val="24"/>
        </w:rPr>
        <w:t>6213.05</w:t>
      </w:r>
      <w:r>
        <w:rPr>
          <w:rFonts w:eastAsia="宋体" w:cs="Times New Roman" w:asciiTheme="minorEastAsia" w:hAnsiTheme="minorEastAsia"/>
          <w:kern w:val="0"/>
          <w:sz w:val="24"/>
          <w:szCs w:val="24"/>
        </w:rPr>
        <w:t>公顷，占比</w:t>
      </w:r>
      <w:r>
        <w:rPr>
          <w:rFonts w:hint="eastAsia" w:eastAsia="宋体" w:cs="Times New Roman" w:asciiTheme="minorEastAsia" w:hAnsiTheme="minorEastAsia"/>
          <w:kern w:val="0"/>
          <w:sz w:val="24"/>
          <w:szCs w:val="24"/>
        </w:rPr>
        <w:t>27.15</w:t>
      </w:r>
      <w:r>
        <w:rPr>
          <w:rFonts w:eastAsia="宋体" w:cs="Times New Roman" w:asciiTheme="minorEastAsia" w:hAnsiTheme="minorEastAsia"/>
          <w:kern w:val="0"/>
          <w:sz w:val="24"/>
          <w:szCs w:val="24"/>
        </w:rPr>
        <w:t>%</w:t>
      </w:r>
      <w:r>
        <w:rPr>
          <w:rFonts w:hint="eastAsia" w:eastAsia="宋体" w:cs="Times New Roman" w:asciiTheme="minorEastAsia" w:hAnsiTheme="minorEastAsia"/>
          <w:kern w:val="0"/>
          <w:sz w:val="24"/>
          <w:szCs w:val="24"/>
        </w:rPr>
        <w:t>。</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（三）合理确定</w:t>
      </w:r>
      <w:r>
        <w:rPr>
          <w:rFonts w:eastAsia="宋体" w:cs="Times New Roman" w:asciiTheme="minorEastAsia" w:hAnsiTheme="minorEastAsia"/>
          <w:b/>
          <w:kern w:val="0"/>
          <w:sz w:val="24"/>
          <w:szCs w:val="24"/>
        </w:rPr>
        <w:t>城镇空间</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在优先划定永久基本农田保护红线和生态空间的基础上，以规划建设用地总量锁定为前提，根据镇域城乡空间格局划定城市开发边界，促进城镇空间集约高效、紧凑布局，主要包括现状城镇建成区及城镇拓展区</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面积</w:t>
      </w:r>
      <w:r>
        <w:rPr>
          <w:rFonts w:hint="eastAsia" w:eastAsia="宋体" w:cs="Times New Roman" w:asciiTheme="minorEastAsia" w:hAnsiTheme="minorEastAsia"/>
          <w:kern w:val="0"/>
          <w:sz w:val="24"/>
          <w:szCs w:val="24"/>
        </w:rPr>
        <w:t>176.71</w:t>
      </w:r>
      <w:r>
        <w:rPr>
          <w:rFonts w:eastAsia="宋体" w:cs="Times New Roman" w:asciiTheme="minorEastAsia" w:hAnsiTheme="minorEastAsia"/>
          <w:kern w:val="0"/>
          <w:sz w:val="24"/>
          <w:szCs w:val="24"/>
        </w:rPr>
        <w:t>公顷，占比</w:t>
      </w:r>
      <w:r>
        <w:rPr>
          <w:rFonts w:hint="eastAsia" w:eastAsia="宋体" w:cs="Times New Roman" w:asciiTheme="minorEastAsia" w:hAnsiTheme="minorEastAsia"/>
          <w:kern w:val="0"/>
          <w:sz w:val="24"/>
          <w:szCs w:val="24"/>
        </w:rPr>
        <w:t>0.77</w:t>
      </w:r>
      <w:r>
        <w:rPr>
          <w:rFonts w:eastAsia="宋体" w:cs="Times New Roman" w:asciiTheme="minorEastAsia" w:hAnsiTheme="minorEastAsia"/>
          <w:kern w:val="0"/>
          <w:sz w:val="24"/>
          <w:szCs w:val="24"/>
        </w:rPr>
        <w:t>%</w:t>
      </w:r>
      <w:r>
        <w:rPr>
          <w:rFonts w:hint="eastAsia" w:eastAsia="宋体" w:cs="Times New Roman" w:asciiTheme="minorEastAsia" w:hAnsiTheme="minorEastAsia"/>
          <w:kern w:val="0"/>
          <w:sz w:val="24"/>
          <w:szCs w:val="24"/>
        </w:rPr>
        <w:t>。</w:t>
      </w:r>
    </w:p>
    <w:p>
      <w:pPr>
        <w:adjustRightInd w:val="0"/>
        <w:snapToGrid w:val="0"/>
        <w:spacing w:line="360" w:lineRule="auto"/>
        <w:ind w:firstLine="482" w:firstLineChars="200"/>
        <w:rPr>
          <w:rFonts w:ascii="黑体" w:hAnsi="黑体" w:eastAsia="黑体" w:cs="Times New Roman"/>
          <w:b/>
          <w:kern w:val="0"/>
          <w:sz w:val="24"/>
          <w:szCs w:val="24"/>
        </w:rPr>
      </w:pPr>
      <w:r>
        <w:rPr>
          <w:rFonts w:ascii="黑体" w:hAnsi="黑体" w:eastAsia="黑体" w:cs="Times New Roman"/>
          <w:b/>
          <w:kern w:val="0"/>
          <w:sz w:val="24"/>
          <w:szCs w:val="24"/>
        </w:rPr>
        <w:t>三</w:t>
      </w:r>
      <w:r>
        <w:rPr>
          <w:rFonts w:hint="eastAsia" w:ascii="黑体" w:hAnsi="黑体" w:eastAsia="黑体" w:cs="Times New Roman"/>
          <w:b/>
          <w:kern w:val="0"/>
          <w:sz w:val="24"/>
          <w:szCs w:val="24"/>
        </w:rPr>
        <w:t>、</w:t>
      </w:r>
      <w:r>
        <w:rPr>
          <w:rFonts w:ascii="黑体" w:hAnsi="黑体" w:eastAsia="黑体" w:cs="Times New Roman"/>
          <w:b/>
          <w:kern w:val="0"/>
          <w:sz w:val="24"/>
          <w:szCs w:val="24"/>
        </w:rPr>
        <w:t>锚固资源环境底线</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（一）</w:t>
      </w:r>
      <w:r>
        <w:rPr>
          <w:rFonts w:eastAsia="宋体" w:cs="Times New Roman" w:asciiTheme="minorEastAsia" w:hAnsiTheme="minorEastAsia"/>
          <w:b/>
          <w:kern w:val="0"/>
          <w:sz w:val="24"/>
          <w:szCs w:val="24"/>
        </w:rPr>
        <w:t>优先划定耕地和基本农田保护线</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大英县主体功能定位是农产品主产区，优先将集中连片、质量等级较高的耕地划入永久基本农田，重大建设项目占用永久基本农田的，按照“数量不减、质量不降、布局稳定”的要求开展补划。</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1、</w:t>
      </w:r>
      <w:r>
        <w:rPr>
          <w:rFonts w:eastAsia="宋体" w:cs="Times New Roman" w:asciiTheme="minorEastAsia" w:hAnsiTheme="minorEastAsia"/>
          <w:kern w:val="0"/>
          <w:sz w:val="24"/>
          <w:szCs w:val="24"/>
        </w:rPr>
        <w:t>划定结果</w:t>
      </w:r>
    </w:p>
    <w:p>
      <w:pPr>
        <w:adjustRightInd w:val="0"/>
        <w:snapToGrid w:val="0"/>
        <w:spacing w:line="360" w:lineRule="auto"/>
        <w:ind w:firstLine="482" w:firstLineChars="200"/>
        <w:rPr>
          <w:rFonts w:eastAsia="宋体" w:cs="Times New Roman" w:asciiTheme="minorEastAsia" w:hAnsiTheme="minorEastAsia"/>
          <w:b/>
          <w:kern w:val="0"/>
          <w:sz w:val="24"/>
          <w:szCs w:val="24"/>
          <w:u w:val="single"/>
        </w:rPr>
      </w:pPr>
      <w:r>
        <w:rPr>
          <w:rFonts w:hint="eastAsia" w:eastAsia="宋体" w:cs="Times New Roman" w:asciiTheme="minorEastAsia" w:hAnsiTheme="minorEastAsia"/>
          <w:b/>
          <w:kern w:val="0"/>
          <w:sz w:val="24"/>
          <w:szCs w:val="24"/>
          <w:u w:val="single"/>
        </w:rPr>
        <w:t>根据大英县“三区三线”划定成果，严格落实《大英县国土空间总体规划（</w:t>
      </w:r>
      <w:r>
        <w:rPr>
          <w:rFonts w:eastAsia="宋体" w:cs="Times New Roman" w:asciiTheme="minorEastAsia" w:hAnsiTheme="minorEastAsia"/>
          <w:b/>
          <w:kern w:val="0"/>
          <w:sz w:val="24"/>
          <w:szCs w:val="24"/>
          <w:u w:val="single"/>
        </w:rPr>
        <w:t xml:space="preserve">2021-2035 </w:t>
      </w:r>
      <w:r>
        <w:rPr>
          <w:rFonts w:hint="eastAsia" w:eastAsia="宋体" w:cs="Times New Roman" w:asciiTheme="minorEastAsia" w:hAnsiTheme="minorEastAsia"/>
          <w:b/>
          <w:kern w:val="0"/>
          <w:sz w:val="24"/>
          <w:szCs w:val="24"/>
          <w:u w:val="single"/>
        </w:rPr>
        <w:t>年）》底线约束性指标要求，落实并</w:t>
      </w:r>
      <w:r>
        <w:rPr>
          <w:rFonts w:eastAsia="宋体" w:cs="Times New Roman" w:asciiTheme="minorEastAsia" w:hAnsiTheme="minorEastAsia"/>
          <w:b/>
          <w:kern w:val="0"/>
          <w:sz w:val="24"/>
          <w:szCs w:val="24"/>
          <w:u w:val="single"/>
        </w:rPr>
        <w:t>划定片区永久基本农田</w:t>
      </w:r>
      <w:r>
        <w:rPr>
          <w:rFonts w:hint="eastAsia" w:eastAsia="宋体" w:cs="Times New Roman" w:asciiTheme="minorEastAsia" w:hAnsiTheme="minorEastAsia"/>
          <w:b/>
          <w:kern w:val="0"/>
          <w:sz w:val="24"/>
          <w:szCs w:val="24"/>
          <w:u w:val="single"/>
        </w:rPr>
        <w:t>10389.60</w:t>
      </w:r>
      <w:r>
        <w:rPr>
          <w:rFonts w:eastAsia="宋体" w:cs="Times New Roman" w:asciiTheme="minorEastAsia" w:hAnsiTheme="minorEastAsia"/>
          <w:b/>
          <w:kern w:val="0"/>
          <w:sz w:val="24"/>
          <w:szCs w:val="24"/>
          <w:u w:val="single"/>
        </w:rPr>
        <w:t>公顷。其中河边镇永久基本农田4848.94公顷，象山镇永久基本农田1954.1</w:t>
      </w:r>
      <w:r>
        <w:rPr>
          <w:rFonts w:hint="eastAsia" w:eastAsia="宋体" w:cs="Times New Roman" w:asciiTheme="minorEastAsia" w:hAnsiTheme="minorEastAsia"/>
          <w:b/>
          <w:kern w:val="0"/>
          <w:sz w:val="24"/>
          <w:szCs w:val="24"/>
          <w:u w:val="single"/>
        </w:rPr>
        <w:t>7</w:t>
      </w:r>
      <w:r>
        <w:rPr>
          <w:rFonts w:eastAsia="宋体" w:cs="Times New Roman" w:asciiTheme="minorEastAsia" w:hAnsiTheme="minorEastAsia"/>
          <w:b/>
          <w:kern w:val="0"/>
          <w:sz w:val="24"/>
          <w:szCs w:val="24"/>
          <w:u w:val="single"/>
        </w:rPr>
        <w:t>公顷，玉峰镇永久基本农田3586.4</w:t>
      </w:r>
      <w:r>
        <w:rPr>
          <w:rFonts w:hint="eastAsia" w:eastAsia="宋体" w:cs="Times New Roman" w:asciiTheme="minorEastAsia" w:hAnsiTheme="minorEastAsia"/>
          <w:b/>
          <w:kern w:val="0"/>
          <w:sz w:val="24"/>
          <w:szCs w:val="24"/>
          <w:u w:val="single"/>
        </w:rPr>
        <w:t>9</w:t>
      </w:r>
      <w:r>
        <w:rPr>
          <w:rFonts w:eastAsia="宋体" w:cs="Times New Roman" w:asciiTheme="minorEastAsia" w:hAnsiTheme="minorEastAsia"/>
          <w:b/>
          <w:kern w:val="0"/>
          <w:sz w:val="24"/>
          <w:szCs w:val="24"/>
          <w:u w:val="single"/>
        </w:rPr>
        <w:t>公顷。</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2、管控要求</w:t>
      </w:r>
    </w:p>
    <w:p>
      <w:pPr>
        <w:adjustRightInd w:val="0"/>
        <w:snapToGrid w:val="0"/>
        <w:spacing w:line="360" w:lineRule="auto"/>
        <w:ind w:firstLine="482" w:firstLineChars="200"/>
        <w:rPr>
          <w:rFonts w:cs="Times New Roman" w:asciiTheme="minorEastAsia" w:hAnsiTheme="minorEastAsia"/>
          <w:b/>
          <w:kern w:val="0"/>
          <w:sz w:val="24"/>
          <w:szCs w:val="24"/>
          <w:u w:val="single"/>
        </w:rPr>
      </w:pPr>
      <w:r>
        <w:rPr>
          <w:rFonts w:eastAsia="宋体" w:cs="Times New Roman" w:asciiTheme="minorEastAsia" w:hAnsiTheme="minorEastAsia"/>
          <w:b/>
          <w:kern w:val="0"/>
          <w:sz w:val="24"/>
          <w:szCs w:val="24"/>
          <w:u w:val="single"/>
        </w:rPr>
        <w:t>根据《基本农田保护条例》及《关于全面实行永久基本农田特殊保护的通知》相关要求，基本农田保护要以守住永久基本农田控制线为目标，以建立健全“划、建、管、补、护”长效机制为重点，巩固永久基本农田划定成果，</w:t>
      </w:r>
      <w:r>
        <w:rPr>
          <w:rFonts w:hint="eastAsia" w:eastAsia="宋体" w:cs="Times New Roman" w:asciiTheme="minorEastAsia" w:hAnsiTheme="minorEastAsia"/>
          <w:b/>
          <w:kern w:val="0"/>
          <w:sz w:val="24"/>
          <w:szCs w:val="24"/>
          <w:u w:val="single"/>
        </w:rPr>
        <w:t>完善</w:t>
      </w:r>
      <w:r>
        <w:rPr>
          <w:rFonts w:eastAsia="宋体" w:cs="Times New Roman" w:asciiTheme="minorEastAsia" w:hAnsiTheme="minorEastAsia"/>
          <w:b/>
          <w:kern w:val="0"/>
          <w:sz w:val="24"/>
          <w:szCs w:val="24"/>
          <w:u w:val="single"/>
        </w:rPr>
        <w:t>保护措施，提高监管水平。</w:t>
      </w:r>
    </w:p>
    <w:p>
      <w:pPr>
        <w:adjustRightInd w:val="0"/>
        <w:snapToGrid w:val="0"/>
        <w:spacing w:line="360" w:lineRule="auto"/>
        <w:ind w:firstLine="482" w:firstLineChars="200"/>
        <w:rPr>
          <w:rFonts w:cs="Times New Roman" w:asciiTheme="minorEastAsia" w:hAnsiTheme="minorEastAsia"/>
          <w:b/>
          <w:kern w:val="0"/>
          <w:sz w:val="24"/>
          <w:szCs w:val="24"/>
          <w:u w:val="single"/>
          <w:lang w:eastAsia="zh-TW"/>
        </w:rPr>
      </w:pPr>
      <w:r>
        <w:rPr>
          <w:rFonts w:eastAsia="宋体" w:cs="Times New Roman" w:asciiTheme="minorEastAsia" w:hAnsiTheme="minorEastAsia"/>
          <w:b/>
          <w:kern w:val="0"/>
          <w:sz w:val="24"/>
          <w:szCs w:val="24"/>
          <w:u w:val="single"/>
        </w:rPr>
        <w:t>基本农田保护区经依法划定后，任何单位和个人不得改变或者占用。国家能源、交通、水利、军事设施等重点建设项目选址确实无法避开基本农田保护区，需要占用基本农田，涉及农用地转用或者征收土地的，必须经国务院批准。禁止任何单位和个人在基本农田保护区内建窑、建房、建坟、挖砂、采石、采矿、取土、堆放固体废弃物或者进行其他破坏基本农田的活动。禁止任何单位和个人占用基本农田发展林果业和挖塘养鱼。</w:t>
      </w:r>
    </w:p>
    <w:p>
      <w:pPr>
        <w:adjustRightInd w:val="0"/>
        <w:snapToGrid w:val="0"/>
        <w:spacing w:line="360" w:lineRule="auto"/>
        <w:ind w:firstLine="482" w:firstLineChars="200"/>
        <w:rPr>
          <w:rFonts w:cs="Times New Roman" w:asciiTheme="minorEastAsia" w:hAnsiTheme="minorEastAsia"/>
          <w:b/>
          <w:kern w:val="0"/>
          <w:sz w:val="24"/>
          <w:szCs w:val="24"/>
          <w:u w:val="single"/>
          <w:lang w:eastAsia="zh-TW"/>
        </w:rPr>
      </w:pPr>
      <w:r>
        <w:rPr>
          <w:rFonts w:eastAsia="宋体" w:cs="Times New Roman" w:asciiTheme="minorEastAsia" w:hAnsiTheme="minorEastAsia"/>
          <w:b/>
          <w:kern w:val="0"/>
          <w:sz w:val="24"/>
          <w:szCs w:val="24"/>
          <w:u w:val="single"/>
        </w:rPr>
        <w:t>禁止任何单位和个人闲置、荒芜基本农田。</w:t>
      </w:r>
    </w:p>
    <w:p>
      <w:pPr>
        <w:adjustRightInd w:val="0"/>
        <w:snapToGrid w:val="0"/>
        <w:spacing w:line="360" w:lineRule="auto"/>
        <w:ind w:firstLine="482" w:firstLineChars="200"/>
        <w:rPr>
          <w:rFonts w:cs="Times New Roman" w:asciiTheme="minorEastAsia" w:hAnsiTheme="minorEastAsia"/>
          <w:b/>
          <w:kern w:val="0"/>
          <w:sz w:val="24"/>
          <w:szCs w:val="24"/>
          <w:u w:val="single"/>
          <w:lang w:eastAsia="zh-TW"/>
        </w:rPr>
      </w:pPr>
      <w:r>
        <w:rPr>
          <w:rFonts w:eastAsia="宋体" w:cs="Times New Roman" w:asciiTheme="minorEastAsia" w:hAnsiTheme="minorEastAsia"/>
          <w:b/>
          <w:kern w:val="0"/>
          <w:sz w:val="24"/>
          <w:szCs w:val="24"/>
          <w:u w:val="single"/>
        </w:rPr>
        <w:t>量质并重做好永久基本农田补划。明确永久基本农田补划要求，重大建设项目占用或因依法认定的灾毁等原因减少永久基本农田的，按照“数量不减、质量不降、布局稳定”的要求开展补划，占用或减少城市周边范围内的，原则上在城市周边范围内补划。</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（二）</w:t>
      </w:r>
      <w:r>
        <w:rPr>
          <w:rFonts w:eastAsia="宋体" w:cs="Times New Roman" w:asciiTheme="minorEastAsia" w:hAnsiTheme="minorEastAsia"/>
          <w:b/>
          <w:kern w:val="0"/>
          <w:sz w:val="24"/>
          <w:szCs w:val="24"/>
        </w:rPr>
        <w:t>细化落实生态保护红线</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落实生态保护红线，确定位置、面积等，明确管控方式和规则，在此基础上，以增加生态碳汇为导向，优化片区水系、林网、绿道等生态空间格局，牢牢守住生态安全底线。</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1、</w:t>
      </w:r>
      <w:r>
        <w:rPr>
          <w:rFonts w:eastAsia="宋体" w:cs="Times New Roman" w:asciiTheme="minorEastAsia" w:hAnsiTheme="minorEastAsia"/>
          <w:kern w:val="0"/>
          <w:sz w:val="24"/>
          <w:szCs w:val="24"/>
        </w:rPr>
        <w:t>划定结果</w:t>
      </w:r>
    </w:p>
    <w:p>
      <w:pPr>
        <w:adjustRightInd w:val="0"/>
        <w:snapToGrid w:val="0"/>
        <w:spacing w:line="360" w:lineRule="auto"/>
        <w:ind w:firstLine="480" w:firstLineChars="200"/>
        <w:rPr>
          <w:rFonts w:eastAsia="宋体" w:cs="Times New Roman" w:asciiTheme="minorEastAsia" w:hAnsiTheme="minorEastAsia"/>
          <w:b/>
          <w:kern w:val="0"/>
          <w:sz w:val="24"/>
          <w:szCs w:val="24"/>
          <w:u w:val="single"/>
        </w:rPr>
      </w:pPr>
      <w:r>
        <w:rPr>
          <w:rFonts w:hint="eastAsia" w:eastAsia="宋体" w:cs="Times New Roman" w:asciiTheme="minorEastAsia" w:hAnsiTheme="minorEastAsia"/>
          <w:kern w:val="0"/>
          <w:sz w:val="24"/>
          <w:szCs w:val="24"/>
        </w:rPr>
        <w:t>实行最严格的生态环境保护制度，依据双评价，将生态保护极重要区中需要实行严格管控的区域划定为生态保护红线。</w:t>
      </w:r>
      <w:r>
        <w:rPr>
          <w:rFonts w:hint="eastAsia" w:eastAsia="宋体" w:cs="Times New Roman" w:asciiTheme="minorEastAsia" w:hAnsiTheme="minorEastAsia"/>
          <w:b/>
          <w:kern w:val="0"/>
          <w:sz w:val="24"/>
          <w:szCs w:val="24"/>
          <w:u w:val="single"/>
        </w:rPr>
        <w:t>落实并划定生态保护红线面积2.00</w:t>
      </w:r>
      <w:r>
        <w:rPr>
          <w:rFonts w:eastAsia="宋体" w:cs="Times New Roman" w:asciiTheme="minorEastAsia" w:hAnsiTheme="minorEastAsia"/>
          <w:b/>
          <w:kern w:val="0"/>
          <w:sz w:val="24"/>
          <w:szCs w:val="24"/>
          <w:u w:val="single"/>
        </w:rPr>
        <w:t>公顷</w:t>
      </w:r>
      <w:r>
        <w:rPr>
          <w:rFonts w:hint="eastAsia" w:eastAsia="宋体" w:cs="Times New Roman" w:asciiTheme="minorEastAsia" w:hAnsiTheme="minorEastAsia"/>
          <w:b/>
          <w:kern w:val="0"/>
          <w:sz w:val="24"/>
          <w:szCs w:val="24"/>
          <w:u w:val="single"/>
        </w:rPr>
        <w:t>，</w:t>
      </w:r>
      <w:r>
        <w:rPr>
          <w:rFonts w:eastAsia="宋体" w:cs="Times New Roman" w:asciiTheme="minorEastAsia" w:hAnsiTheme="minorEastAsia"/>
          <w:b/>
          <w:kern w:val="0"/>
          <w:sz w:val="24"/>
          <w:szCs w:val="24"/>
          <w:u w:val="single"/>
        </w:rPr>
        <w:t>主要为玉峰镇寸塘口</w:t>
      </w:r>
      <w:r>
        <w:rPr>
          <w:rFonts w:hint="eastAsia" w:eastAsia="宋体" w:cs="Times New Roman" w:asciiTheme="minorEastAsia" w:hAnsiTheme="minorEastAsia"/>
          <w:b/>
          <w:kern w:val="0"/>
          <w:sz w:val="24"/>
          <w:szCs w:val="24"/>
          <w:u w:val="single"/>
        </w:rPr>
        <w:t>集中供水站</w:t>
      </w:r>
      <w:r>
        <w:rPr>
          <w:rFonts w:eastAsia="宋体" w:cs="Times New Roman" w:asciiTheme="minorEastAsia" w:hAnsiTheme="minorEastAsia"/>
          <w:b/>
          <w:kern w:val="0"/>
          <w:sz w:val="24"/>
          <w:szCs w:val="24"/>
          <w:u w:val="single"/>
        </w:rPr>
        <w:t>水源保护区</w:t>
      </w:r>
      <w:r>
        <w:rPr>
          <w:rFonts w:hint="eastAsia" w:eastAsia="宋体" w:cs="Times New Roman" w:asciiTheme="minorEastAsia" w:hAnsiTheme="minorEastAsia"/>
          <w:b/>
          <w:kern w:val="0"/>
          <w:sz w:val="24"/>
          <w:szCs w:val="24"/>
          <w:u w:val="single"/>
        </w:rPr>
        <w:t>。</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2、管控要求</w:t>
      </w:r>
    </w:p>
    <w:p>
      <w:pPr>
        <w:adjustRightInd w:val="0"/>
        <w:snapToGrid w:val="0"/>
        <w:spacing w:line="360" w:lineRule="auto"/>
        <w:ind w:firstLine="482" w:firstLineChars="200"/>
        <w:rPr>
          <w:rFonts w:eastAsia="宋体" w:cs="Times New Roman" w:asciiTheme="minorEastAsia" w:hAnsiTheme="minorEastAsia"/>
          <w:b/>
          <w:kern w:val="0"/>
          <w:sz w:val="24"/>
          <w:szCs w:val="24"/>
          <w:u w:val="single"/>
        </w:rPr>
      </w:pPr>
      <w:r>
        <w:rPr>
          <w:rFonts w:hint="eastAsia" w:eastAsia="宋体" w:cs="Times New Roman" w:asciiTheme="minorEastAsia" w:hAnsiTheme="minorEastAsia"/>
          <w:b/>
          <w:kern w:val="0"/>
          <w:sz w:val="24"/>
          <w:szCs w:val="24"/>
          <w:u w:val="single"/>
        </w:rPr>
        <w:t>严格按照《自然资源部生态环境部国家林业和草原局关于加强生态保护红线管理的通知（试行）》等国家相关政策文件对生态保护红线进行管控。生态红线内严格禁止开发性、生产性建设活动，自然保护地在符合现行法律法规前提下，除国家重大战略项目外，仅允许对生态功能不造成破坏的有限人为活动。</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（三）</w:t>
      </w:r>
      <w:r>
        <w:rPr>
          <w:rFonts w:eastAsia="宋体" w:cs="Times New Roman" w:asciiTheme="minorEastAsia" w:hAnsiTheme="minorEastAsia"/>
          <w:b/>
          <w:kern w:val="0"/>
          <w:sz w:val="24"/>
          <w:szCs w:val="24"/>
        </w:rPr>
        <w:t xml:space="preserve">合理确定城镇开发边界 </w:t>
      </w:r>
    </w:p>
    <w:p>
      <w:pPr>
        <w:adjustRightInd w:val="0"/>
        <w:snapToGrid w:val="0"/>
        <w:spacing w:line="360" w:lineRule="auto"/>
        <w:ind w:firstLine="480" w:firstLineChars="200"/>
        <w:rPr>
          <w:rFonts w:cs="Times New Roman" w:asciiTheme="minorEastAsia" w:hAnsiTheme="minorEastAsia"/>
          <w:kern w:val="0"/>
          <w:sz w:val="24"/>
          <w:szCs w:val="24"/>
          <w:lang w:eastAsia="zh-TW"/>
        </w:rPr>
      </w:pPr>
      <w:r>
        <w:rPr>
          <w:rFonts w:eastAsia="宋体" w:cs="Times New Roman" w:asciiTheme="minorEastAsia" w:hAnsiTheme="minorEastAsia"/>
          <w:kern w:val="0"/>
          <w:sz w:val="24"/>
          <w:szCs w:val="24"/>
        </w:rPr>
        <w:t>落实最严格的节约用地制度，综合考虑承载能力、人口分布、经济布局、城乡融合、发展阶段和发展潜力，按照集约适度、绿色发展要求统筹划定城镇开发边界，既合理保障发展建设空间又尽量少占良田沃土。严格管控开发边界内外各类开发活动，防止城乡建设无序扩张；科学划定一定比例的留白区域，为未来发展预留空间。</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1、</w:t>
      </w:r>
      <w:r>
        <w:rPr>
          <w:rFonts w:eastAsia="宋体" w:cs="Times New Roman" w:asciiTheme="minorEastAsia" w:hAnsiTheme="minorEastAsia"/>
          <w:kern w:val="0"/>
          <w:sz w:val="24"/>
          <w:szCs w:val="24"/>
        </w:rPr>
        <w:t>划定结果</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尊重自然地理格局和城镇发展规律，适当考虑发展弹性，避免大而不当，尽量不占良田沃土，</w:t>
      </w:r>
      <w:r>
        <w:rPr>
          <w:rFonts w:hint="eastAsia" w:eastAsia="宋体" w:cs="Times New Roman" w:asciiTheme="minorEastAsia" w:hAnsiTheme="minorEastAsia"/>
          <w:kern w:val="0"/>
          <w:sz w:val="24"/>
          <w:szCs w:val="24"/>
        </w:rPr>
        <w:t>严格落实《大英县国土空间总体规划（</w:t>
      </w:r>
      <w:r>
        <w:rPr>
          <w:rFonts w:eastAsia="宋体" w:cs="Times New Roman" w:asciiTheme="minorEastAsia" w:hAnsiTheme="minorEastAsia"/>
          <w:kern w:val="0"/>
          <w:sz w:val="24"/>
          <w:szCs w:val="24"/>
        </w:rPr>
        <w:t xml:space="preserve">2021-2035 </w:t>
      </w:r>
      <w:r>
        <w:rPr>
          <w:rFonts w:hint="eastAsia" w:eastAsia="宋体" w:cs="Times New Roman" w:asciiTheme="minorEastAsia" w:hAnsiTheme="minorEastAsia"/>
          <w:kern w:val="0"/>
          <w:sz w:val="24"/>
          <w:szCs w:val="24"/>
        </w:rPr>
        <w:t>年）》底线约束性指标要求，</w:t>
      </w:r>
      <w:r>
        <w:rPr>
          <w:rFonts w:hint="eastAsia" w:eastAsia="宋体" w:cs="Times New Roman" w:asciiTheme="minorEastAsia" w:hAnsiTheme="minorEastAsia"/>
          <w:b/>
          <w:kern w:val="0"/>
          <w:sz w:val="24"/>
          <w:szCs w:val="24"/>
          <w:u w:val="single"/>
        </w:rPr>
        <w:t>落实并</w:t>
      </w:r>
      <w:r>
        <w:rPr>
          <w:rFonts w:eastAsia="宋体" w:cs="Times New Roman" w:asciiTheme="minorEastAsia" w:hAnsiTheme="minorEastAsia"/>
          <w:b/>
          <w:kern w:val="0"/>
          <w:sz w:val="24"/>
          <w:szCs w:val="24"/>
          <w:u w:val="single"/>
        </w:rPr>
        <w:t>划定片区城镇开发边界</w:t>
      </w:r>
      <w:r>
        <w:rPr>
          <w:rFonts w:hint="eastAsia" w:eastAsia="宋体" w:cs="Times New Roman" w:asciiTheme="minorEastAsia" w:hAnsiTheme="minorEastAsia"/>
          <w:b/>
          <w:kern w:val="0"/>
          <w:sz w:val="24"/>
          <w:szCs w:val="24"/>
          <w:u w:val="single"/>
        </w:rPr>
        <w:t>177.26</w:t>
      </w:r>
      <w:r>
        <w:rPr>
          <w:rFonts w:eastAsia="宋体" w:cs="Times New Roman" w:asciiTheme="minorEastAsia" w:hAnsiTheme="minorEastAsia"/>
          <w:b/>
          <w:kern w:val="0"/>
          <w:sz w:val="24"/>
          <w:szCs w:val="24"/>
          <w:u w:val="single"/>
        </w:rPr>
        <w:t>公顷，包括河边镇、玉峰镇、象山镇以及原智水乡</w:t>
      </w:r>
      <w:r>
        <w:rPr>
          <w:rFonts w:hint="eastAsia" w:eastAsia="宋体" w:cs="Times New Roman" w:asciiTheme="minorEastAsia" w:hAnsiTheme="minorEastAsia"/>
          <w:b/>
          <w:kern w:val="0"/>
          <w:sz w:val="24"/>
          <w:szCs w:val="24"/>
          <w:u w:val="single"/>
        </w:rPr>
        <w:t>四</w:t>
      </w:r>
      <w:r>
        <w:rPr>
          <w:rFonts w:eastAsia="宋体" w:cs="Times New Roman" w:asciiTheme="minorEastAsia" w:hAnsiTheme="minorEastAsia"/>
          <w:b/>
          <w:kern w:val="0"/>
          <w:sz w:val="24"/>
          <w:szCs w:val="24"/>
          <w:u w:val="single"/>
        </w:rPr>
        <w:t>个</w:t>
      </w:r>
      <w:r>
        <w:rPr>
          <w:rFonts w:hint="eastAsia" w:eastAsia="宋体" w:cs="Times New Roman" w:asciiTheme="minorEastAsia" w:hAnsiTheme="minorEastAsia"/>
          <w:b/>
          <w:kern w:val="0"/>
          <w:sz w:val="24"/>
          <w:szCs w:val="24"/>
          <w:u w:val="single"/>
        </w:rPr>
        <w:t>场镇</w:t>
      </w:r>
      <w:r>
        <w:rPr>
          <w:rFonts w:eastAsia="宋体" w:cs="Times New Roman" w:asciiTheme="minorEastAsia" w:hAnsiTheme="minorEastAsia"/>
          <w:b/>
          <w:kern w:val="0"/>
          <w:sz w:val="24"/>
          <w:szCs w:val="24"/>
          <w:u w:val="single"/>
        </w:rPr>
        <w:t>的城镇开发边界</w:t>
      </w:r>
      <w:r>
        <w:rPr>
          <w:rFonts w:hint="eastAsia" w:eastAsia="宋体" w:cs="Times New Roman" w:asciiTheme="minorEastAsia" w:hAnsiTheme="minorEastAsia"/>
          <w:b/>
          <w:kern w:val="0"/>
          <w:sz w:val="24"/>
          <w:szCs w:val="24"/>
          <w:u w:val="single"/>
        </w:rPr>
        <w:t>。</w:t>
      </w:r>
      <w:r>
        <w:rPr>
          <w:rFonts w:eastAsia="宋体" w:cs="Times New Roman" w:asciiTheme="minorEastAsia" w:hAnsiTheme="minorEastAsia"/>
          <w:b/>
          <w:kern w:val="0"/>
          <w:sz w:val="24"/>
          <w:szCs w:val="24"/>
          <w:u w:val="single"/>
        </w:rPr>
        <w:t>其中河边镇城镇开发边界</w:t>
      </w:r>
      <w:r>
        <w:rPr>
          <w:rFonts w:hint="eastAsia" w:eastAsia="宋体" w:cs="Times New Roman" w:asciiTheme="minorEastAsia" w:hAnsiTheme="minorEastAsia"/>
          <w:b/>
          <w:kern w:val="0"/>
          <w:sz w:val="24"/>
          <w:szCs w:val="24"/>
          <w:u w:val="single"/>
        </w:rPr>
        <w:t>52.09</w:t>
      </w:r>
      <w:r>
        <w:rPr>
          <w:rFonts w:eastAsia="宋体" w:cs="Times New Roman" w:asciiTheme="minorEastAsia" w:hAnsiTheme="minorEastAsia"/>
          <w:b/>
          <w:kern w:val="0"/>
          <w:sz w:val="24"/>
          <w:szCs w:val="24"/>
          <w:u w:val="single"/>
        </w:rPr>
        <w:t>公顷，象山镇城镇开发边界</w:t>
      </w:r>
      <w:r>
        <w:rPr>
          <w:rFonts w:hint="eastAsia" w:eastAsia="宋体" w:cs="Times New Roman" w:asciiTheme="minorEastAsia" w:hAnsiTheme="minorEastAsia"/>
          <w:b/>
          <w:kern w:val="0"/>
          <w:sz w:val="24"/>
          <w:szCs w:val="24"/>
          <w:u w:val="single"/>
        </w:rPr>
        <w:t>56.77</w:t>
      </w:r>
      <w:r>
        <w:rPr>
          <w:rFonts w:eastAsia="宋体" w:cs="Times New Roman" w:asciiTheme="minorEastAsia" w:hAnsiTheme="minorEastAsia"/>
          <w:b/>
          <w:kern w:val="0"/>
          <w:sz w:val="24"/>
          <w:szCs w:val="24"/>
          <w:u w:val="single"/>
        </w:rPr>
        <w:t>公顷</w:t>
      </w:r>
      <w:r>
        <w:rPr>
          <w:rFonts w:hint="eastAsia" w:eastAsia="宋体" w:cs="Times New Roman" w:asciiTheme="minorEastAsia" w:hAnsiTheme="minorEastAsia"/>
          <w:b/>
          <w:kern w:val="0"/>
          <w:sz w:val="24"/>
          <w:szCs w:val="24"/>
          <w:u w:val="single"/>
        </w:rPr>
        <w:t>（包含县城城镇开发边界0.78公顷）</w:t>
      </w:r>
      <w:r>
        <w:rPr>
          <w:rFonts w:eastAsia="宋体" w:cs="Times New Roman" w:asciiTheme="minorEastAsia" w:hAnsiTheme="minorEastAsia"/>
          <w:b/>
          <w:kern w:val="0"/>
          <w:sz w:val="24"/>
          <w:szCs w:val="24"/>
          <w:u w:val="single"/>
        </w:rPr>
        <w:t>，玉峰镇城镇开发边界规模为</w:t>
      </w:r>
      <w:r>
        <w:rPr>
          <w:rFonts w:hint="eastAsia" w:eastAsia="宋体" w:cs="Times New Roman" w:asciiTheme="minorEastAsia" w:hAnsiTheme="minorEastAsia"/>
          <w:b/>
          <w:kern w:val="0"/>
          <w:sz w:val="24"/>
          <w:szCs w:val="24"/>
          <w:u w:val="single"/>
        </w:rPr>
        <w:t>68.40</w:t>
      </w:r>
      <w:r>
        <w:rPr>
          <w:rFonts w:eastAsia="宋体" w:cs="Times New Roman" w:asciiTheme="minorEastAsia" w:hAnsiTheme="minorEastAsia"/>
          <w:b/>
          <w:kern w:val="0"/>
          <w:sz w:val="24"/>
          <w:szCs w:val="24"/>
          <w:u w:val="single"/>
        </w:rPr>
        <w:t>公顷</w:t>
      </w:r>
      <w:r>
        <w:rPr>
          <w:rFonts w:hint="eastAsia" w:eastAsia="宋体" w:cs="Times New Roman" w:asciiTheme="minorEastAsia" w:hAnsiTheme="minorEastAsia"/>
          <w:b/>
          <w:kern w:val="0"/>
          <w:sz w:val="24"/>
          <w:szCs w:val="24"/>
          <w:u w:val="single"/>
        </w:rPr>
        <w:t>，</w:t>
      </w:r>
      <w:r>
        <w:rPr>
          <w:rFonts w:eastAsia="宋体" w:cs="Times New Roman" w:asciiTheme="minorEastAsia" w:hAnsiTheme="minorEastAsia"/>
          <w:b/>
          <w:kern w:val="0"/>
          <w:sz w:val="24"/>
          <w:szCs w:val="24"/>
          <w:u w:val="single"/>
        </w:rPr>
        <w:t>其中玉峰镇区城镇开发边界规模为</w:t>
      </w:r>
      <w:r>
        <w:rPr>
          <w:rFonts w:hint="eastAsia" w:eastAsia="宋体" w:cs="Times New Roman" w:asciiTheme="minorEastAsia" w:hAnsiTheme="minorEastAsia"/>
          <w:b/>
          <w:kern w:val="0"/>
          <w:sz w:val="24"/>
          <w:szCs w:val="24"/>
          <w:u w:val="single"/>
        </w:rPr>
        <w:t>40.26公顷、智水</w:t>
      </w:r>
      <w:r>
        <w:rPr>
          <w:rFonts w:eastAsia="宋体" w:cs="Times New Roman" w:asciiTheme="minorEastAsia" w:hAnsiTheme="minorEastAsia"/>
          <w:b/>
          <w:kern w:val="0"/>
          <w:sz w:val="24"/>
          <w:szCs w:val="24"/>
          <w:u w:val="single"/>
        </w:rPr>
        <w:t>城镇开发边界规模为</w:t>
      </w:r>
      <w:r>
        <w:rPr>
          <w:rFonts w:hint="eastAsia" w:eastAsia="宋体" w:cs="Times New Roman" w:asciiTheme="minorEastAsia" w:hAnsiTheme="minorEastAsia"/>
          <w:b/>
          <w:kern w:val="0"/>
          <w:sz w:val="24"/>
          <w:szCs w:val="24"/>
          <w:u w:val="single"/>
        </w:rPr>
        <w:t>15.16公顷、方平沟</w:t>
      </w:r>
      <w:r>
        <w:rPr>
          <w:rFonts w:eastAsia="宋体" w:cs="Times New Roman" w:asciiTheme="minorEastAsia" w:hAnsiTheme="minorEastAsia"/>
          <w:b/>
          <w:kern w:val="0"/>
          <w:sz w:val="24"/>
          <w:szCs w:val="24"/>
          <w:u w:val="single"/>
        </w:rPr>
        <w:t>城镇开发边界规模为</w:t>
      </w:r>
      <w:r>
        <w:rPr>
          <w:rFonts w:hint="eastAsia" w:eastAsia="宋体" w:cs="Times New Roman" w:asciiTheme="minorEastAsia" w:hAnsiTheme="minorEastAsia"/>
          <w:b/>
          <w:kern w:val="0"/>
          <w:sz w:val="24"/>
          <w:szCs w:val="24"/>
          <w:u w:val="single"/>
        </w:rPr>
        <w:t>12.98公顷</w:t>
      </w:r>
      <w:r>
        <w:rPr>
          <w:rFonts w:eastAsia="宋体" w:cs="Times New Roman" w:asciiTheme="minorEastAsia" w:hAnsiTheme="minorEastAsia"/>
          <w:b/>
          <w:kern w:val="0"/>
          <w:sz w:val="24"/>
          <w:szCs w:val="24"/>
          <w:u w:val="single"/>
        </w:rPr>
        <w:t>。</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2、管控要求</w:t>
      </w:r>
    </w:p>
    <w:p>
      <w:pPr>
        <w:adjustRightInd w:val="0"/>
        <w:snapToGrid w:val="0"/>
        <w:spacing w:line="360" w:lineRule="auto"/>
        <w:ind w:firstLine="482" w:firstLineChars="200"/>
        <w:rPr>
          <w:rFonts w:cs="Times New Roman" w:asciiTheme="minorEastAsia" w:hAnsiTheme="minorEastAsia"/>
          <w:b/>
          <w:kern w:val="0"/>
          <w:sz w:val="24"/>
          <w:szCs w:val="24"/>
          <w:u w:val="single"/>
          <w:lang w:eastAsia="zh-TW"/>
        </w:rPr>
      </w:pPr>
      <w:r>
        <w:rPr>
          <w:rFonts w:eastAsia="宋体" w:cs="Times New Roman" w:asciiTheme="minorEastAsia" w:hAnsiTheme="minorEastAsia"/>
          <w:b/>
          <w:kern w:val="0"/>
          <w:sz w:val="24"/>
          <w:szCs w:val="24"/>
          <w:u w:val="single"/>
        </w:rPr>
        <w:t>在城镇开发边界内建设，实行“详细规划+规划许可”的管制方式，并加强与城市绿线、蓝线、紫线和黄线等控制线的协同管控。</w:t>
      </w:r>
    </w:p>
    <w:p>
      <w:pPr>
        <w:adjustRightInd w:val="0"/>
        <w:snapToGrid w:val="0"/>
        <w:spacing w:line="360" w:lineRule="auto"/>
        <w:ind w:firstLine="480" w:firstLineChars="200"/>
        <w:rPr>
          <w:rFonts w:cs="Times New Roman" w:asciiTheme="minorEastAsia" w:hAnsiTheme="minorEastAsia"/>
          <w:kern w:val="0"/>
          <w:sz w:val="24"/>
          <w:szCs w:val="24"/>
          <w:lang w:eastAsia="zh-TW"/>
        </w:rPr>
      </w:pPr>
      <w:r>
        <w:rPr>
          <w:rFonts w:eastAsia="宋体" w:cs="Times New Roman" w:asciiTheme="minorEastAsia" w:hAnsiTheme="minorEastAsia"/>
          <w:kern w:val="0"/>
          <w:sz w:val="24"/>
          <w:szCs w:val="24"/>
        </w:rPr>
        <w:t>在不突破规划城镇建设用地规模的前提下，城镇建设用地布局可在城镇弹性发展范围内进行调整，同时相应核减集中建设区用地规模。调整方案由国土空间规划审批机关的同级自然资源主管部门同意后，及时纳入国土空间规划监测评估预警管理系统实施动态监管，调整原则上一年不超过一次。未调整为城镇集中建设区的城镇弹性发展区不得编制详细规</w:t>
      </w:r>
      <w:r>
        <w:rPr>
          <w:rFonts w:hint="eastAsia" w:eastAsia="宋体" w:cs="Times New Roman" w:asciiTheme="minorEastAsia" w:hAnsiTheme="minorEastAsia"/>
          <w:kern w:val="0"/>
          <w:sz w:val="24"/>
          <w:szCs w:val="24"/>
        </w:rPr>
        <w:t>划。</w:t>
      </w:r>
    </w:p>
    <w:p>
      <w:pPr>
        <w:adjustRightInd w:val="0"/>
        <w:snapToGrid w:val="0"/>
        <w:spacing w:line="360" w:lineRule="auto"/>
        <w:ind w:firstLine="480" w:firstLineChars="200"/>
        <w:rPr>
          <w:rFonts w:cs="Times New Roman" w:asciiTheme="minorEastAsia" w:hAnsiTheme="minorEastAsia"/>
          <w:kern w:val="0"/>
          <w:sz w:val="24"/>
          <w:szCs w:val="24"/>
          <w:lang w:eastAsia="zh-TW"/>
        </w:rPr>
      </w:pPr>
      <w:r>
        <w:rPr>
          <w:rFonts w:eastAsia="宋体" w:cs="Times New Roman" w:asciiTheme="minorEastAsia" w:hAnsiTheme="minorEastAsia"/>
          <w:kern w:val="0"/>
          <w:sz w:val="24"/>
          <w:szCs w:val="24"/>
        </w:rPr>
        <w:t>特别用途区原则上禁止任何城镇集中建设行为，实施建设用地总量控制，原则上不得新增除市政基础设施、交通基础设施、生态修复工程、必要的配套及游憩设施外的其他城镇建设用地。</w:t>
      </w:r>
    </w:p>
    <w:p>
      <w:pPr>
        <w:adjustRightInd w:val="0"/>
        <w:snapToGrid w:val="0"/>
        <w:spacing w:line="360" w:lineRule="auto"/>
        <w:ind w:firstLine="480" w:firstLineChars="200"/>
        <w:rPr>
          <w:rFonts w:cs="Times New Roman" w:asciiTheme="minorEastAsia" w:hAnsiTheme="minorEastAsia"/>
          <w:kern w:val="0"/>
          <w:sz w:val="24"/>
          <w:szCs w:val="24"/>
          <w:lang w:eastAsia="zh-TW"/>
        </w:rPr>
      </w:pPr>
      <w:r>
        <w:rPr>
          <w:rFonts w:eastAsia="宋体" w:cs="Times New Roman" w:asciiTheme="minorEastAsia" w:hAnsiTheme="minorEastAsia"/>
          <w:kern w:val="0"/>
          <w:sz w:val="24"/>
          <w:szCs w:val="24"/>
        </w:rPr>
        <w:t>城镇开发边界外不得进行城镇集中建设，不得设立各类开发区，严格控制政府投资的城镇基础设施资金投入。允许交通、基础设施及其他线性工程，军事及安全保密、宗教、殡葬、综合防灾减灾、战略储备等特殊建设项目，郊野公园、风景游览设施的配套服务设施，直接为乡村振兴战略服务的建设项目，以及其它必要的服务设施和城镇民生保障项目建设。</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城镇开发边界外的村庄建设、独立选址的点状和线性工程项目，应符合相应的国土空间规划和用途管制要求。</w:t>
      </w:r>
    </w:p>
    <w:p>
      <w:pPr>
        <w:adjustRightInd w:val="0"/>
        <w:snapToGrid w:val="0"/>
        <w:spacing w:line="360" w:lineRule="auto"/>
        <w:ind w:firstLine="482" w:firstLineChars="200"/>
        <w:rPr>
          <w:rFonts w:ascii="黑体" w:hAnsi="黑体" w:eastAsia="黑体" w:cs="Times New Roman"/>
          <w:b/>
          <w:kern w:val="0"/>
          <w:sz w:val="24"/>
          <w:szCs w:val="24"/>
        </w:rPr>
      </w:pPr>
      <w:r>
        <w:rPr>
          <w:rFonts w:hint="eastAsia" w:ascii="黑体" w:hAnsi="黑体" w:eastAsia="黑体" w:cs="Times New Roman"/>
          <w:b/>
          <w:kern w:val="0"/>
          <w:sz w:val="24"/>
          <w:szCs w:val="24"/>
        </w:rPr>
        <w:t>四、其他保护线划定</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充分运用全县自然灾害综合风险普查成果</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科学划定灾害安全防护范围</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梳理衔接各级文物保护单位等历史文化资源，依据文物保护单位保护范围和建设控制地带，统筹划定历史文化保护线。结合河流水库管理相关办法，划定水资源、湿地等管控范围。落实重大设施廊道管理控制线。</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（一）灾害安全防护范围</w:t>
      </w:r>
    </w:p>
    <w:p>
      <w:pPr>
        <w:adjustRightInd w:val="0"/>
        <w:snapToGrid w:val="0"/>
        <w:spacing w:line="360" w:lineRule="auto"/>
        <w:ind w:firstLine="480" w:firstLineChars="200"/>
        <w:rPr>
          <w:rFonts w:eastAsia="宋体" w:cs="Times New Roman" w:asciiTheme="minorEastAsia" w:hAnsiTheme="minorEastAsia"/>
          <w:b/>
          <w:kern w:val="0"/>
          <w:sz w:val="24"/>
          <w:szCs w:val="24"/>
          <w:u w:val="single"/>
        </w:rPr>
      </w:pPr>
      <w:r>
        <w:rPr>
          <w:rFonts w:hint="eastAsia" w:eastAsia="宋体" w:cs="Times New Roman" w:asciiTheme="minorEastAsia" w:hAnsiTheme="minorEastAsia"/>
          <w:kern w:val="0"/>
          <w:sz w:val="24"/>
          <w:szCs w:val="24"/>
        </w:rPr>
        <w:t>根据《四川省大英县地质灾害风险调查评价项目成果报告》，片区无地质灾害极高危险区和高危险区，主要有崩塌、滑坡和不稳定斜坡（潜在滑坡、崩塌）三种类型。</w:t>
      </w:r>
      <w:r>
        <w:rPr>
          <w:rFonts w:hint="eastAsia" w:eastAsia="宋体" w:cs="Times New Roman" w:asciiTheme="minorEastAsia" w:hAnsiTheme="minorEastAsia"/>
          <w:b/>
          <w:kern w:val="0"/>
          <w:sz w:val="24"/>
          <w:szCs w:val="24"/>
          <w:u w:val="single"/>
        </w:rPr>
        <w:t>规划将片区内现状发育地质灾害点及影响范围划为地质灾害风险控制线，面积48.49公顷。规划城乡建设用地原则上应避让地质灾害防控线。确实无法避让的，应开展工程地质详细勘察及地质灾害评估，并依据工程地质详细勘察及地质灾害评估报告的结论和建议实施。</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（二）</w:t>
      </w:r>
      <w:r>
        <w:rPr>
          <w:rFonts w:eastAsia="宋体" w:cs="Times New Roman" w:asciiTheme="minorEastAsia" w:hAnsiTheme="minorEastAsia"/>
          <w:b/>
          <w:kern w:val="0"/>
          <w:sz w:val="24"/>
          <w:szCs w:val="24"/>
        </w:rPr>
        <w:t>统筹划定历史文化保护线</w:t>
      </w:r>
    </w:p>
    <w:p>
      <w:pPr>
        <w:adjustRightInd w:val="0"/>
        <w:snapToGrid w:val="0"/>
        <w:spacing w:line="360" w:lineRule="auto"/>
        <w:ind w:firstLine="480" w:firstLineChars="200"/>
        <w:rPr>
          <w:rFonts w:eastAsia="宋体" w:cs="Times New Roman" w:asciiTheme="minorEastAsia" w:hAnsiTheme="minorEastAsia"/>
          <w:b/>
          <w:kern w:val="0"/>
          <w:sz w:val="24"/>
          <w:szCs w:val="24"/>
          <w:u w:val="single"/>
        </w:rPr>
      </w:pPr>
      <w:r>
        <w:rPr>
          <w:rFonts w:hint="eastAsia" w:eastAsia="宋体" w:cs="Times New Roman" w:asciiTheme="minorEastAsia" w:hAnsiTheme="minorEastAsia"/>
          <w:kern w:val="0"/>
          <w:sz w:val="24"/>
          <w:szCs w:val="24"/>
        </w:rPr>
        <w:t>统筹划定片区内1处省级文物保护单位、1处市级文物保护单位、14处县级文物保护单位和177处文物点历史文化保护线，明确整体保护和活化利用的管控要求，保护好乡村的历史文化根脉，传承乡愁记忆。</w:t>
      </w:r>
      <w:r>
        <w:rPr>
          <w:rFonts w:hint="eastAsia" w:eastAsia="宋体" w:cs="Times New Roman" w:asciiTheme="minorEastAsia" w:hAnsiTheme="minorEastAsia"/>
          <w:b/>
          <w:kern w:val="0"/>
          <w:sz w:val="24"/>
          <w:szCs w:val="24"/>
          <w:u w:val="single"/>
        </w:rPr>
        <w:t>明确文物保护单位和文物点的保护范围与建设控制地带。严格按照《中华人民共和国文物保护法》等相关法律法规对文物保护单位进行保护和修缮，严禁擅自拆除、改建和迁移地面文物。</w:t>
      </w:r>
    </w:p>
    <w:p>
      <w:pPr>
        <w:adjustRightInd w:val="0"/>
        <w:snapToGrid w:val="0"/>
        <w:spacing w:line="360" w:lineRule="auto"/>
        <w:ind w:firstLine="482" w:firstLineChars="200"/>
        <w:rPr>
          <w:rFonts w:eastAsia="宋体" w:cs="Times New Roman" w:asciiTheme="minorEastAsia" w:hAnsiTheme="minorEastAsia"/>
          <w:b/>
          <w:kern w:val="0"/>
          <w:sz w:val="24"/>
          <w:szCs w:val="24"/>
          <w:u w:val="single"/>
        </w:rPr>
      </w:pPr>
      <w:r>
        <w:rPr>
          <w:rFonts w:hint="eastAsia" w:eastAsia="宋体" w:cs="Times New Roman" w:asciiTheme="minorEastAsia" w:hAnsiTheme="minorEastAsia"/>
          <w:b/>
          <w:kern w:val="0"/>
          <w:sz w:val="24"/>
          <w:szCs w:val="24"/>
          <w:u w:val="single"/>
        </w:rPr>
        <w:t>严格保护片区内现有古树名木，以树冠外侧</w:t>
      </w:r>
      <w:r>
        <w:rPr>
          <w:rFonts w:eastAsia="宋体" w:cs="Times New Roman" w:asciiTheme="minorEastAsia" w:hAnsiTheme="minorEastAsia"/>
          <w:b/>
          <w:kern w:val="0"/>
          <w:sz w:val="24"/>
          <w:szCs w:val="24"/>
          <w:u w:val="single"/>
        </w:rPr>
        <w:t xml:space="preserve">5 </w:t>
      </w:r>
      <w:r>
        <w:rPr>
          <w:rFonts w:hint="eastAsia" w:eastAsia="宋体" w:cs="Times New Roman" w:asciiTheme="minorEastAsia" w:hAnsiTheme="minorEastAsia"/>
          <w:b/>
          <w:kern w:val="0"/>
          <w:sz w:val="24"/>
          <w:szCs w:val="24"/>
          <w:u w:val="single"/>
        </w:rPr>
        <w:t>米范围为古树名木保护边界，边界内禁止私自新建建筑物。土地整理或建设项目涉及古树名木的，应当制定避让或者保护方案。不得破坏古树名木及其周边环境，禁止随意迁移和破坏。古树名木养护责任单位或者责任人应按照相关规定实施保护管。</w:t>
      </w:r>
    </w:p>
    <w:p>
      <w:pPr>
        <w:adjustRightInd w:val="0"/>
        <w:snapToGrid w:val="0"/>
        <w:spacing w:line="360" w:lineRule="auto"/>
        <w:ind w:firstLine="482" w:firstLineChars="200"/>
        <w:rPr>
          <w:rFonts w:cs="Times New Roman" w:asciiTheme="minorEastAsia" w:hAnsiTheme="minorEastAsia"/>
          <w:b/>
          <w:kern w:val="0"/>
          <w:sz w:val="24"/>
          <w:szCs w:val="24"/>
          <w:u w:val="single"/>
        </w:rPr>
      </w:pPr>
      <w:r>
        <w:rPr>
          <w:rFonts w:eastAsia="宋体" w:cs="Times New Roman" w:asciiTheme="minorEastAsia" w:hAnsiTheme="minorEastAsia"/>
          <w:b/>
          <w:kern w:val="0"/>
          <w:sz w:val="24"/>
          <w:szCs w:val="24"/>
          <w:u w:val="single"/>
        </w:rPr>
        <w:t>落实省级文物保护单位谭家大院保护要求，北以正堂梯步向北延伸14米至谭辉武住宅，西以正堂左侧外檐向西延伸2米至朱新华住宅，东以右厢房外檐向东延伸1米至谭宏永住宅，南以正堂后侧外檐向南延伸5米至猫鼻梁坡脚。</w:t>
      </w:r>
    </w:p>
    <w:p>
      <w:pPr>
        <w:adjustRightInd w:val="0"/>
        <w:snapToGrid w:val="0"/>
        <w:spacing w:line="360" w:lineRule="auto"/>
        <w:ind w:firstLine="480" w:firstLineChars="200"/>
        <w:rPr>
          <w:rFonts w:eastAsia="宋体" w:cs="Times New Roman" w:asciiTheme="minorEastAsia" w:hAnsiTheme="minorEastAsia"/>
          <w:b/>
          <w:kern w:val="0"/>
          <w:sz w:val="24"/>
          <w:szCs w:val="24"/>
          <w:u w:val="single"/>
        </w:rPr>
      </w:pPr>
      <w:r>
        <w:rPr>
          <w:rFonts w:eastAsia="宋体" w:cs="Times New Roman" w:asciiTheme="minorEastAsia" w:hAnsiTheme="minorEastAsia"/>
          <w:kern w:val="0"/>
          <w:sz w:val="24"/>
          <w:szCs w:val="24"/>
        </w:rPr>
        <w:t>建设控制地带：</w:t>
      </w:r>
      <w:r>
        <w:rPr>
          <w:rFonts w:eastAsia="宋体" w:cs="Times New Roman" w:asciiTheme="minorEastAsia" w:hAnsiTheme="minorEastAsia"/>
          <w:b/>
          <w:kern w:val="0"/>
          <w:sz w:val="24"/>
          <w:szCs w:val="24"/>
          <w:u w:val="single"/>
        </w:rPr>
        <w:t>保护范围向北外</w:t>
      </w:r>
      <w:r>
        <w:rPr>
          <w:rFonts w:hint="eastAsia" w:eastAsia="宋体" w:cs="Times New Roman" w:asciiTheme="minorEastAsia" w:hAnsiTheme="minorEastAsia"/>
          <w:b/>
          <w:kern w:val="0"/>
          <w:sz w:val="24"/>
          <w:szCs w:val="24"/>
          <w:u w:val="single"/>
        </w:rPr>
        <w:t>延</w:t>
      </w:r>
      <w:r>
        <w:rPr>
          <w:rFonts w:eastAsia="宋体" w:cs="Times New Roman" w:asciiTheme="minorEastAsia" w:hAnsiTheme="minorEastAsia"/>
          <w:b/>
          <w:kern w:val="0"/>
          <w:sz w:val="24"/>
          <w:szCs w:val="24"/>
          <w:u w:val="single"/>
        </w:rPr>
        <w:t>40米至公路，向西、东外延20米，南以保护范围南缘向南延伸至猫鼻梁坡顶。</w:t>
      </w:r>
    </w:p>
    <w:p>
      <w:pPr>
        <w:adjustRightInd w:val="0"/>
        <w:snapToGrid w:val="0"/>
        <w:spacing w:line="360" w:lineRule="auto"/>
        <w:ind w:firstLine="482" w:firstLineChars="200"/>
        <w:rPr>
          <w:rFonts w:eastAsia="宋体" w:cs="Times New Roman" w:asciiTheme="minorEastAsia" w:hAnsiTheme="minorEastAsia"/>
          <w:b/>
          <w:kern w:val="0"/>
          <w:sz w:val="24"/>
          <w:szCs w:val="24"/>
          <w:u w:val="single"/>
        </w:rPr>
      </w:pPr>
      <w:r>
        <w:rPr>
          <w:rFonts w:hint="eastAsia" w:eastAsia="宋体" w:cs="Times New Roman" w:asciiTheme="minorEastAsia" w:hAnsiTheme="minorEastAsia"/>
          <w:b/>
          <w:kern w:val="0"/>
          <w:sz w:val="24"/>
          <w:szCs w:val="24"/>
          <w:u w:val="single"/>
        </w:rPr>
        <w:t>落实市级文物保护单位象山书院保护要求，划定保护单位前30米至象山中学教学楼滴水，后至山埂至坡顶50米处，左3米至60年代小青瓦房排水沟，右3米至象山中学教学楼为其保护范围。</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其他不可移动文物保护范围划定详见附表</w:t>
      </w:r>
      <w:r>
        <w:rPr>
          <w:rFonts w:hint="eastAsia" w:eastAsia="宋体" w:cs="Times New Roman" w:asciiTheme="minorEastAsia" w:hAnsiTheme="minorEastAsia"/>
          <w:kern w:val="0"/>
          <w:sz w:val="24"/>
          <w:szCs w:val="24"/>
        </w:rPr>
        <w:t>14</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（三）</w:t>
      </w:r>
      <w:r>
        <w:rPr>
          <w:rFonts w:eastAsia="宋体" w:cs="Times New Roman" w:asciiTheme="minorEastAsia" w:hAnsiTheme="minorEastAsia"/>
          <w:b/>
          <w:kern w:val="0"/>
          <w:sz w:val="24"/>
          <w:szCs w:val="24"/>
        </w:rPr>
        <w:t>强化水资源保护线</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强化水资源保护，提升水环境质量，建立水环境管控机制</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积极开展水环境生态修复工程，提高水体自净能力。</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划定河边镇星花水库、寸塘口水库为饮用水源保护区，控制其保护范围。</w:t>
      </w:r>
    </w:p>
    <w:p>
      <w:pPr>
        <w:adjustRightInd w:val="0"/>
        <w:snapToGrid w:val="0"/>
        <w:spacing w:line="360" w:lineRule="auto"/>
        <w:ind w:firstLine="482" w:firstLineChars="200"/>
        <w:rPr>
          <w:rFonts w:cs="Times New Roman" w:asciiTheme="minorEastAsia" w:hAnsiTheme="minorEastAsia"/>
          <w:b/>
          <w:kern w:val="0"/>
          <w:sz w:val="24"/>
          <w:szCs w:val="24"/>
          <w:u w:val="single"/>
        </w:rPr>
      </w:pPr>
      <w:r>
        <w:rPr>
          <w:rFonts w:eastAsia="宋体" w:cs="Times New Roman" w:asciiTheme="minorEastAsia" w:hAnsiTheme="minorEastAsia"/>
          <w:b/>
          <w:kern w:val="0"/>
          <w:sz w:val="24"/>
          <w:szCs w:val="24"/>
          <w:u w:val="single"/>
        </w:rPr>
        <w:t>星花水库一级保护区控制范围：以星花水库供水站取水口为圆心，100米为半径的圆形区域为水域一级保护区。</w:t>
      </w:r>
    </w:p>
    <w:p>
      <w:pPr>
        <w:adjustRightInd w:val="0"/>
        <w:snapToGrid w:val="0"/>
        <w:spacing w:line="360" w:lineRule="auto"/>
        <w:ind w:firstLine="482" w:firstLineChars="200"/>
        <w:rPr>
          <w:rFonts w:cs="Times New Roman" w:asciiTheme="minorEastAsia" w:hAnsiTheme="minorEastAsia"/>
          <w:b/>
          <w:kern w:val="0"/>
          <w:sz w:val="24"/>
          <w:szCs w:val="24"/>
          <w:u w:val="single"/>
        </w:rPr>
      </w:pPr>
      <w:r>
        <w:rPr>
          <w:rFonts w:eastAsia="宋体" w:cs="Times New Roman" w:asciiTheme="minorEastAsia" w:hAnsiTheme="minorEastAsia"/>
          <w:b/>
          <w:kern w:val="0"/>
          <w:sz w:val="24"/>
          <w:szCs w:val="24"/>
          <w:u w:val="single"/>
        </w:rPr>
        <w:t>星花水库二级保护区控制范围</w:t>
      </w:r>
      <w:r>
        <w:rPr>
          <w:rFonts w:hint="eastAsia" w:eastAsia="宋体" w:cs="Times New Roman" w:asciiTheme="minorEastAsia" w:hAnsiTheme="minorEastAsia"/>
          <w:b/>
          <w:kern w:val="0"/>
          <w:sz w:val="24"/>
          <w:szCs w:val="24"/>
          <w:u w:val="single"/>
        </w:rPr>
        <w:t>：</w:t>
      </w:r>
      <w:r>
        <w:rPr>
          <w:rFonts w:eastAsia="宋体" w:cs="Times New Roman" w:asciiTheme="minorEastAsia" w:hAnsiTheme="minorEastAsia"/>
          <w:b/>
          <w:kern w:val="0"/>
          <w:sz w:val="24"/>
          <w:szCs w:val="24"/>
          <w:u w:val="single"/>
        </w:rPr>
        <w:t>以一级保护区外边线为起点，外延至库区1000米的水域范围为水域二级保护区；以一级保护区外边线为起点，外延至库区两岸纵深100的陆域范围为陆域二级保护区。</w:t>
      </w:r>
    </w:p>
    <w:p>
      <w:pPr>
        <w:adjustRightInd w:val="0"/>
        <w:snapToGrid w:val="0"/>
        <w:spacing w:line="360" w:lineRule="auto"/>
        <w:ind w:firstLine="482" w:firstLineChars="200"/>
        <w:rPr>
          <w:rFonts w:cs="Times New Roman" w:asciiTheme="minorEastAsia" w:hAnsiTheme="minorEastAsia"/>
          <w:b/>
          <w:kern w:val="0"/>
          <w:sz w:val="24"/>
          <w:szCs w:val="24"/>
          <w:u w:val="single"/>
        </w:rPr>
      </w:pPr>
      <w:r>
        <w:rPr>
          <w:rFonts w:eastAsia="宋体" w:cs="Times New Roman" w:asciiTheme="minorEastAsia" w:hAnsiTheme="minorEastAsia"/>
          <w:b/>
          <w:kern w:val="0"/>
          <w:sz w:val="24"/>
          <w:szCs w:val="24"/>
          <w:u w:val="single"/>
        </w:rPr>
        <w:t>星花水库准保护区控制范围</w:t>
      </w:r>
      <w:r>
        <w:rPr>
          <w:rFonts w:hint="eastAsia" w:eastAsia="宋体" w:cs="Times New Roman" w:asciiTheme="minorEastAsia" w:hAnsiTheme="minorEastAsia"/>
          <w:b/>
          <w:kern w:val="0"/>
          <w:sz w:val="24"/>
          <w:szCs w:val="24"/>
          <w:u w:val="single"/>
        </w:rPr>
        <w:t>：</w:t>
      </w:r>
      <w:r>
        <w:rPr>
          <w:rFonts w:eastAsia="宋体" w:cs="Times New Roman" w:asciiTheme="minorEastAsia" w:hAnsiTheme="minorEastAsia"/>
          <w:b/>
          <w:kern w:val="0"/>
          <w:sz w:val="24"/>
          <w:szCs w:val="24"/>
          <w:u w:val="single"/>
        </w:rPr>
        <w:t>以二级保护区外边线为起点，上溯至河边镇铜鼓村的范围为水源地准保护区。</w:t>
      </w:r>
    </w:p>
    <w:p>
      <w:pPr>
        <w:adjustRightInd w:val="0"/>
        <w:snapToGrid w:val="0"/>
        <w:spacing w:line="360" w:lineRule="auto"/>
        <w:ind w:firstLine="482" w:firstLineChars="200"/>
        <w:rPr>
          <w:rFonts w:cs="Times New Roman" w:asciiTheme="minorEastAsia" w:hAnsiTheme="minorEastAsia"/>
          <w:b/>
          <w:kern w:val="0"/>
          <w:sz w:val="24"/>
          <w:szCs w:val="24"/>
          <w:u w:val="single"/>
        </w:rPr>
      </w:pPr>
      <w:r>
        <w:rPr>
          <w:rFonts w:hint="eastAsia" w:eastAsia="宋体" w:cs="Times New Roman" w:asciiTheme="minorEastAsia" w:hAnsiTheme="minorEastAsia"/>
          <w:b/>
          <w:kern w:val="0"/>
          <w:sz w:val="24"/>
          <w:szCs w:val="24"/>
          <w:u w:val="single"/>
        </w:rPr>
        <w:t>寸塘口水源地</w:t>
      </w:r>
      <w:r>
        <w:rPr>
          <w:rFonts w:eastAsia="宋体" w:cs="Times New Roman" w:asciiTheme="minorEastAsia" w:hAnsiTheme="minorEastAsia"/>
          <w:b/>
          <w:kern w:val="0"/>
          <w:sz w:val="24"/>
          <w:szCs w:val="24"/>
          <w:u w:val="single"/>
        </w:rPr>
        <w:t>一级保护区控制范围</w:t>
      </w:r>
      <w:r>
        <w:rPr>
          <w:rFonts w:hint="eastAsia" w:eastAsia="宋体" w:cs="Times New Roman" w:asciiTheme="minorEastAsia" w:hAnsiTheme="minorEastAsia"/>
          <w:b/>
          <w:kern w:val="0"/>
          <w:sz w:val="24"/>
          <w:szCs w:val="24"/>
          <w:u w:val="single"/>
        </w:rPr>
        <w:t>：</w:t>
      </w:r>
      <w:r>
        <w:rPr>
          <w:rFonts w:eastAsia="宋体" w:cs="Times New Roman" w:asciiTheme="minorEastAsia" w:hAnsiTheme="minorEastAsia"/>
          <w:b/>
          <w:kern w:val="0"/>
          <w:sz w:val="24"/>
          <w:szCs w:val="24"/>
          <w:u w:val="single"/>
        </w:rPr>
        <w:t>以水库大坝为起点经皂角树提灌站至双河口、铜车堰断面的水域为水域一级保护区</w:t>
      </w:r>
      <w:r>
        <w:rPr>
          <w:rFonts w:hint="eastAsia" w:eastAsia="宋体" w:cs="Times New Roman" w:asciiTheme="minorEastAsia" w:hAnsiTheme="minorEastAsia"/>
          <w:b/>
          <w:kern w:val="0"/>
          <w:sz w:val="24"/>
          <w:szCs w:val="24"/>
          <w:u w:val="single"/>
        </w:rPr>
        <w:t>；</w:t>
      </w:r>
      <w:r>
        <w:rPr>
          <w:rFonts w:eastAsia="宋体" w:cs="Times New Roman" w:asciiTheme="minorEastAsia" w:hAnsiTheme="minorEastAsia"/>
          <w:b/>
          <w:kern w:val="0"/>
          <w:sz w:val="24"/>
          <w:szCs w:val="24"/>
          <w:u w:val="single"/>
        </w:rPr>
        <w:t>水库沿岸纵深至山脊分水岭内的陆域为陆域一级保护区</w:t>
      </w:r>
      <w:r>
        <w:rPr>
          <w:rFonts w:hint="eastAsia" w:eastAsia="宋体" w:cs="Times New Roman" w:asciiTheme="minorEastAsia" w:hAnsiTheme="minorEastAsia"/>
          <w:b/>
          <w:kern w:val="0"/>
          <w:sz w:val="24"/>
          <w:szCs w:val="24"/>
          <w:u w:val="single"/>
        </w:rPr>
        <w:t>。</w:t>
      </w:r>
    </w:p>
    <w:p>
      <w:pPr>
        <w:adjustRightInd w:val="0"/>
        <w:snapToGrid w:val="0"/>
        <w:spacing w:line="360" w:lineRule="auto"/>
        <w:ind w:firstLine="482" w:firstLineChars="200"/>
        <w:rPr>
          <w:rFonts w:cs="Times New Roman" w:asciiTheme="minorEastAsia" w:hAnsiTheme="minorEastAsia"/>
          <w:b/>
          <w:kern w:val="0"/>
          <w:sz w:val="24"/>
          <w:szCs w:val="24"/>
          <w:u w:val="single"/>
        </w:rPr>
      </w:pPr>
      <w:r>
        <w:rPr>
          <w:rFonts w:hint="eastAsia" w:eastAsia="宋体" w:cs="Times New Roman" w:asciiTheme="minorEastAsia" w:hAnsiTheme="minorEastAsia"/>
          <w:b/>
          <w:kern w:val="0"/>
          <w:sz w:val="24"/>
          <w:szCs w:val="24"/>
          <w:u w:val="single"/>
        </w:rPr>
        <w:t>寸塘口水源地二</w:t>
      </w:r>
      <w:r>
        <w:rPr>
          <w:rFonts w:eastAsia="宋体" w:cs="Times New Roman" w:asciiTheme="minorEastAsia" w:hAnsiTheme="minorEastAsia"/>
          <w:b/>
          <w:kern w:val="0"/>
          <w:sz w:val="24"/>
          <w:szCs w:val="24"/>
          <w:u w:val="single"/>
        </w:rPr>
        <w:t>级保护区控制范围</w:t>
      </w:r>
      <w:r>
        <w:rPr>
          <w:rFonts w:hint="eastAsia" w:eastAsia="宋体" w:cs="Times New Roman" w:asciiTheme="minorEastAsia" w:hAnsiTheme="minorEastAsia"/>
          <w:b/>
          <w:kern w:val="0"/>
          <w:sz w:val="24"/>
          <w:szCs w:val="24"/>
          <w:u w:val="single"/>
        </w:rPr>
        <w:t>：</w:t>
      </w:r>
      <w:r>
        <w:rPr>
          <w:rFonts w:eastAsia="宋体" w:cs="Times New Roman" w:asciiTheme="minorEastAsia" w:hAnsiTheme="minorEastAsia"/>
          <w:b/>
          <w:kern w:val="0"/>
          <w:sz w:val="24"/>
          <w:szCs w:val="24"/>
          <w:u w:val="single"/>
        </w:rPr>
        <w:t>蓬莱镇黑滩子村至河边马头办事处一村八社的水域范围为水域二级保护区</w:t>
      </w:r>
      <w:r>
        <w:rPr>
          <w:rFonts w:hint="eastAsia" w:eastAsia="宋体" w:cs="Times New Roman" w:asciiTheme="minorEastAsia" w:hAnsiTheme="minorEastAsia"/>
          <w:b/>
          <w:kern w:val="0"/>
          <w:sz w:val="24"/>
          <w:szCs w:val="24"/>
          <w:u w:val="single"/>
        </w:rPr>
        <w:t>；</w:t>
      </w:r>
      <w:r>
        <w:rPr>
          <w:rFonts w:eastAsia="宋体" w:cs="Times New Roman" w:asciiTheme="minorEastAsia" w:hAnsiTheme="minorEastAsia"/>
          <w:b/>
          <w:kern w:val="0"/>
          <w:sz w:val="24"/>
          <w:szCs w:val="24"/>
          <w:u w:val="single"/>
        </w:rPr>
        <w:t>蓬莱镇黑滩子村至河边马头办事处一村八社的沿岸两侧各纵深200米内的陆域区域为陆域</w:t>
      </w:r>
      <w:r>
        <w:rPr>
          <w:rFonts w:hint="eastAsia" w:eastAsia="宋体" w:cs="Times New Roman" w:asciiTheme="minorEastAsia" w:hAnsiTheme="minorEastAsia"/>
          <w:b/>
          <w:kern w:val="0"/>
          <w:sz w:val="24"/>
          <w:szCs w:val="24"/>
          <w:u w:val="single"/>
        </w:rPr>
        <w:t>二</w:t>
      </w:r>
      <w:r>
        <w:rPr>
          <w:rFonts w:eastAsia="宋体" w:cs="Times New Roman" w:asciiTheme="minorEastAsia" w:hAnsiTheme="minorEastAsia"/>
          <w:b/>
          <w:kern w:val="0"/>
          <w:sz w:val="24"/>
          <w:szCs w:val="24"/>
          <w:u w:val="single"/>
        </w:rPr>
        <w:t>级保护区</w:t>
      </w:r>
      <w:r>
        <w:rPr>
          <w:rFonts w:hint="eastAsia" w:eastAsia="宋体" w:cs="Times New Roman" w:asciiTheme="minorEastAsia" w:hAnsiTheme="minorEastAsia"/>
          <w:b/>
          <w:kern w:val="0"/>
          <w:sz w:val="24"/>
          <w:szCs w:val="24"/>
          <w:u w:val="single"/>
        </w:rPr>
        <w:t>。</w:t>
      </w:r>
    </w:p>
    <w:p>
      <w:pPr>
        <w:adjustRightInd w:val="0"/>
        <w:snapToGrid w:val="0"/>
        <w:spacing w:line="360" w:lineRule="auto"/>
        <w:ind w:firstLine="482" w:firstLineChars="200"/>
        <w:rPr>
          <w:rFonts w:cs="Times New Roman" w:asciiTheme="minorEastAsia" w:hAnsiTheme="minorEastAsia"/>
          <w:b/>
          <w:kern w:val="0"/>
          <w:sz w:val="24"/>
          <w:szCs w:val="24"/>
          <w:u w:val="single"/>
        </w:rPr>
      </w:pPr>
      <w:r>
        <w:rPr>
          <w:rFonts w:hint="eastAsia" w:eastAsia="宋体" w:cs="Times New Roman" w:asciiTheme="minorEastAsia" w:hAnsiTheme="minorEastAsia"/>
          <w:b/>
          <w:kern w:val="0"/>
          <w:sz w:val="24"/>
          <w:szCs w:val="24"/>
          <w:u w:val="single"/>
        </w:rPr>
        <w:t>寸塘口水源地准</w:t>
      </w:r>
      <w:r>
        <w:rPr>
          <w:rFonts w:eastAsia="宋体" w:cs="Times New Roman" w:asciiTheme="minorEastAsia" w:hAnsiTheme="minorEastAsia"/>
          <w:b/>
          <w:kern w:val="0"/>
          <w:sz w:val="24"/>
          <w:szCs w:val="24"/>
          <w:u w:val="single"/>
        </w:rPr>
        <w:t>保护区控制范围</w:t>
      </w:r>
      <w:r>
        <w:rPr>
          <w:rFonts w:hint="eastAsia" w:eastAsia="宋体" w:cs="Times New Roman" w:asciiTheme="minorEastAsia" w:hAnsiTheme="minorEastAsia"/>
          <w:b/>
          <w:kern w:val="0"/>
          <w:sz w:val="24"/>
          <w:szCs w:val="24"/>
          <w:u w:val="single"/>
        </w:rPr>
        <w:t>：划定</w:t>
      </w:r>
      <w:r>
        <w:rPr>
          <w:rFonts w:eastAsia="宋体" w:cs="Times New Roman" w:asciiTheme="minorEastAsia" w:hAnsiTheme="minorEastAsia"/>
          <w:b/>
          <w:kern w:val="0"/>
          <w:sz w:val="24"/>
          <w:szCs w:val="24"/>
          <w:u w:val="single"/>
        </w:rPr>
        <w:t>河边镇马头办事处一村八社至河边镇河边办事处望五里村的河流水域为水源地水域范围准保护区；</w:t>
      </w:r>
      <w:r>
        <w:rPr>
          <w:rFonts w:hint="eastAsia" w:eastAsia="宋体" w:cs="Times New Roman" w:asciiTheme="minorEastAsia" w:hAnsiTheme="minorEastAsia"/>
          <w:b/>
          <w:kern w:val="0"/>
          <w:sz w:val="24"/>
          <w:szCs w:val="24"/>
          <w:u w:val="single"/>
        </w:rPr>
        <w:t>划定</w:t>
      </w:r>
      <w:r>
        <w:rPr>
          <w:rFonts w:eastAsia="宋体" w:cs="Times New Roman" w:asciiTheme="minorEastAsia" w:hAnsiTheme="minorEastAsia"/>
          <w:b/>
          <w:kern w:val="0"/>
          <w:sz w:val="24"/>
          <w:szCs w:val="24"/>
          <w:u w:val="single"/>
        </w:rPr>
        <w:t>河边镇马头办事处一村八社至河边镇河边办事处望五里村的河流沿岸两侧纵深各200米内的陆域范围为陆域准保护区。</w:t>
      </w:r>
    </w:p>
    <w:p>
      <w:pPr>
        <w:adjustRightInd w:val="0"/>
        <w:snapToGrid w:val="0"/>
        <w:spacing w:line="360" w:lineRule="auto"/>
        <w:ind w:firstLine="482" w:firstLineChars="200"/>
        <w:rPr>
          <w:rFonts w:cs="Times New Roman" w:asciiTheme="minorEastAsia" w:hAnsiTheme="minorEastAsia"/>
          <w:b/>
          <w:kern w:val="0"/>
          <w:sz w:val="24"/>
          <w:szCs w:val="24"/>
          <w:u w:val="single"/>
        </w:rPr>
      </w:pPr>
      <w:r>
        <w:rPr>
          <w:rFonts w:eastAsia="宋体" w:cs="Times New Roman" w:asciiTheme="minorEastAsia" w:hAnsiTheme="minorEastAsia"/>
          <w:b/>
          <w:kern w:val="0"/>
          <w:sz w:val="24"/>
          <w:szCs w:val="24"/>
          <w:u w:val="single"/>
        </w:rPr>
        <w:t>饮用水水源保护按照</w:t>
      </w:r>
      <w:r>
        <w:rPr>
          <w:rFonts w:hint="eastAsia" w:eastAsia="宋体" w:cs="Times New Roman" w:asciiTheme="minorEastAsia" w:hAnsiTheme="minorEastAsia"/>
          <w:b/>
          <w:kern w:val="0"/>
          <w:sz w:val="24"/>
          <w:szCs w:val="24"/>
          <w:u w:val="single"/>
        </w:rPr>
        <w:t>《</w:t>
      </w:r>
      <w:r>
        <w:rPr>
          <w:rFonts w:eastAsia="宋体" w:cs="Times New Roman" w:asciiTheme="minorEastAsia" w:hAnsiTheme="minorEastAsia"/>
          <w:b/>
          <w:kern w:val="0"/>
          <w:sz w:val="24"/>
          <w:szCs w:val="24"/>
          <w:u w:val="single"/>
        </w:rPr>
        <w:t>四川省饮用水水源保护管理条例</w:t>
      </w:r>
      <w:r>
        <w:rPr>
          <w:rFonts w:hint="eastAsia" w:eastAsia="宋体" w:cs="Times New Roman" w:asciiTheme="minorEastAsia" w:hAnsiTheme="minorEastAsia"/>
          <w:b/>
          <w:kern w:val="0"/>
          <w:sz w:val="24"/>
          <w:szCs w:val="24"/>
          <w:u w:val="single"/>
        </w:rPr>
        <w:t>》（</w:t>
      </w:r>
      <w:r>
        <w:rPr>
          <w:rFonts w:eastAsia="宋体" w:cs="Times New Roman" w:asciiTheme="minorEastAsia" w:hAnsiTheme="minorEastAsia"/>
          <w:b/>
          <w:kern w:val="0"/>
          <w:sz w:val="24"/>
          <w:szCs w:val="24"/>
          <w:u w:val="single"/>
        </w:rPr>
        <w:t>2019</w:t>
      </w:r>
      <w:r>
        <w:rPr>
          <w:rFonts w:hint="eastAsia" w:eastAsia="宋体" w:cs="Times New Roman" w:asciiTheme="minorEastAsia" w:hAnsiTheme="minorEastAsia"/>
          <w:b/>
          <w:kern w:val="0"/>
          <w:sz w:val="24"/>
          <w:szCs w:val="24"/>
          <w:u w:val="single"/>
        </w:rPr>
        <w:t>年修正）</w:t>
      </w:r>
      <w:r>
        <w:rPr>
          <w:rFonts w:eastAsia="宋体" w:cs="Times New Roman" w:asciiTheme="minorEastAsia" w:hAnsiTheme="minorEastAsia"/>
          <w:b/>
          <w:kern w:val="0"/>
          <w:sz w:val="24"/>
          <w:szCs w:val="24"/>
          <w:u w:val="single"/>
        </w:rPr>
        <w:t>执行。强化河湖水系保护，乡镇河段按防洪标准对应的洪水位划定水域控制线，河道管理控制线为水域控制线外扩5-10</w:t>
      </w:r>
      <w:r>
        <w:rPr>
          <w:rFonts w:hint="eastAsia" w:eastAsia="宋体" w:cs="Times New Roman" w:asciiTheme="minorEastAsia" w:hAnsiTheme="minorEastAsia"/>
          <w:b/>
          <w:kern w:val="0"/>
          <w:sz w:val="24"/>
          <w:szCs w:val="24"/>
          <w:u w:val="single"/>
        </w:rPr>
        <w:t>米。</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（四）</w:t>
      </w:r>
      <w:r>
        <w:rPr>
          <w:rFonts w:eastAsia="宋体" w:cs="Times New Roman" w:asciiTheme="minorEastAsia" w:hAnsiTheme="minorEastAsia"/>
          <w:b/>
          <w:kern w:val="0"/>
          <w:sz w:val="24"/>
          <w:szCs w:val="24"/>
        </w:rPr>
        <w:t>落实重大设施廊道管理控制线</w:t>
      </w:r>
    </w:p>
    <w:p>
      <w:pPr>
        <w:adjustRightInd w:val="0"/>
        <w:snapToGrid w:val="0"/>
        <w:spacing w:line="360" w:lineRule="auto"/>
        <w:ind w:firstLine="482" w:firstLineChars="200"/>
        <w:rPr>
          <w:rFonts w:eastAsia="宋体" w:cs="Times New Roman" w:asciiTheme="minorEastAsia" w:hAnsiTheme="minorEastAsia"/>
          <w:b/>
          <w:kern w:val="0"/>
          <w:sz w:val="24"/>
          <w:szCs w:val="24"/>
          <w:u w:val="single"/>
        </w:rPr>
      </w:pPr>
      <w:r>
        <w:rPr>
          <w:rFonts w:eastAsia="宋体" w:cs="Times New Roman" w:asciiTheme="minorEastAsia" w:hAnsiTheme="minorEastAsia"/>
          <w:b/>
          <w:kern w:val="0"/>
          <w:sz w:val="24"/>
          <w:szCs w:val="24"/>
          <w:u w:val="single"/>
        </w:rPr>
        <w:t>在河边、玉峰、象山永乐35KV 高压输电线30米高压走廊范围内划定管理控制区，禁止建设。</w:t>
      </w:r>
      <w:r>
        <w:rPr>
          <w:rFonts w:hint="eastAsia" w:eastAsia="宋体" w:cs="Times New Roman" w:asciiTheme="minorEastAsia" w:hAnsiTheme="minorEastAsia"/>
          <w:b/>
          <w:kern w:val="0"/>
          <w:sz w:val="24"/>
          <w:szCs w:val="24"/>
          <w:u w:val="single"/>
        </w:rPr>
        <w:t>落实上位规划要求，依据《铁路安全管理条例》划定达成铁路、达成高速铁路安全保护区并对保护区内的活动依法进行严格管控。依据《公路安全保护条例》划定公路建筑控制区并对控制区的建设活动进行严格管控。</w:t>
      </w:r>
    </w:p>
    <w:p>
      <w:pPr>
        <w:adjustRightInd w:val="0"/>
        <w:snapToGrid w:val="0"/>
        <w:spacing w:line="360" w:lineRule="auto"/>
        <w:ind w:firstLine="482" w:firstLineChars="200"/>
        <w:rPr>
          <w:rFonts w:eastAsia="宋体" w:cs="Times New Roman" w:asciiTheme="minorEastAsia" w:hAnsiTheme="minorEastAsia"/>
          <w:b/>
          <w:kern w:val="0"/>
          <w:sz w:val="24"/>
          <w:szCs w:val="24"/>
          <w:u w:val="single"/>
        </w:rPr>
      </w:pPr>
      <w:r>
        <w:rPr>
          <w:rFonts w:hint="eastAsia" w:eastAsia="宋体" w:cs="Times New Roman" w:asciiTheme="minorEastAsia" w:hAnsiTheme="minorEastAsia"/>
          <w:b/>
          <w:kern w:val="0"/>
          <w:sz w:val="24"/>
          <w:szCs w:val="24"/>
          <w:u w:val="single"/>
        </w:rPr>
        <w:t>（五）生态系统保护控制</w:t>
      </w:r>
    </w:p>
    <w:p>
      <w:pPr>
        <w:adjustRightInd w:val="0"/>
        <w:snapToGrid w:val="0"/>
        <w:spacing w:line="360" w:lineRule="auto"/>
        <w:ind w:firstLine="482" w:firstLineChars="200"/>
        <w:rPr>
          <w:rFonts w:eastAsia="宋体" w:cs="Times New Roman" w:asciiTheme="minorEastAsia" w:hAnsiTheme="minorEastAsia"/>
          <w:b/>
          <w:kern w:val="0"/>
          <w:sz w:val="24"/>
          <w:szCs w:val="24"/>
          <w:u w:val="single"/>
        </w:rPr>
      </w:pPr>
      <w:r>
        <w:rPr>
          <w:rFonts w:hint="eastAsia" w:eastAsia="宋体" w:cs="Times New Roman" w:asciiTheme="minorEastAsia" w:hAnsiTheme="minorEastAsia"/>
          <w:b/>
          <w:kern w:val="0"/>
          <w:sz w:val="24"/>
          <w:szCs w:val="24"/>
          <w:u w:val="single"/>
        </w:rPr>
        <w:t>以郪江为基础，片区形成郪江、寸塘口河两条重点保护生态带。其中郪江生态带包括郪江上游生态涵养及水土保持区，需按照相关要求进行严格管控。片区以郪江多重要支流为主体，构建重要水域生态廊道，包括寸塘口河、马力河、龙溪河。生态廊道以水环境综合治理为主。强化郪江水体脉络连通性，提升水体质量，保护水域两侧栖息地生境。与中江、三台共保郪江黄颡鱼国家级水产种质资源保护区。加强特有物种产卵场、索饵场、越冬场、洄游通道等关键生境和遗传交流廊道的保护。</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维护郪江省级湿地生态系统结构和功能的完整性。湿地公园内水体的水流、水源和水面，应当保持生态原状。加强湿地公园及其外围保护地带的植树绿化和病虫害防治工作，保护好植被和动植物物种的生长、栖息和繁衍环境。湿地公园的建设，应当符合湿地公园规划和国家、省、市的有关标准、规范，并且与周围环境相协调。</w:t>
      </w:r>
    </w:p>
    <w:p>
      <w:pPr>
        <w:pStyle w:val="36"/>
        <w:numPr>
          <w:ilvl w:val="0"/>
          <w:numId w:val="5"/>
        </w:numPr>
        <w:spacing w:beforeLines="50" w:afterLines="50"/>
        <w:ind w:firstLineChars="0"/>
        <w:jc w:val="center"/>
        <w:rPr>
          <w:rFonts w:ascii="黑体" w:hAnsi="黑体" w:eastAsia="黑体"/>
          <w:b w:val="0"/>
          <w:kern w:val="2"/>
        </w:rPr>
      </w:pPr>
      <w:bookmarkStart w:id="19" w:name="_Toc166772168"/>
      <w:r>
        <w:rPr>
          <w:rFonts w:hint="eastAsia" w:ascii="黑体" w:hAnsi="黑体" w:eastAsia="黑体"/>
          <w:b w:val="0"/>
          <w:kern w:val="2"/>
        </w:rPr>
        <w:t>自然资源保护与利用</w:t>
      </w:r>
      <w:bookmarkEnd w:id="19"/>
    </w:p>
    <w:p>
      <w:pPr>
        <w:adjustRightInd w:val="0"/>
        <w:snapToGrid w:val="0"/>
        <w:spacing w:line="360" w:lineRule="auto"/>
        <w:ind w:firstLine="482" w:firstLineChars="200"/>
        <w:rPr>
          <w:rFonts w:ascii="黑体" w:hAnsi="黑体" w:eastAsia="黑体" w:cs="Times New Roman"/>
          <w:b/>
          <w:kern w:val="0"/>
          <w:sz w:val="24"/>
          <w:szCs w:val="24"/>
        </w:rPr>
      </w:pPr>
      <w:r>
        <w:rPr>
          <w:rFonts w:hint="eastAsia" w:ascii="黑体" w:hAnsi="黑体" w:eastAsia="黑体" w:cs="Times New Roman"/>
          <w:b/>
          <w:kern w:val="0"/>
          <w:sz w:val="24"/>
          <w:szCs w:val="24"/>
        </w:rPr>
        <w:t>一、保护并科学利用耕地资源</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（一）</w:t>
      </w:r>
      <w:r>
        <w:rPr>
          <w:rFonts w:eastAsia="宋体" w:cs="Times New Roman" w:asciiTheme="minorEastAsia" w:hAnsiTheme="minorEastAsia"/>
          <w:b/>
          <w:kern w:val="0"/>
          <w:sz w:val="24"/>
          <w:szCs w:val="24"/>
        </w:rPr>
        <w:t xml:space="preserve">严守耕地数量，筑牢粮食安全根基 </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1、片区</w:t>
      </w:r>
      <w:r>
        <w:rPr>
          <w:rFonts w:eastAsia="宋体" w:cs="Times New Roman" w:asciiTheme="minorEastAsia" w:hAnsiTheme="minorEastAsia"/>
          <w:kern w:val="0"/>
          <w:sz w:val="24"/>
          <w:szCs w:val="24"/>
        </w:rPr>
        <w:t xml:space="preserve">耕地情况 </w:t>
      </w:r>
    </w:p>
    <w:p>
      <w:pPr>
        <w:adjustRightInd w:val="0"/>
        <w:snapToGrid w:val="0"/>
        <w:spacing w:line="360" w:lineRule="auto"/>
        <w:ind w:firstLine="482" w:firstLineChars="200"/>
        <w:rPr>
          <w:rFonts w:eastAsia="宋体" w:cs="Times New Roman" w:asciiTheme="minorEastAsia" w:hAnsiTheme="minorEastAsia"/>
          <w:kern w:val="0"/>
          <w:sz w:val="24"/>
          <w:szCs w:val="24"/>
        </w:rPr>
      </w:pPr>
      <w:r>
        <w:rPr>
          <w:rFonts w:eastAsia="宋体" w:cs="Times New Roman" w:asciiTheme="minorEastAsia" w:hAnsiTheme="minorEastAsia"/>
          <w:b/>
          <w:kern w:val="0"/>
          <w:sz w:val="24"/>
          <w:szCs w:val="24"/>
          <w:u w:val="single"/>
        </w:rPr>
        <w:t>片区耕地面积</w:t>
      </w:r>
      <w:r>
        <w:rPr>
          <w:rFonts w:hint="eastAsia" w:eastAsia="宋体" w:cs="Times New Roman" w:asciiTheme="minorEastAsia" w:hAnsiTheme="minorEastAsia"/>
          <w:b/>
          <w:kern w:val="0"/>
          <w:sz w:val="24"/>
          <w:szCs w:val="24"/>
          <w:u w:val="single"/>
        </w:rPr>
        <w:t>11371.18</w:t>
      </w:r>
      <w:r>
        <w:rPr>
          <w:rFonts w:eastAsia="宋体" w:cs="Times New Roman" w:asciiTheme="minorEastAsia" w:hAnsiTheme="minorEastAsia"/>
          <w:b/>
          <w:kern w:val="0"/>
          <w:sz w:val="24"/>
          <w:szCs w:val="24"/>
          <w:u w:val="single"/>
        </w:rPr>
        <w:t>公顷</w:t>
      </w:r>
      <w:r>
        <w:rPr>
          <w:rFonts w:hint="eastAsia" w:eastAsia="宋体" w:cs="Times New Roman" w:asciiTheme="minorEastAsia" w:hAnsiTheme="minorEastAsia"/>
          <w:b/>
          <w:kern w:val="0"/>
          <w:sz w:val="24"/>
          <w:szCs w:val="24"/>
          <w:u w:val="single"/>
        </w:rPr>
        <w:t>，占</w:t>
      </w:r>
      <w:r>
        <w:rPr>
          <w:rFonts w:eastAsia="宋体" w:cs="Times New Roman" w:asciiTheme="minorEastAsia" w:hAnsiTheme="minorEastAsia"/>
          <w:b/>
          <w:kern w:val="0"/>
          <w:sz w:val="24"/>
          <w:szCs w:val="24"/>
          <w:u w:val="single"/>
        </w:rPr>
        <w:t>片区面积的</w:t>
      </w:r>
      <w:r>
        <w:rPr>
          <w:rFonts w:hint="eastAsia" w:eastAsia="宋体" w:cs="Times New Roman" w:asciiTheme="minorEastAsia" w:hAnsiTheme="minorEastAsia"/>
          <w:b/>
          <w:kern w:val="0"/>
          <w:sz w:val="24"/>
          <w:szCs w:val="24"/>
          <w:u w:val="single"/>
        </w:rPr>
        <w:t>49.68</w:t>
      </w:r>
      <w:r>
        <w:rPr>
          <w:rFonts w:eastAsia="宋体" w:cs="Times New Roman" w:asciiTheme="minorEastAsia" w:hAnsiTheme="minorEastAsia"/>
          <w:b/>
          <w:kern w:val="0"/>
          <w:sz w:val="24"/>
          <w:szCs w:val="24"/>
          <w:u w:val="single"/>
        </w:rPr>
        <w:t>%</w:t>
      </w:r>
      <w:r>
        <w:rPr>
          <w:rFonts w:hint="eastAsia" w:eastAsia="宋体" w:cs="Times New Roman" w:asciiTheme="minorEastAsia" w:hAnsiTheme="minorEastAsia"/>
          <w:b/>
          <w:kern w:val="0"/>
          <w:sz w:val="24"/>
          <w:szCs w:val="24"/>
          <w:u w:val="single"/>
        </w:rPr>
        <w:t>。</w:t>
      </w:r>
      <w:r>
        <w:rPr>
          <w:rFonts w:eastAsia="宋体" w:cs="Times New Roman" w:asciiTheme="minorEastAsia" w:hAnsiTheme="minorEastAsia"/>
          <w:b/>
          <w:kern w:val="0"/>
          <w:sz w:val="24"/>
          <w:szCs w:val="24"/>
          <w:u w:val="single"/>
        </w:rPr>
        <w:t>其中</w:t>
      </w:r>
      <w:r>
        <w:rPr>
          <w:rFonts w:hint="eastAsia" w:eastAsia="宋体" w:cs="Times New Roman" w:asciiTheme="minorEastAsia" w:hAnsiTheme="minorEastAsia"/>
          <w:b/>
          <w:kern w:val="0"/>
          <w:sz w:val="24"/>
          <w:szCs w:val="24"/>
          <w:u w:val="single"/>
        </w:rPr>
        <w:t>水田</w:t>
      </w:r>
      <w:r>
        <w:rPr>
          <w:rFonts w:eastAsia="宋体" w:cs="Times New Roman" w:asciiTheme="minorEastAsia" w:hAnsiTheme="minorEastAsia"/>
          <w:b/>
          <w:kern w:val="0"/>
          <w:sz w:val="24"/>
          <w:szCs w:val="24"/>
          <w:u w:val="single"/>
        </w:rPr>
        <w:t>面积</w:t>
      </w:r>
      <w:r>
        <w:rPr>
          <w:rFonts w:hint="eastAsia" w:eastAsia="宋体" w:cs="Times New Roman" w:asciiTheme="minorEastAsia" w:hAnsiTheme="minorEastAsia"/>
          <w:b/>
          <w:kern w:val="0"/>
          <w:sz w:val="24"/>
          <w:szCs w:val="24"/>
          <w:u w:val="single"/>
        </w:rPr>
        <w:t>2963.54</w:t>
      </w:r>
      <w:r>
        <w:rPr>
          <w:rFonts w:eastAsia="宋体" w:cs="Times New Roman" w:asciiTheme="minorEastAsia" w:hAnsiTheme="minorEastAsia"/>
          <w:b/>
          <w:kern w:val="0"/>
          <w:sz w:val="24"/>
          <w:szCs w:val="24"/>
          <w:u w:val="single"/>
        </w:rPr>
        <w:t>公顷</w:t>
      </w:r>
      <w:r>
        <w:rPr>
          <w:rFonts w:hint="eastAsia" w:eastAsia="宋体" w:cs="Times New Roman" w:asciiTheme="minorEastAsia" w:hAnsiTheme="minorEastAsia"/>
          <w:b/>
          <w:kern w:val="0"/>
          <w:sz w:val="24"/>
          <w:szCs w:val="24"/>
          <w:u w:val="single"/>
        </w:rPr>
        <w:t>，</w:t>
      </w:r>
      <w:r>
        <w:rPr>
          <w:rFonts w:eastAsia="宋体" w:cs="Times New Roman" w:asciiTheme="minorEastAsia" w:hAnsiTheme="minorEastAsia"/>
          <w:b/>
          <w:kern w:val="0"/>
          <w:sz w:val="24"/>
          <w:szCs w:val="24"/>
          <w:u w:val="single"/>
        </w:rPr>
        <w:t>占片区面积的</w:t>
      </w:r>
      <w:r>
        <w:rPr>
          <w:rFonts w:hint="eastAsia" w:eastAsia="宋体" w:cs="Times New Roman" w:asciiTheme="minorEastAsia" w:hAnsiTheme="minorEastAsia"/>
          <w:b/>
          <w:kern w:val="0"/>
          <w:sz w:val="24"/>
          <w:szCs w:val="24"/>
          <w:u w:val="single"/>
        </w:rPr>
        <w:t>12.95</w:t>
      </w:r>
      <w:r>
        <w:rPr>
          <w:rFonts w:eastAsia="宋体" w:cs="Times New Roman" w:asciiTheme="minorEastAsia" w:hAnsiTheme="minorEastAsia"/>
          <w:b/>
          <w:kern w:val="0"/>
          <w:sz w:val="24"/>
          <w:szCs w:val="24"/>
          <w:u w:val="single"/>
        </w:rPr>
        <w:t>%</w:t>
      </w:r>
      <w:r>
        <w:rPr>
          <w:rFonts w:hint="eastAsia" w:eastAsia="宋体" w:cs="Times New Roman" w:asciiTheme="minorEastAsia" w:hAnsiTheme="minorEastAsia"/>
          <w:b/>
          <w:kern w:val="0"/>
          <w:sz w:val="24"/>
          <w:szCs w:val="24"/>
          <w:u w:val="single"/>
        </w:rPr>
        <w:t>；水浇地面积12.53公顷，</w:t>
      </w:r>
      <w:r>
        <w:rPr>
          <w:rFonts w:eastAsia="宋体" w:cs="Times New Roman" w:asciiTheme="minorEastAsia" w:hAnsiTheme="minorEastAsia"/>
          <w:b/>
          <w:kern w:val="0"/>
          <w:sz w:val="24"/>
          <w:szCs w:val="24"/>
          <w:u w:val="single"/>
        </w:rPr>
        <w:t>占片区面积的</w:t>
      </w:r>
      <w:r>
        <w:rPr>
          <w:rFonts w:hint="eastAsia" w:eastAsia="宋体" w:cs="Times New Roman" w:asciiTheme="minorEastAsia" w:hAnsiTheme="minorEastAsia"/>
          <w:b/>
          <w:kern w:val="0"/>
          <w:sz w:val="24"/>
          <w:szCs w:val="24"/>
          <w:u w:val="single"/>
        </w:rPr>
        <w:t>0.05</w:t>
      </w:r>
      <w:r>
        <w:rPr>
          <w:rFonts w:eastAsia="宋体" w:cs="Times New Roman" w:asciiTheme="minorEastAsia" w:hAnsiTheme="minorEastAsia"/>
          <w:b/>
          <w:kern w:val="0"/>
          <w:sz w:val="24"/>
          <w:szCs w:val="24"/>
          <w:u w:val="single"/>
        </w:rPr>
        <w:t>%</w:t>
      </w:r>
      <w:r>
        <w:rPr>
          <w:rFonts w:hint="eastAsia" w:eastAsia="宋体" w:cs="Times New Roman" w:asciiTheme="minorEastAsia" w:hAnsiTheme="minorEastAsia"/>
          <w:b/>
          <w:kern w:val="0"/>
          <w:sz w:val="24"/>
          <w:szCs w:val="24"/>
          <w:u w:val="single"/>
        </w:rPr>
        <w:t>；</w:t>
      </w:r>
      <w:r>
        <w:rPr>
          <w:rFonts w:eastAsia="宋体" w:cs="Times New Roman" w:asciiTheme="minorEastAsia" w:hAnsiTheme="minorEastAsia"/>
          <w:b/>
          <w:kern w:val="0"/>
          <w:sz w:val="24"/>
          <w:szCs w:val="24"/>
          <w:u w:val="single"/>
        </w:rPr>
        <w:t>旱地面积</w:t>
      </w:r>
      <w:r>
        <w:rPr>
          <w:rFonts w:hint="eastAsia" w:eastAsia="宋体" w:cs="Times New Roman" w:asciiTheme="minorEastAsia" w:hAnsiTheme="minorEastAsia"/>
          <w:b/>
          <w:kern w:val="0"/>
          <w:sz w:val="24"/>
          <w:szCs w:val="24"/>
          <w:u w:val="single"/>
        </w:rPr>
        <w:t>8395.08</w:t>
      </w:r>
      <w:r>
        <w:rPr>
          <w:rFonts w:eastAsia="宋体" w:cs="Times New Roman" w:asciiTheme="minorEastAsia" w:hAnsiTheme="minorEastAsia"/>
          <w:b/>
          <w:kern w:val="0"/>
          <w:sz w:val="24"/>
          <w:szCs w:val="24"/>
          <w:u w:val="single"/>
        </w:rPr>
        <w:t>公顷</w:t>
      </w:r>
      <w:r>
        <w:rPr>
          <w:rFonts w:hint="eastAsia" w:eastAsia="宋体" w:cs="Times New Roman" w:asciiTheme="minorEastAsia" w:hAnsiTheme="minorEastAsia"/>
          <w:b/>
          <w:kern w:val="0"/>
          <w:sz w:val="24"/>
          <w:szCs w:val="24"/>
          <w:u w:val="single"/>
        </w:rPr>
        <w:t>，</w:t>
      </w:r>
      <w:r>
        <w:rPr>
          <w:rFonts w:eastAsia="宋体" w:cs="Times New Roman" w:asciiTheme="minorEastAsia" w:hAnsiTheme="minorEastAsia"/>
          <w:b/>
          <w:kern w:val="0"/>
          <w:sz w:val="24"/>
          <w:szCs w:val="24"/>
          <w:u w:val="single"/>
        </w:rPr>
        <w:t>占片区面积的</w:t>
      </w:r>
      <w:r>
        <w:rPr>
          <w:rFonts w:hint="eastAsia" w:eastAsia="宋体" w:cs="Times New Roman" w:asciiTheme="minorEastAsia" w:hAnsiTheme="minorEastAsia"/>
          <w:b/>
          <w:kern w:val="0"/>
          <w:sz w:val="24"/>
          <w:szCs w:val="24"/>
          <w:u w:val="single"/>
        </w:rPr>
        <w:t>36.68</w:t>
      </w:r>
      <w:r>
        <w:rPr>
          <w:rFonts w:eastAsia="宋体" w:cs="Times New Roman" w:asciiTheme="minorEastAsia" w:hAnsiTheme="minorEastAsia"/>
          <w:b/>
          <w:kern w:val="0"/>
          <w:sz w:val="24"/>
          <w:szCs w:val="24"/>
          <w:u w:val="single"/>
        </w:rPr>
        <w:t>%</w:t>
      </w:r>
      <w:r>
        <w:rPr>
          <w:rFonts w:hint="eastAsia" w:eastAsia="宋体" w:cs="Times New Roman" w:asciiTheme="minorEastAsia" w:hAnsiTheme="minorEastAsia"/>
          <w:b/>
          <w:kern w:val="0"/>
          <w:sz w:val="24"/>
          <w:szCs w:val="24"/>
          <w:u w:val="single"/>
        </w:rPr>
        <w:t>。</w:t>
      </w:r>
      <w:r>
        <w:rPr>
          <w:rFonts w:eastAsia="宋体" w:cs="Times New Roman" w:asciiTheme="minorEastAsia" w:hAnsiTheme="minorEastAsia"/>
          <w:kern w:val="0"/>
          <w:sz w:val="24"/>
          <w:szCs w:val="24"/>
        </w:rPr>
        <w:t>片区</w:t>
      </w:r>
      <w:r>
        <w:rPr>
          <w:rFonts w:hint="eastAsia" w:eastAsia="宋体" w:cs="Times New Roman" w:asciiTheme="minorEastAsia" w:hAnsiTheme="minorEastAsia"/>
          <w:kern w:val="0"/>
          <w:sz w:val="24"/>
          <w:szCs w:val="24"/>
        </w:rPr>
        <w:t>耕地空</w:t>
      </w:r>
      <w:r>
        <w:rPr>
          <w:rFonts w:eastAsia="宋体" w:cs="Times New Roman" w:asciiTheme="minorEastAsia" w:hAnsiTheme="minorEastAsia"/>
          <w:kern w:val="0"/>
          <w:sz w:val="24"/>
          <w:szCs w:val="24"/>
        </w:rPr>
        <w:t>间分布明显，主要集中分布在浅丘陵。坡耕地占比高，耕地坡度主要为6-15°</w:t>
      </w:r>
      <w:r>
        <w:rPr>
          <w:rFonts w:hint="eastAsia" w:eastAsia="宋体" w:cs="Times New Roman" w:asciiTheme="minorEastAsia" w:hAnsiTheme="minorEastAsia"/>
          <w:kern w:val="0"/>
          <w:sz w:val="24"/>
          <w:szCs w:val="24"/>
        </w:rPr>
        <w:t>，占比</w:t>
      </w:r>
      <w:r>
        <w:rPr>
          <w:rFonts w:eastAsia="宋体" w:cs="Times New Roman" w:asciiTheme="minorEastAsia" w:hAnsiTheme="minorEastAsia"/>
          <w:kern w:val="0"/>
          <w:sz w:val="24"/>
          <w:szCs w:val="24"/>
        </w:rPr>
        <w:t>52.64%</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耕地整体质量很高。</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耕地保有量：</w:t>
      </w:r>
      <w:r>
        <w:rPr>
          <w:rFonts w:eastAsia="宋体" w:cs="Times New Roman" w:asciiTheme="minorEastAsia" w:hAnsiTheme="minorEastAsia"/>
          <w:kern w:val="0"/>
          <w:sz w:val="24"/>
          <w:szCs w:val="24"/>
        </w:rPr>
        <w:t>耕地面积占比大且分布零散</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片区2020</w:t>
      </w:r>
      <w:r>
        <w:rPr>
          <w:rFonts w:hint="eastAsia" w:eastAsia="宋体" w:cs="Times New Roman" w:asciiTheme="minorEastAsia" w:hAnsiTheme="minorEastAsia"/>
          <w:kern w:val="0"/>
          <w:sz w:val="24"/>
          <w:szCs w:val="24"/>
        </w:rPr>
        <w:t>年耕地10979.84</w:t>
      </w:r>
      <w:r>
        <w:rPr>
          <w:rFonts w:eastAsia="宋体" w:cs="Times New Roman" w:asciiTheme="minorEastAsia" w:hAnsiTheme="minorEastAsia"/>
          <w:kern w:val="0"/>
          <w:sz w:val="24"/>
          <w:szCs w:val="24"/>
        </w:rPr>
        <w:t>公顷，“三调”最新资料11032.80公顷，现状耕地比“三调”资料少52.96公顷。规划较2020变更调查增加了</w:t>
      </w:r>
      <w:r>
        <w:rPr>
          <w:rFonts w:hint="eastAsia" w:eastAsia="宋体" w:cs="Times New Roman" w:asciiTheme="minorEastAsia" w:hAnsiTheme="minorEastAsia"/>
          <w:kern w:val="0"/>
          <w:sz w:val="24"/>
          <w:szCs w:val="24"/>
        </w:rPr>
        <w:t>391.33</w:t>
      </w:r>
      <w:r>
        <w:rPr>
          <w:rFonts w:eastAsia="宋体" w:cs="Times New Roman" w:asciiTheme="minorEastAsia" w:hAnsiTheme="minorEastAsia"/>
          <w:kern w:val="0"/>
          <w:sz w:val="24"/>
          <w:szCs w:val="24"/>
        </w:rPr>
        <w:t>公顷</w:t>
      </w:r>
      <w:r>
        <w:rPr>
          <w:rFonts w:hint="eastAsia" w:eastAsia="宋体" w:cs="Times New Roman" w:asciiTheme="minorEastAsia" w:hAnsiTheme="minorEastAsia"/>
          <w:kern w:val="0"/>
          <w:sz w:val="24"/>
          <w:szCs w:val="24"/>
        </w:rPr>
        <w:t>，规划水田较2020年变更调查减少了62.74公顷，减少的原因为省级下发三大乐高速图斑占用。</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2、</w:t>
      </w:r>
      <w:r>
        <w:rPr>
          <w:rFonts w:eastAsia="宋体" w:cs="Times New Roman" w:asciiTheme="minorEastAsia" w:hAnsiTheme="minorEastAsia"/>
          <w:kern w:val="0"/>
          <w:sz w:val="24"/>
          <w:szCs w:val="24"/>
        </w:rPr>
        <w:t xml:space="preserve">严格控制耕地数量规模 </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应加强对各项非农建设占用耕地的控制和对建设项目占用耕地的评价和论证，不占或少占耕地，确需占用耕地的，应尽量占用等级较低的耕地。其次，更应该引导农业结构和种植业内部结构合理调整，禁止农业结构调整破坏土地耕作层，确保不因农业结构调整降低耕地保有量</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同时要加大受灾耕地复垦力度。</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（二）</w:t>
      </w:r>
      <w:r>
        <w:rPr>
          <w:rFonts w:eastAsia="宋体" w:cs="Times New Roman" w:asciiTheme="minorEastAsia" w:hAnsiTheme="minorEastAsia"/>
          <w:b/>
          <w:kern w:val="0"/>
          <w:sz w:val="24"/>
          <w:szCs w:val="24"/>
        </w:rPr>
        <w:t>完善机制体制，守护良田沃土</w:t>
      </w:r>
    </w:p>
    <w:p>
      <w:pPr>
        <w:adjustRightInd w:val="0"/>
        <w:snapToGrid w:val="0"/>
        <w:spacing w:line="360" w:lineRule="auto"/>
        <w:ind w:firstLine="482" w:firstLineChars="200"/>
        <w:rPr>
          <w:rFonts w:eastAsia="宋体" w:cs="Times New Roman" w:asciiTheme="minorEastAsia" w:hAnsiTheme="minorEastAsia"/>
          <w:b/>
          <w:kern w:val="0"/>
          <w:sz w:val="24"/>
          <w:szCs w:val="24"/>
          <w:u w:val="single"/>
        </w:rPr>
      </w:pPr>
      <w:r>
        <w:rPr>
          <w:rFonts w:eastAsia="宋体" w:cs="Times New Roman" w:asciiTheme="minorEastAsia" w:hAnsiTheme="minorEastAsia"/>
          <w:b/>
          <w:kern w:val="0"/>
          <w:sz w:val="24"/>
          <w:szCs w:val="24"/>
          <w:u w:val="single"/>
        </w:rPr>
        <w:t>严格永久基本农田占用及补划。已划定的永久基本农田，任何单位和个人不得擅自占用或改变用途。非农业建设不得“未批先建”。能源、交通、水利、军事设施等重大建设项目选址确实难以避让永久基本农田的，经依法批准，应在落实耕地占补平衡基础上，按照数量不减、质量不降的原则，在可以长期稳定利用耕地上落实永久基本农田补划任务。在已划定永久基本农田以外的耕地上，严格按照要求划定永久基本农田储备区，涉及永久基本农田占用的，应在永久基本农田储备区内补划，储备区中难以补足的，在县域范围内其他优质耕地中补划；县域范围内无法补足的，可在市域范围内补划</w:t>
      </w:r>
      <w:r>
        <w:rPr>
          <w:rFonts w:hint="eastAsia" w:eastAsia="宋体" w:cs="Times New Roman" w:asciiTheme="minorEastAsia" w:hAnsiTheme="minorEastAsia"/>
          <w:b/>
          <w:kern w:val="0"/>
          <w:sz w:val="24"/>
          <w:szCs w:val="24"/>
          <w:u w:val="single"/>
        </w:rPr>
        <w:t>。</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严格落实耕地占补平衡和进出平衡。严格控制新增建设用地占用耕地，特别是优质耕地。确需占用的，严格实施耕地占补平衡制度，做到“先补后占、占一补一、占优补优”。严格控制耕地转为其他农用地。以年度国土变更调查为基础，耕地转为林地、草地、园地等其他类型农用地及农业设施建设用地，应当补足同等数量、质量的可以长期稳定利用的耕地，落实耕地年度进出平衡。</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（三）</w:t>
      </w:r>
      <w:r>
        <w:rPr>
          <w:rFonts w:eastAsia="宋体" w:cs="Times New Roman" w:asciiTheme="minorEastAsia" w:hAnsiTheme="minorEastAsia"/>
          <w:b/>
          <w:kern w:val="0"/>
          <w:sz w:val="24"/>
          <w:szCs w:val="24"/>
        </w:rPr>
        <w:t>巩固提升耕地质量</w:t>
      </w:r>
      <w:r>
        <w:rPr>
          <w:rFonts w:hint="eastAsia" w:eastAsia="宋体" w:cs="Times New Roman" w:asciiTheme="minorEastAsia" w:hAnsiTheme="minorEastAsia"/>
          <w:b/>
          <w:kern w:val="0"/>
          <w:sz w:val="24"/>
          <w:szCs w:val="24"/>
        </w:rPr>
        <w:t>，实现</w:t>
      </w:r>
      <w:r>
        <w:rPr>
          <w:rFonts w:eastAsia="宋体" w:cs="Times New Roman" w:asciiTheme="minorEastAsia" w:hAnsiTheme="minorEastAsia"/>
          <w:b/>
          <w:kern w:val="0"/>
          <w:sz w:val="24"/>
          <w:szCs w:val="24"/>
        </w:rPr>
        <w:t>粮食主产区规模化经营与质量提升</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限制大规模高强度工业化城镇化开发，既要保护农业发展条件较好区域的耕地，保护农业生产力和生态产品生产力，又要集中优势资源发展现代农业，不断提高农业综合生产能力。加快农业科技创新，推广土壤有机质提升、绿色防控、采</w:t>
      </w:r>
      <w:r>
        <w:rPr>
          <w:rFonts w:hint="eastAsia" w:eastAsia="宋体" w:cs="Times New Roman" w:asciiTheme="minorEastAsia" w:hAnsiTheme="minorEastAsia"/>
          <w:kern w:val="0"/>
          <w:sz w:val="24"/>
          <w:szCs w:val="24"/>
        </w:rPr>
        <w:t>用</w:t>
      </w:r>
      <w:r>
        <w:rPr>
          <w:rFonts w:eastAsia="宋体" w:cs="Times New Roman" w:asciiTheme="minorEastAsia" w:hAnsiTheme="minorEastAsia"/>
          <w:kern w:val="0"/>
          <w:sz w:val="24"/>
          <w:szCs w:val="24"/>
        </w:rPr>
        <w:t>无害化等绿色生产技术，发挥片区</w:t>
      </w:r>
      <w:r>
        <w:rPr>
          <w:rFonts w:hint="eastAsia" w:eastAsia="宋体" w:cs="Times New Roman" w:asciiTheme="minorEastAsia" w:hAnsiTheme="minorEastAsia"/>
          <w:kern w:val="0"/>
          <w:sz w:val="24"/>
          <w:szCs w:val="24"/>
        </w:rPr>
        <w:t>在</w:t>
      </w:r>
      <w:r>
        <w:rPr>
          <w:rFonts w:eastAsia="宋体" w:cs="Times New Roman" w:asciiTheme="minorEastAsia" w:hAnsiTheme="minorEastAsia"/>
          <w:kern w:val="0"/>
          <w:sz w:val="24"/>
          <w:szCs w:val="24"/>
        </w:rPr>
        <w:t>粮油方面的品牌优势和科研优势，结合优良的农业生产条件，形成绿色粮油产业链</w:t>
      </w:r>
      <w:r>
        <w:rPr>
          <w:rFonts w:hint="eastAsia" w:eastAsia="宋体" w:cs="Times New Roman" w:asciiTheme="minorEastAsia" w:hAnsiTheme="minorEastAsia"/>
          <w:kern w:val="0"/>
          <w:sz w:val="24"/>
          <w:szCs w:val="24"/>
        </w:rPr>
        <w:t>。</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（四）</w:t>
      </w:r>
      <w:r>
        <w:rPr>
          <w:rFonts w:eastAsia="宋体" w:cs="Times New Roman" w:asciiTheme="minorEastAsia" w:hAnsiTheme="minorEastAsia"/>
          <w:b/>
          <w:kern w:val="0"/>
          <w:sz w:val="24"/>
          <w:szCs w:val="24"/>
        </w:rPr>
        <w:t>改善农田生态，助力乡村生态振兴</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秉承生态优先的原则，建立和完善耕地数量、质量、生态三位一体的耕地保护监管长效机制，提升耕地生态功能，保护耕地生态系统，把深入推进农业供给侧结构性改革作为主线，适当调整农业结构，以此来促进农业健康发展、绿色发展。一方面既要加强农村土地面源污染治理，同时又要确保农产品质量安全。加大农村污水治理力度，加快乡镇生活污水治理设施、生活垃圾收转运设施建设。推广测土配方施肥等农业精细耕作技术，减少化肥使用量，控制并缩小农村面源污染范围，改善和提高农产品产地环境，发展高效生态农业，推进农业生态文明建设。加快建设绿色食品检测平台及农产品追溯制度，加强农产品质量安全检测，提升农产品供给质量，夯实绿色农业的质量支撑。</w:t>
      </w:r>
    </w:p>
    <w:p>
      <w:pPr>
        <w:adjustRightInd w:val="0"/>
        <w:snapToGrid w:val="0"/>
        <w:spacing w:line="360" w:lineRule="auto"/>
        <w:ind w:firstLine="482" w:firstLineChars="200"/>
        <w:rPr>
          <w:rFonts w:ascii="黑体" w:hAnsi="黑体" w:eastAsia="黑体" w:cs="Times New Roman"/>
          <w:b/>
          <w:kern w:val="0"/>
          <w:sz w:val="24"/>
          <w:szCs w:val="24"/>
        </w:rPr>
      </w:pPr>
      <w:r>
        <w:rPr>
          <w:rFonts w:hint="eastAsia" w:ascii="黑体" w:hAnsi="黑体" w:eastAsia="黑体" w:cs="Times New Roman"/>
          <w:b/>
          <w:kern w:val="0"/>
          <w:sz w:val="24"/>
          <w:szCs w:val="24"/>
        </w:rPr>
        <w:t>二、建设节水型乡村片区</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（一）</w:t>
      </w:r>
      <w:r>
        <w:rPr>
          <w:rFonts w:eastAsia="宋体" w:cs="Times New Roman" w:asciiTheme="minorEastAsia" w:hAnsiTheme="minorEastAsia"/>
          <w:b/>
          <w:kern w:val="0"/>
          <w:sz w:val="24"/>
          <w:szCs w:val="24"/>
        </w:rPr>
        <w:t xml:space="preserve">水资源保护利用目标 </w:t>
      </w:r>
    </w:p>
    <w:p>
      <w:pPr>
        <w:adjustRightInd w:val="0"/>
        <w:snapToGrid w:val="0"/>
        <w:spacing w:line="360" w:lineRule="auto"/>
        <w:ind w:firstLine="480" w:firstLineChars="200"/>
        <w:rPr>
          <w:rFonts w:cs="Times New Roman" w:asciiTheme="minorEastAsia" w:hAnsiTheme="minorEastAsia"/>
          <w:b/>
          <w:kern w:val="0"/>
          <w:sz w:val="24"/>
          <w:szCs w:val="24"/>
          <w:u w:val="single"/>
        </w:rPr>
      </w:pPr>
      <w:r>
        <w:rPr>
          <w:rFonts w:hint="eastAsia" w:eastAsia="宋体" w:cs="Times New Roman" w:asciiTheme="minorEastAsia" w:hAnsiTheme="minorEastAsia"/>
          <w:kern w:val="0"/>
          <w:sz w:val="24"/>
          <w:szCs w:val="24"/>
        </w:rPr>
        <w:t>到</w:t>
      </w:r>
      <w:r>
        <w:rPr>
          <w:rFonts w:eastAsia="宋体" w:cs="Times New Roman" w:asciiTheme="minorEastAsia" w:hAnsiTheme="minorEastAsia"/>
          <w:kern w:val="0"/>
          <w:sz w:val="24"/>
          <w:szCs w:val="24"/>
        </w:rPr>
        <w:t>2035</w:t>
      </w:r>
      <w:r>
        <w:rPr>
          <w:rFonts w:hint="eastAsia" w:eastAsia="宋体" w:cs="Times New Roman" w:asciiTheme="minorEastAsia" w:hAnsiTheme="minorEastAsia"/>
          <w:kern w:val="0"/>
          <w:sz w:val="24"/>
          <w:szCs w:val="24"/>
        </w:rPr>
        <w:t>年，</w:t>
      </w:r>
      <w:r>
        <w:rPr>
          <w:rFonts w:eastAsia="宋体" w:cs="Times New Roman" w:asciiTheme="minorEastAsia" w:hAnsiTheme="minorEastAsia"/>
          <w:kern w:val="0"/>
          <w:sz w:val="24"/>
          <w:szCs w:val="24"/>
        </w:rPr>
        <w:t>片区水资源利用效率和效益明显提高，水利工程补短板</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夯弱项加快推进，片区供水安全保障程度明显增强，河湖水生态环境明显改善，防洪抗旱减灾能力全面提高，水利制度体系不断完善，水利行业监管能力和服务水平大幅提升，水文化建设明显增强，水安全保障能力显著提升。水资源刚性约束作用明显增强，节水型生产和生活方式基本建立，片区节水护水惜水意识明显提高。</w:t>
      </w:r>
      <w:r>
        <w:rPr>
          <w:rFonts w:eastAsia="宋体" w:cs="Times New Roman" w:asciiTheme="minorEastAsia" w:hAnsiTheme="minorEastAsia"/>
          <w:b/>
          <w:kern w:val="0"/>
          <w:sz w:val="24"/>
          <w:szCs w:val="24"/>
          <w:u w:val="single"/>
        </w:rPr>
        <w:t>片区年供用水总量控制在</w:t>
      </w:r>
      <w:r>
        <w:rPr>
          <w:rFonts w:hint="eastAsia" w:eastAsia="宋体" w:cs="Times New Roman" w:asciiTheme="minorEastAsia" w:hAnsiTheme="minorEastAsia"/>
          <w:b/>
          <w:kern w:val="0"/>
          <w:sz w:val="24"/>
          <w:szCs w:val="24"/>
          <w:u w:val="single"/>
        </w:rPr>
        <w:t>0.31</w:t>
      </w:r>
      <w:r>
        <w:rPr>
          <w:rFonts w:eastAsia="宋体" w:cs="Times New Roman" w:asciiTheme="minorEastAsia" w:hAnsiTheme="minorEastAsia"/>
          <w:b/>
          <w:kern w:val="0"/>
          <w:sz w:val="24"/>
          <w:szCs w:val="24"/>
          <w:u w:val="single"/>
        </w:rPr>
        <w:t>亿立方米以内，万元国内生产总值用水量控制在70立方米以内。</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（二）</w:t>
      </w:r>
      <w:r>
        <w:rPr>
          <w:rFonts w:eastAsia="宋体" w:cs="Times New Roman" w:asciiTheme="minorEastAsia" w:hAnsiTheme="minorEastAsia"/>
          <w:b/>
          <w:kern w:val="0"/>
          <w:sz w:val="24"/>
          <w:szCs w:val="24"/>
        </w:rPr>
        <w:t>水资源保护利用措施</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坚持“确有需要、生态安全、可以持续”的原则， 按照“建水网、开水源，统筹流域、连通区域”的思路，加快建设一批生态水利工程，形成以引水补水生态水网为骨架、大中小微协调配套、蓄引提供泄排生态功能完备的现代水利基础设施网络体系，强化工程水网与天然水网的互联互通，完善水网配套建设，全面提升供水安全保障能力。</w:t>
      </w:r>
    </w:p>
    <w:p>
      <w:pPr>
        <w:adjustRightInd w:val="0"/>
        <w:snapToGrid w:val="0"/>
        <w:spacing w:line="360" w:lineRule="auto"/>
        <w:ind w:firstLine="480" w:firstLineChars="200"/>
        <w:rPr>
          <w:rFonts w:cs="Times New Roman" w:asciiTheme="minorEastAsia" w:hAnsiTheme="minorEastAsia"/>
          <w:kern w:val="0"/>
          <w:sz w:val="24"/>
          <w:szCs w:val="24"/>
        </w:rPr>
      </w:pPr>
      <w:r>
        <w:rPr>
          <w:rFonts w:hint="eastAsia" w:eastAsia="宋体" w:cs="Times New Roman" w:asciiTheme="minorEastAsia" w:hAnsiTheme="minorEastAsia"/>
          <w:kern w:val="0"/>
          <w:sz w:val="24"/>
          <w:szCs w:val="24"/>
        </w:rPr>
        <w:t>1、</w:t>
      </w:r>
      <w:r>
        <w:rPr>
          <w:rFonts w:eastAsia="宋体" w:cs="Times New Roman" w:asciiTheme="minorEastAsia" w:hAnsiTheme="minorEastAsia"/>
          <w:kern w:val="0"/>
          <w:sz w:val="24"/>
          <w:szCs w:val="24"/>
        </w:rPr>
        <w:t xml:space="preserve"> 进一步加快骨干工程建设</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加快</w:t>
      </w:r>
      <w:r>
        <w:rPr>
          <w:rFonts w:hint="eastAsia" w:eastAsia="宋体" w:cs="Times New Roman" w:asciiTheme="minorEastAsia" w:hAnsiTheme="minorEastAsia"/>
          <w:kern w:val="0"/>
          <w:sz w:val="24"/>
          <w:szCs w:val="24"/>
          <w:lang w:eastAsia="zh-CN"/>
        </w:rPr>
        <w:t>已建成</w:t>
      </w:r>
      <w:r>
        <w:rPr>
          <w:rFonts w:eastAsia="宋体" w:cs="Times New Roman" w:asciiTheme="minorEastAsia" w:hAnsiTheme="minorEastAsia"/>
          <w:kern w:val="0"/>
          <w:sz w:val="24"/>
          <w:szCs w:val="24"/>
        </w:rPr>
        <w:t>、在建工程的配套设施建设，提升现有工程供水能力。</w:t>
      </w:r>
      <w:r>
        <w:rPr>
          <w:rFonts w:hint="eastAsia" w:cs="Times New Roman" w:asciiTheme="minorEastAsia" w:hAnsiTheme="minorEastAsia"/>
          <w:kern w:val="0"/>
          <w:sz w:val="24"/>
          <w:szCs w:val="24"/>
        </w:rPr>
        <w:t>在合理利用祥凤寨水库、星花水库、寸塘口水库水源的基础上，</w:t>
      </w:r>
      <w:r>
        <w:rPr>
          <w:rFonts w:hint="eastAsia" w:eastAsia="宋体" w:cs="Times New Roman" w:asciiTheme="minorEastAsia" w:hAnsiTheme="minorEastAsia"/>
          <w:b/>
          <w:kern w:val="0"/>
          <w:sz w:val="24"/>
          <w:szCs w:val="24"/>
          <w:u w:val="single"/>
        </w:rPr>
        <w:t>扩建寸塘口水库，推进涪江右岸引水工程和毗河引水二期工程，积极实施火共支渠，都江堰灌区配套与节水改造先锋支渠工程。</w:t>
      </w:r>
    </w:p>
    <w:p>
      <w:pPr>
        <w:adjustRightInd w:val="0"/>
        <w:snapToGrid w:val="0"/>
        <w:spacing w:line="360" w:lineRule="auto"/>
        <w:ind w:firstLine="480" w:firstLineChars="200"/>
        <w:rPr>
          <w:rFonts w:cs="Times New Roman" w:asciiTheme="minorEastAsia" w:hAnsiTheme="minorEastAsia"/>
          <w:kern w:val="0"/>
          <w:sz w:val="24"/>
          <w:szCs w:val="24"/>
        </w:rPr>
      </w:pPr>
      <w:r>
        <w:rPr>
          <w:rFonts w:hint="eastAsia" w:eastAsia="宋体" w:cs="Times New Roman" w:asciiTheme="minorEastAsia" w:hAnsiTheme="minorEastAsia"/>
          <w:kern w:val="0"/>
          <w:sz w:val="24"/>
          <w:szCs w:val="24"/>
        </w:rPr>
        <w:t>2、</w:t>
      </w:r>
      <w:r>
        <w:rPr>
          <w:rFonts w:eastAsia="宋体" w:cs="Times New Roman" w:asciiTheme="minorEastAsia" w:hAnsiTheme="minorEastAsia"/>
          <w:kern w:val="0"/>
          <w:sz w:val="24"/>
          <w:szCs w:val="24"/>
        </w:rPr>
        <w:t>构建城乡一体化供水网络</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按照城乡区域协调发展和乡村振兴战略部署，大力推进城乡一体化、规模化农村供水工程建设，综合采取改造、配套、升级、联网等方式，进一步提高农村集中供水率、自来水普及率、供水保证率、水质达标率。通过新建、扩容改造和管网延伸，改善镇乡及农村供水条件。对部分规模较小、设施简陋的单村供水工程进行配套改造，推进联村并网集中供水。对人口相对分散区域，进行小型和分布式供水工程标准化建设。因地制宜采取适宜的水处理技术，提高水质达标率和供水保障程度。加强农村饮用水水源保护</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加强水质检测能力建设，完善农村饮水工程水质检测监测体系，提升农村饮水安全监管水平</w:t>
      </w:r>
      <w:r>
        <w:rPr>
          <w:rFonts w:hint="eastAsia" w:eastAsia="宋体" w:cs="Times New Roman" w:asciiTheme="minorEastAsia" w:hAnsiTheme="minorEastAsia"/>
          <w:kern w:val="0"/>
          <w:sz w:val="24"/>
          <w:szCs w:val="24"/>
        </w:rPr>
        <w:t>。</w:t>
      </w:r>
    </w:p>
    <w:p>
      <w:pPr>
        <w:adjustRightInd w:val="0"/>
        <w:snapToGrid w:val="0"/>
        <w:spacing w:line="360" w:lineRule="auto"/>
        <w:ind w:firstLine="480" w:firstLineChars="200"/>
        <w:rPr>
          <w:rFonts w:cs="Times New Roman" w:asciiTheme="minorEastAsia" w:hAnsiTheme="minorEastAsia"/>
          <w:kern w:val="0"/>
          <w:sz w:val="24"/>
          <w:szCs w:val="24"/>
        </w:rPr>
      </w:pPr>
      <w:r>
        <w:rPr>
          <w:rFonts w:hint="eastAsia" w:eastAsia="宋体" w:cs="Times New Roman" w:asciiTheme="minorEastAsia" w:hAnsiTheme="minorEastAsia"/>
          <w:kern w:val="0"/>
          <w:sz w:val="24"/>
          <w:szCs w:val="24"/>
        </w:rPr>
        <w:t>3、</w:t>
      </w:r>
      <w:r>
        <w:rPr>
          <w:rFonts w:eastAsia="宋体" w:cs="Times New Roman" w:asciiTheme="minorEastAsia" w:hAnsiTheme="minorEastAsia"/>
          <w:kern w:val="0"/>
          <w:sz w:val="24"/>
          <w:szCs w:val="24"/>
        </w:rPr>
        <w:t>推进灌区续建配套与现代化改造</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围绕乡村振兴战略，加快推进大中型灌区续建配套与现代化改造，有效改善灌区用水条件，缓解农业用水供需矛盾，增加农业产量，助力发展农村经济。加大水利设施维修养护力度，完善沿渠生态及灌区水库生态保护建设，加强小型水源工程等项目建设，因地制宜发展低压管道输水灌溉，突出抓好农业重点区域节水灌溉工程建设，着力加强小型农田水利设施建设，打通农田水利“最后一公里”，配套完善乡村供水毛细血管，提高供水保障率，发挥工程综合效益。</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（三）</w:t>
      </w:r>
      <w:r>
        <w:rPr>
          <w:rFonts w:eastAsia="宋体" w:cs="Times New Roman" w:asciiTheme="minorEastAsia" w:hAnsiTheme="minorEastAsia"/>
          <w:b/>
          <w:kern w:val="0"/>
          <w:sz w:val="24"/>
          <w:szCs w:val="24"/>
        </w:rPr>
        <w:t xml:space="preserve">强化水源涵养与保护 </w:t>
      </w:r>
    </w:p>
    <w:p>
      <w:pPr>
        <w:adjustRightInd w:val="0"/>
        <w:snapToGrid w:val="0"/>
        <w:spacing w:line="360" w:lineRule="auto"/>
        <w:ind w:firstLine="480" w:firstLineChars="200"/>
        <w:rPr>
          <w:rFonts w:cs="Times New Roman" w:asciiTheme="minorEastAsia" w:hAnsiTheme="minorEastAsia"/>
          <w:b/>
          <w:kern w:val="0"/>
          <w:sz w:val="24"/>
          <w:szCs w:val="24"/>
          <w:u w:val="single"/>
        </w:rPr>
      </w:pPr>
      <w:r>
        <w:rPr>
          <w:rFonts w:eastAsia="宋体" w:cs="Times New Roman" w:asciiTheme="minorEastAsia" w:hAnsiTheme="minorEastAsia"/>
          <w:kern w:val="0"/>
          <w:sz w:val="24"/>
          <w:szCs w:val="24"/>
        </w:rPr>
        <w:t>坚持以生态优先为原则，优化岸线土地利用方式。</w:t>
      </w:r>
      <w:r>
        <w:rPr>
          <w:rFonts w:hint="eastAsia" w:eastAsia="宋体" w:cs="Times New Roman" w:asciiTheme="minorEastAsia" w:hAnsiTheme="minorEastAsia"/>
          <w:kern w:val="0"/>
          <w:sz w:val="24"/>
          <w:szCs w:val="24"/>
        </w:rPr>
        <w:t>以</w:t>
      </w:r>
      <w:r>
        <w:rPr>
          <w:rFonts w:eastAsia="宋体" w:cs="Times New Roman" w:asciiTheme="minorEastAsia" w:hAnsiTheme="minorEastAsia"/>
          <w:kern w:val="0"/>
          <w:sz w:val="24"/>
          <w:szCs w:val="24"/>
        </w:rPr>
        <w:t>沿郪江山水文化景观廊道建设为龙头，加强生态林建设，串联沿线景观，加快建设郪江生态岸线绿地系统，优化沿岸绿地结构</w:t>
      </w:r>
      <w:r>
        <w:rPr>
          <w:rFonts w:hint="eastAsia" w:eastAsia="宋体" w:cs="Times New Roman" w:asciiTheme="minorEastAsia" w:hAnsiTheme="minorEastAsia"/>
          <w:kern w:val="0"/>
          <w:sz w:val="24"/>
          <w:szCs w:val="24"/>
        </w:rPr>
        <w:t>，</w:t>
      </w:r>
      <w:r>
        <w:rPr>
          <w:rFonts w:hint="eastAsia" w:eastAsia="宋体" w:cs="Times New Roman" w:asciiTheme="minorEastAsia" w:hAnsiTheme="minorEastAsia"/>
          <w:b/>
          <w:kern w:val="0"/>
          <w:sz w:val="24"/>
          <w:szCs w:val="24"/>
          <w:u w:val="single"/>
        </w:rPr>
        <w:t>划定</w:t>
      </w:r>
      <w:r>
        <w:rPr>
          <w:rFonts w:eastAsia="宋体" w:cs="Times New Roman" w:asciiTheme="minorEastAsia" w:hAnsiTheme="minorEastAsia"/>
          <w:b/>
          <w:kern w:val="0"/>
          <w:sz w:val="24"/>
          <w:szCs w:val="24"/>
          <w:u w:val="single"/>
        </w:rPr>
        <w:t>星花水库和寸塘口水库为片区城镇集中饮用水源地保护。</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（四）</w:t>
      </w:r>
      <w:r>
        <w:rPr>
          <w:rFonts w:eastAsia="宋体" w:cs="Times New Roman" w:asciiTheme="minorEastAsia" w:hAnsiTheme="minorEastAsia"/>
          <w:b/>
          <w:kern w:val="0"/>
          <w:sz w:val="24"/>
          <w:szCs w:val="24"/>
        </w:rPr>
        <w:t xml:space="preserve">加强水环境综合整治 </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重点开展对</w:t>
      </w:r>
      <w:r>
        <w:rPr>
          <w:rFonts w:hint="eastAsia" w:eastAsia="宋体" w:cs="Times New Roman" w:asciiTheme="minorEastAsia" w:hAnsiTheme="minorEastAsia"/>
          <w:kern w:val="0"/>
          <w:sz w:val="24"/>
          <w:szCs w:val="24"/>
        </w:rPr>
        <w:t>郪江、</w:t>
      </w:r>
      <w:r>
        <w:rPr>
          <w:rFonts w:eastAsia="宋体" w:cs="Times New Roman" w:asciiTheme="minorEastAsia" w:hAnsiTheme="minorEastAsia"/>
          <w:kern w:val="0"/>
          <w:sz w:val="24"/>
          <w:szCs w:val="24"/>
        </w:rPr>
        <w:t>马力河</w:t>
      </w:r>
      <w:r>
        <w:rPr>
          <w:rFonts w:hint="eastAsia" w:eastAsia="宋体" w:cs="Times New Roman" w:asciiTheme="minorEastAsia" w:hAnsiTheme="minorEastAsia"/>
          <w:kern w:val="0"/>
          <w:sz w:val="24"/>
          <w:szCs w:val="24"/>
        </w:rPr>
        <w:t>、濛溪河、幸福溪、</w:t>
      </w:r>
      <w:r>
        <w:rPr>
          <w:rFonts w:eastAsia="宋体" w:cs="Times New Roman" w:asciiTheme="minorEastAsia" w:hAnsiTheme="minorEastAsia"/>
          <w:kern w:val="0"/>
          <w:sz w:val="24"/>
          <w:szCs w:val="24"/>
        </w:rPr>
        <w:t>龙溪河等主要河流水环境综合整治工程，以水资源保护、水生态修复为主，兼顾防洪能力提升，水源工程建设。强化片区污水处理设施建设，对污染源实施严格监督管理，控制污染物排放；通过生态湿地及生态河道建设，对生态受损严重的河段开展水生态系统修水生态修复</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合理调配水资源，完善供水体系重点城镇基本建立双水源供水体系及应急备用水源体系；根据水资源承载能力，合理确定主要河流生态用水标准、控制指标，在水资源分配中统筹协调人与自然用水。</w:t>
      </w:r>
    </w:p>
    <w:p>
      <w:pPr>
        <w:adjustRightInd w:val="0"/>
        <w:snapToGrid w:val="0"/>
        <w:spacing w:line="360" w:lineRule="auto"/>
        <w:ind w:firstLine="482" w:firstLineChars="200"/>
        <w:rPr>
          <w:rFonts w:ascii="黑体" w:hAnsi="黑体" w:eastAsia="黑体" w:cs="Times New Roman"/>
          <w:b/>
          <w:kern w:val="0"/>
          <w:sz w:val="24"/>
          <w:szCs w:val="24"/>
        </w:rPr>
      </w:pPr>
      <w:r>
        <w:rPr>
          <w:rFonts w:hint="eastAsia" w:ascii="黑体" w:hAnsi="黑体" w:eastAsia="黑体" w:cs="Times New Roman"/>
          <w:b/>
          <w:kern w:val="0"/>
          <w:sz w:val="24"/>
          <w:szCs w:val="24"/>
        </w:rPr>
        <w:t>三、森林资源保护利用</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（一）</w:t>
      </w:r>
      <w:r>
        <w:rPr>
          <w:rFonts w:eastAsia="宋体" w:cs="Times New Roman" w:asciiTheme="minorEastAsia" w:hAnsiTheme="minorEastAsia"/>
          <w:b/>
          <w:kern w:val="0"/>
          <w:sz w:val="24"/>
          <w:szCs w:val="24"/>
        </w:rPr>
        <w:t xml:space="preserve">控制林地规模 </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对林地进行严格保护，并加以分区、分类、分级保护和管控，重点保护天然林和重点公益林，优化天然林和人工林结构，合理配置生态公益林和商品林，确保林地规模适度增加或不减少。科学安排商品林地，提高森林质量和综合效益。规划2035</w:t>
      </w:r>
      <w:r>
        <w:rPr>
          <w:rFonts w:hint="eastAsia" w:eastAsia="宋体" w:cs="Times New Roman" w:asciiTheme="minorEastAsia" w:hAnsiTheme="minorEastAsia"/>
          <w:kern w:val="0"/>
          <w:sz w:val="24"/>
          <w:szCs w:val="24"/>
        </w:rPr>
        <w:t>年</w:t>
      </w:r>
      <w:r>
        <w:rPr>
          <w:rFonts w:eastAsia="宋体" w:cs="Times New Roman" w:asciiTheme="minorEastAsia" w:hAnsiTheme="minorEastAsia"/>
          <w:kern w:val="0"/>
          <w:sz w:val="24"/>
          <w:szCs w:val="24"/>
        </w:rPr>
        <w:t>片区林地保护目标为</w:t>
      </w:r>
      <w:r>
        <w:rPr>
          <w:rFonts w:hint="eastAsia" w:eastAsia="宋体" w:cs="Times New Roman" w:asciiTheme="minorEastAsia" w:hAnsiTheme="minorEastAsia"/>
          <w:kern w:val="0"/>
          <w:sz w:val="24"/>
          <w:szCs w:val="24"/>
        </w:rPr>
        <w:t>5571.66</w:t>
      </w:r>
      <w:r>
        <w:rPr>
          <w:rFonts w:eastAsia="宋体" w:cs="Times New Roman" w:asciiTheme="minorEastAsia" w:hAnsiTheme="minorEastAsia"/>
          <w:kern w:val="0"/>
          <w:sz w:val="24"/>
          <w:szCs w:val="24"/>
        </w:rPr>
        <w:t>公顷</w:t>
      </w:r>
      <w:r>
        <w:rPr>
          <w:rFonts w:hint="eastAsia" w:eastAsia="宋体" w:cs="Times New Roman" w:asciiTheme="minorEastAsia" w:hAnsiTheme="minorEastAsia"/>
          <w:kern w:val="0"/>
          <w:sz w:val="24"/>
          <w:szCs w:val="24"/>
        </w:rPr>
        <w:t>。</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（二）</w:t>
      </w:r>
      <w:r>
        <w:rPr>
          <w:rFonts w:eastAsia="宋体" w:cs="Times New Roman" w:asciiTheme="minorEastAsia" w:hAnsiTheme="minorEastAsia"/>
          <w:b/>
          <w:kern w:val="0"/>
          <w:sz w:val="24"/>
          <w:szCs w:val="24"/>
        </w:rPr>
        <w:t xml:space="preserve"> 保护天然林资源 </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严格保护片区内的天然林资源，禁止采伐原始林，加强天然林科学保育，培育复层、混交、异龄林，构建健康稳定的生态系统；生态脆弱区林地及重点公益林地采用封育等近自然培育和经营措施，促进天然林生态系统的形成。</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（三）</w:t>
      </w:r>
      <w:r>
        <w:rPr>
          <w:rFonts w:eastAsia="宋体" w:cs="Times New Roman" w:asciiTheme="minorEastAsia" w:hAnsiTheme="minorEastAsia"/>
          <w:b/>
          <w:kern w:val="0"/>
          <w:sz w:val="24"/>
          <w:szCs w:val="24"/>
        </w:rPr>
        <w:t xml:space="preserve">强化公益林管理 </w:t>
      </w:r>
    </w:p>
    <w:p>
      <w:pPr>
        <w:adjustRightInd w:val="0"/>
        <w:snapToGrid w:val="0"/>
        <w:spacing w:line="360" w:lineRule="auto"/>
        <w:ind w:firstLine="482" w:firstLineChars="200"/>
        <w:rPr>
          <w:rFonts w:eastAsia="宋体" w:cs="Times New Roman" w:asciiTheme="minorEastAsia" w:hAnsiTheme="minorEastAsia"/>
          <w:b/>
          <w:kern w:val="0"/>
          <w:sz w:val="24"/>
          <w:szCs w:val="24"/>
          <w:u w:val="single"/>
        </w:rPr>
      </w:pPr>
      <w:r>
        <w:rPr>
          <w:rFonts w:eastAsia="宋体" w:cs="Times New Roman" w:asciiTheme="minorEastAsia" w:hAnsiTheme="minorEastAsia"/>
          <w:b/>
          <w:kern w:val="0"/>
          <w:sz w:val="24"/>
          <w:szCs w:val="24"/>
          <w:u w:val="single"/>
        </w:rPr>
        <w:t>2035</w:t>
      </w:r>
      <w:r>
        <w:rPr>
          <w:rFonts w:hint="eastAsia" w:eastAsia="宋体" w:cs="Times New Roman" w:asciiTheme="minorEastAsia" w:hAnsiTheme="minorEastAsia"/>
          <w:b/>
          <w:kern w:val="0"/>
          <w:sz w:val="24"/>
          <w:szCs w:val="24"/>
          <w:u w:val="single"/>
        </w:rPr>
        <w:t>年</w:t>
      </w:r>
      <w:r>
        <w:rPr>
          <w:rFonts w:eastAsia="宋体" w:cs="Times New Roman" w:asciiTheme="minorEastAsia" w:hAnsiTheme="minorEastAsia"/>
          <w:b/>
          <w:kern w:val="0"/>
          <w:sz w:val="24"/>
          <w:szCs w:val="24"/>
          <w:u w:val="single"/>
        </w:rPr>
        <w:t>片区公益林保护目标为168.7</w:t>
      </w:r>
      <w:r>
        <w:rPr>
          <w:rFonts w:hint="eastAsia" w:eastAsia="宋体" w:cs="Times New Roman" w:asciiTheme="minorEastAsia" w:hAnsiTheme="minorEastAsia"/>
          <w:b/>
          <w:kern w:val="0"/>
          <w:sz w:val="24"/>
          <w:szCs w:val="24"/>
          <w:u w:val="single"/>
        </w:rPr>
        <w:t>9</w:t>
      </w:r>
      <w:r>
        <w:rPr>
          <w:rFonts w:eastAsia="宋体" w:cs="Times New Roman" w:asciiTheme="minorEastAsia" w:hAnsiTheme="minorEastAsia"/>
          <w:b/>
          <w:kern w:val="0"/>
          <w:sz w:val="24"/>
          <w:szCs w:val="24"/>
          <w:u w:val="single"/>
        </w:rPr>
        <w:t>公顷</w:t>
      </w:r>
      <w:r>
        <w:rPr>
          <w:rFonts w:hint="eastAsia" w:eastAsia="宋体" w:cs="Times New Roman" w:asciiTheme="minorEastAsia" w:hAnsiTheme="minorEastAsia"/>
          <w:b/>
          <w:kern w:val="0"/>
          <w:sz w:val="24"/>
          <w:szCs w:val="24"/>
          <w:u w:val="single"/>
        </w:rPr>
        <w:t>，占全</w:t>
      </w:r>
      <w:r>
        <w:rPr>
          <w:rFonts w:eastAsia="宋体" w:cs="Times New Roman" w:asciiTheme="minorEastAsia" w:hAnsiTheme="minorEastAsia"/>
          <w:b/>
          <w:kern w:val="0"/>
          <w:sz w:val="24"/>
          <w:szCs w:val="24"/>
          <w:u w:val="single"/>
        </w:rPr>
        <w:t>片区林地面积的</w:t>
      </w:r>
      <w:r>
        <w:rPr>
          <w:rFonts w:hint="eastAsia" w:eastAsia="宋体" w:cs="Times New Roman" w:asciiTheme="minorEastAsia" w:hAnsiTheme="minorEastAsia"/>
          <w:b/>
          <w:kern w:val="0"/>
          <w:sz w:val="24"/>
          <w:szCs w:val="24"/>
          <w:u w:val="single"/>
        </w:rPr>
        <w:t>3.03</w:t>
      </w:r>
      <w:r>
        <w:rPr>
          <w:rFonts w:eastAsia="宋体" w:cs="Times New Roman" w:asciiTheme="minorEastAsia" w:hAnsiTheme="minorEastAsia"/>
          <w:b/>
          <w:kern w:val="0"/>
          <w:sz w:val="24"/>
          <w:szCs w:val="24"/>
          <w:u w:val="single"/>
        </w:rPr>
        <w:t>%</w:t>
      </w:r>
      <w:r>
        <w:rPr>
          <w:rFonts w:hint="eastAsia" w:eastAsia="宋体" w:cs="Times New Roman" w:asciiTheme="minorEastAsia" w:hAnsiTheme="minorEastAsia"/>
          <w:b/>
          <w:kern w:val="0"/>
          <w:sz w:val="24"/>
          <w:szCs w:val="24"/>
          <w:u w:val="single"/>
        </w:rPr>
        <w:t>，</w:t>
      </w:r>
      <w:r>
        <w:rPr>
          <w:rFonts w:eastAsia="宋体" w:cs="Times New Roman" w:asciiTheme="minorEastAsia" w:hAnsiTheme="minorEastAsia"/>
          <w:b/>
          <w:kern w:val="0"/>
          <w:sz w:val="24"/>
          <w:szCs w:val="24"/>
          <w:u w:val="single"/>
        </w:rPr>
        <w:t>实施管护责任制，落实森林生态效益补偿制度，建立监管机制，严格保护公益林地。</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严禁擅自改变国家级公益林地的性质、随意调整国家级公益林地的面积、范围或降低保护等级。禁止在公益林地采石、采砂、取土，严格控制勘查、开采矿藏和工程建设占用征用国家级公益林地。除国务院有关部门和省级人民政府批准的基础设施建设项目外，不得占用征收一级国家级公益林地。对因重点建设占用征收而导致公益林地减少的，要通过赎买集体和个人所有的公益林、石漠化和沙化土地治理、自然保护区建设等措施增加公益林，保持全市公益林地规模稳定。</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（四）</w:t>
      </w:r>
      <w:r>
        <w:rPr>
          <w:rFonts w:eastAsia="宋体" w:cs="Times New Roman" w:asciiTheme="minorEastAsia" w:hAnsiTheme="minorEastAsia"/>
          <w:b/>
          <w:kern w:val="0"/>
          <w:sz w:val="24"/>
          <w:szCs w:val="24"/>
        </w:rPr>
        <w:t xml:space="preserve">森林采伐限额控制 </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严格规范以及完善林木采伐许可制度，依法核发林木采伐许可证。大力加强天然林、公益林、国有林采伐管理，规范和适度放宽集体人工商品林采伐管理。严禁天然林商业性采伐。制定落实对商品林与公益林、人工林与天然林、国有林与非国有林、林地上林木与非林地上林木等的分级分类采伐管理措施。放活人工商品林采伐政策，采伐经济林、薪炭林和非林地上的用材林，可由经营者自行设计、自主确定采伐年龄和采伐方式。</w:t>
      </w:r>
    </w:p>
    <w:p>
      <w:pPr>
        <w:adjustRightInd w:val="0"/>
        <w:snapToGrid w:val="0"/>
        <w:spacing w:line="360" w:lineRule="auto"/>
        <w:ind w:firstLine="482" w:firstLineChars="200"/>
        <w:rPr>
          <w:rFonts w:ascii="黑体" w:hAnsi="黑体" w:eastAsia="黑体" w:cs="Times New Roman"/>
          <w:b/>
          <w:kern w:val="0"/>
          <w:sz w:val="24"/>
          <w:szCs w:val="24"/>
        </w:rPr>
      </w:pPr>
      <w:r>
        <w:rPr>
          <w:rFonts w:hint="eastAsia" w:ascii="黑体" w:hAnsi="黑体" w:eastAsia="黑体" w:cs="Times New Roman"/>
          <w:b/>
          <w:kern w:val="0"/>
          <w:sz w:val="24"/>
          <w:szCs w:val="24"/>
        </w:rPr>
        <w:t>四、草地资源保护利用</w:t>
      </w:r>
    </w:p>
    <w:p>
      <w:pPr>
        <w:adjustRightInd w:val="0"/>
        <w:snapToGrid w:val="0"/>
        <w:spacing w:line="360" w:lineRule="auto"/>
        <w:ind w:firstLine="482" w:firstLineChars="200"/>
        <w:rPr>
          <w:rFonts w:eastAsia="宋体" w:cs="Times New Roman" w:asciiTheme="minorEastAsia" w:hAnsiTheme="minorEastAsia"/>
          <w:b/>
          <w:kern w:val="0"/>
          <w:sz w:val="24"/>
          <w:szCs w:val="24"/>
          <w:u w:val="single"/>
        </w:rPr>
      </w:pPr>
      <w:r>
        <w:rPr>
          <w:rFonts w:eastAsia="宋体" w:cs="Times New Roman" w:asciiTheme="minorEastAsia" w:hAnsiTheme="minorEastAsia"/>
          <w:b/>
          <w:kern w:val="0"/>
          <w:sz w:val="24"/>
          <w:szCs w:val="24"/>
          <w:u w:val="single"/>
        </w:rPr>
        <w:t>规划2035</w:t>
      </w:r>
      <w:r>
        <w:rPr>
          <w:rFonts w:hint="eastAsia" w:eastAsia="宋体" w:cs="Times New Roman" w:asciiTheme="minorEastAsia" w:hAnsiTheme="minorEastAsia"/>
          <w:b/>
          <w:kern w:val="0"/>
          <w:sz w:val="24"/>
          <w:szCs w:val="24"/>
          <w:u w:val="single"/>
        </w:rPr>
        <w:t>年</w:t>
      </w:r>
      <w:r>
        <w:rPr>
          <w:rFonts w:eastAsia="宋体" w:cs="Times New Roman" w:asciiTheme="minorEastAsia" w:hAnsiTheme="minorEastAsia"/>
          <w:b/>
          <w:kern w:val="0"/>
          <w:sz w:val="24"/>
          <w:szCs w:val="24"/>
          <w:u w:val="single"/>
        </w:rPr>
        <w:t>片区</w:t>
      </w:r>
      <w:r>
        <w:rPr>
          <w:rFonts w:hint="eastAsia" w:eastAsia="宋体" w:cs="Times New Roman" w:asciiTheme="minorEastAsia" w:hAnsiTheme="minorEastAsia"/>
          <w:b/>
          <w:kern w:val="0"/>
          <w:sz w:val="24"/>
          <w:szCs w:val="24"/>
          <w:u w:val="single"/>
        </w:rPr>
        <w:t>草地</w:t>
      </w:r>
      <w:r>
        <w:rPr>
          <w:rFonts w:eastAsia="宋体" w:cs="Times New Roman" w:asciiTheme="minorEastAsia" w:hAnsiTheme="minorEastAsia"/>
          <w:b/>
          <w:kern w:val="0"/>
          <w:sz w:val="24"/>
          <w:szCs w:val="24"/>
          <w:u w:val="single"/>
        </w:rPr>
        <w:t>保护目标为</w:t>
      </w:r>
      <w:r>
        <w:rPr>
          <w:rFonts w:hint="eastAsia" w:eastAsia="宋体" w:cs="Times New Roman" w:asciiTheme="minorEastAsia" w:hAnsiTheme="minorEastAsia"/>
          <w:b/>
          <w:kern w:val="0"/>
          <w:sz w:val="24"/>
          <w:szCs w:val="24"/>
          <w:u w:val="single"/>
        </w:rPr>
        <w:t>10.21</w:t>
      </w:r>
      <w:r>
        <w:rPr>
          <w:rFonts w:eastAsia="宋体" w:cs="Times New Roman" w:asciiTheme="minorEastAsia" w:hAnsiTheme="minorEastAsia"/>
          <w:b/>
          <w:kern w:val="0"/>
          <w:sz w:val="24"/>
          <w:szCs w:val="24"/>
          <w:u w:val="single"/>
        </w:rPr>
        <w:t>公顷</w:t>
      </w:r>
      <w:r>
        <w:rPr>
          <w:rFonts w:hint="eastAsia" w:eastAsia="宋体" w:cs="Times New Roman" w:asciiTheme="minorEastAsia" w:hAnsiTheme="minorEastAsia"/>
          <w:b/>
          <w:kern w:val="0"/>
          <w:sz w:val="24"/>
          <w:szCs w:val="24"/>
          <w:u w:val="single"/>
        </w:rPr>
        <w:t>，全部</w:t>
      </w:r>
      <w:r>
        <w:rPr>
          <w:rFonts w:eastAsia="宋体" w:cs="Times New Roman" w:asciiTheme="minorEastAsia" w:hAnsiTheme="minorEastAsia"/>
          <w:b/>
          <w:kern w:val="0"/>
          <w:sz w:val="24"/>
          <w:szCs w:val="24"/>
          <w:u w:val="single"/>
        </w:rPr>
        <w:t>为其他草地，并非人工草地和天然草地。</w:t>
      </w:r>
    </w:p>
    <w:p>
      <w:pPr>
        <w:adjustRightInd w:val="0"/>
        <w:snapToGrid w:val="0"/>
        <w:spacing w:line="360" w:lineRule="auto"/>
        <w:ind w:firstLine="482" w:firstLineChars="200"/>
        <w:rPr>
          <w:rFonts w:ascii="黑体" w:hAnsi="黑体" w:eastAsia="黑体" w:cs="Times New Roman"/>
          <w:b/>
          <w:kern w:val="0"/>
          <w:sz w:val="24"/>
          <w:szCs w:val="24"/>
        </w:rPr>
      </w:pPr>
      <w:r>
        <w:rPr>
          <w:rFonts w:hint="eastAsia" w:ascii="黑体" w:hAnsi="黑体" w:eastAsia="黑体" w:cs="Times New Roman"/>
          <w:b/>
          <w:kern w:val="0"/>
          <w:sz w:val="24"/>
          <w:szCs w:val="24"/>
        </w:rPr>
        <w:t>五、</w:t>
      </w:r>
      <w:r>
        <w:rPr>
          <w:rFonts w:ascii="黑体" w:hAnsi="黑体" w:eastAsia="黑体" w:cs="Times New Roman"/>
          <w:b/>
          <w:kern w:val="0"/>
          <w:sz w:val="24"/>
          <w:szCs w:val="24"/>
        </w:rPr>
        <w:t>合理开发利用矿产资源</w:t>
      </w:r>
    </w:p>
    <w:p>
      <w:pPr>
        <w:adjustRightInd w:val="0"/>
        <w:snapToGrid w:val="0"/>
        <w:spacing w:line="360" w:lineRule="auto"/>
        <w:ind w:firstLine="480" w:firstLineChars="200"/>
        <w:rPr>
          <w:rFonts w:cs="Times New Roman" w:asciiTheme="minorEastAsia" w:hAnsiTheme="minorEastAsia"/>
          <w:kern w:val="0"/>
          <w:sz w:val="24"/>
          <w:szCs w:val="24"/>
        </w:rPr>
      </w:pPr>
      <w:r>
        <w:rPr>
          <w:rFonts w:ascii="宋体" w:hAnsi="宋体" w:eastAsia="宋体" w:cs="Times New Roman"/>
          <w:kern w:val="0"/>
          <w:sz w:val="24"/>
          <w:szCs w:val="24"/>
        </w:rPr>
        <w:t>大英县位于四川盆地中东部低山丘陵地带，郪江中下游，涪江中游，境内地层构造简单，主要出露侏罗系紫灰色、鲜红色砂泥岩及第四系河流阶地堆积物，地层产状平缓，褶皱断裂构造不发育，境内矿产资源以沉积矿产为主，目前已发现的矿种有砂金、岩盐矿、砖瓦用叶岩、天然卤水及伴生天然气等</w:t>
      </w:r>
      <w:r>
        <w:rPr>
          <w:rFonts w:hint="eastAsia" w:eastAsia="宋体" w:cs="Times New Roman" w:asciiTheme="minorEastAsia" w:hAnsiTheme="minorEastAsia"/>
          <w:kern w:val="0"/>
          <w:sz w:val="24"/>
          <w:szCs w:val="24"/>
        </w:rPr>
        <w:t>。</w:t>
      </w:r>
      <w:r>
        <w:rPr>
          <w:rFonts w:ascii="宋体" w:hAnsi="宋体" w:eastAsia="宋体" w:cs="Times New Roman"/>
          <w:kern w:val="0"/>
          <w:sz w:val="24"/>
          <w:szCs w:val="24"/>
        </w:rPr>
        <w:t>岩盐矿及天然卤水主要分布于蓬莱镇、象山镇及卓筒井镇，砖瓦用叶岩则在大英县全境内均有分布。</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合理开采矿产资源，片区内采矿点7个，象山镇砖瓦用叶岩4个、玉峰砖瓦用叶岩1个、河边转弯用叶岩1个</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目前片区内7个采矿点已经全部停止生产。部分矿点需要进行生态修复</w:t>
      </w:r>
      <w:r>
        <w:rPr>
          <w:rFonts w:hint="eastAsia" w:eastAsia="宋体" w:cs="Times New Roman" w:asciiTheme="minorEastAsia" w:hAnsiTheme="minorEastAsia"/>
          <w:kern w:val="0"/>
          <w:sz w:val="24"/>
          <w:szCs w:val="24"/>
        </w:rPr>
        <w:t>。</w:t>
      </w:r>
    </w:p>
    <w:p>
      <w:pPr>
        <w:adjustRightInd w:val="0"/>
        <w:snapToGrid w:val="0"/>
        <w:spacing w:line="360" w:lineRule="auto"/>
        <w:ind w:firstLine="480" w:firstLineChars="200"/>
        <w:rPr>
          <w:rFonts w:ascii="宋体" w:hAnsi="宋体" w:eastAsia="宋体" w:cs="Times New Roman"/>
          <w:kern w:val="0"/>
          <w:sz w:val="24"/>
          <w:szCs w:val="24"/>
        </w:rPr>
      </w:pPr>
      <w:r>
        <w:rPr>
          <w:rFonts w:eastAsia="宋体" w:cs="Times New Roman" w:asciiTheme="minorEastAsia" w:hAnsiTheme="minorEastAsia"/>
          <w:kern w:val="0"/>
          <w:sz w:val="24"/>
          <w:szCs w:val="24"/>
        </w:rPr>
        <w:t>考虑大英县在建及规划的</w:t>
      </w:r>
      <w:r>
        <w:rPr>
          <w:rFonts w:hint="eastAsia" w:eastAsia="宋体" w:cs="Times New Roman" w:asciiTheme="minorEastAsia" w:hAnsiTheme="minorEastAsia"/>
          <w:kern w:val="0"/>
          <w:sz w:val="24"/>
          <w:szCs w:val="24"/>
        </w:rPr>
        <w:t>祥</w:t>
      </w:r>
      <w:r>
        <w:rPr>
          <w:rFonts w:eastAsia="宋体" w:cs="Times New Roman" w:asciiTheme="minorEastAsia" w:hAnsiTheme="minorEastAsia"/>
          <w:kern w:val="0"/>
          <w:sz w:val="24"/>
          <w:szCs w:val="24"/>
        </w:rPr>
        <w:t>凤寨水库及“浪漫地中海”度假基地等大型基础设施建设，</w:t>
      </w:r>
      <w:r>
        <w:rPr>
          <w:rFonts w:eastAsia="宋体" w:cs="Times New Roman" w:asciiTheme="minorEastAsia" w:hAnsiTheme="minorEastAsia"/>
          <w:b/>
          <w:kern w:val="0"/>
          <w:sz w:val="24"/>
          <w:szCs w:val="24"/>
          <w:u w:val="single"/>
        </w:rPr>
        <w:t>在</w:t>
      </w:r>
      <w:r>
        <w:rPr>
          <w:rFonts w:hint="eastAsia" w:eastAsia="宋体" w:cs="Times New Roman" w:asciiTheme="minorEastAsia" w:hAnsiTheme="minorEastAsia"/>
          <w:b/>
          <w:kern w:val="0"/>
          <w:sz w:val="24"/>
          <w:szCs w:val="24"/>
          <w:u w:val="single"/>
        </w:rPr>
        <w:t>玉峰</w:t>
      </w:r>
      <w:r>
        <w:rPr>
          <w:rFonts w:eastAsia="宋体" w:cs="Times New Roman" w:asciiTheme="minorEastAsia" w:hAnsiTheme="minorEastAsia"/>
          <w:b/>
          <w:kern w:val="0"/>
          <w:sz w:val="24"/>
          <w:szCs w:val="24"/>
          <w:u w:val="single"/>
        </w:rPr>
        <w:t>镇区西侧，布局</w:t>
      </w:r>
      <w:r>
        <w:rPr>
          <w:rFonts w:hint="eastAsia" w:eastAsia="宋体" w:cs="Times New Roman" w:asciiTheme="minorEastAsia" w:hAnsiTheme="minorEastAsia"/>
          <w:b/>
          <w:kern w:val="0"/>
          <w:sz w:val="24"/>
          <w:szCs w:val="24"/>
          <w:u w:val="single"/>
        </w:rPr>
        <w:t>浅垭子村砖瓦用页岩</w:t>
      </w:r>
      <w:r>
        <w:rPr>
          <w:rFonts w:ascii="宋体" w:hAnsi="宋体" w:eastAsia="宋体" w:cs="Times New Roman"/>
          <w:b/>
          <w:kern w:val="0"/>
          <w:sz w:val="24"/>
          <w:szCs w:val="24"/>
          <w:u w:val="single"/>
        </w:rPr>
        <w:t>备选开采区</w:t>
      </w:r>
      <w:r>
        <w:rPr>
          <w:rFonts w:hint="eastAsia" w:ascii="宋体" w:hAnsi="宋体" w:eastAsia="宋体" w:cs="Times New Roman"/>
          <w:b/>
          <w:kern w:val="0"/>
          <w:sz w:val="24"/>
          <w:szCs w:val="24"/>
          <w:u w:val="single"/>
        </w:rPr>
        <w:t>，</w:t>
      </w:r>
      <w:r>
        <w:rPr>
          <w:rFonts w:ascii="宋体" w:hAnsi="宋体" w:eastAsia="宋体" w:cs="Times New Roman"/>
          <w:b/>
          <w:kern w:val="0"/>
          <w:sz w:val="24"/>
          <w:szCs w:val="24"/>
          <w:u w:val="single"/>
        </w:rPr>
        <w:t>面积约</w:t>
      </w:r>
      <w:r>
        <w:rPr>
          <w:rFonts w:hint="eastAsia" w:ascii="宋体" w:hAnsi="宋体" w:eastAsia="宋体" w:cs="Times New Roman"/>
          <w:b/>
          <w:kern w:val="0"/>
          <w:sz w:val="24"/>
          <w:szCs w:val="24"/>
          <w:u w:val="single"/>
        </w:rPr>
        <w:t>4.60公顷；规划在河边镇人民村和桂阳村交界处布局大英县唐家沟饰面用石材（砂岩），</w:t>
      </w:r>
      <w:r>
        <w:rPr>
          <w:rFonts w:ascii="宋体" w:hAnsi="宋体" w:eastAsia="宋体" w:cs="Times New Roman"/>
          <w:b/>
          <w:kern w:val="0"/>
          <w:sz w:val="24"/>
          <w:szCs w:val="24"/>
          <w:u w:val="single"/>
        </w:rPr>
        <w:t>面积约</w:t>
      </w:r>
      <w:r>
        <w:rPr>
          <w:rFonts w:hint="eastAsia" w:ascii="宋体" w:hAnsi="宋体" w:eastAsia="宋体" w:cs="Times New Roman"/>
          <w:b/>
          <w:kern w:val="0"/>
          <w:sz w:val="24"/>
          <w:szCs w:val="24"/>
          <w:u w:val="single"/>
        </w:rPr>
        <w:t>1.91公顷，</w:t>
      </w:r>
      <w:r>
        <w:rPr>
          <w:rFonts w:ascii="宋体" w:hAnsi="宋体" w:eastAsia="宋体" w:cs="Times New Roman"/>
          <w:b/>
          <w:kern w:val="0"/>
          <w:sz w:val="24"/>
          <w:szCs w:val="24"/>
          <w:u w:val="single"/>
        </w:rPr>
        <w:t>满足附近大型基础设施建设临时用矿需求</w:t>
      </w:r>
      <w:r>
        <w:rPr>
          <w:rFonts w:hint="eastAsia" w:ascii="宋体" w:hAnsi="宋体" w:eastAsia="宋体" w:cs="Times New Roman"/>
          <w:b/>
          <w:kern w:val="0"/>
          <w:sz w:val="24"/>
          <w:szCs w:val="24"/>
          <w:u w:val="single"/>
        </w:rPr>
        <w:t>。</w:t>
      </w:r>
      <w:r>
        <w:rPr>
          <w:rFonts w:ascii="宋体" w:hAnsi="宋体" w:eastAsia="宋体" w:cs="Times New Roman"/>
          <w:kern w:val="0"/>
          <w:sz w:val="24"/>
          <w:szCs w:val="24"/>
        </w:rPr>
        <w:t>该区域主要为浅丘区，地形地貌简单，地质构造简单、地质环境条件中等至简单，资源相对富集，周边交通便利，与其他矿权和禁采区、水源地保护区等无冲突。</w:t>
      </w:r>
    </w:p>
    <w:p>
      <w:pPr>
        <w:adjustRightInd w:val="0"/>
        <w:snapToGrid w:val="0"/>
        <w:spacing w:line="360" w:lineRule="auto"/>
        <w:ind w:firstLine="482" w:firstLineChars="200"/>
        <w:rPr>
          <w:rFonts w:eastAsia="宋体" w:cs="Times New Roman" w:asciiTheme="minorEastAsia" w:hAnsiTheme="minorEastAsia"/>
          <w:b/>
          <w:kern w:val="0"/>
          <w:sz w:val="24"/>
          <w:szCs w:val="24"/>
          <w:u w:val="single"/>
        </w:rPr>
      </w:pPr>
      <w:r>
        <w:rPr>
          <w:rFonts w:hint="eastAsia" w:eastAsia="宋体" w:cs="Times New Roman" w:asciiTheme="minorEastAsia" w:hAnsiTheme="minorEastAsia"/>
          <w:b/>
          <w:kern w:val="0"/>
          <w:sz w:val="24"/>
          <w:szCs w:val="24"/>
          <w:u w:val="single"/>
        </w:rPr>
        <w:t>新设矿产勘查开采区块应严格避让生态保护红线和永久基本农田，并与其他各类建设用地统筹布局。禁止在文物保护单位和古迹所在地，铁路、高速公路两侧可视范围，桥梁、道</w:t>
      </w:r>
      <w:r>
        <w:rPr>
          <w:rFonts w:hint="eastAsia" w:eastAsia="宋体" w:cs="Times New Roman" w:asciiTheme="minorEastAsia" w:hAnsiTheme="minorEastAsia"/>
          <w:b/>
          <w:kern w:val="0"/>
          <w:sz w:val="24"/>
          <w:szCs w:val="24"/>
          <w:u w:val="single"/>
          <w:lang w:val="en-US" w:eastAsia="zh-CN"/>
        </w:rPr>
        <w:t>路</w:t>
      </w:r>
      <w:r>
        <w:rPr>
          <w:rFonts w:hint="eastAsia" w:eastAsia="宋体" w:cs="Times New Roman" w:asciiTheme="minorEastAsia" w:hAnsiTheme="minorEastAsia"/>
          <w:b/>
          <w:kern w:val="0"/>
          <w:sz w:val="24"/>
          <w:szCs w:val="24"/>
          <w:u w:val="single"/>
        </w:rPr>
        <w:t>、堤防等重要基础设施周边安全距离内，饮用水源地、二级保护区范围内开展矿产资源勘查开发活动。新建矿山必须达到绿色矿山建设规范要求，矿山企业要根据绿色矿山建设规范要求,编制矿山开发利用方案矿山地质环境保护与土地复垦方案以及绿色矿山建设方案。</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矿产资源禁止开采区：区内已有的开采矿种采矿权项目，在保护采矿人权益的前提下，依法有序退出，禁止一切矿产资源的开发利用活动。</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矿产资源限制勘查区：实行勘查准入，除允许少量对生态环境影响小的勘查外，不再新设其他矿种的勘查区。</w:t>
      </w:r>
    </w:p>
    <w:p>
      <w:pPr>
        <w:pStyle w:val="36"/>
        <w:numPr>
          <w:ilvl w:val="0"/>
          <w:numId w:val="5"/>
        </w:numPr>
        <w:spacing w:beforeLines="50" w:afterLines="50"/>
        <w:ind w:firstLineChars="0"/>
        <w:jc w:val="center"/>
        <w:rPr>
          <w:rFonts w:ascii="黑体" w:hAnsi="黑体" w:eastAsia="黑体"/>
          <w:b w:val="0"/>
          <w:kern w:val="2"/>
        </w:rPr>
      </w:pPr>
      <w:bookmarkStart w:id="20" w:name="_Toc166772169"/>
      <w:r>
        <w:rPr>
          <w:rFonts w:hint="eastAsia" w:ascii="黑体" w:hAnsi="黑体" w:eastAsia="黑体"/>
          <w:b w:val="0"/>
          <w:kern w:val="2"/>
        </w:rPr>
        <w:t>镇村建设</w:t>
      </w:r>
      <w:bookmarkEnd w:id="20"/>
    </w:p>
    <w:p>
      <w:pPr>
        <w:adjustRightInd w:val="0"/>
        <w:snapToGrid w:val="0"/>
        <w:spacing w:line="360" w:lineRule="auto"/>
        <w:ind w:firstLine="482" w:firstLineChars="200"/>
        <w:rPr>
          <w:rFonts w:ascii="黑体" w:hAnsi="黑体" w:eastAsia="黑体" w:cs="Times New Roman"/>
          <w:b/>
          <w:kern w:val="0"/>
          <w:sz w:val="24"/>
          <w:szCs w:val="24"/>
        </w:rPr>
      </w:pPr>
      <w:r>
        <w:rPr>
          <w:rFonts w:hint="eastAsia" w:ascii="黑体" w:hAnsi="黑体" w:eastAsia="黑体" w:cs="Times New Roman"/>
          <w:b/>
          <w:kern w:val="0"/>
          <w:sz w:val="24"/>
          <w:szCs w:val="24"/>
        </w:rPr>
        <w:t>一、合理预测片区人口规模</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（一）片区总人口预测</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成遂</w:t>
      </w:r>
      <w:r>
        <w:rPr>
          <w:rFonts w:eastAsia="宋体" w:cs="Times New Roman" w:asciiTheme="minorEastAsia" w:hAnsiTheme="minorEastAsia"/>
          <w:kern w:val="0"/>
          <w:sz w:val="24"/>
          <w:szCs w:val="24"/>
        </w:rPr>
        <w:t>协同绿色发展片区近五年户籍人口与常住人口均呈逐渐减少趋势。其中户籍人口近五年综合增长率为-</w:t>
      </w:r>
      <w:r>
        <w:rPr>
          <w:rFonts w:hint="eastAsia" w:eastAsia="宋体" w:cs="Times New Roman" w:asciiTheme="minorEastAsia" w:hAnsiTheme="minorEastAsia"/>
          <w:kern w:val="0"/>
          <w:sz w:val="24"/>
          <w:szCs w:val="24"/>
        </w:rPr>
        <w:t>12.60</w:t>
      </w:r>
      <w:r>
        <w:rPr>
          <w:rFonts w:eastAsia="宋体" w:cs="Times New Roman" w:asciiTheme="minorEastAsia" w:hAnsiTheme="minorEastAsia"/>
          <w:kern w:val="0"/>
          <w:sz w:val="24"/>
          <w:szCs w:val="24"/>
        </w:rPr>
        <w:t>‰，近10年综合增长率为-</w:t>
      </w:r>
      <w:r>
        <w:rPr>
          <w:rFonts w:hint="eastAsia" w:eastAsia="宋体" w:cs="Times New Roman" w:asciiTheme="minorEastAsia" w:hAnsiTheme="minorEastAsia"/>
          <w:kern w:val="0"/>
          <w:sz w:val="24"/>
          <w:szCs w:val="24"/>
        </w:rPr>
        <w:t>6.35</w:t>
      </w:r>
      <w:r>
        <w:rPr>
          <w:rFonts w:eastAsia="宋体" w:cs="Times New Roman" w:asciiTheme="minorEastAsia" w:hAnsiTheme="minorEastAsia"/>
          <w:kern w:val="0"/>
          <w:sz w:val="24"/>
          <w:szCs w:val="24"/>
        </w:rPr>
        <w:t>‰</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根据第六次</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第七次人口普查数据以及相关部门提供的人口调查数据分析</w:t>
      </w:r>
      <w:r>
        <w:rPr>
          <w:rFonts w:hint="eastAsia" w:eastAsia="宋体" w:cs="Times New Roman" w:asciiTheme="minorEastAsia" w:hAnsiTheme="minorEastAsia"/>
          <w:kern w:val="0"/>
          <w:sz w:val="24"/>
          <w:szCs w:val="24"/>
        </w:rPr>
        <w:t>，片区</w:t>
      </w:r>
      <w:r>
        <w:rPr>
          <w:rFonts w:eastAsia="宋体" w:cs="Times New Roman" w:asciiTheme="minorEastAsia" w:hAnsiTheme="minorEastAsia"/>
          <w:kern w:val="0"/>
          <w:sz w:val="24"/>
          <w:szCs w:val="24"/>
        </w:rPr>
        <w:t>常住人口近五年综合增长率为-</w:t>
      </w:r>
      <w:r>
        <w:rPr>
          <w:rFonts w:hint="eastAsia" w:eastAsia="宋体" w:cs="Times New Roman" w:asciiTheme="minorEastAsia" w:hAnsiTheme="minorEastAsia"/>
          <w:kern w:val="0"/>
          <w:sz w:val="24"/>
          <w:szCs w:val="24"/>
        </w:rPr>
        <w:t>45.20</w:t>
      </w:r>
      <w:r>
        <w:rPr>
          <w:rFonts w:eastAsia="宋体" w:cs="Times New Roman" w:asciiTheme="minorEastAsia" w:hAnsiTheme="minorEastAsia"/>
          <w:kern w:val="0"/>
          <w:sz w:val="24"/>
          <w:szCs w:val="24"/>
        </w:rPr>
        <w:t>‰，</w:t>
      </w:r>
      <w:r>
        <w:rPr>
          <w:rFonts w:hint="eastAsia" w:eastAsia="宋体" w:cs="Times New Roman" w:asciiTheme="minorEastAsia" w:hAnsiTheme="minorEastAsia"/>
          <w:kern w:val="0"/>
          <w:sz w:val="24"/>
          <w:szCs w:val="24"/>
        </w:rPr>
        <w:t>常住人口由“六普”的13.01万人，降低为7.92万人，</w:t>
      </w:r>
      <w:r>
        <w:rPr>
          <w:rFonts w:eastAsia="宋体" w:cs="Times New Roman" w:asciiTheme="minorEastAsia" w:hAnsiTheme="minorEastAsia"/>
          <w:kern w:val="0"/>
          <w:sz w:val="24"/>
          <w:szCs w:val="24"/>
        </w:rPr>
        <w:t>近10年综合增长率为-</w:t>
      </w:r>
      <w:r>
        <w:rPr>
          <w:rFonts w:hint="eastAsia" w:eastAsia="宋体" w:cs="Times New Roman" w:asciiTheme="minorEastAsia" w:hAnsiTheme="minorEastAsia"/>
          <w:kern w:val="0"/>
          <w:sz w:val="24"/>
          <w:szCs w:val="24"/>
        </w:rPr>
        <w:t>39.1</w:t>
      </w:r>
      <w:r>
        <w:rPr>
          <w:rFonts w:eastAsia="宋体" w:cs="Times New Roman" w:asciiTheme="minorEastAsia" w:hAnsiTheme="minorEastAsia"/>
          <w:kern w:val="0"/>
          <w:sz w:val="24"/>
          <w:szCs w:val="24"/>
        </w:rPr>
        <w:t>‰ 。</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2022年5月，国务院颁布了《关于推进以县城为重要载体的城镇化建设的意见》，意见指出，县城是我国城镇体系的重要组成部分，是城乡融合发展的关键支撑，对促进新型城镇化建设、构建新型工农城乡关系具有重要意义，要求以县域为基本单元推进城乡融合发展，发挥县城连接城市、服务乡村作用，增强对乡村的辐射带动能力，促进县城基础设施和公共服务向乡村延伸覆盖，强化县城与邻近城市发展的衔接配合。未来随着县城特色优势产业发展壮大，市政设施基本完备，公共服务全面提升，人居环境有效改善，综合承载能力明显增强，农民到县城就业安家规模不断扩大，未来片区的常住人口和户籍人口会呈不断的减少的趋势。</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由于片区特殊的经济地理区位</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随着粮油园区建设的不断</w:t>
      </w:r>
      <w:r>
        <w:rPr>
          <w:rFonts w:hint="eastAsia" w:eastAsia="宋体" w:cs="Times New Roman" w:asciiTheme="minorEastAsia" w:hAnsiTheme="minorEastAsia"/>
          <w:kern w:val="0"/>
          <w:sz w:val="24"/>
          <w:szCs w:val="24"/>
        </w:rPr>
        <w:t>推进，片区美丽乡村和精品乡村的打造，未来会有少量人</w:t>
      </w:r>
      <w:r>
        <w:rPr>
          <w:rFonts w:hint="eastAsia" w:eastAsia="宋体" w:cs="Times New Roman" w:asciiTheme="minorEastAsia" w:hAnsiTheme="minorEastAsia"/>
          <w:kern w:val="0"/>
          <w:sz w:val="24"/>
          <w:szCs w:val="24"/>
          <w:lang w:val="en-US" w:eastAsia="zh-CN"/>
        </w:rPr>
        <w:t>口</w:t>
      </w:r>
      <w:r>
        <w:rPr>
          <w:rFonts w:hint="eastAsia" w:eastAsia="宋体" w:cs="Times New Roman" w:asciiTheme="minorEastAsia" w:hAnsiTheme="minorEastAsia"/>
          <w:kern w:val="0"/>
          <w:sz w:val="24"/>
          <w:szCs w:val="24"/>
        </w:rPr>
        <w:t>回流，片区流出人口规模会呈小规模的速度减少，</w:t>
      </w:r>
      <w:r>
        <w:rPr>
          <w:rFonts w:eastAsia="宋体" w:cs="Times New Roman" w:asciiTheme="minorEastAsia" w:hAnsiTheme="minorEastAsia"/>
          <w:kern w:val="0"/>
          <w:sz w:val="24"/>
          <w:szCs w:val="24"/>
        </w:rPr>
        <w:t>预测到目标年户籍人口综合增长率为-</w:t>
      </w:r>
      <w:r>
        <w:rPr>
          <w:rFonts w:hint="eastAsia" w:eastAsia="宋体" w:cs="Times New Roman" w:asciiTheme="minorEastAsia" w:hAnsiTheme="minorEastAsia"/>
          <w:kern w:val="0"/>
          <w:sz w:val="24"/>
          <w:szCs w:val="24"/>
        </w:rPr>
        <w:t>20</w:t>
      </w:r>
      <w:r>
        <w:rPr>
          <w:rFonts w:eastAsia="宋体" w:cs="Times New Roman" w:asciiTheme="minorEastAsia" w:hAnsiTheme="minorEastAsia"/>
          <w:kern w:val="0"/>
          <w:sz w:val="24"/>
          <w:szCs w:val="24"/>
        </w:rPr>
        <w:t>‰ ，常住人口综合增长率为</w:t>
      </w:r>
      <w:r>
        <w:rPr>
          <w:rFonts w:hint="eastAsia" w:eastAsia="宋体" w:cs="Times New Roman" w:asciiTheme="minorEastAsia" w:hAnsiTheme="minorEastAsia"/>
          <w:kern w:val="0"/>
          <w:sz w:val="24"/>
          <w:szCs w:val="24"/>
        </w:rPr>
        <w:t>-12</w:t>
      </w:r>
      <w:r>
        <w:rPr>
          <w:rFonts w:eastAsia="宋体" w:cs="Times New Roman" w:asciiTheme="minorEastAsia" w:hAnsiTheme="minorEastAsia"/>
          <w:kern w:val="0"/>
          <w:sz w:val="24"/>
          <w:szCs w:val="24"/>
        </w:rPr>
        <w:t>‰</w:t>
      </w:r>
      <w:r>
        <w:rPr>
          <w:rFonts w:hint="eastAsia" w:eastAsia="宋体" w:cs="Times New Roman" w:asciiTheme="minorEastAsia" w:hAnsiTheme="minorEastAsia"/>
          <w:kern w:val="0"/>
          <w:sz w:val="24"/>
          <w:szCs w:val="24"/>
        </w:rPr>
        <w:t>。</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成遂</w:t>
      </w:r>
      <w:r>
        <w:rPr>
          <w:rFonts w:eastAsia="宋体" w:cs="Times New Roman" w:asciiTheme="minorEastAsia" w:hAnsiTheme="minorEastAsia"/>
          <w:kern w:val="0"/>
          <w:sz w:val="24"/>
          <w:szCs w:val="24"/>
        </w:rPr>
        <w:t>协同绿色发展片区</w:t>
      </w:r>
      <w:r>
        <w:rPr>
          <w:rFonts w:hint="eastAsia" w:eastAsia="宋体" w:cs="Times New Roman" w:asciiTheme="minorEastAsia" w:hAnsiTheme="minorEastAsia"/>
          <w:kern w:val="0"/>
          <w:sz w:val="24"/>
          <w:szCs w:val="24"/>
        </w:rPr>
        <w:t>2020</w:t>
      </w:r>
      <w:r>
        <w:rPr>
          <w:rFonts w:eastAsia="宋体" w:cs="Times New Roman" w:asciiTheme="minorEastAsia" w:hAnsiTheme="minorEastAsia"/>
          <w:kern w:val="0"/>
          <w:sz w:val="24"/>
          <w:szCs w:val="24"/>
        </w:rPr>
        <w:t>年户籍人口</w:t>
      </w:r>
      <w:r>
        <w:rPr>
          <w:rFonts w:hint="eastAsia" w:eastAsia="宋体" w:cs="Times New Roman" w:asciiTheme="minorEastAsia" w:hAnsiTheme="minorEastAsia"/>
          <w:kern w:val="0"/>
          <w:sz w:val="24"/>
          <w:szCs w:val="24"/>
        </w:rPr>
        <w:t>14.54</w:t>
      </w:r>
      <w:r>
        <w:rPr>
          <w:rFonts w:eastAsia="宋体" w:cs="Times New Roman" w:asciiTheme="minorEastAsia" w:hAnsiTheme="minorEastAsia"/>
          <w:kern w:val="0"/>
          <w:sz w:val="24"/>
          <w:szCs w:val="24"/>
        </w:rPr>
        <w:t>万人，根据综合增长率预测到2035年，户籍人口为</w:t>
      </w:r>
      <w:r>
        <w:rPr>
          <w:rFonts w:hint="eastAsia" w:eastAsia="宋体" w:cs="Times New Roman" w:asciiTheme="minorEastAsia" w:hAnsiTheme="minorEastAsia"/>
          <w:kern w:val="0"/>
          <w:sz w:val="24"/>
          <w:szCs w:val="24"/>
        </w:rPr>
        <w:t>：</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Q=Q</w:t>
      </w:r>
      <w:r>
        <w:rPr>
          <w:rFonts w:eastAsia="宋体" w:cs="Times New Roman" w:asciiTheme="minorEastAsia" w:hAnsiTheme="minorEastAsia"/>
          <w:kern w:val="0"/>
          <w:sz w:val="24"/>
          <w:szCs w:val="24"/>
          <w:vertAlign w:val="subscript"/>
        </w:rPr>
        <w:t>0</w:t>
      </w:r>
      <w:r>
        <w:rPr>
          <w:rFonts w:eastAsia="宋体" w:cs="Times New Roman" w:asciiTheme="minorEastAsia" w:hAnsiTheme="minorEastAsia"/>
          <w:kern w:val="0"/>
          <w:sz w:val="24"/>
          <w:szCs w:val="24"/>
        </w:rPr>
        <w:t>（1+k）</w:t>
      </w:r>
      <w:r>
        <w:rPr>
          <w:rFonts w:eastAsia="宋体" w:cs="Times New Roman" w:asciiTheme="minorEastAsia" w:hAnsiTheme="minorEastAsia"/>
          <w:kern w:val="0"/>
          <w:sz w:val="24"/>
          <w:szCs w:val="24"/>
          <w:vertAlign w:val="superscript"/>
        </w:rPr>
        <w:t>n</w:t>
      </w:r>
      <w:r>
        <w:rPr>
          <w:rFonts w:eastAsia="宋体" w:cs="Times New Roman" w:asciiTheme="minorEastAsia" w:hAnsiTheme="minorEastAsia"/>
          <w:kern w:val="0"/>
          <w:sz w:val="24"/>
          <w:szCs w:val="24"/>
        </w:rPr>
        <w:t>=</w:t>
      </w:r>
      <w:r>
        <w:rPr>
          <w:rFonts w:hint="eastAsia" w:eastAsia="宋体" w:cs="Times New Roman" w:asciiTheme="minorEastAsia" w:hAnsiTheme="minorEastAsia"/>
          <w:kern w:val="0"/>
          <w:sz w:val="24"/>
          <w:szCs w:val="24"/>
        </w:rPr>
        <w:t>14.54</w:t>
      </w:r>
      <w:r>
        <w:rPr>
          <w:rFonts w:eastAsia="宋体" w:cs="Times New Roman" w:asciiTheme="minorEastAsia" w:hAnsiTheme="minorEastAsia"/>
          <w:kern w:val="0"/>
          <w:sz w:val="24"/>
          <w:szCs w:val="24"/>
        </w:rPr>
        <w:t>×（1-</w:t>
      </w:r>
      <w:r>
        <w:rPr>
          <w:rFonts w:hint="eastAsia" w:eastAsia="宋体" w:cs="Times New Roman" w:asciiTheme="minorEastAsia" w:hAnsiTheme="minorEastAsia"/>
          <w:kern w:val="0"/>
          <w:sz w:val="24"/>
          <w:szCs w:val="24"/>
        </w:rPr>
        <w:t>20</w:t>
      </w:r>
      <w:r>
        <w:rPr>
          <w:rFonts w:eastAsia="宋体" w:cs="Times New Roman" w:asciiTheme="minorEastAsia" w:hAnsiTheme="minorEastAsia"/>
          <w:kern w:val="0"/>
          <w:sz w:val="24"/>
          <w:szCs w:val="24"/>
        </w:rPr>
        <w:t>‰)</w:t>
      </w:r>
      <w:r>
        <w:rPr>
          <w:rFonts w:hint="eastAsia" w:eastAsia="宋体" w:cs="Times New Roman" w:asciiTheme="minorEastAsia" w:hAnsiTheme="minorEastAsia"/>
          <w:kern w:val="0"/>
          <w:sz w:val="24"/>
          <w:szCs w:val="24"/>
          <w:vertAlign w:val="superscript"/>
        </w:rPr>
        <w:t>15</w:t>
      </w:r>
      <w:r>
        <w:rPr>
          <w:rFonts w:eastAsia="宋体" w:cs="Times New Roman" w:asciiTheme="minorEastAsia" w:hAnsiTheme="minorEastAsia"/>
          <w:kern w:val="0"/>
          <w:sz w:val="24"/>
          <w:szCs w:val="24"/>
        </w:rPr>
        <w:t>≈</w:t>
      </w:r>
      <w:r>
        <w:rPr>
          <w:rFonts w:hint="eastAsia" w:eastAsia="宋体" w:cs="Times New Roman" w:asciiTheme="minorEastAsia" w:hAnsiTheme="minorEastAsia"/>
          <w:kern w:val="0"/>
          <w:sz w:val="24"/>
          <w:szCs w:val="24"/>
        </w:rPr>
        <w:t>10.74万人。</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成遂</w:t>
      </w:r>
      <w:r>
        <w:rPr>
          <w:rFonts w:eastAsia="宋体" w:cs="Times New Roman" w:asciiTheme="minorEastAsia" w:hAnsiTheme="minorEastAsia"/>
          <w:kern w:val="0"/>
          <w:sz w:val="24"/>
          <w:szCs w:val="24"/>
        </w:rPr>
        <w:t>协同绿色发展片区</w:t>
      </w:r>
      <w:r>
        <w:rPr>
          <w:rFonts w:hint="eastAsia" w:eastAsia="宋体" w:cs="Times New Roman" w:asciiTheme="minorEastAsia" w:hAnsiTheme="minorEastAsia"/>
          <w:kern w:val="0"/>
          <w:sz w:val="24"/>
          <w:szCs w:val="24"/>
        </w:rPr>
        <w:t>2020</w:t>
      </w:r>
      <w:r>
        <w:rPr>
          <w:rFonts w:eastAsia="宋体" w:cs="Times New Roman" w:asciiTheme="minorEastAsia" w:hAnsiTheme="minorEastAsia"/>
          <w:kern w:val="0"/>
          <w:sz w:val="24"/>
          <w:szCs w:val="24"/>
        </w:rPr>
        <w:t>年</w:t>
      </w:r>
      <w:r>
        <w:rPr>
          <w:rFonts w:hint="eastAsia" w:eastAsia="宋体" w:cs="Times New Roman" w:asciiTheme="minorEastAsia" w:hAnsiTheme="minorEastAsia"/>
          <w:kern w:val="0"/>
          <w:sz w:val="24"/>
          <w:szCs w:val="24"/>
        </w:rPr>
        <w:t>常住</w:t>
      </w:r>
      <w:r>
        <w:rPr>
          <w:rFonts w:eastAsia="宋体" w:cs="Times New Roman" w:asciiTheme="minorEastAsia" w:hAnsiTheme="minorEastAsia"/>
          <w:kern w:val="0"/>
          <w:sz w:val="24"/>
          <w:szCs w:val="24"/>
        </w:rPr>
        <w:t>人口</w:t>
      </w:r>
      <w:r>
        <w:rPr>
          <w:rFonts w:hint="eastAsia" w:eastAsia="宋体" w:cs="Times New Roman" w:asciiTheme="minorEastAsia" w:hAnsiTheme="minorEastAsia"/>
          <w:kern w:val="0"/>
          <w:sz w:val="24"/>
          <w:szCs w:val="24"/>
        </w:rPr>
        <w:t>7.92</w:t>
      </w:r>
      <w:r>
        <w:rPr>
          <w:rFonts w:eastAsia="宋体" w:cs="Times New Roman" w:asciiTheme="minorEastAsia" w:hAnsiTheme="minorEastAsia"/>
          <w:kern w:val="0"/>
          <w:sz w:val="24"/>
          <w:szCs w:val="24"/>
        </w:rPr>
        <w:t>万人，根据综合增长率预测到2035年，</w:t>
      </w:r>
      <w:r>
        <w:rPr>
          <w:rFonts w:hint="eastAsia" w:eastAsia="宋体" w:cs="Times New Roman" w:asciiTheme="minorEastAsia" w:hAnsiTheme="minorEastAsia"/>
          <w:kern w:val="0"/>
          <w:sz w:val="24"/>
          <w:szCs w:val="24"/>
        </w:rPr>
        <w:t>常</w:t>
      </w:r>
      <w:r>
        <w:rPr>
          <w:rFonts w:hint="eastAsia" w:eastAsia="宋体" w:cs="Times New Roman" w:asciiTheme="minorEastAsia" w:hAnsiTheme="minorEastAsia"/>
          <w:kern w:val="0"/>
          <w:sz w:val="24"/>
          <w:szCs w:val="24"/>
          <w:lang w:val="en-US" w:eastAsia="zh-CN"/>
        </w:rPr>
        <w:t>住</w:t>
      </w:r>
      <w:r>
        <w:rPr>
          <w:rFonts w:eastAsia="宋体" w:cs="Times New Roman" w:asciiTheme="minorEastAsia" w:hAnsiTheme="minorEastAsia"/>
          <w:kern w:val="0"/>
          <w:sz w:val="24"/>
          <w:szCs w:val="24"/>
        </w:rPr>
        <w:t>人口为</w:t>
      </w:r>
      <w:r>
        <w:rPr>
          <w:rFonts w:hint="eastAsia" w:eastAsia="宋体" w:cs="Times New Roman" w:asciiTheme="minorEastAsia" w:hAnsiTheme="minorEastAsia"/>
          <w:kern w:val="0"/>
          <w:sz w:val="24"/>
          <w:szCs w:val="24"/>
        </w:rPr>
        <w:t>：</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Q=Q</w:t>
      </w:r>
      <w:r>
        <w:rPr>
          <w:rFonts w:eastAsia="宋体" w:cs="Times New Roman" w:asciiTheme="minorEastAsia" w:hAnsiTheme="minorEastAsia"/>
          <w:kern w:val="0"/>
          <w:sz w:val="24"/>
          <w:szCs w:val="24"/>
          <w:vertAlign w:val="subscript"/>
        </w:rPr>
        <w:t>0</w:t>
      </w:r>
      <w:r>
        <w:rPr>
          <w:rFonts w:eastAsia="宋体" w:cs="Times New Roman" w:asciiTheme="minorEastAsia" w:hAnsiTheme="minorEastAsia"/>
          <w:kern w:val="0"/>
          <w:sz w:val="24"/>
          <w:szCs w:val="24"/>
        </w:rPr>
        <w:t>（1+k）</w:t>
      </w:r>
      <w:r>
        <w:rPr>
          <w:rFonts w:eastAsia="宋体" w:cs="Times New Roman" w:asciiTheme="minorEastAsia" w:hAnsiTheme="minorEastAsia"/>
          <w:kern w:val="0"/>
          <w:sz w:val="24"/>
          <w:szCs w:val="24"/>
          <w:vertAlign w:val="superscript"/>
        </w:rPr>
        <w:t>n</w:t>
      </w:r>
      <w:r>
        <w:rPr>
          <w:rFonts w:eastAsia="宋体" w:cs="Times New Roman" w:asciiTheme="minorEastAsia" w:hAnsiTheme="minorEastAsia"/>
          <w:kern w:val="0"/>
          <w:sz w:val="24"/>
          <w:szCs w:val="24"/>
        </w:rPr>
        <w:t>=</w:t>
      </w:r>
      <w:r>
        <w:rPr>
          <w:rFonts w:hint="eastAsia" w:eastAsia="宋体" w:cs="Times New Roman" w:asciiTheme="minorEastAsia" w:hAnsiTheme="minorEastAsia"/>
          <w:kern w:val="0"/>
          <w:sz w:val="24"/>
          <w:szCs w:val="24"/>
        </w:rPr>
        <w:t>7.92</w:t>
      </w:r>
      <w:r>
        <w:rPr>
          <w:rFonts w:eastAsia="宋体" w:cs="Times New Roman" w:asciiTheme="minorEastAsia" w:hAnsiTheme="minorEastAsia"/>
          <w:kern w:val="0"/>
          <w:sz w:val="24"/>
          <w:szCs w:val="24"/>
        </w:rPr>
        <w:t>×（1-</w:t>
      </w:r>
      <w:r>
        <w:rPr>
          <w:rFonts w:hint="eastAsia" w:eastAsia="宋体" w:cs="Times New Roman" w:asciiTheme="minorEastAsia" w:hAnsiTheme="minorEastAsia"/>
          <w:kern w:val="0"/>
          <w:sz w:val="24"/>
          <w:szCs w:val="24"/>
        </w:rPr>
        <w:t>12</w:t>
      </w:r>
      <w:r>
        <w:rPr>
          <w:rFonts w:eastAsia="宋体" w:cs="Times New Roman" w:asciiTheme="minorEastAsia" w:hAnsiTheme="minorEastAsia"/>
          <w:kern w:val="0"/>
          <w:sz w:val="24"/>
          <w:szCs w:val="24"/>
        </w:rPr>
        <w:t>‰)</w:t>
      </w:r>
      <w:r>
        <w:rPr>
          <w:rFonts w:hint="eastAsia" w:eastAsia="宋体" w:cs="Times New Roman" w:asciiTheme="minorEastAsia" w:hAnsiTheme="minorEastAsia"/>
          <w:kern w:val="0"/>
          <w:sz w:val="24"/>
          <w:szCs w:val="24"/>
          <w:vertAlign w:val="superscript"/>
        </w:rPr>
        <w:t>15</w:t>
      </w:r>
      <w:r>
        <w:rPr>
          <w:rFonts w:eastAsia="宋体" w:cs="Times New Roman" w:asciiTheme="minorEastAsia" w:hAnsiTheme="minorEastAsia"/>
          <w:kern w:val="0"/>
          <w:sz w:val="24"/>
          <w:szCs w:val="24"/>
        </w:rPr>
        <w:t>≈</w:t>
      </w:r>
      <w:r>
        <w:rPr>
          <w:rFonts w:hint="eastAsia" w:eastAsia="宋体" w:cs="Times New Roman" w:asciiTheme="minorEastAsia" w:hAnsiTheme="minorEastAsia"/>
          <w:kern w:val="0"/>
          <w:sz w:val="24"/>
          <w:szCs w:val="24"/>
        </w:rPr>
        <w:t>6.69万人。</w:t>
      </w:r>
    </w:p>
    <w:p>
      <w:pPr>
        <w:spacing w:line="360" w:lineRule="auto"/>
        <w:ind w:firstLine="470" w:firstLineChars="196"/>
        <w:rPr>
          <w:rFonts w:ascii="宋体" w:hAnsi="宋体" w:eastAsia="宋体" w:cs="Times New Roman"/>
          <w:sz w:val="24"/>
        </w:rPr>
      </w:pPr>
      <w:r>
        <w:rPr>
          <w:rFonts w:hint="eastAsia" w:ascii="宋体" w:hAnsi="宋体" w:eastAsia="宋体" w:cs="Times New Roman"/>
          <w:sz w:val="24"/>
        </w:rPr>
        <w:t>式中：</w:t>
      </w:r>
      <w:r>
        <w:rPr>
          <w:rFonts w:asciiTheme="minorEastAsia" w:hAnsiTheme="minorEastAsia"/>
          <w:sz w:val="24"/>
        </w:rPr>
        <w:t>Q</w:t>
      </w:r>
      <w:r>
        <w:rPr>
          <w:rFonts w:hint="eastAsia" w:asciiTheme="minorEastAsia" w:hAnsiTheme="minorEastAsia"/>
          <w:sz w:val="24"/>
        </w:rPr>
        <w:t>——</w:t>
      </w:r>
      <w:r>
        <w:rPr>
          <w:rFonts w:ascii="宋体" w:hAnsi="宋体" w:eastAsia="宋体" w:cs="Times New Roman"/>
          <w:sz w:val="24"/>
        </w:rPr>
        <w:t>预测目标年末人口规模；</w:t>
      </w:r>
    </w:p>
    <w:p>
      <w:pPr>
        <w:spacing w:line="360" w:lineRule="auto"/>
        <w:ind w:firstLine="1190" w:firstLineChars="496"/>
        <w:rPr>
          <w:rFonts w:ascii="宋体" w:hAnsi="宋体" w:eastAsia="宋体" w:cs="Times New Roman"/>
          <w:sz w:val="24"/>
        </w:rPr>
      </w:pPr>
      <w:r>
        <w:rPr>
          <w:rFonts w:ascii="宋体" w:hAnsi="宋体" w:eastAsia="宋体" w:cs="Times New Roman"/>
          <w:sz w:val="24"/>
        </w:rPr>
        <w:t>Q</w:t>
      </w:r>
      <w:r>
        <w:rPr>
          <w:rFonts w:ascii="宋体" w:hAnsi="宋体" w:eastAsia="宋体" w:cs="Times New Roman"/>
          <w:sz w:val="24"/>
          <w:vertAlign w:val="subscript"/>
        </w:rPr>
        <w:t>0</w:t>
      </w:r>
      <w:r>
        <w:rPr>
          <w:rFonts w:hint="eastAsia" w:asciiTheme="minorEastAsia" w:hAnsiTheme="minorEastAsia"/>
          <w:sz w:val="24"/>
        </w:rPr>
        <w:t>——</w:t>
      </w:r>
      <w:r>
        <w:rPr>
          <w:rFonts w:ascii="宋体" w:hAnsi="宋体" w:eastAsia="宋体" w:cs="Times New Roman"/>
          <w:sz w:val="24"/>
        </w:rPr>
        <w:t>预测基准年人口规模；</w:t>
      </w:r>
    </w:p>
    <w:p>
      <w:pPr>
        <w:spacing w:line="360" w:lineRule="auto"/>
        <w:ind w:firstLine="1190" w:firstLineChars="496"/>
        <w:rPr>
          <w:rFonts w:ascii="宋体" w:hAnsi="宋体" w:eastAsia="宋体" w:cs="Times New Roman"/>
          <w:sz w:val="24"/>
        </w:rPr>
      </w:pPr>
      <w:r>
        <w:rPr>
          <w:rFonts w:asciiTheme="minorEastAsia" w:hAnsiTheme="minorEastAsia"/>
          <w:sz w:val="24"/>
        </w:rPr>
        <w:t xml:space="preserve">K </w:t>
      </w:r>
      <w:r>
        <w:rPr>
          <w:rFonts w:hint="eastAsia" w:asciiTheme="minorEastAsia" w:hAnsiTheme="minorEastAsia"/>
          <w:sz w:val="24"/>
        </w:rPr>
        <w:t>——</w:t>
      </w:r>
      <w:r>
        <w:rPr>
          <w:rFonts w:hint="eastAsia" w:asciiTheme="minorEastAsia" w:hAnsiTheme="minorEastAsia"/>
          <w:sz w:val="24"/>
          <w:lang w:val="en-US" w:eastAsia="zh-CN"/>
        </w:rPr>
        <w:t>人</w:t>
      </w:r>
      <w:r>
        <w:rPr>
          <w:rFonts w:ascii="宋体" w:hAnsi="宋体" w:eastAsia="宋体" w:cs="Times New Roman"/>
          <w:sz w:val="24"/>
        </w:rPr>
        <w:t>口自然增长率；</w:t>
      </w:r>
    </w:p>
    <w:p>
      <w:pPr>
        <w:spacing w:line="360" w:lineRule="auto"/>
        <w:ind w:firstLine="1190" w:firstLineChars="496"/>
        <w:rPr>
          <w:rFonts w:ascii="宋体" w:hAnsi="宋体" w:eastAsia="宋体" w:cs="Times New Roman"/>
          <w:sz w:val="24"/>
        </w:rPr>
      </w:pPr>
      <w:r>
        <w:rPr>
          <w:rFonts w:asciiTheme="minorEastAsia" w:hAnsiTheme="minorEastAsia"/>
          <w:sz w:val="24"/>
        </w:rPr>
        <w:t xml:space="preserve">n </w:t>
      </w:r>
      <w:r>
        <w:rPr>
          <w:rFonts w:hint="eastAsia" w:asciiTheme="minorEastAsia" w:hAnsiTheme="minorEastAsia"/>
          <w:sz w:val="24"/>
        </w:rPr>
        <w:t>——</w:t>
      </w:r>
      <w:r>
        <w:rPr>
          <w:rFonts w:ascii="宋体" w:hAnsi="宋体" w:eastAsia="宋体" w:cs="Times New Roman"/>
          <w:sz w:val="24"/>
        </w:rPr>
        <w:t>预测年限</w:t>
      </w:r>
      <w:r>
        <w:rPr>
          <w:rFonts w:hint="eastAsia" w:ascii="宋体" w:hAnsi="宋体" w:eastAsia="宋体" w:cs="Times New Roman"/>
          <w:sz w:val="24"/>
        </w:rPr>
        <w:t>。</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2035年片区户籍人口规模逐步减少，常住人口规模少量</w:t>
      </w:r>
      <w:r>
        <w:rPr>
          <w:rFonts w:hint="eastAsia" w:eastAsia="宋体" w:cs="Times New Roman" w:asciiTheme="minorEastAsia" w:hAnsiTheme="minorEastAsia"/>
          <w:kern w:val="0"/>
          <w:sz w:val="24"/>
          <w:szCs w:val="24"/>
        </w:rPr>
        <w:t>减少</w:t>
      </w:r>
      <w:r>
        <w:rPr>
          <w:rFonts w:eastAsia="宋体" w:cs="Times New Roman" w:asciiTheme="minorEastAsia" w:hAnsiTheme="minorEastAsia"/>
          <w:kern w:val="0"/>
          <w:sz w:val="24"/>
          <w:szCs w:val="24"/>
        </w:rPr>
        <w:t>，通过政策适度引导人口进城养老，乡村人口呈现总量减少，</w:t>
      </w:r>
      <w:r>
        <w:rPr>
          <w:rFonts w:hint="eastAsia" w:eastAsia="宋体" w:cs="Times New Roman" w:asciiTheme="minorEastAsia" w:hAnsiTheme="minorEastAsia"/>
          <w:kern w:val="0"/>
          <w:sz w:val="24"/>
          <w:szCs w:val="24"/>
        </w:rPr>
        <w:t>镇区</w:t>
      </w:r>
      <w:r>
        <w:rPr>
          <w:rFonts w:eastAsia="宋体" w:cs="Times New Roman" w:asciiTheme="minorEastAsia" w:hAnsiTheme="minorEastAsia"/>
          <w:kern w:val="0"/>
          <w:sz w:val="24"/>
          <w:szCs w:val="24"/>
        </w:rPr>
        <w:t>人口略有增加。</w:t>
      </w:r>
      <w:r>
        <w:rPr>
          <w:rFonts w:hint="eastAsia" w:eastAsia="宋体" w:cs="Times New Roman" w:asciiTheme="minorEastAsia" w:hAnsiTheme="minorEastAsia"/>
          <w:kern w:val="0"/>
          <w:sz w:val="24"/>
          <w:szCs w:val="24"/>
        </w:rPr>
        <w:t>根据调研座谈，由于镇区的公共资源较为完善，村民向镇区及周边聚居意愿较强。随着河边和象山两个中心镇的不断建设，镇区能够吸引部分乡村人口就地城镇化，未来将加速农村人口的持续外流。</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预测片区常住人口</w:t>
      </w:r>
      <w:r>
        <w:rPr>
          <w:rFonts w:hint="eastAsia" w:eastAsia="宋体" w:cs="Times New Roman" w:asciiTheme="minorEastAsia" w:hAnsiTheme="minorEastAsia"/>
          <w:kern w:val="0"/>
          <w:sz w:val="24"/>
          <w:szCs w:val="24"/>
        </w:rPr>
        <w:t>6.69</w:t>
      </w:r>
      <w:r>
        <w:rPr>
          <w:rFonts w:eastAsia="宋体" w:cs="Times New Roman" w:asciiTheme="minorEastAsia" w:hAnsiTheme="minorEastAsia"/>
          <w:kern w:val="0"/>
          <w:sz w:val="24"/>
          <w:szCs w:val="24"/>
        </w:rPr>
        <w:t>万人（减少</w:t>
      </w:r>
      <w:r>
        <w:rPr>
          <w:rFonts w:hint="eastAsia" w:eastAsia="宋体" w:cs="Times New Roman" w:asciiTheme="minorEastAsia" w:hAnsiTheme="minorEastAsia"/>
          <w:kern w:val="0"/>
          <w:sz w:val="24"/>
          <w:szCs w:val="24"/>
        </w:rPr>
        <w:t>1.23</w:t>
      </w:r>
      <w:r>
        <w:rPr>
          <w:rFonts w:eastAsia="宋体" w:cs="Times New Roman" w:asciiTheme="minorEastAsia" w:hAnsiTheme="minorEastAsia"/>
          <w:kern w:val="0"/>
          <w:sz w:val="24"/>
          <w:szCs w:val="24"/>
        </w:rPr>
        <w:t>万人），户籍人口</w:t>
      </w:r>
      <w:r>
        <w:rPr>
          <w:rFonts w:hint="eastAsia" w:eastAsia="宋体" w:cs="Times New Roman" w:asciiTheme="minorEastAsia" w:hAnsiTheme="minorEastAsia"/>
          <w:kern w:val="0"/>
          <w:sz w:val="24"/>
          <w:szCs w:val="24"/>
        </w:rPr>
        <w:t>10.74</w:t>
      </w:r>
      <w:r>
        <w:rPr>
          <w:rFonts w:eastAsia="宋体" w:cs="Times New Roman" w:asciiTheme="minorEastAsia" w:hAnsiTheme="minorEastAsia"/>
          <w:kern w:val="0"/>
          <w:sz w:val="24"/>
          <w:szCs w:val="24"/>
        </w:rPr>
        <w:t>万人（减少</w:t>
      </w:r>
      <w:r>
        <w:rPr>
          <w:rFonts w:hint="eastAsia" w:eastAsia="宋体" w:cs="Times New Roman" w:asciiTheme="minorEastAsia" w:hAnsiTheme="minorEastAsia"/>
          <w:kern w:val="0"/>
          <w:sz w:val="24"/>
          <w:szCs w:val="24"/>
        </w:rPr>
        <w:t>3.80万人）。</w:t>
      </w:r>
    </w:p>
    <w:p>
      <w:pPr>
        <w:adjustRightInd w:val="0"/>
        <w:snapToGrid w:val="0"/>
        <w:spacing w:line="360" w:lineRule="auto"/>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片区各乡镇2035年户籍人口预测统计表：</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6"/>
        <w:gridCol w:w="3375"/>
        <w:gridCol w:w="38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72" w:type="pct"/>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城镇名称</w:t>
            </w:r>
          </w:p>
        </w:tc>
        <w:tc>
          <w:tcPr>
            <w:tcW w:w="1980" w:type="pct"/>
            <w:shd w:val="clear" w:color="auto" w:fill="auto"/>
            <w:vAlign w:val="center"/>
          </w:tcPr>
          <w:p>
            <w:pPr>
              <w:widowControl/>
              <w:jc w:val="center"/>
              <w:rPr>
                <w:rFonts w:ascii="宋体" w:hAnsi="宋体" w:eastAsia="宋体" w:cs="宋体"/>
                <w:bCs/>
                <w:kern w:val="0"/>
                <w:szCs w:val="21"/>
              </w:rPr>
            </w:pPr>
            <w:r>
              <w:rPr>
                <w:rFonts w:hint="eastAsia" w:ascii="宋体" w:hAnsi="宋体" w:eastAsia="宋体" w:cs="宋体"/>
                <w:bCs/>
                <w:kern w:val="0"/>
                <w:szCs w:val="21"/>
              </w:rPr>
              <w:t>2020现状户籍人口（万人）</w:t>
            </w:r>
          </w:p>
        </w:tc>
        <w:tc>
          <w:tcPr>
            <w:tcW w:w="2249" w:type="pct"/>
            <w:shd w:val="clear" w:color="auto" w:fill="auto"/>
            <w:vAlign w:val="center"/>
          </w:tcPr>
          <w:p>
            <w:pPr>
              <w:widowControl/>
              <w:jc w:val="center"/>
              <w:rPr>
                <w:rFonts w:ascii="宋体" w:hAnsi="宋体" w:eastAsia="宋体" w:cs="宋体"/>
                <w:bCs/>
                <w:kern w:val="0"/>
                <w:szCs w:val="21"/>
              </w:rPr>
            </w:pPr>
            <w:r>
              <w:rPr>
                <w:rFonts w:hint="eastAsia" w:ascii="宋体" w:hAnsi="宋体" w:eastAsia="宋体" w:cs="宋体"/>
                <w:bCs/>
                <w:kern w:val="0"/>
                <w:szCs w:val="21"/>
              </w:rPr>
              <w:t>2035规划户籍人口（万人）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72" w:type="pct"/>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河边镇</w:t>
            </w:r>
          </w:p>
        </w:tc>
        <w:tc>
          <w:tcPr>
            <w:tcW w:w="1980" w:type="pct"/>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6.08</w:t>
            </w:r>
          </w:p>
        </w:tc>
        <w:tc>
          <w:tcPr>
            <w:tcW w:w="2249" w:type="pct"/>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4.95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72" w:type="pct"/>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玉峰镇</w:t>
            </w:r>
          </w:p>
        </w:tc>
        <w:tc>
          <w:tcPr>
            <w:tcW w:w="1980" w:type="pct"/>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5.27</w:t>
            </w:r>
          </w:p>
        </w:tc>
        <w:tc>
          <w:tcPr>
            <w:tcW w:w="2249" w:type="pct"/>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72" w:type="pct"/>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象山镇</w:t>
            </w:r>
          </w:p>
        </w:tc>
        <w:tc>
          <w:tcPr>
            <w:tcW w:w="1980" w:type="pct"/>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3.18</w:t>
            </w:r>
          </w:p>
        </w:tc>
        <w:tc>
          <w:tcPr>
            <w:tcW w:w="2249" w:type="pct"/>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2.34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72" w:type="pct"/>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合计</w:t>
            </w:r>
          </w:p>
        </w:tc>
        <w:tc>
          <w:tcPr>
            <w:tcW w:w="1980" w:type="pct"/>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14.54</w:t>
            </w:r>
          </w:p>
        </w:tc>
        <w:tc>
          <w:tcPr>
            <w:tcW w:w="2249" w:type="pct"/>
            <w:shd w:val="clear" w:color="auto" w:fill="auto"/>
            <w:vAlign w:val="center"/>
          </w:tcPr>
          <w:p>
            <w:pPr>
              <w:widowControl/>
              <w:jc w:val="center"/>
              <w:rPr>
                <w:rFonts w:ascii="宋体" w:hAnsi="宋体" w:eastAsia="宋体" w:cs="宋体"/>
                <w:bCs/>
                <w:kern w:val="0"/>
                <w:szCs w:val="21"/>
              </w:rPr>
            </w:pPr>
            <w:r>
              <w:rPr>
                <w:rFonts w:hint="eastAsia" w:ascii="宋体" w:hAnsi="宋体" w:eastAsia="宋体" w:cs="宋体"/>
                <w:bCs/>
                <w:kern w:val="0"/>
                <w:szCs w:val="21"/>
              </w:rPr>
              <w:t>10.74</w:t>
            </w:r>
          </w:p>
        </w:tc>
      </w:tr>
    </w:tbl>
    <w:p>
      <w:pPr>
        <w:adjustRightInd w:val="0"/>
        <w:snapToGrid w:val="0"/>
        <w:spacing w:beforeLines="50" w:line="360" w:lineRule="auto"/>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片区各乡镇2035年常住人口预测统计表：</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9"/>
        <w:gridCol w:w="3699"/>
        <w:gridCol w:w="37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04" w:type="pct"/>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城镇</w:t>
            </w:r>
          </w:p>
        </w:tc>
        <w:tc>
          <w:tcPr>
            <w:tcW w:w="2170" w:type="pct"/>
            <w:shd w:val="clear" w:color="auto" w:fill="auto"/>
            <w:vAlign w:val="center"/>
          </w:tcPr>
          <w:p>
            <w:pPr>
              <w:widowControl/>
              <w:jc w:val="center"/>
              <w:rPr>
                <w:rFonts w:ascii="宋体" w:hAnsi="宋体" w:eastAsia="宋体" w:cs="宋体"/>
                <w:bCs/>
                <w:kern w:val="0"/>
                <w:szCs w:val="21"/>
              </w:rPr>
            </w:pPr>
            <w:r>
              <w:rPr>
                <w:rFonts w:hint="eastAsia" w:ascii="宋体" w:hAnsi="宋体" w:eastAsia="宋体" w:cs="宋体"/>
                <w:bCs/>
                <w:kern w:val="0"/>
                <w:szCs w:val="21"/>
              </w:rPr>
              <w:t>2020现状常住人口（万人）</w:t>
            </w:r>
          </w:p>
        </w:tc>
        <w:tc>
          <w:tcPr>
            <w:tcW w:w="2226" w:type="pct"/>
            <w:shd w:val="clear" w:color="auto" w:fill="auto"/>
            <w:vAlign w:val="center"/>
          </w:tcPr>
          <w:p>
            <w:pPr>
              <w:widowControl/>
              <w:jc w:val="center"/>
              <w:rPr>
                <w:rFonts w:ascii="宋体" w:hAnsi="宋体" w:eastAsia="宋体" w:cs="宋体"/>
                <w:bCs/>
                <w:kern w:val="0"/>
                <w:szCs w:val="21"/>
              </w:rPr>
            </w:pPr>
            <w:r>
              <w:rPr>
                <w:rFonts w:hint="eastAsia" w:ascii="宋体" w:hAnsi="宋体" w:eastAsia="宋体" w:cs="宋体"/>
                <w:bCs/>
                <w:kern w:val="0"/>
                <w:szCs w:val="21"/>
              </w:rPr>
              <w:t>2035规划常住人口（万人）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04" w:type="pct"/>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河边镇</w:t>
            </w:r>
          </w:p>
        </w:tc>
        <w:tc>
          <w:tcPr>
            <w:tcW w:w="2170" w:type="pct"/>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3.79</w:t>
            </w:r>
          </w:p>
        </w:tc>
        <w:tc>
          <w:tcPr>
            <w:tcW w:w="2226" w:type="pct"/>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3.14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04" w:type="pct"/>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玉峰镇</w:t>
            </w:r>
          </w:p>
        </w:tc>
        <w:tc>
          <w:tcPr>
            <w:tcW w:w="2170" w:type="pct"/>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2.05</w:t>
            </w:r>
          </w:p>
        </w:tc>
        <w:tc>
          <w:tcPr>
            <w:tcW w:w="2226" w:type="pct"/>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1.85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04" w:type="pct"/>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象山镇</w:t>
            </w:r>
          </w:p>
        </w:tc>
        <w:tc>
          <w:tcPr>
            <w:tcW w:w="2170" w:type="pct"/>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2.08</w:t>
            </w:r>
          </w:p>
        </w:tc>
        <w:tc>
          <w:tcPr>
            <w:tcW w:w="2226" w:type="pct"/>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04" w:type="pct"/>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合计</w:t>
            </w:r>
          </w:p>
        </w:tc>
        <w:tc>
          <w:tcPr>
            <w:tcW w:w="2170" w:type="pct"/>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7.92</w:t>
            </w:r>
          </w:p>
        </w:tc>
        <w:tc>
          <w:tcPr>
            <w:tcW w:w="2226" w:type="pct"/>
            <w:shd w:val="clear" w:color="auto" w:fill="auto"/>
            <w:vAlign w:val="center"/>
          </w:tcPr>
          <w:p>
            <w:pPr>
              <w:widowControl/>
              <w:jc w:val="center"/>
              <w:rPr>
                <w:rFonts w:ascii="宋体" w:hAnsi="宋体" w:eastAsia="宋体" w:cs="宋体"/>
                <w:bCs/>
                <w:kern w:val="0"/>
                <w:szCs w:val="21"/>
              </w:rPr>
            </w:pPr>
            <w:r>
              <w:rPr>
                <w:rFonts w:hint="eastAsia" w:ascii="宋体" w:hAnsi="宋体" w:eastAsia="宋体" w:cs="宋体"/>
                <w:bCs/>
                <w:kern w:val="0"/>
                <w:szCs w:val="21"/>
              </w:rPr>
              <w:t>6.69</w:t>
            </w:r>
          </w:p>
        </w:tc>
      </w:tr>
    </w:tbl>
    <w:p>
      <w:pPr>
        <w:adjustRightInd w:val="0"/>
        <w:snapToGrid w:val="0"/>
        <w:spacing w:beforeLines="50"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（二）片区城镇人口预测</w:t>
      </w:r>
    </w:p>
    <w:p>
      <w:pPr>
        <w:adjustRightInd w:val="0"/>
        <w:snapToGrid w:val="0"/>
        <w:spacing w:line="360" w:lineRule="auto"/>
        <w:ind w:firstLine="480" w:firstLineChars="200"/>
        <w:rPr>
          <w:rFonts w:ascii="宋体" w:hAnsi="宋体" w:eastAsia="宋体" w:cs="Times New Roman"/>
          <w:kern w:val="0"/>
          <w:sz w:val="24"/>
          <w:szCs w:val="24"/>
        </w:rPr>
      </w:pPr>
      <w:r>
        <w:rPr>
          <w:rFonts w:hint="eastAsia" w:eastAsia="宋体" w:cs="Times New Roman" w:asciiTheme="minorEastAsia" w:hAnsiTheme="minorEastAsia"/>
          <w:kern w:val="0"/>
          <w:sz w:val="24"/>
          <w:szCs w:val="24"/>
        </w:rPr>
        <w:t>河边和玉峰</w:t>
      </w:r>
      <w:r>
        <w:rPr>
          <w:rFonts w:hint="eastAsia" w:ascii="宋体" w:hAnsi="宋体" w:eastAsia="宋体" w:cs="Times New Roman"/>
          <w:kern w:val="0"/>
          <w:sz w:val="24"/>
          <w:szCs w:val="24"/>
        </w:rPr>
        <w:t>镇区人口在</w:t>
      </w:r>
      <w:r>
        <w:rPr>
          <w:rFonts w:hint="eastAsia" w:eastAsia="宋体" w:cs="Times New Roman" w:asciiTheme="minorEastAsia" w:hAnsiTheme="minorEastAsia"/>
          <w:kern w:val="0"/>
          <w:sz w:val="24"/>
          <w:szCs w:val="24"/>
        </w:rPr>
        <w:t>2019</w:t>
      </w:r>
      <w:r>
        <w:rPr>
          <w:rFonts w:hint="eastAsia" w:ascii="宋体" w:hAnsi="宋体" w:eastAsia="宋体" w:cs="Times New Roman"/>
          <w:kern w:val="0"/>
          <w:sz w:val="24"/>
          <w:szCs w:val="24"/>
        </w:rPr>
        <w:t>年期间有过较大幅度的增长，</w:t>
      </w:r>
      <w:r>
        <w:rPr>
          <w:rFonts w:hint="eastAsia" w:eastAsia="宋体" w:cs="Times New Roman" w:asciiTheme="minorEastAsia" w:hAnsiTheme="minorEastAsia"/>
          <w:kern w:val="0"/>
          <w:sz w:val="24"/>
          <w:szCs w:val="24"/>
        </w:rPr>
        <w:t>近两年人口增长基本处于</w:t>
      </w:r>
      <w:r>
        <w:rPr>
          <w:rFonts w:hint="eastAsia" w:ascii="宋体" w:hAnsi="宋体" w:eastAsia="宋体" w:cs="Times New Roman"/>
          <w:kern w:val="0"/>
          <w:sz w:val="24"/>
          <w:szCs w:val="24"/>
        </w:rPr>
        <w:t>停滞状态，人口起伏较小，分析其主要成因应为</w:t>
      </w:r>
      <w:r>
        <w:rPr>
          <w:rFonts w:hint="eastAsia" w:eastAsia="宋体" w:cs="Times New Roman" w:asciiTheme="minorEastAsia" w:hAnsiTheme="minorEastAsia"/>
          <w:kern w:val="0"/>
          <w:sz w:val="24"/>
          <w:szCs w:val="24"/>
        </w:rPr>
        <w:t>两项改革“前半篇”</w:t>
      </w:r>
      <w:r>
        <w:rPr>
          <w:rFonts w:hint="eastAsia" w:ascii="宋体" w:hAnsi="宋体" w:eastAsia="宋体" w:cs="Times New Roman"/>
          <w:kern w:val="0"/>
          <w:sz w:val="24"/>
          <w:szCs w:val="24"/>
        </w:rPr>
        <w:t>行政区划调整，</w:t>
      </w:r>
      <w:r>
        <w:rPr>
          <w:rFonts w:hint="eastAsia" w:eastAsia="宋体" w:cs="Times New Roman" w:asciiTheme="minorEastAsia" w:hAnsiTheme="minorEastAsia"/>
          <w:kern w:val="0"/>
          <w:sz w:val="24"/>
          <w:szCs w:val="24"/>
        </w:rPr>
        <w:t>星花乡和福禄乡合并到河边镇，五方乡和智水乡合并到玉峰镇，</w:t>
      </w:r>
      <w:r>
        <w:rPr>
          <w:rFonts w:hint="eastAsia" w:ascii="宋体" w:hAnsi="宋体" w:eastAsia="宋体" w:cs="Times New Roman"/>
          <w:kern w:val="0"/>
          <w:sz w:val="24"/>
          <w:szCs w:val="24"/>
        </w:rPr>
        <w:t>部分人口汇集至</w:t>
      </w:r>
      <w:r>
        <w:rPr>
          <w:rFonts w:hint="eastAsia" w:eastAsia="宋体" w:cs="Times New Roman" w:asciiTheme="minorEastAsia" w:hAnsiTheme="minorEastAsia"/>
          <w:kern w:val="0"/>
          <w:sz w:val="24"/>
          <w:szCs w:val="24"/>
        </w:rPr>
        <w:t>河边镇和玉峰</w:t>
      </w:r>
      <w:r>
        <w:rPr>
          <w:rFonts w:hint="eastAsia" w:ascii="宋体" w:hAnsi="宋体" w:eastAsia="宋体" w:cs="Times New Roman"/>
          <w:kern w:val="0"/>
          <w:sz w:val="24"/>
          <w:szCs w:val="24"/>
        </w:rPr>
        <w:t>镇区所致。</w:t>
      </w:r>
      <w:r>
        <w:rPr>
          <w:rFonts w:hint="eastAsia" w:eastAsia="宋体" w:cs="Times New Roman" w:asciiTheme="minorEastAsia" w:hAnsiTheme="minorEastAsia"/>
          <w:kern w:val="0"/>
          <w:sz w:val="24"/>
          <w:szCs w:val="24"/>
        </w:rPr>
        <w:t>随着河边特色柠檬产业发展、玉峰省级优质粮油基地创建以及象山商贸业的蓬勃发展以及各项基础设施的不断完善，未来镇区</w:t>
      </w:r>
      <w:r>
        <w:rPr>
          <w:rFonts w:hint="eastAsia" w:ascii="宋体" w:hAnsi="宋体" w:eastAsia="宋体" w:cs="Times New Roman"/>
          <w:kern w:val="0"/>
          <w:sz w:val="24"/>
          <w:szCs w:val="24"/>
        </w:rPr>
        <w:t>将</w:t>
      </w:r>
      <w:r>
        <w:rPr>
          <w:rFonts w:hint="eastAsia" w:eastAsia="宋体" w:cs="Times New Roman" w:asciiTheme="minorEastAsia" w:hAnsiTheme="minorEastAsia"/>
          <w:kern w:val="0"/>
          <w:sz w:val="24"/>
          <w:szCs w:val="24"/>
        </w:rPr>
        <w:t>持续吸引部分</w:t>
      </w:r>
      <w:r>
        <w:rPr>
          <w:rFonts w:hint="eastAsia" w:ascii="宋体" w:hAnsi="宋体" w:eastAsia="宋体" w:cs="Times New Roman"/>
          <w:kern w:val="0"/>
          <w:sz w:val="24"/>
          <w:szCs w:val="24"/>
        </w:rPr>
        <w:t>产业用工需求，从职住平衡的角度出发，也有利于吸引农村人口在镇区定居，解决村民就地城镇化。</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1、河边镇城镇人口预测</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河边镇</w:t>
      </w:r>
      <w:r>
        <w:rPr>
          <w:rFonts w:hint="eastAsia" w:eastAsia="宋体" w:cs="Times New Roman" w:asciiTheme="minorEastAsia" w:hAnsiTheme="minorEastAsia"/>
          <w:kern w:val="0"/>
          <w:sz w:val="24"/>
          <w:szCs w:val="24"/>
        </w:rPr>
        <w:t>2020年户籍城镇人口0.38万人，常住城镇人口为0.31万人，河边镇目前是大英县重要的物流集散中心、县域医疗次中心、片区重点镇，未来城镇人口规模会逐步增加，根据统计局提供的相关数据和</w:t>
      </w:r>
      <w:r>
        <w:rPr>
          <w:rFonts w:hint="eastAsia" w:ascii="宋体" w:hAnsi="宋体" w:eastAsia="宋体" w:cs="Times New Roman"/>
          <w:kern w:val="0"/>
          <w:sz w:val="24"/>
          <w:szCs w:val="24"/>
        </w:rPr>
        <w:t>镇区</w:t>
      </w:r>
      <w:r>
        <w:rPr>
          <w:rFonts w:hint="eastAsia" w:eastAsia="宋体" w:cs="Times New Roman" w:asciiTheme="minorEastAsia" w:hAnsiTheme="minorEastAsia"/>
          <w:kern w:val="0"/>
          <w:sz w:val="24"/>
          <w:szCs w:val="24"/>
        </w:rPr>
        <w:t>的</w:t>
      </w:r>
      <w:r>
        <w:rPr>
          <w:rFonts w:hint="eastAsia" w:ascii="宋体" w:hAnsi="宋体" w:eastAsia="宋体" w:cs="Times New Roman"/>
          <w:kern w:val="0"/>
          <w:sz w:val="24"/>
          <w:szCs w:val="24"/>
        </w:rPr>
        <w:t>人口变动</w:t>
      </w:r>
      <w:r>
        <w:rPr>
          <w:rFonts w:hint="eastAsia" w:eastAsia="宋体" w:cs="Times New Roman" w:asciiTheme="minorEastAsia" w:hAnsiTheme="minorEastAsia"/>
          <w:kern w:val="0"/>
          <w:sz w:val="24"/>
          <w:szCs w:val="24"/>
        </w:rPr>
        <w:t>情况</w:t>
      </w:r>
      <w:r>
        <w:rPr>
          <w:rFonts w:hint="eastAsia" w:ascii="宋体" w:hAnsi="宋体" w:eastAsia="宋体" w:cs="Times New Roman"/>
          <w:kern w:val="0"/>
          <w:sz w:val="24"/>
          <w:szCs w:val="24"/>
        </w:rPr>
        <w:t>，</w:t>
      </w:r>
      <w:r>
        <w:rPr>
          <w:rFonts w:hint="eastAsia" w:eastAsia="宋体" w:cs="Times New Roman" w:asciiTheme="minorEastAsia" w:hAnsiTheme="minorEastAsia"/>
          <w:kern w:val="0"/>
          <w:sz w:val="24"/>
          <w:szCs w:val="24"/>
        </w:rPr>
        <w:t>河边镇区城镇人口</w:t>
      </w:r>
      <w:r>
        <w:rPr>
          <w:rFonts w:hint="eastAsia" w:ascii="宋体" w:hAnsi="宋体" w:eastAsia="宋体" w:cs="Times New Roman"/>
          <w:kern w:val="0"/>
          <w:sz w:val="24"/>
          <w:szCs w:val="24"/>
        </w:rPr>
        <w:t>增长率</w:t>
      </w:r>
      <w:r>
        <w:rPr>
          <w:rFonts w:ascii="宋体" w:hAnsi="宋体" w:eastAsia="宋体" w:cs="Times New Roman"/>
          <w:kern w:val="0"/>
          <w:sz w:val="24"/>
          <w:szCs w:val="24"/>
        </w:rPr>
        <w:t>K</w:t>
      </w:r>
      <w:r>
        <w:rPr>
          <w:rFonts w:hint="eastAsia" w:ascii="宋体" w:hAnsi="宋体" w:eastAsia="宋体" w:cs="Times New Roman"/>
          <w:kern w:val="0"/>
          <w:sz w:val="24"/>
          <w:szCs w:val="24"/>
        </w:rPr>
        <w:t>值</w:t>
      </w:r>
      <w:r>
        <w:rPr>
          <w:rFonts w:hint="eastAsia" w:eastAsia="宋体" w:cs="Times New Roman" w:asciiTheme="minorEastAsia" w:hAnsiTheme="minorEastAsia"/>
          <w:kern w:val="0"/>
          <w:sz w:val="24"/>
          <w:szCs w:val="24"/>
        </w:rPr>
        <w:t>取2.0</w:t>
      </w:r>
      <w:r>
        <w:rPr>
          <w:rFonts w:ascii="宋体" w:hAnsi="宋体" w:eastAsia="宋体" w:cs="Times New Roman"/>
          <w:kern w:val="0"/>
          <w:sz w:val="24"/>
          <w:szCs w:val="24"/>
        </w:rPr>
        <w:t>%</w:t>
      </w:r>
      <w:r>
        <w:rPr>
          <w:rFonts w:hint="eastAsia" w:eastAsia="宋体" w:cs="Times New Roman" w:asciiTheme="minorEastAsia" w:hAnsiTheme="minorEastAsia"/>
          <w:kern w:val="0"/>
          <w:sz w:val="24"/>
          <w:szCs w:val="24"/>
        </w:rPr>
        <w:t>，机械增长按每年100人流入镇区，</w:t>
      </w:r>
      <w:r>
        <w:rPr>
          <w:rFonts w:eastAsia="宋体" w:cs="Times New Roman" w:asciiTheme="minorEastAsia" w:hAnsiTheme="minorEastAsia"/>
          <w:kern w:val="0"/>
          <w:sz w:val="24"/>
          <w:szCs w:val="24"/>
        </w:rPr>
        <w:t>根据综合增长率预测到2035年，预测</w:t>
      </w:r>
      <w:r>
        <w:rPr>
          <w:rFonts w:hint="eastAsia" w:eastAsia="宋体" w:cs="Times New Roman" w:asciiTheme="minorEastAsia" w:hAnsiTheme="minorEastAsia"/>
          <w:kern w:val="0"/>
          <w:sz w:val="24"/>
          <w:szCs w:val="24"/>
        </w:rPr>
        <w:t>河边镇户籍</w:t>
      </w:r>
      <w:r>
        <w:rPr>
          <w:rFonts w:eastAsia="宋体" w:cs="Times New Roman" w:asciiTheme="minorEastAsia" w:hAnsiTheme="minorEastAsia"/>
          <w:kern w:val="0"/>
          <w:sz w:val="24"/>
          <w:szCs w:val="24"/>
        </w:rPr>
        <w:t>城镇人口为</w:t>
      </w:r>
      <w:r>
        <w:rPr>
          <w:rFonts w:hint="eastAsia" w:eastAsia="宋体" w:cs="Times New Roman" w:asciiTheme="minorEastAsia" w:hAnsiTheme="minorEastAsia"/>
          <w:kern w:val="0"/>
          <w:sz w:val="24"/>
          <w:szCs w:val="24"/>
        </w:rPr>
        <w:t>：</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Q=Q</w:t>
      </w:r>
      <w:r>
        <w:rPr>
          <w:rFonts w:eastAsia="宋体" w:cs="Times New Roman" w:asciiTheme="minorEastAsia" w:hAnsiTheme="minorEastAsia"/>
          <w:kern w:val="0"/>
          <w:sz w:val="24"/>
          <w:szCs w:val="24"/>
          <w:vertAlign w:val="subscript"/>
        </w:rPr>
        <w:t>0</w:t>
      </w:r>
      <w:r>
        <w:rPr>
          <w:rFonts w:eastAsia="宋体" w:cs="Times New Roman" w:asciiTheme="minorEastAsia" w:hAnsiTheme="minorEastAsia"/>
          <w:kern w:val="0"/>
          <w:sz w:val="24"/>
          <w:szCs w:val="24"/>
        </w:rPr>
        <w:t>（1+k）</w:t>
      </w:r>
      <w:r>
        <w:rPr>
          <w:rFonts w:eastAsia="宋体" w:cs="Times New Roman" w:asciiTheme="minorEastAsia" w:hAnsiTheme="minorEastAsia"/>
          <w:kern w:val="0"/>
          <w:sz w:val="24"/>
          <w:szCs w:val="24"/>
          <w:vertAlign w:val="superscript"/>
        </w:rPr>
        <w:t>n</w:t>
      </w:r>
      <w:r>
        <w:rPr>
          <w:rFonts w:eastAsia="宋体" w:cs="Times New Roman" w:asciiTheme="minorEastAsia" w:hAnsiTheme="minorEastAsia"/>
          <w:kern w:val="0"/>
          <w:sz w:val="24"/>
          <w:szCs w:val="24"/>
        </w:rPr>
        <w:t>=</w:t>
      </w:r>
      <w:r>
        <w:rPr>
          <w:rFonts w:hint="eastAsia" w:eastAsia="宋体" w:cs="Times New Roman" w:asciiTheme="minorEastAsia" w:hAnsiTheme="minorEastAsia"/>
          <w:kern w:val="0"/>
          <w:sz w:val="24"/>
          <w:szCs w:val="24"/>
        </w:rPr>
        <w:t>0.38</w:t>
      </w:r>
      <w:r>
        <w:rPr>
          <w:rFonts w:eastAsia="宋体" w:cs="Times New Roman" w:asciiTheme="minorEastAsia" w:hAnsiTheme="minorEastAsia"/>
          <w:kern w:val="0"/>
          <w:sz w:val="24"/>
          <w:szCs w:val="24"/>
        </w:rPr>
        <w:t>×（1</w:t>
      </w:r>
      <w:r>
        <w:rPr>
          <w:rFonts w:hint="eastAsia" w:eastAsia="宋体" w:cs="Times New Roman" w:asciiTheme="minorEastAsia" w:hAnsiTheme="minorEastAsia"/>
          <w:kern w:val="0"/>
          <w:sz w:val="24"/>
          <w:szCs w:val="24"/>
        </w:rPr>
        <w:t>+2.0%</w:t>
      </w:r>
      <w:r>
        <w:rPr>
          <w:rFonts w:eastAsia="宋体" w:cs="Times New Roman" w:asciiTheme="minorEastAsia" w:hAnsiTheme="minorEastAsia"/>
          <w:kern w:val="0"/>
          <w:sz w:val="24"/>
          <w:szCs w:val="24"/>
        </w:rPr>
        <w:t>)</w:t>
      </w:r>
      <w:r>
        <w:rPr>
          <w:rFonts w:hint="eastAsia" w:eastAsia="宋体" w:cs="Times New Roman" w:asciiTheme="minorEastAsia" w:hAnsiTheme="minorEastAsia"/>
          <w:kern w:val="0"/>
          <w:sz w:val="24"/>
          <w:szCs w:val="24"/>
          <w:vertAlign w:val="superscript"/>
        </w:rPr>
        <w:t>15</w:t>
      </w:r>
      <w:r>
        <w:rPr>
          <w:rFonts w:eastAsia="宋体" w:cs="Times New Roman" w:asciiTheme="minorEastAsia" w:hAnsiTheme="minorEastAsia"/>
          <w:kern w:val="0"/>
          <w:sz w:val="24"/>
          <w:szCs w:val="24"/>
        </w:rPr>
        <w:t>≈</w:t>
      </w:r>
      <w:r>
        <w:rPr>
          <w:rFonts w:hint="eastAsia" w:eastAsia="宋体" w:cs="Times New Roman" w:asciiTheme="minorEastAsia" w:hAnsiTheme="minorEastAsia"/>
          <w:kern w:val="0"/>
          <w:sz w:val="24"/>
          <w:szCs w:val="24"/>
        </w:rPr>
        <w:t>0.50万人。</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预测河边镇2035年常住</w:t>
      </w:r>
      <w:r>
        <w:rPr>
          <w:rFonts w:eastAsia="宋体" w:cs="Times New Roman" w:asciiTheme="minorEastAsia" w:hAnsiTheme="minorEastAsia"/>
          <w:kern w:val="0"/>
          <w:sz w:val="24"/>
          <w:szCs w:val="24"/>
        </w:rPr>
        <w:t>城镇人口为</w:t>
      </w:r>
      <w:r>
        <w:rPr>
          <w:rFonts w:hint="eastAsia" w:eastAsia="宋体" w:cs="Times New Roman" w:asciiTheme="minorEastAsia" w:hAnsiTheme="minorEastAsia"/>
          <w:kern w:val="0"/>
          <w:sz w:val="24"/>
          <w:szCs w:val="24"/>
        </w:rPr>
        <w:t>0.65万人。</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2、象山镇城镇人口预测</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象山</w:t>
      </w:r>
      <w:r>
        <w:rPr>
          <w:rFonts w:eastAsia="宋体" w:cs="Times New Roman" w:asciiTheme="minorEastAsia" w:hAnsiTheme="minorEastAsia"/>
          <w:kern w:val="0"/>
          <w:sz w:val="24"/>
          <w:szCs w:val="24"/>
        </w:rPr>
        <w:t>镇</w:t>
      </w:r>
      <w:r>
        <w:rPr>
          <w:rFonts w:hint="eastAsia" w:eastAsia="宋体" w:cs="Times New Roman" w:asciiTheme="minorEastAsia" w:hAnsiTheme="minorEastAsia"/>
          <w:kern w:val="0"/>
          <w:sz w:val="24"/>
          <w:szCs w:val="24"/>
        </w:rPr>
        <w:t>2020年户籍城镇人口0.39万人，常住城镇人口为0.25万人，象山镇是区域三市四县交界的重要物质集散地，市场活跃、商贸繁荣，规划为片区副中心镇，未来城镇人口规模会逐步增加，根据统计局提供的相关人口数据和</w:t>
      </w:r>
      <w:r>
        <w:rPr>
          <w:rFonts w:hint="eastAsia" w:ascii="宋体" w:hAnsi="宋体" w:eastAsia="宋体" w:cs="Times New Roman"/>
          <w:kern w:val="0"/>
          <w:sz w:val="24"/>
          <w:szCs w:val="24"/>
        </w:rPr>
        <w:t>镇区</w:t>
      </w:r>
      <w:r>
        <w:rPr>
          <w:rFonts w:hint="eastAsia" w:eastAsia="宋体" w:cs="Times New Roman" w:asciiTheme="minorEastAsia" w:hAnsiTheme="minorEastAsia"/>
          <w:kern w:val="0"/>
          <w:sz w:val="24"/>
          <w:szCs w:val="24"/>
        </w:rPr>
        <w:t>的</w:t>
      </w:r>
      <w:r>
        <w:rPr>
          <w:rFonts w:hint="eastAsia" w:ascii="宋体" w:hAnsi="宋体" w:eastAsia="宋体" w:cs="Times New Roman"/>
          <w:kern w:val="0"/>
          <w:sz w:val="24"/>
          <w:szCs w:val="24"/>
        </w:rPr>
        <w:t>人口变动</w:t>
      </w:r>
      <w:r>
        <w:rPr>
          <w:rFonts w:hint="eastAsia" w:eastAsia="宋体" w:cs="Times New Roman" w:asciiTheme="minorEastAsia" w:hAnsiTheme="minorEastAsia"/>
          <w:kern w:val="0"/>
          <w:sz w:val="24"/>
          <w:szCs w:val="24"/>
        </w:rPr>
        <w:t>情况</w:t>
      </w:r>
      <w:r>
        <w:rPr>
          <w:rFonts w:hint="eastAsia" w:ascii="宋体" w:hAnsi="宋体" w:eastAsia="宋体" w:cs="Times New Roman"/>
          <w:kern w:val="0"/>
          <w:sz w:val="24"/>
          <w:szCs w:val="24"/>
        </w:rPr>
        <w:t>，</w:t>
      </w:r>
      <w:r>
        <w:rPr>
          <w:rFonts w:hint="eastAsia" w:eastAsia="宋体" w:cs="Times New Roman" w:asciiTheme="minorEastAsia" w:hAnsiTheme="minorEastAsia"/>
          <w:kern w:val="0"/>
          <w:sz w:val="24"/>
          <w:szCs w:val="24"/>
        </w:rPr>
        <w:t>象山镇区城镇人口增长率</w:t>
      </w:r>
      <w:r>
        <w:rPr>
          <w:rFonts w:ascii="宋体" w:hAnsi="宋体" w:eastAsia="宋体" w:cs="Times New Roman"/>
          <w:kern w:val="0"/>
          <w:sz w:val="24"/>
          <w:szCs w:val="24"/>
        </w:rPr>
        <w:t>K</w:t>
      </w:r>
      <w:r>
        <w:rPr>
          <w:rFonts w:hint="eastAsia" w:ascii="宋体" w:hAnsi="宋体" w:eastAsia="宋体" w:cs="Times New Roman"/>
          <w:kern w:val="0"/>
          <w:sz w:val="24"/>
          <w:szCs w:val="24"/>
        </w:rPr>
        <w:t>值</w:t>
      </w:r>
      <w:r>
        <w:rPr>
          <w:rFonts w:hint="eastAsia" w:eastAsia="宋体" w:cs="Times New Roman" w:asciiTheme="minorEastAsia" w:hAnsiTheme="minorEastAsia"/>
          <w:kern w:val="0"/>
          <w:sz w:val="24"/>
          <w:szCs w:val="24"/>
        </w:rPr>
        <w:t>取1.8</w:t>
      </w:r>
      <w:r>
        <w:rPr>
          <w:rFonts w:ascii="宋体" w:hAnsi="宋体" w:eastAsia="宋体" w:cs="Times New Roman"/>
          <w:kern w:val="0"/>
          <w:sz w:val="24"/>
          <w:szCs w:val="24"/>
        </w:rPr>
        <w:t>%</w:t>
      </w:r>
      <w:r>
        <w:rPr>
          <w:rFonts w:hint="eastAsia" w:eastAsia="宋体" w:cs="Times New Roman" w:asciiTheme="minorEastAsia" w:hAnsiTheme="minorEastAsia"/>
          <w:kern w:val="0"/>
          <w:sz w:val="24"/>
          <w:szCs w:val="24"/>
        </w:rPr>
        <w:t>，机械增长按每年100人流入镇区，</w:t>
      </w:r>
      <w:r>
        <w:rPr>
          <w:rFonts w:eastAsia="宋体" w:cs="Times New Roman" w:asciiTheme="minorEastAsia" w:hAnsiTheme="minorEastAsia"/>
          <w:kern w:val="0"/>
          <w:sz w:val="24"/>
          <w:szCs w:val="24"/>
        </w:rPr>
        <w:t>根据综合增长率预测到2035年</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预测</w:t>
      </w:r>
      <w:r>
        <w:rPr>
          <w:rFonts w:hint="eastAsia" w:eastAsia="宋体" w:cs="Times New Roman" w:asciiTheme="minorEastAsia" w:hAnsiTheme="minorEastAsia"/>
          <w:kern w:val="0"/>
          <w:sz w:val="24"/>
          <w:szCs w:val="24"/>
        </w:rPr>
        <w:t>象山镇户籍</w:t>
      </w:r>
      <w:r>
        <w:rPr>
          <w:rFonts w:eastAsia="宋体" w:cs="Times New Roman" w:asciiTheme="minorEastAsia" w:hAnsiTheme="minorEastAsia"/>
          <w:kern w:val="0"/>
          <w:sz w:val="24"/>
          <w:szCs w:val="24"/>
        </w:rPr>
        <w:t>城镇人口为</w:t>
      </w:r>
      <w:r>
        <w:rPr>
          <w:rFonts w:hint="eastAsia" w:eastAsia="宋体" w:cs="Times New Roman" w:asciiTheme="minorEastAsia" w:hAnsiTheme="minorEastAsia"/>
          <w:kern w:val="0"/>
          <w:sz w:val="24"/>
          <w:szCs w:val="24"/>
        </w:rPr>
        <w:t>：</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Q=Q</w:t>
      </w:r>
      <w:r>
        <w:rPr>
          <w:rFonts w:eastAsia="宋体" w:cs="Times New Roman" w:asciiTheme="minorEastAsia" w:hAnsiTheme="minorEastAsia"/>
          <w:kern w:val="0"/>
          <w:sz w:val="24"/>
          <w:szCs w:val="24"/>
          <w:vertAlign w:val="subscript"/>
        </w:rPr>
        <w:t>0</w:t>
      </w:r>
      <w:r>
        <w:rPr>
          <w:rFonts w:eastAsia="宋体" w:cs="Times New Roman" w:asciiTheme="minorEastAsia" w:hAnsiTheme="minorEastAsia"/>
          <w:kern w:val="0"/>
          <w:sz w:val="24"/>
          <w:szCs w:val="24"/>
        </w:rPr>
        <w:t>（1+k）</w:t>
      </w:r>
      <w:r>
        <w:rPr>
          <w:rFonts w:eastAsia="宋体" w:cs="Times New Roman" w:asciiTheme="minorEastAsia" w:hAnsiTheme="minorEastAsia"/>
          <w:kern w:val="0"/>
          <w:sz w:val="24"/>
          <w:szCs w:val="24"/>
          <w:vertAlign w:val="superscript"/>
        </w:rPr>
        <w:t>n</w:t>
      </w:r>
      <w:r>
        <w:rPr>
          <w:rFonts w:eastAsia="宋体" w:cs="Times New Roman" w:asciiTheme="minorEastAsia" w:hAnsiTheme="minorEastAsia"/>
          <w:kern w:val="0"/>
          <w:sz w:val="24"/>
          <w:szCs w:val="24"/>
        </w:rPr>
        <w:t>=</w:t>
      </w:r>
      <w:r>
        <w:rPr>
          <w:rFonts w:hint="eastAsia" w:eastAsia="宋体" w:cs="Times New Roman" w:asciiTheme="minorEastAsia" w:hAnsiTheme="minorEastAsia"/>
          <w:kern w:val="0"/>
          <w:sz w:val="24"/>
          <w:szCs w:val="24"/>
        </w:rPr>
        <w:t>0.39</w:t>
      </w:r>
      <w:r>
        <w:rPr>
          <w:rFonts w:eastAsia="宋体" w:cs="Times New Roman" w:asciiTheme="minorEastAsia" w:hAnsiTheme="minorEastAsia"/>
          <w:kern w:val="0"/>
          <w:sz w:val="24"/>
          <w:szCs w:val="24"/>
        </w:rPr>
        <w:t>×（1</w:t>
      </w:r>
      <w:r>
        <w:rPr>
          <w:rFonts w:hint="eastAsia" w:eastAsia="宋体" w:cs="Times New Roman" w:asciiTheme="minorEastAsia" w:hAnsiTheme="minorEastAsia"/>
          <w:kern w:val="0"/>
          <w:sz w:val="24"/>
          <w:szCs w:val="24"/>
        </w:rPr>
        <w:t>+1.8%</w:t>
      </w:r>
      <w:r>
        <w:rPr>
          <w:rFonts w:eastAsia="宋体" w:cs="Times New Roman" w:asciiTheme="minorEastAsia" w:hAnsiTheme="minorEastAsia"/>
          <w:kern w:val="0"/>
          <w:sz w:val="24"/>
          <w:szCs w:val="24"/>
        </w:rPr>
        <w:t>)</w:t>
      </w:r>
      <w:r>
        <w:rPr>
          <w:rFonts w:hint="eastAsia" w:eastAsia="宋体" w:cs="Times New Roman" w:asciiTheme="minorEastAsia" w:hAnsiTheme="minorEastAsia"/>
          <w:kern w:val="0"/>
          <w:sz w:val="24"/>
          <w:szCs w:val="24"/>
          <w:vertAlign w:val="superscript"/>
        </w:rPr>
        <w:t>15</w:t>
      </w:r>
      <w:r>
        <w:rPr>
          <w:rFonts w:eastAsia="宋体" w:cs="Times New Roman" w:asciiTheme="minorEastAsia" w:hAnsiTheme="minorEastAsia"/>
          <w:kern w:val="0"/>
          <w:sz w:val="24"/>
          <w:szCs w:val="24"/>
        </w:rPr>
        <w:t>≈</w:t>
      </w:r>
      <w:r>
        <w:rPr>
          <w:rFonts w:hint="eastAsia" w:eastAsia="宋体" w:cs="Times New Roman" w:asciiTheme="minorEastAsia" w:hAnsiTheme="minorEastAsia"/>
          <w:kern w:val="0"/>
          <w:sz w:val="24"/>
          <w:szCs w:val="24"/>
        </w:rPr>
        <w:t>0.50万人。</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预测象山镇2035年常住</w:t>
      </w:r>
      <w:r>
        <w:rPr>
          <w:rFonts w:eastAsia="宋体" w:cs="Times New Roman" w:asciiTheme="minorEastAsia" w:hAnsiTheme="minorEastAsia"/>
          <w:kern w:val="0"/>
          <w:sz w:val="24"/>
          <w:szCs w:val="24"/>
        </w:rPr>
        <w:t>城镇人口为</w:t>
      </w:r>
      <w:r>
        <w:rPr>
          <w:rFonts w:hint="eastAsia" w:eastAsia="宋体" w:cs="Times New Roman" w:asciiTheme="minorEastAsia" w:hAnsiTheme="minorEastAsia"/>
          <w:kern w:val="0"/>
          <w:sz w:val="24"/>
          <w:szCs w:val="24"/>
        </w:rPr>
        <w:t>0.65万人。</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3、玉峰镇城镇人口预测</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玉峰</w:t>
      </w:r>
      <w:r>
        <w:rPr>
          <w:rFonts w:eastAsia="宋体" w:cs="Times New Roman" w:asciiTheme="minorEastAsia" w:hAnsiTheme="minorEastAsia"/>
          <w:kern w:val="0"/>
          <w:sz w:val="24"/>
          <w:szCs w:val="24"/>
        </w:rPr>
        <w:t>镇</w:t>
      </w:r>
      <w:r>
        <w:rPr>
          <w:rFonts w:hint="eastAsia" w:eastAsia="宋体" w:cs="Times New Roman" w:asciiTheme="minorEastAsia" w:hAnsiTheme="minorEastAsia"/>
          <w:kern w:val="0"/>
          <w:sz w:val="24"/>
          <w:szCs w:val="24"/>
        </w:rPr>
        <w:t>2020年户籍城镇人口0.15万人，常住城镇人口为0.12万人，玉峰镇是大英县粮油园区的核心区，重点发展农事服务，随着玉峰镇乡村农旅体验的发展（斗笠片区）以及镇区公共服务设施的完善，镇区会吸引周边村庄人口转移到镇区，未来城镇人口规模会逐步增加，根据统计局提供的相关人口数据和</w:t>
      </w:r>
      <w:r>
        <w:rPr>
          <w:rFonts w:hint="eastAsia" w:ascii="宋体" w:hAnsi="宋体" w:eastAsia="宋体" w:cs="Times New Roman"/>
          <w:kern w:val="0"/>
          <w:sz w:val="24"/>
          <w:szCs w:val="24"/>
        </w:rPr>
        <w:t>镇区</w:t>
      </w:r>
      <w:r>
        <w:rPr>
          <w:rFonts w:hint="eastAsia" w:eastAsia="宋体" w:cs="Times New Roman" w:asciiTheme="minorEastAsia" w:hAnsiTheme="minorEastAsia"/>
          <w:kern w:val="0"/>
          <w:sz w:val="24"/>
          <w:szCs w:val="24"/>
        </w:rPr>
        <w:t>的</w:t>
      </w:r>
      <w:r>
        <w:rPr>
          <w:rFonts w:hint="eastAsia" w:ascii="宋体" w:hAnsi="宋体" w:eastAsia="宋体" w:cs="Times New Roman"/>
          <w:kern w:val="0"/>
          <w:sz w:val="24"/>
          <w:szCs w:val="24"/>
        </w:rPr>
        <w:t>人口变动</w:t>
      </w:r>
      <w:r>
        <w:rPr>
          <w:rFonts w:hint="eastAsia" w:eastAsia="宋体" w:cs="Times New Roman" w:asciiTheme="minorEastAsia" w:hAnsiTheme="minorEastAsia"/>
          <w:kern w:val="0"/>
          <w:sz w:val="24"/>
          <w:szCs w:val="24"/>
        </w:rPr>
        <w:t>情况</w:t>
      </w:r>
      <w:r>
        <w:rPr>
          <w:rFonts w:hint="eastAsia" w:ascii="宋体" w:hAnsi="宋体" w:eastAsia="宋体" w:cs="Times New Roman"/>
          <w:kern w:val="0"/>
          <w:sz w:val="24"/>
          <w:szCs w:val="24"/>
        </w:rPr>
        <w:t>，</w:t>
      </w:r>
      <w:r>
        <w:rPr>
          <w:rFonts w:hint="eastAsia" w:eastAsia="宋体" w:cs="Times New Roman" w:asciiTheme="minorEastAsia" w:hAnsiTheme="minorEastAsia"/>
          <w:kern w:val="0"/>
          <w:sz w:val="24"/>
          <w:szCs w:val="24"/>
        </w:rPr>
        <w:t>玉峰镇区城镇人口增长率</w:t>
      </w:r>
      <w:r>
        <w:rPr>
          <w:rFonts w:ascii="宋体" w:hAnsi="宋体" w:eastAsia="宋体" w:cs="Times New Roman"/>
          <w:kern w:val="0"/>
          <w:sz w:val="24"/>
          <w:szCs w:val="24"/>
        </w:rPr>
        <w:t>K</w:t>
      </w:r>
      <w:r>
        <w:rPr>
          <w:rFonts w:hint="eastAsia" w:ascii="宋体" w:hAnsi="宋体" w:eastAsia="宋体" w:cs="Times New Roman"/>
          <w:kern w:val="0"/>
          <w:sz w:val="24"/>
          <w:szCs w:val="24"/>
        </w:rPr>
        <w:t>值</w:t>
      </w:r>
      <w:r>
        <w:rPr>
          <w:rFonts w:hint="eastAsia" w:eastAsia="宋体" w:cs="Times New Roman" w:asciiTheme="minorEastAsia" w:hAnsiTheme="minorEastAsia"/>
          <w:kern w:val="0"/>
          <w:sz w:val="24"/>
          <w:szCs w:val="24"/>
        </w:rPr>
        <w:t>取0.65</w:t>
      </w:r>
      <w:r>
        <w:rPr>
          <w:rFonts w:ascii="宋体" w:hAnsi="宋体" w:eastAsia="宋体" w:cs="Times New Roman"/>
          <w:kern w:val="0"/>
          <w:sz w:val="24"/>
          <w:szCs w:val="24"/>
        </w:rPr>
        <w:t>%</w:t>
      </w:r>
      <w:r>
        <w:rPr>
          <w:rFonts w:hint="eastAsia" w:eastAsia="宋体" w:cs="Times New Roman" w:asciiTheme="minorEastAsia" w:hAnsiTheme="minorEastAsia"/>
          <w:kern w:val="0"/>
          <w:sz w:val="24"/>
          <w:szCs w:val="24"/>
        </w:rPr>
        <w:t>，机械增长按每年70人流入镇区，</w:t>
      </w:r>
      <w:r>
        <w:rPr>
          <w:rFonts w:eastAsia="宋体" w:cs="Times New Roman" w:asciiTheme="minorEastAsia" w:hAnsiTheme="minorEastAsia"/>
          <w:kern w:val="0"/>
          <w:sz w:val="24"/>
          <w:szCs w:val="24"/>
        </w:rPr>
        <w:t>根据综合增长率预测到2035年，</w:t>
      </w:r>
      <w:r>
        <w:rPr>
          <w:rFonts w:hint="eastAsia" w:eastAsia="宋体" w:cs="Times New Roman" w:asciiTheme="minorEastAsia" w:hAnsiTheme="minorEastAsia"/>
          <w:kern w:val="0"/>
          <w:sz w:val="24"/>
          <w:szCs w:val="24"/>
        </w:rPr>
        <w:t>预测玉峰镇户籍</w:t>
      </w:r>
      <w:r>
        <w:rPr>
          <w:rFonts w:eastAsia="宋体" w:cs="Times New Roman" w:asciiTheme="minorEastAsia" w:hAnsiTheme="minorEastAsia"/>
          <w:kern w:val="0"/>
          <w:sz w:val="24"/>
          <w:szCs w:val="24"/>
        </w:rPr>
        <w:t>城镇人口为</w:t>
      </w:r>
      <w:r>
        <w:rPr>
          <w:rFonts w:hint="eastAsia" w:eastAsia="宋体" w:cs="Times New Roman" w:asciiTheme="minorEastAsia" w:hAnsiTheme="minorEastAsia"/>
          <w:kern w:val="0"/>
          <w:sz w:val="24"/>
          <w:szCs w:val="24"/>
        </w:rPr>
        <w:t>：</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Q=Q</w:t>
      </w:r>
      <w:r>
        <w:rPr>
          <w:rFonts w:eastAsia="宋体" w:cs="Times New Roman" w:asciiTheme="minorEastAsia" w:hAnsiTheme="minorEastAsia"/>
          <w:kern w:val="0"/>
          <w:sz w:val="24"/>
          <w:szCs w:val="24"/>
          <w:vertAlign w:val="subscript"/>
        </w:rPr>
        <w:t>0</w:t>
      </w:r>
      <w:r>
        <w:rPr>
          <w:rFonts w:eastAsia="宋体" w:cs="Times New Roman" w:asciiTheme="minorEastAsia" w:hAnsiTheme="minorEastAsia"/>
          <w:kern w:val="0"/>
          <w:sz w:val="24"/>
          <w:szCs w:val="24"/>
        </w:rPr>
        <w:t>（1+k）</w:t>
      </w:r>
      <w:r>
        <w:rPr>
          <w:rFonts w:eastAsia="宋体" w:cs="Times New Roman" w:asciiTheme="minorEastAsia" w:hAnsiTheme="minorEastAsia"/>
          <w:kern w:val="0"/>
          <w:sz w:val="24"/>
          <w:szCs w:val="24"/>
          <w:vertAlign w:val="superscript"/>
        </w:rPr>
        <w:t>n</w:t>
      </w:r>
      <w:r>
        <w:rPr>
          <w:rFonts w:eastAsia="宋体" w:cs="Times New Roman" w:asciiTheme="minorEastAsia" w:hAnsiTheme="minorEastAsia"/>
          <w:kern w:val="0"/>
          <w:sz w:val="24"/>
          <w:szCs w:val="24"/>
        </w:rPr>
        <w:t>=</w:t>
      </w:r>
      <w:r>
        <w:rPr>
          <w:rFonts w:hint="eastAsia" w:eastAsia="宋体" w:cs="Times New Roman" w:asciiTheme="minorEastAsia" w:hAnsiTheme="minorEastAsia"/>
          <w:kern w:val="0"/>
          <w:sz w:val="24"/>
          <w:szCs w:val="24"/>
        </w:rPr>
        <w:t>0.15</w:t>
      </w:r>
      <w:r>
        <w:rPr>
          <w:rFonts w:eastAsia="宋体" w:cs="Times New Roman" w:asciiTheme="minorEastAsia" w:hAnsiTheme="minorEastAsia"/>
          <w:kern w:val="0"/>
          <w:sz w:val="24"/>
          <w:szCs w:val="24"/>
        </w:rPr>
        <w:t>×（1</w:t>
      </w:r>
      <w:r>
        <w:rPr>
          <w:rFonts w:hint="eastAsia" w:eastAsia="宋体" w:cs="Times New Roman" w:asciiTheme="minorEastAsia" w:hAnsiTheme="minorEastAsia"/>
          <w:kern w:val="0"/>
          <w:sz w:val="24"/>
          <w:szCs w:val="24"/>
        </w:rPr>
        <w:t>+0.65%</w:t>
      </w:r>
      <w:r>
        <w:rPr>
          <w:rFonts w:eastAsia="宋体" w:cs="Times New Roman" w:asciiTheme="minorEastAsia" w:hAnsiTheme="minorEastAsia"/>
          <w:kern w:val="0"/>
          <w:sz w:val="24"/>
          <w:szCs w:val="24"/>
        </w:rPr>
        <w:t>)</w:t>
      </w:r>
      <w:r>
        <w:rPr>
          <w:rFonts w:hint="eastAsia" w:eastAsia="宋体" w:cs="Times New Roman" w:asciiTheme="minorEastAsia" w:hAnsiTheme="minorEastAsia"/>
          <w:kern w:val="0"/>
          <w:sz w:val="24"/>
          <w:szCs w:val="24"/>
          <w:vertAlign w:val="superscript"/>
        </w:rPr>
        <w:t>15</w:t>
      </w:r>
      <w:r>
        <w:rPr>
          <w:rFonts w:eastAsia="宋体" w:cs="Times New Roman" w:asciiTheme="minorEastAsia" w:hAnsiTheme="minorEastAsia"/>
          <w:kern w:val="0"/>
          <w:sz w:val="24"/>
          <w:szCs w:val="24"/>
        </w:rPr>
        <w:t>≈</w:t>
      </w:r>
      <w:r>
        <w:rPr>
          <w:rFonts w:hint="eastAsia" w:eastAsia="宋体" w:cs="Times New Roman" w:asciiTheme="minorEastAsia" w:hAnsiTheme="minorEastAsia"/>
          <w:kern w:val="0"/>
          <w:sz w:val="24"/>
          <w:szCs w:val="24"/>
        </w:rPr>
        <w:t>0.40万人。</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预测玉峰镇2035年常住</w:t>
      </w:r>
      <w:r>
        <w:rPr>
          <w:rFonts w:eastAsia="宋体" w:cs="Times New Roman" w:asciiTheme="minorEastAsia" w:hAnsiTheme="minorEastAsia"/>
          <w:kern w:val="0"/>
          <w:sz w:val="24"/>
          <w:szCs w:val="24"/>
        </w:rPr>
        <w:t>城镇人口为</w:t>
      </w:r>
      <w:r>
        <w:rPr>
          <w:rFonts w:hint="eastAsia" w:eastAsia="宋体" w:cs="Times New Roman" w:asciiTheme="minorEastAsia" w:hAnsiTheme="minorEastAsia"/>
          <w:kern w:val="0"/>
          <w:sz w:val="24"/>
          <w:szCs w:val="24"/>
        </w:rPr>
        <w:t>0.50万人。</w:t>
      </w:r>
    </w:p>
    <w:p>
      <w:pPr>
        <w:adjustRightInd w:val="0"/>
        <w:snapToGrid w:val="0"/>
        <w:spacing w:line="360" w:lineRule="auto"/>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片区各镇区城镇人口预测汇总表：</w:t>
      </w:r>
    </w:p>
    <w:p>
      <w:pPr>
        <w:adjustRightInd w:val="0"/>
        <w:snapToGrid w:val="0"/>
        <w:spacing w:line="360" w:lineRule="auto"/>
        <w:jc w:val="right"/>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单位：万人</w:t>
      </w:r>
    </w:p>
    <w:tbl>
      <w:tblPr>
        <w:tblStyle w:val="16"/>
        <w:tblW w:w="5000" w:type="pct"/>
        <w:tblInd w:w="0" w:type="dxa"/>
        <w:tblLayout w:type="autofit"/>
        <w:tblCellMar>
          <w:top w:w="0" w:type="dxa"/>
          <w:left w:w="108" w:type="dxa"/>
          <w:bottom w:w="0" w:type="dxa"/>
          <w:right w:w="108" w:type="dxa"/>
        </w:tblCellMar>
      </w:tblPr>
      <w:tblGrid>
        <w:gridCol w:w="1102"/>
        <w:gridCol w:w="1558"/>
        <w:gridCol w:w="2269"/>
        <w:gridCol w:w="1694"/>
        <w:gridCol w:w="1899"/>
      </w:tblGrid>
      <w:tr>
        <w:tblPrEx>
          <w:tblCellMar>
            <w:top w:w="0" w:type="dxa"/>
            <w:left w:w="108" w:type="dxa"/>
            <w:bottom w:w="0" w:type="dxa"/>
            <w:right w:w="108" w:type="dxa"/>
          </w:tblCellMar>
        </w:tblPrEx>
        <w:trPr>
          <w:trHeight w:val="570" w:hRule="atLeast"/>
        </w:trPr>
        <w:tc>
          <w:tcPr>
            <w:tcW w:w="64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城镇名称</w:t>
            </w:r>
          </w:p>
        </w:tc>
        <w:tc>
          <w:tcPr>
            <w:tcW w:w="914"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2020现状</w:t>
            </w:r>
          </w:p>
          <w:p>
            <w:pPr>
              <w:widowControl/>
              <w:jc w:val="center"/>
              <w:rPr>
                <w:rFonts w:ascii="宋体" w:hAnsi="宋体" w:eastAsia="宋体" w:cs="宋体"/>
                <w:kern w:val="0"/>
                <w:szCs w:val="21"/>
              </w:rPr>
            </w:pPr>
            <w:r>
              <w:rPr>
                <w:rFonts w:hint="eastAsia" w:ascii="宋体" w:hAnsi="宋体" w:eastAsia="宋体" w:cs="宋体"/>
                <w:kern w:val="0"/>
                <w:szCs w:val="21"/>
              </w:rPr>
              <w:t>户籍城镇人口</w:t>
            </w:r>
          </w:p>
        </w:tc>
        <w:tc>
          <w:tcPr>
            <w:tcW w:w="1331"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2035规划</w:t>
            </w:r>
          </w:p>
          <w:p>
            <w:pPr>
              <w:widowControl/>
              <w:jc w:val="center"/>
              <w:rPr>
                <w:rFonts w:ascii="宋体" w:hAnsi="宋体" w:eastAsia="宋体" w:cs="宋体"/>
                <w:kern w:val="0"/>
                <w:szCs w:val="21"/>
              </w:rPr>
            </w:pPr>
            <w:r>
              <w:rPr>
                <w:rFonts w:hint="eastAsia" w:ascii="宋体" w:hAnsi="宋体" w:eastAsia="宋体" w:cs="宋体"/>
                <w:kern w:val="0"/>
                <w:szCs w:val="21"/>
              </w:rPr>
              <w:t>户籍城镇人口</w:t>
            </w:r>
          </w:p>
        </w:tc>
        <w:tc>
          <w:tcPr>
            <w:tcW w:w="994"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2020现状</w:t>
            </w:r>
          </w:p>
          <w:p>
            <w:pPr>
              <w:widowControl/>
              <w:jc w:val="center"/>
              <w:rPr>
                <w:rFonts w:ascii="宋体" w:hAnsi="宋体" w:eastAsia="宋体" w:cs="宋体"/>
                <w:kern w:val="0"/>
                <w:szCs w:val="21"/>
              </w:rPr>
            </w:pPr>
            <w:r>
              <w:rPr>
                <w:rFonts w:hint="eastAsia" w:ascii="宋体" w:hAnsi="宋体" w:eastAsia="宋体" w:cs="宋体"/>
                <w:kern w:val="0"/>
                <w:szCs w:val="21"/>
              </w:rPr>
              <w:t>常住城镇人口</w:t>
            </w:r>
          </w:p>
        </w:tc>
        <w:tc>
          <w:tcPr>
            <w:tcW w:w="1114"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2035规划</w:t>
            </w:r>
          </w:p>
          <w:p>
            <w:pPr>
              <w:widowControl/>
              <w:jc w:val="center"/>
              <w:rPr>
                <w:rFonts w:ascii="宋体" w:hAnsi="宋体" w:eastAsia="宋体" w:cs="宋体"/>
                <w:kern w:val="0"/>
                <w:szCs w:val="21"/>
              </w:rPr>
            </w:pPr>
            <w:r>
              <w:rPr>
                <w:rFonts w:hint="eastAsia" w:ascii="宋体" w:hAnsi="宋体" w:eastAsia="宋体" w:cs="宋体"/>
                <w:kern w:val="0"/>
                <w:szCs w:val="21"/>
              </w:rPr>
              <w:t>常住城镇人口</w:t>
            </w:r>
          </w:p>
        </w:tc>
      </w:tr>
      <w:tr>
        <w:tblPrEx>
          <w:tblCellMar>
            <w:top w:w="0" w:type="dxa"/>
            <w:left w:w="108" w:type="dxa"/>
            <w:bottom w:w="0" w:type="dxa"/>
            <w:right w:w="108" w:type="dxa"/>
          </w:tblCellMar>
        </w:tblPrEx>
        <w:trPr>
          <w:trHeight w:val="285" w:hRule="atLeast"/>
        </w:trPr>
        <w:tc>
          <w:tcPr>
            <w:tcW w:w="647"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河边镇</w:t>
            </w:r>
          </w:p>
        </w:tc>
        <w:tc>
          <w:tcPr>
            <w:tcW w:w="914"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Cs w:val="21"/>
              </w:rPr>
            </w:pPr>
            <w:r>
              <w:rPr>
                <w:rFonts w:hint="eastAsia" w:ascii="宋体" w:hAnsi="宋体" w:eastAsia="宋体" w:cs="宋体"/>
                <w:kern w:val="0"/>
                <w:szCs w:val="21"/>
              </w:rPr>
              <w:t>0.38</w:t>
            </w:r>
          </w:p>
        </w:tc>
        <w:tc>
          <w:tcPr>
            <w:tcW w:w="1331"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0.50</w:t>
            </w:r>
          </w:p>
        </w:tc>
        <w:tc>
          <w:tcPr>
            <w:tcW w:w="994"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Cs w:val="21"/>
              </w:rPr>
            </w:pPr>
            <w:r>
              <w:rPr>
                <w:rFonts w:hint="eastAsia" w:ascii="宋体" w:hAnsi="宋体" w:eastAsia="宋体" w:cs="宋体"/>
                <w:kern w:val="0"/>
                <w:szCs w:val="21"/>
              </w:rPr>
              <w:t>0.31</w:t>
            </w:r>
          </w:p>
        </w:tc>
        <w:tc>
          <w:tcPr>
            <w:tcW w:w="1114"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Cs w:val="21"/>
              </w:rPr>
            </w:pPr>
            <w:r>
              <w:rPr>
                <w:rFonts w:hint="eastAsia" w:ascii="宋体" w:hAnsi="宋体" w:eastAsia="宋体" w:cs="宋体"/>
                <w:kern w:val="0"/>
                <w:szCs w:val="21"/>
              </w:rPr>
              <w:t>0.65</w:t>
            </w:r>
          </w:p>
        </w:tc>
      </w:tr>
      <w:tr>
        <w:tblPrEx>
          <w:tblCellMar>
            <w:top w:w="0" w:type="dxa"/>
            <w:left w:w="108" w:type="dxa"/>
            <w:bottom w:w="0" w:type="dxa"/>
            <w:right w:w="108" w:type="dxa"/>
          </w:tblCellMar>
        </w:tblPrEx>
        <w:trPr>
          <w:trHeight w:val="285" w:hRule="atLeast"/>
        </w:trPr>
        <w:tc>
          <w:tcPr>
            <w:tcW w:w="647"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玉峰镇</w:t>
            </w:r>
          </w:p>
        </w:tc>
        <w:tc>
          <w:tcPr>
            <w:tcW w:w="914"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Cs w:val="21"/>
              </w:rPr>
            </w:pPr>
            <w:r>
              <w:rPr>
                <w:rFonts w:hint="eastAsia" w:ascii="宋体" w:hAnsi="宋体" w:eastAsia="宋体" w:cs="宋体"/>
                <w:kern w:val="0"/>
                <w:szCs w:val="21"/>
              </w:rPr>
              <w:t>0.15</w:t>
            </w:r>
          </w:p>
        </w:tc>
        <w:tc>
          <w:tcPr>
            <w:tcW w:w="1331"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0.40</w:t>
            </w:r>
          </w:p>
        </w:tc>
        <w:tc>
          <w:tcPr>
            <w:tcW w:w="994"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Cs w:val="21"/>
              </w:rPr>
            </w:pPr>
            <w:r>
              <w:rPr>
                <w:rFonts w:hint="eastAsia" w:ascii="宋体" w:hAnsi="宋体" w:eastAsia="宋体" w:cs="宋体"/>
                <w:kern w:val="0"/>
                <w:szCs w:val="21"/>
              </w:rPr>
              <w:t>0.12</w:t>
            </w:r>
          </w:p>
        </w:tc>
        <w:tc>
          <w:tcPr>
            <w:tcW w:w="1114"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Cs w:val="21"/>
              </w:rPr>
            </w:pPr>
            <w:r>
              <w:rPr>
                <w:rFonts w:hint="eastAsia" w:ascii="宋体" w:hAnsi="宋体" w:eastAsia="宋体" w:cs="宋体"/>
                <w:kern w:val="0"/>
                <w:szCs w:val="21"/>
              </w:rPr>
              <w:t>0.50</w:t>
            </w:r>
          </w:p>
        </w:tc>
      </w:tr>
      <w:tr>
        <w:tblPrEx>
          <w:tblCellMar>
            <w:top w:w="0" w:type="dxa"/>
            <w:left w:w="108" w:type="dxa"/>
            <w:bottom w:w="0" w:type="dxa"/>
            <w:right w:w="108" w:type="dxa"/>
          </w:tblCellMar>
        </w:tblPrEx>
        <w:trPr>
          <w:trHeight w:val="285" w:hRule="atLeast"/>
        </w:trPr>
        <w:tc>
          <w:tcPr>
            <w:tcW w:w="647"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象山镇</w:t>
            </w:r>
          </w:p>
        </w:tc>
        <w:tc>
          <w:tcPr>
            <w:tcW w:w="914"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Cs w:val="21"/>
              </w:rPr>
            </w:pPr>
            <w:r>
              <w:rPr>
                <w:rFonts w:hint="eastAsia" w:ascii="宋体" w:hAnsi="宋体" w:eastAsia="宋体" w:cs="宋体"/>
                <w:kern w:val="0"/>
                <w:szCs w:val="21"/>
              </w:rPr>
              <w:t>0.39</w:t>
            </w:r>
          </w:p>
        </w:tc>
        <w:tc>
          <w:tcPr>
            <w:tcW w:w="1331"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0.50</w:t>
            </w:r>
          </w:p>
        </w:tc>
        <w:tc>
          <w:tcPr>
            <w:tcW w:w="994"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Cs w:val="21"/>
              </w:rPr>
            </w:pPr>
            <w:r>
              <w:rPr>
                <w:rFonts w:hint="eastAsia" w:ascii="宋体" w:hAnsi="宋体" w:eastAsia="宋体" w:cs="宋体"/>
                <w:kern w:val="0"/>
                <w:szCs w:val="21"/>
              </w:rPr>
              <w:t>0.25</w:t>
            </w:r>
          </w:p>
        </w:tc>
        <w:tc>
          <w:tcPr>
            <w:tcW w:w="1114"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Cs w:val="21"/>
              </w:rPr>
            </w:pPr>
            <w:r>
              <w:rPr>
                <w:rFonts w:hint="eastAsia" w:ascii="宋体" w:hAnsi="宋体" w:eastAsia="宋体" w:cs="宋体"/>
                <w:kern w:val="0"/>
                <w:szCs w:val="21"/>
              </w:rPr>
              <w:t>0.65</w:t>
            </w:r>
          </w:p>
        </w:tc>
      </w:tr>
      <w:tr>
        <w:tblPrEx>
          <w:tblCellMar>
            <w:top w:w="0" w:type="dxa"/>
            <w:left w:w="108" w:type="dxa"/>
            <w:bottom w:w="0" w:type="dxa"/>
            <w:right w:w="108" w:type="dxa"/>
          </w:tblCellMar>
        </w:tblPrEx>
        <w:trPr>
          <w:trHeight w:val="285" w:hRule="atLeast"/>
        </w:trPr>
        <w:tc>
          <w:tcPr>
            <w:tcW w:w="647"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合计</w:t>
            </w:r>
          </w:p>
        </w:tc>
        <w:tc>
          <w:tcPr>
            <w:tcW w:w="914"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0.92</w:t>
            </w:r>
          </w:p>
        </w:tc>
        <w:tc>
          <w:tcPr>
            <w:tcW w:w="1331"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1.40</w:t>
            </w:r>
          </w:p>
        </w:tc>
        <w:tc>
          <w:tcPr>
            <w:tcW w:w="994"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Cs w:val="21"/>
              </w:rPr>
            </w:pPr>
            <w:r>
              <w:rPr>
                <w:rFonts w:hint="eastAsia" w:ascii="宋体" w:hAnsi="宋体" w:eastAsia="宋体" w:cs="宋体"/>
                <w:kern w:val="0"/>
                <w:szCs w:val="21"/>
              </w:rPr>
              <w:t>0.68</w:t>
            </w:r>
          </w:p>
        </w:tc>
        <w:tc>
          <w:tcPr>
            <w:tcW w:w="1114"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Cs w:val="21"/>
              </w:rPr>
            </w:pPr>
            <w:r>
              <w:rPr>
                <w:rFonts w:hint="eastAsia" w:ascii="宋体" w:hAnsi="宋体" w:eastAsia="宋体" w:cs="宋体"/>
                <w:kern w:val="0"/>
                <w:szCs w:val="21"/>
              </w:rPr>
              <w:t>1.80</w:t>
            </w:r>
          </w:p>
        </w:tc>
      </w:tr>
    </w:tbl>
    <w:p>
      <w:pPr>
        <w:adjustRightInd w:val="0"/>
        <w:snapToGrid w:val="0"/>
        <w:spacing w:beforeLines="50"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（三）片区农村人口预测</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预测片区12个村级经济片区人口规模为</w:t>
      </w:r>
      <w:r>
        <w:rPr>
          <w:rFonts w:hint="eastAsia" w:eastAsia="宋体" w:cs="Times New Roman" w:asciiTheme="minorEastAsia" w:hAnsiTheme="minorEastAsia"/>
          <w:kern w:val="0"/>
          <w:sz w:val="24"/>
          <w:szCs w:val="24"/>
        </w:rPr>
        <w:t>9.34</w:t>
      </w:r>
      <w:r>
        <w:rPr>
          <w:rFonts w:eastAsia="宋体" w:cs="Times New Roman" w:asciiTheme="minorEastAsia" w:hAnsiTheme="minorEastAsia"/>
          <w:kern w:val="0"/>
          <w:sz w:val="24"/>
          <w:szCs w:val="24"/>
        </w:rPr>
        <w:t>万人</w:t>
      </w:r>
      <w:r>
        <w:rPr>
          <w:rFonts w:hint="eastAsia" w:eastAsia="宋体" w:cs="Times New Roman" w:asciiTheme="minorEastAsia" w:hAnsiTheme="minorEastAsia"/>
          <w:kern w:val="0"/>
          <w:sz w:val="24"/>
          <w:szCs w:val="24"/>
        </w:rPr>
        <w:t>、28853户（户籍人口）</w:t>
      </w:r>
      <w:r>
        <w:rPr>
          <w:rFonts w:eastAsia="宋体" w:cs="Times New Roman" w:asciiTheme="minorEastAsia" w:hAnsiTheme="minorEastAsia"/>
          <w:kern w:val="0"/>
          <w:sz w:val="24"/>
          <w:szCs w:val="24"/>
        </w:rPr>
        <w:t>，其中，坤龙片区规划人口</w:t>
      </w:r>
      <w:r>
        <w:rPr>
          <w:rFonts w:hint="eastAsia" w:eastAsia="宋体" w:cs="Times New Roman" w:asciiTheme="minorEastAsia" w:hAnsiTheme="minorEastAsia"/>
          <w:kern w:val="0"/>
          <w:sz w:val="24"/>
          <w:szCs w:val="24"/>
        </w:rPr>
        <w:t>1.2</w:t>
      </w:r>
      <w:r>
        <w:rPr>
          <w:rFonts w:eastAsia="宋体" w:cs="Times New Roman" w:asciiTheme="minorEastAsia" w:hAnsiTheme="minorEastAsia"/>
          <w:kern w:val="0"/>
          <w:sz w:val="24"/>
          <w:szCs w:val="24"/>
        </w:rPr>
        <w:t>万人，牌坊片区规划人口</w:t>
      </w:r>
      <w:r>
        <w:rPr>
          <w:rFonts w:hint="eastAsia" w:eastAsia="宋体" w:cs="Times New Roman" w:asciiTheme="minorEastAsia" w:hAnsiTheme="minorEastAsia"/>
          <w:kern w:val="0"/>
          <w:sz w:val="24"/>
          <w:szCs w:val="24"/>
        </w:rPr>
        <w:t>0.6</w:t>
      </w:r>
      <w:r>
        <w:rPr>
          <w:rFonts w:eastAsia="宋体" w:cs="Times New Roman" w:asciiTheme="minorEastAsia" w:hAnsiTheme="minorEastAsia"/>
          <w:kern w:val="0"/>
          <w:sz w:val="24"/>
          <w:szCs w:val="24"/>
        </w:rPr>
        <w:t>万人，前进片区规划人口</w:t>
      </w:r>
      <w:r>
        <w:rPr>
          <w:rFonts w:hint="eastAsia" w:eastAsia="宋体" w:cs="Times New Roman" w:asciiTheme="minorEastAsia" w:hAnsiTheme="minorEastAsia"/>
          <w:kern w:val="0"/>
          <w:sz w:val="24"/>
          <w:szCs w:val="24"/>
        </w:rPr>
        <w:t>1.1</w:t>
      </w:r>
      <w:r>
        <w:rPr>
          <w:rFonts w:eastAsia="宋体" w:cs="Times New Roman" w:asciiTheme="minorEastAsia" w:hAnsiTheme="minorEastAsia"/>
          <w:kern w:val="0"/>
          <w:sz w:val="24"/>
          <w:szCs w:val="24"/>
        </w:rPr>
        <w:t>万人，梁家片区规划人口0.6万人，地风井片区规划人口0.6万人，团结片区规划人口</w:t>
      </w:r>
      <w:r>
        <w:rPr>
          <w:rFonts w:hint="eastAsia" w:eastAsia="宋体" w:cs="Times New Roman" w:asciiTheme="minorEastAsia" w:hAnsiTheme="minorEastAsia"/>
          <w:kern w:val="0"/>
          <w:sz w:val="24"/>
          <w:szCs w:val="24"/>
        </w:rPr>
        <w:t>0.85</w:t>
      </w:r>
      <w:r>
        <w:rPr>
          <w:rFonts w:eastAsia="宋体" w:cs="Times New Roman" w:asciiTheme="minorEastAsia" w:hAnsiTheme="minorEastAsia"/>
          <w:kern w:val="0"/>
          <w:sz w:val="24"/>
          <w:szCs w:val="24"/>
        </w:rPr>
        <w:t>万人，玉峰片区规划人口</w:t>
      </w:r>
      <w:r>
        <w:rPr>
          <w:rFonts w:hint="eastAsia" w:eastAsia="宋体" w:cs="Times New Roman" w:asciiTheme="minorEastAsia" w:hAnsiTheme="minorEastAsia"/>
          <w:kern w:val="0"/>
          <w:sz w:val="24"/>
          <w:szCs w:val="24"/>
        </w:rPr>
        <w:t>0.8</w:t>
      </w:r>
      <w:r>
        <w:rPr>
          <w:rFonts w:eastAsia="宋体" w:cs="Times New Roman" w:asciiTheme="minorEastAsia" w:hAnsiTheme="minorEastAsia"/>
          <w:kern w:val="0"/>
          <w:sz w:val="24"/>
          <w:szCs w:val="24"/>
        </w:rPr>
        <w:t>万人，方平沟片区规划人口0.5万人，斗笠片区规划人口</w:t>
      </w:r>
      <w:r>
        <w:rPr>
          <w:rFonts w:hint="eastAsia" w:eastAsia="宋体" w:cs="Times New Roman" w:asciiTheme="minorEastAsia" w:hAnsiTheme="minorEastAsia"/>
          <w:kern w:val="0"/>
          <w:sz w:val="24"/>
          <w:szCs w:val="24"/>
        </w:rPr>
        <w:t>0.49</w:t>
      </w:r>
      <w:r>
        <w:rPr>
          <w:rFonts w:eastAsia="宋体" w:cs="Times New Roman" w:asciiTheme="minorEastAsia" w:hAnsiTheme="minorEastAsia"/>
          <w:kern w:val="0"/>
          <w:sz w:val="24"/>
          <w:szCs w:val="24"/>
        </w:rPr>
        <w:t>万人，智水片区规划人口</w:t>
      </w:r>
      <w:r>
        <w:rPr>
          <w:rFonts w:hint="eastAsia" w:eastAsia="宋体" w:cs="Times New Roman" w:asciiTheme="minorEastAsia" w:hAnsiTheme="minorEastAsia"/>
          <w:kern w:val="0"/>
          <w:sz w:val="24"/>
          <w:szCs w:val="24"/>
        </w:rPr>
        <w:t>0.8</w:t>
      </w:r>
      <w:r>
        <w:rPr>
          <w:rFonts w:eastAsia="宋体" w:cs="Times New Roman" w:asciiTheme="minorEastAsia" w:hAnsiTheme="minorEastAsia"/>
          <w:kern w:val="0"/>
          <w:sz w:val="24"/>
          <w:szCs w:val="24"/>
        </w:rPr>
        <w:t>万人，象山片区规划人口</w:t>
      </w:r>
      <w:r>
        <w:rPr>
          <w:rFonts w:hint="eastAsia" w:eastAsia="宋体" w:cs="Times New Roman" w:asciiTheme="minorEastAsia" w:hAnsiTheme="minorEastAsia"/>
          <w:kern w:val="0"/>
          <w:sz w:val="24"/>
          <w:szCs w:val="24"/>
        </w:rPr>
        <w:t>1</w:t>
      </w:r>
      <w:r>
        <w:rPr>
          <w:rFonts w:eastAsia="宋体" w:cs="Times New Roman" w:asciiTheme="minorEastAsia" w:hAnsiTheme="minorEastAsia"/>
          <w:kern w:val="0"/>
          <w:sz w:val="24"/>
          <w:szCs w:val="24"/>
        </w:rPr>
        <w:t>万人，永乐片区规划人口</w:t>
      </w:r>
      <w:r>
        <w:rPr>
          <w:rFonts w:hint="eastAsia" w:eastAsia="宋体" w:cs="Times New Roman" w:asciiTheme="minorEastAsia" w:hAnsiTheme="minorEastAsia"/>
          <w:kern w:val="0"/>
          <w:sz w:val="24"/>
          <w:szCs w:val="24"/>
        </w:rPr>
        <w:t>0.8万人。</w:t>
      </w:r>
    </w:p>
    <w:p>
      <w:pPr>
        <w:adjustRightInd w:val="0"/>
        <w:snapToGrid w:val="0"/>
        <w:spacing w:line="360" w:lineRule="auto"/>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片区农村户籍人口预测汇总表：</w:t>
      </w:r>
    </w:p>
    <w:tbl>
      <w:tblPr>
        <w:tblStyle w:val="16"/>
        <w:tblW w:w="5000" w:type="pct"/>
        <w:tblInd w:w="0" w:type="dxa"/>
        <w:tblLayout w:type="autofit"/>
        <w:tblCellMar>
          <w:top w:w="0" w:type="dxa"/>
          <w:left w:w="108" w:type="dxa"/>
          <w:bottom w:w="0" w:type="dxa"/>
          <w:right w:w="108" w:type="dxa"/>
        </w:tblCellMar>
      </w:tblPr>
      <w:tblGrid>
        <w:gridCol w:w="1250"/>
        <w:gridCol w:w="1266"/>
        <w:gridCol w:w="2400"/>
        <w:gridCol w:w="1896"/>
        <w:gridCol w:w="1710"/>
      </w:tblGrid>
      <w:tr>
        <w:tblPrEx>
          <w:tblCellMar>
            <w:top w:w="0" w:type="dxa"/>
            <w:left w:w="108" w:type="dxa"/>
            <w:bottom w:w="0" w:type="dxa"/>
            <w:right w:w="108" w:type="dxa"/>
          </w:tblCellMar>
        </w:tblPrEx>
        <w:trPr>
          <w:trHeight w:val="312" w:hRule="atLeast"/>
        </w:trPr>
        <w:tc>
          <w:tcPr>
            <w:tcW w:w="733"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乡镇名称</w:t>
            </w:r>
          </w:p>
        </w:tc>
        <w:tc>
          <w:tcPr>
            <w:tcW w:w="743"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片区名</w:t>
            </w:r>
          </w:p>
        </w:tc>
        <w:tc>
          <w:tcPr>
            <w:tcW w:w="1408"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现状乡村人数（万人）</w:t>
            </w:r>
          </w:p>
        </w:tc>
        <w:tc>
          <w:tcPr>
            <w:tcW w:w="1112"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规划人数（万人）</w:t>
            </w:r>
          </w:p>
        </w:tc>
        <w:tc>
          <w:tcPr>
            <w:tcW w:w="1003"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规划户数（户）</w:t>
            </w:r>
          </w:p>
        </w:tc>
      </w:tr>
      <w:tr>
        <w:tblPrEx>
          <w:tblCellMar>
            <w:top w:w="0" w:type="dxa"/>
            <w:left w:w="108" w:type="dxa"/>
            <w:bottom w:w="0" w:type="dxa"/>
            <w:right w:w="108" w:type="dxa"/>
          </w:tblCellMar>
        </w:tblPrEx>
        <w:trPr>
          <w:trHeight w:val="312" w:hRule="atLeast"/>
        </w:trPr>
        <w:tc>
          <w:tcPr>
            <w:tcW w:w="73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p>
        </w:tc>
        <w:tc>
          <w:tcPr>
            <w:tcW w:w="7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p>
        </w:tc>
        <w:tc>
          <w:tcPr>
            <w:tcW w:w="140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p>
        </w:tc>
        <w:tc>
          <w:tcPr>
            <w:tcW w:w="1112"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p>
        </w:tc>
        <w:tc>
          <w:tcPr>
            <w:tcW w:w="100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p>
        </w:tc>
      </w:tr>
      <w:tr>
        <w:tblPrEx>
          <w:tblCellMar>
            <w:top w:w="0" w:type="dxa"/>
            <w:left w:w="108" w:type="dxa"/>
            <w:bottom w:w="0" w:type="dxa"/>
            <w:right w:w="108" w:type="dxa"/>
          </w:tblCellMar>
        </w:tblPrEx>
        <w:trPr>
          <w:trHeight w:val="270" w:hRule="atLeast"/>
        </w:trPr>
        <w:tc>
          <w:tcPr>
            <w:tcW w:w="733"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河边镇</w:t>
            </w:r>
          </w:p>
        </w:tc>
        <w:tc>
          <w:tcPr>
            <w:tcW w:w="74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坤龙片区</w:t>
            </w:r>
          </w:p>
        </w:tc>
        <w:tc>
          <w:tcPr>
            <w:tcW w:w="140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1.7</w:t>
            </w:r>
          </w:p>
        </w:tc>
        <w:tc>
          <w:tcPr>
            <w:tcW w:w="1112"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1.2</w:t>
            </w:r>
          </w:p>
        </w:tc>
        <w:tc>
          <w:tcPr>
            <w:tcW w:w="100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3692</w:t>
            </w:r>
          </w:p>
        </w:tc>
      </w:tr>
      <w:tr>
        <w:tblPrEx>
          <w:tblCellMar>
            <w:top w:w="0" w:type="dxa"/>
            <w:left w:w="108" w:type="dxa"/>
            <w:bottom w:w="0" w:type="dxa"/>
            <w:right w:w="108" w:type="dxa"/>
          </w:tblCellMar>
        </w:tblPrEx>
        <w:trPr>
          <w:trHeight w:val="270" w:hRule="atLeast"/>
        </w:trPr>
        <w:tc>
          <w:tcPr>
            <w:tcW w:w="733"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p>
        </w:tc>
        <w:tc>
          <w:tcPr>
            <w:tcW w:w="74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牌坊片区</w:t>
            </w:r>
          </w:p>
        </w:tc>
        <w:tc>
          <w:tcPr>
            <w:tcW w:w="140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0.95</w:t>
            </w:r>
          </w:p>
        </w:tc>
        <w:tc>
          <w:tcPr>
            <w:tcW w:w="1112"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0.6</w:t>
            </w:r>
          </w:p>
        </w:tc>
        <w:tc>
          <w:tcPr>
            <w:tcW w:w="100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1846 </w:t>
            </w:r>
          </w:p>
        </w:tc>
      </w:tr>
      <w:tr>
        <w:tblPrEx>
          <w:tblCellMar>
            <w:top w:w="0" w:type="dxa"/>
            <w:left w:w="108" w:type="dxa"/>
            <w:bottom w:w="0" w:type="dxa"/>
            <w:right w:w="108" w:type="dxa"/>
          </w:tblCellMar>
        </w:tblPrEx>
        <w:trPr>
          <w:trHeight w:val="270" w:hRule="atLeast"/>
        </w:trPr>
        <w:tc>
          <w:tcPr>
            <w:tcW w:w="733"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p>
        </w:tc>
        <w:tc>
          <w:tcPr>
            <w:tcW w:w="74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前进片区</w:t>
            </w:r>
          </w:p>
        </w:tc>
        <w:tc>
          <w:tcPr>
            <w:tcW w:w="140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1.33</w:t>
            </w:r>
          </w:p>
        </w:tc>
        <w:tc>
          <w:tcPr>
            <w:tcW w:w="1112"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1.1</w:t>
            </w:r>
          </w:p>
        </w:tc>
        <w:tc>
          <w:tcPr>
            <w:tcW w:w="100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3384 </w:t>
            </w:r>
          </w:p>
        </w:tc>
      </w:tr>
      <w:tr>
        <w:tblPrEx>
          <w:tblCellMar>
            <w:top w:w="0" w:type="dxa"/>
            <w:left w:w="108" w:type="dxa"/>
            <w:bottom w:w="0" w:type="dxa"/>
            <w:right w:w="108" w:type="dxa"/>
          </w:tblCellMar>
        </w:tblPrEx>
        <w:trPr>
          <w:trHeight w:val="270" w:hRule="atLeast"/>
        </w:trPr>
        <w:tc>
          <w:tcPr>
            <w:tcW w:w="733"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p>
        </w:tc>
        <w:tc>
          <w:tcPr>
            <w:tcW w:w="74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梁家片区</w:t>
            </w:r>
          </w:p>
        </w:tc>
        <w:tc>
          <w:tcPr>
            <w:tcW w:w="140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0.9</w:t>
            </w:r>
          </w:p>
        </w:tc>
        <w:tc>
          <w:tcPr>
            <w:tcW w:w="1112"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0.6</w:t>
            </w:r>
          </w:p>
        </w:tc>
        <w:tc>
          <w:tcPr>
            <w:tcW w:w="100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1846 </w:t>
            </w:r>
          </w:p>
        </w:tc>
      </w:tr>
      <w:tr>
        <w:tblPrEx>
          <w:tblCellMar>
            <w:top w:w="0" w:type="dxa"/>
            <w:left w:w="108" w:type="dxa"/>
            <w:bottom w:w="0" w:type="dxa"/>
            <w:right w:w="108" w:type="dxa"/>
          </w:tblCellMar>
        </w:tblPrEx>
        <w:trPr>
          <w:trHeight w:val="270" w:hRule="atLeast"/>
        </w:trPr>
        <w:tc>
          <w:tcPr>
            <w:tcW w:w="733"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p>
        </w:tc>
        <w:tc>
          <w:tcPr>
            <w:tcW w:w="74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地风井片区</w:t>
            </w:r>
          </w:p>
        </w:tc>
        <w:tc>
          <w:tcPr>
            <w:tcW w:w="140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0.82</w:t>
            </w:r>
          </w:p>
        </w:tc>
        <w:tc>
          <w:tcPr>
            <w:tcW w:w="1112"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0.6</w:t>
            </w:r>
          </w:p>
        </w:tc>
        <w:tc>
          <w:tcPr>
            <w:tcW w:w="100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1846 </w:t>
            </w:r>
          </w:p>
        </w:tc>
      </w:tr>
      <w:tr>
        <w:tblPrEx>
          <w:tblCellMar>
            <w:top w:w="0" w:type="dxa"/>
            <w:left w:w="108" w:type="dxa"/>
            <w:bottom w:w="0" w:type="dxa"/>
            <w:right w:w="108" w:type="dxa"/>
          </w:tblCellMar>
        </w:tblPrEx>
        <w:trPr>
          <w:trHeight w:val="270" w:hRule="atLeast"/>
        </w:trPr>
        <w:tc>
          <w:tcPr>
            <w:tcW w:w="733"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玉峰镇</w:t>
            </w:r>
          </w:p>
        </w:tc>
        <w:tc>
          <w:tcPr>
            <w:tcW w:w="74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团结片区</w:t>
            </w:r>
          </w:p>
        </w:tc>
        <w:tc>
          <w:tcPr>
            <w:tcW w:w="140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1.12</w:t>
            </w:r>
          </w:p>
        </w:tc>
        <w:tc>
          <w:tcPr>
            <w:tcW w:w="1112"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0.85</w:t>
            </w:r>
          </w:p>
        </w:tc>
        <w:tc>
          <w:tcPr>
            <w:tcW w:w="100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2672 </w:t>
            </w:r>
          </w:p>
        </w:tc>
      </w:tr>
      <w:tr>
        <w:tblPrEx>
          <w:tblCellMar>
            <w:top w:w="0" w:type="dxa"/>
            <w:left w:w="108" w:type="dxa"/>
            <w:bottom w:w="0" w:type="dxa"/>
            <w:right w:w="108" w:type="dxa"/>
          </w:tblCellMar>
        </w:tblPrEx>
        <w:trPr>
          <w:trHeight w:val="270" w:hRule="atLeast"/>
        </w:trPr>
        <w:tc>
          <w:tcPr>
            <w:tcW w:w="733"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p>
        </w:tc>
        <w:tc>
          <w:tcPr>
            <w:tcW w:w="74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玉峰片区</w:t>
            </w:r>
          </w:p>
        </w:tc>
        <w:tc>
          <w:tcPr>
            <w:tcW w:w="140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1.07</w:t>
            </w:r>
          </w:p>
        </w:tc>
        <w:tc>
          <w:tcPr>
            <w:tcW w:w="1112"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0.8</w:t>
            </w:r>
          </w:p>
        </w:tc>
        <w:tc>
          <w:tcPr>
            <w:tcW w:w="100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2516 </w:t>
            </w:r>
          </w:p>
        </w:tc>
      </w:tr>
      <w:tr>
        <w:tblPrEx>
          <w:tblCellMar>
            <w:top w:w="0" w:type="dxa"/>
            <w:left w:w="108" w:type="dxa"/>
            <w:bottom w:w="0" w:type="dxa"/>
            <w:right w:w="108" w:type="dxa"/>
          </w:tblCellMar>
        </w:tblPrEx>
        <w:trPr>
          <w:trHeight w:val="270" w:hRule="atLeast"/>
        </w:trPr>
        <w:tc>
          <w:tcPr>
            <w:tcW w:w="733"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p>
        </w:tc>
        <w:tc>
          <w:tcPr>
            <w:tcW w:w="74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方平沟片区</w:t>
            </w:r>
          </w:p>
        </w:tc>
        <w:tc>
          <w:tcPr>
            <w:tcW w:w="140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1.02</w:t>
            </w:r>
          </w:p>
        </w:tc>
        <w:tc>
          <w:tcPr>
            <w:tcW w:w="1112"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0.5</w:t>
            </w:r>
          </w:p>
        </w:tc>
        <w:tc>
          <w:tcPr>
            <w:tcW w:w="100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1572 </w:t>
            </w:r>
          </w:p>
        </w:tc>
      </w:tr>
      <w:tr>
        <w:tblPrEx>
          <w:tblCellMar>
            <w:top w:w="0" w:type="dxa"/>
            <w:left w:w="108" w:type="dxa"/>
            <w:bottom w:w="0" w:type="dxa"/>
            <w:right w:w="108" w:type="dxa"/>
          </w:tblCellMar>
        </w:tblPrEx>
        <w:trPr>
          <w:trHeight w:val="270" w:hRule="atLeast"/>
        </w:trPr>
        <w:tc>
          <w:tcPr>
            <w:tcW w:w="733"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p>
        </w:tc>
        <w:tc>
          <w:tcPr>
            <w:tcW w:w="74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斗笠片区</w:t>
            </w:r>
          </w:p>
        </w:tc>
        <w:tc>
          <w:tcPr>
            <w:tcW w:w="140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0.69</w:t>
            </w:r>
          </w:p>
        </w:tc>
        <w:tc>
          <w:tcPr>
            <w:tcW w:w="1112"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0.49</w:t>
            </w:r>
          </w:p>
        </w:tc>
        <w:tc>
          <w:tcPr>
            <w:tcW w:w="100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1541 </w:t>
            </w:r>
          </w:p>
        </w:tc>
      </w:tr>
      <w:tr>
        <w:tblPrEx>
          <w:tblCellMar>
            <w:top w:w="0" w:type="dxa"/>
            <w:left w:w="108" w:type="dxa"/>
            <w:bottom w:w="0" w:type="dxa"/>
            <w:right w:w="108" w:type="dxa"/>
          </w:tblCellMar>
        </w:tblPrEx>
        <w:trPr>
          <w:trHeight w:val="270" w:hRule="atLeast"/>
        </w:trPr>
        <w:tc>
          <w:tcPr>
            <w:tcW w:w="733"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p>
        </w:tc>
        <w:tc>
          <w:tcPr>
            <w:tcW w:w="74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智水片区</w:t>
            </w:r>
          </w:p>
        </w:tc>
        <w:tc>
          <w:tcPr>
            <w:tcW w:w="140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1.22</w:t>
            </w:r>
          </w:p>
        </w:tc>
        <w:tc>
          <w:tcPr>
            <w:tcW w:w="1112"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0.8</w:t>
            </w:r>
          </w:p>
        </w:tc>
        <w:tc>
          <w:tcPr>
            <w:tcW w:w="100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2516 </w:t>
            </w:r>
          </w:p>
        </w:tc>
      </w:tr>
      <w:tr>
        <w:tblPrEx>
          <w:tblCellMar>
            <w:top w:w="0" w:type="dxa"/>
            <w:left w:w="108" w:type="dxa"/>
            <w:bottom w:w="0" w:type="dxa"/>
            <w:right w:w="108" w:type="dxa"/>
          </w:tblCellMar>
        </w:tblPrEx>
        <w:trPr>
          <w:trHeight w:val="270" w:hRule="atLeast"/>
        </w:trPr>
        <w:tc>
          <w:tcPr>
            <w:tcW w:w="733"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象山镇</w:t>
            </w:r>
          </w:p>
        </w:tc>
        <w:tc>
          <w:tcPr>
            <w:tcW w:w="74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象山片区</w:t>
            </w:r>
          </w:p>
        </w:tc>
        <w:tc>
          <w:tcPr>
            <w:tcW w:w="140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1.26</w:t>
            </w:r>
          </w:p>
        </w:tc>
        <w:tc>
          <w:tcPr>
            <w:tcW w:w="1112"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w:t>
            </w:r>
          </w:p>
        </w:tc>
        <w:tc>
          <w:tcPr>
            <w:tcW w:w="100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3012 </w:t>
            </w:r>
          </w:p>
        </w:tc>
      </w:tr>
      <w:tr>
        <w:tblPrEx>
          <w:tblCellMar>
            <w:top w:w="0" w:type="dxa"/>
            <w:left w:w="108" w:type="dxa"/>
            <w:bottom w:w="0" w:type="dxa"/>
            <w:right w:w="108" w:type="dxa"/>
          </w:tblCellMar>
        </w:tblPrEx>
        <w:trPr>
          <w:trHeight w:val="270" w:hRule="atLeast"/>
        </w:trPr>
        <w:tc>
          <w:tcPr>
            <w:tcW w:w="733"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p>
        </w:tc>
        <w:tc>
          <w:tcPr>
            <w:tcW w:w="74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永乐片区</w:t>
            </w:r>
          </w:p>
        </w:tc>
        <w:tc>
          <w:tcPr>
            <w:tcW w:w="140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1.53</w:t>
            </w:r>
          </w:p>
        </w:tc>
        <w:tc>
          <w:tcPr>
            <w:tcW w:w="1112"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0.8</w:t>
            </w:r>
          </w:p>
        </w:tc>
        <w:tc>
          <w:tcPr>
            <w:tcW w:w="100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2410 </w:t>
            </w:r>
          </w:p>
        </w:tc>
      </w:tr>
      <w:tr>
        <w:tblPrEx>
          <w:tblCellMar>
            <w:top w:w="0" w:type="dxa"/>
            <w:left w:w="108" w:type="dxa"/>
            <w:bottom w:w="0" w:type="dxa"/>
            <w:right w:w="108" w:type="dxa"/>
          </w:tblCellMar>
        </w:tblPrEx>
        <w:trPr>
          <w:trHeight w:val="270" w:hRule="atLeast"/>
        </w:trPr>
        <w:tc>
          <w:tcPr>
            <w:tcW w:w="1476"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合计</w:t>
            </w:r>
          </w:p>
        </w:tc>
        <w:tc>
          <w:tcPr>
            <w:tcW w:w="140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13.61</w:t>
            </w:r>
          </w:p>
        </w:tc>
        <w:tc>
          <w:tcPr>
            <w:tcW w:w="1112" w:type="pct"/>
            <w:tcBorders>
              <w:top w:val="nil"/>
              <w:left w:val="nil"/>
              <w:bottom w:val="single" w:color="auto" w:sz="4" w:space="0"/>
              <w:right w:val="single" w:color="auto" w:sz="4" w:space="0"/>
            </w:tcBorders>
            <w:shd w:val="clear" w:color="auto" w:fill="auto"/>
            <w:noWrap/>
            <w:vAlign w:val="center"/>
          </w:tcPr>
          <w:p>
            <w:pPr>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9.34</w:t>
            </w:r>
          </w:p>
        </w:tc>
        <w:tc>
          <w:tcPr>
            <w:tcW w:w="100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28853</w:t>
            </w:r>
          </w:p>
        </w:tc>
      </w:tr>
    </w:tbl>
    <w:p>
      <w:pPr>
        <w:adjustRightInd w:val="0"/>
        <w:snapToGrid w:val="0"/>
        <w:spacing w:beforeLines="50" w:line="360" w:lineRule="auto"/>
        <w:ind w:firstLine="482" w:firstLineChars="200"/>
        <w:rPr>
          <w:rFonts w:ascii="黑体" w:hAnsi="黑体" w:eastAsia="黑体" w:cs="Times New Roman"/>
          <w:b/>
          <w:kern w:val="0"/>
          <w:sz w:val="24"/>
          <w:szCs w:val="24"/>
        </w:rPr>
      </w:pPr>
      <w:r>
        <w:rPr>
          <w:rFonts w:hint="eastAsia" w:ascii="黑体" w:hAnsi="黑体" w:eastAsia="黑体" w:cs="Times New Roman"/>
          <w:b/>
          <w:kern w:val="0"/>
          <w:sz w:val="24"/>
          <w:szCs w:val="24"/>
        </w:rPr>
        <w:t>二、城镇化预测</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2020</w:t>
      </w:r>
      <w:r>
        <w:rPr>
          <w:rFonts w:hint="eastAsia" w:ascii="宋体" w:hAnsi="宋体" w:eastAsia="宋体" w:cs="Times New Roman"/>
          <w:kern w:val="0"/>
          <w:sz w:val="24"/>
          <w:szCs w:val="24"/>
        </w:rPr>
        <w:t>年</w:t>
      </w:r>
      <w:r>
        <w:rPr>
          <w:rFonts w:hint="eastAsia" w:eastAsia="宋体" w:cs="Times New Roman" w:asciiTheme="minorEastAsia" w:hAnsiTheme="minorEastAsia"/>
          <w:kern w:val="0"/>
          <w:sz w:val="24"/>
          <w:szCs w:val="24"/>
        </w:rPr>
        <w:t>片区</w:t>
      </w:r>
      <w:r>
        <w:rPr>
          <w:rFonts w:hint="eastAsia" w:ascii="宋体" w:hAnsi="宋体" w:eastAsia="宋体" w:cs="Times New Roman"/>
          <w:kern w:val="0"/>
          <w:sz w:val="24"/>
          <w:szCs w:val="24"/>
        </w:rPr>
        <w:t>常住人口</w:t>
      </w:r>
      <w:r>
        <w:rPr>
          <w:rFonts w:hint="eastAsia" w:eastAsia="宋体" w:cs="Times New Roman" w:asciiTheme="minorEastAsia" w:hAnsiTheme="minorEastAsia"/>
          <w:kern w:val="0"/>
          <w:sz w:val="24"/>
          <w:szCs w:val="24"/>
        </w:rPr>
        <w:t>7.92万</w:t>
      </w:r>
      <w:r>
        <w:rPr>
          <w:rFonts w:hint="eastAsia" w:ascii="宋体" w:hAnsi="宋体" w:eastAsia="宋体" w:cs="Times New Roman"/>
          <w:kern w:val="0"/>
          <w:sz w:val="24"/>
          <w:szCs w:val="24"/>
        </w:rPr>
        <w:t>人，仅占户籍总人口的</w:t>
      </w:r>
      <w:r>
        <w:rPr>
          <w:rFonts w:hint="eastAsia" w:eastAsia="宋体" w:cs="Times New Roman" w:asciiTheme="minorEastAsia" w:hAnsiTheme="minorEastAsia"/>
          <w:kern w:val="0"/>
          <w:sz w:val="24"/>
          <w:szCs w:val="24"/>
        </w:rPr>
        <w:t>55.47</w:t>
      </w:r>
      <w:r>
        <w:rPr>
          <w:rFonts w:hint="eastAsia" w:ascii="宋体" w:hAnsi="宋体" w:eastAsia="宋体" w:cs="Times New Roman"/>
          <w:kern w:val="0"/>
          <w:sz w:val="24"/>
          <w:szCs w:val="24"/>
        </w:rPr>
        <w:t>%，</w:t>
      </w:r>
      <w:r>
        <w:rPr>
          <w:rFonts w:hint="eastAsia" w:eastAsia="宋体" w:cs="Times New Roman" w:asciiTheme="minorEastAsia" w:hAnsiTheme="minorEastAsia"/>
          <w:kern w:val="0"/>
          <w:sz w:val="24"/>
          <w:szCs w:val="24"/>
        </w:rPr>
        <w:t>外出打工人口规模较大，片区</w:t>
      </w:r>
      <w:r>
        <w:rPr>
          <w:rFonts w:hint="eastAsia" w:ascii="宋体" w:hAnsi="宋体" w:eastAsia="宋体" w:cs="Times New Roman"/>
          <w:kern w:val="0"/>
          <w:sz w:val="24"/>
          <w:szCs w:val="24"/>
        </w:rPr>
        <w:t>现状城镇化率为</w:t>
      </w:r>
      <w:r>
        <w:rPr>
          <w:rFonts w:hint="eastAsia" w:eastAsia="宋体" w:cs="Times New Roman" w:asciiTheme="minorEastAsia" w:hAnsiTheme="minorEastAsia"/>
          <w:kern w:val="0"/>
          <w:sz w:val="24"/>
          <w:szCs w:val="24"/>
        </w:rPr>
        <w:t>8.59</w:t>
      </w:r>
      <w:r>
        <w:rPr>
          <w:rFonts w:hint="eastAsia" w:ascii="宋体" w:hAnsi="宋体" w:eastAsia="宋体" w:cs="Times New Roman"/>
          <w:kern w:val="0"/>
          <w:sz w:val="24"/>
          <w:szCs w:val="24"/>
        </w:rPr>
        <w:t>%</w:t>
      </w:r>
      <w:r>
        <w:rPr>
          <w:rFonts w:hint="eastAsia" w:eastAsia="宋体" w:cs="Times New Roman" w:asciiTheme="minorEastAsia" w:hAnsiTheme="minorEastAsia"/>
          <w:kern w:val="0"/>
          <w:sz w:val="24"/>
          <w:szCs w:val="24"/>
        </w:rPr>
        <w:t>，远低于全县41.2%的水平。随着以县城为重要载体的城镇化建设意见的实施，成遂协同绿色发展片区又为农业片区，未来片区总人口势必会不断减少。受城镇</w:t>
      </w:r>
      <w:r>
        <w:rPr>
          <w:rFonts w:hint="eastAsia" w:eastAsia="宋体" w:cs="Times New Roman" w:asciiTheme="minorEastAsia" w:hAnsiTheme="minorEastAsia"/>
          <w:kern w:val="0"/>
          <w:sz w:val="24"/>
          <w:szCs w:val="24"/>
          <w:lang w:val="en-US" w:eastAsia="zh-CN"/>
        </w:rPr>
        <w:t>开发</w:t>
      </w:r>
      <w:r>
        <w:rPr>
          <w:rFonts w:hint="eastAsia" w:eastAsia="宋体" w:cs="Times New Roman" w:asciiTheme="minorEastAsia" w:hAnsiTheme="minorEastAsia"/>
          <w:kern w:val="0"/>
          <w:sz w:val="24"/>
          <w:szCs w:val="24"/>
        </w:rPr>
        <w:t>边界的限制，片区三个场镇呈内涵式发展，</w:t>
      </w:r>
      <w:r>
        <w:rPr>
          <w:rFonts w:hint="eastAsia" w:ascii="宋体" w:hAnsi="宋体" w:eastAsia="宋体" w:cs="Times New Roman"/>
          <w:kern w:val="0"/>
          <w:sz w:val="24"/>
          <w:szCs w:val="24"/>
        </w:rPr>
        <w:t>预测</w:t>
      </w:r>
      <w:r>
        <w:rPr>
          <w:rFonts w:hint="eastAsia" w:eastAsia="宋体" w:cs="Times New Roman" w:asciiTheme="minorEastAsia" w:hAnsiTheme="minorEastAsia"/>
          <w:kern w:val="0"/>
          <w:sz w:val="24"/>
          <w:szCs w:val="24"/>
        </w:rPr>
        <w:t>片区</w:t>
      </w:r>
      <w:r>
        <w:rPr>
          <w:rFonts w:hint="eastAsia" w:ascii="宋体" w:hAnsi="宋体" w:eastAsia="宋体" w:cs="Times New Roman"/>
          <w:kern w:val="0"/>
          <w:sz w:val="24"/>
          <w:szCs w:val="24"/>
        </w:rPr>
        <w:t>城镇化率</w:t>
      </w:r>
      <w:r>
        <w:rPr>
          <w:rFonts w:hint="eastAsia" w:eastAsia="宋体" w:cs="Times New Roman" w:asciiTheme="minorEastAsia" w:hAnsiTheme="minorEastAsia"/>
          <w:kern w:val="0"/>
          <w:sz w:val="24"/>
          <w:szCs w:val="24"/>
        </w:rPr>
        <w:t>2035</w:t>
      </w:r>
      <w:r>
        <w:rPr>
          <w:rFonts w:hint="eastAsia" w:ascii="宋体" w:hAnsi="宋体" w:eastAsia="宋体" w:cs="Times New Roman"/>
          <w:kern w:val="0"/>
          <w:sz w:val="24"/>
          <w:szCs w:val="24"/>
        </w:rPr>
        <w:t>年为</w:t>
      </w:r>
      <w:r>
        <w:rPr>
          <w:rFonts w:hint="eastAsia" w:eastAsia="宋体" w:cs="Times New Roman" w:asciiTheme="minorEastAsia" w:hAnsiTheme="minorEastAsia"/>
          <w:kern w:val="0"/>
          <w:sz w:val="24"/>
          <w:szCs w:val="24"/>
        </w:rPr>
        <w:t>26.91</w:t>
      </w:r>
      <w:r>
        <w:rPr>
          <w:rFonts w:ascii="宋体" w:hAnsi="宋体" w:eastAsia="宋体" w:cs="Times New Roman"/>
          <w:kern w:val="0"/>
          <w:sz w:val="24"/>
          <w:szCs w:val="24"/>
        </w:rPr>
        <w:t>%</w:t>
      </w:r>
      <w:r>
        <w:rPr>
          <w:rFonts w:hint="eastAsia" w:eastAsia="宋体" w:cs="Times New Roman" w:asciiTheme="minorEastAsia" w:hAnsiTheme="minorEastAsia"/>
          <w:kern w:val="0"/>
          <w:sz w:val="24"/>
          <w:szCs w:val="24"/>
        </w:rPr>
        <w:t>，其中河边镇城镇化率为20.70%，象山镇城镇化率为38.24%，玉峰镇城镇化率为27.03%。</w:t>
      </w:r>
    </w:p>
    <w:p>
      <w:pPr>
        <w:adjustRightInd w:val="0"/>
        <w:snapToGrid w:val="0"/>
        <w:spacing w:line="360" w:lineRule="auto"/>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片区城镇化水平预测汇总表：</w:t>
      </w:r>
    </w:p>
    <w:p>
      <w:pPr>
        <w:adjustRightInd w:val="0"/>
        <w:snapToGrid w:val="0"/>
        <w:spacing w:line="360" w:lineRule="auto"/>
        <w:jc w:val="right"/>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单位：%</w:t>
      </w:r>
    </w:p>
    <w:tbl>
      <w:tblPr>
        <w:tblStyle w:val="16"/>
        <w:tblW w:w="5000" w:type="pct"/>
        <w:tblInd w:w="0" w:type="dxa"/>
        <w:tblLayout w:type="autofit"/>
        <w:tblCellMar>
          <w:top w:w="0" w:type="dxa"/>
          <w:left w:w="108" w:type="dxa"/>
          <w:bottom w:w="0" w:type="dxa"/>
          <w:right w:w="108" w:type="dxa"/>
        </w:tblCellMar>
      </w:tblPr>
      <w:tblGrid>
        <w:gridCol w:w="2179"/>
        <w:gridCol w:w="3076"/>
        <w:gridCol w:w="3267"/>
      </w:tblGrid>
      <w:tr>
        <w:tblPrEx>
          <w:tblCellMar>
            <w:top w:w="0" w:type="dxa"/>
            <w:left w:w="108" w:type="dxa"/>
            <w:bottom w:w="0" w:type="dxa"/>
            <w:right w:w="108" w:type="dxa"/>
          </w:tblCellMar>
        </w:tblPrEx>
        <w:trPr>
          <w:trHeight w:val="285" w:hRule="atLeast"/>
        </w:trPr>
        <w:tc>
          <w:tcPr>
            <w:tcW w:w="127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城镇名称</w:t>
            </w:r>
          </w:p>
        </w:tc>
        <w:tc>
          <w:tcPr>
            <w:tcW w:w="1805"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Cs w:val="21"/>
              </w:rPr>
            </w:pPr>
            <w:r>
              <w:rPr>
                <w:rFonts w:hint="eastAsia" w:ascii="宋体" w:hAnsi="宋体" w:eastAsia="宋体" w:cs="宋体"/>
                <w:kern w:val="0"/>
                <w:szCs w:val="21"/>
              </w:rPr>
              <w:t>2020年城镇化水平</w:t>
            </w:r>
          </w:p>
        </w:tc>
        <w:tc>
          <w:tcPr>
            <w:tcW w:w="1917"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Cs w:val="21"/>
              </w:rPr>
            </w:pPr>
            <w:r>
              <w:rPr>
                <w:rFonts w:hint="eastAsia" w:ascii="宋体" w:hAnsi="宋体" w:eastAsia="宋体" w:cs="宋体"/>
                <w:kern w:val="0"/>
                <w:szCs w:val="21"/>
              </w:rPr>
              <w:t>2035年城镇化水平</w:t>
            </w:r>
          </w:p>
        </w:tc>
      </w:tr>
      <w:tr>
        <w:tblPrEx>
          <w:tblCellMar>
            <w:top w:w="0" w:type="dxa"/>
            <w:left w:w="108" w:type="dxa"/>
            <w:bottom w:w="0" w:type="dxa"/>
            <w:right w:w="108" w:type="dxa"/>
          </w:tblCellMar>
        </w:tblPrEx>
        <w:trPr>
          <w:trHeight w:val="285" w:hRule="atLeast"/>
        </w:trPr>
        <w:tc>
          <w:tcPr>
            <w:tcW w:w="127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河边镇</w:t>
            </w:r>
          </w:p>
        </w:tc>
        <w:tc>
          <w:tcPr>
            <w:tcW w:w="1805"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Cs w:val="21"/>
              </w:rPr>
            </w:pPr>
            <w:r>
              <w:rPr>
                <w:rFonts w:hint="eastAsia" w:ascii="宋体" w:hAnsi="宋体" w:eastAsia="宋体" w:cs="宋体"/>
                <w:kern w:val="0"/>
                <w:szCs w:val="21"/>
              </w:rPr>
              <w:t>8.18</w:t>
            </w:r>
          </w:p>
        </w:tc>
        <w:tc>
          <w:tcPr>
            <w:tcW w:w="1917"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Cs w:val="21"/>
              </w:rPr>
            </w:pPr>
            <w:r>
              <w:rPr>
                <w:rFonts w:hint="eastAsia" w:ascii="宋体" w:hAnsi="宋体" w:eastAsia="宋体" w:cs="宋体"/>
                <w:kern w:val="0"/>
                <w:szCs w:val="21"/>
              </w:rPr>
              <w:t>20.70</w:t>
            </w:r>
          </w:p>
        </w:tc>
      </w:tr>
      <w:tr>
        <w:tblPrEx>
          <w:tblCellMar>
            <w:top w:w="0" w:type="dxa"/>
            <w:left w:w="108" w:type="dxa"/>
            <w:bottom w:w="0" w:type="dxa"/>
            <w:right w:w="108" w:type="dxa"/>
          </w:tblCellMar>
        </w:tblPrEx>
        <w:trPr>
          <w:trHeight w:val="285" w:hRule="atLeast"/>
        </w:trPr>
        <w:tc>
          <w:tcPr>
            <w:tcW w:w="127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玉峰镇</w:t>
            </w:r>
          </w:p>
        </w:tc>
        <w:tc>
          <w:tcPr>
            <w:tcW w:w="1805"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Cs w:val="21"/>
              </w:rPr>
            </w:pPr>
            <w:r>
              <w:rPr>
                <w:rFonts w:hint="eastAsia" w:ascii="宋体" w:hAnsi="宋体" w:eastAsia="宋体" w:cs="宋体"/>
                <w:kern w:val="0"/>
                <w:szCs w:val="21"/>
              </w:rPr>
              <w:t>5.85</w:t>
            </w:r>
          </w:p>
        </w:tc>
        <w:tc>
          <w:tcPr>
            <w:tcW w:w="1917"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Cs w:val="21"/>
              </w:rPr>
            </w:pPr>
            <w:r>
              <w:rPr>
                <w:rFonts w:hint="eastAsia" w:ascii="宋体" w:hAnsi="宋体" w:eastAsia="宋体" w:cs="宋体"/>
                <w:kern w:val="0"/>
                <w:szCs w:val="21"/>
              </w:rPr>
              <w:t>27.03</w:t>
            </w:r>
          </w:p>
        </w:tc>
      </w:tr>
      <w:tr>
        <w:tblPrEx>
          <w:tblCellMar>
            <w:top w:w="0" w:type="dxa"/>
            <w:left w:w="108" w:type="dxa"/>
            <w:bottom w:w="0" w:type="dxa"/>
            <w:right w:w="108" w:type="dxa"/>
          </w:tblCellMar>
        </w:tblPrEx>
        <w:trPr>
          <w:trHeight w:val="285" w:hRule="atLeast"/>
        </w:trPr>
        <w:tc>
          <w:tcPr>
            <w:tcW w:w="127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象山镇</w:t>
            </w:r>
          </w:p>
        </w:tc>
        <w:tc>
          <w:tcPr>
            <w:tcW w:w="1805"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Cs w:val="21"/>
              </w:rPr>
            </w:pPr>
            <w:r>
              <w:rPr>
                <w:rFonts w:hint="eastAsia" w:ascii="宋体" w:hAnsi="宋体" w:eastAsia="宋体" w:cs="宋体"/>
                <w:kern w:val="0"/>
                <w:szCs w:val="21"/>
              </w:rPr>
              <w:t>12.02</w:t>
            </w:r>
          </w:p>
        </w:tc>
        <w:tc>
          <w:tcPr>
            <w:tcW w:w="1917"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Cs w:val="21"/>
              </w:rPr>
            </w:pPr>
            <w:r>
              <w:rPr>
                <w:rFonts w:hint="eastAsia" w:ascii="宋体" w:hAnsi="宋体" w:eastAsia="宋体" w:cs="宋体"/>
                <w:kern w:val="0"/>
                <w:szCs w:val="21"/>
              </w:rPr>
              <w:t>38.24</w:t>
            </w:r>
          </w:p>
        </w:tc>
      </w:tr>
      <w:tr>
        <w:tblPrEx>
          <w:tblCellMar>
            <w:top w:w="0" w:type="dxa"/>
            <w:left w:w="108" w:type="dxa"/>
            <w:bottom w:w="0" w:type="dxa"/>
            <w:right w:w="108" w:type="dxa"/>
          </w:tblCellMar>
        </w:tblPrEx>
        <w:trPr>
          <w:trHeight w:val="285" w:hRule="atLeast"/>
        </w:trPr>
        <w:tc>
          <w:tcPr>
            <w:tcW w:w="127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合计</w:t>
            </w:r>
          </w:p>
        </w:tc>
        <w:tc>
          <w:tcPr>
            <w:tcW w:w="1805"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Cs w:val="21"/>
              </w:rPr>
            </w:pPr>
            <w:r>
              <w:rPr>
                <w:rFonts w:hint="eastAsia" w:ascii="宋体" w:hAnsi="宋体" w:eastAsia="宋体" w:cs="宋体"/>
                <w:kern w:val="0"/>
                <w:szCs w:val="21"/>
              </w:rPr>
              <w:t>8.59</w:t>
            </w:r>
          </w:p>
        </w:tc>
        <w:tc>
          <w:tcPr>
            <w:tcW w:w="1917"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Cs w:val="21"/>
              </w:rPr>
            </w:pPr>
            <w:r>
              <w:rPr>
                <w:rFonts w:hint="eastAsia" w:ascii="宋体" w:hAnsi="宋体" w:eastAsia="宋体" w:cs="宋体"/>
                <w:kern w:val="0"/>
                <w:szCs w:val="21"/>
              </w:rPr>
              <w:t>26.91</w:t>
            </w:r>
          </w:p>
        </w:tc>
      </w:tr>
    </w:tbl>
    <w:p>
      <w:pPr>
        <w:adjustRightInd w:val="0"/>
        <w:snapToGrid w:val="0"/>
        <w:spacing w:beforeLines="50" w:line="360" w:lineRule="auto"/>
        <w:ind w:firstLine="482" w:firstLineChars="200"/>
        <w:rPr>
          <w:rFonts w:ascii="黑体" w:hAnsi="黑体" w:eastAsia="黑体" w:cs="Times New Roman"/>
          <w:b/>
          <w:kern w:val="0"/>
          <w:sz w:val="24"/>
          <w:szCs w:val="24"/>
        </w:rPr>
      </w:pPr>
      <w:r>
        <w:rPr>
          <w:rFonts w:hint="eastAsia" w:ascii="黑体" w:hAnsi="黑体" w:eastAsia="黑体" w:cs="Times New Roman"/>
          <w:b/>
          <w:kern w:val="0"/>
          <w:sz w:val="24"/>
          <w:szCs w:val="24"/>
        </w:rPr>
        <w:t>三、调整人口布局</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引导村民进城进镇养老，推动宅基地自愿有偿退出，加速促进最优人口规模与空间格局形成。构建三级人口转移梯度模式，以乡村集聚点为核心引导村民向中心村集中；以中心镇为核心，引导村民进镇进城集中；部分村民宅基地有偿退出，进入县城。</w:t>
      </w:r>
    </w:p>
    <w:p>
      <w:pPr>
        <w:adjustRightInd w:val="0"/>
        <w:snapToGrid w:val="0"/>
        <w:spacing w:line="360" w:lineRule="auto"/>
        <w:ind w:firstLine="482" w:firstLineChars="200"/>
        <w:rPr>
          <w:rFonts w:ascii="黑体" w:hAnsi="黑体" w:eastAsia="黑体" w:cs="Times New Roman"/>
          <w:b/>
          <w:kern w:val="0"/>
          <w:sz w:val="24"/>
          <w:szCs w:val="24"/>
        </w:rPr>
      </w:pPr>
      <w:r>
        <w:rPr>
          <w:rFonts w:hint="eastAsia" w:ascii="黑体" w:hAnsi="黑体" w:eastAsia="黑体" w:cs="Times New Roman"/>
          <w:b/>
          <w:kern w:val="0"/>
          <w:sz w:val="24"/>
          <w:szCs w:val="24"/>
        </w:rPr>
        <w:t>四、优化人口结构</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应对人口老龄化问题，加快与片区乡村产业发展相适应的人群集聚。制定各种农业规模经营和农村新业态的激励政策，强化规划、土地、财政、税收、价格等政策调控作用，引导外出农民工返乡创业和市民下乡创业，建立职业农民系统化培养机制，扩大片区职业农民规模，提升人口整体素质，提高乡村发展活力。</w:t>
      </w:r>
    </w:p>
    <w:p>
      <w:pPr>
        <w:adjustRightInd w:val="0"/>
        <w:snapToGrid w:val="0"/>
        <w:spacing w:line="360" w:lineRule="auto"/>
        <w:ind w:firstLine="482" w:firstLineChars="200"/>
        <w:rPr>
          <w:rFonts w:ascii="黑体" w:hAnsi="黑体" w:eastAsia="黑体" w:cs="Times New Roman"/>
          <w:b/>
          <w:kern w:val="0"/>
          <w:sz w:val="24"/>
          <w:szCs w:val="24"/>
        </w:rPr>
      </w:pPr>
      <w:r>
        <w:rPr>
          <w:rFonts w:hint="eastAsia" w:ascii="黑体" w:hAnsi="黑体" w:eastAsia="黑体" w:cs="Times New Roman"/>
          <w:b/>
          <w:kern w:val="0"/>
          <w:sz w:val="24"/>
          <w:szCs w:val="24"/>
        </w:rPr>
        <w:t>五、镇村体系规划</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按照“优化资源分配、增强服务能力、引导人口集聚、便于乡村治理”的原则。在划定的村级经济区基础上，结合村庄人口分布情况、公共服务设施与基础设施现状、上版总体规划镇村体系，以及两项改革“后半篇”文章专项工作领导小组办公室关于报送2022年专项方案工作要点的通知，片区构建“中心镇</w:t>
      </w:r>
      <w:r>
        <w:rPr>
          <w:rFonts w:hint="eastAsia" w:eastAsia="宋体" w:cs="Times New Roman" w:asciiTheme="minorEastAsia" w:hAnsiTheme="minorEastAsia"/>
          <w:kern w:val="0"/>
          <w:sz w:val="24"/>
          <w:szCs w:val="24"/>
        </w:rPr>
        <w:t>（中心镇和副中心镇）—</w:t>
      </w:r>
      <w:r>
        <w:rPr>
          <w:rFonts w:eastAsia="宋体" w:cs="Times New Roman" w:asciiTheme="minorEastAsia" w:hAnsiTheme="minorEastAsia"/>
          <w:kern w:val="0"/>
          <w:sz w:val="24"/>
          <w:szCs w:val="24"/>
        </w:rPr>
        <w:t>一般镇—中心村—基层村”的镇村体系结构。</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中心镇的设立重点考虑自然地理、人口规模、交通条件、产业条件、特色资源</w:t>
      </w:r>
      <w:r>
        <w:rPr>
          <w:rFonts w:hint="eastAsia" w:eastAsia="宋体" w:cs="Times New Roman" w:asciiTheme="minorEastAsia" w:hAnsiTheme="minorEastAsia"/>
          <w:kern w:val="0"/>
          <w:sz w:val="24"/>
          <w:szCs w:val="24"/>
        </w:rPr>
        <w:t>等</w:t>
      </w:r>
      <w:r>
        <w:rPr>
          <w:rFonts w:eastAsia="宋体" w:cs="Times New Roman" w:asciiTheme="minorEastAsia" w:hAnsiTheme="minorEastAsia"/>
          <w:kern w:val="0"/>
          <w:sz w:val="24"/>
          <w:szCs w:val="24"/>
        </w:rPr>
        <w:t>因素，确定</w:t>
      </w:r>
      <w:r>
        <w:rPr>
          <w:rFonts w:hint="eastAsia" w:eastAsia="宋体" w:cs="Times New Roman" w:asciiTheme="minorEastAsia" w:hAnsiTheme="minorEastAsia"/>
          <w:kern w:val="0"/>
          <w:sz w:val="24"/>
          <w:szCs w:val="24"/>
        </w:rPr>
        <w:t>河边镇</w:t>
      </w:r>
      <w:r>
        <w:rPr>
          <w:rFonts w:eastAsia="宋体" w:cs="Times New Roman" w:asciiTheme="minorEastAsia" w:hAnsiTheme="minorEastAsia"/>
          <w:kern w:val="0"/>
          <w:sz w:val="24"/>
          <w:szCs w:val="24"/>
        </w:rPr>
        <w:t>为中心镇，象山镇为副中心镇</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玉峰镇为一般建制镇</w:t>
      </w:r>
      <w:r>
        <w:rPr>
          <w:rFonts w:hint="eastAsia" w:eastAsia="宋体" w:cs="Times New Roman" w:asciiTheme="minorEastAsia" w:hAnsiTheme="minorEastAsia"/>
          <w:kern w:val="0"/>
          <w:sz w:val="24"/>
          <w:szCs w:val="24"/>
        </w:rPr>
        <w:t>。河边镇是四川省商贸物流型特色镇，省级“百镇建设行动”试点镇，县域医疗次中心，大英县重要的农产品集散地。象山镇是三市四县交界的重要物质集散地，市场活跃，商贸繁荣。</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中心村的设立综合考虑公共服务能力、范围和产业发展带动作用，原则上每个村级片区设一个中心村，村级片区内有镇区或撤并乡镇的，可承担中心村功能。</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片区构建“1</w:t>
      </w:r>
      <w:r>
        <w:rPr>
          <w:rFonts w:eastAsia="宋体" w:cs="Times New Roman" w:asciiTheme="minorEastAsia" w:hAnsiTheme="minorEastAsia"/>
          <w:kern w:val="0"/>
          <w:sz w:val="24"/>
          <w:szCs w:val="24"/>
        </w:rPr>
        <w:t>个中心镇、</w:t>
      </w:r>
      <w:r>
        <w:rPr>
          <w:rFonts w:hint="eastAsia" w:eastAsia="宋体" w:cs="Times New Roman" w:asciiTheme="minorEastAsia" w:hAnsiTheme="minorEastAsia"/>
          <w:kern w:val="0"/>
          <w:sz w:val="24"/>
          <w:szCs w:val="24"/>
        </w:rPr>
        <w:t>1个副中心镇、</w:t>
      </w:r>
      <w:r>
        <w:rPr>
          <w:rFonts w:eastAsia="宋体" w:cs="Times New Roman" w:asciiTheme="minorEastAsia" w:hAnsiTheme="minorEastAsia"/>
          <w:kern w:val="0"/>
          <w:sz w:val="24"/>
          <w:szCs w:val="24"/>
        </w:rPr>
        <w:t>1个一般镇、12个中心村”的镇村体系</w:t>
      </w:r>
      <w:r>
        <w:rPr>
          <w:rFonts w:hint="eastAsia" w:eastAsia="宋体" w:cs="Times New Roman" w:asciiTheme="minorEastAsia" w:hAnsiTheme="minorEastAsia"/>
          <w:kern w:val="0"/>
          <w:sz w:val="24"/>
          <w:szCs w:val="24"/>
        </w:rPr>
        <w:t>。</w:t>
      </w:r>
    </w:p>
    <w:p>
      <w:pPr>
        <w:adjustRightInd w:val="0"/>
        <w:snapToGrid w:val="0"/>
        <w:spacing w:line="360" w:lineRule="auto"/>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片区镇村体系一览表</w:t>
      </w:r>
      <w:r>
        <w:rPr>
          <w:rFonts w:hint="eastAsia" w:eastAsia="宋体" w:cs="Times New Roman" w:asciiTheme="minorEastAsia" w:hAnsiTheme="minorEastAsia"/>
          <w:kern w:val="0"/>
          <w:sz w:val="24"/>
          <w:szCs w:val="24"/>
        </w:rPr>
        <w:t>：</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430"/>
        <w:gridCol w:w="1982"/>
        <w:gridCol w:w="707"/>
        <w:gridCol w:w="4235"/>
        <w:gridCol w:w="6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65" w:type="pct"/>
            <w:gridSpan w:val="2"/>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城镇</w:t>
            </w:r>
          </w:p>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等级</w:t>
            </w:r>
          </w:p>
        </w:tc>
        <w:tc>
          <w:tcPr>
            <w:tcW w:w="11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中心村</w:t>
            </w:r>
          </w:p>
        </w:tc>
        <w:tc>
          <w:tcPr>
            <w:tcW w:w="415"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数量</w:t>
            </w:r>
          </w:p>
        </w:tc>
        <w:tc>
          <w:tcPr>
            <w:tcW w:w="2485"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基层村</w:t>
            </w:r>
          </w:p>
        </w:tc>
        <w:tc>
          <w:tcPr>
            <w:tcW w:w="37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8" w:hRule="atLeast"/>
        </w:trPr>
        <w:tc>
          <w:tcPr>
            <w:tcW w:w="31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中心镇</w:t>
            </w:r>
          </w:p>
        </w:tc>
        <w:tc>
          <w:tcPr>
            <w:tcW w:w="25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河边镇</w:t>
            </w:r>
          </w:p>
        </w:tc>
        <w:tc>
          <w:tcPr>
            <w:tcW w:w="1163"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坤龙村、牌坊村</w:t>
            </w:r>
          </w:p>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前进村、梁家村</w:t>
            </w:r>
          </w:p>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地风井村</w:t>
            </w:r>
          </w:p>
        </w:tc>
        <w:tc>
          <w:tcPr>
            <w:tcW w:w="415"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5</w:t>
            </w:r>
          </w:p>
        </w:tc>
        <w:tc>
          <w:tcPr>
            <w:tcW w:w="2485" w:type="pct"/>
            <w:shd w:val="clear" w:color="auto" w:fill="auto"/>
            <w:vAlign w:val="center"/>
          </w:tcPr>
          <w:p>
            <w:pPr>
              <w:widowControl/>
              <w:jc w:val="left"/>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石龙村、大屋沟村、栏江村、人民村、八里沟村、桂阳村、玉泉井村、马尖坡村、红岩嘴村、安山村、仁义村、经义村、胜利村、三块碑村、石山村、鹿角沟村、铁路沟村、铜鼓村、九店村、上坝子村、四方村 </w:t>
            </w:r>
          </w:p>
        </w:tc>
        <w:tc>
          <w:tcPr>
            <w:tcW w:w="37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 w:hRule="atLeast"/>
        </w:trPr>
        <w:tc>
          <w:tcPr>
            <w:tcW w:w="31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副中心镇</w:t>
            </w:r>
          </w:p>
        </w:tc>
        <w:tc>
          <w:tcPr>
            <w:tcW w:w="25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象山镇</w:t>
            </w:r>
          </w:p>
        </w:tc>
        <w:tc>
          <w:tcPr>
            <w:tcW w:w="1163"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象山村、永乐村 </w:t>
            </w:r>
          </w:p>
        </w:tc>
        <w:tc>
          <w:tcPr>
            <w:tcW w:w="415"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w:t>
            </w:r>
          </w:p>
        </w:tc>
        <w:tc>
          <w:tcPr>
            <w:tcW w:w="2485" w:type="pct"/>
            <w:shd w:val="clear" w:color="auto" w:fill="auto"/>
            <w:vAlign w:val="center"/>
          </w:tcPr>
          <w:p>
            <w:pPr>
              <w:widowControl/>
              <w:jc w:val="left"/>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凤阳村、三溪村、文龙村、冯家楼村、观桃村、青龙滩村、犁浅垭村、马蹄垭村、永南坝村 </w:t>
            </w:r>
          </w:p>
        </w:tc>
        <w:tc>
          <w:tcPr>
            <w:tcW w:w="37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31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一般镇</w:t>
            </w:r>
          </w:p>
        </w:tc>
        <w:tc>
          <w:tcPr>
            <w:tcW w:w="25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玉峰镇</w:t>
            </w:r>
          </w:p>
        </w:tc>
        <w:tc>
          <w:tcPr>
            <w:tcW w:w="1163"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团结村、玉峰村、方平沟村、斗笠村、智水村</w:t>
            </w:r>
          </w:p>
        </w:tc>
        <w:tc>
          <w:tcPr>
            <w:tcW w:w="415"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5</w:t>
            </w:r>
          </w:p>
        </w:tc>
        <w:tc>
          <w:tcPr>
            <w:tcW w:w="2485" w:type="pct"/>
            <w:shd w:val="clear" w:color="auto" w:fill="auto"/>
            <w:vAlign w:val="center"/>
          </w:tcPr>
          <w:p>
            <w:pPr>
              <w:widowControl/>
              <w:jc w:val="left"/>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肖家沟村、葡萄店村、送家沟村、玉印村、飞场湾村、浅垭子村、水阁村、双古磨村、八德桥村、河里坊村、河中井村、指石河村、得鱼沟村、智平村、鲤鱼浸、星宿村 </w:t>
            </w:r>
          </w:p>
        </w:tc>
        <w:tc>
          <w:tcPr>
            <w:tcW w:w="37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16</w:t>
            </w:r>
          </w:p>
        </w:tc>
      </w:tr>
    </w:tbl>
    <w:p>
      <w:pPr>
        <w:adjustRightInd w:val="0"/>
        <w:snapToGrid w:val="0"/>
        <w:spacing w:beforeLines="50" w:line="360" w:lineRule="auto"/>
        <w:ind w:firstLine="482" w:firstLineChars="200"/>
        <w:rPr>
          <w:rFonts w:ascii="黑体" w:hAnsi="黑体" w:eastAsia="黑体" w:cs="Times New Roman"/>
          <w:b/>
          <w:kern w:val="0"/>
          <w:sz w:val="24"/>
          <w:szCs w:val="24"/>
        </w:rPr>
      </w:pPr>
      <w:r>
        <w:rPr>
          <w:rFonts w:hint="eastAsia" w:ascii="黑体" w:hAnsi="黑体" w:eastAsia="黑体" w:cs="Times New Roman"/>
          <w:b/>
          <w:kern w:val="0"/>
          <w:sz w:val="24"/>
          <w:szCs w:val="24"/>
        </w:rPr>
        <w:t>六、村级经济片区划分和镇村职能定位</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 xml:space="preserve">按照“中心引领、地缘相亲、资源相似、业缘相近、多规协调”的原则，划定村级12个片区。 </w:t>
      </w:r>
    </w:p>
    <w:p>
      <w:pPr>
        <w:adjustRightInd w:val="0"/>
        <w:snapToGrid w:val="0"/>
        <w:spacing w:line="360" w:lineRule="auto"/>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片区</w:t>
      </w:r>
      <w:r>
        <w:rPr>
          <w:rFonts w:hint="eastAsia" w:eastAsia="宋体" w:cs="Times New Roman" w:asciiTheme="minorEastAsia" w:hAnsiTheme="minorEastAsia"/>
          <w:kern w:val="0"/>
          <w:sz w:val="24"/>
          <w:szCs w:val="24"/>
        </w:rPr>
        <w:t>经济</w:t>
      </w:r>
      <w:r>
        <w:rPr>
          <w:rFonts w:eastAsia="宋体" w:cs="Times New Roman" w:asciiTheme="minorEastAsia" w:hAnsiTheme="minorEastAsia"/>
          <w:kern w:val="0"/>
          <w:sz w:val="24"/>
          <w:szCs w:val="24"/>
        </w:rPr>
        <w:t>片区划分一览表</w:t>
      </w:r>
      <w:r>
        <w:rPr>
          <w:rFonts w:hint="eastAsia" w:eastAsia="宋体" w:cs="Times New Roman" w:asciiTheme="minorEastAsia" w:hAnsiTheme="minorEastAsia"/>
          <w:kern w:val="0"/>
          <w:sz w:val="24"/>
          <w:szCs w:val="24"/>
        </w:rPr>
        <w:t>：</w:t>
      </w:r>
    </w:p>
    <w:p>
      <w:pPr>
        <w:adjustRightInd w:val="0"/>
        <w:snapToGrid w:val="0"/>
        <w:spacing w:line="360" w:lineRule="auto"/>
        <w:jc w:val="right"/>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单位：万人</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0"/>
        <w:gridCol w:w="2792"/>
        <w:gridCol w:w="1058"/>
        <w:gridCol w:w="3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921" w:type="pct"/>
            <w:shd w:val="clear" w:color="auto" w:fill="auto"/>
            <w:vAlign w:val="center"/>
          </w:tcPr>
          <w:p>
            <w:pPr>
              <w:widowControl/>
              <w:jc w:val="center"/>
              <w:rPr>
                <w:rFonts w:ascii="宋体" w:hAnsi="宋体" w:eastAsia="宋体" w:cs="宋体"/>
                <w:bCs/>
                <w:kern w:val="0"/>
                <w:szCs w:val="21"/>
              </w:rPr>
            </w:pPr>
            <w:r>
              <w:rPr>
                <w:rFonts w:ascii="宋体" w:hAnsi="宋体" w:eastAsia="宋体" w:cs="宋体"/>
                <w:bCs/>
                <w:kern w:val="0"/>
                <w:szCs w:val="21"/>
              </w:rPr>
              <w:t>片区</w:t>
            </w:r>
          </w:p>
          <w:p>
            <w:pPr>
              <w:widowControl/>
              <w:jc w:val="center"/>
              <w:rPr>
                <w:rFonts w:ascii="宋体" w:hAnsi="宋体" w:eastAsia="宋体" w:cs="宋体"/>
                <w:bCs/>
                <w:kern w:val="0"/>
                <w:szCs w:val="21"/>
              </w:rPr>
            </w:pPr>
            <w:r>
              <w:rPr>
                <w:rFonts w:ascii="宋体" w:hAnsi="宋体" w:eastAsia="宋体" w:cs="宋体"/>
                <w:bCs/>
                <w:kern w:val="0"/>
                <w:szCs w:val="21"/>
              </w:rPr>
              <w:t>名称</w:t>
            </w:r>
          </w:p>
        </w:tc>
        <w:tc>
          <w:tcPr>
            <w:tcW w:w="1638" w:type="pct"/>
            <w:shd w:val="clear" w:color="auto" w:fill="auto"/>
            <w:vAlign w:val="center"/>
          </w:tcPr>
          <w:p>
            <w:pPr>
              <w:widowControl/>
              <w:jc w:val="center"/>
              <w:rPr>
                <w:rFonts w:ascii="宋体" w:hAnsi="宋体" w:eastAsia="宋体" w:cs="宋体"/>
                <w:bCs/>
                <w:kern w:val="0"/>
                <w:szCs w:val="21"/>
              </w:rPr>
            </w:pPr>
            <w:r>
              <w:rPr>
                <w:rFonts w:ascii="宋体" w:hAnsi="宋体" w:eastAsia="宋体" w:cs="宋体"/>
                <w:bCs/>
                <w:kern w:val="0"/>
                <w:szCs w:val="21"/>
              </w:rPr>
              <w:t>范围</w:t>
            </w:r>
          </w:p>
        </w:tc>
        <w:tc>
          <w:tcPr>
            <w:tcW w:w="621" w:type="pct"/>
            <w:shd w:val="clear" w:color="auto" w:fill="auto"/>
            <w:vAlign w:val="center"/>
          </w:tcPr>
          <w:p>
            <w:pPr>
              <w:widowControl/>
              <w:jc w:val="center"/>
              <w:rPr>
                <w:rFonts w:ascii="宋体" w:hAnsi="宋体" w:eastAsia="宋体" w:cs="宋体"/>
                <w:bCs/>
                <w:kern w:val="0"/>
                <w:szCs w:val="21"/>
              </w:rPr>
            </w:pPr>
            <w:r>
              <w:rPr>
                <w:rFonts w:ascii="宋体" w:hAnsi="宋体" w:eastAsia="宋体" w:cs="宋体"/>
                <w:bCs/>
                <w:kern w:val="0"/>
                <w:szCs w:val="21"/>
              </w:rPr>
              <w:t>规划人口</w:t>
            </w:r>
            <w:r>
              <w:rPr>
                <w:rFonts w:hint="eastAsia" w:ascii="宋体" w:hAnsi="宋体" w:eastAsia="宋体" w:cs="宋体"/>
                <w:bCs/>
                <w:kern w:val="0"/>
                <w:szCs w:val="21"/>
              </w:rPr>
              <w:br w:type="textWrapping"/>
            </w:r>
            <w:r>
              <w:rPr>
                <w:rFonts w:ascii="宋体" w:hAnsi="宋体" w:eastAsia="宋体" w:cs="宋体"/>
                <w:bCs/>
                <w:kern w:val="0"/>
                <w:szCs w:val="21"/>
              </w:rPr>
              <w:t>（户籍）</w:t>
            </w:r>
          </w:p>
        </w:tc>
        <w:tc>
          <w:tcPr>
            <w:tcW w:w="1820" w:type="pct"/>
            <w:shd w:val="clear" w:color="auto" w:fill="auto"/>
            <w:vAlign w:val="center"/>
          </w:tcPr>
          <w:p>
            <w:pPr>
              <w:widowControl/>
              <w:jc w:val="center"/>
              <w:rPr>
                <w:rFonts w:ascii="宋体" w:hAnsi="宋体" w:eastAsia="宋体" w:cs="宋体"/>
                <w:bCs/>
                <w:kern w:val="0"/>
                <w:szCs w:val="21"/>
              </w:rPr>
            </w:pPr>
            <w:r>
              <w:rPr>
                <w:rFonts w:hint="eastAsia" w:ascii="宋体" w:hAnsi="宋体" w:eastAsia="宋体" w:cs="宋体"/>
                <w:bCs/>
                <w:kern w:val="0"/>
                <w:szCs w:val="21"/>
              </w:rPr>
              <w:t>职能定位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921" w:type="pct"/>
            <w:shd w:val="clear" w:color="auto" w:fill="auto"/>
            <w:vAlign w:val="center"/>
          </w:tcPr>
          <w:p>
            <w:pPr>
              <w:widowControl/>
              <w:jc w:val="center"/>
              <w:rPr>
                <w:rFonts w:ascii="宋体" w:hAnsi="宋体" w:eastAsia="宋体" w:cs="宋体"/>
                <w:bCs/>
                <w:kern w:val="0"/>
                <w:szCs w:val="21"/>
              </w:rPr>
            </w:pPr>
            <w:r>
              <w:rPr>
                <w:rFonts w:ascii="宋体" w:hAnsi="宋体" w:eastAsia="宋体" w:cs="宋体"/>
                <w:bCs/>
                <w:kern w:val="0"/>
                <w:szCs w:val="21"/>
              </w:rPr>
              <w:t>坤龙片区</w:t>
            </w:r>
          </w:p>
        </w:tc>
        <w:tc>
          <w:tcPr>
            <w:tcW w:w="1638" w:type="pct"/>
            <w:shd w:val="clear" w:color="auto" w:fill="auto"/>
            <w:vAlign w:val="center"/>
          </w:tcPr>
          <w:p>
            <w:pPr>
              <w:widowControl/>
              <w:jc w:val="left"/>
              <w:rPr>
                <w:rFonts w:ascii="宋体" w:hAnsi="宋体" w:eastAsia="宋体" w:cs="宋体"/>
                <w:kern w:val="0"/>
                <w:szCs w:val="21"/>
              </w:rPr>
            </w:pPr>
            <w:r>
              <w:rPr>
                <w:rFonts w:ascii="宋体" w:hAnsi="宋体" w:eastAsia="宋体" w:cs="宋体"/>
                <w:kern w:val="0"/>
                <w:szCs w:val="21"/>
              </w:rPr>
              <w:t>坤龙村、石龙村、大屋沟村、栏江村、人民村、八里沟村、桂阳村</w:t>
            </w:r>
          </w:p>
        </w:tc>
        <w:tc>
          <w:tcPr>
            <w:tcW w:w="621" w:type="pct"/>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1.2</w:t>
            </w:r>
          </w:p>
        </w:tc>
        <w:tc>
          <w:tcPr>
            <w:tcW w:w="1820" w:type="pct"/>
            <w:shd w:val="clear" w:color="auto" w:fill="auto"/>
            <w:vAlign w:val="center"/>
          </w:tcPr>
          <w:p>
            <w:pPr>
              <w:widowControl/>
              <w:jc w:val="center"/>
              <w:rPr>
                <w:rFonts w:ascii="宋体" w:hAnsi="宋体" w:eastAsia="宋体" w:cs="宋体"/>
                <w:kern w:val="0"/>
                <w:szCs w:val="21"/>
              </w:rPr>
            </w:pPr>
            <w:r>
              <w:rPr>
                <w:rFonts w:ascii="宋体" w:hAnsi="宋体" w:eastAsia="宋体" w:cs="宋体"/>
                <w:kern w:val="0"/>
                <w:szCs w:val="21"/>
              </w:rPr>
              <w:t>粮油示范产业园区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921" w:type="pct"/>
            <w:shd w:val="clear" w:color="auto" w:fill="auto"/>
            <w:vAlign w:val="center"/>
          </w:tcPr>
          <w:p>
            <w:pPr>
              <w:widowControl/>
              <w:jc w:val="center"/>
              <w:rPr>
                <w:rFonts w:ascii="宋体" w:hAnsi="宋体" w:eastAsia="宋体" w:cs="宋体"/>
                <w:bCs/>
                <w:kern w:val="0"/>
                <w:szCs w:val="21"/>
              </w:rPr>
            </w:pPr>
            <w:r>
              <w:rPr>
                <w:rFonts w:ascii="宋体" w:hAnsi="宋体" w:eastAsia="宋体" w:cs="宋体"/>
                <w:bCs/>
                <w:kern w:val="0"/>
                <w:szCs w:val="21"/>
              </w:rPr>
              <w:t>牌坊片区</w:t>
            </w:r>
          </w:p>
        </w:tc>
        <w:tc>
          <w:tcPr>
            <w:tcW w:w="1638" w:type="pct"/>
            <w:shd w:val="clear" w:color="auto" w:fill="auto"/>
            <w:vAlign w:val="center"/>
          </w:tcPr>
          <w:p>
            <w:pPr>
              <w:widowControl/>
              <w:jc w:val="left"/>
              <w:rPr>
                <w:rFonts w:ascii="宋体" w:hAnsi="宋体" w:eastAsia="宋体" w:cs="宋体"/>
                <w:kern w:val="0"/>
                <w:szCs w:val="21"/>
              </w:rPr>
            </w:pPr>
            <w:r>
              <w:rPr>
                <w:rFonts w:ascii="宋体" w:hAnsi="宋体" w:eastAsia="宋体" w:cs="宋体"/>
                <w:kern w:val="0"/>
                <w:szCs w:val="21"/>
              </w:rPr>
              <w:t>牌坊村、玉泉井村、马尖坡村、红岩嘴村</w:t>
            </w:r>
          </w:p>
        </w:tc>
        <w:tc>
          <w:tcPr>
            <w:tcW w:w="621" w:type="pct"/>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0.6</w:t>
            </w:r>
          </w:p>
        </w:tc>
        <w:tc>
          <w:tcPr>
            <w:tcW w:w="1820" w:type="pct"/>
            <w:shd w:val="clear" w:color="auto" w:fill="auto"/>
            <w:vAlign w:val="center"/>
          </w:tcPr>
          <w:p>
            <w:pPr>
              <w:widowControl/>
              <w:jc w:val="center"/>
              <w:rPr>
                <w:rFonts w:ascii="宋体" w:hAnsi="宋体" w:eastAsia="宋体" w:cs="宋体"/>
                <w:kern w:val="0"/>
                <w:szCs w:val="21"/>
              </w:rPr>
            </w:pPr>
            <w:r>
              <w:rPr>
                <w:rFonts w:ascii="宋体" w:hAnsi="宋体" w:eastAsia="宋体" w:cs="宋体"/>
                <w:kern w:val="0"/>
                <w:szCs w:val="21"/>
              </w:rPr>
              <w:t>多元产业融合发展示范区</w:t>
            </w:r>
            <w:r>
              <w:rPr>
                <w:rFonts w:hint="eastAsia" w:ascii="宋体" w:hAnsi="宋体" w:eastAsia="宋体" w:cs="宋体"/>
                <w:kern w:val="0"/>
                <w:szCs w:val="21"/>
              </w:rPr>
              <w:br w:type="textWrapping"/>
            </w:r>
            <w:r>
              <w:rPr>
                <w:rFonts w:ascii="宋体" w:hAnsi="宋体" w:eastAsia="宋体" w:cs="宋体"/>
                <w:kern w:val="0"/>
                <w:szCs w:val="21"/>
              </w:rPr>
              <w:t>白柠檬、家庭农场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921" w:type="pct"/>
            <w:shd w:val="clear" w:color="auto" w:fill="auto"/>
            <w:vAlign w:val="center"/>
          </w:tcPr>
          <w:p>
            <w:pPr>
              <w:widowControl/>
              <w:jc w:val="center"/>
              <w:rPr>
                <w:rFonts w:ascii="宋体" w:hAnsi="宋体" w:eastAsia="宋体" w:cs="宋体"/>
                <w:bCs/>
                <w:kern w:val="0"/>
                <w:szCs w:val="21"/>
              </w:rPr>
            </w:pPr>
            <w:r>
              <w:rPr>
                <w:rFonts w:ascii="宋体" w:hAnsi="宋体" w:eastAsia="宋体" w:cs="宋体"/>
                <w:bCs/>
                <w:kern w:val="0"/>
                <w:szCs w:val="21"/>
              </w:rPr>
              <w:t>前进片区</w:t>
            </w:r>
          </w:p>
        </w:tc>
        <w:tc>
          <w:tcPr>
            <w:tcW w:w="1638" w:type="pct"/>
            <w:shd w:val="clear" w:color="auto" w:fill="auto"/>
            <w:vAlign w:val="center"/>
          </w:tcPr>
          <w:p>
            <w:pPr>
              <w:widowControl/>
              <w:jc w:val="left"/>
              <w:rPr>
                <w:rFonts w:ascii="宋体" w:hAnsi="宋体" w:eastAsia="宋体" w:cs="宋体"/>
                <w:kern w:val="0"/>
                <w:szCs w:val="21"/>
              </w:rPr>
            </w:pPr>
            <w:r>
              <w:rPr>
                <w:rFonts w:ascii="宋体" w:hAnsi="宋体" w:eastAsia="宋体" w:cs="宋体"/>
                <w:kern w:val="0"/>
                <w:szCs w:val="21"/>
              </w:rPr>
              <w:t>前进村、安山村、仁义村、经义村、胜利村、三块碑村</w:t>
            </w:r>
          </w:p>
        </w:tc>
        <w:tc>
          <w:tcPr>
            <w:tcW w:w="621" w:type="pct"/>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1.1</w:t>
            </w:r>
          </w:p>
        </w:tc>
        <w:tc>
          <w:tcPr>
            <w:tcW w:w="1820" w:type="pct"/>
            <w:shd w:val="clear" w:color="auto" w:fill="auto"/>
            <w:vAlign w:val="center"/>
          </w:tcPr>
          <w:p>
            <w:pPr>
              <w:widowControl/>
              <w:jc w:val="center"/>
              <w:rPr>
                <w:rFonts w:ascii="宋体" w:hAnsi="宋体" w:eastAsia="宋体" w:cs="宋体"/>
                <w:kern w:val="0"/>
                <w:szCs w:val="21"/>
              </w:rPr>
            </w:pPr>
            <w:r>
              <w:rPr>
                <w:rFonts w:ascii="宋体" w:hAnsi="宋体" w:eastAsia="宋体" w:cs="宋体"/>
                <w:kern w:val="0"/>
                <w:szCs w:val="21"/>
              </w:rPr>
              <w:t>多元产业融合发展示范区</w:t>
            </w:r>
            <w:r>
              <w:rPr>
                <w:rFonts w:hint="eastAsia" w:ascii="宋体" w:hAnsi="宋体" w:eastAsia="宋体" w:cs="宋体"/>
                <w:kern w:val="0"/>
                <w:szCs w:val="21"/>
              </w:rPr>
              <w:br w:type="textWrapping"/>
            </w:r>
            <w:r>
              <w:rPr>
                <w:rFonts w:ascii="宋体" w:hAnsi="宋体" w:eastAsia="宋体" w:cs="宋体"/>
                <w:kern w:val="0"/>
                <w:szCs w:val="21"/>
              </w:rPr>
              <w:t>柠檬、龙虾养殖、黑山羊养殖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921" w:type="pct"/>
            <w:shd w:val="clear" w:color="auto" w:fill="auto"/>
            <w:vAlign w:val="center"/>
          </w:tcPr>
          <w:p>
            <w:pPr>
              <w:widowControl/>
              <w:jc w:val="center"/>
              <w:rPr>
                <w:rFonts w:ascii="宋体" w:hAnsi="宋体" w:eastAsia="宋体" w:cs="宋体"/>
                <w:bCs/>
                <w:kern w:val="0"/>
                <w:szCs w:val="21"/>
              </w:rPr>
            </w:pPr>
            <w:r>
              <w:rPr>
                <w:rFonts w:ascii="宋体" w:hAnsi="宋体" w:eastAsia="宋体" w:cs="宋体"/>
                <w:bCs/>
                <w:kern w:val="0"/>
                <w:szCs w:val="21"/>
              </w:rPr>
              <w:t>梁家片区</w:t>
            </w:r>
          </w:p>
        </w:tc>
        <w:tc>
          <w:tcPr>
            <w:tcW w:w="1638" w:type="pct"/>
            <w:shd w:val="clear" w:color="auto" w:fill="auto"/>
            <w:vAlign w:val="center"/>
          </w:tcPr>
          <w:p>
            <w:pPr>
              <w:widowControl/>
              <w:jc w:val="left"/>
              <w:rPr>
                <w:rFonts w:ascii="宋体" w:hAnsi="宋体" w:eastAsia="宋体" w:cs="宋体"/>
                <w:kern w:val="0"/>
                <w:szCs w:val="21"/>
              </w:rPr>
            </w:pPr>
            <w:r>
              <w:rPr>
                <w:rFonts w:ascii="宋体" w:hAnsi="宋体" w:eastAsia="宋体" w:cs="宋体"/>
                <w:kern w:val="0"/>
                <w:szCs w:val="21"/>
              </w:rPr>
              <w:t>梁家村、石山村、鹿角沟村、铁路沟村</w:t>
            </w:r>
          </w:p>
        </w:tc>
        <w:tc>
          <w:tcPr>
            <w:tcW w:w="621" w:type="pct"/>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0.6</w:t>
            </w:r>
          </w:p>
        </w:tc>
        <w:tc>
          <w:tcPr>
            <w:tcW w:w="1820" w:type="pct"/>
            <w:shd w:val="clear" w:color="auto" w:fill="auto"/>
            <w:vAlign w:val="center"/>
          </w:tcPr>
          <w:p>
            <w:pPr>
              <w:widowControl/>
              <w:jc w:val="center"/>
              <w:rPr>
                <w:rFonts w:ascii="宋体" w:hAnsi="宋体" w:eastAsia="宋体" w:cs="宋体"/>
                <w:kern w:val="0"/>
                <w:szCs w:val="21"/>
              </w:rPr>
            </w:pPr>
            <w:r>
              <w:rPr>
                <w:rFonts w:ascii="宋体" w:hAnsi="宋体" w:eastAsia="宋体" w:cs="宋体"/>
                <w:kern w:val="0"/>
                <w:szCs w:val="21"/>
              </w:rPr>
              <w:t>粮油示范产业园区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921" w:type="pct"/>
            <w:shd w:val="clear" w:color="auto" w:fill="auto"/>
            <w:vAlign w:val="center"/>
          </w:tcPr>
          <w:p>
            <w:pPr>
              <w:widowControl/>
              <w:jc w:val="center"/>
              <w:rPr>
                <w:rFonts w:ascii="宋体" w:hAnsi="宋体" w:eastAsia="宋体" w:cs="宋体"/>
                <w:bCs/>
                <w:kern w:val="0"/>
                <w:szCs w:val="21"/>
              </w:rPr>
            </w:pPr>
            <w:r>
              <w:rPr>
                <w:rFonts w:ascii="宋体" w:hAnsi="宋体" w:eastAsia="宋体" w:cs="宋体"/>
                <w:bCs/>
                <w:kern w:val="0"/>
                <w:szCs w:val="21"/>
              </w:rPr>
              <w:t>地风井片区</w:t>
            </w:r>
          </w:p>
        </w:tc>
        <w:tc>
          <w:tcPr>
            <w:tcW w:w="1638" w:type="pct"/>
            <w:shd w:val="clear" w:color="auto" w:fill="auto"/>
            <w:vAlign w:val="center"/>
          </w:tcPr>
          <w:p>
            <w:pPr>
              <w:widowControl/>
              <w:jc w:val="left"/>
              <w:rPr>
                <w:rFonts w:ascii="宋体" w:hAnsi="宋体" w:eastAsia="宋体" w:cs="宋体"/>
                <w:kern w:val="0"/>
                <w:szCs w:val="21"/>
              </w:rPr>
            </w:pPr>
            <w:r>
              <w:rPr>
                <w:rFonts w:ascii="宋体" w:hAnsi="宋体" w:eastAsia="宋体" w:cs="宋体"/>
                <w:kern w:val="0"/>
                <w:szCs w:val="21"/>
              </w:rPr>
              <w:t>地风井村、铜鼓村、九店村、上坝子村、四方村</w:t>
            </w:r>
          </w:p>
        </w:tc>
        <w:tc>
          <w:tcPr>
            <w:tcW w:w="621" w:type="pct"/>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0.6</w:t>
            </w:r>
          </w:p>
        </w:tc>
        <w:tc>
          <w:tcPr>
            <w:tcW w:w="1820" w:type="pct"/>
            <w:shd w:val="clear" w:color="auto" w:fill="auto"/>
            <w:vAlign w:val="center"/>
          </w:tcPr>
          <w:p>
            <w:pPr>
              <w:widowControl/>
              <w:jc w:val="center"/>
              <w:rPr>
                <w:rFonts w:ascii="宋体" w:hAnsi="宋体" w:eastAsia="宋体" w:cs="宋体"/>
                <w:kern w:val="0"/>
                <w:szCs w:val="21"/>
              </w:rPr>
            </w:pPr>
            <w:r>
              <w:rPr>
                <w:rFonts w:ascii="宋体" w:hAnsi="宋体" w:eastAsia="宋体" w:cs="宋体"/>
                <w:kern w:val="0"/>
                <w:szCs w:val="21"/>
              </w:rPr>
              <w:t>多元产业融合发展示范区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921" w:type="pct"/>
            <w:shd w:val="clear" w:color="auto" w:fill="auto"/>
            <w:vAlign w:val="center"/>
          </w:tcPr>
          <w:p>
            <w:pPr>
              <w:widowControl/>
              <w:jc w:val="center"/>
              <w:rPr>
                <w:rFonts w:ascii="宋体" w:hAnsi="宋体" w:eastAsia="宋体" w:cs="宋体"/>
                <w:bCs/>
                <w:kern w:val="0"/>
                <w:szCs w:val="21"/>
              </w:rPr>
            </w:pPr>
            <w:r>
              <w:rPr>
                <w:rFonts w:ascii="宋体" w:hAnsi="宋体" w:eastAsia="宋体" w:cs="宋体"/>
                <w:bCs/>
                <w:kern w:val="0"/>
                <w:szCs w:val="21"/>
              </w:rPr>
              <w:t>团结片区</w:t>
            </w:r>
          </w:p>
        </w:tc>
        <w:tc>
          <w:tcPr>
            <w:tcW w:w="1638" w:type="pct"/>
            <w:shd w:val="clear" w:color="auto" w:fill="auto"/>
            <w:vAlign w:val="center"/>
          </w:tcPr>
          <w:p>
            <w:pPr>
              <w:widowControl/>
              <w:jc w:val="left"/>
              <w:rPr>
                <w:rFonts w:ascii="宋体" w:hAnsi="宋体" w:eastAsia="宋体" w:cs="宋体"/>
                <w:kern w:val="0"/>
                <w:szCs w:val="21"/>
              </w:rPr>
            </w:pPr>
            <w:r>
              <w:rPr>
                <w:rFonts w:ascii="宋体" w:hAnsi="宋体" w:eastAsia="宋体" w:cs="宋体"/>
                <w:kern w:val="0"/>
                <w:szCs w:val="21"/>
              </w:rPr>
              <w:t>团结村、肖家沟村、葡萄店村、送家沟村</w:t>
            </w:r>
          </w:p>
        </w:tc>
        <w:tc>
          <w:tcPr>
            <w:tcW w:w="621" w:type="pct"/>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0.85</w:t>
            </w:r>
          </w:p>
        </w:tc>
        <w:tc>
          <w:tcPr>
            <w:tcW w:w="1820" w:type="pct"/>
            <w:shd w:val="clear" w:color="auto" w:fill="auto"/>
            <w:vAlign w:val="center"/>
          </w:tcPr>
          <w:p>
            <w:pPr>
              <w:widowControl/>
              <w:jc w:val="center"/>
              <w:rPr>
                <w:rFonts w:hint="eastAsia" w:ascii="宋体" w:hAnsi="宋体" w:eastAsia="宋体" w:cs="宋体"/>
                <w:kern w:val="0"/>
                <w:szCs w:val="21"/>
                <w:lang w:val="en-US" w:eastAsia="zh-CN"/>
              </w:rPr>
            </w:pPr>
            <w:r>
              <w:rPr>
                <w:rFonts w:ascii="宋体" w:hAnsi="宋体" w:eastAsia="宋体" w:cs="宋体"/>
                <w:kern w:val="0"/>
                <w:szCs w:val="21"/>
              </w:rPr>
              <w:t>都市近郊乡村度假旅游</w:t>
            </w:r>
            <w:r>
              <w:rPr>
                <w:rFonts w:hint="eastAsia" w:ascii="宋体" w:hAnsi="宋体" w:eastAsia="宋体" w:cs="宋体"/>
                <w:kern w:val="0"/>
                <w:szCs w:val="21"/>
                <w:lang w:val="en-US" w:eastAsia="zh-CN"/>
              </w:rPr>
              <w:t>胜地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921" w:type="pct"/>
            <w:shd w:val="clear" w:color="auto" w:fill="auto"/>
            <w:vAlign w:val="center"/>
          </w:tcPr>
          <w:p>
            <w:pPr>
              <w:widowControl/>
              <w:jc w:val="center"/>
              <w:rPr>
                <w:rFonts w:ascii="宋体" w:hAnsi="宋体" w:eastAsia="宋体" w:cs="宋体"/>
                <w:bCs/>
                <w:kern w:val="0"/>
                <w:szCs w:val="21"/>
              </w:rPr>
            </w:pPr>
            <w:r>
              <w:rPr>
                <w:rFonts w:ascii="宋体" w:hAnsi="宋体" w:eastAsia="宋体" w:cs="宋体"/>
                <w:bCs/>
                <w:kern w:val="0"/>
                <w:szCs w:val="21"/>
              </w:rPr>
              <w:t>玉峰片区</w:t>
            </w:r>
          </w:p>
        </w:tc>
        <w:tc>
          <w:tcPr>
            <w:tcW w:w="1638" w:type="pct"/>
            <w:shd w:val="clear" w:color="auto" w:fill="auto"/>
            <w:vAlign w:val="center"/>
          </w:tcPr>
          <w:p>
            <w:pPr>
              <w:widowControl/>
              <w:jc w:val="left"/>
              <w:rPr>
                <w:rFonts w:ascii="宋体" w:hAnsi="宋体" w:eastAsia="宋体" w:cs="宋体"/>
                <w:kern w:val="0"/>
                <w:szCs w:val="21"/>
              </w:rPr>
            </w:pPr>
            <w:r>
              <w:rPr>
                <w:rFonts w:ascii="宋体" w:hAnsi="宋体" w:eastAsia="宋体" w:cs="宋体"/>
                <w:kern w:val="0"/>
                <w:szCs w:val="21"/>
              </w:rPr>
              <w:t>玉印村、飞场湾村、浅垭子村、水阁村、玉峰村、双古磨村</w:t>
            </w:r>
          </w:p>
        </w:tc>
        <w:tc>
          <w:tcPr>
            <w:tcW w:w="621" w:type="pct"/>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0.8</w:t>
            </w:r>
          </w:p>
        </w:tc>
        <w:tc>
          <w:tcPr>
            <w:tcW w:w="1820" w:type="pct"/>
            <w:shd w:val="clear" w:color="auto" w:fill="auto"/>
            <w:vAlign w:val="center"/>
          </w:tcPr>
          <w:p>
            <w:pPr>
              <w:widowControl/>
              <w:jc w:val="center"/>
              <w:rPr>
                <w:rFonts w:ascii="宋体" w:hAnsi="宋体" w:eastAsia="宋体" w:cs="宋体"/>
                <w:kern w:val="0"/>
                <w:szCs w:val="21"/>
              </w:rPr>
            </w:pPr>
            <w:r>
              <w:rPr>
                <w:rFonts w:ascii="宋体" w:hAnsi="宋体" w:eastAsia="宋体" w:cs="宋体"/>
                <w:kern w:val="0"/>
                <w:szCs w:val="21"/>
              </w:rPr>
              <w:t xml:space="preserve">粮油示范产业园核心区 </w:t>
            </w:r>
            <w:r>
              <w:rPr>
                <w:rFonts w:hint="eastAsia" w:ascii="宋体" w:hAnsi="宋体" w:eastAsia="宋体" w:cs="宋体"/>
                <w:kern w:val="0"/>
                <w:szCs w:val="21"/>
              </w:rPr>
              <w:br w:type="textWrapping"/>
            </w:r>
            <w:r>
              <w:rPr>
                <w:rFonts w:ascii="宋体" w:hAnsi="宋体" w:eastAsia="宋体" w:cs="宋体"/>
                <w:kern w:val="0"/>
                <w:szCs w:val="21"/>
              </w:rPr>
              <w:t>稻香农旅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921" w:type="pct"/>
            <w:shd w:val="clear" w:color="auto" w:fill="auto"/>
            <w:vAlign w:val="center"/>
          </w:tcPr>
          <w:p>
            <w:pPr>
              <w:widowControl/>
              <w:jc w:val="center"/>
              <w:rPr>
                <w:rFonts w:ascii="宋体" w:hAnsi="宋体" w:eastAsia="宋体" w:cs="宋体"/>
                <w:bCs/>
                <w:kern w:val="0"/>
                <w:szCs w:val="21"/>
              </w:rPr>
            </w:pPr>
            <w:r>
              <w:rPr>
                <w:rFonts w:ascii="宋体" w:hAnsi="宋体" w:eastAsia="宋体" w:cs="宋体"/>
                <w:bCs/>
                <w:kern w:val="0"/>
                <w:szCs w:val="21"/>
              </w:rPr>
              <w:t>方平沟片区</w:t>
            </w:r>
          </w:p>
        </w:tc>
        <w:tc>
          <w:tcPr>
            <w:tcW w:w="1638" w:type="pct"/>
            <w:shd w:val="clear" w:color="auto" w:fill="auto"/>
            <w:vAlign w:val="center"/>
          </w:tcPr>
          <w:p>
            <w:pPr>
              <w:widowControl/>
              <w:jc w:val="left"/>
              <w:rPr>
                <w:rFonts w:ascii="宋体" w:hAnsi="宋体" w:eastAsia="宋体" w:cs="宋体"/>
                <w:kern w:val="0"/>
                <w:szCs w:val="21"/>
              </w:rPr>
            </w:pPr>
            <w:r>
              <w:rPr>
                <w:rFonts w:ascii="宋体" w:hAnsi="宋体" w:eastAsia="宋体" w:cs="宋体"/>
                <w:kern w:val="0"/>
                <w:szCs w:val="21"/>
              </w:rPr>
              <w:t>方平沟村、八德桥村、河里坊村、河中井村</w:t>
            </w:r>
          </w:p>
        </w:tc>
        <w:tc>
          <w:tcPr>
            <w:tcW w:w="621" w:type="pct"/>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0.5</w:t>
            </w:r>
          </w:p>
        </w:tc>
        <w:tc>
          <w:tcPr>
            <w:tcW w:w="1820" w:type="pct"/>
            <w:shd w:val="clear" w:color="auto" w:fill="auto"/>
            <w:vAlign w:val="center"/>
          </w:tcPr>
          <w:p>
            <w:pPr>
              <w:widowControl/>
              <w:jc w:val="center"/>
              <w:rPr>
                <w:rFonts w:ascii="宋体" w:hAnsi="宋体" w:eastAsia="宋体" w:cs="宋体"/>
                <w:kern w:val="0"/>
                <w:szCs w:val="21"/>
              </w:rPr>
            </w:pPr>
            <w:r>
              <w:rPr>
                <w:rFonts w:ascii="宋体" w:hAnsi="宋体" w:eastAsia="宋体" w:cs="宋体"/>
                <w:kern w:val="0"/>
                <w:szCs w:val="21"/>
              </w:rPr>
              <w:t xml:space="preserve">粮油示范产业园核心区 </w:t>
            </w:r>
            <w:r>
              <w:rPr>
                <w:rFonts w:hint="eastAsia" w:ascii="宋体" w:hAnsi="宋体" w:eastAsia="宋体" w:cs="宋体"/>
                <w:kern w:val="0"/>
                <w:szCs w:val="21"/>
              </w:rPr>
              <w:br w:type="textWrapping"/>
            </w:r>
            <w:r>
              <w:rPr>
                <w:rFonts w:ascii="宋体" w:hAnsi="宋体" w:eastAsia="宋体" w:cs="宋体"/>
                <w:kern w:val="0"/>
                <w:szCs w:val="21"/>
              </w:rPr>
              <w:t>稻香农旅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921" w:type="pct"/>
            <w:shd w:val="clear" w:color="auto" w:fill="auto"/>
            <w:vAlign w:val="center"/>
          </w:tcPr>
          <w:p>
            <w:pPr>
              <w:widowControl/>
              <w:jc w:val="center"/>
              <w:rPr>
                <w:rFonts w:ascii="宋体" w:hAnsi="宋体" w:eastAsia="宋体" w:cs="宋体"/>
                <w:bCs/>
                <w:kern w:val="0"/>
                <w:szCs w:val="21"/>
              </w:rPr>
            </w:pPr>
            <w:r>
              <w:rPr>
                <w:rFonts w:ascii="宋体" w:hAnsi="宋体" w:eastAsia="宋体" w:cs="宋体"/>
                <w:bCs/>
                <w:kern w:val="0"/>
                <w:szCs w:val="21"/>
              </w:rPr>
              <w:t>斗笠片区</w:t>
            </w:r>
          </w:p>
        </w:tc>
        <w:tc>
          <w:tcPr>
            <w:tcW w:w="1638" w:type="pct"/>
            <w:shd w:val="clear" w:color="auto" w:fill="auto"/>
            <w:vAlign w:val="center"/>
          </w:tcPr>
          <w:p>
            <w:pPr>
              <w:widowControl/>
              <w:jc w:val="left"/>
              <w:rPr>
                <w:rFonts w:ascii="宋体" w:hAnsi="宋体" w:eastAsia="宋体" w:cs="宋体"/>
                <w:kern w:val="0"/>
                <w:szCs w:val="21"/>
              </w:rPr>
            </w:pPr>
            <w:r>
              <w:rPr>
                <w:rFonts w:ascii="宋体" w:hAnsi="宋体" w:eastAsia="宋体" w:cs="宋体"/>
                <w:kern w:val="0"/>
                <w:szCs w:val="21"/>
              </w:rPr>
              <w:t>斗笠村、指石河村、得鱼沟村</w:t>
            </w:r>
          </w:p>
        </w:tc>
        <w:tc>
          <w:tcPr>
            <w:tcW w:w="621" w:type="pct"/>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0.49</w:t>
            </w:r>
          </w:p>
        </w:tc>
        <w:tc>
          <w:tcPr>
            <w:tcW w:w="1820" w:type="pct"/>
            <w:shd w:val="clear" w:color="auto" w:fill="auto"/>
            <w:vAlign w:val="center"/>
          </w:tcPr>
          <w:p>
            <w:pPr>
              <w:widowControl/>
              <w:jc w:val="center"/>
              <w:rPr>
                <w:rFonts w:ascii="宋体" w:hAnsi="宋体" w:eastAsia="宋体" w:cs="宋体"/>
                <w:kern w:val="0"/>
                <w:szCs w:val="21"/>
              </w:rPr>
            </w:pPr>
            <w:r>
              <w:rPr>
                <w:rFonts w:ascii="宋体" w:hAnsi="宋体" w:eastAsia="宋体" w:cs="宋体"/>
                <w:kern w:val="0"/>
                <w:szCs w:val="21"/>
              </w:rPr>
              <w:t>都市近郊乡村度假旅游</w:t>
            </w:r>
            <w:r>
              <w:rPr>
                <w:rFonts w:hint="eastAsia" w:ascii="宋体" w:hAnsi="宋体" w:eastAsia="宋体" w:cs="宋体"/>
                <w:kern w:val="0"/>
                <w:szCs w:val="21"/>
                <w:lang w:val="en-US" w:eastAsia="zh-CN"/>
              </w:rPr>
              <w:t>胜地</w:t>
            </w:r>
            <w:r>
              <w:rPr>
                <w:rFonts w:hint="eastAsia" w:ascii="宋体" w:hAnsi="宋体" w:eastAsia="宋体" w:cs="宋体"/>
                <w:kern w:val="0"/>
                <w:szCs w:val="21"/>
              </w:rPr>
              <w:br w:type="textWrapping"/>
            </w:r>
            <w:r>
              <w:rPr>
                <w:rFonts w:hint="eastAsia" w:ascii="宋体" w:hAnsi="宋体" w:eastAsia="宋体" w:cs="宋体"/>
                <w:kern w:val="0"/>
                <w:szCs w:val="21"/>
              </w:rPr>
              <w:t>斗笠</w:t>
            </w:r>
            <w:r>
              <w:rPr>
                <w:rFonts w:ascii="宋体" w:hAnsi="宋体" w:eastAsia="宋体" w:cs="宋体"/>
                <w:kern w:val="0"/>
                <w:szCs w:val="21"/>
              </w:rPr>
              <w:t>.</w:t>
            </w:r>
            <w:r>
              <w:rPr>
                <w:rFonts w:hint="eastAsia" w:ascii="宋体" w:hAnsi="宋体" w:eastAsia="宋体" w:cs="宋体"/>
                <w:kern w:val="0"/>
                <w:szCs w:val="21"/>
              </w:rPr>
              <w:t>水岸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921" w:type="pct"/>
            <w:shd w:val="clear" w:color="auto" w:fill="auto"/>
            <w:vAlign w:val="center"/>
          </w:tcPr>
          <w:p>
            <w:pPr>
              <w:widowControl/>
              <w:jc w:val="center"/>
              <w:rPr>
                <w:rFonts w:ascii="宋体" w:hAnsi="宋体" w:eastAsia="宋体" w:cs="宋体"/>
                <w:bCs/>
                <w:kern w:val="0"/>
                <w:szCs w:val="21"/>
              </w:rPr>
            </w:pPr>
            <w:r>
              <w:rPr>
                <w:rFonts w:ascii="宋体" w:hAnsi="宋体" w:eastAsia="宋体" w:cs="宋体"/>
                <w:bCs/>
                <w:kern w:val="0"/>
                <w:szCs w:val="21"/>
              </w:rPr>
              <w:t>智水片区</w:t>
            </w:r>
          </w:p>
        </w:tc>
        <w:tc>
          <w:tcPr>
            <w:tcW w:w="1638" w:type="pct"/>
            <w:shd w:val="clear" w:color="auto" w:fill="auto"/>
            <w:vAlign w:val="center"/>
          </w:tcPr>
          <w:p>
            <w:pPr>
              <w:widowControl/>
              <w:jc w:val="left"/>
              <w:rPr>
                <w:rFonts w:ascii="宋体" w:hAnsi="宋体" w:eastAsia="宋体" w:cs="宋体"/>
                <w:kern w:val="0"/>
                <w:szCs w:val="21"/>
              </w:rPr>
            </w:pPr>
            <w:r>
              <w:rPr>
                <w:rFonts w:ascii="宋体" w:hAnsi="宋体" w:eastAsia="宋体" w:cs="宋体"/>
                <w:kern w:val="0"/>
                <w:szCs w:val="21"/>
              </w:rPr>
              <w:t>智水村、智平村、鲤鱼浸、星宿村</w:t>
            </w:r>
          </w:p>
        </w:tc>
        <w:tc>
          <w:tcPr>
            <w:tcW w:w="621" w:type="pct"/>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0.8</w:t>
            </w:r>
          </w:p>
        </w:tc>
        <w:tc>
          <w:tcPr>
            <w:tcW w:w="1820" w:type="pct"/>
            <w:shd w:val="clear" w:color="auto" w:fill="auto"/>
            <w:vAlign w:val="center"/>
          </w:tcPr>
          <w:p>
            <w:pPr>
              <w:widowControl/>
              <w:jc w:val="center"/>
              <w:rPr>
                <w:rFonts w:ascii="宋体" w:hAnsi="宋体" w:eastAsia="宋体" w:cs="宋体"/>
                <w:kern w:val="0"/>
                <w:szCs w:val="21"/>
              </w:rPr>
            </w:pPr>
            <w:r>
              <w:rPr>
                <w:rFonts w:ascii="宋体" w:hAnsi="宋体" w:eastAsia="宋体" w:cs="宋体"/>
                <w:kern w:val="0"/>
                <w:szCs w:val="21"/>
              </w:rPr>
              <w:t>粮油复合产业示范基地</w:t>
            </w:r>
            <w:r>
              <w:rPr>
                <w:rFonts w:hint="eastAsia" w:ascii="宋体" w:hAnsi="宋体" w:eastAsia="宋体" w:cs="宋体"/>
                <w:kern w:val="0"/>
                <w:szCs w:val="21"/>
              </w:rPr>
              <w:br w:type="textWrapping"/>
            </w:r>
            <w:r>
              <w:rPr>
                <w:rFonts w:ascii="宋体" w:hAnsi="宋体" w:eastAsia="宋体" w:cs="宋体"/>
                <w:kern w:val="0"/>
                <w:szCs w:val="21"/>
              </w:rPr>
              <w:t>稻香农旅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921" w:type="pct"/>
            <w:shd w:val="clear" w:color="auto" w:fill="auto"/>
            <w:vAlign w:val="center"/>
          </w:tcPr>
          <w:p>
            <w:pPr>
              <w:widowControl/>
              <w:jc w:val="center"/>
              <w:rPr>
                <w:rFonts w:ascii="宋体" w:hAnsi="宋体" w:eastAsia="宋体" w:cs="宋体"/>
                <w:bCs/>
                <w:kern w:val="0"/>
                <w:szCs w:val="21"/>
              </w:rPr>
            </w:pPr>
            <w:r>
              <w:rPr>
                <w:rFonts w:ascii="宋体" w:hAnsi="宋体" w:eastAsia="宋体" w:cs="宋体"/>
                <w:bCs/>
                <w:kern w:val="0"/>
                <w:szCs w:val="21"/>
              </w:rPr>
              <w:t>象山片区</w:t>
            </w:r>
          </w:p>
        </w:tc>
        <w:tc>
          <w:tcPr>
            <w:tcW w:w="1638" w:type="pct"/>
            <w:shd w:val="clear" w:color="auto" w:fill="auto"/>
            <w:vAlign w:val="center"/>
          </w:tcPr>
          <w:p>
            <w:pPr>
              <w:widowControl/>
              <w:jc w:val="left"/>
              <w:rPr>
                <w:rFonts w:ascii="宋体" w:hAnsi="宋体" w:eastAsia="宋体" w:cs="宋体"/>
                <w:kern w:val="0"/>
                <w:szCs w:val="21"/>
              </w:rPr>
            </w:pPr>
            <w:r>
              <w:rPr>
                <w:rFonts w:ascii="宋体" w:hAnsi="宋体" w:eastAsia="宋体" w:cs="宋体"/>
                <w:kern w:val="0"/>
                <w:szCs w:val="21"/>
              </w:rPr>
              <w:t>凤阳村、象山村、三溪村、文龙村、冯家楼村、观桃村</w:t>
            </w:r>
          </w:p>
        </w:tc>
        <w:tc>
          <w:tcPr>
            <w:tcW w:w="621" w:type="pct"/>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1</w:t>
            </w:r>
          </w:p>
        </w:tc>
        <w:tc>
          <w:tcPr>
            <w:tcW w:w="1820" w:type="pct"/>
            <w:shd w:val="clear" w:color="auto" w:fill="auto"/>
            <w:vAlign w:val="center"/>
          </w:tcPr>
          <w:p>
            <w:pPr>
              <w:widowControl/>
              <w:jc w:val="center"/>
              <w:rPr>
                <w:rFonts w:ascii="宋体" w:hAnsi="宋体" w:eastAsia="宋体" w:cs="宋体"/>
                <w:kern w:val="0"/>
                <w:szCs w:val="21"/>
              </w:rPr>
            </w:pPr>
            <w:r>
              <w:rPr>
                <w:rFonts w:ascii="宋体" w:hAnsi="宋体" w:eastAsia="宋体" w:cs="宋体"/>
                <w:kern w:val="0"/>
                <w:szCs w:val="21"/>
              </w:rPr>
              <w:t>农耕文化风貌区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921" w:type="pct"/>
            <w:shd w:val="clear" w:color="auto" w:fill="auto"/>
            <w:vAlign w:val="center"/>
          </w:tcPr>
          <w:p>
            <w:pPr>
              <w:widowControl/>
              <w:jc w:val="center"/>
              <w:rPr>
                <w:rFonts w:ascii="宋体" w:hAnsi="宋体" w:eastAsia="宋体" w:cs="宋体"/>
                <w:bCs/>
                <w:kern w:val="0"/>
                <w:szCs w:val="21"/>
              </w:rPr>
            </w:pPr>
            <w:r>
              <w:rPr>
                <w:rFonts w:ascii="宋体" w:hAnsi="宋体" w:eastAsia="宋体" w:cs="宋体"/>
                <w:bCs/>
                <w:kern w:val="0"/>
                <w:szCs w:val="21"/>
              </w:rPr>
              <w:t>永乐片区</w:t>
            </w:r>
          </w:p>
        </w:tc>
        <w:tc>
          <w:tcPr>
            <w:tcW w:w="1638" w:type="pct"/>
            <w:shd w:val="clear" w:color="auto" w:fill="auto"/>
            <w:vAlign w:val="center"/>
          </w:tcPr>
          <w:p>
            <w:pPr>
              <w:widowControl/>
              <w:jc w:val="left"/>
              <w:rPr>
                <w:rFonts w:ascii="宋体" w:hAnsi="宋体" w:eastAsia="宋体" w:cs="宋体"/>
                <w:kern w:val="0"/>
                <w:szCs w:val="21"/>
              </w:rPr>
            </w:pPr>
            <w:r>
              <w:rPr>
                <w:rFonts w:ascii="宋体" w:hAnsi="宋体" w:eastAsia="宋体" w:cs="宋体"/>
                <w:kern w:val="0"/>
                <w:szCs w:val="21"/>
              </w:rPr>
              <w:t>永乐村、青龙滩村、犁浅垭村、马蹄垭村、永南坝村</w:t>
            </w:r>
          </w:p>
        </w:tc>
        <w:tc>
          <w:tcPr>
            <w:tcW w:w="621" w:type="pct"/>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0.8</w:t>
            </w:r>
          </w:p>
        </w:tc>
        <w:tc>
          <w:tcPr>
            <w:tcW w:w="1820" w:type="pct"/>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近郊蔬菜基地</w:t>
            </w:r>
          </w:p>
        </w:tc>
      </w:tr>
    </w:tbl>
    <w:p>
      <w:pPr>
        <w:adjustRightInd w:val="0"/>
        <w:snapToGrid w:val="0"/>
        <w:spacing w:beforeLines="50" w:line="360" w:lineRule="auto"/>
        <w:ind w:firstLine="482" w:firstLineChars="200"/>
        <w:rPr>
          <w:rFonts w:ascii="黑体" w:hAnsi="黑体" w:eastAsia="黑体" w:cs="Times New Roman"/>
          <w:b/>
          <w:kern w:val="0"/>
          <w:sz w:val="24"/>
          <w:szCs w:val="24"/>
        </w:rPr>
      </w:pPr>
      <w:r>
        <w:rPr>
          <w:rFonts w:hint="eastAsia" w:ascii="黑体" w:hAnsi="黑体" w:eastAsia="黑体" w:cs="Times New Roman"/>
          <w:b/>
          <w:kern w:val="0"/>
          <w:sz w:val="24"/>
          <w:szCs w:val="24"/>
        </w:rPr>
        <w:t>七、村庄聚居点规划</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（一）</w:t>
      </w:r>
      <w:r>
        <w:rPr>
          <w:rFonts w:eastAsia="宋体" w:cs="Times New Roman" w:asciiTheme="minorEastAsia" w:hAnsiTheme="minorEastAsia"/>
          <w:b/>
          <w:kern w:val="0"/>
          <w:sz w:val="24"/>
          <w:szCs w:val="24"/>
        </w:rPr>
        <w:t>规划原则</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避让底线</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避让永久基本农田、生态保护红线、水源一级保护区、生态公益林、耕地、生态保护极重要区。</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尊重</w:t>
      </w:r>
      <w:r>
        <w:rPr>
          <w:rFonts w:hint="eastAsia" w:eastAsia="宋体" w:cs="Times New Roman" w:asciiTheme="minorEastAsia" w:hAnsiTheme="minorEastAsia"/>
          <w:kern w:val="0"/>
          <w:sz w:val="24"/>
          <w:szCs w:val="24"/>
          <w:lang w:val="en-US" w:eastAsia="zh-CN"/>
        </w:rPr>
        <w:t>民意</w:t>
      </w:r>
      <w:r>
        <w:rPr>
          <w:rFonts w:eastAsia="宋体" w:cs="Times New Roman" w:asciiTheme="minorEastAsia" w:hAnsiTheme="minorEastAsia"/>
          <w:kern w:val="0"/>
          <w:sz w:val="24"/>
          <w:szCs w:val="24"/>
        </w:rPr>
        <w:t>：充分了解农民集聚意愿，宜聚则聚。考虑耕作、生活半径，尽量靠近交通干道。</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片区</w:t>
      </w:r>
      <w:r>
        <w:rPr>
          <w:rFonts w:eastAsia="宋体" w:cs="Times New Roman" w:asciiTheme="minorEastAsia" w:hAnsiTheme="minorEastAsia"/>
          <w:kern w:val="0"/>
          <w:sz w:val="24"/>
          <w:szCs w:val="24"/>
        </w:rPr>
        <w:t>划分与镇村体系：依据</w:t>
      </w:r>
      <w:r>
        <w:rPr>
          <w:rFonts w:hint="eastAsia" w:eastAsia="宋体" w:cs="Times New Roman" w:asciiTheme="minorEastAsia" w:hAnsiTheme="minorEastAsia"/>
          <w:kern w:val="0"/>
          <w:sz w:val="24"/>
          <w:szCs w:val="24"/>
        </w:rPr>
        <w:t>村级</w:t>
      </w:r>
      <w:r>
        <w:rPr>
          <w:rFonts w:eastAsia="宋体" w:cs="Times New Roman" w:asciiTheme="minorEastAsia" w:hAnsiTheme="minorEastAsia"/>
          <w:kern w:val="0"/>
          <w:sz w:val="24"/>
          <w:szCs w:val="24"/>
        </w:rPr>
        <w:t>经济片区划分与镇村体系规划，就近选择临近市政设施、公服</w:t>
      </w:r>
      <w:r>
        <w:rPr>
          <w:rFonts w:hint="eastAsia" w:eastAsia="宋体" w:cs="Times New Roman" w:asciiTheme="minorEastAsia" w:hAnsiTheme="minorEastAsia"/>
          <w:kern w:val="0"/>
          <w:sz w:val="24"/>
          <w:szCs w:val="24"/>
          <w:lang w:val="en-US" w:eastAsia="zh-CN"/>
        </w:rPr>
        <w:t>服务</w:t>
      </w:r>
      <w:r>
        <w:rPr>
          <w:rFonts w:eastAsia="宋体" w:cs="Times New Roman" w:asciiTheme="minorEastAsia" w:hAnsiTheme="minorEastAsia"/>
          <w:kern w:val="0"/>
          <w:sz w:val="24"/>
          <w:szCs w:val="24"/>
        </w:rPr>
        <w:t>设施配套完善的地段</w:t>
      </w:r>
      <w:r>
        <w:rPr>
          <w:rFonts w:hint="eastAsia" w:eastAsia="宋体" w:cs="Times New Roman" w:asciiTheme="minorEastAsia" w:hAnsiTheme="minorEastAsia"/>
          <w:kern w:val="0"/>
          <w:sz w:val="24"/>
          <w:szCs w:val="24"/>
        </w:rPr>
        <w:t>。</w:t>
      </w:r>
    </w:p>
    <w:p>
      <w:pPr>
        <w:adjustRightInd w:val="0"/>
        <w:snapToGrid w:val="0"/>
        <w:spacing w:line="360" w:lineRule="auto"/>
        <w:ind w:firstLine="480" w:firstLineChars="200"/>
        <w:rPr>
          <w:rFonts w:eastAsia="宋体" w:cs="Times New Roman" w:asciiTheme="minorEastAsia" w:hAnsiTheme="minorEastAsia"/>
          <w:b/>
          <w:kern w:val="0"/>
          <w:sz w:val="24"/>
          <w:szCs w:val="24"/>
          <w:u w:val="single"/>
        </w:rPr>
      </w:pPr>
      <w:r>
        <w:rPr>
          <w:rFonts w:hint="eastAsia" w:eastAsia="宋体" w:cs="Times New Roman" w:asciiTheme="minorEastAsia" w:hAnsiTheme="minorEastAsia"/>
          <w:kern w:val="0"/>
          <w:sz w:val="24"/>
          <w:szCs w:val="24"/>
          <w:lang w:val="en-US" w:eastAsia="zh-CN"/>
        </w:rPr>
        <w:t>地质</w:t>
      </w:r>
      <w:r>
        <w:rPr>
          <w:rFonts w:hint="eastAsia" w:eastAsia="宋体" w:cs="Times New Roman" w:asciiTheme="minorEastAsia" w:hAnsiTheme="minorEastAsia"/>
          <w:kern w:val="0"/>
          <w:sz w:val="24"/>
          <w:szCs w:val="24"/>
        </w:rPr>
        <w:t>灾害避让：</w:t>
      </w:r>
      <w:r>
        <w:rPr>
          <w:rFonts w:hint="eastAsia" w:eastAsia="宋体" w:cs="Times New Roman" w:asciiTheme="minorEastAsia" w:hAnsiTheme="minorEastAsia"/>
          <w:b/>
          <w:kern w:val="0"/>
          <w:sz w:val="24"/>
          <w:szCs w:val="24"/>
          <w:u w:val="single"/>
        </w:rPr>
        <w:t>居民点建设应结合地貌特点，避免“深开挖、高切坡、高填方”，加强生态环境保护工作和防洪工程建设，禁止破坏植被，防止水土流失。项目建设前须进行地质灾害评估和建设点的详细地质勘探，建设活动须以相应的地质勘探资料为依据，应进行地灾处理的项目必须在处理之后，按规定程序报批建设，避免在溶洞、危岩和易发生滑坡地段建设。</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（二）用地标准</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1、综合用地指标控制</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聚居点规划人均综合用地指标应结合实际确定，一般情况控制在50-70平方米。</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2、宅基地标准</w:t>
      </w:r>
    </w:p>
    <w:p>
      <w:pPr>
        <w:adjustRightInd w:val="0"/>
        <w:snapToGrid w:val="0"/>
        <w:spacing w:line="360" w:lineRule="auto"/>
        <w:ind w:firstLine="482" w:firstLineChars="200"/>
        <w:rPr>
          <w:rFonts w:eastAsia="宋体" w:cs="Times New Roman" w:asciiTheme="minorEastAsia" w:hAnsiTheme="minorEastAsia"/>
          <w:b/>
          <w:kern w:val="0"/>
          <w:sz w:val="24"/>
          <w:szCs w:val="24"/>
          <w:u w:val="single"/>
        </w:rPr>
      </w:pPr>
      <w:r>
        <w:rPr>
          <w:rFonts w:hint="eastAsia" w:eastAsia="宋体" w:cs="Times New Roman" w:asciiTheme="minorEastAsia" w:hAnsiTheme="minorEastAsia"/>
          <w:b/>
          <w:kern w:val="0"/>
          <w:sz w:val="24"/>
          <w:szCs w:val="24"/>
          <w:u w:val="single"/>
        </w:rPr>
        <w:t>（1）农村村民一户只能拥有一处不超过规定标准面积的宅基地。</w:t>
      </w:r>
    </w:p>
    <w:p>
      <w:pPr>
        <w:adjustRightInd w:val="0"/>
        <w:snapToGrid w:val="0"/>
        <w:spacing w:line="360" w:lineRule="auto"/>
        <w:ind w:firstLine="482" w:firstLineChars="200"/>
        <w:rPr>
          <w:rFonts w:eastAsia="宋体" w:cs="Times New Roman" w:asciiTheme="minorEastAsia" w:hAnsiTheme="minorEastAsia"/>
          <w:b/>
          <w:kern w:val="0"/>
          <w:sz w:val="24"/>
          <w:szCs w:val="24"/>
          <w:u w:val="single"/>
        </w:rPr>
      </w:pPr>
      <w:r>
        <w:rPr>
          <w:rFonts w:hint="eastAsia" w:eastAsia="宋体" w:cs="Times New Roman" w:asciiTheme="minorEastAsia" w:hAnsiTheme="minorEastAsia"/>
          <w:b/>
          <w:kern w:val="0"/>
          <w:sz w:val="24"/>
          <w:szCs w:val="24"/>
          <w:u w:val="single"/>
        </w:rPr>
        <w:t>（2）住房用地面积标准:平原地区为每人30至40平方米，丘陵地区为每人40-50平方米；3人以下的户按3人计算，4人的户按4人计算，5人以上的户按5人计算。</w:t>
      </w:r>
    </w:p>
    <w:p>
      <w:pPr>
        <w:adjustRightInd w:val="0"/>
        <w:snapToGrid w:val="0"/>
        <w:spacing w:line="360" w:lineRule="auto"/>
        <w:ind w:firstLine="482" w:firstLineChars="200"/>
        <w:rPr>
          <w:rFonts w:eastAsia="宋体" w:cs="Times New Roman" w:asciiTheme="minorEastAsia" w:hAnsiTheme="minorEastAsia"/>
          <w:b/>
          <w:kern w:val="0"/>
          <w:sz w:val="24"/>
          <w:szCs w:val="24"/>
          <w:u w:val="single"/>
        </w:rPr>
      </w:pPr>
      <w:r>
        <w:rPr>
          <w:rFonts w:hint="eastAsia" w:eastAsia="宋体" w:cs="Times New Roman" w:asciiTheme="minorEastAsia" w:hAnsiTheme="minorEastAsia"/>
          <w:b/>
          <w:kern w:val="0"/>
          <w:sz w:val="24"/>
          <w:szCs w:val="24"/>
          <w:u w:val="single"/>
        </w:rPr>
        <w:t>（3）扩建住宅所占的土地面积应当连同原宅基地面积一并计算。</w:t>
      </w:r>
    </w:p>
    <w:p>
      <w:pPr>
        <w:adjustRightInd w:val="0"/>
        <w:snapToGrid w:val="0"/>
        <w:spacing w:line="360" w:lineRule="auto"/>
        <w:ind w:firstLine="482" w:firstLineChars="200"/>
        <w:rPr>
          <w:rFonts w:eastAsia="宋体" w:cs="Times New Roman" w:asciiTheme="minorEastAsia" w:hAnsiTheme="minorEastAsia"/>
          <w:b/>
          <w:kern w:val="0"/>
          <w:sz w:val="24"/>
          <w:szCs w:val="24"/>
          <w:u w:val="single"/>
        </w:rPr>
      </w:pPr>
      <w:r>
        <w:rPr>
          <w:rFonts w:hint="eastAsia" w:eastAsia="宋体" w:cs="Times New Roman" w:asciiTheme="minorEastAsia" w:hAnsiTheme="minorEastAsia"/>
          <w:b/>
          <w:kern w:val="0"/>
          <w:sz w:val="24"/>
          <w:szCs w:val="24"/>
          <w:u w:val="single"/>
        </w:rPr>
        <w:t>（4）新建住宅全部使用农用地以外的土地的，用地面积可以适当增加，增加部分每户最多不得超过30平方米。</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（三）聚居点规模</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聚居点按规划常住人口的数量，分为特大型、大型、中型、小型四级。特大型规划常住人口大于1000人、大型规划常住人口601~1000人、中型规划常住人口 201~600人、小型规划常住人口50~200人。</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（四）</w:t>
      </w:r>
      <w:r>
        <w:rPr>
          <w:rFonts w:eastAsia="宋体" w:cs="Times New Roman" w:asciiTheme="minorEastAsia" w:hAnsiTheme="minorEastAsia"/>
          <w:b/>
          <w:kern w:val="0"/>
          <w:sz w:val="24"/>
          <w:szCs w:val="24"/>
        </w:rPr>
        <w:t>聚居点布局</w:t>
      </w:r>
    </w:p>
    <w:p>
      <w:pPr>
        <w:adjustRightInd w:val="0"/>
        <w:snapToGrid w:val="0"/>
        <w:spacing w:line="360" w:lineRule="auto"/>
        <w:ind w:firstLine="482" w:firstLineChars="200"/>
        <w:rPr>
          <w:rFonts w:cs="Times New Roman" w:asciiTheme="minorEastAsia" w:hAnsiTheme="minorEastAsia"/>
          <w:b/>
          <w:kern w:val="0"/>
          <w:sz w:val="24"/>
          <w:szCs w:val="24"/>
          <w:u w:val="single"/>
        </w:rPr>
      </w:pPr>
      <w:r>
        <w:rPr>
          <w:rFonts w:eastAsia="宋体" w:cs="Times New Roman" w:asciiTheme="minorEastAsia" w:hAnsiTheme="minorEastAsia"/>
          <w:b/>
          <w:kern w:val="0"/>
          <w:sz w:val="24"/>
          <w:szCs w:val="24"/>
          <w:u w:val="single"/>
        </w:rPr>
        <w:t>在现状集聚规模较大的散居点基础上</w:t>
      </w:r>
      <w:r>
        <w:rPr>
          <w:rFonts w:hint="eastAsia" w:eastAsia="宋体" w:cs="Times New Roman" w:asciiTheme="minorEastAsia" w:hAnsiTheme="minorEastAsia"/>
          <w:b/>
          <w:kern w:val="0"/>
          <w:sz w:val="24"/>
          <w:szCs w:val="24"/>
          <w:u w:val="single"/>
        </w:rPr>
        <w:t>改造</w:t>
      </w:r>
      <w:r>
        <w:rPr>
          <w:rFonts w:eastAsia="宋体" w:cs="Times New Roman" w:asciiTheme="minorEastAsia" w:hAnsiTheme="minorEastAsia"/>
          <w:b/>
          <w:kern w:val="0"/>
          <w:sz w:val="24"/>
          <w:szCs w:val="24"/>
          <w:u w:val="single"/>
        </w:rPr>
        <w:t>扩建</w:t>
      </w:r>
      <w:r>
        <w:rPr>
          <w:rFonts w:hint="eastAsia" w:eastAsia="宋体" w:cs="Times New Roman" w:asciiTheme="minorEastAsia" w:hAnsiTheme="minorEastAsia"/>
          <w:b/>
          <w:kern w:val="0"/>
          <w:sz w:val="24"/>
          <w:szCs w:val="24"/>
          <w:u w:val="single"/>
        </w:rPr>
        <w:t>334个居民点</w:t>
      </w:r>
      <w:r>
        <w:rPr>
          <w:rFonts w:eastAsia="宋体" w:cs="Times New Roman" w:asciiTheme="minorEastAsia" w:hAnsiTheme="minorEastAsia"/>
          <w:b/>
          <w:kern w:val="0"/>
          <w:sz w:val="24"/>
          <w:szCs w:val="24"/>
          <w:u w:val="single"/>
        </w:rPr>
        <w:t>、规划新增</w:t>
      </w:r>
      <w:r>
        <w:rPr>
          <w:rFonts w:hint="eastAsia" w:eastAsia="宋体" w:cs="Times New Roman" w:asciiTheme="minorEastAsia" w:hAnsiTheme="minorEastAsia"/>
          <w:b/>
          <w:kern w:val="0"/>
          <w:sz w:val="24"/>
          <w:szCs w:val="24"/>
          <w:u w:val="single"/>
        </w:rPr>
        <w:t>23</w:t>
      </w:r>
      <w:r>
        <w:rPr>
          <w:rFonts w:eastAsia="宋体" w:cs="Times New Roman" w:asciiTheme="minorEastAsia" w:hAnsiTheme="minorEastAsia"/>
          <w:b/>
          <w:kern w:val="0"/>
          <w:sz w:val="24"/>
          <w:szCs w:val="24"/>
          <w:u w:val="single"/>
        </w:rPr>
        <w:t>个居民点，片区形成3个镇区</w:t>
      </w:r>
      <w:r>
        <w:rPr>
          <w:rFonts w:hint="eastAsia" w:eastAsia="宋体" w:cs="Times New Roman" w:asciiTheme="minorEastAsia" w:hAnsiTheme="minorEastAsia"/>
          <w:b/>
          <w:kern w:val="0"/>
          <w:sz w:val="24"/>
          <w:szCs w:val="24"/>
          <w:u w:val="single"/>
        </w:rPr>
        <w:t>334</w:t>
      </w:r>
      <w:r>
        <w:rPr>
          <w:rFonts w:eastAsia="宋体" w:cs="Times New Roman" w:asciiTheme="minorEastAsia" w:hAnsiTheme="minorEastAsia"/>
          <w:b/>
          <w:kern w:val="0"/>
          <w:sz w:val="24"/>
          <w:szCs w:val="24"/>
          <w:u w:val="single"/>
        </w:rPr>
        <w:t>个乡村聚居点、多个</w:t>
      </w:r>
      <w:r>
        <w:rPr>
          <w:rFonts w:hint="eastAsia" w:eastAsia="宋体" w:cs="Times New Roman" w:asciiTheme="minorEastAsia" w:hAnsiTheme="minorEastAsia"/>
          <w:b/>
          <w:kern w:val="0"/>
          <w:sz w:val="24"/>
          <w:szCs w:val="24"/>
          <w:u w:val="single"/>
        </w:rPr>
        <w:t>具体川中特色</w:t>
      </w:r>
      <w:r>
        <w:rPr>
          <w:rFonts w:eastAsia="宋体" w:cs="Times New Roman" w:asciiTheme="minorEastAsia" w:hAnsiTheme="minorEastAsia"/>
          <w:b/>
          <w:kern w:val="0"/>
          <w:sz w:val="24"/>
          <w:szCs w:val="24"/>
          <w:u w:val="single"/>
        </w:rPr>
        <w:t>散居点的居住空间</w:t>
      </w:r>
      <w:r>
        <w:rPr>
          <w:rFonts w:hint="eastAsia" w:eastAsia="宋体" w:cs="Times New Roman" w:asciiTheme="minorEastAsia" w:hAnsiTheme="minorEastAsia"/>
          <w:b/>
          <w:kern w:val="0"/>
          <w:sz w:val="24"/>
          <w:szCs w:val="24"/>
          <w:u w:val="single"/>
        </w:rPr>
        <w:t>格局，新增聚居人口4.58万人</w:t>
      </w:r>
      <w:r>
        <w:rPr>
          <w:rFonts w:eastAsia="宋体" w:cs="Times New Roman" w:asciiTheme="minorEastAsia" w:hAnsiTheme="minorEastAsia"/>
          <w:b/>
          <w:kern w:val="0"/>
          <w:sz w:val="24"/>
          <w:szCs w:val="24"/>
          <w:u w:val="single"/>
        </w:rPr>
        <w:t>,聚居总人口达</w:t>
      </w:r>
      <w:r>
        <w:rPr>
          <w:rFonts w:hint="eastAsia" w:eastAsia="宋体" w:cs="Times New Roman" w:asciiTheme="minorEastAsia" w:hAnsiTheme="minorEastAsia"/>
          <w:b/>
          <w:kern w:val="0"/>
          <w:sz w:val="24"/>
          <w:szCs w:val="24"/>
          <w:u w:val="single"/>
        </w:rPr>
        <w:t>8.04</w:t>
      </w:r>
      <w:r>
        <w:rPr>
          <w:rFonts w:eastAsia="宋体" w:cs="Times New Roman" w:asciiTheme="minorEastAsia" w:hAnsiTheme="minorEastAsia"/>
          <w:b/>
          <w:kern w:val="0"/>
          <w:sz w:val="24"/>
          <w:szCs w:val="24"/>
          <w:u w:val="single"/>
        </w:rPr>
        <w:t>万人，聚居度达</w:t>
      </w:r>
      <w:r>
        <w:rPr>
          <w:rFonts w:hint="eastAsia" w:eastAsia="宋体" w:cs="Times New Roman" w:asciiTheme="minorEastAsia" w:hAnsiTheme="minorEastAsia"/>
          <w:b/>
          <w:kern w:val="0"/>
          <w:sz w:val="24"/>
          <w:szCs w:val="24"/>
          <w:u w:val="single"/>
        </w:rPr>
        <w:t>74.86</w:t>
      </w:r>
      <w:r>
        <w:rPr>
          <w:rFonts w:eastAsia="宋体" w:cs="Times New Roman" w:asciiTheme="minorEastAsia" w:hAnsiTheme="minorEastAsia"/>
          <w:b/>
          <w:kern w:val="0"/>
          <w:sz w:val="24"/>
          <w:szCs w:val="24"/>
          <w:u w:val="single"/>
        </w:rPr>
        <w:t>%</w:t>
      </w:r>
      <w:r>
        <w:rPr>
          <w:rFonts w:hint="eastAsia" w:eastAsia="宋体" w:cs="Times New Roman" w:asciiTheme="minorEastAsia" w:hAnsiTheme="minorEastAsia"/>
          <w:b/>
          <w:kern w:val="0"/>
          <w:sz w:val="24"/>
          <w:szCs w:val="24"/>
          <w:u w:val="single"/>
        </w:rPr>
        <w:t>；新增</w:t>
      </w:r>
      <w:r>
        <w:rPr>
          <w:rFonts w:eastAsia="宋体" w:cs="Times New Roman" w:asciiTheme="minorEastAsia" w:hAnsiTheme="minorEastAsia"/>
          <w:b/>
          <w:kern w:val="0"/>
          <w:sz w:val="24"/>
          <w:szCs w:val="24"/>
          <w:u w:val="single"/>
        </w:rPr>
        <w:t>聚居点建设用地</w:t>
      </w:r>
      <w:r>
        <w:rPr>
          <w:rFonts w:hint="eastAsia" w:eastAsia="宋体" w:cs="Times New Roman" w:asciiTheme="minorEastAsia" w:hAnsiTheme="minorEastAsia"/>
          <w:b/>
          <w:kern w:val="0"/>
          <w:sz w:val="24"/>
          <w:szCs w:val="24"/>
          <w:u w:val="single"/>
        </w:rPr>
        <w:t>320.70</w:t>
      </w:r>
      <w:r>
        <w:rPr>
          <w:rFonts w:eastAsia="宋体" w:cs="Times New Roman" w:asciiTheme="minorEastAsia" w:hAnsiTheme="minorEastAsia"/>
          <w:b/>
          <w:kern w:val="0"/>
          <w:sz w:val="24"/>
          <w:szCs w:val="24"/>
          <w:u w:val="single"/>
        </w:rPr>
        <w:t>公顷。</w:t>
      </w:r>
    </w:p>
    <w:p>
      <w:pPr>
        <w:adjustRightInd w:val="0"/>
        <w:snapToGrid w:val="0"/>
        <w:spacing w:line="360" w:lineRule="auto"/>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片区</w:t>
      </w:r>
      <w:r>
        <w:rPr>
          <w:rFonts w:hint="eastAsia" w:eastAsia="宋体" w:cs="Times New Roman" w:asciiTheme="minorEastAsia" w:hAnsiTheme="minorEastAsia"/>
          <w:kern w:val="0"/>
          <w:sz w:val="24"/>
          <w:szCs w:val="24"/>
        </w:rPr>
        <w:t>聚居点</w:t>
      </w:r>
      <w:r>
        <w:rPr>
          <w:rFonts w:eastAsia="宋体" w:cs="Times New Roman" w:asciiTheme="minorEastAsia" w:hAnsiTheme="minorEastAsia"/>
          <w:kern w:val="0"/>
          <w:sz w:val="24"/>
          <w:szCs w:val="24"/>
        </w:rPr>
        <w:t>一览表</w:t>
      </w:r>
      <w:r>
        <w:rPr>
          <w:rFonts w:hint="eastAsia" w:eastAsia="宋体" w:cs="Times New Roman" w:asciiTheme="minorEastAsia" w:hAnsiTheme="minorEastAsia"/>
          <w:kern w:val="0"/>
          <w:sz w:val="24"/>
          <w:szCs w:val="24"/>
        </w:rPr>
        <w:t>：</w:t>
      </w:r>
    </w:p>
    <w:tbl>
      <w:tblPr>
        <w:tblStyle w:val="16"/>
        <w:tblW w:w="7660" w:type="dxa"/>
        <w:tblInd w:w="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0"/>
        <w:gridCol w:w="1280"/>
        <w:gridCol w:w="1460"/>
        <w:gridCol w:w="1400"/>
        <w:gridCol w:w="1080"/>
        <w:gridCol w:w="1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vMerge w:val="restart"/>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乡镇名称</w:t>
            </w:r>
          </w:p>
        </w:tc>
        <w:tc>
          <w:tcPr>
            <w:tcW w:w="1280" w:type="dxa"/>
            <w:vMerge w:val="restart"/>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片区名</w:t>
            </w:r>
          </w:p>
        </w:tc>
        <w:tc>
          <w:tcPr>
            <w:tcW w:w="146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扩建居民点</w:t>
            </w:r>
          </w:p>
        </w:tc>
        <w:tc>
          <w:tcPr>
            <w:tcW w:w="140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新增居民点</w:t>
            </w:r>
          </w:p>
        </w:tc>
        <w:tc>
          <w:tcPr>
            <w:tcW w:w="108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容纳人口</w:t>
            </w:r>
          </w:p>
        </w:tc>
        <w:tc>
          <w:tcPr>
            <w:tcW w:w="136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vMerge w:val="continue"/>
            <w:vAlign w:val="center"/>
          </w:tcPr>
          <w:p>
            <w:pPr>
              <w:widowControl/>
              <w:jc w:val="left"/>
              <w:rPr>
                <w:rFonts w:cs="宋体" w:asciiTheme="minorEastAsia" w:hAnsiTheme="minorEastAsia"/>
                <w:kern w:val="0"/>
                <w:szCs w:val="21"/>
              </w:rPr>
            </w:pPr>
          </w:p>
        </w:tc>
        <w:tc>
          <w:tcPr>
            <w:tcW w:w="1280" w:type="dxa"/>
            <w:vMerge w:val="continue"/>
            <w:vAlign w:val="center"/>
          </w:tcPr>
          <w:p>
            <w:pPr>
              <w:widowControl/>
              <w:jc w:val="left"/>
              <w:rPr>
                <w:rFonts w:cs="宋体" w:asciiTheme="minorEastAsia" w:hAnsiTheme="minorEastAsia"/>
                <w:kern w:val="0"/>
                <w:szCs w:val="21"/>
              </w:rPr>
            </w:pPr>
          </w:p>
        </w:tc>
        <w:tc>
          <w:tcPr>
            <w:tcW w:w="146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（个）</w:t>
            </w:r>
          </w:p>
        </w:tc>
        <w:tc>
          <w:tcPr>
            <w:tcW w:w="140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（个）</w:t>
            </w:r>
          </w:p>
        </w:tc>
        <w:tc>
          <w:tcPr>
            <w:tcW w:w="108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（万人）</w:t>
            </w:r>
          </w:p>
        </w:tc>
        <w:tc>
          <w:tcPr>
            <w:tcW w:w="136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（公顷）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vMerge w:val="restart"/>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河边镇</w:t>
            </w:r>
          </w:p>
        </w:tc>
        <w:tc>
          <w:tcPr>
            <w:tcW w:w="128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坤龙片区</w:t>
            </w:r>
          </w:p>
        </w:tc>
        <w:tc>
          <w:tcPr>
            <w:tcW w:w="146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35</w:t>
            </w:r>
          </w:p>
        </w:tc>
        <w:tc>
          <w:tcPr>
            <w:tcW w:w="140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0</w:t>
            </w:r>
          </w:p>
        </w:tc>
        <w:tc>
          <w:tcPr>
            <w:tcW w:w="108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0.86</w:t>
            </w:r>
          </w:p>
        </w:tc>
        <w:tc>
          <w:tcPr>
            <w:tcW w:w="1360" w:type="dxa"/>
            <w:shd w:val="clear" w:color="auto" w:fill="auto"/>
            <w:noWrap/>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69.17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vMerge w:val="continue"/>
            <w:vAlign w:val="center"/>
          </w:tcPr>
          <w:p>
            <w:pPr>
              <w:widowControl/>
              <w:jc w:val="left"/>
              <w:rPr>
                <w:rFonts w:cs="宋体" w:asciiTheme="minorEastAsia" w:hAnsiTheme="minorEastAsia"/>
                <w:kern w:val="0"/>
                <w:szCs w:val="21"/>
              </w:rPr>
            </w:pPr>
          </w:p>
        </w:tc>
        <w:tc>
          <w:tcPr>
            <w:tcW w:w="128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牌坊片区</w:t>
            </w:r>
          </w:p>
        </w:tc>
        <w:tc>
          <w:tcPr>
            <w:tcW w:w="146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22</w:t>
            </w:r>
          </w:p>
        </w:tc>
        <w:tc>
          <w:tcPr>
            <w:tcW w:w="140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2</w:t>
            </w:r>
          </w:p>
        </w:tc>
        <w:tc>
          <w:tcPr>
            <w:tcW w:w="108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0.50</w:t>
            </w:r>
          </w:p>
        </w:tc>
        <w:tc>
          <w:tcPr>
            <w:tcW w:w="1360" w:type="dxa"/>
            <w:shd w:val="clear" w:color="auto" w:fill="auto"/>
            <w:noWrap/>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29.93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vMerge w:val="continue"/>
            <w:vAlign w:val="center"/>
          </w:tcPr>
          <w:p>
            <w:pPr>
              <w:widowControl/>
              <w:jc w:val="left"/>
              <w:rPr>
                <w:rFonts w:cs="宋体" w:asciiTheme="minorEastAsia" w:hAnsiTheme="minorEastAsia"/>
                <w:kern w:val="0"/>
                <w:szCs w:val="21"/>
              </w:rPr>
            </w:pPr>
          </w:p>
        </w:tc>
        <w:tc>
          <w:tcPr>
            <w:tcW w:w="128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前进片区</w:t>
            </w:r>
          </w:p>
        </w:tc>
        <w:tc>
          <w:tcPr>
            <w:tcW w:w="146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33</w:t>
            </w:r>
          </w:p>
        </w:tc>
        <w:tc>
          <w:tcPr>
            <w:tcW w:w="140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2</w:t>
            </w:r>
          </w:p>
        </w:tc>
        <w:tc>
          <w:tcPr>
            <w:tcW w:w="108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0.71</w:t>
            </w:r>
          </w:p>
        </w:tc>
        <w:tc>
          <w:tcPr>
            <w:tcW w:w="1360" w:type="dxa"/>
            <w:shd w:val="clear" w:color="auto" w:fill="auto"/>
            <w:noWrap/>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56.85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vMerge w:val="continue"/>
            <w:vAlign w:val="center"/>
          </w:tcPr>
          <w:p>
            <w:pPr>
              <w:widowControl/>
              <w:jc w:val="left"/>
              <w:rPr>
                <w:rFonts w:cs="宋体" w:asciiTheme="minorEastAsia" w:hAnsiTheme="minorEastAsia"/>
                <w:kern w:val="0"/>
                <w:szCs w:val="21"/>
              </w:rPr>
            </w:pPr>
          </w:p>
        </w:tc>
        <w:tc>
          <w:tcPr>
            <w:tcW w:w="128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梁家片区</w:t>
            </w:r>
          </w:p>
        </w:tc>
        <w:tc>
          <w:tcPr>
            <w:tcW w:w="146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15</w:t>
            </w:r>
          </w:p>
        </w:tc>
        <w:tc>
          <w:tcPr>
            <w:tcW w:w="140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2</w:t>
            </w:r>
          </w:p>
        </w:tc>
        <w:tc>
          <w:tcPr>
            <w:tcW w:w="108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0.50</w:t>
            </w:r>
          </w:p>
        </w:tc>
        <w:tc>
          <w:tcPr>
            <w:tcW w:w="1360" w:type="dxa"/>
            <w:shd w:val="clear" w:color="auto" w:fill="auto"/>
            <w:noWrap/>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27.12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vMerge w:val="continue"/>
            <w:vAlign w:val="center"/>
          </w:tcPr>
          <w:p>
            <w:pPr>
              <w:widowControl/>
              <w:jc w:val="left"/>
              <w:rPr>
                <w:rFonts w:cs="宋体" w:asciiTheme="minorEastAsia" w:hAnsiTheme="minorEastAsia"/>
                <w:kern w:val="0"/>
                <w:szCs w:val="21"/>
              </w:rPr>
            </w:pPr>
          </w:p>
        </w:tc>
        <w:tc>
          <w:tcPr>
            <w:tcW w:w="128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地风井片区</w:t>
            </w:r>
          </w:p>
        </w:tc>
        <w:tc>
          <w:tcPr>
            <w:tcW w:w="146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24</w:t>
            </w:r>
          </w:p>
        </w:tc>
        <w:tc>
          <w:tcPr>
            <w:tcW w:w="140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1</w:t>
            </w:r>
          </w:p>
        </w:tc>
        <w:tc>
          <w:tcPr>
            <w:tcW w:w="108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0.69</w:t>
            </w:r>
          </w:p>
        </w:tc>
        <w:tc>
          <w:tcPr>
            <w:tcW w:w="1360" w:type="dxa"/>
            <w:shd w:val="clear" w:color="auto" w:fill="auto"/>
            <w:noWrap/>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55.37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vMerge w:val="restart"/>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玉峰镇</w:t>
            </w:r>
          </w:p>
        </w:tc>
        <w:tc>
          <w:tcPr>
            <w:tcW w:w="128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团结片区</w:t>
            </w:r>
          </w:p>
        </w:tc>
        <w:tc>
          <w:tcPr>
            <w:tcW w:w="146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25</w:t>
            </w:r>
          </w:p>
        </w:tc>
        <w:tc>
          <w:tcPr>
            <w:tcW w:w="140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4</w:t>
            </w:r>
          </w:p>
        </w:tc>
        <w:tc>
          <w:tcPr>
            <w:tcW w:w="108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0.73</w:t>
            </w:r>
          </w:p>
        </w:tc>
        <w:tc>
          <w:tcPr>
            <w:tcW w:w="1360" w:type="dxa"/>
            <w:shd w:val="clear" w:color="auto" w:fill="auto"/>
            <w:noWrap/>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58.42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vMerge w:val="continue"/>
            <w:vAlign w:val="center"/>
          </w:tcPr>
          <w:p>
            <w:pPr>
              <w:widowControl/>
              <w:jc w:val="left"/>
              <w:rPr>
                <w:rFonts w:cs="宋体" w:asciiTheme="minorEastAsia" w:hAnsiTheme="minorEastAsia"/>
                <w:kern w:val="0"/>
                <w:szCs w:val="21"/>
              </w:rPr>
            </w:pPr>
          </w:p>
        </w:tc>
        <w:tc>
          <w:tcPr>
            <w:tcW w:w="128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玉峰片区</w:t>
            </w:r>
          </w:p>
        </w:tc>
        <w:tc>
          <w:tcPr>
            <w:tcW w:w="146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37</w:t>
            </w:r>
          </w:p>
        </w:tc>
        <w:tc>
          <w:tcPr>
            <w:tcW w:w="140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0</w:t>
            </w:r>
          </w:p>
        </w:tc>
        <w:tc>
          <w:tcPr>
            <w:tcW w:w="108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0.70</w:t>
            </w:r>
          </w:p>
        </w:tc>
        <w:tc>
          <w:tcPr>
            <w:tcW w:w="1360" w:type="dxa"/>
            <w:shd w:val="clear" w:color="auto" w:fill="auto"/>
            <w:noWrap/>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56.01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vMerge w:val="continue"/>
            <w:vAlign w:val="center"/>
          </w:tcPr>
          <w:p>
            <w:pPr>
              <w:widowControl/>
              <w:jc w:val="left"/>
              <w:rPr>
                <w:rFonts w:cs="宋体" w:asciiTheme="minorEastAsia" w:hAnsiTheme="minorEastAsia"/>
                <w:kern w:val="0"/>
                <w:szCs w:val="21"/>
              </w:rPr>
            </w:pPr>
          </w:p>
        </w:tc>
        <w:tc>
          <w:tcPr>
            <w:tcW w:w="128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方平沟片区</w:t>
            </w:r>
          </w:p>
        </w:tc>
        <w:tc>
          <w:tcPr>
            <w:tcW w:w="146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29</w:t>
            </w:r>
          </w:p>
        </w:tc>
        <w:tc>
          <w:tcPr>
            <w:tcW w:w="140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2</w:t>
            </w:r>
          </w:p>
        </w:tc>
        <w:tc>
          <w:tcPr>
            <w:tcW w:w="108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0.63</w:t>
            </w:r>
          </w:p>
        </w:tc>
        <w:tc>
          <w:tcPr>
            <w:tcW w:w="1360" w:type="dxa"/>
            <w:shd w:val="clear" w:color="auto" w:fill="auto"/>
            <w:noWrap/>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44.11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vMerge w:val="continue"/>
            <w:vAlign w:val="center"/>
          </w:tcPr>
          <w:p>
            <w:pPr>
              <w:widowControl/>
              <w:jc w:val="left"/>
              <w:rPr>
                <w:rFonts w:cs="宋体" w:asciiTheme="minorEastAsia" w:hAnsiTheme="minorEastAsia"/>
                <w:kern w:val="0"/>
                <w:szCs w:val="21"/>
              </w:rPr>
            </w:pPr>
          </w:p>
        </w:tc>
        <w:tc>
          <w:tcPr>
            <w:tcW w:w="128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斗笠片区</w:t>
            </w:r>
          </w:p>
        </w:tc>
        <w:tc>
          <w:tcPr>
            <w:tcW w:w="146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14</w:t>
            </w:r>
          </w:p>
        </w:tc>
        <w:tc>
          <w:tcPr>
            <w:tcW w:w="140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5</w:t>
            </w:r>
          </w:p>
        </w:tc>
        <w:tc>
          <w:tcPr>
            <w:tcW w:w="108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0.38</w:t>
            </w:r>
          </w:p>
        </w:tc>
        <w:tc>
          <w:tcPr>
            <w:tcW w:w="1360" w:type="dxa"/>
            <w:shd w:val="clear" w:color="auto" w:fill="auto"/>
            <w:noWrap/>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26.53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vMerge w:val="continue"/>
            <w:vAlign w:val="center"/>
          </w:tcPr>
          <w:p>
            <w:pPr>
              <w:widowControl/>
              <w:jc w:val="left"/>
              <w:rPr>
                <w:rFonts w:cs="宋体" w:asciiTheme="minorEastAsia" w:hAnsiTheme="minorEastAsia"/>
                <w:kern w:val="0"/>
                <w:szCs w:val="21"/>
              </w:rPr>
            </w:pPr>
          </w:p>
        </w:tc>
        <w:tc>
          <w:tcPr>
            <w:tcW w:w="128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智水片区</w:t>
            </w:r>
          </w:p>
        </w:tc>
        <w:tc>
          <w:tcPr>
            <w:tcW w:w="146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30</w:t>
            </w:r>
          </w:p>
        </w:tc>
        <w:tc>
          <w:tcPr>
            <w:tcW w:w="140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1</w:t>
            </w:r>
          </w:p>
        </w:tc>
        <w:tc>
          <w:tcPr>
            <w:tcW w:w="108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0.62</w:t>
            </w:r>
          </w:p>
        </w:tc>
        <w:tc>
          <w:tcPr>
            <w:tcW w:w="1360" w:type="dxa"/>
            <w:shd w:val="clear" w:color="auto" w:fill="auto"/>
            <w:noWrap/>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43.20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vMerge w:val="restart"/>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象山镇</w:t>
            </w:r>
          </w:p>
        </w:tc>
        <w:tc>
          <w:tcPr>
            <w:tcW w:w="128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象山片区</w:t>
            </w:r>
          </w:p>
        </w:tc>
        <w:tc>
          <w:tcPr>
            <w:tcW w:w="146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36</w:t>
            </w:r>
          </w:p>
        </w:tc>
        <w:tc>
          <w:tcPr>
            <w:tcW w:w="140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1</w:t>
            </w:r>
          </w:p>
        </w:tc>
        <w:tc>
          <w:tcPr>
            <w:tcW w:w="108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0.85</w:t>
            </w:r>
          </w:p>
        </w:tc>
        <w:tc>
          <w:tcPr>
            <w:tcW w:w="1360" w:type="dxa"/>
            <w:shd w:val="clear" w:color="auto" w:fill="auto"/>
            <w:noWrap/>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59.34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80" w:type="dxa"/>
            <w:vMerge w:val="continue"/>
            <w:vAlign w:val="center"/>
          </w:tcPr>
          <w:p>
            <w:pPr>
              <w:widowControl/>
              <w:jc w:val="left"/>
              <w:rPr>
                <w:rFonts w:cs="宋体" w:asciiTheme="minorEastAsia" w:hAnsiTheme="minorEastAsia"/>
                <w:kern w:val="0"/>
                <w:szCs w:val="21"/>
              </w:rPr>
            </w:pPr>
          </w:p>
        </w:tc>
        <w:tc>
          <w:tcPr>
            <w:tcW w:w="128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永乐片区</w:t>
            </w:r>
          </w:p>
        </w:tc>
        <w:tc>
          <w:tcPr>
            <w:tcW w:w="146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34</w:t>
            </w:r>
          </w:p>
        </w:tc>
        <w:tc>
          <w:tcPr>
            <w:tcW w:w="140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3</w:t>
            </w:r>
          </w:p>
        </w:tc>
        <w:tc>
          <w:tcPr>
            <w:tcW w:w="108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0.87</w:t>
            </w:r>
          </w:p>
        </w:tc>
        <w:tc>
          <w:tcPr>
            <w:tcW w:w="1360" w:type="dxa"/>
            <w:shd w:val="clear" w:color="auto" w:fill="auto"/>
            <w:noWrap/>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60.88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360" w:type="dxa"/>
            <w:gridSpan w:val="2"/>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合计</w:t>
            </w:r>
          </w:p>
        </w:tc>
        <w:tc>
          <w:tcPr>
            <w:tcW w:w="146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334</w:t>
            </w:r>
          </w:p>
        </w:tc>
        <w:tc>
          <w:tcPr>
            <w:tcW w:w="140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23</w:t>
            </w:r>
          </w:p>
        </w:tc>
        <w:tc>
          <w:tcPr>
            <w:tcW w:w="108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8.04</w:t>
            </w:r>
          </w:p>
        </w:tc>
        <w:tc>
          <w:tcPr>
            <w:tcW w:w="1360" w:type="dxa"/>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586.93</w:t>
            </w:r>
          </w:p>
        </w:tc>
      </w:tr>
    </w:tbl>
    <w:p>
      <w:pPr>
        <w:pStyle w:val="36"/>
        <w:numPr>
          <w:ilvl w:val="0"/>
          <w:numId w:val="5"/>
        </w:numPr>
        <w:spacing w:beforeLines="50" w:afterLines="50"/>
        <w:ind w:firstLineChars="0"/>
        <w:jc w:val="center"/>
        <w:rPr>
          <w:rFonts w:ascii="黑体" w:hAnsi="黑体" w:eastAsia="黑体"/>
          <w:b w:val="0"/>
          <w:kern w:val="2"/>
        </w:rPr>
      </w:pPr>
      <w:bookmarkStart w:id="21" w:name="_Toc166772170"/>
      <w:r>
        <w:rPr>
          <w:rFonts w:hint="eastAsia" w:ascii="黑体" w:hAnsi="黑体" w:eastAsia="黑体"/>
          <w:b w:val="0"/>
          <w:kern w:val="2"/>
        </w:rPr>
        <w:t>用地布局优化调整</w:t>
      </w:r>
      <w:bookmarkEnd w:id="21"/>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为实现土地资源的优化配置，提高土地资源利用效率，根据规划期内全县经济发展水平预测及土地利用任务目标分解</w:t>
      </w:r>
      <w:r>
        <w:rPr>
          <w:rFonts w:hint="eastAsia" w:eastAsia="宋体" w:cs="Times New Roman" w:asciiTheme="minorEastAsia" w:hAnsiTheme="minorEastAsia"/>
          <w:kern w:val="0"/>
          <w:sz w:val="24"/>
          <w:szCs w:val="24"/>
        </w:rPr>
        <w:t xml:space="preserve">，通过全面部署各相关规划用地需求，确保红线、底线指标不突破，城镇规模、空间结构不走样，坚决遏制耕地“非农化”“非粮化”。实现农用地增量提质、生态布局优化、建设减量增效，确保一张蓝图干到底。 </w:t>
      </w:r>
    </w:p>
    <w:p>
      <w:pPr>
        <w:adjustRightInd w:val="0"/>
        <w:snapToGrid w:val="0"/>
        <w:spacing w:line="360" w:lineRule="auto"/>
        <w:ind w:firstLine="482" w:firstLineChars="200"/>
        <w:rPr>
          <w:rFonts w:ascii="黑体" w:hAnsi="黑体" w:eastAsia="黑体" w:cs="Times New Roman"/>
          <w:b/>
          <w:kern w:val="0"/>
          <w:sz w:val="24"/>
          <w:szCs w:val="24"/>
        </w:rPr>
      </w:pPr>
      <w:r>
        <w:rPr>
          <w:rFonts w:hint="eastAsia" w:ascii="黑体" w:hAnsi="黑体" w:eastAsia="黑体" w:cs="Times New Roman"/>
          <w:b/>
          <w:kern w:val="0"/>
          <w:sz w:val="24"/>
          <w:szCs w:val="24"/>
        </w:rPr>
        <w:t>一、优化调整国土用途的思路</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（一）</w:t>
      </w:r>
      <w:r>
        <w:rPr>
          <w:rFonts w:eastAsia="宋体" w:cs="Times New Roman" w:asciiTheme="minorEastAsia" w:hAnsiTheme="minorEastAsia"/>
          <w:b/>
          <w:kern w:val="0"/>
          <w:sz w:val="24"/>
          <w:szCs w:val="24"/>
        </w:rPr>
        <w:t xml:space="preserve">调整思路 </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全面贯彻落实生态文明理念，提高建设用地集约节约水平。以保障耕地资源、盘活存量为重点，优先保障耕地规模，合理满足新增建设用地需求为策略，</w:t>
      </w:r>
      <w:r>
        <w:rPr>
          <w:rFonts w:hint="eastAsia" w:eastAsia="宋体" w:cs="Times New Roman" w:asciiTheme="minorEastAsia" w:hAnsiTheme="minorEastAsia"/>
          <w:kern w:val="0"/>
          <w:sz w:val="24"/>
          <w:szCs w:val="24"/>
        </w:rPr>
        <w:t>加强土地整理和闲置用地更新，实现存量优化、流量增效，</w:t>
      </w:r>
      <w:r>
        <w:rPr>
          <w:rFonts w:eastAsia="宋体" w:cs="Times New Roman" w:asciiTheme="minorEastAsia" w:hAnsiTheme="minorEastAsia"/>
          <w:kern w:val="0"/>
          <w:sz w:val="24"/>
          <w:szCs w:val="24"/>
        </w:rPr>
        <w:t xml:space="preserve">明确土地用途结构调整内容。 </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（二）</w:t>
      </w:r>
      <w:r>
        <w:rPr>
          <w:rFonts w:eastAsia="宋体" w:cs="Times New Roman" w:asciiTheme="minorEastAsia" w:hAnsiTheme="minorEastAsia"/>
          <w:b/>
          <w:kern w:val="0"/>
          <w:sz w:val="24"/>
          <w:szCs w:val="24"/>
        </w:rPr>
        <w:t xml:space="preserve">调整原则 </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坚持保障耕地面积不减少、永久基本农田</w:t>
      </w:r>
      <w:r>
        <w:rPr>
          <w:rFonts w:hint="eastAsia" w:eastAsia="宋体" w:cs="Times New Roman" w:asciiTheme="minorEastAsia" w:hAnsiTheme="minorEastAsia"/>
          <w:kern w:val="0"/>
          <w:sz w:val="24"/>
          <w:szCs w:val="24"/>
        </w:rPr>
        <w:t>质量</w:t>
      </w:r>
      <w:r>
        <w:rPr>
          <w:rFonts w:eastAsia="宋体" w:cs="Times New Roman" w:asciiTheme="minorEastAsia" w:hAnsiTheme="minorEastAsia"/>
          <w:kern w:val="0"/>
          <w:sz w:val="24"/>
          <w:szCs w:val="24"/>
        </w:rPr>
        <w:t>不降低，生态功能不减弱，建设用地强度不过度。</w:t>
      </w:r>
      <w:r>
        <w:rPr>
          <w:rFonts w:hint="eastAsia" w:eastAsia="宋体" w:cs="Times New Roman" w:asciiTheme="minorEastAsia" w:hAnsiTheme="minorEastAsia"/>
          <w:kern w:val="0"/>
          <w:sz w:val="24"/>
          <w:szCs w:val="24"/>
        </w:rPr>
        <w:t>采取</w:t>
      </w:r>
      <w:r>
        <w:rPr>
          <w:rFonts w:eastAsia="宋体" w:cs="Times New Roman" w:asciiTheme="minorEastAsia" w:hAnsiTheme="minorEastAsia"/>
          <w:kern w:val="0"/>
          <w:sz w:val="24"/>
          <w:szCs w:val="24"/>
        </w:rPr>
        <w:t>“永久基本农田＋一般耕地”的用途管制，保护优质耕地，提高水资源保障能力和保护具有生态功能的自然保护地，盘活存量、用好流量，合理开发新增建设用地，优化城乡内部结构，提高民生用地保障和服务水平，保障产业用地供应，适度调整城乡建设用地比例，提高用地效率，合理预留建设用地规模。</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（三）</w:t>
      </w:r>
      <w:r>
        <w:rPr>
          <w:rFonts w:eastAsia="宋体" w:cs="Times New Roman" w:asciiTheme="minorEastAsia" w:hAnsiTheme="minorEastAsia"/>
          <w:b/>
          <w:kern w:val="0"/>
          <w:sz w:val="24"/>
          <w:szCs w:val="24"/>
        </w:rPr>
        <w:t xml:space="preserve">合理规划用地布局 </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结合成遂协同绿色发展片区实际情况，按照农业用地</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生态用地、基础设施用地、城镇和工矿用地的优先级进行统筹安排，合理进行规划用地布局。</w:t>
      </w:r>
    </w:p>
    <w:p>
      <w:pPr>
        <w:adjustRightInd w:val="0"/>
        <w:snapToGrid w:val="0"/>
        <w:spacing w:line="360" w:lineRule="auto"/>
        <w:ind w:firstLine="482" w:firstLineChars="200"/>
        <w:rPr>
          <w:rFonts w:ascii="黑体" w:hAnsi="黑体" w:eastAsia="黑体" w:cs="Times New Roman"/>
          <w:b/>
          <w:kern w:val="0"/>
          <w:sz w:val="24"/>
          <w:szCs w:val="24"/>
        </w:rPr>
      </w:pPr>
      <w:r>
        <w:rPr>
          <w:rFonts w:hint="eastAsia" w:ascii="黑体" w:hAnsi="黑体" w:eastAsia="黑体" w:cs="Times New Roman"/>
          <w:b/>
          <w:kern w:val="0"/>
          <w:sz w:val="24"/>
          <w:szCs w:val="24"/>
        </w:rPr>
        <w:t>二、农</w:t>
      </w:r>
      <w:r>
        <w:rPr>
          <w:rFonts w:ascii="黑体" w:hAnsi="黑体" w:eastAsia="黑体" w:cs="Times New Roman"/>
          <w:b/>
          <w:kern w:val="0"/>
          <w:sz w:val="24"/>
          <w:szCs w:val="24"/>
        </w:rPr>
        <w:t>用地结构调整</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（一）耕地</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近年来，</w:t>
      </w:r>
      <w:r>
        <w:rPr>
          <w:rFonts w:hint="eastAsia" w:eastAsia="宋体" w:cs="Times New Roman" w:asciiTheme="minorEastAsia" w:hAnsiTheme="minorEastAsia"/>
          <w:kern w:val="0"/>
          <w:sz w:val="24"/>
          <w:szCs w:val="24"/>
        </w:rPr>
        <w:t>片区</w:t>
      </w:r>
      <w:r>
        <w:rPr>
          <w:rFonts w:eastAsia="宋体" w:cs="Times New Roman" w:asciiTheme="minorEastAsia" w:hAnsiTheme="minorEastAsia"/>
          <w:kern w:val="0"/>
          <w:sz w:val="24"/>
          <w:szCs w:val="24"/>
        </w:rPr>
        <w:t>耕地面积</w:t>
      </w:r>
      <w:r>
        <w:rPr>
          <w:rFonts w:hint="eastAsia" w:eastAsia="宋体" w:cs="Times New Roman" w:asciiTheme="minorEastAsia" w:hAnsiTheme="minorEastAsia"/>
          <w:kern w:val="0"/>
          <w:sz w:val="24"/>
          <w:szCs w:val="24"/>
        </w:rPr>
        <w:t>不断</w:t>
      </w:r>
      <w:r>
        <w:rPr>
          <w:rFonts w:eastAsia="宋体" w:cs="Times New Roman" w:asciiTheme="minorEastAsia" w:hAnsiTheme="minorEastAsia"/>
          <w:kern w:val="0"/>
          <w:sz w:val="24"/>
          <w:szCs w:val="24"/>
        </w:rPr>
        <w:t>减少，到规划基期，</w:t>
      </w:r>
      <w:r>
        <w:rPr>
          <w:rFonts w:hint="eastAsia" w:eastAsia="宋体" w:cs="Times New Roman" w:asciiTheme="minorEastAsia" w:hAnsiTheme="minorEastAsia"/>
          <w:kern w:val="0"/>
          <w:sz w:val="24"/>
          <w:szCs w:val="24"/>
        </w:rPr>
        <w:t>片区</w:t>
      </w:r>
      <w:r>
        <w:rPr>
          <w:rFonts w:eastAsia="宋体" w:cs="Times New Roman" w:asciiTheme="minorEastAsia" w:hAnsiTheme="minorEastAsia"/>
          <w:kern w:val="0"/>
          <w:sz w:val="24"/>
          <w:szCs w:val="24"/>
        </w:rPr>
        <w:t>耕地保有量已低于上级规划下达的相应指标。在本轮规划中，农用地结构调整首要目标就是从数量和质量两方面严格保护耕地。</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在数量保护方面，一是加大耕地补充力度。参照《四川省新增耕地核定办法（试行）》（川自然资规[2020]8号</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文件实施要求，</w:t>
      </w:r>
      <w:r>
        <w:rPr>
          <w:rFonts w:eastAsia="宋体" w:cs="Times New Roman" w:asciiTheme="minorEastAsia" w:hAnsiTheme="minorEastAsia"/>
          <w:b/>
          <w:kern w:val="0"/>
          <w:sz w:val="24"/>
          <w:szCs w:val="24"/>
          <w:u w:val="single"/>
        </w:rPr>
        <w:t>未利用、低效利用和闲置、损毁和退化的非耕地地类可作为新增耕地来源。</w:t>
      </w:r>
      <w:r>
        <w:rPr>
          <w:rFonts w:eastAsia="宋体" w:cs="Times New Roman" w:asciiTheme="minorEastAsia" w:hAnsiTheme="minorEastAsia"/>
          <w:kern w:val="0"/>
          <w:sz w:val="24"/>
          <w:szCs w:val="24"/>
        </w:rPr>
        <w:t>包括其他草地、裸土地等宜耕未利用地，工矿用地、农村宅基地等建设用地，田坎、农村道路、坑塘水面、沟渠等除耕地以外的农用地。综合考虑</w:t>
      </w:r>
      <w:r>
        <w:rPr>
          <w:rFonts w:hint="eastAsia" w:eastAsia="宋体" w:cs="Times New Roman" w:asciiTheme="minorEastAsia" w:hAnsiTheme="minorEastAsia"/>
          <w:kern w:val="0"/>
          <w:sz w:val="24"/>
          <w:szCs w:val="24"/>
        </w:rPr>
        <w:t>全县</w:t>
      </w:r>
      <w:r>
        <w:rPr>
          <w:rFonts w:eastAsia="宋体" w:cs="Times New Roman" w:asciiTheme="minorEastAsia" w:hAnsiTheme="minorEastAsia"/>
          <w:kern w:val="0"/>
          <w:sz w:val="24"/>
          <w:szCs w:val="24"/>
        </w:rPr>
        <w:t>已实施农用地整理和土地整治区域、双评价生态极重要区域和农业生产适宜区域，以及即可恢复和工可恢复等可恢复地类分布，分析新增耕地来源和潜力，加大耕地补充力度，服从国家粮食安全的战略利益，确保</w:t>
      </w:r>
      <w:r>
        <w:rPr>
          <w:rFonts w:hint="eastAsia" w:eastAsia="宋体" w:cs="Times New Roman" w:asciiTheme="minorEastAsia" w:hAnsiTheme="minorEastAsia"/>
          <w:kern w:val="0"/>
          <w:sz w:val="24"/>
          <w:szCs w:val="24"/>
        </w:rPr>
        <w:t>片区</w:t>
      </w:r>
      <w:r>
        <w:rPr>
          <w:rFonts w:eastAsia="宋体" w:cs="Times New Roman" w:asciiTheme="minorEastAsia" w:hAnsiTheme="minorEastAsia"/>
          <w:kern w:val="0"/>
          <w:sz w:val="24"/>
          <w:szCs w:val="24"/>
        </w:rPr>
        <w:t>耕地保有量不低于</w:t>
      </w:r>
      <w:r>
        <w:rPr>
          <w:rFonts w:hint="eastAsia" w:eastAsia="宋体" w:cs="Times New Roman" w:asciiTheme="minorEastAsia" w:hAnsiTheme="minorEastAsia"/>
          <w:kern w:val="0"/>
          <w:sz w:val="24"/>
          <w:szCs w:val="24"/>
        </w:rPr>
        <w:t>县国空</w:t>
      </w:r>
      <w:r>
        <w:rPr>
          <w:rFonts w:eastAsia="宋体" w:cs="Times New Roman" w:asciiTheme="minorEastAsia" w:hAnsiTheme="minorEastAsia"/>
          <w:kern w:val="0"/>
          <w:sz w:val="24"/>
          <w:szCs w:val="24"/>
        </w:rPr>
        <w:t>下达的相应指标；二是</w:t>
      </w:r>
      <w:r>
        <w:rPr>
          <w:rFonts w:eastAsia="宋体" w:cs="Times New Roman" w:asciiTheme="minorEastAsia" w:hAnsiTheme="minorEastAsia"/>
          <w:b/>
          <w:kern w:val="0"/>
          <w:sz w:val="24"/>
          <w:szCs w:val="24"/>
          <w:u w:val="single"/>
        </w:rPr>
        <w:t>严格执行耕地</w:t>
      </w:r>
      <w:r>
        <w:rPr>
          <w:rFonts w:hint="eastAsia" w:eastAsia="宋体" w:cs="Times New Roman" w:asciiTheme="minorEastAsia" w:hAnsiTheme="minorEastAsia"/>
          <w:b/>
          <w:kern w:val="0"/>
          <w:sz w:val="24"/>
          <w:szCs w:val="24"/>
          <w:u w:val="single"/>
          <w:lang w:val="en-US" w:eastAsia="zh-CN"/>
        </w:rPr>
        <w:t>占补</w:t>
      </w:r>
      <w:r>
        <w:rPr>
          <w:rFonts w:eastAsia="宋体" w:cs="Times New Roman" w:asciiTheme="minorEastAsia" w:hAnsiTheme="minorEastAsia"/>
          <w:b/>
          <w:kern w:val="0"/>
          <w:sz w:val="24"/>
          <w:szCs w:val="24"/>
          <w:u w:val="single"/>
        </w:rPr>
        <w:t>平衡制度，确保耕地总量不因建设占用净减少。</w:t>
      </w:r>
      <w:r>
        <w:rPr>
          <w:rFonts w:eastAsia="宋体" w:cs="Times New Roman" w:asciiTheme="minorEastAsia" w:hAnsiTheme="minorEastAsia"/>
          <w:kern w:val="0"/>
          <w:sz w:val="24"/>
          <w:szCs w:val="24"/>
        </w:rPr>
        <w:t>要立足于工业化、城镇化发展的客观规律，将城市发展和耕地保护有机统一起来。</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在质量保护方面，首先要重点保护稳定耕地。通过对耕地坡度、河道耕地、湖区耕地、林区耕地和石漠化耕地这五项因素的识别，认定</w:t>
      </w:r>
      <w:r>
        <w:rPr>
          <w:rFonts w:hint="eastAsia" w:eastAsia="宋体" w:cs="Times New Roman" w:asciiTheme="minorEastAsia" w:hAnsiTheme="minorEastAsia"/>
          <w:kern w:val="0"/>
          <w:sz w:val="24"/>
          <w:szCs w:val="24"/>
        </w:rPr>
        <w:t>片区</w:t>
      </w:r>
      <w:r>
        <w:rPr>
          <w:rFonts w:eastAsia="宋体" w:cs="Times New Roman" w:asciiTheme="minorEastAsia" w:hAnsiTheme="minorEastAsia"/>
          <w:kern w:val="0"/>
          <w:sz w:val="24"/>
          <w:szCs w:val="24"/>
        </w:rPr>
        <w:t>现有稳定耕地10926.81</w:t>
      </w:r>
      <w:r>
        <w:rPr>
          <w:rFonts w:hint="eastAsia" w:eastAsia="宋体" w:cs="Times New Roman" w:asciiTheme="minorEastAsia" w:hAnsiTheme="minorEastAsia"/>
          <w:kern w:val="0"/>
          <w:sz w:val="24"/>
          <w:szCs w:val="24"/>
        </w:rPr>
        <w:t>公顷</w:t>
      </w:r>
      <w:r>
        <w:rPr>
          <w:rFonts w:eastAsia="宋体" w:cs="Times New Roman" w:asciiTheme="minorEastAsia" w:hAnsiTheme="minorEastAsia"/>
          <w:kern w:val="0"/>
          <w:sz w:val="24"/>
          <w:szCs w:val="24"/>
        </w:rPr>
        <w:t>。在区内开展高标准农田建设，提高灌溉保证率，实现集中连片耕种，耕地地力平均提高0.5至1.0个等级，实施有机培肥，全面提升耕地质量及产能，到2035年实现粮食生产能力提升10%；其次针对坡度大于25°的耕地以及河道耕地、湖区耕地、林区耕地和石漠化耕地，开展土地整治，提升耕地质量。对于这类不稳定耕地采取小并大，薄改厚，坡改梯等工程治理措施；进一步做好耕地轮休规划，开展耕地轮休试点，提升不稳定耕地质量，提高种地收益，有效保护耕地地力。</w:t>
      </w:r>
    </w:p>
    <w:p>
      <w:pPr>
        <w:adjustRightInd w:val="0"/>
        <w:snapToGrid w:val="0"/>
        <w:spacing w:line="360" w:lineRule="auto"/>
        <w:ind w:firstLine="482" w:firstLineChars="200"/>
        <w:rPr>
          <w:rFonts w:eastAsia="宋体" w:cs="Times New Roman" w:asciiTheme="minorEastAsia" w:hAnsiTheme="minorEastAsia"/>
          <w:b/>
          <w:kern w:val="0"/>
          <w:sz w:val="24"/>
          <w:szCs w:val="24"/>
          <w:u w:val="single"/>
        </w:rPr>
      </w:pPr>
      <w:r>
        <w:rPr>
          <w:rFonts w:hint="eastAsia" w:eastAsia="宋体" w:cs="Times New Roman" w:asciiTheme="minorEastAsia" w:hAnsiTheme="minorEastAsia"/>
          <w:b/>
          <w:kern w:val="0"/>
          <w:sz w:val="24"/>
          <w:szCs w:val="24"/>
          <w:u w:val="single"/>
        </w:rPr>
        <w:t>2020年片区耕地面积为10979.84公顷，占土地总面积的47.97</w:t>
      </w:r>
      <w:r>
        <w:rPr>
          <w:rFonts w:eastAsia="宋体" w:cs="Times New Roman" w:asciiTheme="minorEastAsia" w:hAnsiTheme="minorEastAsia"/>
          <w:b/>
          <w:kern w:val="0"/>
          <w:sz w:val="24"/>
          <w:szCs w:val="24"/>
          <w:u w:val="single"/>
        </w:rPr>
        <w:t>%</w:t>
      </w:r>
      <w:r>
        <w:rPr>
          <w:rFonts w:hint="eastAsia" w:eastAsia="宋体" w:cs="Times New Roman" w:asciiTheme="minorEastAsia" w:hAnsiTheme="minorEastAsia"/>
          <w:b/>
          <w:kern w:val="0"/>
          <w:sz w:val="24"/>
          <w:szCs w:val="24"/>
          <w:u w:val="single"/>
        </w:rPr>
        <w:t>，规划至</w:t>
      </w:r>
      <w:r>
        <w:rPr>
          <w:rFonts w:eastAsia="宋体" w:cs="Times New Roman" w:asciiTheme="minorEastAsia" w:hAnsiTheme="minorEastAsia"/>
          <w:b/>
          <w:kern w:val="0"/>
          <w:sz w:val="24"/>
          <w:szCs w:val="24"/>
          <w:u w:val="single"/>
        </w:rPr>
        <w:t>2035</w:t>
      </w:r>
      <w:r>
        <w:rPr>
          <w:rFonts w:hint="eastAsia" w:eastAsia="宋体" w:cs="Times New Roman" w:asciiTheme="minorEastAsia" w:hAnsiTheme="minorEastAsia"/>
          <w:b/>
          <w:kern w:val="0"/>
          <w:sz w:val="24"/>
          <w:szCs w:val="24"/>
          <w:u w:val="single"/>
        </w:rPr>
        <w:t>年，片区耕地面积调整为11371.18公顷，占土地总面积的49.68</w:t>
      </w:r>
      <w:r>
        <w:rPr>
          <w:rFonts w:eastAsia="宋体" w:cs="Times New Roman" w:asciiTheme="minorEastAsia" w:hAnsiTheme="minorEastAsia"/>
          <w:b/>
          <w:kern w:val="0"/>
          <w:sz w:val="24"/>
          <w:szCs w:val="24"/>
          <w:u w:val="single"/>
        </w:rPr>
        <w:t>%</w:t>
      </w:r>
      <w:r>
        <w:rPr>
          <w:rFonts w:hint="eastAsia" w:eastAsia="宋体" w:cs="Times New Roman" w:asciiTheme="minorEastAsia" w:hAnsiTheme="minorEastAsia"/>
          <w:b/>
          <w:kern w:val="0"/>
          <w:sz w:val="24"/>
          <w:szCs w:val="24"/>
          <w:u w:val="single"/>
        </w:rPr>
        <w:t>，规划期间耕地面积较现状增加了391.33公顷，占土地总面积百分比增加1.71个百分点。</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（二）</w:t>
      </w:r>
      <w:r>
        <w:rPr>
          <w:rFonts w:eastAsia="宋体" w:cs="Times New Roman" w:asciiTheme="minorEastAsia" w:hAnsiTheme="minorEastAsia"/>
          <w:b/>
          <w:kern w:val="0"/>
          <w:sz w:val="24"/>
          <w:szCs w:val="24"/>
        </w:rPr>
        <w:t>园地</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尊重产业空间分布规律</w:t>
      </w:r>
      <w:r>
        <w:rPr>
          <w:rFonts w:hint="eastAsia" w:eastAsia="宋体" w:cs="Times New Roman" w:asciiTheme="minorEastAsia" w:hAnsiTheme="minorEastAsia"/>
          <w:kern w:val="0"/>
          <w:sz w:val="24"/>
          <w:szCs w:val="24"/>
        </w:rPr>
        <w:t>，本着耕地优先以及因地制宜的原则全面梳理片区园地，结合种植现状和万亩柠檬分布，优化粮、油、柠檬、蔬菜种植布局。加强对现有不适宜园地以及中低产园地的改造和管理，部分园地恢复为耕地；强化集约规模经营，不断提高园地单产，在园地面积减少的前提下，仍能保证园地的产出和效益；立足于行业发展趋势和相关农产品市场需求变化，加大对特色园地以及精准扶贫项目的支持力度，并调整相应的结构。</w:t>
      </w:r>
      <w:r>
        <w:rPr>
          <w:rFonts w:eastAsia="宋体" w:cs="Times New Roman" w:asciiTheme="minorEastAsia" w:hAnsiTheme="minorEastAsia"/>
          <w:kern w:val="0"/>
          <w:sz w:val="24"/>
          <w:szCs w:val="24"/>
        </w:rPr>
        <w:t>规划</w:t>
      </w:r>
      <w:r>
        <w:rPr>
          <w:rFonts w:hint="eastAsia" w:eastAsia="宋体" w:cs="Times New Roman" w:asciiTheme="minorEastAsia" w:hAnsiTheme="minorEastAsia"/>
          <w:kern w:val="0"/>
          <w:sz w:val="24"/>
          <w:szCs w:val="24"/>
        </w:rPr>
        <w:t>保留</w:t>
      </w:r>
      <w:r>
        <w:rPr>
          <w:rFonts w:eastAsia="宋体" w:cs="Times New Roman" w:asciiTheme="minorEastAsia" w:hAnsiTheme="minorEastAsia"/>
          <w:kern w:val="0"/>
          <w:sz w:val="24"/>
          <w:szCs w:val="24"/>
        </w:rPr>
        <w:t>现状河边镇前进村、三块碑、胜利村、经义村,</w:t>
      </w:r>
      <w:r>
        <w:rPr>
          <w:rFonts w:hint="eastAsia" w:eastAsia="宋体" w:cs="Times New Roman" w:asciiTheme="minorEastAsia" w:hAnsiTheme="minorEastAsia"/>
          <w:kern w:val="0"/>
          <w:sz w:val="24"/>
          <w:szCs w:val="24"/>
        </w:rPr>
        <w:t>以及</w:t>
      </w:r>
      <w:r>
        <w:rPr>
          <w:rFonts w:eastAsia="宋体" w:cs="Times New Roman" w:asciiTheme="minorEastAsia" w:hAnsiTheme="minorEastAsia"/>
          <w:kern w:val="0"/>
          <w:sz w:val="24"/>
          <w:szCs w:val="24"/>
        </w:rPr>
        <w:t>沿蓬乐路两侧部分区域、红岩嘴村、牌坊村部分区域连片的园地，主要为现状河边镇的白柠檬基地。</w:t>
      </w:r>
    </w:p>
    <w:p>
      <w:pPr>
        <w:adjustRightInd w:val="0"/>
        <w:snapToGrid w:val="0"/>
        <w:spacing w:line="360" w:lineRule="auto"/>
        <w:ind w:firstLine="482" w:firstLineChars="200"/>
        <w:rPr>
          <w:rFonts w:eastAsia="宋体" w:cs="Times New Roman" w:asciiTheme="minorEastAsia" w:hAnsiTheme="minorEastAsia"/>
          <w:b/>
          <w:kern w:val="0"/>
          <w:sz w:val="24"/>
          <w:szCs w:val="24"/>
          <w:u w:val="single"/>
        </w:rPr>
      </w:pPr>
      <w:r>
        <w:rPr>
          <w:rFonts w:hint="eastAsia" w:eastAsia="宋体" w:cs="Times New Roman" w:asciiTheme="minorEastAsia" w:hAnsiTheme="minorEastAsia"/>
          <w:b/>
          <w:kern w:val="0"/>
          <w:sz w:val="24"/>
          <w:szCs w:val="24"/>
          <w:u w:val="single"/>
        </w:rPr>
        <w:t>2020年片区园地面积为719.10公顷，占土地总面积的3.14</w:t>
      </w:r>
      <w:r>
        <w:rPr>
          <w:rFonts w:eastAsia="宋体" w:cs="Times New Roman" w:asciiTheme="minorEastAsia" w:hAnsiTheme="minorEastAsia"/>
          <w:b/>
          <w:kern w:val="0"/>
          <w:sz w:val="24"/>
          <w:szCs w:val="24"/>
          <w:u w:val="single"/>
        </w:rPr>
        <w:t>%</w:t>
      </w:r>
      <w:r>
        <w:rPr>
          <w:rFonts w:hint="eastAsia" w:eastAsia="宋体" w:cs="Times New Roman" w:asciiTheme="minorEastAsia" w:hAnsiTheme="minorEastAsia"/>
          <w:b/>
          <w:kern w:val="0"/>
          <w:sz w:val="24"/>
          <w:szCs w:val="24"/>
          <w:u w:val="single"/>
        </w:rPr>
        <w:t>，规划至</w:t>
      </w:r>
      <w:r>
        <w:rPr>
          <w:rFonts w:eastAsia="宋体" w:cs="Times New Roman" w:asciiTheme="minorEastAsia" w:hAnsiTheme="minorEastAsia"/>
          <w:b/>
          <w:kern w:val="0"/>
          <w:sz w:val="24"/>
          <w:szCs w:val="24"/>
          <w:u w:val="single"/>
        </w:rPr>
        <w:t>2035</w:t>
      </w:r>
      <w:r>
        <w:rPr>
          <w:rFonts w:hint="eastAsia" w:eastAsia="宋体" w:cs="Times New Roman" w:asciiTheme="minorEastAsia" w:hAnsiTheme="minorEastAsia"/>
          <w:b/>
          <w:kern w:val="0"/>
          <w:sz w:val="24"/>
          <w:szCs w:val="24"/>
          <w:u w:val="single"/>
        </w:rPr>
        <w:t>年，片区园地面积调整为612.45公顷，占土地总面积的2.68</w:t>
      </w:r>
      <w:r>
        <w:rPr>
          <w:rFonts w:eastAsia="宋体" w:cs="Times New Roman" w:asciiTheme="minorEastAsia" w:hAnsiTheme="minorEastAsia"/>
          <w:b/>
          <w:kern w:val="0"/>
          <w:sz w:val="24"/>
          <w:szCs w:val="24"/>
          <w:u w:val="single"/>
        </w:rPr>
        <w:t>%</w:t>
      </w:r>
      <w:r>
        <w:rPr>
          <w:rFonts w:hint="eastAsia" w:eastAsia="宋体" w:cs="Times New Roman" w:asciiTheme="minorEastAsia" w:hAnsiTheme="minorEastAsia"/>
          <w:b/>
          <w:kern w:val="0"/>
          <w:sz w:val="24"/>
          <w:szCs w:val="24"/>
          <w:u w:val="single"/>
        </w:rPr>
        <w:t>，规划期间园地面积较现状减少了106.65公顷，占土地总面积百分比减少0.46个百分点。</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（三）</w:t>
      </w:r>
      <w:r>
        <w:rPr>
          <w:rFonts w:eastAsia="宋体" w:cs="Times New Roman" w:asciiTheme="minorEastAsia" w:hAnsiTheme="minorEastAsia"/>
          <w:b/>
          <w:kern w:val="0"/>
          <w:sz w:val="24"/>
          <w:szCs w:val="24"/>
        </w:rPr>
        <w:t>农业设施用地</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预留空间，保障需求。玉峰镇现代农业产业园、</w:t>
      </w:r>
      <w:r>
        <w:rPr>
          <w:rFonts w:hint="eastAsia" w:eastAsia="宋体" w:cs="Times New Roman" w:asciiTheme="minorEastAsia" w:hAnsiTheme="minorEastAsia"/>
          <w:kern w:val="0"/>
          <w:sz w:val="24"/>
          <w:szCs w:val="24"/>
        </w:rPr>
        <w:t>象山镇优质粮油和蔬菜种植</w:t>
      </w:r>
      <w:r>
        <w:rPr>
          <w:rFonts w:eastAsia="宋体" w:cs="Times New Roman" w:asciiTheme="minorEastAsia" w:hAnsiTheme="minorEastAsia"/>
          <w:kern w:val="0"/>
          <w:sz w:val="24"/>
          <w:szCs w:val="24"/>
        </w:rPr>
        <w:t>与河边</w:t>
      </w:r>
      <w:r>
        <w:rPr>
          <w:rFonts w:hint="eastAsia" w:eastAsia="宋体" w:cs="Times New Roman" w:asciiTheme="minorEastAsia" w:hAnsiTheme="minorEastAsia"/>
          <w:kern w:val="0"/>
          <w:sz w:val="24"/>
          <w:szCs w:val="24"/>
        </w:rPr>
        <w:t>镇种养循环基地</w:t>
      </w:r>
      <w:r>
        <w:rPr>
          <w:rFonts w:eastAsia="宋体" w:cs="Times New Roman" w:asciiTheme="minorEastAsia" w:hAnsiTheme="minorEastAsia"/>
          <w:kern w:val="0"/>
          <w:sz w:val="24"/>
          <w:szCs w:val="24"/>
        </w:rPr>
        <w:t>，结合产业布局用于工厂化作物生产和为生产服务的看护房</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保险储存、分拣包装、</w:t>
      </w:r>
      <w:r>
        <w:rPr>
          <w:rFonts w:hint="eastAsia" w:eastAsia="宋体" w:cs="Times New Roman" w:asciiTheme="minorEastAsia" w:hAnsiTheme="minorEastAsia"/>
          <w:kern w:val="0"/>
          <w:sz w:val="24"/>
          <w:szCs w:val="24"/>
        </w:rPr>
        <w:t>烘干晾晒</w:t>
      </w:r>
      <w:r>
        <w:rPr>
          <w:rFonts w:eastAsia="宋体" w:cs="Times New Roman" w:asciiTheme="minorEastAsia" w:hAnsiTheme="minorEastAsia"/>
          <w:kern w:val="0"/>
          <w:sz w:val="24"/>
          <w:szCs w:val="24"/>
        </w:rPr>
        <w:t>、农事服务、畜禽养殖、水产养殖等的农业设施用地，</w:t>
      </w:r>
      <w:r>
        <w:rPr>
          <w:rFonts w:hint="eastAsia" w:eastAsia="宋体" w:cs="Times New Roman" w:asciiTheme="minorEastAsia" w:hAnsiTheme="minorEastAsia"/>
          <w:kern w:val="0"/>
          <w:sz w:val="24"/>
          <w:szCs w:val="24"/>
        </w:rPr>
        <w:t>充分预留农村产业道路用地空间</w:t>
      </w:r>
      <w:r>
        <w:rPr>
          <w:rFonts w:eastAsia="宋体" w:cs="Times New Roman" w:asciiTheme="minorEastAsia" w:hAnsiTheme="minorEastAsia"/>
          <w:kern w:val="0"/>
          <w:sz w:val="24"/>
          <w:szCs w:val="24"/>
        </w:rPr>
        <w:t>，满足现代农业产业化需求。</w:t>
      </w:r>
    </w:p>
    <w:p>
      <w:pPr>
        <w:adjustRightInd w:val="0"/>
        <w:snapToGrid w:val="0"/>
        <w:spacing w:line="360" w:lineRule="auto"/>
        <w:ind w:firstLine="482"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b/>
          <w:kern w:val="0"/>
          <w:sz w:val="24"/>
          <w:szCs w:val="24"/>
          <w:u w:val="single"/>
        </w:rPr>
        <w:t>2020年片区</w:t>
      </w:r>
      <w:r>
        <w:rPr>
          <w:rFonts w:eastAsia="宋体" w:cs="Times New Roman" w:asciiTheme="minorEastAsia" w:hAnsiTheme="minorEastAsia"/>
          <w:b/>
          <w:kern w:val="0"/>
          <w:sz w:val="24"/>
          <w:szCs w:val="24"/>
          <w:u w:val="single"/>
        </w:rPr>
        <w:t>农业设施用地</w:t>
      </w:r>
      <w:r>
        <w:rPr>
          <w:rFonts w:hint="eastAsia" w:eastAsia="宋体" w:cs="Times New Roman" w:asciiTheme="minorEastAsia" w:hAnsiTheme="minorEastAsia"/>
          <w:b/>
          <w:kern w:val="0"/>
          <w:sz w:val="24"/>
          <w:szCs w:val="24"/>
          <w:u w:val="single"/>
        </w:rPr>
        <w:t>面积为359.53公顷，占土地总面积的1.57</w:t>
      </w:r>
      <w:r>
        <w:rPr>
          <w:rFonts w:eastAsia="宋体" w:cs="Times New Roman" w:asciiTheme="minorEastAsia" w:hAnsiTheme="minorEastAsia"/>
          <w:b/>
          <w:kern w:val="0"/>
          <w:sz w:val="24"/>
          <w:szCs w:val="24"/>
          <w:u w:val="single"/>
        </w:rPr>
        <w:t>%</w:t>
      </w:r>
      <w:r>
        <w:rPr>
          <w:rFonts w:hint="eastAsia" w:eastAsia="宋体" w:cs="Times New Roman" w:asciiTheme="minorEastAsia" w:hAnsiTheme="minorEastAsia"/>
          <w:b/>
          <w:kern w:val="0"/>
          <w:sz w:val="24"/>
          <w:szCs w:val="24"/>
          <w:u w:val="single"/>
        </w:rPr>
        <w:t>，规划至</w:t>
      </w:r>
      <w:r>
        <w:rPr>
          <w:rFonts w:eastAsia="宋体" w:cs="Times New Roman" w:asciiTheme="minorEastAsia" w:hAnsiTheme="minorEastAsia"/>
          <w:b/>
          <w:kern w:val="0"/>
          <w:sz w:val="24"/>
          <w:szCs w:val="24"/>
          <w:u w:val="single"/>
        </w:rPr>
        <w:t>2035</w:t>
      </w:r>
      <w:r>
        <w:rPr>
          <w:rFonts w:hint="eastAsia" w:eastAsia="宋体" w:cs="Times New Roman" w:asciiTheme="minorEastAsia" w:hAnsiTheme="minorEastAsia"/>
          <w:b/>
          <w:kern w:val="0"/>
          <w:sz w:val="24"/>
          <w:szCs w:val="24"/>
          <w:u w:val="single"/>
        </w:rPr>
        <w:t>年，片区</w:t>
      </w:r>
      <w:r>
        <w:rPr>
          <w:rFonts w:eastAsia="宋体" w:cs="Times New Roman" w:asciiTheme="minorEastAsia" w:hAnsiTheme="minorEastAsia"/>
          <w:b/>
          <w:kern w:val="0"/>
          <w:sz w:val="24"/>
          <w:szCs w:val="24"/>
          <w:u w:val="single"/>
        </w:rPr>
        <w:t>农业设施用地</w:t>
      </w:r>
      <w:r>
        <w:rPr>
          <w:rFonts w:hint="eastAsia" w:eastAsia="宋体" w:cs="Times New Roman" w:asciiTheme="minorEastAsia" w:hAnsiTheme="minorEastAsia"/>
          <w:b/>
          <w:kern w:val="0"/>
          <w:sz w:val="24"/>
          <w:szCs w:val="24"/>
          <w:u w:val="single"/>
        </w:rPr>
        <w:t>面积调整为387.38公顷，占土地总面积的1.69</w:t>
      </w:r>
      <w:r>
        <w:rPr>
          <w:rFonts w:eastAsia="宋体" w:cs="Times New Roman" w:asciiTheme="minorEastAsia" w:hAnsiTheme="minorEastAsia"/>
          <w:b/>
          <w:kern w:val="0"/>
          <w:sz w:val="24"/>
          <w:szCs w:val="24"/>
          <w:u w:val="single"/>
        </w:rPr>
        <w:t>%</w:t>
      </w:r>
      <w:r>
        <w:rPr>
          <w:rFonts w:hint="eastAsia" w:eastAsia="宋体" w:cs="Times New Roman" w:asciiTheme="minorEastAsia" w:hAnsiTheme="minorEastAsia"/>
          <w:b/>
          <w:kern w:val="0"/>
          <w:sz w:val="24"/>
          <w:szCs w:val="24"/>
          <w:u w:val="single"/>
        </w:rPr>
        <w:t>，规划期间</w:t>
      </w:r>
      <w:r>
        <w:rPr>
          <w:rFonts w:eastAsia="宋体" w:cs="Times New Roman" w:asciiTheme="minorEastAsia" w:hAnsiTheme="minorEastAsia"/>
          <w:b/>
          <w:kern w:val="0"/>
          <w:sz w:val="24"/>
          <w:szCs w:val="24"/>
          <w:u w:val="single"/>
        </w:rPr>
        <w:t>农业设施用地</w:t>
      </w:r>
      <w:r>
        <w:rPr>
          <w:rFonts w:hint="eastAsia" w:eastAsia="宋体" w:cs="Times New Roman" w:asciiTheme="minorEastAsia" w:hAnsiTheme="minorEastAsia"/>
          <w:b/>
          <w:kern w:val="0"/>
          <w:sz w:val="24"/>
          <w:szCs w:val="24"/>
          <w:u w:val="single"/>
        </w:rPr>
        <w:t>面积较现状增加了27.85公顷</w:t>
      </w:r>
      <w:r>
        <w:rPr>
          <w:rFonts w:eastAsia="宋体" w:cs="Times New Roman" w:asciiTheme="minorEastAsia" w:hAnsiTheme="minorEastAsia"/>
          <w:b/>
          <w:kern w:val="0"/>
          <w:sz w:val="24"/>
          <w:szCs w:val="24"/>
          <w:u w:val="single"/>
        </w:rPr>
        <w:t>。</w:t>
      </w:r>
      <w:r>
        <w:rPr>
          <w:rFonts w:hint="eastAsia" w:eastAsia="宋体" w:cs="Times New Roman" w:asciiTheme="minorEastAsia" w:hAnsiTheme="minorEastAsia"/>
          <w:b/>
          <w:kern w:val="0"/>
          <w:sz w:val="24"/>
          <w:szCs w:val="24"/>
          <w:u w:val="single"/>
        </w:rPr>
        <w:t>占土地总面积百分比增加0.12个百分点。</w:t>
      </w:r>
      <w:r>
        <w:rPr>
          <w:rFonts w:eastAsia="宋体" w:cs="Times New Roman" w:asciiTheme="minorEastAsia" w:hAnsiTheme="minorEastAsia"/>
          <w:kern w:val="0"/>
          <w:sz w:val="24"/>
          <w:szCs w:val="24"/>
        </w:rPr>
        <w:t>其中，规划乡村道路用地</w:t>
      </w:r>
      <w:r>
        <w:rPr>
          <w:rFonts w:hint="eastAsia" w:eastAsia="宋体" w:cs="Times New Roman" w:asciiTheme="minorEastAsia" w:hAnsiTheme="minorEastAsia"/>
          <w:kern w:val="0"/>
          <w:sz w:val="24"/>
          <w:szCs w:val="24"/>
        </w:rPr>
        <w:t>312.53</w:t>
      </w:r>
      <w:r>
        <w:rPr>
          <w:rFonts w:eastAsia="宋体" w:cs="Times New Roman" w:asciiTheme="minorEastAsia" w:hAnsiTheme="minorEastAsia"/>
          <w:kern w:val="0"/>
          <w:sz w:val="24"/>
          <w:szCs w:val="24"/>
        </w:rPr>
        <w:t>公顷，较现状减少了</w:t>
      </w:r>
      <w:r>
        <w:rPr>
          <w:rFonts w:hint="eastAsia" w:eastAsia="宋体" w:cs="Times New Roman" w:asciiTheme="minorEastAsia" w:hAnsiTheme="minorEastAsia"/>
          <w:kern w:val="0"/>
          <w:sz w:val="24"/>
          <w:szCs w:val="24"/>
        </w:rPr>
        <w:t>11.77</w:t>
      </w:r>
      <w:r>
        <w:rPr>
          <w:rFonts w:eastAsia="宋体" w:cs="Times New Roman" w:asciiTheme="minorEastAsia" w:hAnsiTheme="minorEastAsia"/>
          <w:kern w:val="0"/>
          <w:sz w:val="24"/>
          <w:szCs w:val="24"/>
        </w:rPr>
        <w:t>公顷</w:t>
      </w:r>
      <w:r>
        <w:rPr>
          <w:rFonts w:hint="eastAsia" w:eastAsia="宋体" w:cs="Times New Roman" w:asciiTheme="minorEastAsia" w:hAnsiTheme="minorEastAsia"/>
          <w:kern w:val="0"/>
          <w:sz w:val="24"/>
          <w:szCs w:val="24"/>
        </w:rPr>
        <w:t>；规划种植设施建设用地27.77公顷，规划均为新增；规划畜禽养殖设施建设用地43.76公顷，较现状增加了8.53公顷；规划水产养殖设施建设用地3.31公顷，规划均为新增。</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（四）片区新增耕地潜力</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结合大英县“双评价”成果，开展全域土地综合整治补充耕地，片区未来可以通过即可恢复用地复耕增加耕地740.54公顷、工程可恢复用地复耕增加耕地</w:t>
      </w:r>
      <w:r>
        <w:rPr>
          <w:rFonts w:eastAsia="宋体" w:cs="Times New Roman" w:asciiTheme="minorEastAsia" w:hAnsiTheme="minorEastAsia"/>
          <w:kern w:val="0"/>
          <w:sz w:val="24"/>
          <w:szCs w:val="24"/>
        </w:rPr>
        <w:t>977.73</w:t>
      </w:r>
      <w:r>
        <w:rPr>
          <w:rFonts w:hint="eastAsia" w:eastAsia="宋体" w:cs="Times New Roman" w:asciiTheme="minorEastAsia" w:hAnsiTheme="minorEastAsia"/>
          <w:kern w:val="0"/>
          <w:sz w:val="24"/>
          <w:szCs w:val="24"/>
        </w:rPr>
        <w:t>公顷、未利用地开发增加耕地17.70公顷、农村宅基地复垦增加耕地420.95公顷、农村低效废弃工矿用地复垦增加耕地5.24公顷。</w:t>
      </w:r>
    </w:p>
    <w:p>
      <w:pPr>
        <w:adjustRightInd w:val="0"/>
        <w:snapToGrid w:val="0"/>
        <w:spacing w:line="360" w:lineRule="auto"/>
        <w:ind w:firstLine="482" w:firstLineChars="200"/>
        <w:rPr>
          <w:rFonts w:ascii="黑体" w:hAnsi="黑体" w:eastAsia="黑体" w:cs="Times New Roman"/>
          <w:b/>
          <w:kern w:val="0"/>
          <w:sz w:val="24"/>
          <w:szCs w:val="24"/>
        </w:rPr>
      </w:pPr>
      <w:r>
        <w:rPr>
          <w:rFonts w:hint="eastAsia" w:ascii="黑体" w:hAnsi="黑体" w:eastAsia="黑体" w:cs="Times New Roman"/>
          <w:b/>
          <w:kern w:val="0"/>
          <w:sz w:val="24"/>
          <w:szCs w:val="24"/>
        </w:rPr>
        <w:t>三、生态</w:t>
      </w:r>
      <w:r>
        <w:rPr>
          <w:rFonts w:ascii="黑体" w:hAnsi="黑体" w:eastAsia="黑体" w:cs="Times New Roman"/>
          <w:b/>
          <w:kern w:val="0"/>
          <w:sz w:val="24"/>
          <w:szCs w:val="24"/>
        </w:rPr>
        <w:t>用地结构调整</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（一）分类保护林地</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在片区后备耕地资源不足的前提下，耕地保护目标和林地保护目标不能同时实现，在不影响生态环境安全的基础上，应服从优先保障耕地的目标。在</w:t>
      </w:r>
      <w:r>
        <w:rPr>
          <w:rFonts w:eastAsia="宋体" w:cs="Times New Roman" w:asciiTheme="minorEastAsia" w:hAnsiTheme="minorEastAsia"/>
          <w:kern w:val="0"/>
          <w:sz w:val="24"/>
          <w:szCs w:val="24"/>
        </w:rPr>
        <w:t>保护片区生态本底的基础上</w:t>
      </w:r>
      <w:r>
        <w:rPr>
          <w:rFonts w:hint="eastAsia" w:eastAsia="宋体" w:cs="Times New Roman" w:asciiTheme="minorEastAsia" w:hAnsiTheme="minorEastAsia"/>
          <w:kern w:val="0"/>
          <w:sz w:val="24"/>
          <w:szCs w:val="24"/>
        </w:rPr>
        <w:t>，将部分林地转用为耕地、农村宅基地以及为保障农业发展所布局的农业设施用地，林地面积有所减少。</w:t>
      </w:r>
      <w:r>
        <w:rPr>
          <w:rFonts w:eastAsia="宋体" w:cs="Times New Roman" w:asciiTheme="minorEastAsia" w:hAnsiTheme="minorEastAsia"/>
          <w:kern w:val="0"/>
          <w:sz w:val="24"/>
          <w:szCs w:val="24"/>
        </w:rPr>
        <w:t>重点保护天然林和重点公益林，优化天然林和人工林结构，合理配置生态公益林和商品林</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缓丘区域注重农田林网建设提升农田生态质量。</w:t>
      </w:r>
    </w:p>
    <w:p>
      <w:pPr>
        <w:adjustRightInd w:val="0"/>
        <w:snapToGrid w:val="0"/>
        <w:spacing w:line="360" w:lineRule="auto"/>
        <w:ind w:firstLine="482" w:firstLineChars="200"/>
        <w:rPr>
          <w:rFonts w:eastAsia="宋体" w:cs="Times New Roman" w:asciiTheme="minorEastAsia" w:hAnsiTheme="minorEastAsia"/>
          <w:b/>
          <w:kern w:val="0"/>
          <w:sz w:val="24"/>
          <w:szCs w:val="24"/>
          <w:u w:val="single"/>
        </w:rPr>
      </w:pPr>
      <w:r>
        <w:rPr>
          <w:rFonts w:hint="eastAsia" w:eastAsia="宋体" w:cs="Times New Roman" w:asciiTheme="minorEastAsia" w:hAnsiTheme="minorEastAsia"/>
          <w:b/>
          <w:kern w:val="0"/>
          <w:sz w:val="24"/>
          <w:szCs w:val="24"/>
          <w:u w:val="single"/>
        </w:rPr>
        <w:t>2020年片区林地面积为6018.27公顷，占土地总面积的26.30</w:t>
      </w:r>
      <w:r>
        <w:rPr>
          <w:rFonts w:eastAsia="宋体" w:cs="Times New Roman" w:asciiTheme="minorEastAsia" w:hAnsiTheme="minorEastAsia"/>
          <w:b/>
          <w:kern w:val="0"/>
          <w:sz w:val="24"/>
          <w:szCs w:val="24"/>
          <w:u w:val="single"/>
        </w:rPr>
        <w:t>%</w:t>
      </w:r>
      <w:r>
        <w:rPr>
          <w:rFonts w:hint="eastAsia" w:eastAsia="宋体" w:cs="Times New Roman" w:asciiTheme="minorEastAsia" w:hAnsiTheme="minorEastAsia"/>
          <w:b/>
          <w:kern w:val="0"/>
          <w:sz w:val="24"/>
          <w:szCs w:val="24"/>
          <w:u w:val="single"/>
        </w:rPr>
        <w:t>，规划至</w:t>
      </w:r>
      <w:r>
        <w:rPr>
          <w:rFonts w:eastAsia="宋体" w:cs="Times New Roman" w:asciiTheme="minorEastAsia" w:hAnsiTheme="minorEastAsia"/>
          <w:b/>
          <w:kern w:val="0"/>
          <w:sz w:val="24"/>
          <w:szCs w:val="24"/>
          <w:u w:val="single"/>
        </w:rPr>
        <w:t>2035</w:t>
      </w:r>
      <w:r>
        <w:rPr>
          <w:rFonts w:hint="eastAsia" w:eastAsia="宋体" w:cs="Times New Roman" w:asciiTheme="minorEastAsia" w:hAnsiTheme="minorEastAsia"/>
          <w:b/>
          <w:kern w:val="0"/>
          <w:sz w:val="24"/>
          <w:szCs w:val="24"/>
          <w:u w:val="single"/>
        </w:rPr>
        <w:t>年，片区林地面积调整为5571.66公顷，占土地总面积的24.34</w:t>
      </w:r>
      <w:r>
        <w:rPr>
          <w:rFonts w:eastAsia="宋体" w:cs="Times New Roman" w:asciiTheme="minorEastAsia" w:hAnsiTheme="minorEastAsia"/>
          <w:b/>
          <w:kern w:val="0"/>
          <w:sz w:val="24"/>
          <w:szCs w:val="24"/>
          <w:u w:val="single"/>
        </w:rPr>
        <w:t>%</w:t>
      </w:r>
      <w:r>
        <w:rPr>
          <w:rFonts w:hint="eastAsia" w:eastAsia="宋体" w:cs="Times New Roman" w:asciiTheme="minorEastAsia" w:hAnsiTheme="minorEastAsia"/>
          <w:b/>
          <w:kern w:val="0"/>
          <w:sz w:val="24"/>
          <w:szCs w:val="24"/>
          <w:u w:val="single"/>
        </w:rPr>
        <w:t>，规划期间林地面积较现状减少了446.61公顷，占土地总面积百分比减少1.96个百分点。</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（二）湿地</w:t>
      </w:r>
    </w:p>
    <w:p>
      <w:pPr>
        <w:adjustRightInd w:val="0"/>
        <w:snapToGrid w:val="0"/>
        <w:spacing w:line="360" w:lineRule="auto"/>
        <w:ind w:firstLine="480" w:firstLineChars="200"/>
        <w:rPr>
          <w:rFonts w:eastAsia="宋体" w:cs="Times New Roman" w:asciiTheme="minorEastAsia" w:hAnsiTheme="minorEastAsia"/>
          <w:b/>
          <w:kern w:val="0"/>
          <w:sz w:val="24"/>
          <w:szCs w:val="24"/>
          <w:u w:val="single"/>
        </w:rPr>
      </w:pPr>
      <w:r>
        <w:rPr>
          <w:rFonts w:hint="eastAsia" w:eastAsia="宋体" w:cs="Times New Roman" w:asciiTheme="minorEastAsia" w:hAnsiTheme="minorEastAsia"/>
          <w:kern w:val="0"/>
          <w:sz w:val="24"/>
          <w:szCs w:val="24"/>
        </w:rPr>
        <w:t>以确保湿地面积总量稳定和湿地生态功能有效提升为总体目标，逐步改善湿地质量、强化湿地功能。</w:t>
      </w:r>
      <w:r>
        <w:rPr>
          <w:rFonts w:hint="eastAsia" w:eastAsia="宋体" w:cs="Times New Roman" w:asciiTheme="minorEastAsia" w:hAnsiTheme="minorEastAsia"/>
          <w:b/>
          <w:kern w:val="0"/>
          <w:sz w:val="24"/>
          <w:szCs w:val="24"/>
          <w:u w:val="single"/>
        </w:rPr>
        <w:t>2020年片区湿地面积为6.66公顷，占土地总面积的0.03</w:t>
      </w:r>
      <w:r>
        <w:rPr>
          <w:rFonts w:eastAsia="宋体" w:cs="Times New Roman" w:asciiTheme="minorEastAsia" w:hAnsiTheme="minorEastAsia"/>
          <w:b/>
          <w:kern w:val="0"/>
          <w:sz w:val="24"/>
          <w:szCs w:val="24"/>
          <w:u w:val="single"/>
        </w:rPr>
        <w:t>%</w:t>
      </w:r>
      <w:r>
        <w:rPr>
          <w:rFonts w:hint="eastAsia" w:eastAsia="宋体" w:cs="Times New Roman" w:asciiTheme="minorEastAsia" w:hAnsiTheme="minorEastAsia"/>
          <w:b/>
          <w:kern w:val="0"/>
          <w:sz w:val="24"/>
          <w:szCs w:val="24"/>
          <w:u w:val="single"/>
        </w:rPr>
        <w:t>，规划至</w:t>
      </w:r>
      <w:r>
        <w:rPr>
          <w:rFonts w:eastAsia="宋体" w:cs="Times New Roman" w:asciiTheme="minorEastAsia" w:hAnsiTheme="minorEastAsia"/>
          <w:b/>
          <w:kern w:val="0"/>
          <w:sz w:val="24"/>
          <w:szCs w:val="24"/>
          <w:u w:val="single"/>
        </w:rPr>
        <w:t>2035</w:t>
      </w:r>
      <w:r>
        <w:rPr>
          <w:rFonts w:hint="eastAsia" w:eastAsia="宋体" w:cs="Times New Roman" w:asciiTheme="minorEastAsia" w:hAnsiTheme="minorEastAsia"/>
          <w:b/>
          <w:kern w:val="0"/>
          <w:sz w:val="24"/>
          <w:szCs w:val="24"/>
          <w:u w:val="single"/>
        </w:rPr>
        <w:t>年，片区湿地面积调整为6.61公顷，占土地总面积的0.03</w:t>
      </w:r>
      <w:r>
        <w:rPr>
          <w:rFonts w:eastAsia="宋体" w:cs="Times New Roman" w:asciiTheme="minorEastAsia" w:hAnsiTheme="minorEastAsia"/>
          <w:b/>
          <w:kern w:val="0"/>
          <w:sz w:val="24"/>
          <w:szCs w:val="24"/>
          <w:u w:val="single"/>
        </w:rPr>
        <w:t>%</w:t>
      </w:r>
      <w:r>
        <w:rPr>
          <w:rFonts w:hint="eastAsia" w:eastAsia="宋体" w:cs="Times New Roman" w:asciiTheme="minorEastAsia" w:hAnsiTheme="minorEastAsia"/>
          <w:b/>
          <w:kern w:val="0"/>
          <w:sz w:val="24"/>
          <w:szCs w:val="24"/>
          <w:u w:val="single"/>
        </w:rPr>
        <w:t>，规划期间湿地面积较现状减少了0.05公顷。</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明确各类湿地边界范围。不得以任何理由侵占自然湿地，经批准征收、占用湿地并转为其他用途的，用地单位要按照</w:t>
      </w:r>
      <w:r>
        <w:rPr>
          <w:rFonts w:eastAsia="宋体" w:cs="Times New Roman" w:asciiTheme="minorEastAsia" w:hAnsiTheme="minorEastAsia"/>
          <w:kern w:val="0"/>
          <w:sz w:val="24"/>
          <w:szCs w:val="24"/>
        </w:rPr>
        <w:t>“</w:t>
      </w:r>
      <w:r>
        <w:rPr>
          <w:rFonts w:hint="eastAsia" w:eastAsia="宋体" w:cs="Times New Roman" w:asciiTheme="minorEastAsia" w:hAnsiTheme="minorEastAsia"/>
          <w:kern w:val="0"/>
          <w:sz w:val="24"/>
          <w:szCs w:val="24"/>
        </w:rPr>
        <w:t>先补后占、占补平衡</w:t>
      </w:r>
      <w:r>
        <w:rPr>
          <w:rFonts w:eastAsia="宋体" w:cs="Times New Roman" w:asciiTheme="minorEastAsia" w:hAnsiTheme="minorEastAsia"/>
          <w:kern w:val="0"/>
          <w:sz w:val="24"/>
          <w:szCs w:val="24"/>
        </w:rPr>
        <w:t>”</w:t>
      </w:r>
      <w:r>
        <w:rPr>
          <w:rFonts w:hint="eastAsia" w:eastAsia="宋体" w:cs="Times New Roman" w:asciiTheme="minorEastAsia" w:hAnsiTheme="minorEastAsia"/>
          <w:kern w:val="0"/>
          <w:sz w:val="24"/>
          <w:szCs w:val="24"/>
        </w:rPr>
        <w:t>的原则，负责恢复或重建与所占用湿地面积和质量相当的湿地。</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强化湿地生态环境功能。提高湿地保护意识，充分发挥现有湿地的生态环境功能，禁止污染、破坏天然湿地。开展湿地健康状况和生态价值评估，对于受损湿地，应制定详细的修复策略。</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（三）</w:t>
      </w:r>
      <w:r>
        <w:rPr>
          <w:rFonts w:eastAsia="宋体" w:cs="Times New Roman" w:asciiTheme="minorEastAsia" w:hAnsiTheme="minorEastAsia"/>
          <w:b/>
          <w:kern w:val="0"/>
          <w:sz w:val="24"/>
          <w:szCs w:val="24"/>
        </w:rPr>
        <w:t>陆地水域</w:t>
      </w:r>
    </w:p>
    <w:p>
      <w:pPr>
        <w:adjustRightInd w:val="0"/>
        <w:snapToGrid w:val="0"/>
        <w:spacing w:line="360" w:lineRule="auto"/>
        <w:ind w:firstLine="480" w:firstLineChars="200"/>
        <w:rPr>
          <w:rFonts w:eastAsia="宋体" w:cs="Times New Roman" w:asciiTheme="minorEastAsia" w:hAnsiTheme="minorEastAsia"/>
          <w:b/>
          <w:kern w:val="0"/>
          <w:sz w:val="24"/>
          <w:szCs w:val="24"/>
          <w:u w:val="single"/>
        </w:rPr>
      </w:pPr>
      <w:r>
        <w:rPr>
          <w:rFonts w:eastAsia="宋体" w:cs="Times New Roman" w:asciiTheme="minorEastAsia" w:hAnsiTheme="minorEastAsia"/>
          <w:kern w:val="0"/>
          <w:sz w:val="24"/>
          <w:szCs w:val="24"/>
        </w:rPr>
        <w:t>优化片区陆地水域分布</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保护郪江、马力河、龙溪河、幸福溪、濛溪河等流域</w:t>
      </w:r>
      <w:r>
        <w:rPr>
          <w:rFonts w:hint="eastAsia" w:eastAsia="宋体" w:cs="Times New Roman" w:asciiTheme="minorEastAsia" w:hAnsiTheme="minorEastAsia"/>
          <w:kern w:val="0"/>
          <w:sz w:val="24"/>
          <w:szCs w:val="24"/>
        </w:rPr>
        <w:t>的</w:t>
      </w:r>
      <w:r>
        <w:rPr>
          <w:rFonts w:eastAsia="宋体" w:cs="Times New Roman" w:asciiTheme="minorEastAsia" w:hAnsiTheme="minorEastAsia"/>
          <w:kern w:val="0"/>
          <w:sz w:val="24"/>
          <w:szCs w:val="24"/>
        </w:rPr>
        <w:t>生态环境，结合高标准农田建设，增加水库、灌排沟渠</w:t>
      </w:r>
      <w:r>
        <w:rPr>
          <w:rFonts w:hint="eastAsia" w:eastAsia="宋体" w:cs="Times New Roman" w:asciiTheme="minorEastAsia" w:hAnsiTheme="minorEastAsia"/>
          <w:kern w:val="0"/>
          <w:sz w:val="24"/>
          <w:szCs w:val="24"/>
        </w:rPr>
        <w:t>。</w:t>
      </w:r>
      <w:r>
        <w:rPr>
          <w:rFonts w:hint="eastAsia" w:eastAsia="宋体" w:cs="Times New Roman" w:asciiTheme="minorEastAsia" w:hAnsiTheme="minorEastAsia"/>
          <w:b/>
          <w:kern w:val="0"/>
          <w:sz w:val="24"/>
          <w:szCs w:val="24"/>
          <w:u w:val="single"/>
        </w:rPr>
        <w:t>2020年片区</w:t>
      </w:r>
      <w:r>
        <w:rPr>
          <w:rFonts w:eastAsia="宋体" w:cs="Times New Roman" w:asciiTheme="minorEastAsia" w:hAnsiTheme="minorEastAsia"/>
          <w:b/>
          <w:kern w:val="0"/>
          <w:sz w:val="24"/>
          <w:szCs w:val="24"/>
          <w:u w:val="single"/>
        </w:rPr>
        <w:t>陆地水域</w:t>
      </w:r>
      <w:r>
        <w:rPr>
          <w:rFonts w:hint="eastAsia" w:eastAsia="宋体" w:cs="Times New Roman" w:asciiTheme="minorEastAsia" w:hAnsiTheme="minorEastAsia"/>
          <w:b/>
          <w:kern w:val="0"/>
          <w:sz w:val="24"/>
          <w:szCs w:val="24"/>
          <w:u w:val="single"/>
        </w:rPr>
        <w:t>面积为1058.70公顷，占土地总面积的4.63</w:t>
      </w:r>
      <w:r>
        <w:rPr>
          <w:rFonts w:eastAsia="宋体" w:cs="Times New Roman" w:asciiTheme="minorEastAsia" w:hAnsiTheme="minorEastAsia"/>
          <w:b/>
          <w:kern w:val="0"/>
          <w:sz w:val="24"/>
          <w:szCs w:val="24"/>
          <w:u w:val="single"/>
        </w:rPr>
        <w:t>%</w:t>
      </w:r>
      <w:r>
        <w:rPr>
          <w:rFonts w:hint="eastAsia" w:eastAsia="宋体" w:cs="Times New Roman" w:asciiTheme="minorEastAsia" w:hAnsiTheme="minorEastAsia"/>
          <w:b/>
          <w:kern w:val="0"/>
          <w:sz w:val="24"/>
          <w:szCs w:val="24"/>
          <w:u w:val="single"/>
        </w:rPr>
        <w:t>，规划至</w:t>
      </w:r>
      <w:r>
        <w:rPr>
          <w:rFonts w:eastAsia="宋体" w:cs="Times New Roman" w:asciiTheme="minorEastAsia" w:hAnsiTheme="minorEastAsia"/>
          <w:b/>
          <w:kern w:val="0"/>
          <w:sz w:val="24"/>
          <w:szCs w:val="24"/>
          <w:u w:val="single"/>
        </w:rPr>
        <w:t>2035</w:t>
      </w:r>
      <w:r>
        <w:rPr>
          <w:rFonts w:hint="eastAsia" w:eastAsia="宋体" w:cs="Times New Roman" w:asciiTheme="minorEastAsia" w:hAnsiTheme="minorEastAsia"/>
          <w:b/>
          <w:kern w:val="0"/>
          <w:sz w:val="24"/>
          <w:szCs w:val="24"/>
          <w:u w:val="single"/>
        </w:rPr>
        <w:t>年，片区</w:t>
      </w:r>
      <w:r>
        <w:rPr>
          <w:rFonts w:eastAsia="宋体" w:cs="Times New Roman" w:asciiTheme="minorEastAsia" w:hAnsiTheme="minorEastAsia"/>
          <w:b/>
          <w:kern w:val="0"/>
          <w:sz w:val="24"/>
          <w:szCs w:val="24"/>
          <w:u w:val="single"/>
        </w:rPr>
        <w:t>陆地水域</w:t>
      </w:r>
      <w:r>
        <w:rPr>
          <w:rFonts w:hint="eastAsia" w:eastAsia="宋体" w:cs="Times New Roman" w:asciiTheme="minorEastAsia" w:hAnsiTheme="minorEastAsia"/>
          <w:b/>
          <w:kern w:val="0"/>
          <w:sz w:val="24"/>
          <w:szCs w:val="24"/>
          <w:u w:val="single"/>
        </w:rPr>
        <w:t>面积调整为1156.58公顷，占土地总面积的5.05</w:t>
      </w:r>
      <w:r>
        <w:rPr>
          <w:rFonts w:eastAsia="宋体" w:cs="Times New Roman" w:asciiTheme="minorEastAsia" w:hAnsiTheme="minorEastAsia"/>
          <w:b/>
          <w:kern w:val="0"/>
          <w:sz w:val="24"/>
          <w:szCs w:val="24"/>
          <w:u w:val="single"/>
        </w:rPr>
        <w:t>%</w:t>
      </w:r>
      <w:r>
        <w:rPr>
          <w:rFonts w:hint="eastAsia" w:eastAsia="宋体" w:cs="Times New Roman" w:asciiTheme="minorEastAsia" w:hAnsiTheme="minorEastAsia"/>
          <w:b/>
          <w:kern w:val="0"/>
          <w:sz w:val="24"/>
          <w:szCs w:val="24"/>
          <w:u w:val="single"/>
        </w:rPr>
        <w:t>，规划期间</w:t>
      </w:r>
      <w:r>
        <w:rPr>
          <w:rFonts w:eastAsia="宋体" w:cs="Times New Roman" w:asciiTheme="minorEastAsia" w:hAnsiTheme="minorEastAsia"/>
          <w:b/>
          <w:kern w:val="0"/>
          <w:sz w:val="24"/>
          <w:szCs w:val="24"/>
          <w:u w:val="single"/>
        </w:rPr>
        <w:t>陆地水域</w:t>
      </w:r>
      <w:r>
        <w:rPr>
          <w:rFonts w:hint="eastAsia" w:eastAsia="宋体" w:cs="Times New Roman" w:asciiTheme="minorEastAsia" w:hAnsiTheme="minorEastAsia"/>
          <w:b/>
          <w:kern w:val="0"/>
          <w:sz w:val="24"/>
          <w:szCs w:val="24"/>
          <w:u w:val="single"/>
        </w:rPr>
        <w:t>面积较现状增加了97.89公顷，占土地总面积百分比增加0.42个百分点。</w:t>
      </w:r>
    </w:p>
    <w:p>
      <w:pPr>
        <w:adjustRightInd w:val="0"/>
        <w:snapToGrid w:val="0"/>
        <w:spacing w:line="360" w:lineRule="auto"/>
        <w:ind w:firstLine="482" w:firstLineChars="200"/>
        <w:rPr>
          <w:rFonts w:ascii="黑体" w:hAnsi="黑体" w:eastAsia="黑体" w:cs="Times New Roman"/>
          <w:b/>
          <w:kern w:val="0"/>
          <w:sz w:val="24"/>
          <w:szCs w:val="24"/>
        </w:rPr>
      </w:pPr>
      <w:r>
        <w:rPr>
          <w:rFonts w:hint="eastAsia" w:ascii="黑体" w:hAnsi="黑体" w:eastAsia="黑体" w:cs="Times New Roman"/>
          <w:b/>
          <w:kern w:val="0"/>
          <w:sz w:val="24"/>
          <w:szCs w:val="24"/>
        </w:rPr>
        <w:t>四、</w:t>
      </w:r>
      <w:r>
        <w:rPr>
          <w:rFonts w:ascii="黑体" w:hAnsi="黑体" w:eastAsia="黑体" w:cs="Times New Roman"/>
          <w:b/>
          <w:kern w:val="0"/>
          <w:sz w:val="24"/>
          <w:szCs w:val="24"/>
        </w:rPr>
        <w:t>建设用地总量减少，提升利用效率</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建设用地包括城乡建设用地、区域基础设施用地和其他建设用地。其中，城乡建设用地包括城镇建设用地和</w:t>
      </w:r>
      <w:r>
        <w:rPr>
          <w:rFonts w:hint="eastAsia" w:eastAsia="宋体" w:cs="Times New Roman" w:asciiTheme="minorEastAsia" w:hAnsiTheme="minorEastAsia"/>
          <w:kern w:val="0"/>
          <w:sz w:val="24"/>
          <w:szCs w:val="24"/>
        </w:rPr>
        <w:t>农村</w:t>
      </w:r>
      <w:r>
        <w:rPr>
          <w:rFonts w:eastAsia="宋体" w:cs="Times New Roman" w:asciiTheme="minorEastAsia" w:hAnsiTheme="minorEastAsia"/>
          <w:kern w:val="0"/>
          <w:sz w:val="24"/>
          <w:szCs w:val="24"/>
        </w:rPr>
        <w:t>宅基地（农村居民点用地）</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公共管理公共服务设施用地</w:t>
      </w:r>
      <w:r>
        <w:rPr>
          <w:rFonts w:hint="eastAsia" w:eastAsia="宋体" w:cs="Times New Roman" w:asciiTheme="minorEastAsia" w:hAnsiTheme="minorEastAsia"/>
          <w:kern w:val="0"/>
          <w:sz w:val="24"/>
          <w:szCs w:val="24"/>
        </w:rPr>
        <w:t>、商业服务业用地、工矿用地等。</w:t>
      </w:r>
      <w:r>
        <w:rPr>
          <w:rFonts w:eastAsia="宋体" w:cs="Times New Roman" w:asciiTheme="minorEastAsia" w:hAnsiTheme="minorEastAsia"/>
          <w:kern w:val="0"/>
          <w:sz w:val="24"/>
          <w:szCs w:val="24"/>
        </w:rPr>
        <w:t>区域基础设施用地包括交通运输用地和公用设施用地，其他建设用地包括特殊用地和采矿盐田用地。</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（一）建设用地调整原则</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1、</w:t>
      </w:r>
      <w:r>
        <w:rPr>
          <w:rFonts w:eastAsia="宋体" w:cs="Times New Roman" w:asciiTheme="minorEastAsia" w:hAnsiTheme="minorEastAsia"/>
          <w:kern w:val="0"/>
          <w:sz w:val="24"/>
          <w:szCs w:val="24"/>
        </w:rPr>
        <w:t>科学预测、合理安排、统筹配置</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以城乡经济发展和人口规模变化为依据、以保障城乡居民生产生活的合理需求为导向，合理确定各类城乡建设用地规模，并按照城镇化发展的客观规律以及</w:t>
      </w:r>
      <w:r>
        <w:rPr>
          <w:rFonts w:hint="eastAsia" w:eastAsia="宋体" w:cs="Times New Roman" w:asciiTheme="minorEastAsia" w:hAnsiTheme="minorEastAsia"/>
          <w:kern w:val="0"/>
          <w:sz w:val="24"/>
          <w:szCs w:val="24"/>
        </w:rPr>
        <w:t>片区</w:t>
      </w:r>
      <w:r>
        <w:rPr>
          <w:rFonts w:eastAsia="宋体" w:cs="Times New Roman" w:asciiTheme="minorEastAsia" w:hAnsiTheme="minorEastAsia"/>
          <w:kern w:val="0"/>
          <w:sz w:val="24"/>
          <w:szCs w:val="24"/>
        </w:rPr>
        <w:t>的目标定位科学调整建设用地结构。城镇建设用地的安排，应立足各地城镇化、工业化发展的社会经济条件和发展阶段，科学预测未来发展变化，正确判断用地需求，既要警惕主观冒进，又要防止前瞻性不足；农村居民点用地规模调整，既要按照城乡用地增减挂钩的要求，与城镇化速度成反比实现总量逐步缩小，又要与乡村振兴相结合，预留一定空间满足新农村建设和布局调整的需求。</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2、</w:t>
      </w:r>
      <w:r>
        <w:rPr>
          <w:rFonts w:eastAsia="宋体" w:cs="Times New Roman" w:asciiTheme="minorEastAsia" w:hAnsiTheme="minorEastAsia"/>
          <w:kern w:val="0"/>
          <w:sz w:val="24"/>
          <w:szCs w:val="24"/>
        </w:rPr>
        <w:t>对内挖潜、盘活存量</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统计省厅批文征地情况，梳理历年土地供应材料（供地台账及宗地批文），并结合报征范围线、供地线和</w:t>
      </w:r>
      <w:r>
        <w:rPr>
          <w:rFonts w:hint="eastAsia" w:eastAsia="宋体" w:cs="Times New Roman" w:asciiTheme="minorEastAsia" w:hAnsiTheme="minorEastAsia"/>
          <w:kern w:val="0"/>
          <w:sz w:val="24"/>
          <w:szCs w:val="24"/>
        </w:rPr>
        <w:t>2020年变更调查</w:t>
      </w:r>
      <w:r>
        <w:rPr>
          <w:rFonts w:eastAsia="宋体" w:cs="Times New Roman" w:asciiTheme="minorEastAsia" w:hAnsiTheme="minorEastAsia"/>
          <w:kern w:val="0"/>
          <w:sz w:val="24"/>
          <w:szCs w:val="24"/>
        </w:rPr>
        <w:t>非建设用地范围叠加结果，对</w:t>
      </w:r>
      <w:r>
        <w:rPr>
          <w:rFonts w:hint="eastAsia" w:eastAsia="宋体" w:cs="Times New Roman" w:asciiTheme="minorEastAsia" w:hAnsiTheme="minorEastAsia"/>
          <w:kern w:val="0"/>
          <w:sz w:val="24"/>
          <w:szCs w:val="24"/>
        </w:rPr>
        <w:t>片区</w:t>
      </w:r>
      <w:r>
        <w:rPr>
          <w:rFonts w:eastAsia="宋体" w:cs="Times New Roman" w:asciiTheme="minorEastAsia" w:hAnsiTheme="minorEastAsia"/>
          <w:kern w:val="0"/>
          <w:sz w:val="24"/>
          <w:szCs w:val="24"/>
        </w:rPr>
        <w:t>建设用地进行梳理，识别已批未建的建设用地。对于识别出的存量土地进行分类别、有针对性的“一地一策”盘活，深入挖掘城乡内部潜力，提高土地利用效率。</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3、</w:t>
      </w:r>
      <w:r>
        <w:rPr>
          <w:rFonts w:eastAsia="宋体" w:cs="Times New Roman" w:asciiTheme="minorEastAsia" w:hAnsiTheme="minorEastAsia"/>
          <w:kern w:val="0"/>
          <w:sz w:val="24"/>
          <w:szCs w:val="24"/>
        </w:rPr>
        <w:t>因地制宜、节约集约利用土地</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根据人口规模及经济发展目标确定建设用地规模及结构，除必须</w:t>
      </w:r>
      <w:r>
        <w:rPr>
          <w:rFonts w:hint="eastAsia" w:eastAsia="宋体" w:cs="Times New Roman" w:asciiTheme="minorEastAsia" w:hAnsiTheme="minorEastAsia"/>
          <w:kern w:val="0"/>
          <w:sz w:val="24"/>
          <w:szCs w:val="24"/>
        </w:rPr>
        <w:t>符合</w:t>
      </w:r>
      <w:r>
        <w:rPr>
          <w:rFonts w:eastAsia="宋体" w:cs="Times New Roman" w:asciiTheme="minorEastAsia" w:hAnsiTheme="minorEastAsia"/>
          <w:kern w:val="0"/>
          <w:sz w:val="24"/>
          <w:szCs w:val="24"/>
        </w:rPr>
        <w:t>国家有关用地标准约束外，还需要在</w:t>
      </w:r>
      <w:r>
        <w:rPr>
          <w:rFonts w:hint="eastAsia" w:eastAsia="宋体" w:cs="Times New Roman" w:asciiTheme="minorEastAsia" w:hAnsiTheme="minorEastAsia"/>
          <w:kern w:val="0"/>
          <w:sz w:val="24"/>
          <w:szCs w:val="24"/>
        </w:rPr>
        <w:t>片区</w:t>
      </w:r>
      <w:r>
        <w:rPr>
          <w:rFonts w:eastAsia="宋体" w:cs="Times New Roman" w:asciiTheme="minorEastAsia" w:hAnsiTheme="minorEastAsia"/>
          <w:kern w:val="0"/>
          <w:sz w:val="24"/>
          <w:szCs w:val="24"/>
        </w:rPr>
        <w:t>土地利用现状的基础上，正确识别各类建设用地集约利用水平，重点考察各乡镇技术经济条件、资源环境约束、消费需求等因素对土地利用方式带来的影响，有针对性的采取相应措施，进一步强化节约集约利用土地，促使建设用地的科学合理利用与优化布局，最科学合理利用与优化布局，最大程度发挥土地资源的应用价值。</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（二）片区建设用地优化结果</w:t>
      </w:r>
    </w:p>
    <w:p>
      <w:pPr>
        <w:adjustRightInd w:val="0"/>
        <w:snapToGrid w:val="0"/>
        <w:spacing w:line="360" w:lineRule="auto"/>
        <w:ind w:firstLine="480" w:firstLineChars="200"/>
        <w:rPr>
          <w:rFonts w:eastAsia="宋体" w:cs="Times New Roman" w:asciiTheme="minorEastAsia" w:hAnsiTheme="minorEastAsia"/>
          <w:b/>
          <w:kern w:val="0"/>
          <w:sz w:val="24"/>
          <w:szCs w:val="24"/>
          <w:u w:val="single"/>
        </w:rPr>
      </w:pPr>
      <w:r>
        <w:rPr>
          <w:rFonts w:hint="eastAsia" w:eastAsia="宋体" w:cs="Times New Roman" w:asciiTheme="minorEastAsia" w:hAnsiTheme="minorEastAsia"/>
          <w:kern w:val="0"/>
          <w:sz w:val="24"/>
          <w:szCs w:val="24"/>
        </w:rPr>
        <w:t>规划</w:t>
      </w:r>
      <w:r>
        <w:rPr>
          <w:rFonts w:eastAsia="宋体" w:cs="Times New Roman" w:asciiTheme="minorEastAsia" w:hAnsiTheme="minorEastAsia"/>
          <w:kern w:val="0"/>
          <w:sz w:val="24"/>
          <w:szCs w:val="24"/>
        </w:rPr>
        <w:t>有序开展宅基地和闲置低效工矿用地复垦，可节余流量指标</w:t>
      </w:r>
      <w:r>
        <w:rPr>
          <w:rFonts w:hint="eastAsia" w:eastAsia="宋体" w:cs="Times New Roman" w:asciiTheme="minorEastAsia" w:hAnsiTheme="minorEastAsia"/>
          <w:kern w:val="0"/>
          <w:sz w:val="24"/>
          <w:szCs w:val="24"/>
        </w:rPr>
        <w:t>426.18</w:t>
      </w:r>
      <w:r>
        <w:rPr>
          <w:rFonts w:eastAsia="宋体" w:cs="Times New Roman" w:asciiTheme="minorEastAsia" w:hAnsiTheme="minorEastAsia"/>
          <w:kern w:val="0"/>
          <w:sz w:val="24"/>
          <w:szCs w:val="24"/>
        </w:rPr>
        <w:t>公顷。</w:t>
      </w:r>
      <w:r>
        <w:rPr>
          <w:rFonts w:hint="eastAsia" w:eastAsia="宋体" w:cs="Times New Roman" w:asciiTheme="minorEastAsia" w:hAnsiTheme="minorEastAsia"/>
          <w:b/>
          <w:kern w:val="0"/>
          <w:sz w:val="24"/>
          <w:szCs w:val="24"/>
          <w:u w:val="single"/>
        </w:rPr>
        <w:t>2020年片区建设</w:t>
      </w:r>
      <w:r>
        <w:rPr>
          <w:rFonts w:eastAsia="宋体" w:cs="Times New Roman" w:asciiTheme="minorEastAsia" w:hAnsiTheme="minorEastAsia"/>
          <w:b/>
          <w:kern w:val="0"/>
          <w:sz w:val="24"/>
          <w:szCs w:val="24"/>
          <w:u w:val="single"/>
        </w:rPr>
        <w:t>用地总</w:t>
      </w:r>
      <w:r>
        <w:rPr>
          <w:rFonts w:hint="eastAsia" w:eastAsia="宋体" w:cs="Times New Roman" w:asciiTheme="minorEastAsia" w:hAnsiTheme="minorEastAsia"/>
          <w:b/>
          <w:kern w:val="0"/>
          <w:sz w:val="24"/>
          <w:szCs w:val="24"/>
          <w:u w:val="single"/>
        </w:rPr>
        <w:t>面积为2227.33公顷，占土地总面积的9.73</w:t>
      </w:r>
      <w:r>
        <w:rPr>
          <w:rFonts w:eastAsia="宋体" w:cs="Times New Roman" w:asciiTheme="minorEastAsia" w:hAnsiTheme="minorEastAsia"/>
          <w:b/>
          <w:kern w:val="0"/>
          <w:sz w:val="24"/>
          <w:szCs w:val="24"/>
          <w:u w:val="single"/>
        </w:rPr>
        <w:t>%</w:t>
      </w:r>
      <w:r>
        <w:rPr>
          <w:rFonts w:hint="eastAsia" w:eastAsia="宋体" w:cs="Times New Roman" w:asciiTheme="minorEastAsia" w:hAnsiTheme="minorEastAsia"/>
          <w:b/>
          <w:kern w:val="0"/>
          <w:sz w:val="24"/>
          <w:szCs w:val="24"/>
          <w:u w:val="single"/>
        </w:rPr>
        <w:t>，规划至</w:t>
      </w:r>
      <w:r>
        <w:rPr>
          <w:rFonts w:eastAsia="宋体" w:cs="Times New Roman" w:asciiTheme="minorEastAsia" w:hAnsiTheme="minorEastAsia"/>
          <w:b/>
          <w:kern w:val="0"/>
          <w:sz w:val="24"/>
          <w:szCs w:val="24"/>
          <w:u w:val="single"/>
        </w:rPr>
        <w:t>2035</w:t>
      </w:r>
      <w:r>
        <w:rPr>
          <w:rFonts w:hint="eastAsia" w:eastAsia="宋体" w:cs="Times New Roman" w:asciiTheme="minorEastAsia" w:hAnsiTheme="minorEastAsia"/>
          <w:b/>
          <w:kern w:val="0"/>
          <w:sz w:val="24"/>
          <w:szCs w:val="24"/>
          <w:u w:val="single"/>
        </w:rPr>
        <w:t>年，片区建设</w:t>
      </w:r>
      <w:r>
        <w:rPr>
          <w:rFonts w:eastAsia="宋体" w:cs="Times New Roman" w:asciiTheme="minorEastAsia" w:hAnsiTheme="minorEastAsia"/>
          <w:b/>
          <w:kern w:val="0"/>
          <w:sz w:val="24"/>
          <w:szCs w:val="24"/>
          <w:u w:val="single"/>
        </w:rPr>
        <w:t>用地总</w:t>
      </w:r>
      <w:r>
        <w:rPr>
          <w:rFonts w:hint="eastAsia" w:eastAsia="宋体" w:cs="Times New Roman" w:asciiTheme="minorEastAsia" w:hAnsiTheme="minorEastAsia"/>
          <w:b/>
          <w:kern w:val="0"/>
          <w:sz w:val="24"/>
          <w:szCs w:val="24"/>
          <w:u w:val="single"/>
        </w:rPr>
        <w:t>面积调整为2306.98公顷，占土地总面积的10.08</w:t>
      </w:r>
      <w:r>
        <w:rPr>
          <w:rFonts w:eastAsia="宋体" w:cs="Times New Roman" w:asciiTheme="minorEastAsia" w:hAnsiTheme="minorEastAsia"/>
          <w:b/>
          <w:kern w:val="0"/>
          <w:sz w:val="24"/>
          <w:szCs w:val="24"/>
          <w:u w:val="single"/>
        </w:rPr>
        <w:t>%</w:t>
      </w:r>
      <w:r>
        <w:rPr>
          <w:rFonts w:hint="eastAsia" w:eastAsia="宋体" w:cs="Times New Roman" w:asciiTheme="minorEastAsia" w:hAnsiTheme="minorEastAsia"/>
          <w:b/>
          <w:kern w:val="0"/>
          <w:sz w:val="24"/>
          <w:szCs w:val="24"/>
          <w:u w:val="single"/>
        </w:rPr>
        <w:t>，规划期间建设</w:t>
      </w:r>
      <w:r>
        <w:rPr>
          <w:rFonts w:eastAsia="宋体" w:cs="Times New Roman" w:asciiTheme="minorEastAsia" w:hAnsiTheme="minorEastAsia"/>
          <w:b/>
          <w:kern w:val="0"/>
          <w:sz w:val="24"/>
          <w:szCs w:val="24"/>
          <w:u w:val="single"/>
        </w:rPr>
        <w:t>用地总</w:t>
      </w:r>
      <w:r>
        <w:rPr>
          <w:rFonts w:hint="eastAsia" w:eastAsia="宋体" w:cs="Times New Roman" w:asciiTheme="minorEastAsia" w:hAnsiTheme="minorEastAsia"/>
          <w:b/>
          <w:kern w:val="0"/>
          <w:sz w:val="24"/>
          <w:szCs w:val="24"/>
          <w:u w:val="single"/>
        </w:rPr>
        <w:t>面积较现状增加了79.65公顷，占土地总面积百分比增加了0.35个百分点，增加的用地主要为区域基础设施用地。</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1、居住用地</w:t>
      </w:r>
    </w:p>
    <w:p>
      <w:pPr>
        <w:adjustRightInd w:val="0"/>
        <w:snapToGrid w:val="0"/>
        <w:spacing w:line="360" w:lineRule="auto"/>
        <w:ind w:firstLine="482" w:firstLineChars="200"/>
        <w:rPr>
          <w:rFonts w:eastAsia="宋体" w:cs="Times New Roman" w:asciiTheme="minorEastAsia" w:hAnsiTheme="minorEastAsia"/>
          <w:kern w:val="0"/>
          <w:sz w:val="24"/>
          <w:szCs w:val="24"/>
        </w:rPr>
      </w:pPr>
      <w:r>
        <w:rPr>
          <w:rFonts w:eastAsia="宋体" w:cs="Times New Roman" w:asciiTheme="minorEastAsia" w:hAnsiTheme="minorEastAsia"/>
          <w:b/>
          <w:kern w:val="0"/>
          <w:sz w:val="24"/>
          <w:szCs w:val="24"/>
          <w:u w:val="single"/>
        </w:rPr>
        <w:t>规划居住用地</w:t>
      </w:r>
      <w:r>
        <w:rPr>
          <w:rFonts w:hint="eastAsia" w:eastAsia="宋体" w:cs="Times New Roman" w:asciiTheme="minorEastAsia" w:hAnsiTheme="minorEastAsia"/>
          <w:b/>
          <w:kern w:val="0"/>
          <w:sz w:val="24"/>
          <w:szCs w:val="24"/>
          <w:u w:val="single"/>
        </w:rPr>
        <w:t>1556.12</w:t>
      </w:r>
      <w:r>
        <w:rPr>
          <w:rFonts w:eastAsia="宋体" w:cs="Times New Roman" w:asciiTheme="minorEastAsia" w:hAnsiTheme="minorEastAsia"/>
          <w:b/>
          <w:kern w:val="0"/>
          <w:sz w:val="24"/>
          <w:szCs w:val="24"/>
          <w:u w:val="single"/>
        </w:rPr>
        <w:t>公顷，包括城镇住宅用地</w:t>
      </w:r>
      <w:r>
        <w:rPr>
          <w:rFonts w:hint="eastAsia" w:eastAsia="宋体" w:cs="Times New Roman" w:asciiTheme="minorEastAsia" w:hAnsiTheme="minorEastAsia"/>
          <w:b/>
          <w:kern w:val="0"/>
          <w:sz w:val="24"/>
          <w:szCs w:val="24"/>
          <w:u w:val="single"/>
        </w:rPr>
        <w:t>84.64</w:t>
      </w:r>
      <w:r>
        <w:rPr>
          <w:rFonts w:eastAsia="宋体" w:cs="Times New Roman" w:asciiTheme="minorEastAsia" w:hAnsiTheme="minorEastAsia"/>
          <w:b/>
          <w:kern w:val="0"/>
          <w:sz w:val="24"/>
          <w:szCs w:val="24"/>
          <w:u w:val="single"/>
        </w:rPr>
        <w:t>公顷，</w:t>
      </w:r>
      <w:r>
        <w:rPr>
          <w:rFonts w:hint="eastAsia" w:eastAsia="宋体" w:cs="Times New Roman" w:asciiTheme="minorEastAsia" w:hAnsiTheme="minorEastAsia"/>
          <w:b/>
          <w:kern w:val="0"/>
          <w:sz w:val="24"/>
          <w:szCs w:val="24"/>
          <w:u w:val="single"/>
        </w:rPr>
        <w:t>城镇社区服务设施用地0.92公顷，</w:t>
      </w:r>
      <w:r>
        <w:rPr>
          <w:rFonts w:eastAsia="宋体" w:cs="Times New Roman" w:asciiTheme="minorEastAsia" w:hAnsiTheme="minorEastAsia"/>
          <w:b/>
          <w:kern w:val="0"/>
          <w:sz w:val="24"/>
          <w:szCs w:val="24"/>
          <w:u w:val="single"/>
        </w:rPr>
        <w:t>农村宅基地</w:t>
      </w:r>
      <w:r>
        <w:rPr>
          <w:rFonts w:hint="eastAsia" w:eastAsia="宋体" w:cs="Times New Roman" w:asciiTheme="minorEastAsia" w:hAnsiTheme="minorEastAsia"/>
          <w:b/>
          <w:kern w:val="0"/>
          <w:sz w:val="24"/>
          <w:szCs w:val="24"/>
          <w:u w:val="single"/>
        </w:rPr>
        <w:t>1464.70</w:t>
      </w:r>
      <w:r>
        <w:rPr>
          <w:rFonts w:eastAsia="宋体" w:cs="Times New Roman" w:asciiTheme="minorEastAsia" w:hAnsiTheme="minorEastAsia"/>
          <w:b/>
          <w:kern w:val="0"/>
          <w:sz w:val="24"/>
          <w:szCs w:val="24"/>
          <w:u w:val="single"/>
        </w:rPr>
        <w:t>公顷，农村</w:t>
      </w:r>
      <w:r>
        <w:rPr>
          <w:rFonts w:hint="eastAsia" w:eastAsia="宋体" w:cs="Times New Roman" w:asciiTheme="minorEastAsia" w:hAnsiTheme="minorEastAsia"/>
          <w:b/>
          <w:kern w:val="0"/>
          <w:sz w:val="24"/>
          <w:szCs w:val="24"/>
          <w:u w:val="single"/>
        </w:rPr>
        <w:t>社区</w:t>
      </w:r>
      <w:r>
        <w:rPr>
          <w:rFonts w:eastAsia="宋体" w:cs="Times New Roman" w:asciiTheme="minorEastAsia" w:hAnsiTheme="minorEastAsia"/>
          <w:b/>
          <w:kern w:val="0"/>
          <w:sz w:val="24"/>
          <w:szCs w:val="24"/>
          <w:u w:val="single"/>
        </w:rPr>
        <w:t>服务设施用地</w:t>
      </w:r>
      <w:r>
        <w:rPr>
          <w:rFonts w:hint="eastAsia" w:eastAsia="宋体" w:cs="Times New Roman" w:asciiTheme="minorEastAsia" w:hAnsiTheme="minorEastAsia"/>
          <w:b/>
          <w:kern w:val="0"/>
          <w:sz w:val="24"/>
          <w:szCs w:val="24"/>
          <w:u w:val="single"/>
        </w:rPr>
        <w:t>5.86</w:t>
      </w:r>
      <w:r>
        <w:rPr>
          <w:rFonts w:eastAsia="宋体" w:cs="Times New Roman" w:asciiTheme="minorEastAsia" w:hAnsiTheme="minorEastAsia"/>
          <w:b/>
          <w:kern w:val="0"/>
          <w:sz w:val="24"/>
          <w:szCs w:val="24"/>
          <w:u w:val="single"/>
        </w:rPr>
        <w:t>公顷，</w:t>
      </w:r>
      <w:r>
        <w:rPr>
          <w:rFonts w:eastAsia="宋体" w:cs="Times New Roman" w:asciiTheme="minorEastAsia" w:hAnsiTheme="minorEastAsia"/>
          <w:kern w:val="0"/>
          <w:sz w:val="24"/>
          <w:szCs w:val="24"/>
        </w:rPr>
        <w:t>片区居住用地较现状减少了</w:t>
      </w:r>
      <w:r>
        <w:rPr>
          <w:rFonts w:hint="eastAsia" w:eastAsia="宋体" w:cs="Times New Roman" w:asciiTheme="minorEastAsia" w:hAnsiTheme="minorEastAsia"/>
          <w:kern w:val="0"/>
          <w:sz w:val="24"/>
          <w:szCs w:val="24"/>
        </w:rPr>
        <w:t>402.19</w:t>
      </w:r>
      <w:r>
        <w:rPr>
          <w:rFonts w:eastAsia="宋体" w:cs="Times New Roman" w:asciiTheme="minorEastAsia" w:hAnsiTheme="minorEastAsia"/>
          <w:kern w:val="0"/>
          <w:sz w:val="24"/>
          <w:szCs w:val="24"/>
        </w:rPr>
        <w:t>公顷</w:t>
      </w:r>
      <w:r>
        <w:rPr>
          <w:rFonts w:hint="eastAsia" w:eastAsia="宋体" w:cs="Times New Roman" w:asciiTheme="minorEastAsia" w:hAnsiTheme="minorEastAsia"/>
          <w:kern w:val="0"/>
          <w:sz w:val="24"/>
          <w:szCs w:val="24"/>
        </w:rPr>
        <w:t>。</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2、</w:t>
      </w:r>
      <w:r>
        <w:rPr>
          <w:rFonts w:eastAsia="宋体" w:cs="Times New Roman" w:asciiTheme="minorEastAsia" w:hAnsiTheme="minorEastAsia"/>
          <w:kern w:val="0"/>
          <w:sz w:val="24"/>
          <w:szCs w:val="24"/>
        </w:rPr>
        <w:t>规划公共管理与公共服务用地</w:t>
      </w:r>
    </w:p>
    <w:p>
      <w:pPr>
        <w:adjustRightInd w:val="0"/>
        <w:snapToGrid w:val="0"/>
        <w:spacing w:line="360" w:lineRule="auto"/>
        <w:ind w:firstLine="482" w:firstLineChars="200"/>
        <w:rPr>
          <w:rFonts w:eastAsia="宋体" w:cs="Times New Roman" w:asciiTheme="minorEastAsia" w:hAnsiTheme="minorEastAsia"/>
          <w:kern w:val="0"/>
          <w:sz w:val="24"/>
          <w:szCs w:val="24"/>
        </w:rPr>
      </w:pPr>
      <w:r>
        <w:rPr>
          <w:rFonts w:eastAsia="宋体" w:cs="Times New Roman" w:asciiTheme="minorEastAsia" w:hAnsiTheme="minorEastAsia"/>
          <w:b/>
          <w:kern w:val="0"/>
          <w:sz w:val="24"/>
          <w:szCs w:val="24"/>
          <w:u w:val="single"/>
        </w:rPr>
        <w:t>规划公共管理与公共服务用地</w:t>
      </w:r>
      <w:r>
        <w:rPr>
          <w:rFonts w:hint="eastAsia" w:eastAsia="宋体" w:cs="Times New Roman" w:asciiTheme="minorEastAsia" w:hAnsiTheme="minorEastAsia"/>
          <w:b/>
          <w:kern w:val="0"/>
          <w:sz w:val="24"/>
          <w:szCs w:val="24"/>
          <w:u w:val="single"/>
        </w:rPr>
        <w:t>43.95</w:t>
      </w:r>
      <w:r>
        <w:rPr>
          <w:rFonts w:eastAsia="宋体" w:cs="Times New Roman" w:asciiTheme="minorEastAsia" w:hAnsiTheme="minorEastAsia"/>
          <w:b/>
          <w:kern w:val="0"/>
          <w:sz w:val="24"/>
          <w:szCs w:val="24"/>
          <w:u w:val="single"/>
        </w:rPr>
        <w:t>公顷，主要包括三个镇区的机关团体用地</w:t>
      </w:r>
      <w:r>
        <w:rPr>
          <w:rFonts w:hint="eastAsia" w:eastAsia="宋体" w:cs="Times New Roman" w:asciiTheme="minorEastAsia" w:hAnsiTheme="minorEastAsia"/>
          <w:b/>
          <w:kern w:val="0"/>
          <w:sz w:val="24"/>
          <w:szCs w:val="24"/>
          <w:u w:val="single"/>
        </w:rPr>
        <w:t>12.16</w:t>
      </w:r>
      <w:r>
        <w:rPr>
          <w:rFonts w:eastAsia="宋体" w:cs="Times New Roman" w:asciiTheme="minorEastAsia" w:hAnsiTheme="minorEastAsia"/>
          <w:b/>
          <w:kern w:val="0"/>
          <w:sz w:val="24"/>
          <w:szCs w:val="24"/>
          <w:u w:val="single"/>
        </w:rPr>
        <w:t>公顷、文化用地</w:t>
      </w:r>
      <w:r>
        <w:rPr>
          <w:rFonts w:hint="eastAsia" w:eastAsia="宋体" w:cs="Times New Roman" w:asciiTheme="minorEastAsia" w:hAnsiTheme="minorEastAsia"/>
          <w:b/>
          <w:kern w:val="0"/>
          <w:sz w:val="24"/>
          <w:szCs w:val="24"/>
          <w:u w:val="single"/>
        </w:rPr>
        <w:t>0.92</w:t>
      </w:r>
      <w:r>
        <w:rPr>
          <w:rFonts w:eastAsia="宋体" w:cs="Times New Roman" w:asciiTheme="minorEastAsia" w:hAnsiTheme="minorEastAsia"/>
          <w:b/>
          <w:kern w:val="0"/>
          <w:sz w:val="24"/>
          <w:szCs w:val="24"/>
          <w:u w:val="single"/>
        </w:rPr>
        <w:t>公顷、教育用地</w:t>
      </w:r>
      <w:r>
        <w:rPr>
          <w:rFonts w:hint="eastAsia" w:eastAsia="宋体" w:cs="Times New Roman" w:asciiTheme="minorEastAsia" w:hAnsiTheme="minorEastAsia"/>
          <w:b/>
          <w:kern w:val="0"/>
          <w:sz w:val="24"/>
          <w:szCs w:val="24"/>
          <w:u w:val="single"/>
        </w:rPr>
        <w:t>22.55</w:t>
      </w:r>
      <w:r>
        <w:rPr>
          <w:rFonts w:eastAsia="宋体" w:cs="Times New Roman" w:asciiTheme="minorEastAsia" w:hAnsiTheme="minorEastAsia"/>
          <w:b/>
          <w:kern w:val="0"/>
          <w:sz w:val="24"/>
          <w:szCs w:val="24"/>
          <w:u w:val="single"/>
        </w:rPr>
        <w:t>公顷、体育用地</w:t>
      </w:r>
      <w:r>
        <w:rPr>
          <w:rFonts w:hint="eastAsia" w:eastAsia="宋体" w:cs="Times New Roman" w:asciiTheme="minorEastAsia" w:hAnsiTheme="minorEastAsia"/>
          <w:b/>
          <w:kern w:val="0"/>
          <w:sz w:val="24"/>
          <w:szCs w:val="24"/>
          <w:u w:val="single"/>
        </w:rPr>
        <w:t>0.82</w:t>
      </w:r>
      <w:r>
        <w:rPr>
          <w:rFonts w:eastAsia="宋体" w:cs="Times New Roman" w:asciiTheme="minorEastAsia" w:hAnsiTheme="minorEastAsia"/>
          <w:b/>
          <w:kern w:val="0"/>
          <w:sz w:val="24"/>
          <w:szCs w:val="24"/>
          <w:u w:val="single"/>
        </w:rPr>
        <w:t>公顷、医疗卫生用地</w:t>
      </w:r>
      <w:r>
        <w:rPr>
          <w:rFonts w:hint="eastAsia" w:eastAsia="宋体" w:cs="Times New Roman" w:asciiTheme="minorEastAsia" w:hAnsiTheme="minorEastAsia"/>
          <w:b/>
          <w:kern w:val="0"/>
          <w:sz w:val="24"/>
          <w:szCs w:val="24"/>
          <w:u w:val="single"/>
        </w:rPr>
        <w:t>4.85</w:t>
      </w:r>
      <w:r>
        <w:rPr>
          <w:rFonts w:eastAsia="宋体" w:cs="Times New Roman" w:asciiTheme="minorEastAsia" w:hAnsiTheme="minorEastAsia"/>
          <w:b/>
          <w:kern w:val="0"/>
          <w:sz w:val="24"/>
          <w:szCs w:val="24"/>
          <w:u w:val="single"/>
        </w:rPr>
        <w:t>公顷和社会福利设施用地</w:t>
      </w:r>
      <w:r>
        <w:rPr>
          <w:rFonts w:hint="eastAsia" w:eastAsia="宋体" w:cs="Times New Roman" w:asciiTheme="minorEastAsia" w:hAnsiTheme="minorEastAsia"/>
          <w:b/>
          <w:kern w:val="0"/>
          <w:sz w:val="24"/>
          <w:szCs w:val="24"/>
          <w:u w:val="single"/>
        </w:rPr>
        <w:t>2.65</w:t>
      </w:r>
      <w:r>
        <w:rPr>
          <w:rFonts w:eastAsia="宋体" w:cs="Times New Roman" w:asciiTheme="minorEastAsia" w:hAnsiTheme="minorEastAsia"/>
          <w:b/>
          <w:kern w:val="0"/>
          <w:sz w:val="24"/>
          <w:szCs w:val="24"/>
          <w:u w:val="single"/>
        </w:rPr>
        <w:t>公顷</w:t>
      </w:r>
      <w:r>
        <w:rPr>
          <w:rFonts w:eastAsia="宋体" w:cs="Times New Roman" w:asciiTheme="minorEastAsia" w:hAnsiTheme="minorEastAsia"/>
          <w:kern w:val="0"/>
          <w:sz w:val="24"/>
          <w:szCs w:val="24"/>
        </w:rPr>
        <w:t>，片区公共管理与公共服务用地较现状增加了</w:t>
      </w:r>
      <w:r>
        <w:rPr>
          <w:rFonts w:hint="eastAsia" w:eastAsia="宋体" w:cs="Times New Roman" w:asciiTheme="minorEastAsia" w:hAnsiTheme="minorEastAsia"/>
          <w:kern w:val="0"/>
          <w:sz w:val="24"/>
          <w:szCs w:val="24"/>
        </w:rPr>
        <w:t>7.12</w:t>
      </w:r>
      <w:r>
        <w:rPr>
          <w:rFonts w:eastAsia="宋体" w:cs="Times New Roman" w:asciiTheme="minorEastAsia" w:hAnsiTheme="minorEastAsia"/>
          <w:kern w:val="0"/>
          <w:sz w:val="24"/>
          <w:szCs w:val="24"/>
        </w:rPr>
        <w:t>公顷</w:t>
      </w:r>
      <w:r>
        <w:rPr>
          <w:rFonts w:hint="eastAsia" w:eastAsia="宋体" w:cs="Times New Roman" w:asciiTheme="minorEastAsia" w:hAnsiTheme="minorEastAsia"/>
          <w:kern w:val="0"/>
          <w:sz w:val="24"/>
          <w:szCs w:val="24"/>
        </w:rPr>
        <w:t>。</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3、</w:t>
      </w:r>
      <w:r>
        <w:rPr>
          <w:rFonts w:eastAsia="宋体" w:cs="Times New Roman" w:asciiTheme="minorEastAsia" w:hAnsiTheme="minorEastAsia"/>
          <w:kern w:val="0"/>
          <w:sz w:val="24"/>
          <w:szCs w:val="24"/>
        </w:rPr>
        <w:t>商业服务业用地</w:t>
      </w:r>
    </w:p>
    <w:p>
      <w:pPr>
        <w:adjustRightInd w:val="0"/>
        <w:snapToGrid w:val="0"/>
        <w:spacing w:line="360" w:lineRule="auto"/>
        <w:ind w:firstLine="482" w:firstLineChars="200"/>
        <w:rPr>
          <w:rFonts w:eastAsia="宋体" w:cs="Times New Roman" w:asciiTheme="minorEastAsia" w:hAnsiTheme="minorEastAsia"/>
          <w:kern w:val="0"/>
          <w:sz w:val="24"/>
          <w:szCs w:val="24"/>
        </w:rPr>
      </w:pPr>
      <w:r>
        <w:rPr>
          <w:rFonts w:eastAsia="宋体" w:cs="Times New Roman" w:asciiTheme="minorEastAsia" w:hAnsiTheme="minorEastAsia"/>
          <w:b/>
          <w:kern w:val="0"/>
          <w:sz w:val="24"/>
          <w:szCs w:val="24"/>
          <w:u w:val="single"/>
        </w:rPr>
        <w:t>规划商业服务业用地</w:t>
      </w:r>
      <w:r>
        <w:rPr>
          <w:rFonts w:hint="eastAsia" w:eastAsia="宋体" w:cs="Times New Roman" w:asciiTheme="minorEastAsia" w:hAnsiTheme="minorEastAsia"/>
          <w:b/>
          <w:kern w:val="0"/>
          <w:sz w:val="24"/>
          <w:szCs w:val="24"/>
          <w:u w:val="single"/>
        </w:rPr>
        <w:t>38.91</w:t>
      </w:r>
      <w:r>
        <w:rPr>
          <w:rFonts w:eastAsia="宋体" w:cs="Times New Roman" w:asciiTheme="minorEastAsia" w:hAnsiTheme="minorEastAsia"/>
          <w:b/>
          <w:kern w:val="0"/>
          <w:sz w:val="24"/>
          <w:szCs w:val="24"/>
          <w:u w:val="single"/>
        </w:rPr>
        <w:t>公顷，主要包括商业用地</w:t>
      </w:r>
      <w:r>
        <w:rPr>
          <w:rFonts w:hint="eastAsia" w:eastAsia="宋体" w:cs="Times New Roman" w:asciiTheme="minorEastAsia" w:hAnsiTheme="minorEastAsia"/>
          <w:b/>
          <w:kern w:val="0"/>
          <w:sz w:val="24"/>
          <w:szCs w:val="24"/>
          <w:u w:val="single"/>
        </w:rPr>
        <w:t>36.57</w:t>
      </w:r>
      <w:r>
        <w:rPr>
          <w:rFonts w:eastAsia="宋体" w:cs="Times New Roman" w:asciiTheme="minorEastAsia" w:hAnsiTheme="minorEastAsia"/>
          <w:b/>
          <w:kern w:val="0"/>
          <w:sz w:val="24"/>
          <w:szCs w:val="24"/>
          <w:u w:val="single"/>
        </w:rPr>
        <w:t>公顷、娱乐康体用地</w:t>
      </w:r>
      <w:r>
        <w:rPr>
          <w:rFonts w:hint="eastAsia" w:eastAsia="宋体" w:cs="Times New Roman" w:asciiTheme="minorEastAsia" w:hAnsiTheme="minorEastAsia"/>
          <w:b/>
          <w:kern w:val="0"/>
          <w:sz w:val="24"/>
          <w:szCs w:val="24"/>
          <w:u w:val="single"/>
        </w:rPr>
        <w:t>1.85</w:t>
      </w:r>
      <w:r>
        <w:rPr>
          <w:rFonts w:eastAsia="宋体" w:cs="Times New Roman" w:asciiTheme="minorEastAsia" w:hAnsiTheme="minorEastAsia"/>
          <w:b/>
          <w:kern w:val="0"/>
          <w:sz w:val="24"/>
          <w:szCs w:val="24"/>
          <w:u w:val="single"/>
        </w:rPr>
        <w:t>公顷、其他商业服务业用地</w:t>
      </w:r>
      <w:r>
        <w:rPr>
          <w:rFonts w:hint="eastAsia" w:eastAsia="宋体" w:cs="Times New Roman" w:asciiTheme="minorEastAsia" w:hAnsiTheme="minorEastAsia"/>
          <w:b/>
          <w:kern w:val="0"/>
          <w:sz w:val="24"/>
          <w:szCs w:val="24"/>
          <w:u w:val="single"/>
        </w:rPr>
        <w:t>0.48</w:t>
      </w:r>
      <w:r>
        <w:rPr>
          <w:rFonts w:eastAsia="宋体" w:cs="Times New Roman" w:asciiTheme="minorEastAsia" w:hAnsiTheme="minorEastAsia"/>
          <w:b/>
          <w:kern w:val="0"/>
          <w:sz w:val="24"/>
          <w:szCs w:val="24"/>
          <w:u w:val="single"/>
        </w:rPr>
        <w:t>公顷</w:t>
      </w:r>
      <w:r>
        <w:rPr>
          <w:rFonts w:eastAsia="宋体" w:cs="Times New Roman" w:asciiTheme="minorEastAsia" w:hAnsiTheme="minorEastAsia"/>
          <w:kern w:val="0"/>
          <w:sz w:val="24"/>
          <w:szCs w:val="24"/>
        </w:rPr>
        <w:t>，片区商业服务业</w:t>
      </w:r>
      <w:r>
        <w:rPr>
          <w:rFonts w:hint="eastAsia" w:eastAsia="宋体" w:cs="Times New Roman" w:asciiTheme="minorEastAsia" w:hAnsiTheme="minorEastAsia"/>
          <w:kern w:val="0"/>
          <w:sz w:val="24"/>
          <w:szCs w:val="24"/>
        </w:rPr>
        <w:t>用地</w:t>
      </w:r>
      <w:r>
        <w:rPr>
          <w:rFonts w:eastAsia="宋体" w:cs="Times New Roman" w:asciiTheme="minorEastAsia" w:hAnsiTheme="minorEastAsia"/>
          <w:kern w:val="0"/>
          <w:sz w:val="24"/>
          <w:szCs w:val="24"/>
        </w:rPr>
        <w:t>较现状增加了</w:t>
      </w:r>
      <w:r>
        <w:rPr>
          <w:rFonts w:hint="eastAsia" w:eastAsia="宋体" w:cs="Times New Roman" w:asciiTheme="minorEastAsia" w:hAnsiTheme="minorEastAsia"/>
          <w:kern w:val="0"/>
          <w:sz w:val="24"/>
          <w:szCs w:val="24"/>
        </w:rPr>
        <w:t>35.35</w:t>
      </w:r>
      <w:r>
        <w:rPr>
          <w:rFonts w:eastAsia="宋体" w:cs="Times New Roman" w:asciiTheme="minorEastAsia" w:hAnsiTheme="minorEastAsia"/>
          <w:kern w:val="0"/>
          <w:sz w:val="24"/>
          <w:szCs w:val="24"/>
        </w:rPr>
        <w:t>公顷</w:t>
      </w:r>
      <w:r>
        <w:rPr>
          <w:rFonts w:hint="eastAsia" w:eastAsia="宋体" w:cs="Times New Roman" w:asciiTheme="minorEastAsia" w:hAnsiTheme="minorEastAsia"/>
          <w:kern w:val="0"/>
          <w:sz w:val="24"/>
          <w:szCs w:val="24"/>
        </w:rPr>
        <w:t>。</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4、</w:t>
      </w:r>
      <w:r>
        <w:rPr>
          <w:rFonts w:eastAsia="宋体" w:cs="Times New Roman" w:asciiTheme="minorEastAsia" w:hAnsiTheme="minorEastAsia"/>
          <w:kern w:val="0"/>
          <w:sz w:val="24"/>
          <w:szCs w:val="24"/>
        </w:rPr>
        <w:t>工矿用地</w:t>
      </w:r>
    </w:p>
    <w:p>
      <w:pPr>
        <w:adjustRightInd w:val="0"/>
        <w:snapToGrid w:val="0"/>
        <w:spacing w:line="360" w:lineRule="auto"/>
        <w:ind w:firstLine="482" w:firstLineChars="200"/>
        <w:rPr>
          <w:rFonts w:eastAsia="宋体" w:cs="Times New Roman" w:asciiTheme="minorEastAsia" w:hAnsiTheme="minorEastAsia"/>
          <w:kern w:val="0"/>
          <w:sz w:val="24"/>
          <w:szCs w:val="24"/>
        </w:rPr>
      </w:pPr>
      <w:r>
        <w:rPr>
          <w:rFonts w:eastAsia="宋体" w:cs="Times New Roman" w:asciiTheme="minorEastAsia" w:hAnsiTheme="minorEastAsia"/>
          <w:b/>
          <w:kern w:val="0"/>
          <w:sz w:val="24"/>
          <w:szCs w:val="24"/>
          <w:u w:val="single"/>
        </w:rPr>
        <w:t>规划工矿用地</w:t>
      </w:r>
      <w:r>
        <w:rPr>
          <w:rFonts w:hint="eastAsia" w:eastAsia="宋体" w:cs="Times New Roman" w:asciiTheme="minorEastAsia" w:hAnsiTheme="minorEastAsia"/>
          <w:b/>
          <w:kern w:val="0"/>
          <w:sz w:val="24"/>
          <w:szCs w:val="24"/>
          <w:u w:val="single"/>
        </w:rPr>
        <w:t>28.85</w:t>
      </w:r>
      <w:r>
        <w:rPr>
          <w:rFonts w:eastAsia="宋体" w:cs="Times New Roman" w:asciiTheme="minorEastAsia" w:hAnsiTheme="minorEastAsia"/>
          <w:b/>
          <w:kern w:val="0"/>
          <w:sz w:val="24"/>
          <w:szCs w:val="24"/>
          <w:u w:val="single"/>
        </w:rPr>
        <w:t>公顷，主要包括片区内的一类工业（农产品粗加工）</w:t>
      </w:r>
      <w:r>
        <w:rPr>
          <w:rFonts w:hint="eastAsia" w:eastAsia="宋体" w:cs="Times New Roman" w:asciiTheme="minorEastAsia" w:hAnsiTheme="minorEastAsia"/>
          <w:b/>
          <w:kern w:val="0"/>
          <w:sz w:val="24"/>
          <w:szCs w:val="24"/>
          <w:u w:val="single"/>
        </w:rPr>
        <w:t>26.98</w:t>
      </w:r>
      <w:r>
        <w:rPr>
          <w:rFonts w:eastAsia="宋体" w:cs="Times New Roman" w:asciiTheme="minorEastAsia" w:hAnsiTheme="minorEastAsia"/>
          <w:b/>
          <w:kern w:val="0"/>
          <w:sz w:val="24"/>
          <w:szCs w:val="24"/>
          <w:u w:val="single"/>
        </w:rPr>
        <w:t>公顷，采矿用地</w:t>
      </w:r>
      <w:r>
        <w:rPr>
          <w:rFonts w:hint="eastAsia" w:eastAsia="宋体" w:cs="Times New Roman" w:asciiTheme="minorEastAsia" w:hAnsiTheme="minorEastAsia"/>
          <w:b/>
          <w:kern w:val="0"/>
          <w:sz w:val="24"/>
          <w:szCs w:val="24"/>
          <w:u w:val="single"/>
        </w:rPr>
        <w:t>1.86公顷，</w:t>
      </w:r>
      <w:r>
        <w:rPr>
          <w:rFonts w:eastAsia="宋体" w:cs="Times New Roman" w:asciiTheme="minorEastAsia" w:hAnsiTheme="minorEastAsia"/>
          <w:kern w:val="0"/>
          <w:sz w:val="24"/>
          <w:szCs w:val="24"/>
        </w:rPr>
        <w:t>逐步复垦片区内</w:t>
      </w:r>
      <w:r>
        <w:rPr>
          <w:rFonts w:hint="eastAsia" w:eastAsia="宋体" w:cs="Times New Roman" w:asciiTheme="minorEastAsia" w:hAnsiTheme="minorEastAsia"/>
          <w:kern w:val="0"/>
          <w:sz w:val="24"/>
          <w:szCs w:val="24"/>
        </w:rPr>
        <w:t>5.24</w:t>
      </w:r>
      <w:r>
        <w:rPr>
          <w:rFonts w:eastAsia="宋体" w:cs="Times New Roman" w:asciiTheme="minorEastAsia" w:hAnsiTheme="minorEastAsia"/>
          <w:kern w:val="0"/>
          <w:sz w:val="24"/>
          <w:szCs w:val="24"/>
        </w:rPr>
        <w:t>公顷的低效工矿用地</w:t>
      </w:r>
      <w:r>
        <w:rPr>
          <w:rFonts w:hint="eastAsia" w:eastAsia="宋体" w:cs="Times New Roman" w:asciiTheme="minorEastAsia" w:hAnsiTheme="minorEastAsia"/>
          <w:kern w:val="0"/>
          <w:sz w:val="24"/>
          <w:szCs w:val="24"/>
        </w:rPr>
        <w:t>。</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5、物流</w:t>
      </w:r>
      <w:r>
        <w:rPr>
          <w:rFonts w:eastAsia="宋体" w:cs="Times New Roman" w:asciiTheme="minorEastAsia" w:hAnsiTheme="minorEastAsia"/>
          <w:kern w:val="0"/>
          <w:sz w:val="24"/>
          <w:szCs w:val="24"/>
        </w:rPr>
        <w:t>仓储用地</w:t>
      </w:r>
    </w:p>
    <w:p>
      <w:pPr>
        <w:adjustRightInd w:val="0"/>
        <w:snapToGrid w:val="0"/>
        <w:spacing w:line="360" w:lineRule="auto"/>
        <w:ind w:firstLine="482" w:firstLineChars="200"/>
        <w:rPr>
          <w:rFonts w:eastAsia="宋体" w:cs="Times New Roman" w:asciiTheme="minorEastAsia" w:hAnsiTheme="minorEastAsia"/>
          <w:b/>
          <w:kern w:val="0"/>
          <w:sz w:val="24"/>
          <w:szCs w:val="24"/>
          <w:u w:val="single"/>
        </w:rPr>
      </w:pPr>
      <w:r>
        <w:rPr>
          <w:rFonts w:eastAsia="宋体" w:cs="Times New Roman" w:asciiTheme="minorEastAsia" w:hAnsiTheme="minorEastAsia"/>
          <w:b/>
          <w:kern w:val="0"/>
          <w:sz w:val="24"/>
          <w:szCs w:val="24"/>
          <w:u w:val="single"/>
        </w:rPr>
        <w:t>规划仓储</w:t>
      </w:r>
      <w:r>
        <w:rPr>
          <w:rFonts w:hint="eastAsia" w:eastAsia="宋体" w:cs="Times New Roman" w:asciiTheme="minorEastAsia" w:hAnsiTheme="minorEastAsia"/>
          <w:b/>
          <w:kern w:val="0"/>
          <w:sz w:val="24"/>
          <w:szCs w:val="24"/>
          <w:u w:val="single"/>
        </w:rPr>
        <w:t>用地12.07</w:t>
      </w:r>
      <w:r>
        <w:rPr>
          <w:rFonts w:eastAsia="宋体" w:cs="Times New Roman" w:asciiTheme="minorEastAsia" w:hAnsiTheme="minorEastAsia"/>
          <w:b/>
          <w:kern w:val="0"/>
          <w:sz w:val="24"/>
          <w:szCs w:val="24"/>
          <w:u w:val="single"/>
        </w:rPr>
        <w:t>公顷，较现状增加了</w:t>
      </w:r>
      <w:r>
        <w:rPr>
          <w:rFonts w:hint="eastAsia" w:eastAsia="宋体" w:cs="Times New Roman" w:asciiTheme="minorEastAsia" w:hAnsiTheme="minorEastAsia"/>
          <w:b/>
          <w:kern w:val="0"/>
          <w:sz w:val="24"/>
          <w:szCs w:val="24"/>
          <w:u w:val="single"/>
        </w:rPr>
        <w:t>5.51</w:t>
      </w:r>
      <w:r>
        <w:rPr>
          <w:rFonts w:eastAsia="宋体" w:cs="Times New Roman" w:asciiTheme="minorEastAsia" w:hAnsiTheme="minorEastAsia"/>
          <w:b/>
          <w:kern w:val="0"/>
          <w:sz w:val="24"/>
          <w:szCs w:val="24"/>
          <w:u w:val="single"/>
        </w:rPr>
        <w:t>公顷，主要为片区内的冷链</w:t>
      </w:r>
      <w:r>
        <w:rPr>
          <w:rFonts w:hint="eastAsia" w:eastAsia="宋体" w:cs="Times New Roman" w:asciiTheme="minorEastAsia" w:hAnsiTheme="minorEastAsia"/>
          <w:b/>
          <w:kern w:val="0"/>
          <w:sz w:val="24"/>
          <w:szCs w:val="24"/>
          <w:u w:val="single"/>
        </w:rPr>
        <w:t>冻库</w:t>
      </w:r>
      <w:r>
        <w:rPr>
          <w:rFonts w:eastAsia="宋体" w:cs="Times New Roman" w:asciiTheme="minorEastAsia" w:hAnsiTheme="minorEastAsia"/>
          <w:b/>
          <w:kern w:val="0"/>
          <w:sz w:val="24"/>
          <w:szCs w:val="24"/>
          <w:u w:val="single"/>
        </w:rPr>
        <w:t>、</w:t>
      </w:r>
      <w:r>
        <w:rPr>
          <w:rFonts w:hint="eastAsia" w:eastAsia="宋体" w:cs="Times New Roman" w:asciiTheme="minorEastAsia" w:hAnsiTheme="minorEastAsia"/>
          <w:b/>
          <w:kern w:val="0"/>
          <w:sz w:val="24"/>
          <w:szCs w:val="24"/>
          <w:u w:val="single"/>
        </w:rPr>
        <w:t>粮食作物储藏</w:t>
      </w:r>
      <w:r>
        <w:rPr>
          <w:rFonts w:eastAsia="宋体" w:cs="Times New Roman" w:asciiTheme="minorEastAsia" w:hAnsiTheme="minorEastAsia"/>
          <w:b/>
          <w:kern w:val="0"/>
          <w:sz w:val="24"/>
          <w:szCs w:val="24"/>
          <w:u w:val="single"/>
        </w:rPr>
        <w:t>等为农业发展服务的产业用地</w:t>
      </w:r>
      <w:r>
        <w:rPr>
          <w:rFonts w:hint="eastAsia" w:eastAsia="宋体" w:cs="Times New Roman" w:asciiTheme="minorEastAsia" w:hAnsiTheme="minorEastAsia"/>
          <w:b/>
          <w:kern w:val="0"/>
          <w:sz w:val="24"/>
          <w:szCs w:val="24"/>
          <w:u w:val="single"/>
        </w:rPr>
        <w:t>。</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6、</w:t>
      </w:r>
      <w:r>
        <w:rPr>
          <w:rFonts w:eastAsia="宋体" w:cs="Times New Roman" w:asciiTheme="minorEastAsia" w:hAnsiTheme="minorEastAsia"/>
          <w:kern w:val="0"/>
          <w:sz w:val="24"/>
          <w:szCs w:val="24"/>
        </w:rPr>
        <w:t>交通运输用地</w:t>
      </w:r>
    </w:p>
    <w:p>
      <w:pPr>
        <w:adjustRightInd w:val="0"/>
        <w:snapToGrid w:val="0"/>
        <w:spacing w:line="360" w:lineRule="auto"/>
        <w:ind w:firstLine="482" w:firstLineChars="200"/>
        <w:rPr>
          <w:rFonts w:eastAsia="宋体" w:cs="Times New Roman" w:asciiTheme="minorEastAsia" w:hAnsiTheme="minorEastAsia"/>
          <w:b/>
          <w:kern w:val="0"/>
          <w:sz w:val="24"/>
          <w:szCs w:val="24"/>
          <w:u w:val="single"/>
        </w:rPr>
      </w:pPr>
      <w:r>
        <w:rPr>
          <w:rFonts w:eastAsia="宋体" w:cs="Times New Roman" w:asciiTheme="minorEastAsia" w:hAnsiTheme="minorEastAsia"/>
          <w:b/>
          <w:kern w:val="0"/>
          <w:sz w:val="24"/>
          <w:szCs w:val="24"/>
          <w:u w:val="single"/>
        </w:rPr>
        <w:t>规划交通运输用地</w:t>
      </w:r>
      <w:r>
        <w:rPr>
          <w:rFonts w:hint="eastAsia" w:eastAsia="宋体" w:cs="Times New Roman" w:asciiTheme="minorEastAsia" w:hAnsiTheme="minorEastAsia"/>
          <w:b/>
          <w:kern w:val="0"/>
          <w:sz w:val="24"/>
          <w:szCs w:val="24"/>
          <w:u w:val="single"/>
        </w:rPr>
        <w:t>556.59</w:t>
      </w:r>
      <w:r>
        <w:rPr>
          <w:rFonts w:eastAsia="宋体" w:cs="Times New Roman" w:asciiTheme="minorEastAsia" w:hAnsiTheme="minorEastAsia"/>
          <w:b/>
          <w:kern w:val="0"/>
          <w:sz w:val="24"/>
          <w:szCs w:val="24"/>
          <w:u w:val="single"/>
        </w:rPr>
        <w:t>公顷，主要包括铁路用地</w:t>
      </w:r>
      <w:r>
        <w:rPr>
          <w:rFonts w:hint="eastAsia" w:eastAsia="宋体" w:cs="Times New Roman" w:asciiTheme="minorEastAsia" w:hAnsiTheme="minorEastAsia"/>
          <w:b/>
          <w:kern w:val="0"/>
          <w:sz w:val="24"/>
          <w:szCs w:val="24"/>
          <w:u w:val="single"/>
        </w:rPr>
        <w:t>40.46</w:t>
      </w:r>
      <w:r>
        <w:rPr>
          <w:rFonts w:eastAsia="宋体" w:cs="Times New Roman" w:asciiTheme="minorEastAsia" w:hAnsiTheme="minorEastAsia"/>
          <w:b/>
          <w:kern w:val="0"/>
          <w:sz w:val="24"/>
          <w:szCs w:val="24"/>
          <w:u w:val="single"/>
        </w:rPr>
        <w:t>公顷、公路用地</w:t>
      </w:r>
      <w:r>
        <w:rPr>
          <w:rFonts w:hint="eastAsia" w:eastAsia="宋体" w:cs="Times New Roman" w:asciiTheme="minorEastAsia" w:hAnsiTheme="minorEastAsia"/>
          <w:b/>
          <w:kern w:val="0"/>
          <w:sz w:val="24"/>
          <w:szCs w:val="24"/>
          <w:u w:val="single"/>
        </w:rPr>
        <w:t>479.29</w:t>
      </w:r>
      <w:r>
        <w:rPr>
          <w:rFonts w:eastAsia="宋体" w:cs="Times New Roman" w:asciiTheme="minorEastAsia" w:hAnsiTheme="minorEastAsia"/>
          <w:b/>
          <w:kern w:val="0"/>
          <w:sz w:val="24"/>
          <w:szCs w:val="24"/>
          <w:u w:val="single"/>
        </w:rPr>
        <w:t>公顷、</w:t>
      </w:r>
      <w:r>
        <w:rPr>
          <w:rFonts w:hint="eastAsia" w:eastAsia="宋体" w:cs="Times New Roman" w:asciiTheme="minorEastAsia" w:hAnsiTheme="minorEastAsia"/>
          <w:b/>
          <w:kern w:val="0"/>
          <w:sz w:val="24"/>
          <w:szCs w:val="24"/>
          <w:u w:val="single"/>
        </w:rPr>
        <w:t>管道运输用地0.55公顷、</w:t>
      </w:r>
      <w:r>
        <w:rPr>
          <w:rFonts w:eastAsia="宋体" w:cs="Times New Roman" w:asciiTheme="minorEastAsia" w:hAnsiTheme="minorEastAsia"/>
          <w:b/>
          <w:kern w:val="0"/>
          <w:sz w:val="24"/>
          <w:szCs w:val="24"/>
          <w:u w:val="single"/>
        </w:rPr>
        <w:t>城镇道路</w:t>
      </w:r>
      <w:r>
        <w:rPr>
          <w:rFonts w:hint="eastAsia" w:eastAsia="宋体" w:cs="Times New Roman" w:asciiTheme="minorEastAsia" w:hAnsiTheme="minorEastAsia"/>
          <w:b/>
          <w:kern w:val="0"/>
          <w:sz w:val="24"/>
          <w:szCs w:val="24"/>
          <w:u w:val="single"/>
        </w:rPr>
        <w:t>32.00</w:t>
      </w:r>
      <w:r>
        <w:rPr>
          <w:rFonts w:eastAsia="宋体" w:cs="Times New Roman" w:asciiTheme="minorEastAsia" w:hAnsiTheme="minorEastAsia"/>
          <w:b/>
          <w:kern w:val="0"/>
          <w:sz w:val="24"/>
          <w:szCs w:val="24"/>
          <w:u w:val="single"/>
        </w:rPr>
        <w:t>公顷以及交通场站和其他交通设施用地</w:t>
      </w:r>
      <w:r>
        <w:rPr>
          <w:rFonts w:hint="eastAsia" w:eastAsia="宋体" w:cs="Times New Roman" w:asciiTheme="minorEastAsia" w:hAnsiTheme="minorEastAsia"/>
          <w:b/>
          <w:kern w:val="0"/>
          <w:sz w:val="24"/>
          <w:szCs w:val="24"/>
          <w:u w:val="single"/>
        </w:rPr>
        <w:t>4.29</w:t>
      </w:r>
      <w:r>
        <w:rPr>
          <w:rFonts w:eastAsia="宋体" w:cs="Times New Roman" w:asciiTheme="minorEastAsia" w:hAnsiTheme="minorEastAsia"/>
          <w:b/>
          <w:kern w:val="0"/>
          <w:sz w:val="24"/>
          <w:szCs w:val="24"/>
          <w:u w:val="single"/>
        </w:rPr>
        <w:t>公顷，片区规划交通运输用地较现状增加了</w:t>
      </w:r>
      <w:r>
        <w:rPr>
          <w:rFonts w:hint="eastAsia" w:eastAsia="宋体" w:cs="Times New Roman" w:asciiTheme="minorEastAsia" w:hAnsiTheme="minorEastAsia"/>
          <w:b/>
          <w:kern w:val="0"/>
          <w:sz w:val="24"/>
          <w:szCs w:val="24"/>
          <w:u w:val="single"/>
        </w:rPr>
        <w:t>387.58</w:t>
      </w:r>
      <w:r>
        <w:rPr>
          <w:rFonts w:eastAsia="宋体" w:cs="Times New Roman" w:asciiTheme="minorEastAsia" w:hAnsiTheme="minorEastAsia"/>
          <w:b/>
          <w:kern w:val="0"/>
          <w:sz w:val="24"/>
          <w:szCs w:val="24"/>
          <w:u w:val="single"/>
        </w:rPr>
        <w:t>公顷，主要为规划的三大乐高速以及</w:t>
      </w:r>
      <w:r>
        <w:rPr>
          <w:rFonts w:hint="eastAsia" w:eastAsia="宋体" w:cs="Times New Roman" w:asciiTheme="minorEastAsia" w:hAnsiTheme="minorEastAsia"/>
          <w:b/>
          <w:kern w:val="0"/>
          <w:sz w:val="24"/>
          <w:szCs w:val="24"/>
          <w:u w:val="single"/>
        </w:rPr>
        <w:t>部分国道、省道。</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7、</w:t>
      </w:r>
      <w:r>
        <w:rPr>
          <w:rFonts w:eastAsia="宋体" w:cs="Times New Roman" w:asciiTheme="minorEastAsia" w:hAnsiTheme="minorEastAsia"/>
          <w:kern w:val="0"/>
          <w:sz w:val="24"/>
          <w:szCs w:val="24"/>
        </w:rPr>
        <w:t>公用设施用地</w:t>
      </w:r>
    </w:p>
    <w:p>
      <w:pPr>
        <w:adjustRightInd w:val="0"/>
        <w:snapToGrid w:val="0"/>
        <w:spacing w:line="360" w:lineRule="auto"/>
        <w:ind w:firstLine="482" w:firstLineChars="200"/>
        <w:rPr>
          <w:rFonts w:eastAsia="宋体" w:cs="Times New Roman" w:asciiTheme="minorEastAsia" w:hAnsiTheme="minorEastAsia"/>
          <w:b/>
          <w:kern w:val="0"/>
          <w:sz w:val="24"/>
          <w:szCs w:val="24"/>
          <w:u w:val="single"/>
        </w:rPr>
      </w:pPr>
      <w:r>
        <w:rPr>
          <w:rFonts w:eastAsia="宋体" w:cs="Times New Roman" w:asciiTheme="minorEastAsia" w:hAnsiTheme="minorEastAsia"/>
          <w:b/>
          <w:kern w:val="0"/>
          <w:sz w:val="24"/>
          <w:szCs w:val="24"/>
          <w:u w:val="single"/>
        </w:rPr>
        <w:t>规划公用设施用地</w:t>
      </w:r>
      <w:r>
        <w:rPr>
          <w:rFonts w:hint="eastAsia" w:eastAsia="宋体" w:cs="Times New Roman" w:asciiTheme="minorEastAsia" w:hAnsiTheme="minorEastAsia"/>
          <w:b/>
          <w:kern w:val="0"/>
          <w:sz w:val="24"/>
          <w:szCs w:val="24"/>
          <w:u w:val="single"/>
        </w:rPr>
        <w:t>28.50</w:t>
      </w:r>
      <w:r>
        <w:rPr>
          <w:rFonts w:eastAsia="宋体" w:cs="Times New Roman" w:asciiTheme="minorEastAsia" w:hAnsiTheme="minorEastAsia"/>
          <w:b/>
          <w:kern w:val="0"/>
          <w:sz w:val="24"/>
          <w:szCs w:val="24"/>
          <w:u w:val="single"/>
        </w:rPr>
        <w:t>公顷，主要包括片区内的供水厂、污水站、垃圾处理站、变电站、邮政局、通信局、消防设施和</w:t>
      </w:r>
      <w:r>
        <w:rPr>
          <w:rFonts w:hint="eastAsia" w:eastAsia="宋体" w:cs="Times New Roman" w:asciiTheme="minorEastAsia" w:hAnsiTheme="minorEastAsia"/>
          <w:b/>
          <w:kern w:val="0"/>
          <w:sz w:val="24"/>
          <w:szCs w:val="24"/>
          <w:u w:val="single"/>
        </w:rPr>
        <w:t>水</w:t>
      </w:r>
      <w:r>
        <w:rPr>
          <w:rFonts w:eastAsia="宋体" w:cs="Times New Roman" w:asciiTheme="minorEastAsia" w:hAnsiTheme="minorEastAsia"/>
          <w:b/>
          <w:kern w:val="0"/>
          <w:sz w:val="24"/>
          <w:szCs w:val="24"/>
          <w:u w:val="single"/>
        </w:rPr>
        <w:t>工设施等用地，片区公用设施用地较现状增加了</w:t>
      </w:r>
      <w:r>
        <w:rPr>
          <w:rFonts w:hint="eastAsia" w:eastAsia="宋体" w:cs="Times New Roman" w:asciiTheme="minorEastAsia" w:hAnsiTheme="minorEastAsia"/>
          <w:b/>
          <w:kern w:val="0"/>
          <w:sz w:val="24"/>
          <w:szCs w:val="24"/>
          <w:u w:val="single"/>
        </w:rPr>
        <w:t>1.60</w:t>
      </w:r>
      <w:r>
        <w:rPr>
          <w:rFonts w:eastAsia="宋体" w:cs="Times New Roman" w:asciiTheme="minorEastAsia" w:hAnsiTheme="minorEastAsia"/>
          <w:b/>
          <w:kern w:val="0"/>
          <w:sz w:val="24"/>
          <w:szCs w:val="24"/>
          <w:u w:val="single"/>
        </w:rPr>
        <w:t>公顷</w:t>
      </w:r>
      <w:r>
        <w:rPr>
          <w:rFonts w:hint="eastAsia" w:eastAsia="宋体" w:cs="Times New Roman" w:asciiTheme="minorEastAsia" w:hAnsiTheme="minorEastAsia"/>
          <w:b/>
          <w:kern w:val="0"/>
          <w:sz w:val="24"/>
          <w:szCs w:val="24"/>
          <w:u w:val="single"/>
        </w:rPr>
        <w:t>。</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8、</w:t>
      </w:r>
      <w:r>
        <w:rPr>
          <w:rFonts w:eastAsia="宋体" w:cs="Times New Roman" w:asciiTheme="minorEastAsia" w:hAnsiTheme="minorEastAsia"/>
          <w:kern w:val="0"/>
          <w:sz w:val="24"/>
          <w:szCs w:val="24"/>
        </w:rPr>
        <w:t>绿地与开敞空间用地</w:t>
      </w:r>
    </w:p>
    <w:p>
      <w:pPr>
        <w:adjustRightInd w:val="0"/>
        <w:snapToGrid w:val="0"/>
        <w:spacing w:line="360" w:lineRule="auto"/>
        <w:ind w:firstLine="482" w:firstLineChars="200"/>
        <w:rPr>
          <w:rFonts w:eastAsia="宋体" w:cs="Times New Roman" w:asciiTheme="minorEastAsia" w:hAnsiTheme="minorEastAsia"/>
          <w:kern w:val="0"/>
          <w:sz w:val="24"/>
          <w:szCs w:val="24"/>
        </w:rPr>
      </w:pPr>
      <w:r>
        <w:rPr>
          <w:rFonts w:eastAsia="宋体" w:cs="Times New Roman" w:asciiTheme="minorEastAsia" w:hAnsiTheme="minorEastAsia"/>
          <w:b/>
          <w:kern w:val="0"/>
          <w:sz w:val="24"/>
          <w:szCs w:val="24"/>
          <w:u w:val="single"/>
        </w:rPr>
        <w:t>规划绿地与开敞空间用地</w:t>
      </w:r>
      <w:r>
        <w:rPr>
          <w:rFonts w:hint="eastAsia" w:eastAsia="宋体" w:cs="Times New Roman" w:asciiTheme="minorEastAsia" w:hAnsiTheme="minorEastAsia"/>
          <w:b/>
          <w:kern w:val="0"/>
          <w:sz w:val="24"/>
          <w:szCs w:val="24"/>
          <w:u w:val="single"/>
        </w:rPr>
        <w:t>11.83</w:t>
      </w:r>
      <w:r>
        <w:rPr>
          <w:rFonts w:eastAsia="宋体" w:cs="Times New Roman" w:asciiTheme="minorEastAsia" w:hAnsiTheme="minorEastAsia"/>
          <w:b/>
          <w:kern w:val="0"/>
          <w:sz w:val="24"/>
          <w:szCs w:val="24"/>
          <w:u w:val="single"/>
        </w:rPr>
        <w:t>公顷</w:t>
      </w:r>
      <w:r>
        <w:rPr>
          <w:rFonts w:eastAsia="宋体" w:cs="Times New Roman" w:asciiTheme="minorEastAsia" w:hAnsiTheme="minorEastAsia"/>
          <w:kern w:val="0"/>
          <w:sz w:val="24"/>
          <w:szCs w:val="24"/>
        </w:rPr>
        <w:t>，较现状增加了</w:t>
      </w:r>
      <w:r>
        <w:rPr>
          <w:rFonts w:hint="eastAsia" w:eastAsia="宋体" w:cs="Times New Roman" w:asciiTheme="minorEastAsia" w:hAnsiTheme="minorEastAsia"/>
          <w:kern w:val="0"/>
          <w:sz w:val="24"/>
          <w:szCs w:val="24"/>
        </w:rPr>
        <w:t>11.70</w:t>
      </w:r>
      <w:r>
        <w:rPr>
          <w:rFonts w:eastAsia="宋体" w:cs="Times New Roman" w:asciiTheme="minorEastAsia" w:hAnsiTheme="minorEastAsia"/>
          <w:kern w:val="0"/>
          <w:sz w:val="24"/>
          <w:szCs w:val="24"/>
        </w:rPr>
        <w:t>公顷</w:t>
      </w:r>
      <w:r>
        <w:rPr>
          <w:rFonts w:hint="eastAsia" w:eastAsia="宋体" w:cs="Times New Roman" w:asciiTheme="minorEastAsia" w:hAnsiTheme="minorEastAsia"/>
          <w:kern w:val="0"/>
          <w:sz w:val="24"/>
          <w:szCs w:val="24"/>
        </w:rPr>
        <w:t>。</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9、特殊用地</w:t>
      </w:r>
    </w:p>
    <w:p>
      <w:pPr>
        <w:adjustRightInd w:val="0"/>
        <w:snapToGrid w:val="0"/>
        <w:spacing w:line="360" w:lineRule="auto"/>
        <w:ind w:firstLine="482" w:firstLineChars="200"/>
        <w:rPr>
          <w:rFonts w:eastAsia="宋体" w:cs="Times New Roman" w:asciiTheme="minorEastAsia" w:hAnsiTheme="minorEastAsia"/>
          <w:b/>
          <w:kern w:val="0"/>
          <w:sz w:val="24"/>
          <w:szCs w:val="24"/>
          <w:u w:val="single"/>
        </w:rPr>
      </w:pPr>
      <w:r>
        <w:rPr>
          <w:rFonts w:eastAsia="宋体" w:cs="Times New Roman" w:asciiTheme="minorEastAsia" w:hAnsiTheme="minorEastAsia"/>
          <w:b/>
          <w:kern w:val="0"/>
          <w:sz w:val="24"/>
          <w:szCs w:val="24"/>
          <w:u w:val="single"/>
        </w:rPr>
        <w:t>规划</w:t>
      </w:r>
      <w:r>
        <w:rPr>
          <w:rFonts w:hint="eastAsia" w:eastAsia="宋体" w:cs="Times New Roman" w:asciiTheme="minorEastAsia" w:hAnsiTheme="minorEastAsia"/>
          <w:b/>
          <w:kern w:val="0"/>
          <w:sz w:val="24"/>
          <w:szCs w:val="24"/>
          <w:u w:val="single"/>
        </w:rPr>
        <w:t>特殊</w:t>
      </w:r>
      <w:r>
        <w:rPr>
          <w:rFonts w:eastAsia="宋体" w:cs="Times New Roman" w:asciiTheme="minorEastAsia" w:hAnsiTheme="minorEastAsia"/>
          <w:b/>
          <w:kern w:val="0"/>
          <w:sz w:val="24"/>
          <w:szCs w:val="24"/>
          <w:u w:val="single"/>
        </w:rPr>
        <w:t>用地</w:t>
      </w:r>
      <w:r>
        <w:rPr>
          <w:rFonts w:hint="eastAsia" w:eastAsia="宋体" w:cs="Times New Roman" w:asciiTheme="minorEastAsia" w:hAnsiTheme="minorEastAsia"/>
          <w:b/>
          <w:kern w:val="0"/>
          <w:sz w:val="24"/>
          <w:szCs w:val="24"/>
          <w:u w:val="single"/>
        </w:rPr>
        <w:t>21.25</w:t>
      </w:r>
      <w:r>
        <w:rPr>
          <w:rFonts w:eastAsia="宋体" w:cs="Times New Roman" w:asciiTheme="minorEastAsia" w:hAnsiTheme="minorEastAsia"/>
          <w:b/>
          <w:kern w:val="0"/>
          <w:sz w:val="24"/>
          <w:szCs w:val="24"/>
          <w:u w:val="single"/>
        </w:rPr>
        <w:t>公顷，主要为</w:t>
      </w:r>
      <w:r>
        <w:rPr>
          <w:rFonts w:hint="eastAsia" w:eastAsia="宋体" w:cs="Times New Roman" w:asciiTheme="minorEastAsia" w:hAnsiTheme="minorEastAsia"/>
          <w:b/>
          <w:kern w:val="0"/>
          <w:sz w:val="24"/>
          <w:szCs w:val="24"/>
          <w:u w:val="single"/>
        </w:rPr>
        <w:t>宗教用地0.70公顷、文物古迹用地10.34公顷和殡葬用地10.21公顷，</w:t>
      </w:r>
      <w:r>
        <w:rPr>
          <w:rFonts w:eastAsia="宋体" w:cs="Times New Roman" w:asciiTheme="minorEastAsia" w:hAnsiTheme="minorEastAsia"/>
          <w:b/>
          <w:kern w:val="0"/>
          <w:sz w:val="24"/>
          <w:szCs w:val="24"/>
          <w:u w:val="single"/>
        </w:rPr>
        <w:t>较现状增加了</w:t>
      </w:r>
      <w:r>
        <w:rPr>
          <w:rFonts w:hint="eastAsia" w:eastAsia="宋体" w:cs="Times New Roman" w:asciiTheme="minorEastAsia" w:hAnsiTheme="minorEastAsia"/>
          <w:b/>
          <w:kern w:val="0"/>
          <w:sz w:val="24"/>
          <w:szCs w:val="24"/>
          <w:u w:val="single"/>
        </w:rPr>
        <w:t>9.09</w:t>
      </w:r>
      <w:r>
        <w:rPr>
          <w:rFonts w:eastAsia="宋体" w:cs="Times New Roman" w:asciiTheme="minorEastAsia" w:hAnsiTheme="minorEastAsia"/>
          <w:b/>
          <w:kern w:val="0"/>
          <w:sz w:val="24"/>
          <w:szCs w:val="24"/>
          <w:u w:val="single"/>
        </w:rPr>
        <w:t>公顷</w:t>
      </w:r>
      <w:r>
        <w:rPr>
          <w:rFonts w:hint="eastAsia" w:eastAsia="宋体" w:cs="Times New Roman" w:asciiTheme="minorEastAsia" w:hAnsiTheme="minorEastAsia"/>
          <w:b/>
          <w:kern w:val="0"/>
          <w:sz w:val="24"/>
          <w:szCs w:val="24"/>
          <w:u w:val="single"/>
        </w:rPr>
        <w:t>。</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10、留白用地</w:t>
      </w:r>
    </w:p>
    <w:p>
      <w:pPr>
        <w:adjustRightInd w:val="0"/>
        <w:snapToGrid w:val="0"/>
        <w:spacing w:line="360" w:lineRule="auto"/>
        <w:ind w:firstLine="482" w:firstLineChars="200"/>
        <w:rPr>
          <w:rFonts w:cs="Times New Roman" w:asciiTheme="minorEastAsia" w:hAnsiTheme="minorEastAsia"/>
          <w:b/>
          <w:kern w:val="0"/>
          <w:sz w:val="24"/>
          <w:szCs w:val="24"/>
          <w:u w:val="single"/>
        </w:rPr>
      </w:pPr>
      <w:r>
        <w:rPr>
          <w:rFonts w:eastAsia="宋体" w:cs="Times New Roman" w:asciiTheme="minorEastAsia" w:hAnsiTheme="minorEastAsia"/>
          <w:b/>
          <w:kern w:val="0"/>
          <w:sz w:val="24"/>
          <w:szCs w:val="24"/>
          <w:u w:val="single"/>
        </w:rPr>
        <w:t>预留</w:t>
      </w:r>
      <w:r>
        <w:rPr>
          <w:rFonts w:hint="eastAsia" w:eastAsia="宋体" w:cs="Times New Roman" w:asciiTheme="minorEastAsia" w:hAnsiTheme="minorEastAsia"/>
          <w:b/>
          <w:kern w:val="0"/>
          <w:sz w:val="24"/>
          <w:szCs w:val="24"/>
          <w:u w:val="single"/>
        </w:rPr>
        <w:t>8.91</w:t>
      </w:r>
      <w:r>
        <w:rPr>
          <w:rFonts w:eastAsia="宋体" w:cs="Times New Roman" w:asciiTheme="minorEastAsia" w:hAnsiTheme="minorEastAsia"/>
          <w:b/>
          <w:kern w:val="0"/>
          <w:sz w:val="24"/>
          <w:szCs w:val="24"/>
          <w:u w:val="single"/>
        </w:rPr>
        <w:t>公顷暂难以确定用途的建设用地图斑作为“留白用地”管理，在供地时可明确为农业设施建设用地、商业服务业用地或仓储用地</w:t>
      </w:r>
      <w:r>
        <w:rPr>
          <w:rFonts w:hint="eastAsia" w:eastAsia="宋体" w:cs="Times New Roman" w:asciiTheme="minorEastAsia" w:hAnsiTheme="minorEastAsia"/>
          <w:b/>
          <w:kern w:val="0"/>
          <w:sz w:val="24"/>
          <w:szCs w:val="24"/>
          <w:u w:val="single"/>
        </w:rPr>
        <w:t>。</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详见附表3片区国土空间用途结构调整表</w:t>
      </w:r>
    </w:p>
    <w:p>
      <w:pPr>
        <w:adjustRightInd w:val="0"/>
        <w:snapToGrid w:val="0"/>
        <w:spacing w:line="360" w:lineRule="auto"/>
        <w:ind w:firstLine="482" w:firstLineChars="200"/>
        <w:rPr>
          <w:rFonts w:ascii="黑体" w:hAnsi="黑体" w:eastAsia="黑体" w:cs="Times New Roman"/>
          <w:b/>
          <w:kern w:val="0"/>
          <w:sz w:val="24"/>
          <w:szCs w:val="24"/>
        </w:rPr>
      </w:pPr>
      <w:r>
        <w:rPr>
          <w:rFonts w:hint="eastAsia" w:ascii="黑体" w:hAnsi="黑体" w:eastAsia="黑体" w:cs="Times New Roman"/>
          <w:b/>
          <w:kern w:val="0"/>
          <w:sz w:val="24"/>
          <w:szCs w:val="24"/>
        </w:rPr>
        <w:t>五、保护和合理利用农用地的政策措施建议</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（一）制度措施</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自然资源部门应加强制度建设，建立健全耕地保护政策，加强监督，加快制定耕地总量动态平衡建设规划和管理办法，对违反耕地保护及土地管理法的相关责任人进行责任追究；定期检查和验收相关部门的占补平衡执行情况，对非农建设占用耕地进行实时跟踪，使耕地保护落到实处；完善耕地动态监测和预警体系，加强地力评价，使耕地质量建设与管理制度化、法制化；将耕地保护监测评价、监督管理及其法律责任等相关内容纳入各级政府经济和社会发展计划和考核当中。同时，还应该完善规划实施评级制度，不能让规划成为只能纸上谈兵的空头文件，应该让规划实实在在的落实到现实中的每一个地块，定期评级规划实施的效果，并给予相应的鼓励与惩罚。</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w:t>
      </w:r>
      <w:r>
        <w:rPr>
          <w:rFonts w:eastAsia="宋体" w:cs="Times New Roman" w:asciiTheme="minorEastAsia" w:hAnsiTheme="minorEastAsia"/>
          <w:b/>
          <w:kern w:val="0"/>
          <w:sz w:val="24"/>
          <w:szCs w:val="24"/>
        </w:rPr>
        <w:t>2</w:t>
      </w:r>
      <w:r>
        <w:rPr>
          <w:rFonts w:hint="eastAsia" w:eastAsia="宋体" w:cs="Times New Roman" w:asciiTheme="minorEastAsia" w:hAnsiTheme="minorEastAsia"/>
          <w:b/>
          <w:kern w:val="0"/>
          <w:sz w:val="24"/>
          <w:szCs w:val="24"/>
        </w:rPr>
        <w:t>）政策措施</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进一步完善片区闲置和撂荒耕地复耕工作的相关政策。首先要明确片区闲置或者是由于某些理由而被撂荒的耕地，以及复耕可操作性的任务情况，按照国家相关的政策法规，落实到户，并根据复耕任务，制定复耕的方案及措施。推进全域土地整治，通过采取各种措施，对田、水、路、林、村进行综合整治，提高耕地质量，增加有效耕地面积，通过对土地利用结构进行调整，对土地资源进行重新分配，以达到协调人地关系，确保耕地动态平衡的目的。改造中低产田，提升耕地质量，不仅从数量上达到目标，在质量上也要超越。</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w:t>
      </w:r>
      <w:r>
        <w:rPr>
          <w:rFonts w:eastAsia="宋体" w:cs="Times New Roman" w:asciiTheme="minorEastAsia" w:hAnsiTheme="minorEastAsia"/>
          <w:b/>
          <w:kern w:val="0"/>
          <w:sz w:val="24"/>
          <w:szCs w:val="24"/>
        </w:rPr>
        <w:t>3</w:t>
      </w:r>
      <w:r>
        <w:rPr>
          <w:rFonts w:hint="eastAsia" w:eastAsia="宋体" w:cs="Times New Roman" w:asciiTheme="minorEastAsia" w:hAnsiTheme="minorEastAsia"/>
          <w:b/>
          <w:kern w:val="0"/>
          <w:sz w:val="24"/>
          <w:szCs w:val="24"/>
        </w:rPr>
        <w:t>）经济措施</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设立永久基本农田保护基金。基本农田如果要达到旱涝保收并且增产，县政府必须要加大资金投入力度，改善田间的相关配套设施。因此，政府应当设立永久基本农田专项保护基金，用于基本农田安全防护、相关设施设备的购买及安装、网络建设等，以切实保护基本农田，保障粮食安全。</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建立和完善农户耕地保护补贴制度。建议根据农民家中基本农田面积数来分发不同级别的农业补贴基金，该补贴应符合当地农业的发展趋势和经济状况，针对粮食补贴方面、农业意外险或者养老</w:t>
      </w:r>
      <w:r>
        <w:rPr>
          <w:rFonts w:hint="eastAsia" w:eastAsia="宋体" w:cs="Times New Roman" w:asciiTheme="minorEastAsia" w:hAnsiTheme="minorEastAsia"/>
          <w:kern w:val="0"/>
          <w:sz w:val="24"/>
          <w:szCs w:val="24"/>
          <w:lang w:val="en-US" w:eastAsia="zh-CN"/>
        </w:rPr>
        <w:t>保险</w:t>
      </w:r>
      <w:r>
        <w:rPr>
          <w:rFonts w:hint="eastAsia" w:eastAsia="宋体" w:cs="Times New Roman" w:asciiTheme="minorEastAsia" w:hAnsiTheme="minorEastAsia"/>
          <w:kern w:val="0"/>
          <w:sz w:val="24"/>
          <w:szCs w:val="24"/>
        </w:rPr>
        <w:t>等方面进行补贴发放，并进行实时监督。同时针对种植基本农田较多的大户，可通过向农民提供小额贷款等形式，充分调动农民在耕地建设和保护中的积极性，让农民参与到耕地保护当中来。</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w:t>
      </w:r>
      <w:r>
        <w:rPr>
          <w:rFonts w:eastAsia="宋体" w:cs="Times New Roman" w:asciiTheme="minorEastAsia" w:hAnsiTheme="minorEastAsia"/>
          <w:b/>
          <w:kern w:val="0"/>
          <w:sz w:val="24"/>
          <w:szCs w:val="24"/>
        </w:rPr>
        <w:t>4</w:t>
      </w:r>
      <w:r>
        <w:rPr>
          <w:rFonts w:hint="eastAsia" w:eastAsia="宋体" w:cs="Times New Roman" w:asciiTheme="minorEastAsia" w:hAnsiTheme="minorEastAsia"/>
          <w:b/>
          <w:kern w:val="0"/>
          <w:sz w:val="24"/>
          <w:szCs w:val="24"/>
        </w:rPr>
        <w:t>）技术措施</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采取新技术科学划定基本农田保护范围。以2020土地变更调查成果为基础，综合考虑农业生产适宜性，参照农用地分等定级成果，合理划定永久基本农田保护线，并落实到地块和农户，建立永久基本农田数据库。将大面积、集中连片、高质量等级的耕地优先划入基本农田保护范围，土地开发整理复垦新增加优质耕地一并划入基本农田，确保基本农田数量不减少，质量有提升。</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依靠现代科技展开耕地整理，对中低产田实施改造。通过建立国土资源信息系统，动态监测片区土地利用状况和土壤肥力的变化状况，及时掌握中低产田数量和质量变化情况；应用遥感技术和土壤测试分析技术，对片区中低产田土壤形成的原因、土壤类型进行</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全面分析，并据此制定出中低产田土壤评价体系以及改良措施。向农户推</w:t>
      </w:r>
      <w:r>
        <w:rPr>
          <w:rFonts w:hint="eastAsia" w:eastAsia="宋体" w:cs="Times New Roman" w:asciiTheme="minorEastAsia" w:hAnsiTheme="minorEastAsia"/>
          <w:kern w:val="0"/>
          <w:sz w:val="24"/>
          <w:szCs w:val="24"/>
          <w:lang w:val="en-US" w:eastAsia="zh-CN"/>
        </w:rPr>
        <w:t>广</w:t>
      </w:r>
      <w:r>
        <w:rPr>
          <w:rFonts w:hint="eastAsia" w:eastAsia="宋体" w:cs="Times New Roman" w:asciiTheme="minorEastAsia" w:hAnsiTheme="minorEastAsia"/>
          <w:kern w:val="0"/>
          <w:sz w:val="24"/>
          <w:szCs w:val="24"/>
        </w:rPr>
        <w:t>科学、有针对性的耕种技术、轮作技术、施肥方法、灌溉技术；研究农业结构调整技术、品种改良技术、保护性耕作技术、除草技术、农作物抗旱，抗倒伏技术、测土配方施肥技术、水肥</w:t>
      </w:r>
      <w:r>
        <w:rPr>
          <w:rFonts w:hint="eastAsia" w:eastAsia="宋体" w:cs="Times New Roman" w:asciiTheme="minorEastAsia" w:hAnsiTheme="minorEastAsia"/>
          <w:kern w:val="0"/>
          <w:sz w:val="24"/>
          <w:szCs w:val="24"/>
          <w:lang w:val="en-US" w:eastAsia="zh-CN"/>
        </w:rPr>
        <w:t>一体</w:t>
      </w:r>
      <w:r>
        <w:rPr>
          <w:rFonts w:hint="eastAsia" w:eastAsia="宋体" w:cs="Times New Roman" w:asciiTheme="minorEastAsia" w:hAnsiTheme="minorEastAsia"/>
          <w:kern w:val="0"/>
          <w:sz w:val="24"/>
          <w:szCs w:val="24"/>
        </w:rPr>
        <w:t>化技术、有机肥综合开发利用技术等，综合提高耕地质量和粮食产出水平。</w:t>
      </w:r>
    </w:p>
    <w:p>
      <w:pPr>
        <w:adjustRightInd w:val="0"/>
        <w:snapToGrid w:val="0"/>
        <w:spacing w:line="360" w:lineRule="auto"/>
        <w:ind w:firstLine="480" w:firstLineChars="200"/>
        <w:rPr>
          <w:rFonts w:hint="eastAsia" w:eastAsia="宋体" w:cs="Times New Roman" w:asciiTheme="minorEastAsia" w:hAnsiTheme="minorEastAsia"/>
          <w:kern w:val="0"/>
          <w:sz w:val="24"/>
          <w:szCs w:val="24"/>
          <w:lang w:val="en-US" w:eastAsia="zh-CN"/>
        </w:rPr>
      </w:pPr>
      <w:r>
        <w:rPr>
          <w:rFonts w:hint="eastAsia" w:eastAsia="宋体" w:cs="Times New Roman" w:asciiTheme="minorEastAsia" w:hAnsiTheme="minorEastAsia"/>
          <w:kern w:val="0"/>
          <w:sz w:val="24"/>
          <w:szCs w:val="24"/>
        </w:rPr>
        <w:t>提高农民的耕作技术。提高农民耕作技术，要从根本上对农民的思想技术教育培训上下功夫。要多建立一些示范基地，让农民切身感受到农业技术的重要性，要加大农业推广力度，包括资金的投入、宣传力度等。发展特色农业，加强技术指导培训，提高农民的经营管理</w:t>
      </w:r>
      <w:r>
        <w:rPr>
          <w:rFonts w:hint="eastAsia" w:eastAsia="宋体" w:cs="Times New Roman" w:asciiTheme="minorEastAsia" w:hAnsiTheme="minorEastAsia"/>
          <w:kern w:val="0"/>
          <w:sz w:val="24"/>
          <w:szCs w:val="24"/>
          <w:lang w:val="en-US" w:eastAsia="zh-CN"/>
        </w:rPr>
        <w:t>能力。</w:t>
      </w:r>
    </w:p>
    <w:p>
      <w:pPr>
        <w:adjustRightInd w:val="0"/>
        <w:snapToGrid w:val="0"/>
        <w:spacing w:line="360" w:lineRule="auto"/>
        <w:ind w:firstLine="482" w:firstLineChars="200"/>
        <w:rPr>
          <w:rFonts w:ascii="黑体" w:hAnsi="黑体" w:eastAsia="黑体" w:cs="Times New Roman"/>
          <w:b/>
          <w:kern w:val="0"/>
          <w:sz w:val="24"/>
          <w:szCs w:val="24"/>
        </w:rPr>
      </w:pPr>
      <w:r>
        <w:rPr>
          <w:rFonts w:hint="eastAsia" w:ascii="黑体" w:hAnsi="黑体" w:eastAsia="黑体" w:cs="Times New Roman"/>
          <w:b/>
          <w:kern w:val="0"/>
          <w:sz w:val="24"/>
          <w:szCs w:val="24"/>
        </w:rPr>
        <w:t>六、促进城乡建设用地集约利用的政策措施建议</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（一）按照节约集约原则，审查调整国土空间规划和相关用地标准</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强化国土空间规划的整体控制作用。建设用地总规模必须符合国土空间规划的安排，年度用地安排也必须控制在国土空间规划范围之内。不符合规划的相关用地，必须及时调整和修改，核减用地规模。</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切实加强区域基础设施和公用设施的科学规划。统筹协调各类交通、能源、水利等基础设施和公用设施用地的规划，避免盲目投资、过度超前和低水平重复建设浪费土地资源。</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从严控制城镇用地规模。科学确定城镇定位和发展规模，增强城镇综合承载能力。要按照节约集约用地的要求，合理优化城市开发边界，科学确定各项建设建筑密度、容积率、绿地率，严格按照国家标准进行各项市政基础设施和生态绿化建设。</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（二）充分利用现有建设用地，大力提高建设用地利用效率</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开展建设用地普查评价。在2020土地变更调查的基础上，认真组织开展建设用地普查评价，对现有建设用地的开发利用和投入产出情况作出科学评估，准确全面</w:t>
      </w:r>
      <w:r>
        <w:rPr>
          <w:rFonts w:hint="eastAsia" w:eastAsia="宋体" w:cs="Times New Roman" w:asciiTheme="minorEastAsia" w:hAnsiTheme="minorEastAsia"/>
          <w:kern w:val="0"/>
          <w:sz w:val="24"/>
          <w:szCs w:val="24"/>
          <w:lang w:val="en-US" w:eastAsia="zh-CN"/>
        </w:rPr>
        <w:t>地</w:t>
      </w:r>
      <w:r>
        <w:rPr>
          <w:rFonts w:hint="eastAsia" w:eastAsia="宋体" w:cs="Times New Roman" w:asciiTheme="minorEastAsia" w:hAnsiTheme="minorEastAsia"/>
          <w:kern w:val="0"/>
          <w:sz w:val="24"/>
          <w:szCs w:val="24"/>
        </w:rPr>
        <w:t>识别低效用地，今后的各项建设要优先开发利用空闲、废弃、闲置和低效利用的土地，切实提高建设用地利用效率。</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积极引导使用未利用地和废弃地。相关乡镇要对各自辖区内的未利用地作出规划，引导和鼓励</w:t>
      </w:r>
      <w:r>
        <w:rPr>
          <w:rFonts w:hint="eastAsia" w:eastAsia="宋体" w:cs="Times New Roman" w:asciiTheme="minorEastAsia" w:hAnsiTheme="minorEastAsia"/>
          <w:kern w:val="0"/>
          <w:sz w:val="24"/>
          <w:szCs w:val="24"/>
          <w:lang w:val="en-US" w:eastAsia="zh-CN"/>
        </w:rPr>
        <w:t>将</w:t>
      </w:r>
      <w:r>
        <w:rPr>
          <w:rFonts w:hint="eastAsia" w:eastAsia="宋体" w:cs="Times New Roman" w:asciiTheme="minorEastAsia" w:hAnsiTheme="minorEastAsia"/>
          <w:kern w:val="0"/>
          <w:sz w:val="24"/>
          <w:szCs w:val="24"/>
        </w:rPr>
        <w:t>适宜建设的未利用地开发成建设用地，积极复垦利用废弃地。</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（三）强化农村土地管理，稳步推进农村集体建设用地节约集约利用</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要高度重视农村集体建设用地的规划管理。指导、督促编制好乡（镇）土地利用总体规划和镇规划、乡规划、村庄规划，合理确定村镇发展和撤并复垦范围。利用农民集体所有土地进行非农建设，必须符合规划，纳入年度计划，并依法审批。严格限制农用地转为建设用地，严格禁止</w:t>
      </w:r>
      <w:r>
        <w:rPr>
          <w:rFonts w:eastAsia="宋体" w:cs="Times New Roman" w:asciiTheme="minorEastAsia" w:hAnsiTheme="minorEastAsia"/>
          <w:kern w:val="0"/>
          <w:sz w:val="24"/>
          <w:szCs w:val="24"/>
        </w:rPr>
        <w:t>“</w:t>
      </w:r>
      <w:r>
        <w:rPr>
          <w:rFonts w:hint="eastAsia" w:eastAsia="宋体" w:cs="Times New Roman" w:asciiTheme="minorEastAsia" w:hAnsiTheme="minorEastAsia"/>
          <w:kern w:val="0"/>
          <w:sz w:val="24"/>
          <w:szCs w:val="24"/>
        </w:rPr>
        <w:t>以租代征</w:t>
      </w:r>
      <w:r>
        <w:rPr>
          <w:rFonts w:eastAsia="宋体" w:cs="Times New Roman" w:asciiTheme="minorEastAsia" w:hAnsiTheme="minorEastAsia"/>
          <w:kern w:val="0"/>
          <w:sz w:val="24"/>
          <w:szCs w:val="24"/>
        </w:rPr>
        <w:t>”</w:t>
      </w:r>
      <w:r>
        <w:rPr>
          <w:rFonts w:hint="eastAsia" w:eastAsia="宋体" w:cs="Times New Roman" w:asciiTheme="minorEastAsia" w:hAnsiTheme="minorEastAsia"/>
          <w:kern w:val="0"/>
          <w:sz w:val="24"/>
          <w:szCs w:val="24"/>
        </w:rPr>
        <w:t>将农用地转为非农用地。</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重点支持农村基础设施建设。按照《四川省乡镇级国土空间总体规划编制指南（</w:t>
      </w:r>
      <w:r>
        <w:rPr>
          <w:rFonts w:eastAsia="宋体" w:cs="Times New Roman" w:asciiTheme="minorEastAsia" w:hAnsiTheme="minorEastAsia"/>
          <w:kern w:val="0"/>
          <w:sz w:val="24"/>
          <w:szCs w:val="24"/>
        </w:rPr>
        <w:t>2021</w:t>
      </w:r>
      <w:r>
        <w:rPr>
          <w:rFonts w:hint="eastAsia" w:eastAsia="宋体" w:cs="Times New Roman" w:asciiTheme="minorEastAsia" w:hAnsiTheme="minorEastAsia"/>
          <w:kern w:val="0"/>
          <w:sz w:val="24"/>
          <w:szCs w:val="24"/>
        </w:rPr>
        <w:t>修订版）》、《四川省村级规划编制指南（</w:t>
      </w:r>
      <w:r>
        <w:rPr>
          <w:rFonts w:eastAsia="宋体" w:cs="Times New Roman" w:asciiTheme="minorEastAsia" w:hAnsiTheme="minorEastAsia"/>
          <w:kern w:val="0"/>
          <w:sz w:val="24"/>
          <w:szCs w:val="24"/>
        </w:rPr>
        <w:t>2021</w:t>
      </w:r>
      <w:r>
        <w:rPr>
          <w:rFonts w:hint="eastAsia" w:eastAsia="宋体" w:cs="Times New Roman" w:asciiTheme="minorEastAsia" w:hAnsiTheme="minorEastAsia"/>
          <w:kern w:val="0"/>
          <w:sz w:val="24"/>
          <w:szCs w:val="24"/>
        </w:rPr>
        <w:t>修订版）》、《社区生活圈规划技术指南》等要求，以提高生活安全质量为主线，以改善乡村给排水和公共卫生条件为中心，加快提高与农村日常生活密切相关的公共服务设施水平。重点规划好污水、垃圾等处理系统的建设。建设有效保护环境、适合乡村特点的排水设施及污水和垃圾处理系统，大幅度提高乡村污水、垃圾的处理率和处理效果，改善生态环境，提高公共设施和基础设施服务水平。</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适当提高农村居民点的容积率。结合新农村建设，改进和创造新的宅基地分配方式，推行新的节约土地型住宅形式。把宅基地分配方式和节约土地型住宅形式联系起来，同时，为农民提供节约土地型住宅的技术支持。</w:t>
      </w:r>
    </w:p>
    <w:p>
      <w:pPr>
        <w:pStyle w:val="36"/>
        <w:numPr>
          <w:ilvl w:val="0"/>
          <w:numId w:val="5"/>
        </w:numPr>
        <w:spacing w:beforeLines="50" w:afterLines="50"/>
        <w:ind w:firstLineChars="0"/>
        <w:jc w:val="center"/>
        <w:rPr>
          <w:rFonts w:ascii="黑体" w:hAnsi="黑体" w:eastAsia="黑体"/>
          <w:b w:val="0"/>
          <w:kern w:val="2"/>
        </w:rPr>
      </w:pPr>
      <w:bookmarkStart w:id="22" w:name="_Toc166772171"/>
      <w:r>
        <w:rPr>
          <w:rFonts w:hint="eastAsia" w:ascii="黑体" w:hAnsi="黑体" w:eastAsia="黑体"/>
          <w:b w:val="0"/>
          <w:kern w:val="2"/>
        </w:rPr>
        <w:t>产业</w:t>
      </w:r>
      <w:r>
        <w:rPr>
          <w:rFonts w:ascii="黑体" w:hAnsi="黑体" w:eastAsia="黑体"/>
          <w:b w:val="0"/>
          <w:kern w:val="2"/>
        </w:rPr>
        <w:t>发展与乡村振兴规划</w:t>
      </w:r>
      <w:bookmarkEnd w:id="22"/>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广阔的乡村地区是实现共同富裕的重要阵地和深厚基础，促进共同富裕最艰巨、最繁重的任务仍然在乡村。当前全省正推进以片区为单元编制乡村国土空间规划，这是引领乡村全面振兴、推进农业农村现代化、助力共同富裕的先导性、基础性、战略性工程。应抓住这一契机，积极推进片区规划与共同富裕目标相衔接，探索以片区为依托，构建具有四川特色的共同富裕乡村单元，确保在共同富裕进程中农村不掉队、同步赶上来。</w:t>
      </w:r>
    </w:p>
    <w:p>
      <w:pPr>
        <w:adjustRightInd w:val="0"/>
        <w:snapToGrid w:val="0"/>
        <w:spacing w:line="360" w:lineRule="auto"/>
        <w:ind w:firstLine="482" w:firstLineChars="200"/>
        <w:rPr>
          <w:rFonts w:ascii="黑体" w:hAnsi="黑体" w:eastAsia="黑体" w:cs="Times New Roman"/>
          <w:b/>
          <w:kern w:val="0"/>
          <w:sz w:val="24"/>
          <w:szCs w:val="24"/>
        </w:rPr>
      </w:pPr>
      <w:r>
        <w:rPr>
          <w:rFonts w:hint="eastAsia" w:ascii="黑体" w:hAnsi="黑体" w:eastAsia="黑体" w:cs="Times New Roman"/>
          <w:b/>
          <w:kern w:val="0"/>
          <w:sz w:val="24"/>
          <w:szCs w:val="24"/>
        </w:rPr>
        <w:t>一、乡村振兴战略对产业发展的新要求</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（一）</w:t>
      </w:r>
      <w:r>
        <w:rPr>
          <w:rFonts w:eastAsia="宋体" w:cs="Times New Roman" w:asciiTheme="minorEastAsia" w:hAnsiTheme="minorEastAsia"/>
          <w:b/>
          <w:kern w:val="0"/>
          <w:sz w:val="24"/>
          <w:szCs w:val="24"/>
        </w:rPr>
        <w:t>建立农业农村开放新格局</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围绕形成全省“四向拓展、</w:t>
      </w:r>
      <w:r>
        <w:rPr>
          <w:rFonts w:hint="eastAsia" w:eastAsia="宋体" w:cs="Times New Roman" w:asciiTheme="minorEastAsia" w:hAnsiTheme="minorEastAsia"/>
          <w:kern w:val="0"/>
          <w:sz w:val="24"/>
          <w:szCs w:val="24"/>
        </w:rPr>
        <w:t>全域</w:t>
      </w:r>
      <w:r>
        <w:rPr>
          <w:rFonts w:eastAsia="宋体" w:cs="Times New Roman" w:asciiTheme="minorEastAsia" w:hAnsiTheme="minorEastAsia"/>
          <w:kern w:val="0"/>
          <w:sz w:val="24"/>
          <w:szCs w:val="24"/>
        </w:rPr>
        <w:t>开放”立体全面开放新态势，建立健全开放合作机制，推动形成农业农村对外开放合作的新格局。</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（二）</w:t>
      </w:r>
      <w:r>
        <w:rPr>
          <w:rFonts w:eastAsia="宋体" w:cs="Times New Roman" w:asciiTheme="minorEastAsia" w:hAnsiTheme="minorEastAsia"/>
          <w:b/>
          <w:kern w:val="0"/>
          <w:sz w:val="24"/>
          <w:szCs w:val="24"/>
        </w:rPr>
        <w:t>培育壮大特色优势</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立足片区自然资源禀赋和现有发展基础, 按照宜农则农、宜林则林、宜工则工、宜商则商、宜游则游原则,培育壮大特色优势产业。</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（三）</w:t>
      </w:r>
      <w:r>
        <w:rPr>
          <w:rFonts w:eastAsia="宋体" w:cs="Times New Roman" w:asciiTheme="minorEastAsia" w:hAnsiTheme="minorEastAsia"/>
          <w:b/>
          <w:kern w:val="0"/>
          <w:sz w:val="24"/>
          <w:szCs w:val="24"/>
        </w:rPr>
        <w:t>引导发展乡村新产业新业态</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以新产业新业态促进乡村振兴提质升级，推动形成“片区一主业一特色”的新格局，并引导农村电商、农产品粗加工、冷链物流等产业结合农村居民点集中布局。</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（四）</w:t>
      </w:r>
      <w:r>
        <w:rPr>
          <w:rFonts w:eastAsia="宋体" w:cs="Times New Roman" w:asciiTheme="minorEastAsia" w:hAnsiTheme="minorEastAsia"/>
          <w:b/>
          <w:kern w:val="0"/>
          <w:sz w:val="24"/>
          <w:szCs w:val="24"/>
        </w:rPr>
        <w:t>全面提升农业发展质量</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夯实农业生产能力基础、实施质量兴农战略、构建农村一二三产业融合发展体系、促进小农户和现代农业发展有机衔接。</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（五）</w:t>
      </w:r>
      <w:r>
        <w:rPr>
          <w:rFonts w:eastAsia="宋体" w:cs="Times New Roman" w:asciiTheme="minorEastAsia" w:hAnsiTheme="minorEastAsia"/>
          <w:b/>
          <w:kern w:val="0"/>
          <w:sz w:val="24"/>
          <w:szCs w:val="24"/>
        </w:rPr>
        <w:t>大力发展现代农业园区</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把片区规划编制与现代农业园区扩面提质结合起来，推动串点成线、联机成片、扩片成带、集带成面，加快实现县域特色园区覆盖。</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（六）</w:t>
      </w:r>
      <w:r>
        <w:rPr>
          <w:rFonts w:eastAsia="宋体" w:cs="Times New Roman" w:asciiTheme="minorEastAsia" w:hAnsiTheme="minorEastAsia"/>
          <w:b/>
          <w:kern w:val="0"/>
          <w:sz w:val="24"/>
          <w:szCs w:val="24"/>
        </w:rPr>
        <w:t>推动乡村产业链条延伸</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着力延长片区内产业链条，推进产加销贯通、农文旅融合，拓展产业复合功能和增值空间。提高农产品附加值，激发乡村振兴活力。</w:t>
      </w:r>
    </w:p>
    <w:p>
      <w:pPr>
        <w:adjustRightInd w:val="0"/>
        <w:snapToGrid w:val="0"/>
        <w:spacing w:line="360" w:lineRule="auto"/>
        <w:ind w:firstLine="482" w:firstLineChars="200"/>
        <w:rPr>
          <w:rFonts w:ascii="黑体" w:hAnsi="黑体" w:eastAsia="黑体" w:cs="Times New Roman"/>
          <w:b/>
          <w:kern w:val="0"/>
          <w:sz w:val="24"/>
          <w:szCs w:val="24"/>
        </w:rPr>
      </w:pPr>
      <w:r>
        <w:rPr>
          <w:rFonts w:hint="eastAsia" w:ascii="黑体" w:hAnsi="黑体" w:eastAsia="黑体" w:cs="Times New Roman"/>
          <w:b/>
          <w:kern w:val="0"/>
          <w:sz w:val="24"/>
          <w:szCs w:val="24"/>
        </w:rPr>
        <w:t>二、产业发展体系构建</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按照“大农业，强集聚”的整体思路，通过纵向延伸、横向拓展、精准投放土地要素的方式，全面实现农业、农文旅产业融合发展，融入环成都经济区发展格局。</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围绕优质粮油横向拓展，挖掘农业多元价值，促进农文旅融合发展</w:t>
      </w:r>
      <w:r>
        <w:rPr>
          <w:rFonts w:hint="eastAsia" w:eastAsia="宋体" w:cs="Times New Roman" w:asciiTheme="minorEastAsia" w:hAnsiTheme="minorEastAsia"/>
          <w:kern w:val="0"/>
          <w:sz w:val="24"/>
          <w:szCs w:val="24"/>
        </w:rPr>
        <w:t>。</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（一）</w:t>
      </w:r>
      <w:r>
        <w:rPr>
          <w:rFonts w:eastAsia="宋体" w:cs="Times New Roman" w:asciiTheme="minorEastAsia" w:hAnsiTheme="minorEastAsia"/>
          <w:b/>
          <w:kern w:val="0"/>
          <w:sz w:val="24"/>
          <w:szCs w:val="24"/>
        </w:rPr>
        <w:t>粮油研发</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科技研发</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种植技术、</w:t>
      </w:r>
      <w:r>
        <w:rPr>
          <w:rFonts w:hint="eastAsia" w:eastAsia="宋体" w:cs="Times New Roman" w:asciiTheme="minorEastAsia" w:hAnsiTheme="minorEastAsia"/>
          <w:kern w:val="0"/>
          <w:sz w:val="24"/>
          <w:szCs w:val="24"/>
        </w:rPr>
        <w:t>良种</w:t>
      </w:r>
      <w:r>
        <w:rPr>
          <w:rFonts w:eastAsia="宋体" w:cs="Times New Roman" w:asciiTheme="minorEastAsia" w:hAnsiTheme="minorEastAsia"/>
          <w:kern w:val="0"/>
          <w:sz w:val="24"/>
          <w:szCs w:val="24"/>
        </w:rPr>
        <w:t>育种基地、设施化水平、生产管理技术</w:t>
      </w:r>
      <w:r>
        <w:rPr>
          <w:rFonts w:hint="eastAsia" w:eastAsia="宋体" w:cs="Times New Roman" w:asciiTheme="minorEastAsia" w:hAnsiTheme="minorEastAsia"/>
          <w:kern w:val="0"/>
          <w:sz w:val="24"/>
          <w:szCs w:val="24"/>
        </w:rPr>
        <w:t>。</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粮食研发</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功能型大米加工、粮油延伸食品加工</w:t>
      </w:r>
      <w:r>
        <w:rPr>
          <w:rFonts w:hint="eastAsia" w:eastAsia="宋体" w:cs="Times New Roman" w:asciiTheme="minorEastAsia" w:hAnsiTheme="minorEastAsia"/>
          <w:kern w:val="0"/>
          <w:sz w:val="24"/>
          <w:szCs w:val="24"/>
        </w:rPr>
        <w:t>。</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科普游学</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农业科普、科技观光、会议论坛、工厂参观、田园课堂</w:t>
      </w:r>
      <w:r>
        <w:rPr>
          <w:rFonts w:hint="eastAsia" w:eastAsia="宋体" w:cs="Times New Roman" w:asciiTheme="minorEastAsia" w:hAnsiTheme="minorEastAsia"/>
          <w:kern w:val="0"/>
          <w:sz w:val="24"/>
          <w:szCs w:val="24"/>
        </w:rPr>
        <w:t>。</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 xml:space="preserve">（二）文化旅游 </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文化创意</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花锣鼓文化、创意农业、艺术之家、田园摄影工作室、创意孵化</w:t>
      </w:r>
      <w:r>
        <w:rPr>
          <w:rFonts w:hint="eastAsia" w:eastAsia="宋体" w:cs="Times New Roman" w:asciiTheme="minorEastAsia" w:hAnsiTheme="minorEastAsia"/>
          <w:kern w:val="0"/>
          <w:sz w:val="24"/>
          <w:szCs w:val="24"/>
        </w:rPr>
        <w:t>。</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文化体验</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农耕文化、历史文化、民俗文化</w:t>
      </w:r>
      <w:r>
        <w:rPr>
          <w:rFonts w:hint="eastAsia" w:eastAsia="宋体" w:cs="Times New Roman" w:asciiTheme="minorEastAsia" w:hAnsiTheme="minorEastAsia"/>
          <w:kern w:val="0"/>
          <w:sz w:val="24"/>
          <w:szCs w:val="24"/>
        </w:rPr>
        <w:t>。</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文创商贸</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粮油集市、创意农艺、盆景培训、文旅观光、文化娱乐</w:t>
      </w:r>
      <w:r>
        <w:rPr>
          <w:rFonts w:hint="eastAsia" w:eastAsia="宋体" w:cs="Times New Roman" w:asciiTheme="minorEastAsia" w:hAnsiTheme="minorEastAsia"/>
          <w:kern w:val="0"/>
          <w:sz w:val="24"/>
          <w:szCs w:val="24"/>
        </w:rPr>
        <w:t>。</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（三）</w:t>
      </w:r>
      <w:r>
        <w:rPr>
          <w:rFonts w:eastAsia="宋体" w:cs="Times New Roman" w:asciiTheme="minorEastAsia" w:hAnsiTheme="minorEastAsia"/>
          <w:b/>
          <w:kern w:val="0"/>
          <w:sz w:val="24"/>
          <w:szCs w:val="24"/>
        </w:rPr>
        <w:t>田园康养</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农耕康养</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丘陵养生、田园休闲、湿地康养。</w:t>
      </w:r>
    </w:p>
    <w:p>
      <w:pPr>
        <w:adjustRightInd w:val="0"/>
        <w:snapToGrid w:val="0"/>
        <w:spacing w:line="360" w:lineRule="auto"/>
        <w:ind w:firstLine="480" w:firstLineChars="200"/>
        <w:rPr>
          <w:rFonts w:cs="Times New Roman" w:asciiTheme="minorEastAsia" w:hAnsiTheme="minorEastAsia"/>
          <w:kern w:val="0"/>
          <w:sz w:val="24"/>
          <w:szCs w:val="24"/>
        </w:rPr>
      </w:pPr>
      <w:r>
        <w:rPr>
          <w:rFonts w:hint="eastAsia" w:eastAsia="宋体" w:cs="Times New Roman" w:asciiTheme="minorEastAsia" w:hAnsiTheme="minorEastAsia"/>
          <w:kern w:val="0"/>
          <w:sz w:val="24"/>
          <w:szCs w:val="24"/>
        </w:rPr>
        <w:t>健康管理：</w:t>
      </w:r>
      <w:r>
        <w:rPr>
          <w:rFonts w:eastAsia="宋体" w:cs="Times New Roman" w:asciiTheme="minorEastAsia" w:hAnsiTheme="minorEastAsia"/>
          <w:kern w:val="0"/>
          <w:sz w:val="24"/>
          <w:szCs w:val="24"/>
        </w:rPr>
        <w:t>绿色膳食、康复养生、</w:t>
      </w:r>
      <w:r>
        <w:rPr>
          <w:rFonts w:hint="eastAsia" w:eastAsia="宋体" w:cs="Times New Roman" w:asciiTheme="minorEastAsia" w:hAnsiTheme="minorEastAsia"/>
          <w:kern w:val="0"/>
          <w:sz w:val="24"/>
          <w:szCs w:val="24"/>
        </w:rPr>
        <w:t>心理</w:t>
      </w:r>
      <w:r>
        <w:rPr>
          <w:rFonts w:eastAsia="宋体" w:cs="Times New Roman" w:asciiTheme="minorEastAsia" w:hAnsiTheme="minorEastAsia"/>
          <w:kern w:val="0"/>
          <w:sz w:val="24"/>
          <w:szCs w:val="24"/>
        </w:rPr>
        <w:t>疗养</w:t>
      </w:r>
      <w:r>
        <w:rPr>
          <w:rFonts w:hint="eastAsia" w:eastAsia="宋体" w:cs="Times New Roman" w:asciiTheme="minorEastAsia" w:hAnsiTheme="minorEastAsia"/>
          <w:kern w:val="0"/>
          <w:sz w:val="24"/>
          <w:szCs w:val="24"/>
        </w:rPr>
        <w:t>。</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主题运动</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山地运动、田园漫步、户外游憩</w:t>
      </w:r>
      <w:r>
        <w:rPr>
          <w:rFonts w:hint="eastAsia" w:eastAsia="宋体" w:cs="Times New Roman" w:asciiTheme="minorEastAsia" w:hAnsiTheme="minorEastAsia"/>
          <w:kern w:val="0"/>
          <w:sz w:val="24"/>
          <w:szCs w:val="24"/>
        </w:rPr>
        <w:t>。</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（四）果</w:t>
      </w:r>
      <w:r>
        <w:rPr>
          <w:rFonts w:eastAsia="宋体" w:cs="Times New Roman" w:asciiTheme="minorEastAsia" w:hAnsiTheme="minorEastAsia"/>
          <w:b/>
          <w:kern w:val="0"/>
          <w:sz w:val="24"/>
          <w:szCs w:val="24"/>
        </w:rPr>
        <w:t>木田园</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柠檬观光</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柠檬展销、创意农业、农事体验、休闲旅游。</w:t>
      </w:r>
    </w:p>
    <w:p>
      <w:pPr>
        <w:adjustRightInd w:val="0"/>
        <w:snapToGrid w:val="0"/>
        <w:spacing w:line="360" w:lineRule="auto"/>
        <w:ind w:firstLine="480" w:firstLineChars="200"/>
        <w:rPr>
          <w:rFonts w:cs="Times New Roman" w:asciiTheme="minorEastAsia" w:hAnsiTheme="minorEastAsia"/>
          <w:kern w:val="0"/>
          <w:sz w:val="24"/>
          <w:szCs w:val="24"/>
        </w:rPr>
      </w:pPr>
      <w:r>
        <w:rPr>
          <w:rFonts w:hint="eastAsia" w:eastAsia="宋体" w:cs="Times New Roman" w:asciiTheme="minorEastAsia" w:hAnsiTheme="minorEastAsia"/>
          <w:kern w:val="0"/>
          <w:sz w:val="24"/>
          <w:szCs w:val="24"/>
        </w:rPr>
        <w:t>自然教育：</w:t>
      </w:r>
      <w:r>
        <w:rPr>
          <w:rFonts w:eastAsia="宋体" w:cs="Times New Roman" w:asciiTheme="minorEastAsia" w:hAnsiTheme="minorEastAsia"/>
          <w:kern w:val="0"/>
          <w:sz w:val="24"/>
          <w:szCs w:val="24"/>
        </w:rPr>
        <w:t>户外拓扑、农事教育、农耕科普、自然美育、研学旅行。</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生态旅游</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滨水游憩、户外体验、生态观光、摄影基地、稻香农旅。</w:t>
      </w:r>
    </w:p>
    <w:p>
      <w:pPr>
        <w:adjustRightInd w:val="0"/>
        <w:snapToGrid w:val="0"/>
        <w:spacing w:line="360" w:lineRule="auto"/>
        <w:ind w:firstLine="482" w:firstLineChars="200"/>
        <w:rPr>
          <w:rFonts w:ascii="黑体" w:hAnsi="黑体" w:eastAsia="黑体" w:cs="Times New Roman"/>
          <w:b/>
          <w:kern w:val="0"/>
          <w:sz w:val="24"/>
          <w:szCs w:val="24"/>
        </w:rPr>
      </w:pPr>
      <w:r>
        <w:rPr>
          <w:rFonts w:ascii="黑体" w:hAnsi="黑体" w:eastAsia="黑体" w:cs="Times New Roman"/>
          <w:b/>
          <w:kern w:val="0"/>
          <w:sz w:val="24"/>
          <w:szCs w:val="24"/>
        </w:rPr>
        <w:t>三</w:t>
      </w:r>
      <w:r>
        <w:rPr>
          <w:rFonts w:hint="eastAsia" w:ascii="黑体" w:hAnsi="黑体" w:eastAsia="黑体" w:cs="Times New Roman"/>
          <w:b/>
          <w:kern w:val="0"/>
          <w:sz w:val="24"/>
          <w:szCs w:val="24"/>
        </w:rPr>
        <w:t>、</w:t>
      </w:r>
      <w:r>
        <w:rPr>
          <w:rFonts w:ascii="黑体" w:hAnsi="黑体" w:eastAsia="黑体" w:cs="Times New Roman"/>
          <w:b/>
          <w:kern w:val="0"/>
          <w:sz w:val="24"/>
          <w:szCs w:val="24"/>
        </w:rPr>
        <w:t>统筹优化产业空间布局</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（一）产业发展总体思路</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按照</w:t>
      </w:r>
      <w:r>
        <w:rPr>
          <w:rFonts w:hint="eastAsia" w:eastAsia="宋体" w:cs="Times New Roman" w:asciiTheme="minorEastAsia" w:hAnsiTheme="minorEastAsia"/>
          <w:kern w:val="0"/>
          <w:sz w:val="24"/>
          <w:szCs w:val="24"/>
        </w:rPr>
        <w:t>大英县以粮油、中药、水果、蔬菜等产业基地为基础，以中药材现代农业园区、柠檬现代农业园、柑橘现代农业园、甜桃现代农业园、九叶青花椒现代农业园、乡村休闲农业园、水产现代农业园区、种养循环产业园、绿色蔬菜产业园等现代</w:t>
      </w:r>
      <w:r>
        <w:rPr>
          <w:rFonts w:hint="eastAsia" w:eastAsia="宋体" w:cs="Times New Roman" w:asciiTheme="minorEastAsia" w:hAnsiTheme="minorEastAsia"/>
          <w:kern w:val="0"/>
          <w:sz w:val="24"/>
          <w:szCs w:val="24"/>
          <w:lang w:val="en-US" w:eastAsia="zh-CN"/>
        </w:rPr>
        <w:t>农</w:t>
      </w:r>
      <w:r>
        <w:rPr>
          <w:rFonts w:hint="eastAsia" w:eastAsia="宋体" w:cs="Times New Roman" w:asciiTheme="minorEastAsia" w:hAnsiTheme="minorEastAsia"/>
          <w:kern w:val="0"/>
          <w:sz w:val="24"/>
          <w:szCs w:val="24"/>
        </w:rPr>
        <w:t>业园区为载体，形成“两廊两片五路”的现代农业发展格局。</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重点加快发展地道中药材、优质柑橘、绿色蔬菜、白柠檬、绿色生猪等特色产业，带动蓬乐路大英县级现代农业园区及特色园区加快发展。</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1、</w:t>
      </w:r>
      <w:r>
        <w:rPr>
          <w:rFonts w:eastAsia="宋体" w:cs="Times New Roman" w:asciiTheme="minorEastAsia" w:hAnsiTheme="minorEastAsia"/>
          <w:kern w:val="0"/>
          <w:sz w:val="24"/>
          <w:szCs w:val="24"/>
        </w:rPr>
        <w:t>一产</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提升基础性产业，构建现代农业产业体系</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充分结合片区产业现状情况和</w:t>
      </w:r>
      <w:r>
        <w:rPr>
          <w:rFonts w:hint="eastAsia" w:eastAsia="宋体" w:cs="Times New Roman" w:asciiTheme="minorEastAsia" w:hAnsiTheme="minorEastAsia"/>
          <w:kern w:val="0"/>
          <w:sz w:val="24"/>
          <w:szCs w:val="24"/>
        </w:rPr>
        <w:t>丘底、</w:t>
      </w:r>
      <w:r>
        <w:rPr>
          <w:rFonts w:eastAsia="宋体" w:cs="Times New Roman" w:asciiTheme="minorEastAsia" w:hAnsiTheme="minorEastAsia"/>
          <w:kern w:val="0"/>
          <w:sz w:val="24"/>
          <w:szCs w:val="24"/>
        </w:rPr>
        <w:t>丘腰</w:t>
      </w:r>
      <w:r>
        <w:rPr>
          <w:rFonts w:hint="eastAsia" w:eastAsia="宋体" w:cs="Times New Roman" w:asciiTheme="minorEastAsia" w:hAnsiTheme="minorEastAsia"/>
          <w:kern w:val="0"/>
          <w:sz w:val="24"/>
          <w:szCs w:val="24"/>
        </w:rPr>
        <w:t>和丘顶</w:t>
      </w:r>
      <w:r>
        <w:rPr>
          <w:rFonts w:eastAsia="宋体" w:cs="Times New Roman" w:asciiTheme="minorEastAsia" w:hAnsiTheme="minorEastAsia"/>
          <w:kern w:val="0"/>
          <w:sz w:val="24"/>
          <w:szCs w:val="24"/>
        </w:rPr>
        <w:t>不同的地形地貌特色，以“丘底开展高标准农田建设</w:t>
      </w:r>
      <w:r>
        <w:rPr>
          <w:rFonts w:hint="eastAsia" w:eastAsia="宋体" w:cs="Times New Roman" w:asciiTheme="minorEastAsia" w:hAnsiTheme="minorEastAsia"/>
          <w:kern w:val="0"/>
          <w:sz w:val="24"/>
          <w:szCs w:val="24"/>
        </w:rPr>
        <w:t>+丘腰聚居+丘顶开展休闲景观功能</w:t>
      </w:r>
      <w:r>
        <w:rPr>
          <w:rFonts w:eastAsia="宋体" w:cs="Times New Roman" w:asciiTheme="minorEastAsia" w:hAnsiTheme="minorEastAsia"/>
          <w:kern w:val="0"/>
          <w:sz w:val="24"/>
          <w:szCs w:val="24"/>
        </w:rPr>
        <w:t>”为特色的多层次立体结构，围绕现代农业产业体系、生产体系、经营体系建设，</w:t>
      </w:r>
      <w:r>
        <w:rPr>
          <w:rFonts w:hint="eastAsia" w:eastAsia="宋体" w:cs="Times New Roman" w:asciiTheme="minorEastAsia" w:hAnsiTheme="minorEastAsia"/>
          <w:kern w:val="0"/>
          <w:sz w:val="24"/>
          <w:szCs w:val="24"/>
        </w:rPr>
        <w:t>因地制宜多元化发展稻作、早作粮经复合种植、稻渔综合种养、幼龄经果林下套作等产业模式建设规模化、标准化、集约化产业基地。</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2、</w:t>
      </w:r>
      <w:r>
        <w:rPr>
          <w:rFonts w:eastAsia="宋体" w:cs="Times New Roman" w:asciiTheme="minorEastAsia" w:hAnsiTheme="minorEastAsia"/>
          <w:kern w:val="0"/>
          <w:sz w:val="24"/>
          <w:szCs w:val="24"/>
        </w:rPr>
        <w:t>二产——打造产业集聚平台，建设农产品加工物流基</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优质粮油加工物流基地：重点打造</w:t>
      </w:r>
      <w:r>
        <w:rPr>
          <w:rFonts w:hint="eastAsia" w:eastAsia="宋体" w:cs="Times New Roman" w:asciiTheme="minorEastAsia" w:hAnsiTheme="minorEastAsia"/>
          <w:kern w:val="0"/>
          <w:sz w:val="24"/>
          <w:szCs w:val="24"/>
        </w:rPr>
        <w:t>玉峰镇智水村、玉峰镇星宿村、河边镇牌坊村、象山镇马蹄址村粮油初加工中心，完善清洗、分拣、切割包装、烘干、冷藏等产地初加工设施配备，提高产品质量水平和市场竞争力。在象山镇永乐村、玉峰镇斗笠村、河边镇启动农产品仓储保鲜冷链物流设施建设工程，加强农产品冷链物流统筹规划、分级布局和标准制定。配置相应的烘干预冷设施、整理分级车间、冷藏库，以及清洗、分级、包装等商品化处理设施设备，提高产品档次和附加值，扩大销售半径增强市场调剂能力。</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柠檬深加工基地：对河边镇柠檬初加工基地进行提升，优化柠檬生产环境，完善柠檬初加工设备，发展绿色、低碳、生态柠檬种植。同时可依托经开区，寻求与厚裕粮油等龙头企业合作，建设粮油精深加工中心，发展精加工大米米酒、食用油等，提升产品附加值，促进粮油产业提档升级。</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玉峰</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象山现代科技</w:t>
      </w:r>
      <w:r>
        <w:rPr>
          <w:rFonts w:hint="eastAsia" w:eastAsia="宋体" w:cs="Times New Roman" w:asciiTheme="minorEastAsia" w:hAnsiTheme="minorEastAsia"/>
          <w:kern w:val="0"/>
          <w:sz w:val="24"/>
          <w:szCs w:val="24"/>
        </w:rPr>
        <w:t>良种</w:t>
      </w:r>
      <w:r>
        <w:rPr>
          <w:rFonts w:eastAsia="宋体" w:cs="Times New Roman" w:asciiTheme="minorEastAsia" w:hAnsiTheme="minorEastAsia"/>
          <w:kern w:val="0"/>
          <w:sz w:val="24"/>
          <w:szCs w:val="24"/>
        </w:rPr>
        <w:t>育种基地：通过种质资源引进、保存和开发利用，培育育繁推一体化企业，以企业为主体的商业化育种，选育突破性新品种，提高制（繁）种能力。同时开展制繁种子（种苗）技术研究和示范推广。</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3、</w:t>
      </w:r>
      <w:r>
        <w:rPr>
          <w:rFonts w:eastAsia="宋体" w:cs="Times New Roman" w:asciiTheme="minorEastAsia" w:hAnsiTheme="minorEastAsia"/>
          <w:kern w:val="0"/>
          <w:sz w:val="24"/>
          <w:szCs w:val="24"/>
        </w:rPr>
        <w:t>三产——农商文旅融合发展</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推进一二三产业融合发展，实现特色农产品、加工、服务体验一体的全产业链发展模式。</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一二</w:t>
      </w:r>
      <w:r>
        <w:rPr>
          <w:rFonts w:hint="eastAsia" w:eastAsia="宋体" w:cs="Times New Roman" w:asciiTheme="minorEastAsia" w:hAnsiTheme="minorEastAsia"/>
          <w:kern w:val="0"/>
          <w:sz w:val="24"/>
          <w:szCs w:val="24"/>
          <w:lang w:eastAsia="zh-CN"/>
        </w:rPr>
        <w:t>产业融合</w:t>
      </w:r>
      <w:r>
        <w:rPr>
          <w:rFonts w:eastAsia="宋体" w:cs="Times New Roman" w:asciiTheme="minorEastAsia" w:hAnsiTheme="minorEastAsia"/>
          <w:kern w:val="0"/>
          <w:sz w:val="24"/>
          <w:szCs w:val="24"/>
        </w:rPr>
        <w:t>，依托农产品，发展加工、冷链等配套产业，重点发展农产品加工、食品加工、冷链物流运输。</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一</w:t>
      </w:r>
      <w:r>
        <w:rPr>
          <w:rFonts w:hint="eastAsia" w:eastAsia="宋体" w:cs="Times New Roman" w:asciiTheme="minorEastAsia" w:hAnsiTheme="minorEastAsia"/>
          <w:kern w:val="0"/>
          <w:sz w:val="24"/>
          <w:szCs w:val="24"/>
          <w:lang w:eastAsia="zh-CN"/>
        </w:rPr>
        <w:t>三产业融合</w:t>
      </w:r>
      <w:r>
        <w:rPr>
          <w:rFonts w:eastAsia="宋体" w:cs="Times New Roman" w:asciiTheme="minorEastAsia" w:hAnsiTheme="minorEastAsia"/>
          <w:kern w:val="0"/>
          <w:sz w:val="24"/>
          <w:szCs w:val="24"/>
        </w:rPr>
        <w:t>，依托农业空间，发展文旅、直播</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商业等产业，重点发展粮油博览、乡村文化旅游、运动休闲、自然教育、电子商务。</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lang w:eastAsia="zh-CN"/>
        </w:rPr>
        <w:t>一二三产业融合</w:t>
      </w:r>
      <w:r>
        <w:rPr>
          <w:rFonts w:eastAsia="宋体" w:cs="Times New Roman" w:asciiTheme="minorEastAsia" w:hAnsiTheme="minorEastAsia"/>
          <w:kern w:val="0"/>
          <w:sz w:val="24"/>
          <w:szCs w:val="24"/>
        </w:rPr>
        <w:t>，依托农产品及其副产品，发展数字农业、电商、展销等配套产业，重点发展“互联网+”农业、农副产品展销、农村电商、智慧农业、农业数据云平台。</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（二）产业发展布局</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坚持发挥优势、塑造特色、形成规模，以一产为主，接二连三，深化“</w:t>
      </w:r>
      <w:r>
        <w:rPr>
          <w:rFonts w:hint="eastAsia" w:eastAsia="宋体" w:cs="Times New Roman" w:asciiTheme="minorEastAsia" w:hAnsiTheme="minorEastAsia"/>
          <w:kern w:val="0"/>
          <w:sz w:val="24"/>
          <w:szCs w:val="24"/>
        </w:rPr>
        <w:t>粮油</w:t>
      </w:r>
      <w:r>
        <w:rPr>
          <w:rFonts w:eastAsia="宋体" w:cs="Times New Roman" w:asciiTheme="minorEastAsia" w:hAnsiTheme="minorEastAsia"/>
          <w:kern w:val="0"/>
          <w:sz w:val="24"/>
          <w:szCs w:val="24"/>
        </w:rPr>
        <w:t>+”、“</w:t>
      </w:r>
      <w:r>
        <w:rPr>
          <w:rFonts w:hint="eastAsia" w:eastAsia="宋体" w:cs="Times New Roman" w:asciiTheme="minorEastAsia" w:hAnsiTheme="minorEastAsia"/>
          <w:kern w:val="0"/>
          <w:sz w:val="24"/>
          <w:szCs w:val="24"/>
        </w:rPr>
        <w:t>农旅</w:t>
      </w:r>
      <w:r>
        <w:rPr>
          <w:rFonts w:eastAsia="宋体" w:cs="Times New Roman" w:asciiTheme="minorEastAsia" w:hAnsiTheme="minorEastAsia"/>
          <w:kern w:val="0"/>
          <w:sz w:val="24"/>
          <w:szCs w:val="24"/>
        </w:rPr>
        <w:t>+”融合发展理念，积极发展农村新产业新业态。构建片区 “一区</w:t>
      </w:r>
      <w:r>
        <w:rPr>
          <w:rFonts w:hint="eastAsia" w:eastAsia="宋体" w:cs="Times New Roman" w:asciiTheme="minorEastAsia" w:hAnsiTheme="minorEastAsia"/>
          <w:kern w:val="0"/>
          <w:sz w:val="24"/>
          <w:szCs w:val="24"/>
        </w:rPr>
        <w:t>两</w:t>
      </w:r>
      <w:r>
        <w:rPr>
          <w:rFonts w:eastAsia="宋体" w:cs="Times New Roman" w:asciiTheme="minorEastAsia" w:hAnsiTheme="minorEastAsia"/>
          <w:kern w:val="0"/>
          <w:sz w:val="24"/>
          <w:szCs w:val="24"/>
        </w:rPr>
        <w:t>心</w:t>
      </w:r>
      <w:r>
        <w:rPr>
          <w:rFonts w:hint="eastAsia" w:eastAsia="宋体" w:cs="Times New Roman" w:asciiTheme="minorEastAsia" w:hAnsiTheme="minorEastAsia"/>
          <w:kern w:val="0"/>
          <w:sz w:val="24"/>
          <w:szCs w:val="24"/>
        </w:rPr>
        <w:t>三</w:t>
      </w:r>
      <w:r>
        <w:rPr>
          <w:rFonts w:eastAsia="宋体" w:cs="Times New Roman" w:asciiTheme="minorEastAsia" w:hAnsiTheme="minorEastAsia"/>
          <w:kern w:val="0"/>
          <w:sz w:val="24"/>
          <w:szCs w:val="24"/>
        </w:rPr>
        <w:t>片”的农文旅融合发展结构。首先建设“一区”，筑牢现代农业本底，提升粮油生产附加值；其次，依托片区资源禀赋，营造粮油</w:t>
      </w:r>
      <w:r>
        <w:rPr>
          <w:rFonts w:hint="eastAsia" w:eastAsia="宋体" w:cs="Times New Roman" w:asciiTheme="minorEastAsia" w:hAnsiTheme="minorEastAsia"/>
          <w:kern w:val="0"/>
          <w:sz w:val="24"/>
          <w:szCs w:val="24"/>
        </w:rPr>
        <w:t>科技</w:t>
      </w:r>
      <w:r>
        <w:rPr>
          <w:rFonts w:eastAsia="宋体" w:cs="Times New Roman" w:asciiTheme="minorEastAsia" w:hAnsiTheme="minorEastAsia"/>
          <w:kern w:val="0"/>
          <w:sz w:val="24"/>
          <w:szCs w:val="24"/>
        </w:rPr>
        <w:t>创新、</w:t>
      </w:r>
      <w:r>
        <w:rPr>
          <w:rFonts w:hint="eastAsia" w:eastAsia="宋体" w:cs="Times New Roman" w:asciiTheme="minorEastAsia" w:hAnsiTheme="minorEastAsia"/>
          <w:kern w:val="0"/>
          <w:sz w:val="24"/>
          <w:szCs w:val="24"/>
        </w:rPr>
        <w:t>粮菜绿色</w:t>
      </w:r>
      <w:r>
        <w:rPr>
          <w:rFonts w:eastAsia="宋体" w:cs="Times New Roman" w:asciiTheme="minorEastAsia" w:hAnsiTheme="minorEastAsia"/>
          <w:kern w:val="0"/>
          <w:sz w:val="24"/>
          <w:szCs w:val="24"/>
        </w:rPr>
        <w:t>发展、</w:t>
      </w:r>
      <w:r>
        <w:rPr>
          <w:rFonts w:hint="eastAsia" w:eastAsia="宋体" w:cs="Times New Roman" w:asciiTheme="minorEastAsia" w:hAnsiTheme="minorEastAsia"/>
          <w:kern w:val="0"/>
          <w:sz w:val="24"/>
          <w:szCs w:val="24"/>
        </w:rPr>
        <w:t>粮果高效发展三</w:t>
      </w:r>
      <w:r>
        <w:rPr>
          <w:rFonts w:eastAsia="宋体" w:cs="Times New Roman" w:asciiTheme="minorEastAsia" w:hAnsiTheme="minorEastAsia"/>
          <w:kern w:val="0"/>
          <w:sz w:val="24"/>
          <w:szCs w:val="24"/>
        </w:rPr>
        <w:t>大农业产业场景</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最后，以规划三大乐高速、国道</w:t>
      </w:r>
      <w:r>
        <w:rPr>
          <w:rFonts w:hint="eastAsia" w:eastAsia="宋体" w:cs="Times New Roman" w:asciiTheme="minorEastAsia" w:hAnsiTheme="minorEastAsia"/>
          <w:kern w:val="0"/>
          <w:sz w:val="24"/>
          <w:szCs w:val="24"/>
        </w:rPr>
        <w:t>G350、省道S225、省道S401、</w:t>
      </w:r>
      <w:r>
        <w:rPr>
          <w:rFonts w:eastAsia="宋体" w:cs="Times New Roman" w:asciiTheme="minorEastAsia" w:hAnsiTheme="minorEastAsia"/>
          <w:kern w:val="0"/>
          <w:sz w:val="24"/>
          <w:szCs w:val="24"/>
        </w:rPr>
        <w:t>省道</w:t>
      </w:r>
      <w:r>
        <w:rPr>
          <w:rFonts w:hint="eastAsia" w:eastAsia="宋体" w:cs="Times New Roman" w:asciiTheme="minorEastAsia" w:hAnsiTheme="minorEastAsia"/>
          <w:kern w:val="0"/>
          <w:sz w:val="24"/>
          <w:szCs w:val="24"/>
        </w:rPr>
        <w:t>S307、省道S209、旅游</w:t>
      </w:r>
      <w:r>
        <w:rPr>
          <w:rFonts w:eastAsia="宋体" w:cs="Times New Roman" w:asciiTheme="minorEastAsia" w:hAnsiTheme="minorEastAsia"/>
          <w:kern w:val="0"/>
          <w:sz w:val="24"/>
          <w:szCs w:val="24"/>
        </w:rPr>
        <w:t>公路象白路</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粮油园区大环线和小环线，最终形成“一区</w:t>
      </w:r>
      <w:r>
        <w:rPr>
          <w:rFonts w:hint="eastAsia" w:eastAsia="宋体" w:cs="Times New Roman" w:asciiTheme="minorEastAsia" w:hAnsiTheme="minorEastAsia"/>
          <w:kern w:val="0"/>
          <w:sz w:val="24"/>
          <w:szCs w:val="24"/>
        </w:rPr>
        <w:t>、两</w:t>
      </w:r>
      <w:r>
        <w:rPr>
          <w:rFonts w:eastAsia="宋体" w:cs="Times New Roman" w:asciiTheme="minorEastAsia" w:hAnsiTheme="minorEastAsia"/>
          <w:kern w:val="0"/>
          <w:sz w:val="24"/>
          <w:szCs w:val="24"/>
        </w:rPr>
        <w:t>心</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三</w:t>
      </w:r>
      <w:r>
        <w:rPr>
          <w:rFonts w:hint="eastAsia" w:eastAsia="宋体" w:cs="Times New Roman" w:asciiTheme="minorEastAsia" w:hAnsiTheme="minorEastAsia"/>
          <w:kern w:val="0"/>
          <w:sz w:val="24"/>
          <w:szCs w:val="24"/>
        </w:rPr>
        <w:t>片、</w:t>
      </w:r>
      <w:r>
        <w:rPr>
          <w:rFonts w:eastAsia="宋体" w:cs="Times New Roman" w:asciiTheme="minorEastAsia" w:hAnsiTheme="minorEastAsia"/>
          <w:kern w:val="0"/>
          <w:sz w:val="24"/>
          <w:szCs w:val="24"/>
        </w:rPr>
        <w:t>多线</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多节点”的整体结构。</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（三）产业发展策略</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通过“</w:t>
      </w:r>
      <w:r>
        <w:rPr>
          <w:rFonts w:hint="eastAsia" w:eastAsia="宋体" w:cs="Times New Roman" w:asciiTheme="minorEastAsia" w:hAnsiTheme="minorEastAsia"/>
          <w:kern w:val="0"/>
          <w:sz w:val="24"/>
          <w:szCs w:val="24"/>
        </w:rPr>
        <w:t>一区</w:t>
      </w:r>
      <w:r>
        <w:rPr>
          <w:rFonts w:eastAsia="宋体" w:cs="Times New Roman" w:asciiTheme="minorEastAsia" w:hAnsiTheme="minorEastAsia"/>
          <w:kern w:val="0"/>
          <w:sz w:val="24"/>
          <w:szCs w:val="24"/>
        </w:rPr>
        <w:t>强基、</w:t>
      </w:r>
      <w:r>
        <w:rPr>
          <w:rFonts w:hint="eastAsia" w:eastAsia="宋体" w:cs="Times New Roman" w:asciiTheme="minorEastAsia" w:hAnsiTheme="minorEastAsia"/>
          <w:kern w:val="0"/>
          <w:sz w:val="24"/>
          <w:szCs w:val="24"/>
        </w:rPr>
        <w:t>两心</w:t>
      </w:r>
      <w:r>
        <w:rPr>
          <w:rFonts w:eastAsia="宋体" w:cs="Times New Roman" w:asciiTheme="minorEastAsia" w:hAnsiTheme="minorEastAsia"/>
          <w:kern w:val="0"/>
          <w:sz w:val="24"/>
          <w:szCs w:val="24"/>
        </w:rPr>
        <w:t>强核、</w:t>
      </w:r>
      <w:r>
        <w:rPr>
          <w:rFonts w:hint="eastAsia" w:eastAsia="宋体" w:cs="Times New Roman" w:asciiTheme="minorEastAsia" w:hAnsiTheme="minorEastAsia"/>
          <w:kern w:val="0"/>
          <w:sz w:val="24"/>
          <w:szCs w:val="24"/>
        </w:rPr>
        <w:t>三片</w:t>
      </w:r>
      <w:r>
        <w:rPr>
          <w:rFonts w:eastAsia="宋体" w:cs="Times New Roman" w:asciiTheme="minorEastAsia" w:hAnsiTheme="minorEastAsia"/>
          <w:kern w:val="0"/>
          <w:sz w:val="24"/>
          <w:szCs w:val="24"/>
        </w:rPr>
        <w:t>协同</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多线串联”构建区域协同的产业体系</w:t>
      </w:r>
      <w:r>
        <w:rPr>
          <w:rFonts w:hint="eastAsia" w:eastAsia="宋体" w:cs="Times New Roman" w:asciiTheme="minorEastAsia" w:hAnsiTheme="minorEastAsia"/>
          <w:kern w:val="0"/>
          <w:sz w:val="24"/>
          <w:szCs w:val="24"/>
        </w:rPr>
        <w:t>，聚焦产业提质提能，探索产业融合发展新路径，推动成遂协同绿色发展片区产业高质量发展。</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1、一区筑基</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依托高标准农田建设，优化粮油种植技术服务配套，创建国家优质粮油示范区大英县国家级粮油现代农业产业园区（15万亩），推动农业标准化、精细化、智慧化发展。</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增补优质粮油“7+3”服务配套：根据优质粮油种植生产需求，落实“7+3”粮油技术服务配套（即农机服务选种、配肥、植保、监测服务及粮食烘干仓储等）。</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完善优质粮油种植、流通、销售环节：在对应环节，推广“稻菜轮作+生态种养”、“城市配送+采购基地”、“线上+线下”的模式。</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2、两心强核</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推动</w:t>
      </w:r>
      <w:r>
        <w:rPr>
          <w:rFonts w:hint="eastAsia" w:eastAsia="宋体" w:cs="Times New Roman" w:asciiTheme="minorEastAsia" w:hAnsiTheme="minorEastAsia"/>
          <w:kern w:val="0"/>
          <w:sz w:val="24"/>
          <w:szCs w:val="24"/>
        </w:rPr>
        <w:t>玉峰粮油科创中心建设，</w:t>
      </w:r>
      <w:r>
        <w:rPr>
          <w:rFonts w:eastAsia="宋体" w:cs="Times New Roman" w:asciiTheme="minorEastAsia" w:hAnsiTheme="minorEastAsia"/>
          <w:kern w:val="0"/>
          <w:sz w:val="24"/>
          <w:szCs w:val="24"/>
        </w:rPr>
        <w:t>智水和象山现代科技</w:t>
      </w:r>
      <w:r>
        <w:rPr>
          <w:rFonts w:hint="eastAsia" w:eastAsia="宋体" w:cs="Times New Roman" w:asciiTheme="minorEastAsia" w:hAnsiTheme="minorEastAsia"/>
          <w:kern w:val="0"/>
          <w:sz w:val="24"/>
          <w:szCs w:val="24"/>
        </w:rPr>
        <w:t>良种</w:t>
      </w:r>
      <w:r>
        <w:rPr>
          <w:rFonts w:eastAsia="宋体" w:cs="Times New Roman" w:asciiTheme="minorEastAsia" w:hAnsiTheme="minorEastAsia"/>
          <w:kern w:val="0"/>
          <w:sz w:val="24"/>
          <w:szCs w:val="24"/>
        </w:rPr>
        <w:t>育种基地</w:t>
      </w:r>
      <w:r>
        <w:rPr>
          <w:rFonts w:hint="eastAsia" w:eastAsia="宋体" w:cs="Times New Roman" w:asciiTheme="minorEastAsia" w:hAnsiTheme="minorEastAsia"/>
          <w:kern w:val="0"/>
          <w:sz w:val="24"/>
          <w:szCs w:val="24"/>
        </w:rPr>
        <w:t>培育。</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（1）智水融合发展中心</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加快智水农事服务中心建设，重点围绕良种培育、食品加工、粮食储存、集中育苗炼秧、电商服务、大数据平台产品、信息发布、数字化粮油交易和产品展示等方面进行建设。</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（2）</w:t>
      </w:r>
      <w:r>
        <w:rPr>
          <w:rFonts w:eastAsia="宋体" w:cs="Times New Roman" w:asciiTheme="minorEastAsia" w:hAnsiTheme="minorEastAsia"/>
          <w:kern w:val="0"/>
          <w:sz w:val="24"/>
          <w:szCs w:val="24"/>
        </w:rPr>
        <w:t>现代科技</w:t>
      </w:r>
      <w:r>
        <w:rPr>
          <w:rFonts w:hint="eastAsia" w:eastAsia="宋体" w:cs="Times New Roman" w:asciiTheme="minorEastAsia" w:hAnsiTheme="minorEastAsia"/>
          <w:kern w:val="0"/>
          <w:sz w:val="24"/>
          <w:szCs w:val="24"/>
        </w:rPr>
        <w:t>良种</w:t>
      </w:r>
      <w:r>
        <w:rPr>
          <w:rFonts w:eastAsia="宋体" w:cs="Times New Roman" w:asciiTheme="minorEastAsia" w:hAnsiTheme="minorEastAsia"/>
          <w:kern w:val="0"/>
          <w:sz w:val="24"/>
          <w:szCs w:val="24"/>
        </w:rPr>
        <w:t>育种</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通过种质资源引进、保存和开发利用，培育育繁推一体化企业，以企业为主体的商业化育种，选育突破性新品种，提高制（繁）种能力。同时，开展制繁种子（种苗）技术研究和示范推广。在加强品种测试评价能力建设的基础上，相应布局农作物种子（苗）基地、种子生产技术和经营管理能力培训中心。建设设施完善、设施装备先进、产业链条完整、新业态发展良好、农业综合效益高，带动农民增产增收效益持续稳定增长的现代科技种业基地。</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3、三区协同</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产业发展聚焦特色资源禀赋，引领产业项目差异化布局，协同发展。</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玉峰现代农业科技创新引领示范区：注重科技赋能，加强与农业院校、科研院所合作，指导从育种到加工全过程，提高生产效率和农业附加值，实现种源自主可控。</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 xml:space="preserve">象山粮菜绿色发展示范区：挖掘红色文化、农耕文化，打造主题公园，发展农耕文化创意旅游，沿郪江、蒙溪河、四五水库等形成的以健康服务、农旅观光为特色的稻香农耕发展片区，重塑乡村形态、实现农业生态价值转化。 </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 xml:space="preserve">河边粮果高效发展示范区：依托蒙溪河、蓬乐公路两侧万亩柠檬，在河边镇形成以特色柠檬种植、盆景制作、巨型稻种植及创意农业为特色的水木田园发展片区，逐步打造成为大英县乡村振兴展示带，助力实现共同富裕。 </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4、多线串联</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以规划三大乐高速、国道</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省道</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互通、</w:t>
      </w:r>
      <w:r>
        <w:rPr>
          <w:rFonts w:hint="eastAsia" w:eastAsia="宋体" w:cs="Times New Roman" w:asciiTheme="minorEastAsia" w:hAnsiTheme="minorEastAsia"/>
          <w:kern w:val="0"/>
          <w:sz w:val="24"/>
          <w:szCs w:val="24"/>
        </w:rPr>
        <w:t>乡村</w:t>
      </w:r>
      <w:r>
        <w:rPr>
          <w:rFonts w:eastAsia="宋体" w:cs="Times New Roman" w:asciiTheme="minorEastAsia" w:hAnsiTheme="minorEastAsia"/>
          <w:kern w:val="0"/>
          <w:sz w:val="24"/>
          <w:szCs w:val="24"/>
        </w:rPr>
        <w:t>旅游公路及各类产业道路为</w:t>
      </w:r>
      <w:r>
        <w:rPr>
          <w:rFonts w:hint="eastAsia" w:eastAsia="宋体" w:cs="Times New Roman" w:asciiTheme="minorEastAsia" w:hAnsiTheme="minorEastAsia"/>
          <w:kern w:val="0"/>
          <w:sz w:val="24"/>
          <w:szCs w:val="24"/>
        </w:rPr>
        <w:t>产业</w:t>
      </w:r>
      <w:r>
        <w:rPr>
          <w:rFonts w:eastAsia="宋体" w:cs="Times New Roman" w:asciiTheme="minorEastAsia" w:hAnsiTheme="minorEastAsia"/>
          <w:kern w:val="0"/>
          <w:sz w:val="24"/>
          <w:szCs w:val="24"/>
        </w:rPr>
        <w:t>发展线路，串联象山农耕园、四五水库、特色柠檬园</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育种基地</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农业科技孵化中心</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五良融合示范节点</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智慧粮油大田及片区</w:t>
      </w:r>
      <w:r>
        <w:rPr>
          <w:rFonts w:hint="eastAsia" w:eastAsia="宋体" w:cs="Times New Roman" w:asciiTheme="minorEastAsia" w:hAnsiTheme="minorEastAsia"/>
          <w:kern w:val="0"/>
          <w:sz w:val="24"/>
          <w:szCs w:val="24"/>
        </w:rPr>
        <w:t>三镇区</w:t>
      </w:r>
      <w:r>
        <w:rPr>
          <w:rFonts w:eastAsia="宋体" w:cs="Times New Roman" w:asciiTheme="minorEastAsia" w:hAnsiTheme="minorEastAsia"/>
          <w:kern w:val="0"/>
          <w:sz w:val="24"/>
          <w:szCs w:val="24"/>
        </w:rPr>
        <w:t>，融入区域农文旅产业融合发展</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形成</w:t>
      </w:r>
      <w:r>
        <w:rPr>
          <w:rFonts w:hint="eastAsia" w:eastAsia="宋体" w:cs="Times New Roman" w:asciiTheme="minorEastAsia" w:hAnsiTheme="minorEastAsia"/>
          <w:kern w:val="0"/>
          <w:sz w:val="24"/>
          <w:szCs w:val="24"/>
        </w:rPr>
        <w:t>农文科旅融合展示新路径。</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5、多点</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规划大美稻田节点（玉印村、得鱼沟、永乐村），良种育种基地（永乐村、前进村、智水村），农业科技孵化节点（智水农事服务中心），多功能综合服务节点（智水），五良融合示范节点（智水、玉印、水阁村），智慧粮油大田展示节点（智水、玉印村），农旅融合节点（智水、玉印、斗笠）等多处节点。</w:t>
      </w:r>
    </w:p>
    <w:p>
      <w:pPr>
        <w:adjustRightInd w:val="0"/>
        <w:snapToGrid w:val="0"/>
        <w:spacing w:line="360" w:lineRule="auto"/>
        <w:ind w:firstLine="482" w:firstLineChars="200"/>
        <w:rPr>
          <w:rFonts w:ascii="黑体" w:hAnsi="黑体" w:eastAsia="黑体" w:cs="Times New Roman"/>
          <w:b/>
          <w:kern w:val="0"/>
          <w:sz w:val="24"/>
          <w:szCs w:val="24"/>
        </w:rPr>
      </w:pPr>
      <w:r>
        <w:rPr>
          <w:rFonts w:hint="eastAsia" w:ascii="黑体" w:hAnsi="黑体" w:eastAsia="黑体" w:cs="Times New Roman"/>
          <w:b/>
          <w:kern w:val="0"/>
          <w:sz w:val="24"/>
          <w:szCs w:val="24"/>
        </w:rPr>
        <w:t>四、乡村产业发展用地</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（一）乡村振兴总用地保障</w:t>
      </w:r>
    </w:p>
    <w:p>
      <w:pPr>
        <w:adjustRightInd w:val="0"/>
        <w:snapToGrid w:val="0"/>
        <w:spacing w:line="360" w:lineRule="auto"/>
        <w:ind w:firstLine="480" w:firstLineChars="200"/>
        <w:jc w:val="left"/>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通过对片区详细的调研、座谈、分析和总结，本轮规划把</w:t>
      </w:r>
      <w:r>
        <w:rPr>
          <w:rFonts w:eastAsia="宋体" w:cs="Times New Roman" w:asciiTheme="minorEastAsia" w:hAnsiTheme="minorEastAsia"/>
          <w:kern w:val="0"/>
          <w:sz w:val="24"/>
          <w:szCs w:val="24"/>
        </w:rPr>
        <w:t>全面推进乡村振兴，实现</w:t>
      </w:r>
      <w:r>
        <w:rPr>
          <w:rFonts w:hint="eastAsia" w:eastAsia="宋体" w:cs="Times New Roman" w:asciiTheme="minorEastAsia" w:hAnsiTheme="minorEastAsia"/>
          <w:kern w:val="0"/>
          <w:sz w:val="24"/>
          <w:szCs w:val="24"/>
        </w:rPr>
        <w:t>产业</w:t>
      </w:r>
      <w:r>
        <w:rPr>
          <w:rFonts w:eastAsia="宋体" w:cs="Times New Roman" w:asciiTheme="minorEastAsia" w:hAnsiTheme="minorEastAsia"/>
          <w:kern w:val="0"/>
          <w:sz w:val="24"/>
          <w:szCs w:val="24"/>
        </w:rPr>
        <w:t>高质量</w:t>
      </w:r>
      <w:r>
        <w:rPr>
          <w:rFonts w:hint="eastAsia" w:eastAsia="宋体" w:cs="Times New Roman" w:asciiTheme="minorEastAsia" w:hAnsiTheme="minorEastAsia"/>
          <w:kern w:val="0"/>
          <w:sz w:val="24"/>
          <w:szCs w:val="24"/>
        </w:rPr>
        <w:t>发展摆在了优先位置</w:t>
      </w:r>
      <w:r>
        <w:rPr>
          <w:rFonts w:eastAsia="宋体" w:cs="Times New Roman" w:asciiTheme="minorEastAsia" w:hAnsiTheme="minorEastAsia"/>
          <w:kern w:val="0"/>
          <w:sz w:val="24"/>
          <w:szCs w:val="24"/>
        </w:rPr>
        <w:t>。统筹谋划片区三个乡镇的产业空间布局</w:t>
      </w:r>
      <w:r>
        <w:rPr>
          <w:rFonts w:hint="eastAsia" w:eastAsia="宋体" w:cs="Times New Roman" w:asciiTheme="minorEastAsia" w:hAnsiTheme="minorEastAsia"/>
          <w:kern w:val="0"/>
          <w:sz w:val="24"/>
          <w:szCs w:val="24"/>
        </w:rPr>
        <w:t>有利于打破镇村间地理界限，推动产业集中连片规模化发展，是拓展产业增值空间、做强造血功能的重要契机。规划立足资源禀赋和产业基础，科学布局特色优势产业,做强共同富裕产业支撑。充分发挥大英县现代农业产业园主阵地作用，推动片区特色产业串点成线、连线成片、扩片成带、集带成面。着力延长片区内产业链条，引导发展农旅、乡村休闲、体验等新产业新业态，把更多农业增值收益留在农村、留给农民，助力片区早日实现全面振兴。</w:t>
      </w:r>
    </w:p>
    <w:p>
      <w:pPr>
        <w:adjustRightInd w:val="0"/>
        <w:snapToGrid w:val="0"/>
        <w:spacing w:line="360" w:lineRule="auto"/>
        <w:ind w:firstLine="480" w:firstLineChars="200"/>
        <w:jc w:val="left"/>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为了保障</w:t>
      </w:r>
      <w:r>
        <w:rPr>
          <w:rFonts w:eastAsia="宋体" w:cs="Times New Roman" w:asciiTheme="minorEastAsia" w:hAnsiTheme="minorEastAsia"/>
          <w:kern w:val="0"/>
          <w:sz w:val="24"/>
          <w:szCs w:val="24"/>
        </w:rPr>
        <w:t>片区</w:t>
      </w:r>
      <w:r>
        <w:rPr>
          <w:rFonts w:hint="eastAsia" w:eastAsia="宋体" w:cs="Times New Roman" w:asciiTheme="minorEastAsia" w:hAnsiTheme="minorEastAsia"/>
          <w:kern w:val="0"/>
          <w:sz w:val="24"/>
          <w:szCs w:val="24"/>
        </w:rPr>
        <w:t>重点项目的空间落位，通过全面统筹，本次规划</w:t>
      </w:r>
      <w:r>
        <w:rPr>
          <w:rFonts w:eastAsia="宋体" w:cs="Times New Roman" w:asciiTheme="minorEastAsia" w:hAnsiTheme="minorEastAsia"/>
          <w:kern w:val="0"/>
          <w:sz w:val="24"/>
          <w:szCs w:val="24"/>
        </w:rPr>
        <w:t>共布局</w:t>
      </w:r>
      <w:r>
        <w:rPr>
          <w:rFonts w:hint="eastAsia" w:eastAsia="宋体" w:cs="Times New Roman" w:asciiTheme="minorEastAsia" w:hAnsiTheme="minorEastAsia"/>
          <w:kern w:val="0"/>
          <w:sz w:val="24"/>
          <w:szCs w:val="24"/>
        </w:rPr>
        <w:t>244.39</w:t>
      </w:r>
      <w:r>
        <w:rPr>
          <w:rFonts w:eastAsia="宋体" w:cs="Times New Roman" w:asciiTheme="minorEastAsia" w:hAnsiTheme="minorEastAsia"/>
          <w:kern w:val="0"/>
          <w:sz w:val="24"/>
          <w:szCs w:val="24"/>
        </w:rPr>
        <w:t>公顷</w:t>
      </w:r>
      <w:r>
        <w:rPr>
          <w:rFonts w:hint="eastAsia" w:eastAsia="宋体" w:cs="Times New Roman" w:asciiTheme="minorEastAsia" w:hAnsiTheme="minorEastAsia"/>
          <w:kern w:val="0"/>
          <w:sz w:val="24"/>
          <w:szCs w:val="24"/>
        </w:rPr>
        <w:t>（包含</w:t>
      </w:r>
      <w:r>
        <w:rPr>
          <w:rFonts w:eastAsia="宋体" w:cs="Times New Roman" w:asciiTheme="minorEastAsia" w:hAnsiTheme="minorEastAsia"/>
          <w:kern w:val="0"/>
          <w:sz w:val="24"/>
          <w:szCs w:val="24"/>
        </w:rPr>
        <w:t>108.91公顷留白用地</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的建设用地</w:t>
      </w:r>
      <w:r>
        <w:rPr>
          <w:rFonts w:hint="eastAsia" w:eastAsia="宋体" w:cs="Times New Roman" w:asciiTheme="minorEastAsia" w:hAnsiTheme="minorEastAsia"/>
          <w:kern w:val="0"/>
          <w:sz w:val="24"/>
          <w:szCs w:val="24"/>
        </w:rPr>
        <w:t>用于保障协同绿色发展片区的产业发展</w:t>
      </w:r>
      <w:r>
        <w:rPr>
          <w:rFonts w:eastAsia="宋体" w:cs="Times New Roman" w:asciiTheme="minorEastAsia" w:hAnsiTheme="minorEastAsia"/>
          <w:kern w:val="0"/>
          <w:sz w:val="24"/>
          <w:szCs w:val="24"/>
        </w:rPr>
        <w:t>。</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（二）</w:t>
      </w:r>
      <w:r>
        <w:rPr>
          <w:rFonts w:eastAsia="宋体" w:cs="Times New Roman" w:asciiTheme="minorEastAsia" w:hAnsiTheme="minorEastAsia"/>
          <w:b/>
          <w:kern w:val="0"/>
          <w:sz w:val="24"/>
          <w:szCs w:val="24"/>
        </w:rPr>
        <w:t>农业生产用地</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片区以高效粮油种植为主导，合计种植面积</w:t>
      </w:r>
      <w:r>
        <w:rPr>
          <w:rFonts w:hint="eastAsia" w:eastAsia="宋体" w:cs="Times New Roman" w:asciiTheme="minorEastAsia" w:hAnsiTheme="minorEastAsia"/>
          <w:kern w:val="0"/>
          <w:sz w:val="24"/>
          <w:szCs w:val="24"/>
        </w:rPr>
        <w:t>15</w:t>
      </w:r>
      <w:r>
        <w:rPr>
          <w:rFonts w:eastAsia="宋体" w:cs="Times New Roman" w:asciiTheme="minorEastAsia" w:hAnsiTheme="minorEastAsia"/>
          <w:kern w:val="0"/>
          <w:sz w:val="24"/>
          <w:szCs w:val="24"/>
        </w:rPr>
        <w:t>万亩</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河边镇胜利村、三块碑村、前进村、牌坊村等</w:t>
      </w:r>
      <w:r>
        <w:rPr>
          <w:rFonts w:hint="eastAsia" w:eastAsia="宋体" w:cs="Times New Roman" w:asciiTheme="minorEastAsia" w:hAnsiTheme="minorEastAsia"/>
          <w:kern w:val="0"/>
          <w:sz w:val="24"/>
          <w:szCs w:val="24"/>
        </w:rPr>
        <w:t>以</w:t>
      </w:r>
      <w:r>
        <w:rPr>
          <w:rFonts w:eastAsia="宋体" w:cs="Times New Roman" w:asciiTheme="minorEastAsia" w:hAnsiTheme="minorEastAsia"/>
          <w:kern w:val="0"/>
          <w:sz w:val="24"/>
          <w:szCs w:val="24"/>
        </w:rPr>
        <w:t>柠檬种植为主导</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规模控制在1万亩</w:t>
      </w:r>
      <w:r>
        <w:rPr>
          <w:rFonts w:hint="eastAsia" w:eastAsia="宋体" w:cs="Times New Roman" w:asciiTheme="minorEastAsia" w:hAnsiTheme="minorEastAsia"/>
          <w:kern w:val="0"/>
          <w:sz w:val="24"/>
          <w:szCs w:val="24"/>
        </w:rPr>
        <w:t>。象山镇以建设优质酒粮基地及精品蔬菜基地为导向，以郪江为主轴线，以凤阳村为中心，在永乐村、青龙滩村、永南坝村、冯家楼村、象山村、马蹄垭村、观桃村等村共同推进粮油为主，粮蔬果轮种、间种，适当种养结合等多种方式的粮油种植产业，并逐步调整到</w:t>
      </w:r>
      <w:r>
        <w:rPr>
          <w:rFonts w:hint="eastAsia" w:eastAsia="宋体" w:cs="Times New Roman" w:asciiTheme="minorEastAsia" w:hAnsiTheme="minorEastAsia"/>
          <w:kern w:val="0"/>
          <w:sz w:val="24"/>
          <w:szCs w:val="24"/>
          <w:lang w:val="en-US" w:eastAsia="zh-CN"/>
        </w:rPr>
        <w:t>以</w:t>
      </w:r>
      <w:r>
        <w:rPr>
          <w:rFonts w:hint="eastAsia" w:eastAsia="宋体" w:cs="Times New Roman" w:asciiTheme="minorEastAsia" w:hAnsiTheme="minorEastAsia"/>
          <w:kern w:val="0"/>
          <w:sz w:val="24"/>
          <w:szCs w:val="24"/>
        </w:rPr>
        <w:t>粮、蔬菜占地为主的产业结构，配套农机服务、粮食干燥、加工、蔬菜冷储等农业附属设施和渠系、产业路、生产作业便道等基础设施。为保障粮食安全，提升粮食生产、干燥、储存、加工、运输能力，新增种植、养殖设施建设用地43.71公顷</w:t>
      </w:r>
      <w:r>
        <w:rPr>
          <w:rFonts w:eastAsia="宋体" w:cs="Times New Roman" w:asciiTheme="minorEastAsia" w:hAnsiTheme="minorEastAsia"/>
          <w:kern w:val="0"/>
          <w:sz w:val="24"/>
          <w:szCs w:val="24"/>
        </w:rPr>
        <w:t>。</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（三）</w:t>
      </w:r>
      <w:r>
        <w:rPr>
          <w:rFonts w:eastAsia="宋体" w:cs="Times New Roman" w:asciiTheme="minorEastAsia" w:hAnsiTheme="minorEastAsia"/>
          <w:b/>
          <w:kern w:val="0"/>
          <w:sz w:val="24"/>
          <w:szCs w:val="24"/>
        </w:rPr>
        <w:t>城镇产业</w:t>
      </w:r>
      <w:r>
        <w:rPr>
          <w:rFonts w:hint="eastAsia" w:eastAsia="宋体" w:cs="Times New Roman" w:asciiTheme="minorEastAsia" w:hAnsiTheme="minorEastAsia"/>
          <w:b/>
          <w:kern w:val="0"/>
          <w:sz w:val="24"/>
          <w:szCs w:val="24"/>
        </w:rPr>
        <w:t>用地</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片区严禁新增二类及三类工业用地，逐步复垦片区内的低效</w:t>
      </w:r>
      <w:r>
        <w:rPr>
          <w:rFonts w:hint="eastAsia" w:eastAsia="宋体" w:cs="Times New Roman" w:asciiTheme="minorEastAsia" w:hAnsiTheme="minorEastAsia"/>
          <w:kern w:val="0"/>
          <w:sz w:val="24"/>
          <w:szCs w:val="24"/>
        </w:rPr>
        <w:t>砖厂</w:t>
      </w:r>
      <w:r>
        <w:rPr>
          <w:rFonts w:eastAsia="宋体" w:cs="Times New Roman" w:asciiTheme="minorEastAsia" w:hAnsiTheme="minorEastAsia"/>
          <w:kern w:val="0"/>
          <w:sz w:val="24"/>
          <w:szCs w:val="24"/>
        </w:rPr>
        <w:t>以及废弃粮库，规划结合片区产业发展，保留农产加工用地6.78公顷，新增农产品加工用地</w:t>
      </w:r>
      <w:r>
        <w:rPr>
          <w:rFonts w:hint="eastAsia" w:eastAsia="宋体" w:cs="Times New Roman" w:asciiTheme="minorEastAsia" w:hAnsiTheme="minorEastAsia"/>
          <w:kern w:val="0"/>
          <w:sz w:val="24"/>
          <w:szCs w:val="24"/>
        </w:rPr>
        <w:t>13.70</w:t>
      </w:r>
      <w:r>
        <w:rPr>
          <w:rFonts w:eastAsia="宋体" w:cs="Times New Roman" w:asciiTheme="minorEastAsia" w:hAnsiTheme="minorEastAsia"/>
          <w:kern w:val="0"/>
          <w:sz w:val="24"/>
          <w:szCs w:val="24"/>
        </w:rPr>
        <w:t>公顷，规划三个镇区商业用地</w:t>
      </w:r>
      <w:r>
        <w:rPr>
          <w:rFonts w:hint="eastAsia" w:eastAsia="宋体" w:cs="Times New Roman" w:asciiTheme="minorEastAsia" w:hAnsiTheme="minorEastAsia"/>
          <w:kern w:val="0"/>
          <w:sz w:val="24"/>
          <w:szCs w:val="24"/>
        </w:rPr>
        <w:t>36.57</w:t>
      </w:r>
      <w:r>
        <w:rPr>
          <w:rFonts w:eastAsia="宋体" w:cs="Times New Roman" w:asciiTheme="minorEastAsia" w:hAnsiTheme="minorEastAsia"/>
          <w:kern w:val="0"/>
          <w:sz w:val="24"/>
          <w:szCs w:val="24"/>
        </w:rPr>
        <w:t>公顷，用于发展镇区的商贸建设。</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（四）</w:t>
      </w:r>
      <w:r>
        <w:rPr>
          <w:rFonts w:eastAsia="宋体" w:cs="Times New Roman" w:asciiTheme="minorEastAsia" w:hAnsiTheme="minorEastAsia"/>
          <w:b/>
          <w:kern w:val="0"/>
          <w:sz w:val="24"/>
          <w:szCs w:val="24"/>
        </w:rPr>
        <w:t>农村产业用地</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1、总量控制</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 xml:space="preserve">规划38.55公顷建设用地用于保障镇区外的乡村产业发展。 </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2、存量优先</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 xml:space="preserve">优先利用撤并的村委、小学、废弃粮站等用地发展乡村产业，规划盘活闲置土地13.94公顷用于乡村产业发展。 </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3、流量增效</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通过低效乡村工矿用地整理和农村宅基地整治，流量保障乡村农旅产业发展18.35公顷，更新10.22公顷宅基地用于乡村产业和服务用地。</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4、近期落实</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结合乡村振兴近期建设需求，规划近期布局农村产业用地面积35.22公顷，明确用地性质，</w:t>
      </w:r>
      <w:r>
        <w:rPr>
          <w:rFonts w:eastAsia="宋体" w:cs="Times New Roman" w:asciiTheme="minorEastAsia" w:hAnsiTheme="minorEastAsia"/>
          <w:kern w:val="0"/>
          <w:sz w:val="24"/>
          <w:szCs w:val="24"/>
        </w:rPr>
        <w:t>确保乡村旅游服务、</w:t>
      </w:r>
      <w:r>
        <w:rPr>
          <w:rFonts w:hint="eastAsia" w:eastAsia="宋体" w:cs="Times New Roman" w:asciiTheme="minorEastAsia" w:hAnsiTheme="minorEastAsia"/>
          <w:kern w:val="0"/>
          <w:sz w:val="24"/>
          <w:szCs w:val="24"/>
        </w:rPr>
        <w:t>农村</w:t>
      </w:r>
      <w:r>
        <w:rPr>
          <w:rFonts w:eastAsia="宋体" w:cs="Times New Roman" w:asciiTheme="minorEastAsia" w:hAnsiTheme="minorEastAsia"/>
          <w:kern w:val="0"/>
          <w:sz w:val="24"/>
          <w:szCs w:val="24"/>
        </w:rPr>
        <w:t>电商</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农产品初加工、保鲜冷链仓库</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物流中转等乡村产业项目</w:t>
      </w:r>
      <w:r>
        <w:rPr>
          <w:rFonts w:hint="eastAsia" w:eastAsia="宋体" w:cs="Times New Roman" w:asciiTheme="minorEastAsia" w:hAnsiTheme="minorEastAsia"/>
          <w:kern w:val="0"/>
          <w:sz w:val="24"/>
          <w:szCs w:val="24"/>
        </w:rPr>
        <w:t>有地可用。</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5、远期留白</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 xml:space="preserve">1、定空间不定用途：预留8.91公顷村庄建设用地指标（作为留白用地参与用地结构调整），待有产业发展需求时，编制指标落地方案，实现指标上图。 </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 xml:space="preserve">2、定指标不定空间：预留100公顷暂难以确定用途的建设用地图斑作为“留白用地”管理，在供地时可明确为农业设施建设用地、商业服务业用地或仓储用地。 </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（五）</w:t>
      </w:r>
      <w:r>
        <w:rPr>
          <w:rFonts w:eastAsia="宋体" w:cs="Times New Roman" w:asciiTheme="minorEastAsia" w:hAnsiTheme="minorEastAsia"/>
          <w:b/>
          <w:kern w:val="0"/>
          <w:sz w:val="24"/>
          <w:szCs w:val="24"/>
        </w:rPr>
        <w:t>产业发展用地保障措施</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1、加强政策落实，保障设施农业发展</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大英县局应</w:t>
      </w:r>
      <w:r>
        <w:rPr>
          <w:rFonts w:hint="eastAsia" w:eastAsia="宋体" w:cs="Times New Roman" w:asciiTheme="minorEastAsia" w:hAnsiTheme="minorEastAsia"/>
          <w:kern w:val="0"/>
          <w:sz w:val="24"/>
          <w:szCs w:val="24"/>
        </w:rPr>
        <w:t>指导</w:t>
      </w:r>
      <w:r>
        <w:rPr>
          <w:rFonts w:eastAsia="宋体" w:cs="Times New Roman" w:asciiTheme="minorEastAsia" w:hAnsiTheme="minorEastAsia"/>
          <w:kern w:val="0"/>
          <w:sz w:val="24"/>
          <w:szCs w:val="24"/>
        </w:rPr>
        <w:t>片区</w:t>
      </w:r>
      <w:r>
        <w:rPr>
          <w:rFonts w:hint="eastAsia" w:eastAsia="宋体" w:cs="Times New Roman" w:asciiTheme="minorEastAsia" w:hAnsiTheme="minorEastAsia"/>
          <w:kern w:val="0"/>
          <w:sz w:val="24"/>
          <w:szCs w:val="24"/>
        </w:rPr>
        <w:t>乡镇用足用好设施农业用地政策，促进现代农业健康有序发展。严格界定设施农业用地范围，引导设施农业用地合理选址，分类合理确定用地规模。全面维护农民利益，做好种植和畜禽水产养殖设施农业用地合理需求保障服务。</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2、加强用地报批，保障项目用地需求</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全县应</w:t>
      </w:r>
      <w:r>
        <w:rPr>
          <w:rFonts w:hint="eastAsia" w:eastAsia="宋体" w:cs="Times New Roman" w:asciiTheme="minorEastAsia" w:hAnsiTheme="minorEastAsia"/>
          <w:kern w:val="0"/>
          <w:sz w:val="24"/>
          <w:szCs w:val="24"/>
        </w:rPr>
        <w:t>建立用地预报制度。</w:t>
      </w:r>
      <w:r>
        <w:rPr>
          <w:rFonts w:eastAsia="宋体" w:cs="Times New Roman" w:asciiTheme="minorEastAsia" w:hAnsiTheme="minorEastAsia"/>
          <w:kern w:val="0"/>
          <w:sz w:val="24"/>
          <w:szCs w:val="24"/>
        </w:rPr>
        <w:t>主管部门</w:t>
      </w:r>
      <w:r>
        <w:rPr>
          <w:rFonts w:hint="eastAsia" w:eastAsia="宋体" w:cs="Times New Roman" w:asciiTheme="minorEastAsia" w:hAnsiTheme="minorEastAsia"/>
          <w:kern w:val="0"/>
          <w:sz w:val="24"/>
          <w:szCs w:val="24"/>
        </w:rPr>
        <w:t>主动与乡镇充分对接，准确掌握项目用地需求。通过预报，及时发现、及时沟通协调解决用地报批存在的困难和问题,通过执行预报，使报批常态化、有序化，坚持保急需、保实需原则，大力支持农村产业融合用地保障</w:t>
      </w:r>
      <w:r>
        <w:rPr>
          <w:rFonts w:eastAsia="宋体" w:cs="Times New Roman" w:asciiTheme="minorEastAsia" w:hAnsiTheme="minorEastAsia"/>
          <w:kern w:val="0"/>
          <w:sz w:val="24"/>
          <w:szCs w:val="24"/>
        </w:rPr>
        <w:t>；</w:t>
      </w:r>
      <w:r>
        <w:rPr>
          <w:rFonts w:hint="eastAsia" w:eastAsia="宋体" w:cs="Times New Roman" w:asciiTheme="minorEastAsia" w:hAnsiTheme="minorEastAsia"/>
          <w:kern w:val="0"/>
          <w:sz w:val="24"/>
          <w:szCs w:val="24"/>
        </w:rPr>
        <w:t>主动服务乡村重点项目与民生急需项目用地，实行重点项目跟踪服务，及时了解项目用地进展情况，指导用地报批材料组卷，落实耕地占补平衡指标，优化审批流程，协调疑难事项，缩短报批时间。</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3、加强耕地保护，保障耕地占补平衡</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严格加强耕地保护，确保“手中有粮，心中不慌”。严控耕地，高标准支持乡村产业发展。加大对乡村产业发展用地的倾斜支持力度，有序开展</w:t>
      </w:r>
      <w:r>
        <w:rPr>
          <w:rFonts w:eastAsia="宋体" w:cs="Times New Roman" w:asciiTheme="minorEastAsia" w:hAnsiTheme="minorEastAsia"/>
          <w:kern w:val="0"/>
          <w:sz w:val="24"/>
          <w:szCs w:val="24"/>
        </w:rPr>
        <w:t>片区</w:t>
      </w:r>
      <w:r>
        <w:rPr>
          <w:rFonts w:hint="eastAsia" w:eastAsia="宋体" w:cs="Times New Roman" w:asciiTheme="minorEastAsia" w:hAnsiTheme="minorEastAsia"/>
          <w:kern w:val="0"/>
          <w:sz w:val="24"/>
          <w:szCs w:val="24"/>
        </w:rPr>
        <w:t>乡村闲置集体建设用地、闲置宅基地、村庄空闲地、工矿废弃地、道路改线废弃地、农业生产与村庄建设复合用地及荒山、荒坡等土地综合整治，盘活建设用地重点用于乡村新产业新业态和返乡入乡创新创业，整治结合，高效率落实耕地占补平衡。</w:t>
      </w:r>
    </w:p>
    <w:p>
      <w:pPr>
        <w:pStyle w:val="36"/>
        <w:numPr>
          <w:ilvl w:val="0"/>
          <w:numId w:val="5"/>
        </w:numPr>
        <w:spacing w:beforeLines="50" w:afterLines="50"/>
        <w:ind w:firstLineChars="0"/>
        <w:jc w:val="center"/>
        <w:rPr>
          <w:rFonts w:ascii="黑体" w:hAnsi="黑体" w:eastAsia="黑体"/>
          <w:b w:val="0"/>
          <w:kern w:val="2"/>
        </w:rPr>
      </w:pPr>
      <w:bookmarkStart w:id="23" w:name="_Toc166772172"/>
      <w:r>
        <w:rPr>
          <w:rFonts w:hint="eastAsia" w:ascii="黑体" w:hAnsi="黑体" w:eastAsia="黑体"/>
          <w:b w:val="0"/>
          <w:kern w:val="2"/>
        </w:rPr>
        <w:t>全域旅游规划</w:t>
      </w:r>
      <w:bookmarkEnd w:id="23"/>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以</w:t>
      </w:r>
      <w:r>
        <w:rPr>
          <w:rFonts w:eastAsia="宋体" w:cs="Times New Roman" w:asciiTheme="minorEastAsia" w:hAnsiTheme="minorEastAsia"/>
          <w:kern w:val="0"/>
          <w:sz w:val="24"/>
          <w:szCs w:val="24"/>
        </w:rPr>
        <w:t>片区构建遂宁市最具乡韵稻香农旅目的地为导向，逐步融入大英县 “1214N”空间文旅产业</w:t>
      </w:r>
      <w:r>
        <w:rPr>
          <w:rFonts w:hint="eastAsia" w:eastAsia="宋体" w:cs="Times New Roman" w:asciiTheme="minorEastAsia" w:hAnsiTheme="minorEastAsia"/>
          <w:kern w:val="0"/>
          <w:sz w:val="24"/>
          <w:szCs w:val="24"/>
        </w:rPr>
        <w:t>格局，依托</w:t>
      </w:r>
      <w:r>
        <w:rPr>
          <w:rFonts w:eastAsia="宋体" w:cs="Times New Roman" w:asciiTheme="minorEastAsia" w:hAnsiTheme="minorEastAsia"/>
          <w:kern w:val="0"/>
          <w:sz w:val="24"/>
          <w:szCs w:val="24"/>
        </w:rPr>
        <w:t>大英县“筒井文明旅游区、浪漫地中海七星国际文化旅游度假区、中国死海旅游度假区、丝路环球文旅城”等优势</w:t>
      </w:r>
      <w:r>
        <w:rPr>
          <w:rFonts w:hint="eastAsia" w:eastAsia="宋体" w:cs="Times New Roman" w:asciiTheme="minorEastAsia" w:hAnsiTheme="minorEastAsia"/>
          <w:kern w:val="0"/>
          <w:sz w:val="24"/>
          <w:szCs w:val="24"/>
        </w:rPr>
        <w:t>品牌，</w:t>
      </w:r>
      <w:r>
        <w:rPr>
          <w:rFonts w:eastAsia="宋体" w:cs="Times New Roman" w:asciiTheme="minorEastAsia" w:hAnsiTheme="minorEastAsia"/>
          <w:kern w:val="0"/>
          <w:sz w:val="24"/>
          <w:szCs w:val="24"/>
        </w:rPr>
        <w:t>通过对当前乡村</w:t>
      </w:r>
      <w:r>
        <w:rPr>
          <w:rFonts w:hint="eastAsia" w:eastAsia="宋体" w:cs="Times New Roman" w:asciiTheme="minorEastAsia" w:hAnsiTheme="minorEastAsia"/>
          <w:kern w:val="0"/>
          <w:sz w:val="24"/>
          <w:szCs w:val="24"/>
        </w:rPr>
        <w:t>旅游</w:t>
      </w:r>
      <w:r>
        <w:rPr>
          <w:rFonts w:eastAsia="宋体" w:cs="Times New Roman" w:asciiTheme="minorEastAsia" w:hAnsiTheme="minorEastAsia"/>
          <w:kern w:val="0"/>
          <w:sz w:val="24"/>
          <w:szCs w:val="24"/>
        </w:rPr>
        <w:t>市场的分析，</w:t>
      </w:r>
      <w:r>
        <w:rPr>
          <w:rFonts w:hint="eastAsia" w:eastAsia="宋体" w:cs="Times New Roman" w:asciiTheme="minorEastAsia" w:hAnsiTheme="minorEastAsia"/>
          <w:kern w:val="0"/>
          <w:sz w:val="24"/>
          <w:szCs w:val="24"/>
        </w:rPr>
        <w:t>逐步</w:t>
      </w:r>
      <w:r>
        <w:rPr>
          <w:rFonts w:eastAsia="宋体" w:cs="Times New Roman" w:asciiTheme="minorEastAsia" w:hAnsiTheme="minorEastAsia"/>
          <w:kern w:val="0"/>
          <w:sz w:val="24"/>
          <w:szCs w:val="24"/>
        </w:rPr>
        <w:t>完善旅游业态、服务、配套、要素等产业基础，着力构建“全景式规划、全产业发展、全季节体验、全社会参与、全方位服务、全区域管理”的</w:t>
      </w:r>
      <w:r>
        <w:rPr>
          <w:rFonts w:hint="eastAsia" w:eastAsia="宋体" w:cs="Times New Roman" w:asciiTheme="minorEastAsia" w:hAnsiTheme="minorEastAsia"/>
          <w:kern w:val="0"/>
          <w:sz w:val="24"/>
          <w:szCs w:val="24"/>
        </w:rPr>
        <w:t>全域</w:t>
      </w:r>
      <w:r>
        <w:rPr>
          <w:rFonts w:eastAsia="宋体" w:cs="Times New Roman" w:asciiTheme="minorEastAsia" w:hAnsiTheme="minorEastAsia"/>
          <w:kern w:val="0"/>
          <w:sz w:val="24"/>
          <w:szCs w:val="24"/>
        </w:rPr>
        <w:t>旅游发展格局，助推成遂协同绿色发展区实现</w:t>
      </w:r>
      <w:r>
        <w:rPr>
          <w:rFonts w:hint="eastAsia" w:eastAsia="宋体" w:cs="Times New Roman" w:asciiTheme="minorEastAsia" w:hAnsiTheme="minorEastAsia"/>
          <w:kern w:val="0"/>
          <w:sz w:val="24"/>
          <w:szCs w:val="24"/>
        </w:rPr>
        <w:t>全面</w:t>
      </w:r>
      <w:r>
        <w:rPr>
          <w:rFonts w:eastAsia="宋体" w:cs="Times New Roman" w:asciiTheme="minorEastAsia" w:hAnsiTheme="minorEastAsia"/>
          <w:kern w:val="0"/>
          <w:sz w:val="24"/>
          <w:szCs w:val="24"/>
        </w:rPr>
        <w:t>振兴</w:t>
      </w:r>
      <w:r>
        <w:rPr>
          <w:rFonts w:hint="eastAsia" w:eastAsia="宋体" w:cs="Times New Roman" w:asciiTheme="minorEastAsia" w:hAnsiTheme="minorEastAsia"/>
          <w:kern w:val="0"/>
          <w:sz w:val="24"/>
          <w:szCs w:val="24"/>
        </w:rPr>
        <w:t>。</w:t>
      </w:r>
    </w:p>
    <w:p>
      <w:pPr>
        <w:adjustRightInd w:val="0"/>
        <w:snapToGrid w:val="0"/>
        <w:spacing w:line="360" w:lineRule="auto"/>
        <w:ind w:firstLine="482" w:firstLineChars="200"/>
        <w:rPr>
          <w:rFonts w:ascii="黑体" w:hAnsi="黑体" w:eastAsia="黑体" w:cs="Times New Roman"/>
          <w:b/>
          <w:kern w:val="0"/>
          <w:sz w:val="24"/>
          <w:szCs w:val="24"/>
        </w:rPr>
      </w:pPr>
      <w:r>
        <w:rPr>
          <w:rFonts w:hint="eastAsia" w:ascii="黑体" w:hAnsi="黑体" w:eastAsia="黑体" w:cs="Times New Roman"/>
          <w:b/>
          <w:kern w:val="0"/>
          <w:sz w:val="24"/>
          <w:szCs w:val="24"/>
        </w:rPr>
        <w:t>一、旅游发展定位和目标</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（一）片区旅游发展定位</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川渝知名的乡韵稻香旅游目的地。</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（二）片区旅游发展目标</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1、</w:t>
      </w:r>
      <w:r>
        <w:rPr>
          <w:rFonts w:eastAsia="宋体" w:cs="Times New Roman" w:asciiTheme="minorEastAsia" w:hAnsiTheme="minorEastAsia"/>
          <w:kern w:val="0"/>
          <w:sz w:val="24"/>
          <w:szCs w:val="24"/>
        </w:rPr>
        <w:t>近期目标</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（1）</w:t>
      </w:r>
      <w:r>
        <w:rPr>
          <w:rFonts w:eastAsia="宋体" w:cs="Times New Roman" w:asciiTheme="minorEastAsia" w:hAnsiTheme="minorEastAsia"/>
          <w:kern w:val="0"/>
          <w:sz w:val="24"/>
          <w:szCs w:val="24"/>
        </w:rPr>
        <w:t>品牌建设</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遂宁知名的乡韵稻香旅游目的地</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（2）</w:t>
      </w:r>
      <w:r>
        <w:rPr>
          <w:rFonts w:eastAsia="宋体" w:cs="Times New Roman" w:asciiTheme="minorEastAsia" w:hAnsiTheme="minorEastAsia"/>
          <w:kern w:val="0"/>
          <w:sz w:val="24"/>
          <w:szCs w:val="24"/>
        </w:rPr>
        <w:t>产品建设</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1个国家AAA级旅游景区（斗笠村田园度假中心）；1个省级乡村旅游重点村（斗笠村）。</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2、</w:t>
      </w:r>
      <w:r>
        <w:rPr>
          <w:rFonts w:eastAsia="宋体" w:cs="Times New Roman" w:asciiTheme="minorEastAsia" w:hAnsiTheme="minorEastAsia"/>
          <w:kern w:val="0"/>
          <w:sz w:val="24"/>
          <w:szCs w:val="24"/>
        </w:rPr>
        <w:t>远期目标</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（1）</w:t>
      </w:r>
      <w:r>
        <w:rPr>
          <w:rFonts w:eastAsia="宋体" w:cs="Times New Roman" w:asciiTheme="minorEastAsia" w:hAnsiTheme="minorEastAsia"/>
          <w:kern w:val="0"/>
          <w:sz w:val="24"/>
          <w:szCs w:val="24"/>
        </w:rPr>
        <w:t>品牌建设</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四川省知名的乡韵稻香旅游目的地。</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（2）</w:t>
      </w:r>
      <w:r>
        <w:rPr>
          <w:rFonts w:eastAsia="宋体" w:cs="Times New Roman" w:asciiTheme="minorEastAsia" w:hAnsiTheme="minorEastAsia"/>
          <w:kern w:val="0"/>
          <w:sz w:val="24"/>
          <w:szCs w:val="24"/>
        </w:rPr>
        <w:t>产品建设</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四川省现代农业示范基地；1个天府旅游名村（斗笠村），1个省级乡村旅游重点村（凤阳村）。</w:t>
      </w:r>
    </w:p>
    <w:p>
      <w:pPr>
        <w:adjustRightInd w:val="0"/>
        <w:snapToGrid w:val="0"/>
        <w:spacing w:line="360" w:lineRule="auto"/>
        <w:ind w:firstLine="482" w:firstLineChars="200"/>
        <w:rPr>
          <w:rFonts w:ascii="黑体" w:hAnsi="黑体" w:eastAsia="黑体" w:cs="Times New Roman"/>
          <w:b/>
          <w:kern w:val="0"/>
          <w:sz w:val="24"/>
          <w:szCs w:val="24"/>
        </w:rPr>
      </w:pPr>
      <w:r>
        <w:rPr>
          <w:rFonts w:hint="eastAsia" w:ascii="黑体" w:hAnsi="黑体" w:eastAsia="黑体" w:cs="Times New Roman"/>
          <w:b/>
          <w:kern w:val="0"/>
          <w:sz w:val="24"/>
          <w:szCs w:val="24"/>
        </w:rPr>
        <w:t>二、全域旅游发展格局</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依托</w:t>
      </w:r>
      <w:r>
        <w:rPr>
          <w:rFonts w:eastAsia="宋体" w:cs="Times New Roman" w:asciiTheme="minorEastAsia" w:hAnsiTheme="minorEastAsia"/>
          <w:kern w:val="0"/>
          <w:sz w:val="24"/>
          <w:szCs w:val="24"/>
        </w:rPr>
        <w:t>片区现代农业体系为核心的农耕资源及完善的配套设施，形成引领片区旅游发展的农耕文化旅游中心，大力建设“一心</w:t>
      </w:r>
      <w:r>
        <w:rPr>
          <w:rFonts w:hint="eastAsia" w:eastAsia="宋体" w:cs="Times New Roman" w:asciiTheme="minorEastAsia" w:hAnsiTheme="minorEastAsia"/>
          <w:kern w:val="0"/>
          <w:sz w:val="24"/>
          <w:szCs w:val="24"/>
        </w:rPr>
        <w:t>两</w:t>
      </w:r>
      <w:r>
        <w:rPr>
          <w:rFonts w:eastAsia="宋体" w:cs="Times New Roman" w:asciiTheme="minorEastAsia" w:hAnsiTheme="minorEastAsia"/>
          <w:kern w:val="0"/>
          <w:sz w:val="24"/>
          <w:szCs w:val="24"/>
        </w:rPr>
        <w:t>区”的旅游空间格局，并依托大英县域大环线</w:t>
      </w:r>
      <w:r>
        <w:rPr>
          <w:rFonts w:hint="eastAsia" w:eastAsia="宋体" w:cs="Times New Roman" w:asciiTheme="minorEastAsia" w:hAnsiTheme="minorEastAsia"/>
          <w:kern w:val="0"/>
          <w:sz w:val="24"/>
          <w:szCs w:val="24"/>
        </w:rPr>
        <w:t>走廊，</w:t>
      </w:r>
      <w:r>
        <w:rPr>
          <w:rFonts w:eastAsia="宋体" w:cs="Times New Roman" w:asciiTheme="minorEastAsia" w:hAnsiTheme="minorEastAsia"/>
          <w:kern w:val="0"/>
          <w:sz w:val="24"/>
          <w:szCs w:val="24"/>
        </w:rPr>
        <w:t>联动</w:t>
      </w:r>
      <w:r>
        <w:rPr>
          <w:rFonts w:hint="eastAsia" w:eastAsia="宋体" w:cs="Times New Roman" w:asciiTheme="minorEastAsia" w:hAnsiTheme="minorEastAsia"/>
          <w:kern w:val="0"/>
          <w:sz w:val="24"/>
          <w:szCs w:val="24"/>
        </w:rPr>
        <w:t>全域</w:t>
      </w:r>
      <w:r>
        <w:rPr>
          <w:rFonts w:eastAsia="宋体" w:cs="Times New Roman" w:asciiTheme="minorEastAsia" w:hAnsiTheme="minorEastAsia"/>
          <w:kern w:val="0"/>
          <w:sz w:val="24"/>
          <w:szCs w:val="24"/>
        </w:rPr>
        <w:t>发展</w:t>
      </w:r>
      <w:r>
        <w:rPr>
          <w:rFonts w:hint="eastAsia" w:eastAsia="宋体" w:cs="Times New Roman" w:asciiTheme="minorEastAsia" w:hAnsiTheme="minorEastAsia"/>
          <w:kern w:val="0"/>
          <w:sz w:val="24"/>
          <w:szCs w:val="24"/>
        </w:rPr>
        <w:t>。</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一心：斗笠村田园度假中心，</w:t>
      </w:r>
      <w:r>
        <w:rPr>
          <w:rFonts w:eastAsia="宋体" w:cs="Times New Roman" w:asciiTheme="minorEastAsia" w:hAnsiTheme="minorEastAsia"/>
          <w:kern w:val="0"/>
          <w:sz w:val="24"/>
          <w:szCs w:val="24"/>
        </w:rPr>
        <w:t>以斗笠村游客中心为主核</w:t>
      </w:r>
      <w:r>
        <w:rPr>
          <w:rFonts w:hint="eastAsia" w:eastAsia="宋体" w:cs="Times New Roman" w:asciiTheme="minorEastAsia" w:hAnsiTheme="minorEastAsia"/>
          <w:kern w:val="0"/>
          <w:sz w:val="24"/>
          <w:szCs w:val="24"/>
        </w:rPr>
        <w:t>，构建</w:t>
      </w:r>
      <w:r>
        <w:rPr>
          <w:rFonts w:eastAsia="宋体" w:cs="Times New Roman" w:asciiTheme="minorEastAsia" w:hAnsiTheme="minorEastAsia"/>
          <w:kern w:val="0"/>
          <w:sz w:val="24"/>
          <w:szCs w:val="24"/>
        </w:rPr>
        <w:t>片区的旅游服务中心</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向社会提供旅游信息咨询、旅游商品销售、片区风光展示、导游服务、交通服务、餐饮住宿等服务功能及设施。 河边镇结合三大乐高速出入口打造项目构成：公车站、集散广场、旅游巴士、旅游咨询服务。设置餐饮、购物、住宿、休闲娱乐等功能。围绕四五水库，打造斗笠村乡村旅游发展模板，协同指石河村，建立四五水库环线旅游经济带，围绕“水岸·斗笠”主题，以“婚纱摄影，儿童游乐，原乡体验，水上娱乐” 为产业引爆点，深化康养产业链，盘活四五水库周边资源，打造集水上娱乐、文化体验、亲子休闲、乡村度假于一体的都市近郊生态康养度假区。</w:t>
      </w:r>
    </w:p>
    <w:p>
      <w:pPr>
        <w:adjustRightInd w:val="0"/>
        <w:snapToGrid w:val="0"/>
        <w:spacing w:line="360" w:lineRule="auto"/>
        <w:ind w:firstLine="480" w:firstLineChars="200"/>
        <w:rPr>
          <w:rFonts w:cs="Times New Roman" w:asciiTheme="minorEastAsia" w:hAnsiTheme="minorEastAsia"/>
          <w:kern w:val="0"/>
          <w:sz w:val="24"/>
          <w:szCs w:val="24"/>
        </w:rPr>
      </w:pPr>
      <w:r>
        <w:rPr>
          <w:rFonts w:hint="eastAsia" w:eastAsia="宋体" w:cs="Times New Roman" w:asciiTheme="minorEastAsia" w:hAnsiTheme="minorEastAsia"/>
          <w:kern w:val="0"/>
          <w:sz w:val="24"/>
          <w:szCs w:val="24"/>
        </w:rPr>
        <w:t>凤阳红色文化、</w:t>
      </w:r>
      <w:r>
        <w:rPr>
          <w:rFonts w:eastAsia="宋体" w:cs="Times New Roman" w:asciiTheme="minorEastAsia" w:hAnsiTheme="minorEastAsia"/>
          <w:kern w:val="0"/>
          <w:sz w:val="24"/>
          <w:szCs w:val="24"/>
        </w:rPr>
        <w:t>农耕文化旅游区</w:t>
      </w:r>
      <w:r>
        <w:rPr>
          <w:rFonts w:hint="eastAsia" w:eastAsia="宋体" w:cs="Times New Roman" w:asciiTheme="minorEastAsia" w:hAnsiTheme="minorEastAsia"/>
          <w:kern w:val="0"/>
          <w:sz w:val="24"/>
          <w:szCs w:val="24"/>
        </w:rPr>
        <w:t>：围绕象山书院和本地红色历史，在场镇和相关村增加红色革命元素，配套具有教育意义的红色文化长廊、公园、广场等基础设施，打造红色革命教育基地。围绕农耕文化，以凤阳村为中心，向周边三溪村、文龙村、冯家楼村、象山村辐射，加快建设农耕产业园，并配套游客接待中心、旅游厕所、民宿、餐饮、儿童游乐、旅游道路等附属设施，大力发展农耕文化旅游，通过挖掘农耕文化，从农业生产工具、生活方式、农作物种植等方面，向青少年提供中国传统农耕文化认知、研学、农耕体验的空间。</w:t>
      </w:r>
      <w:r>
        <w:rPr>
          <w:rFonts w:eastAsia="宋体" w:cs="Times New Roman" w:asciiTheme="minorEastAsia" w:hAnsiTheme="minorEastAsia"/>
          <w:kern w:val="0"/>
          <w:sz w:val="24"/>
          <w:szCs w:val="24"/>
        </w:rPr>
        <w:t>加快建设</w:t>
      </w:r>
      <w:r>
        <w:rPr>
          <w:rFonts w:hint="eastAsia" w:eastAsia="宋体" w:cs="Times New Roman" w:asciiTheme="minorEastAsia" w:hAnsiTheme="minorEastAsia"/>
          <w:kern w:val="0"/>
          <w:sz w:val="24"/>
          <w:szCs w:val="24"/>
        </w:rPr>
        <w:t>凤阳村农耕体验园、永乐村西瓜种植园、青龙滩村蔬菜种植园以及马蹄垭村水产养殖基地。</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前进农旅融合发展区：</w:t>
      </w:r>
      <w:r>
        <w:rPr>
          <w:rFonts w:eastAsia="宋体" w:cs="Times New Roman" w:asciiTheme="minorEastAsia" w:hAnsiTheme="minorEastAsia"/>
          <w:kern w:val="0"/>
          <w:sz w:val="24"/>
          <w:szCs w:val="24"/>
        </w:rPr>
        <w:t>结合</w:t>
      </w:r>
      <w:r>
        <w:rPr>
          <w:rFonts w:hint="eastAsia" w:eastAsia="宋体" w:cs="Times New Roman" w:asciiTheme="minorEastAsia" w:hAnsiTheme="minorEastAsia"/>
          <w:kern w:val="0"/>
          <w:sz w:val="24"/>
          <w:szCs w:val="24"/>
        </w:rPr>
        <w:t>前进村</w:t>
      </w:r>
      <w:r>
        <w:rPr>
          <w:rFonts w:eastAsia="宋体" w:cs="Times New Roman" w:asciiTheme="minorEastAsia" w:hAnsiTheme="minorEastAsia"/>
          <w:kern w:val="0"/>
          <w:sz w:val="24"/>
          <w:szCs w:val="24"/>
        </w:rPr>
        <w:t>片区，加快建设柠檬精深产品开发及电商的发展平台建设中心，引进培育壮大一批柠檬精深加工龙头企业，进一步推进柠檬精深加工，积极开发附加值高的柠檬酒、精油、保健食品等产品，提高柠檬产业附加值。以“柠檬IP</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为导向，打造集亲子游乐、儿童乐园、休闲设施等为一体的游乐服务中心，同时开展柠檬养生SPA中心，以柠檬精油、香熏及其相关延伸产品的建设，通过疗养的方式，配套亲子游乐设施，给成年游客建设的休息放松场所。</w:t>
      </w:r>
    </w:p>
    <w:p>
      <w:pPr>
        <w:adjustRightInd w:val="0"/>
        <w:snapToGrid w:val="0"/>
        <w:spacing w:line="360" w:lineRule="auto"/>
        <w:ind w:firstLine="482" w:firstLineChars="200"/>
        <w:rPr>
          <w:rFonts w:ascii="黑体" w:hAnsi="黑体" w:eastAsia="黑体" w:cs="Times New Roman"/>
          <w:b/>
          <w:kern w:val="0"/>
          <w:sz w:val="24"/>
          <w:szCs w:val="24"/>
        </w:rPr>
      </w:pPr>
      <w:r>
        <w:rPr>
          <w:rFonts w:hint="eastAsia" w:ascii="黑体" w:hAnsi="黑体" w:eastAsia="黑体" w:cs="Times New Roman"/>
          <w:b/>
          <w:kern w:val="0"/>
          <w:sz w:val="24"/>
          <w:szCs w:val="24"/>
        </w:rPr>
        <w:t>三、旅游项目布局</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围绕片区旅游发展格局</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近期布局</w:t>
      </w:r>
      <w:r>
        <w:rPr>
          <w:rFonts w:hint="eastAsia" w:eastAsia="宋体" w:cs="Times New Roman" w:asciiTheme="minorEastAsia" w:hAnsiTheme="minorEastAsia"/>
          <w:kern w:val="0"/>
          <w:sz w:val="24"/>
          <w:szCs w:val="24"/>
        </w:rPr>
        <w:t>9处旅游服务设施项目，满足旅游接待的需求。</w:t>
      </w:r>
    </w:p>
    <w:p>
      <w:pPr>
        <w:adjustRightInd w:val="0"/>
        <w:snapToGrid w:val="0"/>
        <w:spacing w:line="360" w:lineRule="auto"/>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片区</w:t>
      </w:r>
      <w:r>
        <w:rPr>
          <w:rFonts w:hint="eastAsia" w:eastAsia="宋体" w:cs="Times New Roman" w:asciiTheme="minorEastAsia" w:hAnsiTheme="minorEastAsia"/>
          <w:kern w:val="0"/>
          <w:sz w:val="24"/>
          <w:szCs w:val="24"/>
        </w:rPr>
        <w:t>旅游项目布局</w:t>
      </w:r>
      <w:r>
        <w:rPr>
          <w:rFonts w:eastAsia="宋体" w:cs="Times New Roman" w:asciiTheme="minorEastAsia" w:hAnsiTheme="minorEastAsia"/>
          <w:kern w:val="0"/>
          <w:sz w:val="24"/>
          <w:szCs w:val="24"/>
        </w:rPr>
        <w:t>表</w:t>
      </w:r>
      <w:r>
        <w:rPr>
          <w:rFonts w:hint="eastAsia" w:eastAsia="宋体" w:cs="Times New Roman" w:asciiTheme="minorEastAsia" w:hAnsiTheme="minorEastAsia"/>
          <w:kern w:val="0"/>
          <w:sz w:val="24"/>
          <w:szCs w:val="24"/>
        </w:rPr>
        <w:t>：</w:t>
      </w:r>
    </w:p>
    <w:p>
      <w:pPr>
        <w:adjustRightInd w:val="0"/>
        <w:snapToGrid w:val="0"/>
        <w:spacing w:line="360" w:lineRule="auto"/>
        <w:jc w:val="right"/>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单位：公顷</w:t>
      </w:r>
    </w:p>
    <w:tbl>
      <w:tblPr>
        <w:tblStyle w:val="16"/>
        <w:tblW w:w="5000" w:type="pct"/>
        <w:tblInd w:w="0" w:type="dxa"/>
        <w:tblLayout w:type="fixed"/>
        <w:tblCellMar>
          <w:top w:w="0" w:type="dxa"/>
          <w:left w:w="108" w:type="dxa"/>
          <w:bottom w:w="0" w:type="dxa"/>
          <w:right w:w="108" w:type="dxa"/>
        </w:tblCellMar>
      </w:tblPr>
      <w:tblGrid>
        <w:gridCol w:w="1384"/>
        <w:gridCol w:w="2693"/>
        <w:gridCol w:w="850"/>
        <w:gridCol w:w="3595"/>
      </w:tblGrid>
      <w:tr>
        <w:tblPrEx>
          <w:tblCellMar>
            <w:top w:w="0" w:type="dxa"/>
            <w:left w:w="108" w:type="dxa"/>
            <w:bottom w:w="0" w:type="dxa"/>
            <w:right w:w="108" w:type="dxa"/>
          </w:tblCellMar>
        </w:tblPrEx>
        <w:trPr>
          <w:trHeight w:val="270" w:hRule="atLeast"/>
        </w:trPr>
        <w:tc>
          <w:tcPr>
            <w:tcW w:w="812"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分区</w:t>
            </w:r>
          </w:p>
        </w:tc>
        <w:tc>
          <w:tcPr>
            <w:tcW w:w="1580"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项目名称</w:t>
            </w:r>
          </w:p>
        </w:tc>
        <w:tc>
          <w:tcPr>
            <w:tcW w:w="499"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规模</w:t>
            </w:r>
          </w:p>
        </w:tc>
        <w:tc>
          <w:tcPr>
            <w:tcW w:w="2109"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备注</w:t>
            </w:r>
          </w:p>
        </w:tc>
      </w:tr>
      <w:tr>
        <w:tblPrEx>
          <w:tblCellMar>
            <w:top w:w="0" w:type="dxa"/>
            <w:left w:w="108" w:type="dxa"/>
            <w:bottom w:w="0" w:type="dxa"/>
            <w:right w:w="108" w:type="dxa"/>
          </w:tblCellMar>
        </w:tblPrEx>
        <w:trPr>
          <w:trHeight w:val="270" w:hRule="atLeast"/>
        </w:trPr>
        <w:tc>
          <w:tcPr>
            <w:tcW w:w="812"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斗笠村田园度假中心</w:t>
            </w:r>
          </w:p>
        </w:tc>
        <w:tc>
          <w:tcPr>
            <w:tcW w:w="158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玉峰镇文化广场</w:t>
            </w:r>
          </w:p>
        </w:tc>
        <w:tc>
          <w:tcPr>
            <w:tcW w:w="49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0.26</w:t>
            </w:r>
          </w:p>
        </w:tc>
        <w:tc>
          <w:tcPr>
            <w:tcW w:w="210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斗笠村</w:t>
            </w:r>
          </w:p>
        </w:tc>
      </w:tr>
      <w:tr>
        <w:tblPrEx>
          <w:tblCellMar>
            <w:top w:w="0" w:type="dxa"/>
            <w:left w:w="108" w:type="dxa"/>
            <w:bottom w:w="0" w:type="dxa"/>
            <w:right w:w="108" w:type="dxa"/>
          </w:tblCellMar>
        </w:tblPrEx>
        <w:trPr>
          <w:trHeight w:val="270" w:hRule="atLeast"/>
        </w:trPr>
        <w:tc>
          <w:tcPr>
            <w:tcW w:w="812"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color w:val="000000"/>
                <w:kern w:val="0"/>
                <w:szCs w:val="21"/>
              </w:rPr>
            </w:pPr>
          </w:p>
        </w:tc>
        <w:tc>
          <w:tcPr>
            <w:tcW w:w="158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斗笠村康养民俗（一）</w:t>
            </w:r>
          </w:p>
        </w:tc>
        <w:tc>
          <w:tcPr>
            <w:tcW w:w="49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3.78</w:t>
            </w:r>
          </w:p>
        </w:tc>
        <w:tc>
          <w:tcPr>
            <w:tcW w:w="210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斗笠村、指石河村</w:t>
            </w:r>
          </w:p>
        </w:tc>
      </w:tr>
      <w:tr>
        <w:tblPrEx>
          <w:tblCellMar>
            <w:top w:w="0" w:type="dxa"/>
            <w:left w:w="108" w:type="dxa"/>
            <w:bottom w:w="0" w:type="dxa"/>
            <w:right w:w="108" w:type="dxa"/>
          </w:tblCellMar>
        </w:tblPrEx>
        <w:trPr>
          <w:trHeight w:val="270" w:hRule="atLeast"/>
        </w:trPr>
        <w:tc>
          <w:tcPr>
            <w:tcW w:w="812"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color w:val="000000"/>
                <w:kern w:val="0"/>
                <w:szCs w:val="21"/>
              </w:rPr>
            </w:pPr>
          </w:p>
        </w:tc>
        <w:tc>
          <w:tcPr>
            <w:tcW w:w="158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斗笠村游客中心</w:t>
            </w:r>
          </w:p>
        </w:tc>
        <w:tc>
          <w:tcPr>
            <w:tcW w:w="49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2.36</w:t>
            </w:r>
          </w:p>
        </w:tc>
        <w:tc>
          <w:tcPr>
            <w:tcW w:w="210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斗笠村</w:t>
            </w:r>
          </w:p>
        </w:tc>
      </w:tr>
      <w:tr>
        <w:tblPrEx>
          <w:tblCellMar>
            <w:top w:w="0" w:type="dxa"/>
            <w:left w:w="108" w:type="dxa"/>
            <w:bottom w:w="0" w:type="dxa"/>
            <w:right w:w="108" w:type="dxa"/>
          </w:tblCellMar>
        </w:tblPrEx>
        <w:trPr>
          <w:trHeight w:val="270" w:hRule="atLeast"/>
        </w:trPr>
        <w:tc>
          <w:tcPr>
            <w:tcW w:w="812"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color w:val="000000"/>
                <w:kern w:val="0"/>
                <w:szCs w:val="21"/>
              </w:rPr>
            </w:pPr>
          </w:p>
        </w:tc>
        <w:tc>
          <w:tcPr>
            <w:tcW w:w="158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斗笠村康养民俗（二）</w:t>
            </w:r>
          </w:p>
        </w:tc>
        <w:tc>
          <w:tcPr>
            <w:tcW w:w="49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2.8</w:t>
            </w:r>
          </w:p>
        </w:tc>
        <w:tc>
          <w:tcPr>
            <w:tcW w:w="210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斗笠村</w:t>
            </w:r>
          </w:p>
        </w:tc>
      </w:tr>
      <w:tr>
        <w:tblPrEx>
          <w:tblCellMar>
            <w:top w:w="0" w:type="dxa"/>
            <w:left w:w="108" w:type="dxa"/>
            <w:bottom w:w="0" w:type="dxa"/>
            <w:right w:w="108" w:type="dxa"/>
          </w:tblCellMar>
        </w:tblPrEx>
        <w:trPr>
          <w:trHeight w:val="270" w:hRule="atLeast"/>
        </w:trPr>
        <w:tc>
          <w:tcPr>
            <w:tcW w:w="812"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凤阳农耕文化体验区</w:t>
            </w:r>
          </w:p>
        </w:tc>
        <w:tc>
          <w:tcPr>
            <w:tcW w:w="158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凤阳村农耕文化发展用地</w:t>
            </w:r>
          </w:p>
        </w:tc>
        <w:tc>
          <w:tcPr>
            <w:tcW w:w="49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1.2</w:t>
            </w:r>
          </w:p>
        </w:tc>
        <w:tc>
          <w:tcPr>
            <w:tcW w:w="210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凤阳村</w:t>
            </w:r>
          </w:p>
        </w:tc>
      </w:tr>
      <w:tr>
        <w:tblPrEx>
          <w:tblCellMar>
            <w:top w:w="0" w:type="dxa"/>
            <w:left w:w="108" w:type="dxa"/>
            <w:bottom w:w="0" w:type="dxa"/>
            <w:right w:w="108" w:type="dxa"/>
          </w:tblCellMar>
        </w:tblPrEx>
        <w:trPr>
          <w:trHeight w:val="270" w:hRule="atLeast"/>
        </w:trPr>
        <w:tc>
          <w:tcPr>
            <w:tcW w:w="812"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color w:val="000000"/>
                <w:kern w:val="0"/>
                <w:szCs w:val="21"/>
              </w:rPr>
            </w:pPr>
          </w:p>
        </w:tc>
        <w:tc>
          <w:tcPr>
            <w:tcW w:w="158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象山镇文化广场</w:t>
            </w:r>
          </w:p>
        </w:tc>
        <w:tc>
          <w:tcPr>
            <w:tcW w:w="49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0.2</w:t>
            </w:r>
          </w:p>
        </w:tc>
        <w:tc>
          <w:tcPr>
            <w:tcW w:w="210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象山镇区</w:t>
            </w:r>
          </w:p>
        </w:tc>
      </w:tr>
      <w:tr>
        <w:tblPrEx>
          <w:tblCellMar>
            <w:top w:w="0" w:type="dxa"/>
            <w:left w:w="108" w:type="dxa"/>
            <w:bottom w:w="0" w:type="dxa"/>
            <w:right w:w="108" w:type="dxa"/>
          </w:tblCellMar>
        </w:tblPrEx>
        <w:trPr>
          <w:trHeight w:val="270" w:hRule="atLeast"/>
        </w:trPr>
        <w:tc>
          <w:tcPr>
            <w:tcW w:w="812"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color w:val="000000"/>
                <w:kern w:val="0"/>
                <w:szCs w:val="21"/>
              </w:rPr>
            </w:pPr>
          </w:p>
        </w:tc>
        <w:tc>
          <w:tcPr>
            <w:tcW w:w="158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象山书院发展用地</w:t>
            </w:r>
          </w:p>
        </w:tc>
        <w:tc>
          <w:tcPr>
            <w:tcW w:w="49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0.8</w:t>
            </w:r>
          </w:p>
        </w:tc>
        <w:tc>
          <w:tcPr>
            <w:tcW w:w="210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象山镇区</w:t>
            </w:r>
          </w:p>
        </w:tc>
      </w:tr>
      <w:tr>
        <w:tblPrEx>
          <w:tblCellMar>
            <w:top w:w="0" w:type="dxa"/>
            <w:left w:w="108" w:type="dxa"/>
            <w:bottom w:w="0" w:type="dxa"/>
            <w:right w:w="108" w:type="dxa"/>
          </w:tblCellMar>
        </w:tblPrEx>
        <w:trPr>
          <w:trHeight w:val="270" w:hRule="atLeast"/>
        </w:trPr>
        <w:tc>
          <w:tcPr>
            <w:tcW w:w="812" w:type="pct"/>
            <w:vMerge w:val="restart"/>
            <w:tcBorders>
              <w:top w:val="nil"/>
              <w:left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前进农旅融合发展区</w:t>
            </w:r>
          </w:p>
        </w:tc>
        <w:tc>
          <w:tcPr>
            <w:tcW w:w="158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前进村乡村振兴项目</w:t>
            </w:r>
          </w:p>
        </w:tc>
        <w:tc>
          <w:tcPr>
            <w:tcW w:w="49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5.25</w:t>
            </w:r>
          </w:p>
        </w:tc>
        <w:tc>
          <w:tcPr>
            <w:tcW w:w="210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前进村冷链、集散中心和柠檬深加工</w:t>
            </w:r>
          </w:p>
        </w:tc>
      </w:tr>
      <w:tr>
        <w:tblPrEx>
          <w:tblCellMar>
            <w:top w:w="0" w:type="dxa"/>
            <w:left w:w="108" w:type="dxa"/>
            <w:bottom w:w="0" w:type="dxa"/>
            <w:right w:w="108" w:type="dxa"/>
          </w:tblCellMar>
        </w:tblPrEx>
        <w:trPr>
          <w:trHeight w:val="270" w:hRule="atLeast"/>
        </w:trPr>
        <w:tc>
          <w:tcPr>
            <w:tcW w:w="812" w:type="pct"/>
            <w:vMerge w:val="continue"/>
            <w:tcBorders>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c>
          <w:tcPr>
            <w:tcW w:w="158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河边镇文化广场</w:t>
            </w:r>
          </w:p>
        </w:tc>
        <w:tc>
          <w:tcPr>
            <w:tcW w:w="49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0.22</w:t>
            </w:r>
          </w:p>
        </w:tc>
        <w:tc>
          <w:tcPr>
            <w:tcW w:w="210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河边镇区</w:t>
            </w:r>
          </w:p>
        </w:tc>
      </w:tr>
      <w:tr>
        <w:tblPrEx>
          <w:tblCellMar>
            <w:top w:w="0" w:type="dxa"/>
            <w:left w:w="108" w:type="dxa"/>
            <w:bottom w:w="0" w:type="dxa"/>
            <w:right w:w="108" w:type="dxa"/>
          </w:tblCellMar>
        </w:tblPrEx>
        <w:trPr>
          <w:trHeight w:val="270" w:hRule="atLeast"/>
        </w:trPr>
        <w:tc>
          <w:tcPr>
            <w:tcW w:w="2392"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合计</w:t>
            </w:r>
          </w:p>
        </w:tc>
        <w:tc>
          <w:tcPr>
            <w:tcW w:w="2608" w:type="pct"/>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16.87</w:t>
            </w:r>
          </w:p>
        </w:tc>
      </w:tr>
    </w:tbl>
    <w:p>
      <w:pPr>
        <w:adjustRightInd w:val="0"/>
        <w:snapToGrid w:val="0"/>
        <w:spacing w:beforeLines="50" w:line="360" w:lineRule="auto"/>
        <w:ind w:firstLine="482" w:firstLineChars="200"/>
        <w:rPr>
          <w:rFonts w:ascii="黑体" w:hAnsi="黑体" w:eastAsia="黑体" w:cs="Times New Roman"/>
          <w:b/>
          <w:kern w:val="0"/>
          <w:sz w:val="24"/>
          <w:szCs w:val="24"/>
        </w:rPr>
      </w:pPr>
      <w:r>
        <w:rPr>
          <w:rFonts w:hint="eastAsia" w:ascii="黑体" w:hAnsi="黑体" w:eastAsia="黑体" w:cs="Times New Roman"/>
          <w:b/>
          <w:kern w:val="0"/>
          <w:sz w:val="24"/>
          <w:szCs w:val="24"/>
        </w:rPr>
        <w:t>四、旅游品牌和产品体系规划</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（一）旅游品牌体系建设</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以旅游度假区、精品景区创建为抓手，依托现有资源建设四川省现代农业示范基地、市级乡村旅游示范区、国家AAA级旅游景区和天府旅游名村。做大做强旅游产业，促进片区农文旅深度融合发展；优化片区旅游产品结构，夯实旅游产业基础。</w:t>
      </w:r>
    </w:p>
    <w:p>
      <w:pPr>
        <w:adjustRightInd w:val="0"/>
        <w:snapToGrid w:val="0"/>
        <w:spacing w:line="360" w:lineRule="auto"/>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片区</w:t>
      </w:r>
      <w:r>
        <w:rPr>
          <w:rFonts w:hint="eastAsia" w:eastAsia="宋体" w:cs="Times New Roman" w:asciiTheme="minorEastAsia" w:hAnsiTheme="minorEastAsia"/>
          <w:kern w:val="0"/>
          <w:sz w:val="24"/>
          <w:szCs w:val="24"/>
        </w:rPr>
        <w:t>旅游品牌体系</w:t>
      </w:r>
      <w:r>
        <w:rPr>
          <w:rFonts w:eastAsia="宋体" w:cs="Times New Roman" w:asciiTheme="minorEastAsia" w:hAnsiTheme="minorEastAsia"/>
          <w:kern w:val="0"/>
          <w:sz w:val="24"/>
          <w:szCs w:val="24"/>
        </w:rPr>
        <w:t>表</w:t>
      </w:r>
      <w:r>
        <w:rPr>
          <w:rFonts w:hint="eastAsia" w:eastAsia="宋体" w:cs="Times New Roman" w:asciiTheme="minorEastAsia" w:hAnsiTheme="minorEastAsia"/>
          <w:kern w:val="0"/>
          <w:sz w:val="24"/>
          <w:szCs w:val="24"/>
        </w:rPr>
        <w:t>：</w:t>
      </w:r>
    </w:p>
    <w:tbl>
      <w:tblPr>
        <w:tblStyle w:val="16"/>
        <w:tblW w:w="5000" w:type="pct"/>
        <w:tblInd w:w="0" w:type="dxa"/>
        <w:tblLayout w:type="autofit"/>
        <w:tblCellMar>
          <w:top w:w="0" w:type="dxa"/>
          <w:left w:w="108" w:type="dxa"/>
          <w:bottom w:w="0" w:type="dxa"/>
          <w:right w:w="108" w:type="dxa"/>
        </w:tblCellMar>
      </w:tblPr>
      <w:tblGrid>
        <w:gridCol w:w="1968"/>
        <w:gridCol w:w="2930"/>
        <w:gridCol w:w="3624"/>
      </w:tblGrid>
      <w:tr>
        <w:tblPrEx>
          <w:tblCellMar>
            <w:top w:w="0" w:type="dxa"/>
            <w:left w:w="108" w:type="dxa"/>
            <w:bottom w:w="0" w:type="dxa"/>
            <w:right w:w="108" w:type="dxa"/>
          </w:tblCellMar>
        </w:tblPrEx>
        <w:trPr>
          <w:trHeight w:val="270" w:hRule="atLeast"/>
        </w:trPr>
        <w:tc>
          <w:tcPr>
            <w:tcW w:w="2874"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品牌</w:t>
            </w:r>
          </w:p>
        </w:tc>
        <w:tc>
          <w:tcPr>
            <w:tcW w:w="2126"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旅游区</w:t>
            </w:r>
          </w:p>
        </w:tc>
      </w:tr>
      <w:tr>
        <w:tblPrEx>
          <w:tblCellMar>
            <w:top w:w="0" w:type="dxa"/>
            <w:left w:w="108" w:type="dxa"/>
            <w:bottom w:w="0" w:type="dxa"/>
            <w:right w:w="108" w:type="dxa"/>
          </w:tblCellMar>
        </w:tblPrEx>
        <w:trPr>
          <w:trHeight w:val="270" w:hRule="atLeast"/>
        </w:trPr>
        <w:tc>
          <w:tcPr>
            <w:tcW w:w="2874"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国家级高效粮油复合产业示范基地</w:t>
            </w:r>
          </w:p>
        </w:tc>
        <w:tc>
          <w:tcPr>
            <w:tcW w:w="212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成遂协同绿色发展片区</w:t>
            </w:r>
          </w:p>
        </w:tc>
      </w:tr>
      <w:tr>
        <w:tblPrEx>
          <w:tblCellMar>
            <w:top w:w="0" w:type="dxa"/>
            <w:left w:w="108" w:type="dxa"/>
            <w:bottom w:w="0" w:type="dxa"/>
            <w:right w:w="108" w:type="dxa"/>
          </w:tblCellMar>
        </w:tblPrEx>
        <w:trPr>
          <w:trHeight w:val="270" w:hRule="atLeast"/>
        </w:trPr>
        <w:tc>
          <w:tcPr>
            <w:tcW w:w="2874"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市级乡村旅游示范区</w:t>
            </w:r>
          </w:p>
        </w:tc>
        <w:tc>
          <w:tcPr>
            <w:tcW w:w="212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r>
      <w:tr>
        <w:tblPrEx>
          <w:tblCellMar>
            <w:top w:w="0" w:type="dxa"/>
            <w:left w:w="108" w:type="dxa"/>
            <w:bottom w:w="0" w:type="dxa"/>
            <w:right w:w="108" w:type="dxa"/>
          </w:tblCellMar>
        </w:tblPrEx>
        <w:trPr>
          <w:trHeight w:val="270" w:hRule="atLeast"/>
        </w:trPr>
        <w:tc>
          <w:tcPr>
            <w:tcW w:w="2874"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国家AAA级旅游景区</w:t>
            </w:r>
          </w:p>
        </w:tc>
        <w:tc>
          <w:tcPr>
            <w:tcW w:w="212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斗笠村田园度假中心</w:t>
            </w:r>
          </w:p>
        </w:tc>
      </w:tr>
      <w:tr>
        <w:tblPrEx>
          <w:tblCellMar>
            <w:top w:w="0" w:type="dxa"/>
            <w:left w:w="108" w:type="dxa"/>
            <w:bottom w:w="0" w:type="dxa"/>
            <w:right w:w="108" w:type="dxa"/>
          </w:tblCellMar>
        </w:tblPrEx>
        <w:trPr>
          <w:trHeight w:val="270" w:hRule="atLeast"/>
        </w:trPr>
        <w:tc>
          <w:tcPr>
            <w:tcW w:w="2874"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天府旅游名村</w:t>
            </w:r>
          </w:p>
        </w:tc>
        <w:tc>
          <w:tcPr>
            <w:tcW w:w="212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斗笠村</w:t>
            </w:r>
          </w:p>
        </w:tc>
      </w:tr>
      <w:tr>
        <w:tblPrEx>
          <w:tblCellMar>
            <w:top w:w="0" w:type="dxa"/>
            <w:left w:w="108" w:type="dxa"/>
            <w:bottom w:w="0" w:type="dxa"/>
            <w:right w:w="108" w:type="dxa"/>
          </w:tblCellMar>
        </w:tblPrEx>
        <w:trPr>
          <w:trHeight w:val="270" w:hRule="atLeast"/>
        </w:trPr>
        <w:tc>
          <w:tcPr>
            <w:tcW w:w="115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天府旅游品牌</w:t>
            </w:r>
          </w:p>
        </w:tc>
        <w:tc>
          <w:tcPr>
            <w:tcW w:w="171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省级乡村旅游重点村</w:t>
            </w:r>
          </w:p>
        </w:tc>
        <w:tc>
          <w:tcPr>
            <w:tcW w:w="212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斗笠村和凤阳村</w:t>
            </w:r>
          </w:p>
        </w:tc>
      </w:tr>
    </w:tbl>
    <w:p>
      <w:pPr>
        <w:adjustRightInd w:val="0"/>
        <w:snapToGrid w:val="0"/>
        <w:spacing w:beforeLines="50"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（二）旅游产品体系划分</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根据成遂协同绿色发展片区的旅游定位和形象，依据主题性原则、多样化原则和可调控性原则，将片区内旅游产品划分为核心产品、重要产品和配套产品。</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1、</w:t>
      </w:r>
      <w:r>
        <w:rPr>
          <w:rFonts w:eastAsia="宋体" w:cs="Times New Roman" w:asciiTheme="minorEastAsia" w:hAnsiTheme="minorEastAsia"/>
          <w:kern w:val="0"/>
          <w:sz w:val="24"/>
          <w:szCs w:val="24"/>
        </w:rPr>
        <w:t>核心产品</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（1）</w:t>
      </w:r>
      <w:r>
        <w:rPr>
          <w:rFonts w:eastAsia="宋体" w:cs="Times New Roman" w:asciiTheme="minorEastAsia" w:hAnsiTheme="minorEastAsia"/>
          <w:kern w:val="0"/>
          <w:sz w:val="24"/>
          <w:szCs w:val="24"/>
        </w:rPr>
        <w:t>乡村田园度假</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实施“旅游+农业”融合工程，以片区的高效粮油为基础，开展以农旅观光，户外拓展、户外实景演绎等活动，建设一批休闲农庄、现代农业示范园、农耕文化展示园等特色项目引爆片区发展，带给游客乡村田园度假体验。</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（2）</w:t>
      </w:r>
      <w:r>
        <w:rPr>
          <w:rFonts w:eastAsia="宋体" w:cs="Times New Roman" w:asciiTheme="minorEastAsia" w:hAnsiTheme="minorEastAsia"/>
          <w:kern w:val="0"/>
          <w:sz w:val="24"/>
          <w:szCs w:val="24"/>
        </w:rPr>
        <w:t>湖滨戏水体验</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依托“四五水库”打造滨水休闲乐园，设置适合各年龄段的体验项目，全天候开放，为游客提供湖滨戏水体验。</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2、</w:t>
      </w:r>
      <w:r>
        <w:rPr>
          <w:rFonts w:eastAsia="宋体" w:cs="Times New Roman" w:asciiTheme="minorEastAsia" w:hAnsiTheme="minorEastAsia"/>
          <w:kern w:val="0"/>
          <w:sz w:val="24"/>
          <w:szCs w:val="24"/>
        </w:rPr>
        <w:t>重要产品</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（1）</w:t>
      </w:r>
      <w:r>
        <w:rPr>
          <w:rFonts w:eastAsia="宋体" w:cs="Times New Roman" w:asciiTheme="minorEastAsia" w:hAnsiTheme="minorEastAsia"/>
          <w:kern w:val="0"/>
          <w:sz w:val="24"/>
          <w:szCs w:val="24"/>
        </w:rPr>
        <w:t>农耕文化体验</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以象山镇为依托重点发展农耕文化旅游区，发展农耕文化旅游，通过挖掘本地农耕文化，从农业生产工具、生活方式、农作物种类等方面，向青少年提供中国传统农耕文化认知、研学、农耕体验的空间</w:t>
      </w:r>
      <w:r>
        <w:rPr>
          <w:rFonts w:hint="eastAsia" w:eastAsia="宋体" w:cs="Times New Roman" w:asciiTheme="minorEastAsia" w:hAnsiTheme="minorEastAsia"/>
          <w:kern w:val="0"/>
          <w:sz w:val="24"/>
          <w:szCs w:val="24"/>
        </w:rPr>
        <w:t>。</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（2）</w:t>
      </w:r>
      <w:r>
        <w:rPr>
          <w:rFonts w:eastAsia="宋体" w:cs="Times New Roman" w:asciiTheme="minorEastAsia" w:hAnsiTheme="minorEastAsia"/>
          <w:kern w:val="0"/>
          <w:sz w:val="24"/>
          <w:szCs w:val="24"/>
        </w:rPr>
        <w:t>红色文化体验</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依托象山书院及其红色文化资源优势，打造爱国主义研学基地，使游客感受红色文化魅力</w:t>
      </w:r>
      <w:r>
        <w:rPr>
          <w:rFonts w:hint="eastAsia" w:eastAsia="宋体" w:cs="Times New Roman" w:asciiTheme="minorEastAsia" w:hAnsiTheme="minorEastAsia"/>
          <w:kern w:val="0"/>
          <w:sz w:val="24"/>
          <w:szCs w:val="24"/>
        </w:rPr>
        <w:t>。</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3、</w:t>
      </w:r>
      <w:r>
        <w:rPr>
          <w:rFonts w:eastAsia="宋体" w:cs="Times New Roman" w:asciiTheme="minorEastAsia" w:hAnsiTheme="minorEastAsia"/>
          <w:kern w:val="0"/>
          <w:sz w:val="24"/>
          <w:szCs w:val="24"/>
        </w:rPr>
        <w:t>配套产品</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亲子研学体验</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依托红色文化资源和农耕文化，建设研学基地、亲子乐园，向青少年提供中国传统农耕文化认知、研学、农耕体验的体验</w:t>
      </w:r>
      <w:r>
        <w:rPr>
          <w:rFonts w:hint="eastAsia" w:eastAsia="宋体" w:cs="Times New Roman" w:asciiTheme="minorEastAsia" w:hAnsiTheme="minorEastAsia"/>
          <w:kern w:val="0"/>
          <w:sz w:val="24"/>
          <w:szCs w:val="24"/>
        </w:rPr>
        <w:t>。</w:t>
      </w:r>
    </w:p>
    <w:p>
      <w:pPr>
        <w:adjustRightInd w:val="0"/>
        <w:snapToGrid w:val="0"/>
        <w:spacing w:line="360" w:lineRule="auto"/>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片区</w:t>
      </w:r>
      <w:r>
        <w:rPr>
          <w:rFonts w:hint="eastAsia" w:eastAsia="宋体" w:cs="Times New Roman" w:asciiTheme="minorEastAsia" w:hAnsiTheme="minorEastAsia"/>
          <w:kern w:val="0"/>
          <w:sz w:val="24"/>
          <w:szCs w:val="24"/>
        </w:rPr>
        <w:t>旅游产品体系</w:t>
      </w:r>
      <w:r>
        <w:rPr>
          <w:rFonts w:eastAsia="宋体" w:cs="Times New Roman" w:asciiTheme="minorEastAsia" w:hAnsiTheme="minorEastAsia"/>
          <w:kern w:val="0"/>
          <w:sz w:val="24"/>
          <w:szCs w:val="24"/>
        </w:rPr>
        <w:t>表</w:t>
      </w:r>
      <w:r>
        <w:rPr>
          <w:rFonts w:hint="eastAsia" w:eastAsia="宋体" w:cs="Times New Roman" w:asciiTheme="minorEastAsia" w:hAnsiTheme="minorEastAsia"/>
          <w:kern w:val="0"/>
          <w:sz w:val="24"/>
          <w:szCs w:val="24"/>
        </w:rPr>
        <w:t>：</w:t>
      </w:r>
    </w:p>
    <w:tbl>
      <w:tblPr>
        <w:tblStyle w:val="16"/>
        <w:tblW w:w="5000" w:type="pct"/>
        <w:tblInd w:w="0" w:type="dxa"/>
        <w:tblLayout w:type="fixed"/>
        <w:tblCellMar>
          <w:top w:w="0" w:type="dxa"/>
          <w:left w:w="108" w:type="dxa"/>
          <w:bottom w:w="0" w:type="dxa"/>
          <w:right w:w="108" w:type="dxa"/>
        </w:tblCellMar>
      </w:tblPr>
      <w:tblGrid>
        <w:gridCol w:w="959"/>
        <w:gridCol w:w="990"/>
        <w:gridCol w:w="4396"/>
        <w:gridCol w:w="2177"/>
      </w:tblGrid>
      <w:tr>
        <w:tblPrEx>
          <w:tblCellMar>
            <w:top w:w="0" w:type="dxa"/>
            <w:left w:w="108" w:type="dxa"/>
            <w:bottom w:w="0" w:type="dxa"/>
            <w:right w:w="108" w:type="dxa"/>
          </w:tblCellMar>
        </w:tblPrEx>
        <w:trPr>
          <w:trHeight w:val="285" w:hRule="atLeast"/>
        </w:trPr>
        <w:tc>
          <w:tcPr>
            <w:tcW w:w="563"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旅游产品体系</w:t>
            </w:r>
          </w:p>
        </w:tc>
        <w:tc>
          <w:tcPr>
            <w:tcW w:w="581"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产品</w:t>
            </w:r>
          </w:p>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分类</w:t>
            </w:r>
          </w:p>
        </w:tc>
        <w:tc>
          <w:tcPr>
            <w:tcW w:w="2579"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内容</w:t>
            </w:r>
          </w:p>
        </w:tc>
        <w:tc>
          <w:tcPr>
            <w:tcW w:w="1277"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项目</w:t>
            </w:r>
          </w:p>
        </w:tc>
      </w:tr>
      <w:tr>
        <w:tblPrEx>
          <w:tblCellMar>
            <w:top w:w="0" w:type="dxa"/>
            <w:left w:w="108" w:type="dxa"/>
            <w:bottom w:w="0" w:type="dxa"/>
            <w:right w:w="108" w:type="dxa"/>
          </w:tblCellMar>
        </w:tblPrEx>
        <w:trPr>
          <w:trHeight w:val="1140" w:hRule="atLeast"/>
        </w:trPr>
        <w:tc>
          <w:tcPr>
            <w:tcW w:w="563"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核心</w:t>
            </w:r>
          </w:p>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产品</w:t>
            </w:r>
          </w:p>
        </w:tc>
        <w:tc>
          <w:tcPr>
            <w:tcW w:w="581"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乡村田园度假</w:t>
            </w:r>
          </w:p>
        </w:tc>
        <w:tc>
          <w:tcPr>
            <w:tcW w:w="2579" w:type="pct"/>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color w:val="000000"/>
                <w:kern w:val="0"/>
                <w:szCs w:val="21"/>
              </w:rPr>
            </w:pPr>
            <w:r>
              <w:rPr>
                <w:rFonts w:hint="eastAsia" w:cs="宋体" w:asciiTheme="minorEastAsia" w:hAnsiTheme="minorEastAsia"/>
                <w:color w:val="000000"/>
                <w:kern w:val="0"/>
                <w:szCs w:val="21"/>
              </w:rPr>
              <w:t>实施“旅游+农业”融合工程，以片区的高效粮油为基础，开展以农旅观光，户外拓展、户外实景演绎等活动，建设一批休闲农庄、现代农业示范园、农耕文化展示园等特色项目引爆片区发展，带给游客乡村田园度假体验。</w:t>
            </w:r>
          </w:p>
        </w:tc>
        <w:tc>
          <w:tcPr>
            <w:tcW w:w="1277"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斗笠村康养民俗（一）</w:t>
            </w:r>
            <w:r>
              <w:rPr>
                <w:rFonts w:hint="eastAsia" w:cs="宋体" w:asciiTheme="minorEastAsia" w:hAnsiTheme="minorEastAsia"/>
                <w:color w:val="000000"/>
                <w:kern w:val="0"/>
                <w:szCs w:val="21"/>
              </w:rPr>
              <w:br w:type="textWrapping"/>
            </w:r>
            <w:r>
              <w:rPr>
                <w:rFonts w:hint="eastAsia" w:cs="宋体" w:asciiTheme="minorEastAsia" w:hAnsiTheme="minorEastAsia"/>
                <w:color w:val="000000"/>
                <w:kern w:val="0"/>
                <w:szCs w:val="21"/>
              </w:rPr>
              <w:t>斗笠村康养民俗（二）</w:t>
            </w:r>
            <w:r>
              <w:rPr>
                <w:rFonts w:hint="eastAsia" w:cs="宋体" w:asciiTheme="minorEastAsia" w:hAnsiTheme="minorEastAsia"/>
                <w:color w:val="000000"/>
                <w:kern w:val="0"/>
                <w:szCs w:val="21"/>
              </w:rPr>
              <w:br w:type="textWrapping"/>
            </w:r>
            <w:r>
              <w:rPr>
                <w:rFonts w:hint="eastAsia" w:cs="宋体" w:asciiTheme="minorEastAsia" w:hAnsiTheme="minorEastAsia"/>
                <w:color w:val="000000"/>
                <w:kern w:val="0"/>
                <w:szCs w:val="21"/>
              </w:rPr>
              <w:t>凤阳村农耕文化项目</w:t>
            </w:r>
          </w:p>
        </w:tc>
      </w:tr>
      <w:tr>
        <w:tblPrEx>
          <w:tblCellMar>
            <w:top w:w="0" w:type="dxa"/>
            <w:left w:w="108" w:type="dxa"/>
            <w:bottom w:w="0" w:type="dxa"/>
            <w:right w:w="108" w:type="dxa"/>
          </w:tblCellMar>
        </w:tblPrEx>
        <w:trPr>
          <w:trHeight w:val="570" w:hRule="atLeast"/>
        </w:trPr>
        <w:tc>
          <w:tcPr>
            <w:tcW w:w="563" w:type="pct"/>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color w:val="000000"/>
                <w:kern w:val="0"/>
                <w:szCs w:val="21"/>
              </w:rPr>
            </w:pPr>
          </w:p>
        </w:tc>
        <w:tc>
          <w:tcPr>
            <w:tcW w:w="581"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湖滨戏水体验</w:t>
            </w:r>
          </w:p>
        </w:tc>
        <w:tc>
          <w:tcPr>
            <w:tcW w:w="2579" w:type="pct"/>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color w:val="000000"/>
                <w:kern w:val="0"/>
                <w:szCs w:val="21"/>
              </w:rPr>
            </w:pPr>
            <w:r>
              <w:rPr>
                <w:rFonts w:hint="eastAsia" w:cs="宋体" w:asciiTheme="minorEastAsia" w:hAnsiTheme="minorEastAsia"/>
                <w:color w:val="000000"/>
                <w:kern w:val="0"/>
                <w:szCs w:val="21"/>
              </w:rPr>
              <w:t>依托“四五水库”打造滨水休闲乐园，设置适合各年龄段的体验项目，全天候开放，为游客提供湖滨戏水体验。</w:t>
            </w:r>
          </w:p>
        </w:tc>
        <w:tc>
          <w:tcPr>
            <w:tcW w:w="1277"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斗笠村康养民俗（一）</w:t>
            </w:r>
            <w:r>
              <w:rPr>
                <w:rFonts w:hint="eastAsia" w:cs="宋体" w:asciiTheme="minorEastAsia" w:hAnsiTheme="minorEastAsia"/>
                <w:color w:val="000000"/>
                <w:kern w:val="0"/>
                <w:szCs w:val="21"/>
              </w:rPr>
              <w:br w:type="textWrapping"/>
            </w:r>
            <w:r>
              <w:rPr>
                <w:rFonts w:hint="eastAsia" w:cs="宋体" w:asciiTheme="minorEastAsia" w:hAnsiTheme="minorEastAsia"/>
                <w:color w:val="000000"/>
                <w:kern w:val="0"/>
                <w:szCs w:val="21"/>
              </w:rPr>
              <w:t>斗笠村康养民俗（二）</w:t>
            </w:r>
          </w:p>
        </w:tc>
      </w:tr>
      <w:tr>
        <w:tblPrEx>
          <w:tblCellMar>
            <w:top w:w="0" w:type="dxa"/>
            <w:left w:w="108" w:type="dxa"/>
            <w:bottom w:w="0" w:type="dxa"/>
            <w:right w:w="108" w:type="dxa"/>
          </w:tblCellMar>
        </w:tblPrEx>
        <w:trPr>
          <w:trHeight w:val="1140" w:hRule="atLeast"/>
        </w:trPr>
        <w:tc>
          <w:tcPr>
            <w:tcW w:w="563"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重要</w:t>
            </w:r>
          </w:p>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产品</w:t>
            </w:r>
          </w:p>
        </w:tc>
        <w:tc>
          <w:tcPr>
            <w:tcW w:w="581"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农耕文化体验</w:t>
            </w:r>
          </w:p>
        </w:tc>
        <w:tc>
          <w:tcPr>
            <w:tcW w:w="2579" w:type="pct"/>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color w:val="000000"/>
                <w:kern w:val="0"/>
                <w:szCs w:val="21"/>
              </w:rPr>
            </w:pPr>
            <w:r>
              <w:rPr>
                <w:rFonts w:hint="eastAsia" w:cs="宋体" w:asciiTheme="minorEastAsia" w:hAnsiTheme="minorEastAsia"/>
                <w:color w:val="000000"/>
                <w:kern w:val="0"/>
                <w:szCs w:val="21"/>
              </w:rPr>
              <w:t>以象山镇为依托重点发展农耕文化旅游区，发展农耕文化旅游，通过挖掘本地农耕文化，从农业生产工具、生活方式、农作物种类等方面，向青少年提供中国传统农耕文化认知、研学、农耕体验的空间。</w:t>
            </w:r>
          </w:p>
        </w:tc>
        <w:tc>
          <w:tcPr>
            <w:tcW w:w="1277"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斗笠村康养民俗</w:t>
            </w:r>
            <w:r>
              <w:rPr>
                <w:rFonts w:hint="eastAsia" w:cs="宋体" w:asciiTheme="minorEastAsia" w:hAnsiTheme="minorEastAsia"/>
                <w:color w:val="000000"/>
                <w:kern w:val="0"/>
                <w:szCs w:val="21"/>
              </w:rPr>
              <w:br w:type="textWrapping"/>
            </w:r>
            <w:r>
              <w:rPr>
                <w:rFonts w:hint="eastAsia" w:cs="宋体" w:asciiTheme="minorEastAsia" w:hAnsiTheme="minorEastAsia"/>
                <w:color w:val="000000"/>
                <w:kern w:val="0"/>
                <w:szCs w:val="21"/>
              </w:rPr>
              <w:t>凤阳村农耕文化项目</w:t>
            </w:r>
            <w:r>
              <w:rPr>
                <w:rFonts w:hint="eastAsia" w:cs="宋体" w:asciiTheme="minorEastAsia" w:hAnsiTheme="minorEastAsia"/>
                <w:color w:val="000000"/>
                <w:kern w:val="0"/>
                <w:szCs w:val="21"/>
              </w:rPr>
              <w:br w:type="textWrapping"/>
            </w:r>
            <w:r>
              <w:rPr>
                <w:rFonts w:hint="eastAsia" w:cs="宋体" w:asciiTheme="minorEastAsia" w:hAnsiTheme="minorEastAsia"/>
                <w:color w:val="000000"/>
                <w:kern w:val="0"/>
                <w:szCs w:val="21"/>
              </w:rPr>
              <w:t>前进村乡村振兴项目</w:t>
            </w:r>
          </w:p>
        </w:tc>
      </w:tr>
      <w:tr>
        <w:tblPrEx>
          <w:tblCellMar>
            <w:top w:w="0" w:type="dxa"/>
            <w:left w:w="108" w:type="dxa"/>
            <w:bottom w:w="0" w:type="dxa"/>
            <w:right w:w="108" w:type="dxa"/>
          </w:tblCellMar>
        </w:tblPrEx>
        <w:trPr>
          <w:trHeight w:val="285" w:hRule="atLeast"/>
        </w:trPr>
        <w:tc>
          <w:tcPr>
            <w:tcW w:w="563" w:type="pct"/>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color w:val="000000"/>
                <w:kern w:val="0"/>
                <w:szCs w:val="21"/>
              </w:rPr>
            </w:pPr>
          </w:p>
        </w:tc>
        <w:tc>
          <w:tcPr>
            <w:tcW w:w="581"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红色文化体验</w:t>
            </w:r>
          </w:p>
        </w:tc>
        <w:tc>
          <w:tcPr>
            <w:tcW w:w="2579" w:type="pct"/>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color w:val="000000"/>
                <w:kern w:val="0"/>
                <w:szCs w:val="21"/>
              </w:rPr>
            </w:pPr>
            <w:r>
              <w:rPr>
                <w:rFonts w:hint="eastAsia" w:cs="宋体" w:asciiTheme="minorEastAsia" w:hAnsiTheme="minorEastAsia"/>
                <w:color w:val="000000"/>
                <w:kern w:val="0"/>
                <w:szCs w:val="21"/>
              </w:rPr>
              <w:t>依托象山书院及其红色文化资源优势，打造爱国主义研学基地，使游客感受红色文化魅力。</w:t>
            </w:r>
          </w:p>
        </w:tc>
        <w:tc>
          <w:tcPr>
            <w:tcW w:w="127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象山书院</w:t>
            </w:r>
          </w:p>
        </w:tc>
      </w:tr>
      <w:tr>
        <w:tblPrEx>
          <w:tblCellMar>
            <w:top w:w="0" w:type="dxa"/>
            <w:left w:w="108" w:type="dxa"/>
            <w:bottom w:w="0" w:type="dxa"/>
            <w:right w:w="108" w:type="dxa"/>
          </w:tblCellMar>
        </w:tblPrEx>
        <w:trPr>
          <w:trHeight w:val="285" w:hRule="atLeast"/>
        </w:trPr>
        <w:tc>
          <w:tcPr>
            <w:tcW w:w="563"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配套</w:t>
            </w:r>
          </w:p>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产品</w:t>
            </w:r>
          </w:p>
        </w:tc>
        <w:tc>
          <w:tcPr>
            <w:tcW w:w="581"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亲子研学体验</w:t>
            </w:r>
          </w:p>
        </w:tc>
        <w:tc>
          <w:tcPr>
            <w:tcW w:w="2579" w:type="pct"/>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color w:val="000000"/>
                <w:kern w:val="0"/>
                <w:szCs w:val="21"/>
              </w:rPr>
            </w:pPr>
            <w:r>
              <w:rPr>
                <w:rFonts w:hint="eastAsia" w:cs="宋体" w:asciiTheme="minorEastAsia" w:hAnsiTheme="minorEastAsia"/>
                <w:color w:val="000000"/>
                <w:kern w:val="0"/>
                <w:szCs w:val="21"/>
              </w:rPr>
              <w:t>依托红色文化资源和农耕文化，建设研学基地、亲子乐园，向青少年提供中国传统农耕文化认知、研学、农耕体验的体验。</w:t>
            </w:r>
          </w:p>
        </w:tc>
        <w:tc>
          <w:tcPr>
            <w:tcW w:w="127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前进村乡村振兴项目</w:t>
            </w:r>
          </w:p>
        </w:tc>
      </w:tr>
    </w:tbl>
    <w:p>
      <w:pPr>
        <w:adjustRightInd w:val="0"/>
        <w:snapToGrid w:val="0"/>
        <w:spacing w:beforeLines="50"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（三）</w:t>
      </w:r>
      <w:r>
        <w:rPr>
          <w:rFonts w:eastAsia="宋体" w:cs="Times New Roman" w:asciiTheme="minorEastAsia" w:hAnsiTheme="minorEastAsia"/>
          <w:b/>
          <w:kern w:val="0"/>
          <w:sz w:val="24"/>
          <w:szCs w:val="24"/>
        </w:rPr>
        <w:t>旅游节庆产品活动策划</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组织开展凤阳乡创节</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玉峰油菜花市</w:t>
      </w:r>
      <w:r>
        <w:rPr>
          <w:rFonts w:hint="eastAsia" w:eastAsia="宋体" w:cs="Times New Roman" w:asciiTheme="minorEastAsia" w:hAnsiTheme="minorEastAsia"/>
          <w:kern w:val="0"/>
          <w:sz w:val="24"/>
          <w:szCs w:val="24"/>
        </w:rPr>
        <w:t>、斗笠枇杷节、河边白柠檬、稻田节、美食节、田园艺术节、乡村民俗节等多</w:t>
      </w:r>
      <w:r>
        <w:rPr>
          <w:rFonts w:eastAsia="宋体" w:cs="Times New Roman" w:asciiTheme="minorEastAsia" w:hAnsiTheme="minorEastAsia"/>
          <w:kern w:val="0"/>
          <w:sz w:val="24"/>
          <w:szCs w:val="24"/>
        </w:rPr>
        <w:t>主题节日为成遂协同绿色发展片区注入源源不断的活力，为片区的全年段旅游提供了项目保障，也为游客体验田园休闲度假生活带来丰富多姿的乐趣，满足不同人群的体验需求，坚持田园休闲度假的理念，使斗笠枇杷节、河边果蔬节、白柠檬文化节等节日活动突出田园休闲度假在片区场地中的灵魂位置。</w:t>
      </w:r>
    </w:p>
    <w:p>
      <w:pPr>
        <w:pStyle w:val="36"/>
        <w:numPr>
          <w:ilvl w:val="0"/>
          <w:numId w:val="5"/>
        </w:numPr>
        <w:spacing w:beforeLines="50" w:afterLines="50"/>
        <w:ind w:firstLineChars="0"/>
        <w:jc w:val="center"/>
        <w:rPr>
          <w:rFonts w:ascii="黑体" w:hAnsi="黑体" w:eastAsia="黑体"/>
          <w:b w:val="0"/>
          <w:kern w:val="2"/>
        </w:rPr>
      </w:pPr>
      <w:bookmarkStart w:id="24" w:name="_Toc166772173"/>
      <w:r>
        <w:rPr>
          <w:rFonts w:hint="eastAsia" w:ascii="黑体" w:hAnsi="黑体" w:eastAsia="黑体"/>
          <w:b w:val="0"/>
          <w:kern w:val="2"/>
        </w:rPr>
        <w:t>设施配套规划</w:t>
      </w:r>
      <w:bookmarkEnd w:id="24"/>
    </w:p>
    <w:p>
      <w:pPr>
        <w:adjustRightInd w:val="0"/>
        <w:snapToGrid w:val="0"/>
        <w:spacing w:beforeLines="50" w:line="360" w:lineRule="auto"/>
        <w:ind w:firstLine="482" w:firstLineChars="200"/>
        <w:rPr>
          <w:rFonts w:ascii="黑体" w:hAnsi="黑体" w:eastAsia="黑体" w:cs="Times New Roman"/>
          <w:b/>
          <w:kern w:val="0"/>
          <w:sz w:val="24"/>
          <w:szCs w:val="24"/>
        </w:rPr>
      </w:pPr>
      <w:r>
        <w:rPr>
          <w:rFonts w:ascii="黑体" w:hAnsi="黑体" w:eastAsia="黑体" w:cs="Times New Roman"/>
          <w:b/>
          <w:kern w:val="0"/>
          <w:sz w:val="24"/>
          <w:szCs w:val="24"/>
        </w:rPr>
        <w:t>一</w:t>
      </w:r>
      <w:r>
        <w:rPr>
          <w:rFonts w:hint="eastAsia" w:ascii="黑体" w:hAnsi="黑体" w:eastAsia="黑体" w:cs="Times New Roman"/>
          <w:b/>
          <w:kern w:val="0"/>
          <w:sz w:val="24"/>
          <w:szCs w:val="24"/>
        </w:rPr>
        <w:t>、公共</w:t>
      </w:r>
      <w:r>
        <w:rPr>
          <w:rFonts w:ascii="黑体" w:hAnsi="黑体" w:eastAsia="黑体" w:cs="Times New Roman"/>
          <w:b/>
          <w:kern w:val="0"/>
          <w:sz w:val="24"/>
          <w:szCs w:val="24"/>
        </w:rPr>
        <w:t>服务设施规划</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衔接片区便民服务设施、公共文化设施、基础教育学校布局和建设、乡村医疗卫生机构布局、养老和殡葬等专项规划相关内容，按照《四川省乡镇级国土空间总体规划编制指南（</w:t>
      </w:r>
      <w:r>
        <w:rPr>
          <w:rFonts w:eastAsia="宋体" w:cs="Times New Roman" w:asciiTheme="minorEastAsia" w:hAnsiTheme="minorEastAsia"/>
          <w:kern w:val="0"/>
          <w:sz w:val="24"/>
          <w:szCs w:val="24"/>
        </w:rPr>
        <w:t>2021</w:t>
      </w:r>
      <w:r>
        <w:rPr>
          <w:rFonts w:hint="eastAsia" w:eastAsia="宋体" w:cs="Times New Roman" w:asciiTheme="minorEastAsia" w:hAnsiTheme="minorEastAsia"/>
          <w:kern w:val="0"/>
          <w:sz w:val="24"/>
          <w:szCs w:val="24"/>
        </w:rPr>
        <w:t>修订版）》、《四川省村级规划编制指南（</w:t>
      </w:r>
      <w:r>
        <w:rPr>
          <w:rFonts w:eastAsia="宋体" w:cs="Times New Roman" w:asciiTheme="minorEastAsia" w:hAnsiTheme="minorEastAsia"/>
          <w:kern w:val="0"/>
          <w:sz w:val="24"/>
          <w:szCs w:val="24"/>
        </w:rPr>
        <w:t>2021</w:t>
      </w:r>
      <w:r>
        <w:rPr>
          <w:rFonts w:hint="eastAsia" w:eastAsia="宋体" w:cs="Times New Roman" w:asciiTheme="minorEastAsia" w:hAnsiTheme="minorEastAsia"/>
          <w:kern w:val="0"/>
          <w:sz w:val="24"/>
          <w:szCs w:val="24"/>
        </w:rPr>
        <w:t>修订版）》、《社区生活圈规划技术指南》等要求，结合历次民意调查结果，以实际需求为基础，并考虑人口流动趋势及分布、设施服务半径等因素，建立科学合理、群众满意的公共服务设施配套标准。</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（一）行政办公设施</w:t>
      </w:r>
    </w:p>
    <w:p>
      <w:pPr>
        <w:adjustRightInd w:val="0"/>
        <w:snapToGrid w:val="0"/>
        <w:spacing w:line="360" w:lineRule="auto"/>
        <w:ind w:firstLine="482" w:firstLineChars="200"/>
        <w:rPr>
          <w:rFonts w:eastAsia="宋体" w:cs="Times New Roman" w:asciiTheme="minorEastAsia" w:hAnsiTheme="minorEastAsia"/>
          <w:b/>
          <w:kern w:val="0"/>
          <w:sz w:val="24"/>
          <w:szCs w:val="24"/>
          <w:u w:val="single"/>
        </w:rPr>
      </w:pPr>
      <w:r>
        <w:rPr>
          <w:rFonts w:hint="eastAsia" w:eastAsia="宋体" w:cs="Times New Roman" w:asciiTheme="minorEastAsia" w:hAnsiTheme="minorEastAsia"/>
          <w:b/>
          <w:kern w:val="0"/>
          <w:sz w:val="24"/>
          <w:szCs w:val="24"/>
          <w:u w:val="single"/>
        </w:rPr>
        <w:t>按照</w:t>
      </w:r>
      <w:r>
        <w:rPr>
          <w:rFonts w:eastAsia="宋体" w:cs="Times New Roman" w:asciiTheme="minorEastAsia" w:hAnsiTheme="minorEastAsia"/>
          <w:b/>
          <w:kern w:val="0"/>
          <w:sz w:val="24"/>
          <w:szCs w:val="24"/>
          <w:u w:val="single"/>
        </w:rPr>
        <w:t>“中心镇</w:t>
      </w:r>
      <w:r>
        <w:rPr>
          <w:rFonts w:hint="eastAsia" w:eastAsia="宋体" w:cs="Times New Roman" w:asciiTheme="minorEastAsia" w:hAnsiTheme="minorEastAsia"/>
          <w:b/>
          <w:kern w:val="0"/>
          <w:sz w:val="24"/>
          <w:szCs w:val="24"/>
          <w:u w:val="single"/>
        </w:rPr>
        <w:t>——</w:t>
      </w:r>
      <w:r>
        <w:rPr>
          <w:rFonts w:eastAsia="宋体" w:cs="Times New Roman" w:asciiTheme="minorEastAsia" w:hAnsiTheme="minorEastAsia"/>
          <w:b/>
          <w:kern w:val="0"/>
          <w:sz w:val="24"/>
          <w:szCs w:val="24"/>
          <w:u w:val="single"/>
        </w:rPr>
        <w:t>般镇</w:t>
      </w:r>
      <w:r>
        <w:rPr>
          <w:rFonts w:hint="eastAsia" w:eastAsia="宋体" w:cs="Times New Roman" w:asciiTheme="minorEastAsia" w:hAnsiTheme="minorEastAsia"/>
          <w:b/>
          <w:kern w:val="0"/>
          <w:sz w:val="24"/>
          <w:szCs w:val="24"/>
          <w:u w:val="single"/>
        </w:rPr>
        <w:t>——村</w:t>
      </w:r>
      <w:r>
        <w:rPr>
          <w:rFonts w:eastAsia="宋体" w:cs="Times New Roman" w:asciiTheme="minorEastAsia" w:hAnsiTheme="minorEastAsia"/>
          <w:b/>
          <w:kern w:val="0"/>
          <w:sz w:val="24"/>
          <w:szCs w:val="24"/>
          <w:u w:val="single"/>
        </w:rPr>
        <w:t>”优化片区行政服务体系。便民服务方面，按照镇配置便民服务中心，村配置便民服务站。扩建河边镇便民服务中心</w:t>
      </w:r>
      <w:r>
        <w:rPr>
          <w:rFonts w:hint="eastAsia" w:eastAsia="宋体" w:cs="Times New Roman" w:asciiTheme="minorEastAsia" w:hAnsiTheme="minorEastAsia"/>
          <w:b/>
          <w:kern w:val="0"/>
          <w:sz w:val="24"/>
          <w:szCs w:val="24"/>
          <w:u w:val="single"/>
        </w:rPr>
        <w:t>，面积为300平方米，</w:t>
      </w:r>
      <w:r>
        <w:rPr>
          <w:rFonts w:eastAsia="宋体" w:cs="Times New Roman" w:asciiTheme="minorEastAsia" w:hAnsiTheme="minorEastAsia"/>
          <w:b/>
          <w:kern w:val="0"/>
          <w:sz w:val="24"/>
          <w:szCs w:val="24"/>
          <w:u w:val="single"/>
        </w:rPr>
        <w:t>扩充户籍、金融（银行）、邮政物流、文旅融合、农旅融合、水电气视讯等服务功能，设立政务公开专栏、退役军人服务站等，创新打造</w:t>
      </w:r>
      <w:r>
        <w:rPr>
          <w:rFonts w:hint="eastAsia" w:eastAsia="宋体" w:cs="Times New Roman" w:asciiTheme="minorEastAsia" w:hAnsiTheme="minorEastAsia"/>
          <w:b/>
          <w:kern w:val="0"/>
          <w:sz w:val="24"/>
          <w:szCs w:val="24"/>
          <w:u w:val="single"/>
        </w:rPr>
        <w:t>河边</w:t>
      </w:r>
      <w:r>
        <w:rPr>
          <w:rFonts w:eastAsia="宋体" w:cs="Times New Roman" w:asciiTheme="minorEastAsia" w:hAnsiTheme="minorEastAsia"/>
          <w:b/>
          <w:kern w:val="0"/>
          <w:sz w:val="24"/>
          <w:szCs w:val="24"/>
          <w:u w:val="single"/>
        </w:rPr>
        <w:t>镇“一站式”服务的新应用场景</w:t>
      </w:r>
      <w:r>
        <w:rPr>
          <w:rFonts w:hint="eastAsia" w:eastAsia="宋体" w:cs="Times New Roman" w:asciiTheme="minorEastAsia" w:hAnsiTheme="minorEastAsia"/>
          <w:b/>
          <w:kern w:val="0"/>
          <w:sz w:val="24"/>
          <w:szCs w:val="24"/>
          <w:u w:val="single"/>
        </w:rPr>
        <w:t>，保留现状象山镇便民服务中心，规划改造</w:t>
      </w:r>
      <w:r>
        <w:rPr>
          <w:rFonts w:eastAsia="宋体" w:cs="Times New Roman" w:asciiTheme="minorEastAsia" w:hAnsiTheme="minorEastAsia"/>
          <w:b/>
          <w:kern w:val="0"/>
          <w:sz w:val="24"/>
          <w:szCs w:val="24"/>
          <w:u w:val="single"/>
        </w:rPr>
        <w:t>玉峰镇供销社</w:t>
      </w:r>
      <w:r>
        <w:rPr>
          <w:rFonts w:hint="eastAsia" w:eastAsia="宋体" w:cs="Times New Roman" w:asciiTheme="minorEastAsia" w:hAnsiTheme="minorEastAsia"/>
          <w:b/>
          <w:kern w:val="0"/>
          <w:sz w:val="24"/>
          <w:szCs w:val="24"/>
          <w:u w:val="single"/>
        </w:rPr>
        <w:t>为便民服务中心，面积2300平方米</w:t>
      </w:r>
      <w:r>
        <w:rPr>
          <w:rFonts w:eastAsia="宋体" w:cs="Times New Roman" w:asciiTheme="minorEastAsia" w:hAnsiTheme="minorEastAsia"/>
          <w:b/>
          <w:kern w:val="0"/>
          <w:sz w:val="24"/>
          <w:szCs w:val="24"/>
          <w:u w:val="single"/>
        </w:rPr>
        <w:t>，</w:t>
      </w:r>
      <w:r>
        <w:rPr>
          <w:rFonts w:hint="eastAsia" w:eastAsia="宋体" w:cs="Times New Roman" w:asciiTheme="minorEastAsia" w:hAnsiTheme="minorEastAsia"/>
          <w:b/>
          <w:kern w:val="0"/>
          <w:sz w:val="24"/>
          <w:szCs w:val="24"/>
          <w:u w:val="single"/>
        </w:rPr>
        <w:t>完善</w:t>
      </w:r>
      <w:r>
        <w:rPr>
          <w:rFonts w:eastAsia="宋体" w:cs="Times New Roman" w:asciiTheme="minorEastAsia" w:hAnsiTheme="minorEastAsia"/>
          <w:b/>
          <w:kern w:val="0"/>
          <w:sz w:val="24"/>
          <w:szCs w:val="24"/>
          <w:u w:val="single"/>
        </w:rPr>
        <w:t>58 个村（</w:t>
      </w:r>
      <w:r>
        <w:rPr>
          <w:rFonts w:hint="eastAsia" w:eastAsia="宋体" w:cs="Times New Roman" w:asciiTheme="minorEastAsia" w:hAnsiTheme="minorEastAsia"/>
          <w:b/>
          <w:kern w:val="0"/>
          <w:sz w:val="24"/>
          <w:szCs w:val="24"/>
          <w:u w:val="single"/>
        </w:rPr>
        <w:t>社区</w:t>
      </w:r>
      <w:r>
        <w:rPr>
          <w:rFonts w:eastAsia="宋体" w:cs="Times New Roman" w:asciiTheme="minorEastAsia" w:hAnsiTheme="minorEastAsia"/>
          <w:b/>
          <w:kern w:val="0"/>
          <w:sz w:val="24"/>
          <w:szCs w:val="24"/>
          <w:u w:val="single"/>
        </w:rPr>
        <w:t>）便民服务标准化、规范化、便利化建设，并推动55 处闲置村委会办公室</w:t>
      </w:r>
      <w:r>
        <w:rPr>
          <w:rFonts w:hint="eastAsia" w:eastAsia="宋体" w:cs="Times New Roman" w:asciiTheme="minorEastAsia" w:hAnsiTheme="minorEastAsia"/>
          <w:b/>
          <w:kern w:val="0"/>
          <w:sz w:val="24"/>
          <w:szCs w:val="24"/>
          <w:u w:val="single"/>
        </w:rPr>
        <w:t>转型</w:t>
      </w:r>
      <w:r>
        <w:rPr>
          <w:rFonts w:eastAsia="宋体" w:cs="Times New Roman" w:asciiTheme="minorEastAsia" w:hAnsiTheme="minorEastAsia"/>
          <w:b/>
          <w:kern w:val="0"/>
          <w:sz w:val="24"/>
          <w:szCs w:val="24"/>
          <w:u w:val="single"/>
        </w:rPr>
        <w:t>利用。</w:t>
      </w:r>
      <w:r>
        <w:rPr>
          <w:rFonts w:hint="eastAsia" w:eastAsia="宋体" w:cs="Times New Roman" w:asciiTheme="minorEastAsia" w:hAnsiTheme="minorEastAsia"/>
          <w:kern w:val="0"/>
          <w:sz w:val="24"/>
          <w:szCs w:val="24"/>
        </w:rPr>
        <w:t>司法方面，按照</w:t>
      </w:r>
      <w:r>
        <w:rPr>
          <w:rFonts w:eastAsia="宋体" w:cs="Times New Roman" w:asciiTheme="minorEastAsia" w:hAnsiTheme="minorEastAsia"/>
          <w:kern w:val="0"/>
          <w:sz w:val="24"/>
          <w:szCs w:val="24"/>
        </w:rPr>
        <w:t>“中心镇配置人民法庭、镇配置司法所、村配置综治中心”完善镇村司法服务体系，保留河边镇</w:t>
      </w:r>
      <w:r>
        <w:rPr>
          <w:rFonts w:hint="eastAsia" w:eastAsia="宋体" w:cs="Times New Roman" w:asciiTheme="minorEastAsia" w:hAnsiTheme="minorEastAsia"/>
          <w:kern w:val="0"/>
          <w:sz w:val="24"/>
          <w:szCs w:val="24"/>
        </w:rPr>
        <w:t>人民法庭</w:t>
      </w:r>
      <w:r>
        <w:rPr>
          <w:rFonts w:eastAsia="宋体" w:cs="Times New Roman" w:asciiTheme="minorEastAsia" w:hAnsiTheme="minorEastAsia"/>
          <w:kern w:val="0"/>
          <w:sz w:val="24"/>
          <w:szCs w:val="24"/>
        </w:rPr>
        <w:t>1 处，象山镇司法所1 处和玉峰镇</w:t>
      </w:r>
      <w:r>
        <w:rPr>
          <w:rFonts w:hint="eastAsia" w:eastAsia="宋体" w:cs="Times New Roman" w:asciiTheme="minorEastAsia" w:hAnsiTheme="minorEastAsia"/>
          <w:kern w:val="0"/>
          <w:sz w:val="24"/>
          <w:szCs w:val="24"/>
        </w:rPr>
        <w:t>司法所</w:t>
      </w:r>
      <w:r>
        <w:rPr>
          <w:rFonts w:eastAsia="宋体" w:cs="Times New Roman" w:asciiTheme="minorEastAsia" w:hAnsiTheme="minorEastAsia"/>
          <w:kern w:val="0"/>
          <w:sz w:val="24"/>
          <w:szCs w:val="24"/>
        </w:rPr>
        <w:t>1 处。按照“一镇一派出所，一村一警务室”优化公安派出所设置，保留3 处派出所。</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（二）文化设施</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构建以中心镇文化综合体为纽带，乡镇综合性文化中心为支撑，村综合文化服务中心为基础的现代公共文化服务体系，实现片区公共文化服务体系全面完善；结合闲置</w:t>
      </w:r>
      <w:r>
        <w:rPr>
          <w:rFonts w:hint="eastAsia" w:eastAsia="宋体" w:cs="Times New Roman" w:asciiTheme="minorEastAsia" w:hAnsiTheme="minorEastAsia"/>
          <w:kern w:val="0"/>
          <w:sz w:val="24"/>
          <w:szCs w:val="24"/>
        </w:rPr>
        <w:t>村委会</w:t>
      </w:r>
      <w:r>
        <w:rPr>
          <w:rFonts w:eastAsia="宋体" w:cs="Times New Roman" w:asciiTheme="minorEastAsia" w:hAnsiTheme="minorEastAsia"/>
          <w:kern w:val="0"/>
          <w:sz w:val="24"/>
          <w:szCs w:val="24"/>
        </w:rPr>
        <w:t>打造乡史馆，加强文化传承，坚定文化自信。</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中心镇文化综合体：改造现状河边文化站</w:t>
      </w:r>
      <w:r>
        <w:rPr>
          <w:rFonts w:hint="eastAsia" w:eastAsia="宋体" w:cs="Times New Roman" w:asciiTheme="minorEastAsia" w:hAnsiTheme="minorEastAsia"/>
          <w:kern w:val="0"/>
          <w:sz w:val="24"/>
          <w:szCs w:val="24"/>
        </w:rPr>
        <w:t>为镇区体育文化活动中心，更新河边粮站为片区的文化综合体，为片区的文化服务中心，</w:t>
      </w:r>
      <w:r>
        <w:rPr>
          <w:rFonts w:eastAsia="宋体" w:cs="Times New Roman" w:asciiTheme="minorEastAsia" w:hAnsiTheme="minorEastAsia"/>
          <w:kern w:val="0"/>
          <w:sz w:val="24"/>
          <w:szCs w:val="24"/>
        </w:rPr>
        <w:t>集图书馆、文化馆、公共电子阅览室、书画室、培训室、乡村文化展示室于一体，服务于片区</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 xml:space="preserve"> 规划保留象山和玉峰镇区现状文化站</w:t>
      </w:r>
      <w:r>
        <w:rPr>
          <w:rFonts w:hint="eastAsia" w:eastAsia="宋体" w:cs="Times New Roman" w:asciiTheme="minorEastAsia" w:hAnsiTheme="minorEastAsia"/>
          <w:kern w:val="0"/>
          <w:sz w:val="24"/>
          <w:szCs w:val="24"/>
        </w:rPr>
        <w:t>。</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村综合文化服务中心：保留现状各村社区村级文化站，并进行设施升级。</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乡史馆：新建</w:t>
      </w:r>
      <w:r>
        <w:rPr>
          <w:rFonts w:hint="eastAsia" w:eastAsia="宋体" w:cs="Times New Roman" w:asciiTheme="minorEastAsia" w:hAnsiTheme="minorEastAsia"/>
          <w:kern w:val="0"/>
          <w:sz w:val="24"/>
          <w:szCs w:val="24"/>
        </w:rPr>
        <w:t>凤阳村、</w:t>
      </w:r>
      <w:r>
        <w:rPr>
          <w:rFonts w:eastAsia="宋体" w:cs="Times New Roman" w:asciiTheme="minorEastAsia" w:hAnsiTheme="minorEastAsia"/>
          <w:kern w:val="0"/>
          <w:sz w:val="24"/>
          <w:szCs w:val="24"/>
        </w:rPr>
        <w:t>斗笠村</w:t>
      </w:r>
      <w:r>
        <w:rPr>
          <w:rFonts w:hint="eastAsia" w:eastAsia="宋体" w:cs="Times New Roman" w:asciiTheme="minorEastAsia" w:hAnsiTheme="minorEastAsia"/>
          <w:kern w:val="0"/>
          <w:sz w:val="24"/>
          <w:szCs w:val="24"/>
        </w:rPr>
        <w:t>、智水村、</w:t>
      </w:r>
      <w:r>
        <w:rPr>
          <w:rFonts w:eastAsia="宋体" w:cs="Times New Roman" w:asciiTheme="minorEastAsia" w:hAnsiTheme="minorEastAsia"/>
          <w:kern w:val="0"/>
          <w:sz w:val="24"/>
          <w:szCs w:val="24"/>
        </w:rPr>
        <w:t>前进村</w:t>
      </w:r>
      <w:r>
        <w:rPr>
          <w:rFonts w:hint="eastAsia" w:eastAsia="宋体" w:cs="Times New Roman" w:asciiTheme="minorEastAsia" w:hAnsiTheme="minorEastAsia"/>
          <w:kern w:val="0"/>
          <w:sz w:val="24"/>
          <w:szCs w:val="24"/>
        </w:rPr>
        <w:t>、四方村乡</w:t>
      </w:r>
      <w:r>
        <w:rPr>
          <w:rFonts w:eastAsia="宋体" w:cs="Times New Roman" w:asciiTheme="minorEastAsia" w:hAnsiTheme="minorEastAsia"/>
          <w:kern w:val="0"/>
          <w:sz w:val="24"/>
          <w:szCs w:val="24"/>
        </w:rPr>
        <w:t>史馆，与旅游公共设施有机结合，结合凤阳农耕博物馆</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斗笠村美丽乡村建设项目新建村史馆</w:t>
      </w:r>
      <w:r>
        <w:rPr>
          <w:rFonts w:hint="eastAsia" w:eastAsia="宋体" w:cs="Times New Roman" w:asciiTheme="minorEastAsia" w:hAnsiTheme="minorEastAsia"/>
          <w:kern w:val="0"/>
          <w:sz w:val="24"/>
          <w:szCs w:val="24"/>
        </w:rPr>
        <w:t>，利用金灵村村委会、原智水乡文化站、原骑龙村村委会</w:t>
      </w:r>
      <w:r>
        <w:rPr>
          <w:rFonts w:eastAsia="宋体" w:cs="Times New Roman" w:asciiTheme="minorEastAsia" w:hAnsiTheme="minorEastAsia"/>
          <w:kern w:val="0"/>
          <w:sz w:val="24"/>
          <w:szCs w:val="24"/>
        </w:rPr>
        <w:t>改建为村史馆。</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（三）教育设施</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按照“幼儿园就近就便、小学向乡镇集中、初中向中心镇集中、资源向寄宿制学校集中”的配置原则，打破行政区划界限，统筹推进基础教育学校布局调整和教育供给侧结构性改革</w:t>
      </w:r>
      <w:r>
        <w:rPr>
          <w:rFonts w:hint="eastAsia" w:eastAsia="宋体" w:cs="Times New Roman" w:asciiTheme="minorEastAsia" w:hAnsiTheme="minorEastAsia"/>
          <w:kern w:val="0"/>
          <w:sz w:val="24"/>
          <w:szCs w:val="24"/>
        </w:rPr>
        <w:t>。</w:t>
      </w:r>
    </w:p>
    <w:p>
      <w:pPr>
        <w:adjustRightInd w:val="0"/>
        <w:snapToGrid w:val="0"/>
        <w:spacing w:line="360" w:lineRule="auto"/>
        <w:ind w:firstLine="482" w:firstLineChars="200"/>
        <w:rPr>
          <w:rFonts w:eastAsia="宋体" w:cs="Times New Roman" w:asciiTheme="minorEastAsia" w:hAnsiTheme="minorEastAsia"/>
          <w:b/>
          <w:kern w:val="0"/>
          <w:sz w:val="24"/>
          <w:szCs w:val="24"/>
          <w:u w:val="single"/>
        </w:rPr>
      </w:pPr>
      <w:r>
        <w:rPr>
          <w:rFonts w:eastAsia="宋体" w:cs="Times New Roman" w:asciiTheme="minorEastAsia" w:hAnsiTheme="minorEastAsia"/>
          <w:b/>
          <w:kern w:val="0"/>
          <w:sz w:val="24"/>
          <w:szCs w:val="24"/>
          <w:u w:val="single"/>
        </w:rPr>
        <w:t>规划撤销智水初中，学生到玉峰中学就读。规划撤销永乐小学和黄莲小学，学生到象山小学就读。撤销现状办学条件差的幼儿园，在保证中心村设置1处幼儿园的基础上。教育设施调整后保留</w:t>
      </w:r>
      <w:r>
        <w:rPr>
          <w:rFonts w:hint="eastAsia" w:eastAsia="宋体" w:cs="Times New Roman" w:asciiTheme="minorEastAsia" w:hAnsiTheme="minorEastAsia"/>
          <w:b/>
          <w:kern w:val="0"/>
          <w:sz w:val="24"/>
          <w:szCs w:val="24"/>
          <w:u w:val="single"/>
        </w:rPr>
        <w:t>象山中学、河边中学和玉峰中学等3所中学，保留象山小学、河边小学，玉峰小学、星花小学、八里小学、马头小学、福禄小学、五方小学、团结小学、智水小学等10</w:t>
      </w:r>
      <w:r>
        <w:rPr>
          <w:rFonts w:eastAsia="宋体" w:cs="Times New Roman" w:asciiTheme="minorEastAsia" w:hAnsiTheme="minorEastAsia"/>
          <w:b/>
          <w:kern w:val="0"/>
          <w:sz w:val="24"/>
          <w:szCs w:val="24"/>
          <w:u w:val="single"/>
        </w:rPr>
        <w:t>所小学</w:t>
      </w:r>
      <w:r>
        <w:rPr>
          <w:rFonts w:hint="eastAsia" w:eastAsia="宋体" w:cs="Times New Roman" w:asciiTheme="minorEastAsia" w:hAnsiTheme="minorEastAsia"/>
          <w:b/>
          <w:kern w:val="0"/>
          <w:sz w:val="24"/>
          <w:szCs w:val="24"/>
          <w:u w:val="single"/>
        </w:rPr>
        <w:t>以及</w:t>
      </w:r>
      <w:r>
        <w:rPr>
          <w:rFonts w:eastAsia="宋体" w:cs="Times New Roman" w:asciiTheme="minorEastAsia" w:hAnsiTheme="minorEastAsia"/>
          <w:b/>
          <w:kern w:val="0"/>
          <w:sz w:val="24"/>
          <w:szCs w:val="24"/>
          <w:u w:val="single"/>
        </w:rPr>
        <w:t>12所幼儿园</w:t>
      </w:r>
      <w:r>
        <w:rPr>
          <w:rFonts w:hint="eastAsia" w:eastAsia="宋体" w:cs="Times New Roman" w:asciiTheme="minorEastAsia" w:hAnsiTheme="minorEastAsia"/>
          <w:b/>
          <w:kern w:val="0"/>
          <w:sz w:val="24"/>
          <w:szCs w:val="24"/>
          <w:u w:val="single"/>
        </w:rPr>
        <w:t>。</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义务教育学校撤并后的闲置资源，主要用于发展非营利性学前教育、校外教育、留守儿童关爱保护等。在符合国土空间规划的前提下，富余闲置资源也可用于建设中小学劳动教育基地和综合实践基地、留守儿童之家、托育托幼服务实践基地、家庭教育创新实践基地、职业教育实践基地，或结合实际集中改建教师周转房，或移交政府统一管理，通过土地置换异地新建学校，还可用于乡镇公共设施和其他公益事业。</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（四）医疗卫生设施</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根据人口分布、时空半径和就医习惯，优化片区卫生机构布局，推进医疗资源归并整合，进一步增强片区服务能力。</w:t>
      </w:r>
    </w:p>
    <w:p>
      <w:pPr>
        <w:adjustRightInd w:val="0"/>
        <w:snapToGrid w:val="0"/>
        <w:spacing w:line="360" w:lineRule="auto"/>
        <w:ind w:firstLine="482" w:firstLineChars="200"/>
        <w:rPr>
          <w:rFonts w:cs="Times New Roman" w:asciiTheme="minorEastAsia" w:hAnsiTheme="minorEastAsia"/>
          <w:b/>
          <w:kern w:val="0"/>
          <w:sz w:val="24"/>
          <w:szCs w:val="24"/>
          <w:u w:val="single"/>
        </w:rPr>
      </w:pPr>
      <w:r>
        <w:rPr>
          <w:rFonts w:hint="eastAsia" w:eastAsia="宋体" w:cs="Times New Roman" w:asciiTheme="minorEastAsia" w:hAnsiTheme="minorEastAsia"/>
          <w:b/>
          <w:kern w:val="0"/>
          <w:sz w:val="24"/>
          <w:szCs w:val="24"/>
          <w:u w:val="single"/>
        </w:rPr>
        <w:t>河边卫生院按二级综合医院标准建设县域卫生次中心</w:t>
      </w:r>
      <w:r>
        <w:rPr>
          <w:rFonts w:eastAsia="宋体" w:cs="Times New Roman" w:asciiTheme="minorEastAsia" w:hAnsiTheme="minorEastAsia"/>
          <w:b/>
          <w:kern w:val="0"/>
          <w:sz w:val="24"/>
          <w:szCs w:val="24"/>
          <w:u w:val="single"/>
        </w:rPr>
        <w:t>，纳入大英县“十四五”卫生健康事业发展规划，使其成为县域内片区医疗救治中心、急救中心、技术指导中心、人才培训中心和公共卫生中心。</w:t>
      </w:r>
    </w:p>
    <w:p>
      <w:pPr>
        <w:adjustRightInd w:val="0"/>
        <w:snapToGrid w:val="0"/>
        <w:spacing w:line="360" w:lineRule="auto"/>
        <w:ind w:firstLine="482" w:firstLineChars="200"/>
        <w:rPr>
          <w:rFonts w:eastAsia="宋体" w:cs="Times New Roman" w:asciiTheme="minorEastAsia" w:hAnsiTheme="minorEastAsia"/>
          <w:b/>
          <w:kern w:val="0"/>
          <w:sz w:val="24"/>
          <w:szCs w:val="24"/>
          <w:u w:val="single"/>
        </w:rPr>
      </w:pPr>
      <w:r>
        <w:rPr>
          <w:rFonts w:eastAsia="宋体" w:cs="Times New Roman" w:asciiTheme="minorEastAsia" w:hAnsiTheme="minorEastAsia"/>
          <w:b/>
          <w:kern w:val="0"/>
          <w:sz w:val="24"/>
          <w:szCs w:val="24"/>
          <w:u w:val="single"/>
        </w:rPr>
        <w:t>保留象山镇卫生院</w:t>
      </w:r>
      <w:r>
        <w:rPr>
          <w:rFonts w:hint="eastAsia" w:eastAsia="宋体" w:cs="Times New Roman" w:asciiTheme="minorEastAsia" w:hAnsiTheme="minorEastAsia"/>
          <w:b/>
          <w:kern w:val="0"/>
          <w:sz w:val="24"/>
          <w:szCs w:val="24"/>
          <w:u w:val="single"/>
        </w:rPr>
        <w:t>、</w:t>
      </w:r>
      <w:r>
        <w:rPr>
          <w:rFonts w:eastAsia="宋体" w:cs="Times New Roman" w:asciiTheme="minorEastAsia" w:hAnsiTheme="minorEastAsia"/>
          <w:b/>
          <w:kern w:val="0"/>
          <w:sz w:val="24"/>
          <w:szCs w:val="24"/>
          <w:u w:val="single"/>
        </w:rPr>
        <w:t>保留玉峰镇卫生院，</w:t>
      </w:r>
      <w:r>
        <w:rPr>
          <w:rFonts w:hint="eastAsia" w:eastAsia="宋体" w:cs="Times New Roman" w:asciiTheme="minorEastAsia" w:hAnsiTheme="minorEastAsia"/>
          <w:b/>
          <w:kern w:val="0"/>
          <w:sz w:val="24"/>
          <w:szCs w:val="24"/>
          <w:u w:val="single"/>
        </w:rPr>
        <w:t>保留河边、玉峰原计生指导站资产</w:t>
      </w:r>
      <w:r>
        <w:rPr>
          <w:rFonts w:eastAsia="宋体" w:cs="Times New Roman" w:asciiTheme="minorEastAsia" w:hAnsiTheme="minorEastAsia"/>
          <w:b/>
          <w:kern w:val="0"/>
          <w:sz w:val="24"/>
          <w:szCs w:val="24"/>
          <w:u w:val="single"/>
        </w:rPr>
        <w:t>。</w:t>
      </w:r>
    </w:p>
    <w:p>
      <w:pPr>
        <w:adjustRightInd w:val="0"/>
        <w:snapToGrid w:val="0"/>
        <w:spacing w:line="360" w:lineRule="auto"/>
        <w:ind w:firstLine="482" w:firstLineChars="200"/>
        <w:rPr>
          <w:rFonts w:eastAsia="宋体" w:cs="Times New Roman" w:asciiTheme="minorEastAsia" w:hAnsiTheme="minorEastAsia"/>
          <w:b/>
          <w:kern w:val="0"/>
          <w:sz w:val="24"/>
          <w:szCs w:val="24"/>
          <w:u w:val="single"/>
        </w:rPr>
      </w:pPr>
      <w:r>
        <w:rPr>
          <w:rFonts w:hint="eastAsia" w:eastAsia="宋体" w:cs="Times New Roman" w:asciiTheme="minorEastAsia" w:hAnsiTheme="minorEastAsia"/>
          <w:b/>
          <w:kern w:val="0"/>
          <w:sz w:val="24"/>
          <w:szCs w:val="24"/>
          <w:u w:val="single"/>
        </w:rPr>
        <w:t>规划在玉峰镇卫生院西侧新增一处医养项目，占地面积0.43公顷，规划在河边镇卫生院西侧新增一处中医医疗康养中心，占地面积3.92公顷。</w:t>
      </w:r>
    </w:p>
    <w:p>
      <w:pPr>
        <w:adjustRightInd w:val="0"/>
        <w:snapToGrid w:val="0"/>
        <w:spacing w:line="360" w:lineRule="auto"/>
        <w:ind w:firstLine="482" w:firstLineChars="200"/>
        <w:rPr>
          <w:rFonts w:eastAsia="宋体" w:cs="Times New Roman" w:asciiTheme="minorEastAsia" w:hAnsiTheme="minorEastAsia"/>
          <w:b/>
          <w:kern w:val="0"/>
          <w:sz w:val="24"/>
          <w:szCs w:val="24"/>
          <w:u w:val="single"/>
        </w:rPr>
      </w:pPr>
      <w:r>
        <w:rPr>
          <w:rFonts w:eastAsia="宋体" w:cs="Times New Roman" w:asciiTheme="minorEastAsia" w:hAnsiTheme="minorEastAsia"/>
          <w:b/>
          <w:kern w:val="0"/>
          <w:sz w:val="24"/>
          <w:szCs w:val="24"/>
          <w:u w:val="single"/>
        </w:rPr>
        <w:t>规划健全行政村卫生室，原则上1 个行政村设置1 个村卫生室。统筹</w:t>
      </w:r>
      <w:r>
        <w:rPr>
          <w:rFonts w:hint="eastAsia" w:eastAsia="宋体" w:cs="Times New Roman" w:asciiTheme="minorEastAsia" w:hAnsiTheme="minorEastAsia"/>
          <w:b/>
          <w:kern w:val="0"/>
          <w:sz w:val="24"/>
          <w:szCs w:val="24"/>
          <w:u w:val="single"/>
        </w:rPr>
        <w:t>河边镇铁路沟村，玉峰镇河中井村，象山镇凤阳村、观桃村标准化卫生室建设。</w:t>
      </w:r>
    </w:p>
    <w:p>
      <w:pPr>
        <w:adjustRightInd w:val="0"/>
        <w:snapToGrid w:val="0"/>
        <w:spacing w:line="360" w:lineRule="auto"/>
        <w:ind w:firstLine="482" w:firstLineChars="200"/>
        <w:rPr>
          <w:rFonts w:eastAsia="宋体" w:cs="Times New Roman" w:asciiTheme="minorEastAsia" w:hAnsiTheme="minorEastAsia"/>
          <w:b/>
          <w:kern w:val="0"/>
          <w:sz w:val="24"/>
          <w:szCs w:val="24"/>
          <w:u w:val="single"/>
        </w:rPr>
      </w:pPr>
      <w:r>
        <w:rPr>
          <w:rFonts w:eastAsia="宋体" w:cs="Times New Roman" w:asciiTheme="minorEastAsia" w:hAnsiTheme="minorEastAsia"/>
          <w:b/>
          <w:kern w:val="0"/>
          <w:sz w:val="24"/>
          <w:szCs w:val="24"/>
          <w:u w:val="single"/>
        </w:rPr>
        <w:t>建制乡镇卫生院和分院所在地行政村可不设置村卫生室。人口较少或面积较小的行政村，可与相邻行政村联合办好1 个村卫生室，保证群众原有的医疗卫生服务不减少。</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（五）养老和殡葬设施</w:t>
      </w:r>
    </w:p>
    <w:p>
      <w:pPr>
        <w:adjustRightInd w:val="0"/>
        <w:snapToGrid w:val="0"/>
        <w:spacing w:line="360" w:lineRule="auto"/>
        <w:ind w:firstLine="480" w:firstLineChars="200"/>
        <w:rPr>
          <w:rFonts w:eastAsia="宋体" w:cs="Times New Roman" w:asciiTheme="minorEastAsia" w:hAnsiTheme="minorEastAsia"/>
          <w:b/>
          <w:kern w:val="0"/>
          <w:sz w:val="24"/>
          <w:szCs w:val="24"/>
          <w:u w:val="single"/>
        </w:rPr>
      </w:pPr>
      <w:r>
        <w:rPr>
          <w:rFonts w:eastAsia="宋体" w:cs="Times New Roman" w:asciiTheme="minorEastAsia" w:hAnsiTheme="minorEastAsia"/>
          <w:kern w:val="0"/>
          <w:sz w:val="24"/>
          <w:szCs w:val="24"/>
        </w:rPr>
        <w:t>按照“优化布局、提升功能”的原则，中心镇建设农村区域养老服务中心，一般镇、村（</w:t>
      </w:r>
      <w:r>
        <w:rPr>
          <w:rFonts w:hint="eastAsia" w:eastAsia="宋体" w:cs="Times New Roman" w:asciiTheme="minorEastAsia" w:hAnsiTheme="minorEastAsia"/>
          <w:kern w:val="0"/>
          <w:sz w:val="24"/>
          <w:szCs w:val="24"/>
        </w:rPr>
        <w:t>社区</w:t>
      </w:r>
      <w:r>
        <w:rPr>
          <w:rFonts w:eastAsia="宋体" w:cs="Times New Roman" w:asciiTheme="minorEastAsia" w:hAnsiTheme="minorEastAsia"/>
          <w:kern w:val="0"/>
          <w:sz w:val="24"/>
          <w:szCs w:val="24"/>
        </w:rPr>
        <w:t>）养老服务设施，其余村设置村级养老服务点。</w:t>
      </w:r>
      <w:r>
        <w:rPr>
          <w:rFonts w:eastAsia="宋体" w:cs="Times New Roman" w:asciiTheme="minorEastAsia" w:hAnsiTheme="minorEastAsia"/>
          <w:b/>
          <w:kern w:val="0"/>
          <w:sz w:val="24"/>
          <w:szCs w:val="24"/>
          <w:u w:val="single"/>
        </w:rPr>
        <w:t>规划在象山镇新增一处</w:t>
      </w:r>
      <w:r>
        <w:rPr>
          <w:rFonts w:hint="eastAsia" w:eastAsia="宋体" w:cs="Times New Roman" w:asciiTheme="minorEastAsia" w:hAnsiTheme="minorEastAsia"/>
          <w:b/>
          <w:kern w:val="0"/>
          <w:sz w:val="24"/>
          <w:szCs w:val="24"/>
          <w:u w:val="single"/>
        </w:rPr>
        <w:t>敬老院，</w:t>
      </w:r>
      <w:r>
        <w:rPr>
          <w:rFonts w:eastAsia="宋体" w:cs="Times New Roman" w:asciiTheme="minorEastAsia" w:hAnsiTheme="minorEastAsia"/>
          <w:b/>
          <w:kern w:val="0"/>
          <w:sz w:val="24"/>
          <w:szCs w:val="24"/>
          <w:u w:val="single"/>
        </w:rPr>
        <w:t>占地面积</w:t>
      </w:r>
      <w:r>
        <w:rPr>
          <w:rFonts w:hint="eastAsia" w:eastAsia="宋体" w:cs="Times New Roman" w:asciiTheme="minorEastAsia" w:hAnsiTheme="minorEastAsia"/>
          <w:b/>
          <w:kern w:val="0"/>
          <w:sz w:val="24"/>
          <w:szCs w:val="24"/>
          <w:u w:val="single"/>
        </w:rPr>
        <w:t>0.54公顷，</w:t>
      </w:r>
      <w:r>
        <w:rPr>
          <w:rFonts w:eastAsia="宋体" w:cs="Times New Roman" w:asciiTheme="minorEastAsia" w:hAnsiTheme="minorEastAsia"/>
          <w:b/>
          <w:kern w:val="0"/>
          <w:sz w:val="24"/>
          <w:szCs w:val="24"/>
          <w:u w:val="single"/>
        </w:rPr>
        <w:t>规划在</w:t>
      </w:r>
      <w:r>
        <w:rPr>
          <w:rFonts w:hint="eastAsia" w:eastAsia="宋体" w:cs="Times New Roman" w:asciiTheme="minorEastAsia" w:hAnsiTheme="minorEastAsia"/>
          <w:b/>
          <w:kern w:val="0"/>
          <w:sz w:val="24"/>
          <w:szCs w:val="24"/>
          <w:u w:val="single"/>
        </w:rPr>
        <w:t>玉峰</w:t>
      </w:r>
      <w:r>
        <w:rPr>
          <w:rFonts w:eastAsia="宋体" w:cs="Times New Roman" w:asciiTheme="minorEastAsia" w:hAnsiTheme="minorEastAsia"/>
          <w:b/>
          <w:kern w:val="0"/>
          <w:sz w:val="24"/>
          <w:szCs w:val="24"/>
          <w:u w:val="single"/>
        </w:rPr>
        <w:t>镇区新增一处</w:t>
      </w:r>
      <w:r>
        <w:rPr>
          <w:rFonts w:hint="eastAsia" w:eastAsia="宋体" w:cs="Times New Roman" w:asciiTheme="minorEastAsia" w:hAnsiTheme="minorEastAsia"/>
          <w:b/>
          <w:kern w:val="0"/>
          <w:sz w:val="24"/>
          <w:szCs w:val="24"/>
          <w:u w:val="single"/>
        </w:rPr>
        <w:t>敬老院，</w:t>
      </w:r>
      <w:r>
        <w:rPr>
          <w:rFonts w:eastAsia="宋体" w:cs="Times New Roman" w:asciiTheme="minorEastAsia" w:hAnsiTheme="minorEastAsia"/>
          <w:b/>
          <w:kern w:val="0"/>
          <w:sz w:val="24"/>
          <w:szCs w:val="24"/>
          <w:u w:val="single"/>
        </w:rPr>
        <w:t>占地面积</w:t>
      </w:r>
      <w:r>
        <w:rPr>
          <w:rFonts w:hint="eastAsia" w:eastAsia="宋体" w:cs="Times New Roman" w:asciiTheme="minorEastAsia" w:hAnsiTheme="minorEastAsia"/>
          <w:b/>
          <w:kern w:val="0"/>
          <w:sz w:val="24"/>
          <w:szCs w:val="24"/>
          <w:u w:val="single"/>
        </w:rPr>
        <w:t>0.37公顷，</w:t>
      </w:r>
      <w:r>
        <w:rPr>
          <w:rFonts w:eastAsia="宋体" w:cs="Times New Roman" w:asciiTheme="minorEastAsia" w:hAnsiTheme="minorEastAsia"/>
          <w:b/>
          <w:kern w:val="0"/>
          <w:sz w:val="24"/>
          <w:szCs w:val="24"/>
          <w:u w:val="single"/>
        </w:rPr>
        <w:t>保留象山马蹄垭村中心敬老院</w:t>
      </w:r>
      <w:r>
        <w:rPr>
          <w:rFonts w:hint="eastAsia" w:eastAsia="宋体" w:cs="Times New Roman" w:asciiTheme="minorEastAsia" w:hAnsiTheme="minorEastAsia"/>
          <w:b/>
          <w:kern w:val="0"/>
          <w:sz w:val="24"/>
          <w:szCs w:val="24"/>
          <w:u w:val="single"/>
        </w:rPr>
        <w:t>，</w:t>
      </w:r>
      <w:r>
        <w:rPr>
          <w:rFonts w:eastAsia="宋体" w:cs="Times New Roman" w:asciiTheme="minorEastAsia" w:hAnsiTheme="minorEastAsia"/>
          <w:b/>
          <w:kern w:val="0"/>
          <w:sz w:val="24"/>
          <w:szCs w:val="24"/>
          <w:u w:val="single"/>
        </w:rPr>
        <w:t>占地</w:t>
      </w:r>
      <w:r>
        <w:rPr>
          <w:rFonts w:hint="eastAsia" w:eastAsia="宋体" w:cs="Times New Roman" w:asciiTheme="minorEastAsia" w:hAnsiTheme="minorEastAsia"/>
          <w:b/>
          <w:kern w:val="0"/>
          <w:sz w:val="24"/>
          <w:szCs w:val="24"/>
          <w:u w:val="single"/>
        </w:rPr>
        <w:t>0.62公顷</w:t>
      </w:r>
      <w:r>
        <w:rPr>
          <w:rFonts w:eastAsia="宋体" w:cs="Times New Roman" w:asciiTheme="minorEastAsia" w:hAnsiTheme="minorEastAsia"/>
          <w:b/>
          <w:kern w:val="0"/>
          <w:sz w:val="24"/>
          <w:szCs w:val="24"/>
          <w:u w:val="single"/>
        </w:rPr>
        <w:t>，保留河边镇梁家中心敬老院，占地</w:t>
      </w:r>
      <w:r>
        <w:rPr>
          <w:rFonts w:hint="eastAsia" w:eastAsia="宋体" w:cs="Times New Roman" w:asciiTheme="minorEastAsia" w:hAnsiTheme="minorEastAsia"/>
          <w:b/>
          <w:kern w:val="0"/>
          <w:sz w:val="24"/>
          <w:szCs w:val="24"/>
          <w:u w:val="single"/>
        </w:rPr>
        <w:t>0.74公顷，</w:t>
      </w:r>
      <w:r>
        <w:rPr>
          <w:rFonts w:eastAsia="宋体" w:cs="Times New Roman" w:asciiTheme="minorEastAsia" w:hAnsiTheme="minorEastAsia"/>
          <w:b/>
          <w:kern w:val="0"/>
          <w:sz w:val="24"/>
          <w:szCs w:val="24"/>
          <w:u w:val="single"/>
        </w:rPr>
        <w:t>保留玉峰镇团结村中心敬老院，占地</w:t>
      </w:r>
      <w:r>
        <w:rPr>
          <w:rFonts w:hint="eastAsia" w:eastAsia="宋体" w:cs="Times New Roman" w:asciiTheme="minorEastAsia" w:hAnsiTheme="minorEastAsia"/>
          <w:b/>
          <w:kern w:val="0"/>
          <w:sz w:val="24"/>
          <w:szCs w:val="24"/>
          <w:u w:val="single"/>
        </w:rPr>
        <w:t>0.48公顷，逐步建设为区域性养老服务中心。玉峰镇智水敬老院建设成为玉峰镇中心敬老院智水分院，在满足政府兜底保障对象服务需求的基础上，拓展服务功能、提升服务能级，满足不同层级多样化、品质化、个性化的养老服务需求。利用河边镇粮站部分建筑，改建成为片区养老服务综合体，建筑面积约为3000平方米。</w:t>
      </w:r>
    </w:p>
    <w:p>
      <w:pPr>
        <w:adjustRightInd w:val="0"/>
        <w:snapToGrid w:val="0"/>
        <w:spacing w:line="360" w:lineRule="auto"/>
        <w:ind w:firstLine="482" w:firstLineChars="200"/>
        <w:rPr>
          <w:rFonts w:cs="Times New Roman" w:asciiTheme="minorEastAsia" w:hAnsiTheme="minorEastAsia"/>
          <w:b/>
          <w:kern w:val="0"/>
          <w:sz w:val="24"/>
          <w:szCs w:val="24"/>
          <w:u w:val="single"/>
        </w:rPr>
      </w:pPr>
      <w:r>
        <w:rPr>
          <w:rFonts w:hint="eastAsia" w:eastAsia="宋体" w:cs="Times New Roman" w:asciiTheme="minorEastAsia" w:hAnsiTheme="minorEastAsia"/>
          <w:b/>
          <w:kern w:val="0"/>
          <w:sz w:val="24"/>
          <w:szCs w:val="24"/>
          <w:u w:val="single"/>
        </w:rPr>
        <w:t>在中心村各布局</w:t>
      </w:r>
      <w:r>
        <w:rPr>
          <w:rFonts w:eastAsia="宋体" w:cs="Times New Roman" w:asciiTheme="minorEastAsia" w:hAnsiTheme="minorEastAsia"/>
          <w:b/>
          <w:kern w:val="0"/>
          <w:sz w:val="24"/>
          <w:szCs w:val="24"/>
          <w:u w:val="single"/>
        </w:rPr>
        <w:t>1处日间照料中心；基层村按实际需求增设村级养老服务点。</w:t>
      </w:r>
    </w:p>
    <w:p>
      <w:pPr>
        <w:adjustRightInd w:val="0"/>
        <w:snapToGrid w:val="0"/>
        <w:spacing w:line="360" w:lineRule="auto"/>
        <w:ind w:firstLine="482" w:firstLineChars="200"/>
        <w:rPr>
          <w:rFonts w:eastAsia="宋体" w:cs="Times New Roman" w:asciiTheme="minorEastAsia" w:hAnsiTheme="minorEastAsia"/>
          <w:b/>
          <w:kern w:val="0"/>
          <w:sz w:val="24"/>
          <w:szCs w:val="24"/>
          <w:u w:val="single"/>
        </w:rPr>
      </w:pPr>
      <w:r>
        <w:rPr>
          <w:rFonts w:hint="eastAsia" w:eastAsia="宋体" w:cs="Times New Roman" w:asciiTheme="minorEastAsia" w:hAnsiTheme="minorEastAsia"/>
          <w:b/>
          <w:kern w:val="0"/>
          <w:sz w:val="24"/>
          <w:szCs w:val="24"/>
          <w:u w:val="single"/>
        </w:rPr>
        <w:t>规划修建河边镇三块碑村、象山镇三溪村、玉峰镇玉峰村农村公益性公墓，面积分别为3.55公顷、3.41公顷、3.35公顷，分别新增墓穴10000个。</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（六）公共服务设施复合利用</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鼓励将功能和服务方式类似的公共服务设施相对集中布局，形成各级邻里中心。</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建议以“文化+体育”、“医疗+养老”等功能为基础，结合镇村具体情况配置其</w:t>
      </w:r>
      <w:r>
        <w:rPr>
          <w:rFonts w:hint="eastAsia" w:eastAsia="宋体" w:cs="Times New Roman" w:asciiTheme="minorEastAsia" w:hAnsiTheme="minorEastAsia"/>
          <w:kern w:val="0"/>
          <w:sz w:val="24"/>
          <w:szCs w:val="24"/>
          <w:lang w:val="en-US" w:eastAsia="zh-CN"/>
        </w:rPr>
        <w:t>他</w:t>
      </w:r>
      <w:r>
        <w:rPr>
          <w:rFonts w:eastAsia="宋体" w:cs="Times New Roman" w:asciiTheme="minorEastAsia" w:hAnsiTheme="minorEastAsia"/>
          <w:kern w:val="0"/>
          <w:sz w:val="24"/>
          <w:szCs w:val="24"/>
        </w:rPr>
        <w:t>功能板块。</w:t>
      </w:r>
    </w:p>
    <w:p>
      <w:pPr>
        <w:adjustRightInd w:val="0"/>
        <w:snapToGrid w:val="0"/>
        <w:spacing w:line="360" w:lineRule="auto"/>
        <w:ind w:firstLine="480" w:firstLineChars="200"/>
        <w:rPr>
          <w:rFonts w:cs="Times New Roman" w:asciiTheme="minorEastAsia" w:hAnsiTheme="minorEastAsia"/>
          <w:kern w:val="0"/>
          <w:sz w:val="24"/>
          <w:szCs w:val="24"/>
        </w:rPr>
      </w:pPr>
      <w:r>
        <w:rPr>
          <w:rFonts w:hint="eastAsia" w:eastAsia="宋体" w:cs="Times New Roman" w:asciiTheme="minorEastAsia" w:hAnsiTheme="minorEastAsia"/>
          <w:kern w:val="0"/>
          <w:sz w:val="24"/>
          <w:szCs w:val="24"/>
        </w:rPr>
        <w:t>社区</w:t>
      </w:r>
      <w:r>
        <w:rPr>
          <w:rFonts w:eastAsia="宋体" w:cs="Times New Roman" w:asciiTheme="minorEastAsia" w:hAnsiTheme="minorEastAsia"/>
          <w:kern w:val="0"/>
          <w:sz w:val="24"/>
          <w:szCs w:val="24"/>
        </w:rPr>
        <w:t>综合服务中心以基本保障和民生服务为主导，采取“公益类+商业服务类”形式，设施复合设置，分时共享，提高</w:t>
      </w:r>
      <w:r>
        <w:rPr>
          <w:rFonts w:hint="eastAsia" w:eastAsia="宋体" w:cs="Times New Roman" w:asciiTheme="minorEastAsia" w:hAnsiTheme="minorEastAsia"/>
          <w:kern w:val="0"/>
          <w:sz w:val="24"/>
          <w:szCs w:val="24"/>
        </w:rPr>
        <w:t>服务</w:t>
      </w:r>
      <w:r>
        <w:rPr>
          <w:rFonts w:eastAsia="宋体" w:cs="Times New Roman" w:asciiTheme="minorEastAsia" w:hAnsiTheme="minorEastAsia"/>
          <w:kern w:val="0"/>
          <w:sz w:val="24"/>
          <w:szCs w:val="24"/>
        </w:rPr>
        <w:t>中心整体活力和运行效率。</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鼓励既有设施“开放共享”。 对于镇区内的学校等设施，在确保安全的前提下，可分时段向社会开放共享公共活动空间、绿地、体育健身及文化活动场所等。</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（七）</w:t>
      </w:r>
      <w:r>
        <w:rPr>
          <w:rFonts w:eastAsia="宋体" w:cs="Times New Roman" w:asciiTheme="minorEastAsia" w:hAnsiTheme="minorEastAsia"/>
          <w:b/>
          <w:kern w:val="0"/>
          <w:sz w:val="24"/>
          <w:szCs w:val="24"/>
        </w:rPr>
        <w:t>闲置资源在利用</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按照统筹</w:t>
      </w:r>
      <w:r>
        <w:rPr>
          <w:rFonts w:eastAsia="宋体" w:cs="Times New Roman" w:asciiTheme="minorEastAsia" w:hAnsiTheme="minorEastAsia"/>
          <w:kern w:val="0"/>
          <w:sz w:val="24"/>
          <w:szCs w:val="24"/>
        </w:rPr>
        <w:t>兼顾</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问需于民</w:t>
      </w:r>
      <w:r>
        <w:rPr>
          <w:rFonts w:hint="eastAsia" w:eastAsia="宋体" w:cs="Times New Roman" w:asciiTheme="minorEastAsia" w:hAnsiTheme="minorEastAsia"/>
          <w:kern w:val="0"/>
          <w:sz w:val="24"/>
          <w:szCs w:val="24"/>
        </w:rPr>
        <w:t>、综合利用、分类盘活的原则整合闲置资源，补足公共设施和产业设施短板，按照大英县《盘活用好镇村公有资产工作方案》，统筹各级各类闲置资产，通过调剂、置换、租用等方式优先保障镇村办公用房、乡镇干部周转用房需要。按照就近就地、便民利民原则，将部分乡镇闲置资产优先调整用于便民服务站点、党群活动阵地、文化活动场所、医疗服务站点、敬老院、老年活动中心、日间照料中心、农业服务设施等便民利民场所，满足群众生产生活需求，保障镇村居民就近就便享受公共服务，实现源头治理。学校闲置资产可改建为研学实践教育基地、劳动教育基地、实习实训基地、幼儿园或学生活动之家；卫生院闲置资产在县域内统筹调配，主要调剂给改革后的乡镇卫生院、社区卫生服务中心；敬老院闲置资产可推动其转型为互助养老服务设施、社区养老服务综合体，或采取公建民营方式予以盘活利用。</w:t>
      </w:r>
      <w:r>
        <w:rPr>
          <w:rFonts w:eastAsia="宋体" w:cs="Times New Roman" w:asciiTheme="minorEastAsia" w:hAnsiTheme="minorEastAsia"/>
          <w:kern w:val="0"/>
          <w:sz w:val="24"/>
          <w:szCs w:val="24"/>
        </w:rPr>
        <w:t>两项改革后，大量村委会、小学等公共服务设施资源闲置，片区内共有闲置小学</w:t>
      </w:r>
      <w:r>
        <w:rPr>
          <w:rFonts w:hint="eastAsia" w:eastAsia="宋体" w:cs="Times New Roman" w:asciiTheme="minorEastAsia" w:hAnsiTheme="minorEastAsia"/>
          <w:kern w:val="0"/>
          <w:sz w:val="24"/>
          <w:szCs w:val="24"/>
        </w:rPr>
        <w:t>4</w:t>
      </w:r>
      <w:r>
        <w:rPr>
          <w:rFonts w:eastAsia="宋体" w:cs="Times New Roman" w:asciiTheme="minorEastAsia" w:hAnsiTheme="minorEastAsia"/>
          <w:kern w:val="0"/>
          <w:sz w:val="24"/>
          <w:szCs w:val="24"/>
        </w:rPr>
        <w:t>处，乡政府1处，村委会</w:t>
      </w:r>
      <w:r>
        <w:rPr>
          <w:rFonts w:hint="eastAsia" w:eastAsia="宋体" w:cs="Times New Roman" w:asciiTheme="minorEastAsia" w:hAnsiTheme="minorEastAsia"/>
          <w:kern w:val="0"/>
          <w:sz w:val="24"/>
          <w:szCs w:val="24"/>
        </w:rPr>
        <w:t>55</w:t>
      </w:r>
      <w:r>
        <w:rPr>
          <w:rFonts w:eastAsia="宋体" w:cs="Times New Roman" w:asciiTheme="minorEastAsia" w:hAnsiTheme="minorEastAsia"/>
          <w:kern w:val="0"/>
          <w:sz w:val="24"/>
          <w:szCs w:val="24"/>
        </w:rPr>
        <w:t>处，卫生室</w:t>
      </w:r>
      <w:r>
        <w:rPr>
          <w:rFonts w:hint="eastAsia" w:eastAsia="宋体" w:cs="Times New Roman" w:asciiTheme="minorEastAsia" w:hAnsiTheme="minorEastAsia"/>
          <w:kern w:val="0"/>
          <w:sz w:val="24"/>
          <w:szCs w:val="24"/>
        </w:rPr>
        <w:t>28</w:t>
      </w:r>
      <w:r>
        <w:rPr>
          <w:rFonts w:eastAsia="宋体" w:cs="Times New Roman" w:asciiTheme="minorEastAsia" w:hAnsiTheme="minorEastAsia"/>
          <w:kern w:val="0"/>
          <w:sz w:val="24"/>
          <w:szCs w:val="24"/>
        </w:rPr>
        <w:t>个，粮站</w:t>
      </w:r>
      <w:r>
        <w:rPr>
          <w:rFonts w:hint="eastAsia" w:eastAsia="宋体" w:cs="Times New Roman" w:asciiTheme="minorEastAsia" w:hAnsiTheme="minorEastAsia"/>
          <w:kern w:val="0"/>
          <w:sz w:val="24"/>
          <w:szCs w:val="24"/>
        </w:rPr>
        <w:t>3</w:t>
      </w:r>
      <w:r>
        <w:rPr>
          <w:rFonts w:eastAsia="宋体" w:cs="Times New Roman" w:asciiTheme="minorEastAsia" w:hAnsiTheme="minorEastAsia"/>
          <w:kern w:val="0"/>
          <w:sz w:val="24"/>
          <w:szCs w:val="24"/>
        </w:rPr>
        <w:t>处，此外还有闲置供销社、电影院、邮政所等设施，总面积</w:t>
      </w:r>
      <w:r>
        <w:rPr>
          <w:rFonts w:hint="eastAsia" w:eastAsia="宋体" w:cs="Times New Roman" w:asciiTheme="minorEastAsia" w:hAnsiTheme="minorEastAsia"/>
          <w:kern w:val="0"/>
          <w:sz w:val="24"/>
          <w:szCs w:val="24"/>
        </w:rPr>
        <w:t>13.94公顷</w:t>
      </w:r>
      <w:r>
        <w:rPr>
          <w:rFonts w:eastAsia="宋体" w:cs="Times New Roman" w:asciiTheme="minorEastAsia" w:hAnsiTheme="minorEastAsia"/>
          <w:kern w:val="0"/>
          <w:sz w:val="24"/>
          <w:szCs w:val="24"/>
        </w:rPr>
        <w:t>。改造原马头乡政府驻地为粮食烘干房</w:t>
      </w:r>
      <w:r>
        <w:rPr>
          <w:rFonts w:hint="eastAsia" w:eastAsia="宋体" w:cs="Times New Roman" w:asciiTheme="minorEastAsia" w:hAnsiTheme="minorEastAsia"/>
          <w:kern w:val="0"/>
          <w:sz w:val="24"/>
          <w:szCs w:val="24"/>
        </w:rPr>
        <w:t>，改造河边镇闲置粮站为片区文化综合体，打造成为片区的文化服务中心，</w:t>
      </w:r>
      <w:r>
        <w:rPr>
          <w:rFonts w:eastAsia="宋体" w:cs="Times New Roman" w:asciiTheme="minorEastAsia" w:hAnsiTheme="minorEastAsia"/>
          <w:kern w:val="0"/>
          <w:sz w:val="24"/>
          <w:szCs w:val="24"/>
        </w:rPr>
        <w:t>集图书馆、文化馆、公共电子阅览室、书画室、培训室、乡村文化展示室于一体，服务于片区</w:t>
      </w:r>
      <w:r>
        <w:rPr>
          <w:rFonts w:hint="eastAsia" w:eastAsia="宋体" w:cs="Times New Roman" w:asciiTheme="minorEastAsia" w:hAnsiTheme="minorEastAsia"/>
          <w:kern w:val="0"/>
          <w:sz w:val="24"/>
          <w:szCs w:val="24"/>
        </w:rPr>
        <w:t>。</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（八）商业设施</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结合片区镇村居民生活习惯、风俗民情及产业规划布局，重点突出中心镇、中心村服务辐射能力。规划提升象山镇、玉峰镇商贸流通功能，增强服务村级片区能力，结合中心村布局农村电商，基层村结合居民点布局和村民需求规划农家便利店。</w:t>
      </w:r>
    </w:p>
    <w:p>
      <w:pPr>
        <w:adjustRightInd w:val="0"/>
        <w:snapToGrid w:val="0"/>
        <w:spacing w:beforeLines="50" w:line="360" w:lineRule="auto"/>
        <w:ind w:firstLine="482" w:firstLineChars="200"/>
        <w:rPr>
          <w:rFonts w:ascii="黑体" w:hAnsi="黑体" w:eastAsia="黑体" w:cs="Times New Roman"/>
          <w:b/>
          <w:kern w:val="0"/>
          <w:sz w:val="24"/>
          <w:szCs w:val="24"/>
        </w:rPr>
      </w:pPr>
      <w:r>
        <w:rPr>
          <w:rFonts w:hint="eastAsia" w:ascii="黑体" w:hAnsi="黑体" w:eastAsia="黑体" w:cs="Times New Roman"/>
          <w:b/>
          <w:kern w:val="0"/>
          <w:sz w:val="24"/>
          <w:szCs w:val="24"/>
        </w:rPr>
        <w:t>二、交通设施规划</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衔接大英县“十四五”交通发展规划，</w:t>
      </w:r>
      <w:r>
        <w:rPr>
          <w:rFonts w:hint="eastAsia" w:eastAsia="宋体" w:cs="Times New Roman" w:asciiTheme="minorEastAsia" w:hAnsiTheme="minorEastAsia"/>
          <w:kern w:val="0"/>
          <w:sz w:val="24"/>
          <w:szCs w:val="24"/>
        </w:rPr>
        <w:t>以区域重大交通设施为依托，全面完善农村公路网络，</w:t>
      </w:r>
      <w:r>
        <w:rPr>
          <w:rFonts w:eastAsia="宋体" w:cs="Times New Roman" w:asciiTheme="minorEastAsia" w:hAnsiTheme="minorEastAsia"/>
          <w:kern w:val="0"/>
          <w:sz w:val="24"/>
          <w:szCs w:val="24"/>
        </w:rPr>
        <w:t>构建外联内畅的综合交通体系</w:t>
      </w:r>
      <w:r>
        <w:rPr>
          <w:rFonts w:hint="eastAsia" w:eastAsia="宋体" w:cs="Times New Roman" w:asciiTheme="minorEastAsia" w:hAnsiTheme="minorEastAsia"/>
          <w:kern w:val="0"/>
          <w:sz w:val="24"/>
          <w:szCs w:val="24"/>
        </w:rPr>
        <w:t>，有效支撑片区乡村振兴。</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（一）对外交通设施规划</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衔接《遂宁综合交通规划》及《大英县</w:t>
      </w:r>
      <w:r>
        <w:rPr>
          <w:rFonts w:eastAsia="宋体" w:cs="Times New Roman" w:asciiTheme="minorEastAsia" w:hAnsiTheme="minorEastAsia"/>
          <w:kern w:val="0"/>
          <w:sz w:val="24"/>
          <w:szCs w:val="24"/>
        </w:rPr>
        <w:t>“十四五”</w:t>
      </w:r>
      <w:r>
        <w:rPr>
          <w:rFonts w:hint="eastAsia" w:eastAsia="宋体" w:cs="Times New Roman" w:asciiTheme="minorEastAsia" w:hAnsiTheme="minorEastAsia"/>
          <w:kern w:val="0"/>
          <w:sz w:val="24"/>
          <w:szCs w:val="24"/>
        </w:rPr>
        <w:t>交通专项规划》，以设施建设支撑片区发展，对外构建形成“两高速、两铁路、一国道、多省道”的对外交通骨架。保留现状</w:t>
      </w:r>
      <w:r>
        <w:rPr>
          <w:rFonts w:eastAsia="宋体" w:cs="Times New Roman" w:asciiTheme="minorEastAsia" w:hAnsiTheme="minorEastAsia"/>
          <w:kern w:val="0"/>
          <w:sz w:val="24"/>
          <w:szCs w:val="24"/>
        </w:rPr>
        <w:t>G42沪蓉高速、达成高铁</w:t>
      </w:r>
      <w:r>
        <w:rPr>
          <w:rFonts w:hint="eastAsia" w:eastAsia="宋体" w:cs="Times New Roman" w:asciiTheme="minorEastAsia" w:hAnsiTheme="minorEastAsia"/>
          <w:kern w:val="0"/>
          <w:sz w:val="24"/>
          <w:szCs w:val="24"/>
        </w:rPr>
        <w:t>和</w:t>
      </w:r>
      <w:r>
        <w:rPr>
          <w:rFonts w:eastAsia="宋体" w:cs="Times New Roman" w:asciiTheme="minorEastAsia" w:hAnsiTheme="minorEastAsia"/>
          <w:kern w:val="0"/>
          <w:sz w:val="24"/>
          <w:szCs w:val="24"/>
        </w:rPr>
        <w:t>达成铁路</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规划新增三大乐高速</w:t>
      </w:r>
      <w:r>
        <w:rPr>
          <w:rFonts w:hint="eastAsia" w:eastAsia="宋体" w:cs="Times New Roman" w:asciiTheme="minorEastAsia" w:hAnsiTheme="minorEastAsia"/>
          <w:kern w:val="0"/>
          <w:sz w:val="24"/>
          <w:szCs w:val="24"/>
        </w:rPr>
        <w:t>，改建国道G350、省道S101、</w:t>
      </w:r>
      <w:r>
        <w:rPr>
          <w:rFonts w:eastAsia="宋体" w:cs="Times New Roman" w:asciiTheme="minorEastAsia" w:hAnsiTheme="minorEastAsia"/>
          <w:kern w:val="0"/>
          <w:sz w:val="24"/>
          <w:szCs w:val="24"/>
        </w:rPr>
        <w:t>S209</w:t>
      </w:r>
      <w:r>
        <w:rPr>
          <w:rFonts w:hint="eastAsia" w:eastAsia="宋体" w:cs="Times New Roman" w:asciiTheme="minorEastAsia" w:hAnsiTheme="minorEastAsia"/>
          <w:kern w:val="0"/>
          <w:sz w:val="24"/>
          <w:szCs w:val="24"/>
        </w:rPr>
        <w:t>、S307、S401等多条干线公路。</w:t>
      </w:r>
      <w:r>
        <w:rPr>
          <w:rFonts w:eastAsia="宋体" w:cs="Times New Roman" w:asciiTheme="minorEastAsia" w:hAnsiTheme="minorEastAsia"/>
          <w:kern w:val="0"/>
          <w:sz w:val="24"/>
          <w:szCs w:val="24"/>
        </w:rPr>
        <w:t>改建县道XJ</w:t>
      </w:r>
      <w:r>
        <w:rPr>
          <w:rFonts w:hint="eastAsia" w:eastAsia="宋体" w:cs="Times New Roman" w:asciiTheme="minorEastAsia" w:hAnsiTheme="minorEastAsia"/>
          <w:kern w:val="0"/>
          <w:sz w:val="24"/>
          <w:szCs w:val="24"/>
        </w:rPr>
        <w:t>079、X077、X076、X007等</w:t>
      </w:r>
      <w:r>
        <w:rPr>
          <w:rFonts w:eastAsia="宋体" w:cs="Times New Roman" w:asciiTheme="minorEastAsia" w:hAnsiTheme="minorEastAsia"/>
          <w:kern w:val="0"/>
          <w:sz w:val="24"/>
          <w:szCs w:val="24"/>
        </w:rPr>
        <w:t xml:space="preserve">，路面宽度控制为7.5 </w:t>
      </w:r>
      <w:r>
        <w:rPr>
          <w:rFonts w:hint="eastAsia" w:eastAsia="宋体" w:cs="Times New Roman" w:asciiTheme="minorEastAsia" w:hAnsiTheme="minorEastAsia"/>
          <w:kern w:val="0"/>
          <w:sz w:val="24"/>
          <w:szCs w:val="24"/>
        </w:rPr>
        <w:t>米。</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（二）</w:t>
      </w:r>
      <w:r>
        <w:rPr>
          <w:rFonts w:eastAsia="宋体" w:cs="Times New Roman" w:asciiTheme="minorEastAsia" w:hAnsiTheme="minorEastAsia"/>
          <w:b/>
          <w:kern w:val="0"/>
          <w:sz w:val="24"/>
          <w:szCs w:val="24"/>
        </w:rPr>
        <w:t>农村公路规划</w:t>
      </w:r>
    </w:p>
    <w:p>
      <w:pPr>
        <w:adjustRightInd w:val="0"/>
        <w:snapToGrid w:val="0"/>
        <w:spacing w:line="360" w:lineRule="auto"/>
        <w:ind w:firstLine="480" w:firstLineChars="200"/>
        <w:rPr>
          <w:rFonts w:cs="Times New Roman" w:asciiTheme="minorEastAsia" w:hAnsiTheme="minorEastAsia"/>
          <w:kern w:val="0"/>
          <w:sz w:val="24"/>
          <w:szCs w:val="24"/>
        </w:rPr>
      </w:pPr>
      <w:r>
        <w:rPr>
          <w:rFonts w:hint="eastAsia" w:eastAsia="宋体" w:cs="Times New Roman" w:asciiTheme="minorEastAsia" w:hAnsiTheme="minorEastAsia"/>
          <w:kern w:val="0"/>
          <w:sz w:val="24"/>
          <w:szCs w:val="24"/>
        </w:rPr>
        <w:t>提升中心镇村通达性，大力实施村道路升级改造，打通断头路、扩容瓶颈路、硬化村组道工程，</w:t>
      </w:r>
      <w:r>
        <w:rPr>
          <w:rFonts w:eastAsia="宋体" w:cs="Times New Roman" w:asciiTheme="minorEastAsia" w:hAnsiTheme="minorEastAsia"/>
          <w:kern w:val="0"/>
          <w:sz w:val="24"/>
          <w:szCs w:val="24"/>
        </w:rPr>
        <w:t xml:space="preserve">现有主要道路增设错车道，局部宽度不小于5.5 </w:t>
      </w:r>
      <w:r>
        <w:rPr>
          <w:rFonts w:hint="eastAsia" w:eastAsia="宋体" w:cs="Times New Roman" w:asciiTheme="minorEastAsia" w:hAnsiTheme="minorEastAsia"/>
          <w:kern w:val="0"/>
          <w:sz w:val="24"/>
          <w:szCs w:val="24"/>
        </w:rPr>
        <w:t>米，村组道路建议宽度为3.5-4.5米，入户道路建议宽度为2-2.5米，</w:t>
      </w:r>
      <w:r>
        <w:rPr>
          <w:rFonts w:eastAsia="宋体" w:cs="Times New Roman" w:asciiTheme="minorEastAsia" w:hAnsiTheme="minorEastAsia"/>
          <w:kern w:val="0"/>
          <w:sz w:val="24"/>
          <w:szCs w:val="24"/>
        </w:rPr>
        <w:t xml:space="preserve">完善田间山头机耕道，宽度控制为2-3 </w:t>
      </w:r>
      <w:r>
        <w:rPr>
          <w:rFonts w:hint="eastAsia" w:eastAsia="宋体" w:cs="Times New Roman" w:asciiTheme="minorEastAsia" w:hAnsiTheme="minorEastAsia"/>
          <w:kern w:val="0"/>
          <w:sz w:val="24"/>
          <w:szCs w:val="24"/>
        </w:rPr>
        <w:t>米。对象山镇马蹄垭村至永南坝村、冯家楼村至观桃村、青龙滩村至犁浅垭村等村道路进行扩容升级，对河边镇前进村、四方村等产业道路进行扩容升级，新建玉峰镇河里坊村、双古磨村、浅垭子村等村的产业道路，对水阁村、葡萄店、斗笠村、指石河村等村道路进行扩容升级。</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（三）交通设施规划</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实施乡村运输金通工程，规划形成县、镇、村三级农村物流网络节点体系，在乡镇设置综合服务运输站，具备农村客运、快递收寄、电商交易、信息查询等功能；在各村村委会设置村级农村物流服务站，配备固定场所和相应设施设备，实现物流节点全联通。</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推动城乡客运公交一体化发展，镇区汽车客运站兼容公交站功能，推动镇区与片区内各中心村之间的农村客运线路公交化改造。</w:t>
      </w:r>
      <w:r>
        <w:rPr>
          <w:rFonts w:eastAsia="宋体" w:cs="Times New Roman" w:asciiTheme="minorEastAsia" w:hAnsiTheme="minorEastAsia"/>
          <w:kern w:val="0"/>
          <w:sz w:val="24"/>
          <w:szCs w:val="24"/>
        </w:rPr>
        <w:t>规划</w:t>
      </w:r>
      <w:r>
        <w:rPr>
          <w:rFonts w:hint="eastAsia" w:eastAsia="宋体" w:cs="Times New Roman" w:asciiTheme="minorEastAsia" w:hAnsiTheme="minorEastAsia"/>
          <w:kern w:val="0"/>
          <w:sz w:val="24"/>
          <w:szCs w:val="24"/>
        </w:rPr>
        <w:t>改建</w:t>
      </w:r>
      <w:r>
        <w:rPr>
          <w:rFonts w:eastAsia="宋体" w:cs="Times New Roman" w:asciiTheme="minorEastAsia" w:hAnsiTheme="minorEastAsia"/>
          <w:kern w:val="0"/>
          <w:sz w:val="24"/>
          <w:szCs w:val="24"/>
        </w:rPr>
        <w:t>河边镇汽车客运站，等级为三级客运站</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占地面积</w:t>
      </w:r>
      <w:r>
        <w:rPr>
          <w:rFonts w:hint="eastAsia" w:eastAsia="宋体" w:cs="Times New Roman" w:asciiTheme="minorEastAsia" w:hAnsiTheme="minorEastAsia"/>
          <w:kern w:val="0"/>
          <w:sz w:val="24"/>
          <w:szCs w:val="24"/>
        </w:rPr>
        <w:t>0.46公顷</w:t>
      </w:r>
      <w:r>
        <w:rPr>
          <w:rFonts w:eastAsia="宋体" w:cs="Times New Roman" w:asciiTheme="minorEastAsia" w:hAnsiTheme="minorEastAsia"/>
          <w:kern w:val="0"/>
          <w:sz w:val="24"/>
          <w:szCs w:val="24"/>
        </w:rPr>
        <w:t>；规划新建象山客运站</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占地面积为</w:t>
      </w:r>
      <w:r>
        <w:rPr>
          <w:rFonts w:hint="eastAsia" w:eastAsia="宋体" w:cs="Times New Roman" w:asciiTheme="minorEastAsia" w:hAnsiTheme="minorEastAsia"/>
          <w:kern w:val="0"/>
          <w:sz w:val="24"/>
          <w:szCs w:val="24"/>
        </w:rPr>
        <w:t>0.23公顷，规划保留玉峰南方客运站，取消玉峰中学东侧现状客运站。</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在</w:t>
      </w:r>
      <w:r>
        <w:rPr>
          <w:rFonts w:eastAsia="宋体" w:cs="Times New Roman" w:asciiTheme="minorEastAsia" w:hAnsiTheme="minorEastAsia"/>
          <w:kern w:val="0"/>
          <w:sz w:val="24"/>
          <w:szCs w:val="24"/>
        </w:rPr>
        <w:t>各行政村</w:t>
      </w:r>
      <w:r>
        <w:rPr>
          <w:rFonts w:hint="eastAsia" w:eastAsia="宋体" w:cs="Times New Roman" w:asciiTheme="minorEastAsia" w:hAnsiTheme="minorEastAsia"/>
          <w:kern w:val="0"/>
          <w:sz w:val="24"/>
          <w:szCs w:val="24"/>
        </w:rPr>
        <w:t>便民</w:t>
      </w:r>
      <w:r>
        <w:rPr>
          <w:rFonts w:eastAsia="宋体" w:cs="Times New Roman" w:asciiTheme="minorEastAsia" w:hAnsiTheme="minorEastAsia"/>
          <w:kern w:val="0"/>
          <w:sz w:val="24"/>
          <w:szCs w:val="24"/>
        </w:rPr>
        <w:t>服务中心、主要居民点或产业点布置客运招呼站，合并村或出行较困难的村根据实际需求或服务半径增加招呼站配置，共设置招呼站58处。</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（四）重要交通廊道管控</w:t>
      </w:r>
    </w:p>
    <w:p>
      <w:pPr>
        <w:adjustRightInd w:val="0"/>
        <w:snapToGrid w:val="0"/>
        <w:spacing w:line="360" w:lineRule="auto"/>
        <w:ind w:firstLine="482" w:firstLineChars="200"/>
        <w:rPr>
          <w:rFonts w:eastAsia="宋体" w:cs="Times New Roman" w:asciiTheme="minorEastAsia" w:hAnsiTheme="minorEastAsia"/>
          <w:b/>
          <w:kern w:val="0"/>
          <w:sz w:val="24"/>
          <w:szCs w:val="24"/>
          <w:u w:val="single"/>
        </w:rPr>
      </w:pPr>
      <w:r>
        <w:rPr>
          <w:rFonts w:hint="eastAsia" w:eastAsia="宋体" w:cs="Times New Roman" w:asciiTheme="minorEastAsia" w:hAnsiTheme="minorEastAsia"/>
          <w:b/>
          <w:kern w:val="0"/>
          <w:sz w:val="24"/>
          <w:szCs w:val="24"/>
          <w:u w:val="single"/>
        </w:rPr>
        <w:t>落实上位规划要求，依据《铁路安全管理条例》划定达成铁路、达成高速铁路安全保护区并对保护区内的活动依法进行严格管控。依据《公路安全保护条例》划定公路建筑控制区并对控制区的建设活动进行严格管控。</w:t>
      </w:r>
    </w:p>
    <w:p>
      <w:pPr>
        <w:adjustRightInd w:val="0"/>
        <w:snapToGrid w:val="0"/>
        <w:spacing w:beforeLines="50" w:line="360" w:lineRule="auto"/>
        <w:ind w:firstLine="482" w:firstLineChars="200"/>
        <w:rPr>
          <w:rFonts w:ascii="黑体" w:hAnsi="黑体" w:eastAsia="黑体" w:cs="Times New Roman"/>
          <w:b/>
          <w:kern w:val="0"/>
          <w:sz w:val="24"/>
          <w:szCs w:val="24"/>
        </w:rPr>
      </w:pPr>
      <w:r>
        <w:rPr>
          <w:rFonts w:ascii="黑体" w:hAnsi="黑体" w:eastAsia="黑体" w:cs="Times New Roman"/>
          <w:b/>
          <w:kern w:val="0"/>
          <w:sz w:val="24"/>
          <w:szCs w:val="24"/>
        </w:rPr>
        <w:t>三</w:t>
      </w:r>
      <w:r>
        <w:rPr>
          <w:rFonts w:hint="eastAsia" w:ascii="黑体" w:hAnsi="黑体" w:eastAsia="黑体" w:cs="Times New Roman"/>
          <w:b/>
          <w:kern w:val="0"/>
          <w:sz w:val="24"/>
          <w:szCs w:val="24"/>
        </w:rPr>
        <w:t>、市政</w:t>
      </w:r>
      <w:r>
        <w:rPr>
          <w:rFonts w:ascii="黑体" w:hAnsi="黑体" w:eastAsia="黑体" w:cs="Times New Roman"/>
          <w:b/>
          <w:kern w:val="0"/>
          <w:sz w:val="24"/>
          <w:szCs w:val="24"/>
        </w:rPr>
        <w:t>设施规划</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衔接片区市政设施等专项规划，</w:t>
      </w:r>
      <w:r>
        <w:rPr>
          <w:rFonts w:hint="eastAsia" w:eastAsia="宋体" w:cs="Times New Roman" w:asciiTheme="minorEastAsia" w:hAnsiTheme="minorEastAsia"/>
          <w:kern w:val="0"/>
          <w:sz w:val="24"/>
          <w:szCs w:val="24"/>
        </w:rPr>
        <w:t>按照优化资源配置、提升发展质量、增强服务能力、提高治理效能为重点，实施“两不一增”（不过度建设市政设施、不降低维护管理水平、增强村镇建设管理能力）专项行动，结合农村生产生活方式，补齐供水、污水、燃气、垃圾短板，完善基础设施体系，实现城乡基础设施服务均等化。</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（一）</w:t>
      </w:r>
      <w:r>
        <w:rPr>
          <w:rFonts w:eastAsia="宋体" w:cs="Times New Roman" w:asciiTheme="minorEastAsia" w:hAnsiTheme="minorEastAsia"/>
          <w:b/>
          <w:kern w:val="0"/>
          <w:sz w:val="24"/>
          <w:szCs w:val="24"/>
        </w:rPr>
        <w:t xml:space="preserve">给水工程 </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1、现状情况</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片区</w:t>
      </w:r>
      <w:r>
        <w:rPr>
          <w:rFonts w:eastAsia="宋体" w:cs="Times New Roman" w:asciiTheme="minorEastAsia" w:hAnsiTheme="minorEastAsia"/>
          <w:kern w:val="0"/>
          <w:sz w:val="24"/>
          <w:szCs w:val="24"/>
        </w:rPr>
        <w:t>内现有</w:t>
      </w:r>
      <w:r>
        <w:rPr>
          <w:rFonts w:hint="eastAsia" w:eastAsia="宋体" w:cs="Times New Roman" w:asciiTheme="minorEastAsia" w:hAnsiTheme="minorEastAsia"/>
          <w:kern w:val="0"/>
          <w:sz w:val="24"/>
          <w:szCs w:val="24"/>
        </w:rPr>
        <w:t>5</w:t>
      </w:r>
      <w:r>
        <w:rPr>
          <w:rFonts w:eastAsia="宋体" w:cs="Times New Roman" w:asciiTheme="minorEastAsia" w:hAnsiTheme="minorEastAsia"/>
          <w:kern w:val="0"/>
          <w:sz w:val="24"/>
          <w:szCs w:val="24"/>
        </w:rPr>
        <w:t>座供水站，分别为桥头供水站、玉印供水站、智水供水站、</w:t>
      </w:r>
      <w:r>
        <w:rPr>
          <w:rFonts w:hint="eastAsia" w:eastAsia="宋体" w:cs="Times New Roman" w:asciiTheme="minorEastAsia" w:hAnsiTheme="minorEastAsia"/>
          <w:kern w:val="0"/>
          <w:sz w:val="24"/>
          <w:szCs w:val="24"/>
        </w:rPr>
        <w:t>余</w:t>
      </w:r>
      <w:r>
        <w:rPr>
          <w:rFonts w:eastAsia="宋体" w:cs="Times New Roman" w:asciiTheme="minorEastAsia" w:hAnsiTheme="minorEastAsia"/>
          <w:kern w:val="0"/>
          <w:sz w:val="24"/>
          <w:szCs w:val="24"/>
        </w:rPr>
        <w:t>家寨供水站和星花供水站</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各供水站对用户使用、维修管护和宣传力度不够，管道破裂、跑、漏、滴和维修不及时，水量漏失损耗较多的现象普遍存在</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给水管管径DN200-DN500。</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2、</w:t>
      </w:r>
      <w:r>
        <w:rPr>
          <w:rFonts w:eastAsia="宋体" w:cs="Times New Roman" w:asciiTheme="minorEastAsia" w:hAnsiTheme="minorEastAsia"/>
          <w:kern w:val="0"/>
          <w:sz w:val="24"/>
          <w:szCs w:val="24"/>
        </w:rPr>
        <w:t>用水普及率目标</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实现2035年覆盖率</w:t>
      </w:r>
      <w:r>
        <w:rPr>
          <w:rFonts w:hint="eastAsia" w:eastAsia="宋体" w:cs="Times New Roman" w:asciiTheme="minorEastAsia" w:hAnsiTheme="minorEastAsia"/>
          <w:kern w:val="0"/>
          <w:sz w:val="24"/>
          <w:szCs w:val="24"/>
        </w:rPr>
        <w:t>95</w:t>
      </w:r>
      <w:r>
        <w:rPr>
          <w:rFonts w:eastAsia="宋体" w:cs="Times New Roman" w:asciiTheme="minorEastAsia" w:hAnsiTheme="minorEastAsia"/>
          <w:kern w:val="0"/>
          <w:sz w:val="24"/>
          <w:szCs w:val="24"/>
        </w:rPr>
        <w:t>%</w:t>
      </w:r>
      <w:r>
        <w:rPr>
          <w:rFonts w:hint="eastAsia" w:eastAsia="宋体" w:cs="Times New Roman" w:asciiTheme="minorEastAsia" w:hAnsiTheme="minorEastAsia"/>
          <w:kern w:val="0"/>
          <w:sz w:val="24"/>
          <w:szCs w:val="24"/>
        </w:rPr>
        <w:t>。</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3、用水量规划</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规划期末规划区内居民为</w:t>
      </w:r>
      <w:r>
        <w:rPr>
          <w:rFonts w:hint="eastAsia" w:eastAsia="宋体" w:cs="Times New Roman" w:asciiTheme="minorEastAsia" w:hAnsiTheme="minorEastAsia"/>
          <w:kern w:val="0"/>
          <w:sz w:val="24"/>
          <w:szCs w:val="24"/>
        </w:rPr>
        <w:t>10.74万人，旅游人口</w:t>
      </w:r>
      <w:r>
        <w:rPr>
          <w:rFonts w:eastAsia="宋体" w:cs="Times New Roman" w:asciiTheme="minorEastAsia" w:hAnsiTheme="minorEastAsia"/>
          <w:kern w:val="0"/>
          <w:sz w:val="24"/>
          <w:szCs w:val="24"/>
        </w:rPr>
        <w:t>3.5万人，居民生活用水量标准取0.20吨/（人·日），</w:t>
      </w:r>
      <w:r>
        <w:rPr>
          <w:rFonts w:hint="eastAsia" w:eastAsia="宋体" w:cs="Times New Roman" w:asciiTheme="minorEastAsia" w:hAnsiTheme="minorEastAsia"/>
          <w:kern w:val="0"/>
          <w:sz w:val="24"/>
          <w:szCs w:val="24"/>
        </w:rPr>
        <w:t>片区</w:t>
      </w:r>
      <w:r>
        <w:rPr>
          <w:rFonts w:eastAsia="宋体" w:cs="Times New Roman" w:asciiTheme="minorEastAsia" w:hAnsiTheme="minorEastAsia"/>
          <w:kern w:val="0"/>
          <w:sz w:val="24"/>
          <w:szCs w:val="24"/>
        </w:rPr>
        <w:t>日用水量为</w:t>
      </w:r>
      <w:r>
        <w:rPr>
          <w:rFonts w:hint="eastAsia" w:eastAsia="宋体" w:cs="Times New Roman" w:asciiTheme="minorEastAsia" w:hAnsiTheme="minorEastAsia"/>
          <w:kern w:val="0"/>
          <w:sz w:val="24"/>
          <w:szCs w:val="24"/>
        </w:rPr>
        <w:t>2.85万</w:t>
      </w:r>
      <w:r>
        <w:rPr>
          <w:rFonts w:eastAsia="宋体" w:cs="Times New Roman" w:asciiTheme="minorEastAsia" w:hAnsiTheme="minorEastAsia"/>
          <w:kern w:val="0"/>
          <w:sz w:val="24"/>
          <w:szCs w:val="24"/>
        </w:rPr>
        <w:t>吨/</w:t>
      </w:r>
      <w:r>
        <w:rPr>
          <w:rFonts w:hint="eastAsia" w:eastAsia="宋体" w:cs="Times New Roman" w:asciiTheme="minorEastAsia" w:hAnsiTheme="minorEastAsia"/>
          <w:kern w:val="0"/>
          <w:sz w:val="24"/>
          <w:szCs w:val="24"/>
        </w:rPr>
        <w:t>日。</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4、水源规划</w:t>
      </w:r>
    </w:p>
    <w:p>
      <w:pPr>
        <w:adjustRightInd w:val="0"/>
        <w:snapToGrid w:val="0"/>
        <w:spacing w:line="360" w:lineRule="auto"/>
        <w:ind w:firstLine="482" w:firstLineChars="200"/>
        <w:rPr>
          <w:rFonts w:cs="Times New Roman" w:asciiTheme="minorEastAsia" w:hAnsiTheme="minorEastAsia"/>
          <w:kern w:val="0"/>
          <w:sz w:val="24"/>
          <w:szCs w:val="24"/>
        </w:rPr>
      </w:pPr>
      <w:r>
        <w:rPr>
          <w:rFonts w:eastAsia="宋体" w:cs="Times New Roman" w:asciiTheme="minorEastAsia" w:hAnsiTheme="minorEastAsia"/>
          <w:b/>
          <w:kern w:val="0"/>
          <w:sz w:val="24"/>
          <w:szCs w:val="24"/>
          <w:u w:val="single"/>
        </w:rPr>
        <w:t>片区现状水源主要为星花水库和寸塘口水库，象山和玉峰水源主要为寸塘口水库，象山镇通过四五右支渠在寸塘口水库取水，玉峰镇通过四五左支渠取水，河边镇主要靠星花干渠自星花水库</w:t>
      </w:r>
      <w:r>
        <w:rPr>
          <w:rFonts w:hint="eastAsia" w:eastAsia="宋体" w:cs="Times New Roman" w:asciiTheme="minorEastAsia" w:hAnsiTheme="minorEastAsia"/>
          <w:b/>
          <w:kern w:val="0"/>
          <w:sz w:val="24"/>
          <w:szCs w:val="24"/>
          <w:u w:val="single"/>
        </w:rPr>
        <w:t>取</w:t>
      </w:r>
      <w:r>
        <w:rPr>
          <w:rFonts w:eastAsia="宋体" w:cs="Times New Roman" w:asciiTheme="minorEastAsia" w:hAnsiTheme="minorEastAsia"/>
          <w:b/>
          <w:kern w:val="0"/>
          <w:sz w:val="24"/>
          <w:szCs w:val="24"/>
          <w:u w:val="single"/>
        </w:rPr>
        <w:t>水。</w:t>
      </w:r>
      <w:r>
        <w:rPr>
          <w:rFonts w:hint="eastAsia" w:eastAsia="宋体" w:cs="Times New Roman" w:asciiTheme="minorEastAsia" w:hAnsiTheme="minorEastAsia"/>
          <w:b/>
          <w:kern w:val="0"/>
          <w:sz w:val="24"/>
          <w:szCs w:val="24"/>
          <w:u w:val="single"/>
        </w:rPr>
        <w:t>星花集中供水站</w:t>
      </w:r>
      <w:r>
        <w:rPr>
          <w:rFonts w:eastAsia="宋体" w:cs="Times New Roman" w:asciiTheme="minorEastAsia" w:hAnsiTheme="minorEastAsia"/>
          <w:b/>
          <w:kern w:val="0"/>
          <w:sz w:val="24"/>
          <w:szCs w:val="24"/>
          <w:u w:val="single"/>
        </w:rPr>
        <w:t>6000</w:t>
      </w:r>
      <w:r>
        <w:rPr>
          <w:rFonts w:hint="eastAsia" w:eastAsia="宋体" w:cs="Times New Roman" w:asciiTheme="minorEastAsia" w:hAnsiTheme="minorEastAsia"/>
          <w:b/>
          <w:kern w:val="0"/>
          <w:sz w:val="24"/>
          <w:szCs w:val="24"/>
          <w:u w:val="single"/>
        </w:rPr>
        <w:t>吨</w:t>
      </w:r>
      <w:r>
        <w:rPr>
          <w:rFonts w:eastAsia="宋体" w:cs="Times New Roman" w:asciiTheme="minorEastAsia" w:hAnsiTheme="minorEastAsia"/>
          <w:b/>
          <w:kern w:val="0"/>
          <w:sz w:val="24"/>
          <w:szCs w:val="24"/>
          <w:u w:val="single"/>
        </w:rPr>
        <w:t>/</w:t>
      </w:r>
      <w:r>
        <w:rPr>
          <w:rFonts w:hint="eastAsia" w:eastAsia="宋体" w:cs="Times New Roman" w:asciiTheme="minorEastAsia" w:hAnsiTheme="minorEastAsia"/>
          <w:b/>
          <w:kern w:val="0"/>
          <w:sz w:val="24"/>
          <w:szCs w:val="24"/>
          <w:u w:val="single"/>
        </w:rPr>
        <w:t>天，寸塘口供水站</w:t>
      </w:r>
      <w:r>
        <w:rPr>
          <w:rFonts w:eastAsia="宋体" w:cs="Times New Roman" w:asciiTheme="minorEastAsia" w:hAnsiTheme="minorEastAsia"/>
          <w:b/>
          <w:kern w:val="0"/>
          <w:sz w:val="24"/>
          <w:szCs w:val="24"/>
          <w:u w:val="single"/>
        </w:rPr>
        <w:t>4000</w:t>
      </w:r>
      <w:r>
        <w:rPr>
          <w:rFonts w:hint="eastAsia" w:eastAsia="宋体" w:cs="Times New Roman" w:asciiTheme="minorEastAsia" w:hAnsiTheme="minorEastAsia"/>
          <w:b/>
          <w:kern w:val="0"/>
          <w:sz w:val="24"/>
          <w:szCs w:val="24"/>
          <w:u w:val="single"/>
        </w:rPr>
        <w:t>吨</w:t>
      </w:r>
      <w:r>
        <w:rPr>
          <w:rFonts w:eastAsia="宋体" w:cs="Times New Roman" w:asciiTheme="minorEastAsia" w:hAnsiTheme="minorEastAsia"/>
          <w:b/>
          <w:kern w:val="0"/>
          <w:sz w:val="24"/>
          <w:szCs w:val="24"/>
          <w:u w:val="single"/>
        </w:rPr>
        <w:t>/</w:t>
      </w:r>
      <w:r>
        <w:rPr>
          <w:rFonts w:hint="eastAsia" w:eastAsia="宋体" w:cs="Times New Roman" w:asciiTheme="minorEastAsia" w:hAnsiTheme="minorEastAsia"/>
          <w:b/>
          <w:kern w:val="0"/>
          <w:sz w:val="24"/>
          <w:szCs w:val="24"/>
          <w:u w:val="single"/>
        </w:rPr>
        <w:t>天。</w:t>
      </w:r>
      <w:r>
        <w:rPr>
          <w:rFonts w:eastAsia="宋体" w:cs="Times New Roman" w:asciiTheme="minorEastAsia" w:hAnsiTheme="minorEastAsia"/>
          <w:b/>
          <w:kern w:val="0"/>
          <w:sz w:val="24"/>
          <w:szCs w:val="24"/>
          <w:u w:val="single"/>
        </w:rPr>
        <w:t>规划扩建寸塘口供水站1.4</w:t>
      </w:r>
      <w:r>
        <w:rPr>
          <w:rFonts w:hint="eastAsia" w:eastAsia="宋体" w:cs="Times New Roman" w:asciiTheme="minorEastAsia" w:hAnsiTheme="minorEastAsia"/>
          <w:b/>
          <w:kern w:val="0"/>
          <w:sz w:val="24"/>
          <w:szCs w:val="24"/>
          <w:u w:val="single"/>
        </w:rPr>
        <w:t>万吨</w:t>
      </w:r>
      <w:r>
        <w:rPr>
          <w:rFonts w:eastAsia="宋体" w:cs="Times New Roman" w:asciiTheme="minorEastAsia" w:hAnsiTheme="minorEastAsia"/>
          <w:b/>
          <w:kern w:val="0"/>
          <w:sz w:val="24"/>
          <w:szCs w:val="24"/>
          <w:u w:val="single"/>
        </w:rPr>
        <w:t>/</w:t>
      </w:r>
      <w:r>
        <w:rPr>
          <w:rFonts w:hint="eastAsia" w:eastAsia="宋体" w:cs="Times New Roman" w:asciiTheme="minorEastAsia" w:hAnsiTheme="minorEastAsia"/>
          <w:b/>
          <w:kern w:val="0"/>
          <w:sz w:val="24"/>
          <w:szCs w:val="24"/>
          <w:u w:val="single"/>
        </w:rPr>
        <w:t>天，星花供水站</w:t>
      </w:r>
      <w:r>
        <w:rPr>
          <w:rFonts w:eastAsia="宋体" w:cs="Times New Roman" w:asciiTheme="minorEastAsia" w:hAnsiTheme="minorEastAsia"/>
          <w:b/>
          <w:kern w:val="0"/>
          <w:sz w:val="24"/>
          <w:szCs w:val="24"/>
          <w:u w:val="single"/>
        </w:rPr>
        <w:t>1.6</w:t>
      </w:r>
      <w:r>
        <w:rPr>
          <w:rFonts w:hint="eastAsia" w:eastAsia="宋体" w:cs="Times New Roman" w:asciiTheme="minorEastAsia" w:hAnsiTheme="minorEastAsia"/>
          <w:b/>
          <w:kern w:val="0"/>
          <w:sz w:val="24"/>
          <w:szCs w:val="24"/>
          <w:u w:val="single"/>
        </w:rPr>
        <w:t>万吨</w:t>
      </w:r>
      <w:r>
        <w:rPr>
          <w:rFonts w:eastAsia="宋体" w:cs="Times New Roman" w:asciiTheme="minorEastAsia" w:hAnsiTheme="minorEastAsia"/>
          <w:b/>
          <w:kern w:val="0"/>
          <w:sz w:val="24"/>
          <w:szCs w:val="24"/>
          <w:u w:val="single"/>
        </w:rPr>
        <w:t>/天，满足区域供水需求，同时规划</w:t>
      </w:r>
      <w:r>
        <w:rPr>
          <w:rFonts w:hint="eastAsia" w:eastAsia="宋体" w:cs="Times New Roman" w:asciiTheme="minorEastAsia" w:hAnsiTheme="minorEastAsia"/>
          <w:b/>
          <w:kern w:val="0"/>
          <w:sz w:val="24"/>
          <w:szCs w:val="24"/>
          <w:u w:val="single"/>
        </w:rPr>
        <w:t>扩建</w:t>
      </w:r>
      <w:r>
        <w:rPr>
          <w:rFonts w:eastAsia="宋体" w:cs="Times New Roman" w:asciiTheme="minorEastAsia" w:hAnsiTheme="minorEastAsia"/>
          <w:b/>
          <w:kern w:val="0"/>
          <w:sz w:val="24"/>
          <w:szCs w:val="24"/>
          <w:u w:val="single"/>
        </w:rPr>
        <w:t>象山桥头供水站</w:t>
      </w:r>
      <w:r>
        <w:rPr>
          <w:rFonts w:hint="eastAsia" w:eastAsia="宋体" w:cs="Times New Roman" w:asciiTheme="minorEastAsia" w:hAnsiTheme="minorEastAsia"/>
          <w:b/>
          <w:kern w:val="0"/>
          <w:sz w:val="24"/>
          <w:szCs w:val="24"/>
          <w:u w:val="single"/>
        </w:rPr>
        <w:t>360吨/天，玉峰镇玉印供水站480吨/天、智水供水站360吨/天，河边镇于家寨供水站600吨/天</w:t>
      </w:r>
      <w:r>
        <w:rPr>
          <w:rFonts w:eastAsia="宋体" w:cs="Times New Roman" w:asciiTheme="minorEastAsia" w:hAnsiTheme="minorEastAsia"/>
          <w:b/>
          <w:kern w:val="0"/>
          <w:sz w:val="24"/>
          <w:szCs w:val="24"/>
          <w:u w:val="single"/>
        </w:rPr>
        <w:t>。</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（二）排水工程</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1、现状情况</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主要以雨污分流的排水模式，但仍有部分乡镇是雨污合流的排水模式</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雨水排水主要是以排水沟的形式呈现，但也有部分地区是使用的排水管。片区现状有3个城镇污水处理厂</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片区农村污水处理设施</w:t>
      </w:r>
      <w:r>
        <w:rPr>
          <w:rFonts w:hint="eastAsia" w:eastAsia="宋体" w:cs="Times New Roman" w:asciiTheme="minorEastAsia" w:hAnsiTheme="minorEastAsia"/>
          <w:kern w:val="0"/>
          <w:sz w:val="24"/>
          <w:szCs w:val="24"/>
          <w:lang w:eastAsia="zh-CN"/>
        </w:rPr>
        <w:t>已建成</w:t>
      </w:r>
      <w:r>
        <w:rPr>
          <w:rFonts w:hint="eastAsia" w:eastAsia="宋体" w:cs="Times New Roman" w:asciiTheme="minorEastAsia" w:hAnsiTheme="minorEastAsia"/>
          <w:kern w:val="0"/>
          <w:sz w:val="24"/>
          <w:szCs w:val="24"/>
          <w:lang w:val="en-US" w:eastAsia="zh-CN"/>
        </w:rPr>
        <w:t>成</w:t>
      </w:r>
      <w:r>
        <w:rPr>
          <w:rFonts w:eastAsia="宋体" w:cs="Times New Roman" w:asciiTheme="minorEastAsia" w:hAnsiTheme="minorEastAsia"/>
          <w:kern w:val="0"/>
          <w:sz w:val="24"/>
          <w:szCs w:val="24"/>
        </w:rPr>
        <w:t>14个，其中10个为“三格式化粪池+人工湿地”工艺的简易污水处理设施。其中玉峰镇农村污水处理设施</w:t>
      </w:r>
      <w:r>
        <w:rPr>
          <w:rFonts w:hint="eastAsia" w:eastAsia="宋体" w:cs="Times New Roman" w:asciiTheme="minorEastAsia" w:hAnsiTheme="minorEastAsia"/>
          <w:kern w:val="0"/>
          <w:sz w:val="24"/>
          <w:szCs w:val="24"/>
          <w:lang w:eastAsia="zh-CN"/>
        </w:rPr>
        <w:t>已建成</w:t>
      </w:r>
      <w:r>
        <w:rPr>
          <w:rFonts w:eastAsia="宋体" w:cs="Times New Roman" w:asciiTheme="minorEastAsia" w:hAnsiTheme="minorEastAsia"/>
          <w:kern w:val="0"/>
          <w:sz w:val="24"/>
          <w:szCs w:val="24"/>
        </w:rPr>
        <w:t>8个，其中5个为“三格式化粪池+人工湿地”工艺的简易污水处理设施；河边镇农村污水处理设施</w:t>
      </w:r>
      <w:r>
        <w:rPr>
          <w:rFonts w:hint="eastAsia" w:eastAsia="宋体" w:cs="Times New Roman" w:asciiTheme="minorEastAsia" w:hAnsiTheme="minorEastAsia"/>
          <w:kern w:val="0"/>
          <w:sz w:val="24"/>
          <w:szCs w:val="24"/>
          <w:lang w:eastAsia="zh-CN"/>
        </w:rPr>
        <w:t>已建成</w:t>
      </w:r>
      <w:r>
        <w:rPr>
          <w:rFonts w:eastAsia="宋体" w:cs="Times New Roman" w:asciiTheme="minorEastAsia" w:hAnsiTheme="minorEastAsia"/>
          <w:kern w:val="0"/>
          <w:sz w:val="24"/>
          <w:szCs w:val="24"/>
        </w:rPr>
        <w:t>3个，其中两个为“三格式化粪池+人工湿地”工艺的简易污水处理设施。象山镇农村污水处理设施</w:t>
      </w:r>
      <w:r>
        <w:rPr>
          <w:rFonts w:hint="eastAsia" w:eastAsia="宋体" w:cs="Times New Roman" w:asciiTheme="minorEastAsia" w:hAnsiTheme="minorEastAsia"/>
          <w:kern w:val="0"/>
          <w:sz w:val="24"/>
          <w:szCs w:val="24"/>
          <w:lang w:eastAsia="zh-CN"/>
        </w:rPr>
        <w:t>已建成</w:t>
      </w:r>
      <w:r>
        <w:rPr>
          <w:rFonts w:eastAsia="宋体" w:cs="Times New Roman" w:asciiTheme="minorEastAsia" w:hAnsiTheme="minorEastAsia"/>
          <w:kern w:val="0"/>
          <w:sz w:val="24"/>
          <w:szCs w:val="24"/>
        </w:rPr>
        <w:t>3个，全部为“三格式化粪池+人工湿地”工艺的简易污水处理设施</w:t>
      </w:r>
      <w:r>
        <w:rPr>
          <w:rFonts w:hint="eastAsia" w:eastAsia="宋体" w:cs="Times New Roman" w:asciiTheme="minorEastAsia" w:hAnsiTheme="minorEastAsia"/>
          <w:kern w:val="0"/>
          <w:sz w:val="24"/>
          <w:szCs w:val="24"/>
        </w:rPr>
        <w:t>。</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2、规划</w:t>
      </w:r>
      <w:r>
        <w:rPr>
          <w:rFonts w:eastAsia="宋体" w:cs="Times New Roman" w:asciiTheme="minorEastAsia" w:hAnsiTheme="minorEastAsia"/>
          <w:kern w:val="0"/>
          <w:sz w:val="24"/>
          <w:szCs w:val="24"/>
        </w:rPr>
        <w:t>思路</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分类分区推进农村污水治理，推行“减量化、容量化、无害化、资源化”养殖污染防治模式，减少面源污染，提升城乡环境风貌。</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3、</w:t>
      </w:r>
      <w:r>
        <w:rPr>
          <w:rFonts w:eastAsia="宋体" w:cs="Times New Roman" w:asciiTheme="minorEastAsia" w:hAnsiTheme="minorEastAsia"/>
          <w:kern w:val="0"/>
          <w:sz w:val="24"/>
          <w:szCs w:val="24"/>
        </w:rPr>
        <w:t>污水处理率</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实现2035年</w:t>
      </w:r>
      <w:r>
        <w:rPr>
          <w:rFonts w:hint="eastAsia" w:eastAsia="宋体" w:cs="Times New Roman" w:asciiTheme="minorEastAsia" w:hAnsiTheme="minorEastAsia"/>
          <w:kern w:val="0"/>
          <w:sz w:val="24"/>
          <w:szCs w:val="24"/>
        </w:rPr>
        <w:t>污水</w:t>
      </w:r>
      <w:r>
        <w:rPr>
          <w:rFonts w:eastAsia="宋体" w:cs="Times New Roman" w:asciiTheme="minorEastAsia" w:hAnsiTheme="minorEastAsia"/>
          <w:kern w:val="0"/>
          <w:sz w:val="24"/>
          <w:szCs w:val="24"/>
        </w:rPr>
        <w:t>处理率</w:t>
      </w:r>
      <w:r>
        <w:rPr>
          <w:rFonts w:hint="eastAsia" w:eastAsia="宋体" w:cs="Times New Roman" w:asciiTheme="minorEastAsia" w:hAnsiTheme="minorEastAsia"/>
          <w:kern w:val="0"/>
          <w:sz w:val="24"/>
          <w:szCs w:val="24"/>
        </w:rPr>
        <w:t>80</w:t>
      </w:r>
      <w:r>
        <w:rPr>
          <w:rFonts w:eastAsia="宋体" w:cs="Times New Roman" w:asciiTheme="minorEastAsia" w:hAnsiTheme="minorEastAsia"/>
          <w:kern w:val="0"/>
          <w:sz w:val="24"/>
          <w:szCs w:val="24"/>
        </w:rPr>
        <w:t>%</w:t>
      </w:r>
      <w:r>
        <w:rPr>
          <w:rFonts w:hint="eastAsia" w:eastAsia="宋体" w:cs="Times New Roman" w:asciiTheme="minorEastAsia" w:hAnsiTheme="minorEastAsia"/>
          <w:kern w:val="0"/>
          <w:sz w:val="24"/>
          <w:szCs w:val="24"/>
        </w:rPr>
        <w:t>。</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4、污水量预测</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片区污水收集率80%，乡镇污水收集率</w:t>
      </w:r>
      <w:r>
        <w:rPr>
          <w:rFonts w:hint="eastAsia" w:eastAsia="宋体" w:cs="Times New Roman" w:asciiTheme="minorEastAsia" w:hAnsiTheme="minorEastAsia"/>
          <w:kern w:val="0"/>
          <w:sz w:val="24"/>
          <w:szCs w:val="24"/>
        </w:rPr>
        <w:t>70</w:t>
      </w:r>
      <w:r>
        <w:rPr>
          <w:rFonts w:eastAsia="宋体" w:cs="Times New Roman" w:asciiTheme="minorEastAsia" w:hAnsiTheme="minorEastAsia"/>
          <w:kern w:val="0"/>
          <w:sz w:val="24"/>
          <w:szCs w:val="24"/>
        </w:rPr>
        <w:t>%</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预测污水处理总规模</w:t>
      </w:r>
      <w:r>
        <w:rPr>
          <w:rFonts w:hint="eastAsia" w:eastAsia="宋体" w:cs="Times New Roman" w:asciiTheme="minorEastAsia" w:hAnsiTheme="minorEastAsia"/>
          <w:kern w:val="0"/>
          <w:sz w:val="24"/>
          <w:szCs w:val="24"/>
        </w:rPr>
        <w:t>2.28</w:t>
      </w:r>
      <w:r>
        <w:rPr>
          <w:rFonts w:eastAsia="宋体" w:cs="Times New Roman" w:asciiTheme="minorEastAsia" w:hAnsiTheme="minorEastAsia"/>
          <w:kern w:val="0"/>
          <w:sz w:val="24"/>
          <w:szCs w:val="24"/>
        </w:rPr>
        <w:t>万吨/天。</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5、</w:t>
      </w:r>
      <w:r>
        <w:rPr>
          <w:rFonts w:eastAsia="宋体" w:cs="Times New Roman" w:asciiTheme="minorEastAsia" w:hAnsiTheme="minorEastAsia"/>
          <w:kern w:val="0"/>
          <w:sz w:val="24"/>
          <w:szCs w:val="24"/>
        </w:rPr>
        <w:t>污水处理设施</w:t>
      </w:r>
    </w:p>
    <w:p>
      <w:pPr>
        <w:adjustRightInd w:val="0"/>
        <w:snapToGrid w:val="0"/>
        <w:spacing w:line="360" w:lineRule="auto"/>
        <w:ind w:firstLine="482"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b/>
          <w:kern w:val="0"/>
          <w:sz w:val="24"/>
          <w:szCs w:val="24"/>
          <w:u w:val="single"/>
        </w:rPr>
        <w:t>规划</w:t>
      </w:r>
      <w:r>
        <w:rPr>
          <w:rFonts w:eastAsia="宋体" w:cs="Times New Roman" w:asciiTheme="minorEastAsia" w:hAnsiTheme="minorEastAsia"/>
          <w:b/>
          <w:kern w:val="0"/>
          <w:sz w:val="24"/>
          <w:szCs w:val="24"/>
          <w:u w:val="single"/>
        </w:rPr>
        <w:t>象山镇污水厂处理能力为</w:t>
      </w:r>
      <w:r>
        <w:rPr>
          <w:rFonts w:hint="eastAsia" w:eastAsia="宋体" w:cs="Times New Roman" w:asciiTheme="minorEastAsia" w:hAnsiTheme="minorEastAsia"/>
          <w:b/>
          <w:kern w:val="0"/>
          <w:sz w:val="24"/>
          <w:szCs w:val="24"/>
          <w:u w:val="single"/>
        </w:rPr>
        <w:t>2000吨/天，玉峰镇污水处理厂处理能力为800吨/天，河边镇污水处理厂处理能力为2000吨/天，</w:t>
      </w:r>
      <w:r>
        <w:rPr>
          <w:rFonts w:eastAsia="宋体" w:cs="Times New Roman" w:asciiTheme="minorEastAsia" w:hAnsiTheme="minorEastAsia"/>
          <w:b/>
          <w:kern w:val="0"/>
          <w:sz w:val="24"/>
          <w:szCs w:val="24"/>
          <w:u w:val="single"/>
        </w:rPr>
        <w:t>同时对河边镇和</w:t>
      </w:r>
      <w:r>
        <w:rPr>
          <w:rFonts w:hint="eastAsia" w:eastAsia="宋体" w:cs="Times New Roman" w:asciiTheme="minorEastAsia" w:hAnsiTheme="minorEastAsia"/>
          <w:b/>
          <w:kern w:val="0"/>
          <w:sz w:val="24"/>
          <w:szCs w:val="24"/>
          <w:u w:val="single"/>
        </w:rPr>
        <w:t>玉峰镇污水处理厂进行提质增效。各镇区污水处理站处理后排放标准不低于《城镇污水处理厂污染物排放标准》（</w:t>
      </w:r>
      <w:r>
        <w:rPr>
          <w:rFonts w:eastAsia="宋体" w:cs="Times New Roman" w:asciiTheme="minorEastAsia" w:hAnsiTheme="minorEastAsia"/>
          <w:b/>
          <w:kern w:val="0"/>
          <w:sz w:val="24"/>
          <w:szCs w:val="24"/>
          <w:u w:val="single"/>
        </w:rPr>
        <w:t>GB18918-2002</w:t>
      </w:r>
      <w:r>
        <w:rPr>
          <w:rFonts w:hint="eastAsia" w:eastAsia="宋体" w:cs="Times New Roman" w:asciiTheme="minorEastAsia" w:hAnsiTheme="minorEastAsia"/>
          <w:b/>
          <w:kern w:val="0"/>
          <w:sz w:val="24"/>
          <w:szCs w:val="24"/>
          <w:u w:val="single"/>
        </w:rPr>
        <w:t>）中的一级</w:t>
      </w:r>
      <w:r>
        <w:rPr>
          <w:rFonts w:eastAsia="宋体" w:cs="Times New Roman" w:asciiTheme="minorEastAsia" w:hAnsiTheme="minorEastAsia"/>
          <w:b/>
          <w:kern w:val="0"/>
          <w:sz w:val="24"/>
          <w:szCs w:val="24"/>
          <w:u w:val="single"/>
        </w:rPr>
        <w:t xml:space="preserve">A </w:t>
      </w:r>
      <w:r>
        <w:rPr>
          <w:rFonts w:hint="eastAsia" w:eastAsia="宋体" w:cs="Times New Roman" w:asciiTheme="minorEastAsia" w:hAnsiTheme="minorEastAsia"/>
          <w:b/>
          <w:kern w:val="0"/>
          <w:sz w:val="24"/>
          <w:szCs w:val="24"/>
          <w:u w:val="single"/>
        </w:rPr>
        <w:t>标准。</w:t>
      </w:r>
      <w:r>
        <w:rPr>
          <w:rFonts w:hint="eastAsia" w:eastAsia="宋体" w:cs="Times New Roman" w:asciiTheme="minorEastAsia" w:hAnsiTheme="minorEastAsia"/>
          <w:kern w:val="0"/>
          <w:sz w:val="24"/>
          <w:szCs w:val="24"/>
        </w:rPr>
        <w:t>镇区周边农村居民点生活污水接入场镇管网统一处理。乡村居民点生活污水采取一体化污水处理设施和“三格式化粪池</w:t>
      </w:r>
      <w:r>
        <w:rPr>
          <w:rFonts w:eastAsia="宋体" w:cs="Times New Roman" w:asciiTheme="minorEastAsia" w:hAnsiTheme="minorEastAsia"/>
          <w:kern w:val="0"/>
          <w:sz w:val="24"/>
          <w:szCs w:val="24"/>
        </w:rPr>
        <w:t>+</w:t>
      </w:r>
      <w:r>
        <w:rPr>
          <w:rFonts w:hint="eastAsia" w:eastAsia="宋体" w:cs="Times New Roman" w:asciiTheme="minorEastAsia" w:hAnsiTheme="minorEastAsia"/>
          <w:kern w:val="0"/>
          <w:sz w:val="24"/>
          <w:szCs w:val="24"/>
        </w:rPr>
        <w:t>人工湿地”工艺的简易污水处理设施相结合的方式进行处理，</w:t>
      </w:r>
      <w:r>
        <w:rPr>
          <w:rFonts w:eastAsia="宋体" w:cs="Times New Roman" w:asciiTheme="minorEastAsia" w:hAnsiTheme="minorEastAsia"/>
          <w:kern w:val="0"/>
          <w:sz w:val="24"/>
          <w:szCs w:val="24"/>
        </w:rPr>
        <w:t xml:space="preserve">30 </w:t>
      </w:r>
      <w:r>
        <w:rPr>
          <w:rFonts w:hint="eastAsia" w:eastAsia="宋体" w:cs="Times New Roman" w:asciiTheme="minorEastAsia" w:hAnsiTheme="minorEastAsia"/>
          <w:kern w:val="0"/>
          <w:sz w:val="24"/>
          <w:szCs w:val="24"/>
        </w:rPr>
        <w:t>户以上居民点以一体化污水处理设施为主，</w:t>
      </w:r>
      <w:r>
        <w:rPr>
          <w:rFonts w:hint="eastAsia" w:eastAsia="宋体" w:cs="Times New Roman" w:asciiTheme="minorEastAsia" w:hAnsiTheme="minorEastAsia"/>
          <w:b/>
          <w:kern w:val="0"/>
          <w:sz w:val="24"/>
          <w:szCs w:val="24"/>
          <w:u w:val="single"/>
        </w:rPr>
        <w:t>处理标准按《四川省农村生活污水处理设施水污染物排放标准》（</w:t>
      </w:r>
      <w:r>
        <w:rPr>
          <w:rFonts w:eastAsia="宋体" w:cs="Times New Roman" w:asciiTheme="minorEastAsia" w:hAnsiTheme="minorEastAsia"/>
          <w:b/>
          <w:kern w:val="0"/>
          <w:sz w:val="24"/>
          <w:szCs w:val="24"/>
          <w:u w:val="single"/>
        </w:rPr>
        <w:t>DB51/2626</w:t>
      </w:r>
      <w:r>
        <w:rPr>
          <w:rFonts w:hint="eastAsia" w:eastAsia="宋体" w:cs="Times New Roman" w:asciiTheme="minorEastAsia" w:hAnsiTheme="minorEastAsia"/>
          <w:b/>
          <w:kern w:val="0"/>
          <w:sz w:val="24"/>
          <w:szCs w:val="24"/>
          <w:u w:val="single"/>
        </w:rPr>
        <w:t>—</w:t>
      </w:r>
      <w:r>
        <w:rPr>
          <w:rFonts w:eastAsia="宋体" w:cs="Times New Roman" w:asciiTheme="minorEastAsia" w:hAnsiTheme="minorEastAsia"/>
          <w:b/>
          <w:kern w:val="0"/>
          <w:sz w:val="24"/>
          <w:szCs w:val="24"/>
          <w:u w:val="single"/>
        </w:rPr>
        <w:t>2019</w:t>
      </w:r>
      <w:r>
        <w:rPr>
          <w:rFonts w:hint="eastAsia" w:eastAsia="宋体" w:cs="Times New Roman" w:asciiTheme="minorEastAsia" w:hAnsiTheme="minorEastAsia"/>
          <w:b/>
          <w:kern w:val="0"/>
          <w:sz w:val="24"/>
          <w:szCs w:val="24"/>
          <w:u w:val="single"/>
        </w:rPr>
        <w:t>）要求执行</w:t>
      </w:r>
      <w:r>
        <w:rPr>
          <w:rFonts w:hint="eastAsia" w:eastAsia="宋体" w:cs="Times New Roman" w:asciiTheme="minorEastAsia" w:hAnsiTheme="minorEastAsia"/>
          <w:kern w:val="0"/>
          <w:sz w:val="24"/>
          <w:szCs w:val="24"/>
        </w:rPr>
        <w:t>。至规划期末，片区污水有效处理率达到</w:t>
      </w:r>
      <w:r>
        <w:rPr>
          <w:rFonts w:eastAsia="宋体" w:cs="Times New Roman" w:asciiTheme="minorEastAsia" w:hAnsiTheme="minorEastAsia"/>
          <w:kern w:val="0"/>
          <w:sz w:val="24"/>
          <w:szCs w:val="24"/>
        </w:rPr>
        <w:t>100%</w:t>
      </w:r>
      <w:r>
        <w:rPr>
          <w:rFonts w:hint="eastAsia" w:eastAsia="宋体" w:cs="Times New Roman" w:asciiTheme="minorEastAsia" w:hAnsiTheme="minorEastAsia"/>
          <w:kern w:val="0"/>
          <w:sz w:val="24"/>
          <w:szCs w:val="24"/>
        </w:rPr>
        <w:t>。</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镇区雨水按照分散就近排放的原则，根据地形特点和雨水汇流方向，保证雨水管渠以最短路线就近排入河流，雨水管道沿规划道路敷设，雨水尽可能采用自流方式排放。农村雨水采取自然散排为主，居民点内部结合地形设置排水沟渠，主要交通干线及村庄主要道路旁设置排水边沟，雨水经汇流后，就近排放至农田或自然水域。</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（三）</w:t>
      </w:r>
      <w:r>
        <w:rPr>
          <w:rFonts w:eastAsia="宋体" w:cs="Times New Roman" w:asciiTheme="minorEastAsia" w:hAnsiTheme="minorEastAsia"/>
          <w:b/>
          <w:kern w:val="0"/>
          <w:sz w:val="24"/>
          <w:szCs w:val="24"/>
        </w:rPr>
        <w:t>电力工程</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1、现状情况</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片区共有3处公用变电站，电力线</w:t>
      </w:r>
      <w:r>
        <w:rPr>
          <w:rFonts w:eastAsia="宋体" w:cs="Times New Roman" w:asciiTheme="minorEastAsia" w:hAnsiTheme="minorEastAsia"/>
          <w:kern w:val="0"/>
          <w:sz w:val="24"/>
          <w:szCs w:val="24"/>
        </w:rPr>
        <w:t>采用了10kv中压线、35kv高压线</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管线均采用架空的方式布置。部分10kv中压线路线运行年限过长，主干线供电半径过长存在较大的安全隐患。</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2、规划思路</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增强片区内供电能力，均衡片区供电配置，满足新增负荷需求，实现片区电网互连，电容互补。</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3、</w:t>
      </w:r>
      <w:r>
        <w:rPr>
          <w:rFonts w:eastAsia="宋体" w:cs="Times New Roman" w:asciiTheme="minorEastAsia" w:hAnsiTheme="minorEastAsia"/>
          <w:kern w:val="0"/>
          <w:sz w:val="24"/>
          <w:szCs w:val="24"/>
        </w:rPr>
        <w:t>用电普及率目标</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实现2035年覆盖率100%。</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4、</w:t>
      </w:r>
      <w:r>
        <w:rPr>
          <w:rFonts w:eastAsia="宋体" w:cs="Times New Roman" w:asciiTheme="minorEastAsia" w:hAnsiTheme="minorEastAsia"/>
          <w:kern w:val="0"/>
          <w:sz w:val="24"/>
          <w:szCs w:val="24"/>
        </w:rPr>
        <w:t>用电量预测</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片区内的年用电量按人均用电量预测，片区人均综合用电指标为2500千瓦时/(</w:t>
      </w:r>
      <w:r>
        <w:rPr>
          <w:rFonts w:hint="eastAsia" w:eastAsia="宋体" w:cs="Times New Roman" w:asciiTheme="minorEastAsia" w:hAnsiTheme="minorEastAsia"/>
          <w:kern w:val="0"/>
          <w:sz w:val="24"/>
          <w:szCs w:val="24"/>
        </w:rPr>
        <w:t>人·年</w:t>
      </w:r>
      <w:r>
        <w:rPr>
          <w:rFonts w:eastAsia="宋体" w:cs="Times New Roman" w:asciiTheme="minorEastAsia" w:hAnsiTheme="minorEastAsia"/>
          <w:kern w:val="0"/>
          <w:sz w:val="24"/>
          <w:szCs w:val="24"/>
        </w:rPr>
        <w:t>)计算，片区内的总用电量为25475万千瓦时/</w:t>
      </w:r>
      <w:r>
        <w:rPr>
          <w:rFonts w:hint="eastAsia" w:eastAsia="宋体" w:cs="Times New Roman" w:asciiTheme="minorEastAsia" w:hAnsiTheme="minorEastAsia"/>
          <w:kern w:val="0"/>
          <w:sz w:val="24"/>
          <w:szCs w:val="24"/>
        </w:rPr>
        <w:t>年。</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5、电源规划</w:t>
      </w:r>
    </w:p>
    <w:p>
      <w:pPr>
        <w:adjustRightInd w:val="0"/>
        <w:snapToGrid w:val="0"/>
        <w:spacing w:line="360" w:lineRule="auto"/>
        <w:ind w:firstLine="482" w:firstLineChars="200"/>
        <w:rPr>
          <w:rFonts w:cs="Times New Roman" w:asciiTheme="minorEastAsia" w:hAnsiTheme="minorEastAsia"/>
          <w:b/>
          <w:kern w:val="0"/>
          <w:sz w:val="24"/>
          <w:szCs w:val="24"/>
          <w:u w:val="single"/>
        </w:rPr>
      </w:pPr>
      <w:r>
        <w:rPr>
          <w:rFonts w:eastAsia="宋体" w:cs="Times New Roman" w:asciiTheme="minorEastAsia" w:hAnsiTheme="minorEastAsia"/>
          <w:b/>
          <w:kern w:val="0"/>
          <w:sz w:val="24"/>
          <w:szCs w:val="24"/>
          <w:u w:val="single"/>
        </w:rPr>
        <w:t>规划保留河边和玉峰35KV变电站（11.3MVA），扩建永乐35KV</w:t>
      </w:r>
      <w:r>
        <w:rPr>
          <w:rFonts w:hint="eastAsia" w:eastAsia="宋体" w:cs="Times New Roman" w:asciiTheme="minorEastAsia" w:hAnsiTheme="minorEastAsia"/>
          <w:b/>
          <w:kern w:val="0"/>
          <w:sz w:val="24"/>
          <w:szCs w:val="24"/>
          <w:u w:val="single"/>
        </w:rPr>
        <w:t>（</w:t>
      </w:r>
      <w:r>
        <w:rPr>
          <w:rFonts w:eastAsia="宋体" w:cs="Times New Roman" w:asciiTheme="minorEastAsia" w:hAnsiTheme="minorEastAsia"/>
          <w:b/>
          <w:kern w:val="0"/>
          <w:sz w:val="24"/>
          <w:szCs w:val="24"/>
          <w:u w:val="single"/>
        </w:rPr>
        <w:t>12.6MVA）变电站。</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6、廊道控制</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镇区供电以</w:t>
      </w:r>
      <w:r>
        <w:rPr>
          <w:rFonts w:eastAsia="宋体" w:cs="Times New Roman" w:asciiTheme="minorEastAsia" w:hAnsiTheme="minorEastAsia"/>
          <w:kern w:val="0"/>
          <w:sz w:val="24"/>
          <w:szCs w:val="24"/>
        </w:rPr>
        <w:t>10</w:t>
      </w:r>
      <w:r>
        <w:rPr>
          <w:rFonts w:hint="eastAsia" w:eastAsia="宋体" w:cs="Times New Roman" w:asciiTheme="minorEastAsia" w:hAnsiTheme="minorEastAsia"/>
          <w:kern w:val="0"/>
          <w:sz w:val="24"/>
          <w:szCs w:val="24"/>
        </w:rPr>
        <w:t>KV环状中压配网为主，规划</w:t>
      </w:r>
      <w:r>
        <w:rPr>
          <w:rFonts w:eastAsia="宋体" w:cs="Times New Roman" w:asciiTheme="minorEastAsia" w:hAnsiTheme="minorEastAsia"/>
          <w:kern w:val="0"/>
          <w:sz w:val="24"/>
          <w:szCs w:val="24"/>
        </w:rPr>
        <w:t>10</w:t>
      </w:r>
      <w:r>
        <w:rPr>
          <w:rFonts w:hint="eastAsia" w:eastAsia="宋体" w:cs="Times New Roman" w:asciiTheme="minorEastAsia" w:hAnsiTheme="minorEastAsia"/>
          <w:kern w:val="0"/>
          <w:sz w:val="24"/>
          <w:szCs w:val="24"/>
        </w:rPr>
        <w:t>KV及以下电力线路采用电缆在电缆沟内敷设。增强乡村供电保障能力，农村电网以改造升级为手段，加强线路联络，缩短农网线路的供电半径，提高农村配网供电能力和电能质量水平。因地制宜增加农网</w:t>
      </w:r>
      <w:r>
        <w:rPr>
          <w:rFonts w:eastAsia="宋体" w:cs="Times New Roman" w:asciiTheme="minorEastAsia" w:hAnsiTheme="minorEastAsia"/>
          <w:kern w:val="0"/>
          <w:sz w:val="24"/>
          <w:szCs w:val="24"/>
        </w:rPr>
        <w:t>10kV</w:t>
      </w:r>
      <w:r>
        <w:rPr>
          <w:rFonts w:hint="eastAsia" w:eastAsia="宋体" w:cs="Times New Roman" w:asciiTheme="minorEastAsia" w:hAnsiTheme="minorEastAsia"/>
          <w:kern w:val="0"/>
          <w:sz w:val="24"/>
          <w:szCs w:val="24"/>
        </w:rPr>
        <w:t>线路连接，进一步提高农村配电网的供电可靠率。</w:t>
      </w:r>
    </w:p>
    <w:p>
      <w:pPr>
        <w:adjustRightInd w:val="0"/>
        <w:snapToGrid w:val="0"/>
        <w:spacing w:line="360" w:lineRule="auto"/>
        <w:ind w:firstLine="480" w:firstLineChars="200"/>
        <w:rPr>
          <w:rFonts w:eastAsia="宋体" w:cs="Times New Roman" w:asciiTheme="minorEastAsia" w:hAnsiTheme="minorEastAsia"/>
          <w:b/>
          <w:kern w:val="0"/>
          <w:sz w:val="24"/>
          <w:szCs w:val="24"/>
          <w:u w:val="single"/>
        </w:rPr>
      </w:pPr>
      <w:r>
        <w:rPr>
          <w:rFonts w:hint="eastAsia" w:eastAsia="宋体" w:cs="Times New Roman" w:asciiTheme="minorEastAsia" w:hAnsiTheme="minorEastAsia"/>
          <w:kern w:val="0"/>
          <w:sz w:val="24"/>
          <w:szCs w:val="24"/>
        </w:rPr>
        <w:t>保护、控制现状及规划高压线走廊（含防护隔离带），对于保留的现状架空电力线路及杆塔位，以实测坐标控制，规划及调整架空电力线路及杆塔位按规划预留走廊进行控制。</w:t>
      </w:r>
      <w:r>
        <w:rPr>
          <w:rFonts w:hint="eastAsia" w:eastAsia="宋体" w:cs="Times New Roman" w:asciiTheme="minorEastAsia" w:hAnsiTheme="minorEastAsia"/>
          <w:b/>
          <w:kern w:val="0"/>
          <w:sz w:val="24"/>
          <w:szCs w:val="24"/>
          <w:u w:val="single"/>
        </w:rPr>
        <w:t>片区内高压架空线路包括</w:t>
      </w:r>
      <w:r>
        <w:rPr>
          <w:rFonts w:eastAsia="宋体" w:cs="Times New Roman" w:asciiTheme="minorEastAsia" w:hAnsiTheme="minorEastAsia"/>
          <w:b/>
          <w:kern w:val="0"/>
          <w:sz w:val="24"/>
          <w:szCs w:val="24"/>
          <w:u w:val="single"/>
        </w:rPr>
        <w:t>5条35KV电力走廊</w:t>
      </w:r>
      <w:r>
        <w:rPr>
          <w:rFonts w:hint="eastAsia" w:eastAsia="宋体" w:cs="Times New Roman" w:asciiTheme="minorEastAsia" w:hAnsiTheme="minorEastAsia"/>
          <w:b/>
          <w:kern w:val="0"/>
          <w:sz w:val="24"/>
          <w:szCs w:val="24"/>
          <w:u w:val="single"/>
        </w:rPr>
        <w:t>，</w:t>
      </w:r>
      <w:r>
        <w:rPr>
          <w:rFonts w:eastAsia="宋体" w:cs="Times New Roman" w:asciiTheme="minorEastAsia" w:hAnsiTheme="minorEastAsia"/>
          <w:b/>
          <w:kern w:val="0"/>
          <w:sz w:val="24"/>
          <w:szCs w:val="24"/>
          <w:u w:val="single"/>
        </w:rPr>
        <w:t xml:space="preserve">35kV </w:t>
      </w:r>
      <w:r>
        <w:rPr>
          <w:rFonts w:hint="eastAsia" w:eastAsia="宋体" w:cs="Times New Roman" w:asciiTheme="minorEastAsia" w:hAnsiTheme="minorEastAsia"/>
          <w:b/>
          <w:kern w:val="0"/>
          <w:sz w:val="24"/>
          <w:szCs w:val="24"/>
          <w:u w:val="single"/>
        </w:rPr>
        <w:t>高压架空单回电力线走廊宽度控制为</w:t>
      </w:r>
      <w:r>
        <w:rPr>
          <w:rFonts w:eastAsia="宋体" w:cs="Times New Roman" w:asciiTheme="minorEastAsia" w:hAnsiTheme="minorEastAsia"/>
          <w:b/>
          <w:kern w:val="0"/>
          <w:sz w:val="24"/>
          <w:szCs w:val="24"/>
          <w:u w:val="single"/>
        </w:rPr>
        <w:t xml:space="preserve">20 </w:t>
      </w:r>
      <w:r>
        <w:rPr>
          <w:rFonts w:hint="eastAsia" w:eastAsia="宋体" w:cs="Times New Roman" w:asciiTheme="minorEastAsia" w:hAnsiTheme="minorEastAsia"/>
          <w:b/>
          <w:kern w:val="0"/>
          <w:sz w:val="24"/>
          <w:szCs w:val="24"/>
          <w:u w:val="single"/>
        </w:rPr>
        <w:t>米，同时应符合《城市电力规划规范》等相关国家法律法规和标准规范的要求。</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（四）</w:t>
      </w:r>
      <w:r>
        <w:rPr>
          <w:rFonts w:eastAsia="宋体" w:cs="Times New Roman" w:asciiTheme="minorEastAsia" w:hAnsiTheme="minorEastAsia"/>
          <w:b/>
          <w:kern w:val="0"/>
          <w:sz w:val="24"/>
          <w:szCs w:val="24"/>
        </w:rPr>
        <w:t>通讯工程</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1、</w:t>
      </w:r>
      <w:r>
        <w:rPr>
          <w:rFonts w:eastAsia="宋体" w:cs="Times New Roman" w:asciiTheme="minorEastAsia" w:hAnsiTheme="minorEastAsia"/>
          <w:kern w:val="0"/>
          <w:sz w:val="24"/>
          <w:szCs w:val="24"/>
        </w:rPr>
        <w:t>发展目标</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加快落实片区5G全面覆盖，助力新型智慧乡村建设</w:t>
      </w:r>
      <w:r>
        <w:rPr>
          <w:rFonts w:hint="eastAsia" w:ascii="宋体" w:hAnsi="宋体" w:eastAsia="宋体" w:cs="Times New Roman"/>
          <w:kern w:val="0"/>
          <w:sz w:val="24"/>
          <w:szCs w:val="24"/>
        </w:rPr>
        <w:t>，</w:t>
      </w:r>
      <w:r>
        <w:rPr>
          <w:rFonts w:ascii="宋体" w:hAnsi="宋体" w:eastAsia="宋体" w:cs="Times New Roman"/>
          <w:kern w:val="0"/>
          <w:sz w:val="24"/>
          <w:szCs w:val="24"/>
        </w:rPr>
        <w:t>加大光缆网、传输网、接入网等基础设施的建设，实现数据多媒体以及宽带网和综合信息服务平台的建设，实现</w:t>
      </w:r>
      <w:r>
        <w:rPr>
          <w:rFonts w:eastAsia="宋体" w:cs="Times New Roman" w:asciiTheme="minorEastAsia" w:hAnsiTheme="minorEastAsia"/>
          <w:kern w:val="0"/>
          <w:sz w:val="24"/>
          <w:szCs w:val="24"/>
        </w:rPr>
        <w:t>片区</w:t>
      </w:r>
      <w:r>
        <w:rPr>
          <w:rFonts w:ascii="宋体" w:hAnsi="宋体" w:eastAsia="宋体" w:cs="Times New Roman"/>
          <w:kern w:val="0"/>
          <w:sz w:val="24"/>
          <w:szCs w:val="24"/>
        </w:rPr>
        <w:t>范围的光纤网络。坚持邮政事业信息化和邮政服务多样化的发展方向，按国家标准完善和优化建成区邮政网点。</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2、</w:t>
      </w:r>
      <w:r>
        <w:rPr>
          <w:rFonts w:eastAsia="宋体" w:cs="Times New Roman" w:asciiTheme="minorEastAsia" w:hAnsiTheme="minorEastAsia"/>
          <w:kern w:val="0"/>
          <w:sz w:val="24"/>
          <w:szCs w:val="24"/>
        </w:rPr>
        <w:t>需求预测</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规划固定电话主线普及率城市60线/百人，农村40线/百人；移动电话普及率城市130卡号/百人，农村100卡号/百人；宽带用户普及率城市45户/百人，农村30户/百人。</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根据规划2035年片区城镇常住人口</w:t>
      </w:r>
      <w:r>
        <w:rPr>
          <w:rFonts w:hint="eastAsia" w:ascii="宋体" w:hAnsi="宋体" w:eastAsia="宋体" w:cs="Times New Roman"/>
          <w:kern w:val="0"/>
          <w:sz w:val="24"/>
          <w:szCs w:val="24"/>
        </w:rPr>
        <w:t>1.80</w:t>
      </w:r>
      <w:r>
        <w:rPr>
          <w:rFonts w:ascii="宋体" w:hAnsi="宋体" w:eastAsia="宋体" w:cs="Times New Roman"/>
          <w:kern w:val="0"/>
          <w:sz w:val="24"/>
          <w:szCs w:val="24"/>
        </w:rPr>
        <w:t>万，农村户籍人口</w:t>
      </w:r>
      <w:r>
        <w:rPr>
          <w:rFonts w:hint="eastAsia" w:ascii="宋体" w:hAnsi="宋体" w:eastAsia="宋体" w:cs="Times New Roman"/>
          <w:kern w:val="0"/>
          <w:sz w:val="24"/>
          <w:szCs w:val="24"/>
        </w:rPr>
        <w:t>9.34</w:t>
      </w:r>
      <w:r>
        <w:rPr>
          <w:rFonts w:ascii="宋体" w:hAnsi="宋体" w:eastAsia="宋体" w:cs="Times New Roman"/>
          <w:kern w:val="0"/>
          <w:sz w:val="24"/>
          <w:szCs w:val="24"/>
        </w:rPr>
        <w:t>万。则预测用户需求数为城市固定电话</w:t>
      </w:r>
      <w:r>
        <w:rPr>
          <w:rFonts w:hint="eastAsia" w:ascii="宋体" w:hAnsi="宋体" w:eastAsia="宋体" w:cs="Times New Roman"/>
          <w:kern w:val="0"/>
          <w:sz w:val="24"/>
          <w:szCs w:val="24"/>
        </w:rPr>
        <w:t>4.82</w:t>
      </w:r>
      <w:r>
        <w:rPr>
          <w:rFonts w:ascii="宋体" w:hAnsi="宋体" w:eastAsia="宋体" w:cs="Times New Roman"/>
          <w:kern w:val="0"/>
          <w:sz w:val="24"/>
          <w:szCs w:val="24"/>
        </w:rPr>
        <w:t>万线，移动电话</w:t>
      </w:r>
      <w:r>
        <w:rPr>
          <w:rFonts w:hint="eastAsia" w:ascii="宋体" w:hAnsi="宋体" w:eastAsia="宋体" w:cs="Times New Roman"/>
          <w:kern w:val="0"/>
          <w:sz w:val="24"/>
          <w:szCs w:val="24"/>
        </w:rPr>
        <w:t>11.68</w:t>
      </w:r>
      <w:r>
        <w:rPr>
          <w:rFonts w:ascii="宋体" w:hAnsi="宋体" w:eastAsia="宋体" w:cs="Times New Roman"/>
          <w:kern w:val="0"/>
          <w:sz w:val="24"/>
          <w:szCs w:val="24"/>
        </w:rPr>
        <w:t>万卡号，宽带用户</w:t>
      </w:r>
      <w:r>
        <w:rPr>
          <w:rFonts w:hint="eastAsia" w:ascii="宋体" w:hAnsi="宋体" w:eastAsia="宋体" w:cs="Times New Roman"/>
          <w:kern w:val="0"/>
          <w:sz w:val="24"/>
          <w:szCs w:val="24"/>
        </w:rPr>
        <w:t>3.61</w:t>
      </w:r>
      <w:r>
        <w:rPr>
          <w:rFonts w:ascii="宋体" w:hAnsi="宋体" w:eastAsia="宋体" w:cs="Times New Roman"/>
          <w:kern w:val="0"/>
          <w:sz w:val="24"/>
          <w:szCs w:val="24"/>
        </w:rPr>
        <w:t>万户。</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3、</w:t>
      </w:r>
      <w:r>
        <w:rPr>
          <w:rFonts w:eastAsia="宋体" w:cs="Times New Roman" w:asciiTheme="minorEastAsia" w:hAnsiTheme="minorEastAsia"/>
          <w:kern w:val="0"/>
          <w:sz w:val="24"/>
          <w:szCs w:val="24"/>
        </w:rPr>
        <w:t>通信网路规划</w:t>
      </w:r>
    </w:p>
    <w:p>
      <w:pPr>
        <w:spacing w:line="360" w:lineRule="auto"/>
        <w:ind w:firstLine="472" w:firstLineChars="196"/>
        <w:rPr>
          <w:rFonts w:ascii="Calibri" w:hAnsi="Calibri" w:eastAsia="宋体" w:cs="Times New Roman"/>
          <w:sz w:val="24"/>
        </w:rPr>
      </w:pPr>
      <w:r>
        <w:rPr>
          <w:rFonts w:hint="eastAsia" w:ascii="Calibri" w:hAnsi="Calibri" w:eastAsia="宋体" w:cs="Times New Roman"/>
          <w:b/>
          <w:sz w:val="24"/>
          <w:u w:val="single"/>
        </w:rPr>
        <w:t>规划保留</w:t>
      </w:r>
      <w:r>
        <w:rPr>
          <w:rFonts w:hint="eastAsia" w:eastAsia="宋体"/>
          <w:b/>
          <w:sz w:val="24"/>
          <w:u w:val="single"/>
        </w:rPr>
        <w:t>三个镇区的现状电信支局</w:t>
      </w:r>
      <w:r>
        <w:rPr>
          <w:rFonts w:hint="eastAsia" w:ascii="Calibri" w:hAnsi="Calibri" w:eastAsia="宋体" w:cs="Times New Roman"/>
          <w:b/>
          <w:sz w:val="24"/>
          <w:u w:val="single"/>
        </w:rPr>
        <w:t>，负责整个</w:t>
      </w:r>
      <w:r>
        <w:rPr>
          <w:rFonts w:hint="eastAsia" w:eastAsia="宋体"/>
          <w:b/>
          <w:sz w:val="24"/>
          <w:u w:val="single"/>
        </w:rPr>
        <w:t>片区</w:t>
      </w:r>
      <w:r>
        <w:rPr>
          <w:rFonts w:hint="eastAsia" w:ascii="Calibri" w:hAnsi="Calibri" w:eastAsia="宋体" w:cs="Times New Roman"/>
          <w:b/>
          <w:sz w:val="24"/>
          <w:u w:val="single"/>
        </w:rPr>
        <w:t>的通信基础服务，在各村设置电信接入点，负责各村的通信基础服务。</w:t>
      </w:r>
    </w:p>
    <w:p>
      <w:pPr>
        <w:spacing w:line="360" w:lineRule="auto"/>
        <w:ind w:firstLine="470" w:firstLineChars="196"/>
        <w:rPr>
          <w:rFonts w:ascii="宋体" w:hAnsi="宋体" w:eastAsia="宋体" w:cs="Times New Roman"/>
          <w:kern w:val="0"/>
          <w:sz w:val="24"/>
          <w:szCs w:val="24"/>
        </w:rPr>
      </w:pPr>
      <w:r>
        <w:rPr>
          <w:rFonts w:hint="eastAsia" w:ascii="宋体" w:hAnsi="宋体" w:eastAsia="宋体" w:cs="Times New Roman"/>
          <w:kern w:val="0"/>
          <w:sz w:val="24"/>
          <w:szCs w:val="24"/>
        </w:rPr>
        <w:t>完善固定电话、移动电话、互联网三大通信系统建设，提高整个片区通信的可靠性。通信基站的设置应符合《城市通信工程规划规范》（</w:t>
      </w:r>
      <w:r>
        <w:rPr>
          <w:rFonts w:ascii="宋体" w:hAnsi="宋体" w:eastAsia="宋体" w:cs="Times New Roman"/>
          <w:kern w:val="0"/>
          <w:sz w:val="24"/>
          <w:szCs w:val="24"/>
        </w:rPr>
        <w:t>GB/T 50853-2013</w:t>
      </w:r>
      <w:r>
        <w:rPr>
          <w:rFonts w:hint="eastAsia" w:ascii="宋体" w:hAnsi="宋体" w:eastAsia="宋体" w:cs="Times New Roman"/>
          <w:kern w:val="0"/>
          <w:sz w:val="24"/>
          <w:szCs w:val="24"/>
        </w:rPr>
        <w:t>）的相关要求。加快</w:t>
      </w:r>
      <w:r>
        <w:rPr>
          <w:rFonts w:ascii="宋体" w:hAnsi="宋体" w:eastAsia="宋体" w:cs="Times New Roman"/>
          <w:kern w:val="0"/>
          <w:sz w:val="24"/>
          <w:szCs w:val="24"/>
        </w:rPr>
        <w:t>5G</w:t>
      </w:r>
      <w:r>
        <w:rPr>
          <w:rFonts w:hint="eastAsia" w:ascii="宋体" w:hAnsi="宋体" w:eastAsia="宋体" w:cs="Times New Roman"/>
          <w:kern w:val="0"/>
          <w:sz w:val="24"/>
          <w:szCs w:val="24"/>
        </w:rPr>
        <w:t>建设、光纤建设，建设一批覆盖全镇各村的环形网络，至规划期末新建基站以使覆盖率提高到</w:t>
      </w:r>
      <w:r>
        <w:rPr>
          <w:rFonts w:ascii="宋体" w:hAnsi="宋体" w:eastAsia="宋体" w:cs="Times New Roman"/>
          <w:kern w:val="0"/>
          <w:sz w:val="24"/>
          <w:szCs w:val="24"/>
        </w:rPr>
        <w:t>100</w:t>
      </w:r>
      <w:r>
        <w:rPr>
          <w:rFonts w:hint="eastAsia" w:ascii="宋体" w:hAnsi="宋体" w:eastAsia="宋体" w:cs="Times New Roman"/>
          <w:kern w:val="0"/>
          <w:sz w:val="24"/>
          <w:szCs w:val="24"/>
        </w:rPr>
        <w:t>％，乡镇及沿线公路全覆盖，同时发展音频、视频、数据信息等多种通信业务。</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4、</w:t>
      </w:r>
      <w:r>
        <w:rPr>
          <w:rFonts w:eastAsia="宋体" w:cs="Times New Roman" w:asciiTheme="minorEastAsia" w:hAnsiTheme="minorEastAsia"/>
          <w:kern w:val="0"/>
          <w:sz w:val="24"/>
          <w:szCs w:val="24"/>
        </w:rPr>
        <w:t>邮政</w:t>
      </w:r>
      <w:r>
        <w:rPr>
          <w:rFonts w:hint="eastAsia" w:eastAsia="宋体" w:cs="Times New Roman" w:asciiTheme="minorEastAsia" w:hAnsiTheme="minorEastAsia"/>
          <w:kern w:val="0"/>
          <w:sz w:val="24"/>
          <w:szCs w:val="24"/>
        </w:rPr>
        <w:t>设施</w:t>
      </w:r>
      <w:r>
        <w:rPr>
          <w:rFonts w:eastAsia="宋体" w:cs="Times New Roman" w:asciiTheme="minorEastAsia" w:hAnsiTheme="minorEastAsia"/>
          <w:kern w:val="0"/>
          <w:sz w:val="24"/>
          <w:szCs w:val="24"/>
        </w:rPr>
        <w:t>规划</w:t>
      </w:r>
    </w:p>
    <w:p>
      <w:pPr>
        <w:spacing w:line="360" w:lineRule="auto"/>
        <w:ind w:firstLine="470" w:firstLineChars="196"/>
        <w:rPr>
          <w:rFonts w:ascii="宋体" w:hAnsi="宋体" w:eastAsia="宋体" w:cs="Times New Roman"/>
          <w:kern w:val="0"/>
          <w:sz w:val="24"/>
          <w:szCs w:val="24"/>
        </w:rPr>
      </w:pPr>
      <w:r>
        <w:rPr>
          <w:rFonts w:ascii="宋体" w:hAnsi="宋体" w:eastAsia="宋体" w:cs="Times New Roman"/>
          <w:kern w:val="0"/>
          <w:sz w:val="24"/>
          <w:szCs w:val="24"/>
        </w:rPr>
        <w:t>规划保留并扩建现状的三个镇区的邮政</w:t>
      </w:r>
      <w:r>
        <w:rPr>
          <w:rFonts w:hint="eastAsia" w:ascii="宋体" w:hAnsi="宋体" w:eastAsia="宋体" w:cs="Times New Roman"/>
          <w:kern w:val="0"/>
          <w:sz w:val="24"/>
          <w:szCs w:val="24"/>
        </w:rPr>
        <w:t>局。</w:t>
      </w:r>
      <w:r>
        <w:rPr>
          <w:rFonts w:ascii="宋体" w:hAnsi="宋体" w:eastAsia="宋体" w:cs="Times New Roman"/>
          <w:kern w:val="0"/>
          <w:sz w:val="24"/>
          <w:szCs w:val="24"/>
        </w:rPr>
        <w:t>进一步改善营业环境，提高科技含量，在条件成熟的网点开办更多的邮政业务。加紧镇区 “户箱工程”的推广，为方便农村居民用邮，统筹各村社设置邮政代办点</w:t>
      </w:r>
      <w:r>
        <w:rPr>
          <w:rFonts w:hint="eastAsia" w:ascii="宋体" w:hAnsi="宋体" w:eastAsia="宋体" w:cs="Times New Roman"/>
          <w:kern w:val="0"/>
          <w:sz w:val="24"/>
          <w:szCs w:val="24"/>
        </w:rPr>
        <w:t>。</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（五）燃气工程规划</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1、现状情况</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气源</w:t>
      </w:r>
      <w:r>
        <w:rPr>
          <w:rFonts w:eastAsia="宋体" w:cs="Times New Roman" w:asciiTheme="minorEastAsia" w:hAnsiTheme="minorEastAsia"/>
          <w:kern w:val="0"/>
          <w:sz w:val="24"/>
          <w:szCs w:val="24"/>
        </w:rPr>
        <w:t>通过大英配气站进行供气</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距配气站有一定距离，象山镇和玉峰镇仅有一条主管线支撑镇区燃气输送</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大英供气站供气范围广、用户多，用气高峰区存在供气不足的情况。</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河边镇</w:t>
      </w:r>
      <w:r>
        <w:rPr>
          <w:rFonts w:eastAsia="宋体" w:cs="Times New Roman" w:asciiTheme="minorEastAsia" w:hAnsiTheme="minorEastAsia"/>
          <w:kern w:val="0"/>
          <w:sz w:val="24"/>
          <w:szCs w:val="24"/>
        </w:rPr>
        <w:t>由大河燃气公司进行燃气管理，无调压站。</w:t>
      </w:r>
      <w:r>
        <w:rPr>
          <w:rFonts w:hint="eastAsia" w:eastAsia="宋体" w:cs="Times New Roman" w:asciiTheme="minorEastAsia" w:hAnsiTheme="minorEastAsia"/>
          <w:kern w:val="0"/>
          <w:sz w:val="24"/>
          <w:szCs w:val="24"/>
        </w:rPr>
        <w:t>玉峰镇</w:t>
      </w:r>
      <w:r>
        <w:rPr>
          <w:rFonts w:eastAsia="宋体" w:cs="Times New Roman" w:asciiTheme="minorEastAsia" w:hAnsiTheme="minorEastAsia"/>
          <w:kern w:val="0"/>
          <w:sz w:val="24"/>
          <w:szCs w:val="24"/>
        </w:rPr>
        <w:t>内部天然气主要由玉象燃气有限公司进行管理。玉象燃气公司管理</w:t>
      </w:r>
      <w:r>
        <w:rPr>
          <w:rFonts w:hint="eastAsia" w:eastAsia="宋体" w:cs="Times New Roman" w:asciiTheme="minorEastAsia" w:hAnsiTheme="minorEastAsia"/>
          <w:kern w:val="0"/>
          <w:sz w:val="24"/>
          <w:szCs w:val="24"/>
        </w:rPr>
        <w:t>象山</w:t>
      </w:r>
      <w:r>
        <w:rPr>
          <w:rFonts w:eastAsia="宋体" w:cs="Times New Roman" w:asciiTheme="minorEastAsia" w:hAnsiTheme="minorEastAsia"/>
          <w:kern w:val="0"/>
          <w:sz w:val="24"/>
          <w:szCs w:val="24"/>
        </w:rPr>
        <w:t>镇区燃气。</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2、</w:t>
      </w:r>
      <w:r>
        <w:rPr>
          <w:rFonts w:eastAsia="宋体" w:cs="Times New Roman" w:asciiTheme="minorEastAsia" w:hAnsiTheme="minorEastAsia"/>
          <w:kern w:val="0"/>
          <w:sz w:val="24"/>
          <w:szCs w:val="24"/>
        </w:rPr>
        <w:t>燃气普及率</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推动燃气干网入村，实现2035年主干网覆盖率100%。</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3、用气量预测</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燃气预测采用人均用气指标法预测法，根据《城镇燃气规划规范》GB/T50198-2015，考虑目前大英城镇用气水平低，指标取最小值。按照燃气标准为0.35</w:t>
      </w:r>
      <w:r>
        <w:rPr>
          <w:rFonts w:hint="eastAsia" w:eastAsia="宋体" w:cs="Times New Roman" w:asciiTheme="minorEastAsia" w:hAnsiTheme="minorEastAsia"/>
          <w:kern w:val="0"/>
          <w:sz w:val="24"/>
          <w:szCs w:val="24"/>
        </w:rPr>
        <w:t>立方米</w:t>
      </w:r>
      <w:r>
        <w:rPr>
          <w:rFonts w:eastAsia="宋体" w:cs="Times New Roman" w:asciiTheme="minorEastAsia" w:hAnsiTheme="minorEastAsia"/>
          <w:kern w:val="0"/>
          <w:sz w:val="24"/>
          <w:szCs w:val="24"/>
        </w:rPr>
        <w:t>/（人·日）</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规划区日燃气量为，片区内规划</w:t>
      </w:r>
      <w:r>
        <w:rPr>
          <w:rFonts w:hint="eastAsia" w:eastAsia="宋体" w:cs="Times New Roman" w:asciiTheme="minorEastAsia" w:hAnsiTheme="minorEastAsia"/>
          <w:kern w:val="0"/>
          <w:sz w:val="24"/>
          <w:szCs w:val="24"/>
        </w:rPr>
        <w:t>户籍</w:t>
      </w:r>
      <w:r>
        <w:rPr>
          <w:rFonts w:eastAsia="宋体" w:cs="Times New Roman" w:asciiTheme="minorEastAsia" w:hAnsiTheme="minorEastAsia"/>
          <w:kern w:val="0"/>
          <w:sz w:val="24"/>
          <w:szCs w:val="24"/>
        </w:rPr>
        <w:t>人口为</w:t>
      </w:r>
      <w:r>
        <w:rPr>
          <w:rFonts w:hint="eastAsia" w:eastAsia="宋体" w:cs="Times New Roman" w:asciiTheme="minorEastAsia" w:hAnsiTheme="minorEastAsia"/>
          <w:kern w:val="0"/>
          <w:sz w:val="24"/>
          <w:szCs w:val="24"/>
        </w:rPr>
        <w:t>10.74</w:t>
      </w:r>
      <w:r>
        <w:rPr>
          <w:rFonts w:eastAsia="宋体" w:cs="Times New Roman" w:asciiTheme="minorEastAsia" w:hAnsiTheme="minorEastAsia"/>
          <w:kern w:val="0"/>
          <w:sz w:val="24"/>
          <w:szCs w:val="24"/>
        </w:rPr>
        <w:t>万人，片区内的总用气量为</w:t>
      </w:r>
      <w:r>
        <w:rPr>
          <w:rFonts w:hint="eastAsia" w:eastAsia="宋体" w:cs="Times New Roman" w:asciiTheme="minorEastAsia" w:hAnsiTheme="minorEastAsia"/>
          <w:kern w:val="0"/>
          <w:sz w:val="24"/>
          <w:szCs w:val="24"/>
        </w:rPr>
        <w:t>3.76万立方米/日。</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4、气源规划</w:t>
      </w:r>
    </w:p>
    <w:p>
      <w:pPr>
        <w:adjustRightInd w:val="0"/>
        <w:snapToGrid w:val="0"/>
        <w:spacing w:line="360" w:lineRule="auto"/>
        <w:ind w:firstLine="480" w:firstLineChars="200"/>
        <w:rPr>
          <w:rFonts w:ascii="Calibri" w:hAnsi="Calibri" w:eastAsia="宋体" w:cs="Times New Roman"/>
          <w:b/>
          <w:sz w:val="24"/>
          <w:u w:val="single"/>
        </w:rPr>
      </w:pPr>
      <w:r>
        <w:rPr>
          <w:rFonts w:hint="eastAsia" w:eastAsia="宋体" w:cs="Times New Roman" w:asciiTheme="minorEastAsia" w:hAnsiTheme="minorEastAsia"/>
          <w:kern w:val="0"/>
          <w:sz w:val="24"/>
          <w:szCs w:val="24"/>
        </w:rPr>
        <w:t>气源来自大英配气站，在镇区内分别增加一处燃气调压站。</w:t>
      </w:r>
      <w:r>
        <w:rPr>
          <w:rFonts w:hint="eastAsia" w:ascii="Calibri" w:hAnsi="Calibri" w:eastAsia="宋体" w:cs="Times New Roman"/>
          <w:b/>
          <w:sz w:val="24"/>
          <w:u w:val="single"/>
        </w:rPr>
        <w:t>输气管线与其它建筑、架空电力线、可燃物储罐、铁路、道路等的安全间距还应满足《中华人民共和国石油天然气管道保护法》、《城镇燃气设计规范》等相关国家法律法规和标准规范的要求。</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（六）</w:t>
      </w:r>
      <w:r>
        <w:rPr>
          <w:rFonts w:eastAsia="宋体" w:cs="Times New Roman" w:asciiTheme="minorEastAsia" w:hAnsiTheme="minorEastAsia"/>
          <w:b/>
          <w:kern w:val="0"/>
          <w:sz w:val="24"/>
          <w:szCs w:val="24"/>
        </w:rPr>
        <w:t>环卫设施规划</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1、现状情况</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片区内共有3个垃圾分类处理站</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30处垃圾收集点，均匀布于三个镇内</w:t>
      </w:r>
      <w:r>
        <w:rPr>
          <w:rFonts w:hint="eastAsia" w:eastAsia="宋体" w:cs="Times New Roman" w:asciiTheme="minorEastAsia" w:hAnsiTheme="minorEastAsia"/>
          <w:kern w:val="0"/>
          <w:sz w:val="24"/>
          <w:szCs w:val="24"/>
        </w:rPr>
        <w:t>，片区</w:t>
      </w:r>
      <w:r>
        <w:rPr>
          <w:rFonts w:eastAsia="宋体" w:cs="Times New Roman" w:asciiTheme="minorEastAsia" w:hAnsiTheme="minorEastAsia"/>
          <w:kern w:val="0"/>
          <w:sz w:val="24"/>
          <w:szCs w:val="24"/>
        </w:rPr>
        <w:t>共有7处公共厕所，(其中玉峰镇有3处公厕，其余两镇各2处公共厕所)</w:t>
      </w:r>
      <w:r>
        <w:rPr>
          <w:rFonts w:hint="eastAsia" w:eastAsia="宋体" w:cs="Times New Roman" w:asciiTheme="minorEastAsia" w:hAnsiTheme="minorEastAsia"/>
          <w:kern w:val="0"/>
          <w:sz w:val="24"/>
          <w:szCs w:val="24"/>
        </w:rPr>
        <w:t>。</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目前</w:t>
      </w:r>
      <w:r>
        <w:rPr>
          <w:rFonts w:eastAsia="宋体" w:cs="Times New Roman" w:asciiTheme="minorEastAsia" w:hAnsiTheme="minorEastAsia"/>
          <w:kern w:val="0"/>
          <w:sz w:val="24"/>
          <w:szCs w:val="24"/>
        </w:rPr>
        <w:t>环卫设施建设环境质量低</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垃圾混合收集不利于分类回收和资源化利用。道路、</w:t>
      </w:r>
      <w:bookmarkStart w:id="52" w:name="_GoBack"/>
      <w:r>
        <w:rPr>
          <w:rFonts w:eastAsia="宋体" w:cs="Times New Roman" w:asciiTheme="minorEastAsia" w:hAnsiTheme="minorEastAsia"/>
          <w:kern w:val="0"/>
          <w:sz w:val="24"/>
          <w:szCs w:val="24"/>
        </w:rPr>
        <w:t>公厕</w:t>
      </w:r>
      <w:bookmarkEnd w:id="52"/>
      <w:r>
        <w:rPr>
          <w:rFonts w:eastAsia="宋体" w:cs="Times New Roman" w:asciiTheme="minorEastAsia" w:hAnsiTheme="minorEastAsia"/>
          <w:kern w:val="0"/>
          <w:sz w:val="24"/>
          <w:szCs w:val="24"/>
        </w:rPr>
        <w:t>等服务质量需提高，保洁水平和公厕建设水平均需要提高</w:t>
      </w:r>
      <w:r>
        <w:rPr>
          <w:rFonts w:hint="eastAsia" w:eastAsia="宋体" w:cs="Times New Roman" w:asciiTheme="minorEastAsia" w:hAnsiTheme="minorEastAsia"/>
          <w:kern w:val="0"/>
          <w:sz w:val="24"/>
          <w:szCs w:val="24"/>
        </w:rPr>
        <w:t>。</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2、</w:t>
      </w:r>
      <w:r>
        <w:rPr>
          <w:rFonts w:eastAsia="宋体" w:cs="Times New Roman" w:asciiTheme="minorEastAsia" w:hAnsiTheme="minorEastAsia"/>
          <w:kern w:val="0"/>
          <w:sz w:val="24"/>
          <w:szCs w:val="24"/>
        </w:rPr>
        <w:t>规划思路</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按照“分类推进、逐步销号”思路，分类收集处理垃圾，探索生活垃圾循环利用和源头减量措施，提升农村生活垃圾资源回收利用率。</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3、</w:t>
      </w:r>
      <w:r>
        <w:rPr>
          <w:rFonts w:eastAsia="宋体" w:cs="Times New Roman" w:asciiTheme="minorEastAsia" w:hAnsiTheme="minorEastAsia"/>
          <w:kern w:val="0"/>
          <w:sz w:val="24"/>
          <w:szCs w:val="24"/>
        </w:rPr>
        <w:t>发展目标</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实现2035年</w:t>
      </w:r>
      <w:r>
        <w:rPr>
          <w:rFonts w:hint="eastAsia" w:eastAsia="宋体" w:cs="Times New Roman" w:asciiTheme="minorEastAsia" w:hAnsiTheme="minorEastAsia"/>
          <w:kern w:val="0"/>
          <w:sz w:val="24"/>
          <w:szCs w:val="24"/>
        </w:rPr>
        <w:t>农村生活垃圾处理率95%；</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4、</w:t>
      </w:r>
      <w:r>
        <w:rPr>
          <w:rFonts w:eastAsia="宋体" w:cs="Times New Roman" w:asciiTheme="minorEastAsia" w:hAnsiTheme="minorEastAsia"/>
          <w:kern w:val="0"/>
          <w:sz w:val="24"/>
          <w:szCs w:val="24"/>
        </w:rPr>
        <w:t>垃圾量预测</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预测镇区常住人口</w:t>
      </w:r>
      <w:r>
        <w:rPr>
          <w:rFonts w:hint="eastAsia" w:eastAsia="宋体" w:cs="Times New Roman" w:asciiTheme="minorEastAsia" w:hAnsiTheme="minorEastAsia"/>
          <w:kern w:val="0"/>
          <w:sz w:val="24"/>
          <w:szCs w:val="24"/>
        </w:rPr>
        <w:t>1.80</w:t>
      </w:r>
      <w:r>
        <w:rPr>
          <w:rFonts w:eastAsia="宋体" w:cs="Times New Roman" w:asciiTheme="minorEastAsia" w:hAnsiTheme="minorEastAsia"/>
          <w:kern w:val="0"/>
          <w:sz w:val="24"/>
          <w:szCs w:val="24"/>
        </w:rPr>
        <w:t>万，农村户籍人口</w:t>
      </w:r>
      <w:r>
        <w:rPr>
          <w:rFonts w:hint="eastAsia" w:eastAsia="宋体" w:cs="Times New Roman" w:asciiTheme="minorEastAsia" w:hAnsiTheme="minorEastAsia"/>
          <w:kern w:val="0"/>
          <w:sz w:val="24"/>
          <w:szCs w:val="24"/>
        </w:rPr>
        <w:t>9.34</w:t>
      </w:r>
      <w:r>
        <w:rPr>
          <w:rFonts w:eastAsia="宋体" w:cs="Times New Roman" w:asciiTheme="minorEastAsia" w:hAnsiTheme="minorEastAsia"/>
          <w:kern w:val="0"/>
          <w:sz w:val="24"/>
          <w:szCs w:val="24"/>
        </w:rPr>
        <w:t>万，规划城镇人口人均生活垃圾产量指标取1.0千克/天，农村人口人均生活垃圾产量指标取0.85千克/天</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生活垃圾日产量不均匀系数取1.3</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垃圾回收量总规模</w:t>
      </w:r>
      <w:r>
        <w:rPr>
          <w:rFonts w:hint="eastAsia" w:eastAsia="宋体" w:cs="Times New Roman" w:asciiTheme="minorEastAsia" w:hAnsiTheme="minorEastAsia"/>
          <w:kern w:val="0"/>
          <w:sz w:val="24"/>
          <w:szCs w:val="24"/>
        </w:rPr>
        <w:t>126.62</w:t>
      </w:r>
      <w:r>
        <w:rPr>
          <w:rFonts w:eastAsia="宋体" w:cs="Times New Roman" w:asciiTheme="minorEastAsia" w:hAnsiTheme="minorEastAsia"/>
          <w:kern w:val="0"/>
          <w:sz w:val="24"/>
          <w:szCs w:val="24"/>
        </w:rPr>
        <w:t>吨/天。</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5、环卫</w:t>
      </w:r>
      <w:r>
        <w:rPr>
          <w:rFonts w:eastAsia="宋体" w:cs="Times New Roman" w:asciiTheme="minorEastAsia" w:hAnsiTheme="minorEastAsia"/>
          <w:kern w:val="0"/>
          <w:sz w:val="24"/>
          <w:szCs w:val="24"/>
        </w:rPr>
        <w:t>设施规划</w:t>
      </w:r>
    </w:p>
    <w:p>
      <w:pPr>
        <w:adjustRightInd w:val="0"/>
        <w:snapToGrid w:val="0"/>
        <w:spacing w:line="360" w:lineRule="auto"/>
        <w:ind w:firstLine="480" w:firstLineChars="200"/>
        <w:rPr>
          <w:rFonts w:ascii="Calibri" w:hAnsi="Calibri" w:eastAsia="宋体" w:cs="Times New Roman"/>
          <w:b/>
          <w:sz w:val="24"/>
          <w:u w:val="single"/>
        </w:rPr>
      </w:pPr>
      <w:r>
        <w:rPr>
          <w:rFonts w:hint="eastAsia" w:ascii="宋体" w:hAnsi="宋体" w:eastAsia="宋体" w:cs="Times New Roman"/>
          <w:kern w:val="0"/>
          <w:sz w:val="24"/>
          <w:szCs w:val="24"/>
        </w:rPr>
        <w:t>规划</w:t>
      </w:r>
      <w:r>
        <w:rPr>
          <w:rFonts w:ascii="宋体" w:hAnsi="宋体" w:eastAsia="宋体" w:cs="Times New Roman"/>
          <w:kern w:val="0"/>
          <w:sz w:val="24"/>
          <w:szCs w:val="24"/>
        </w:rPr>
        <w:t>扩建河边镇垃圾收集站</w:t>
      </w:r>
      <w:r>
        <w:rPr>
          <w:rFonts w:hint="eastAsia" w:ascii="宋体" w:hAnsi="宋体" w:eastAsia="宋体" w:cs="Times New Roman"/>
          <w:kern w:val="0"/>
          <w:sz w:val="24"/>
          <w:szCs w:val="24"/>
        </w:rPr>
        <w:t>，</w:t>
      </w:r>
      <w:r>
        <w:rPr>
          <w:rFonts w:ascii="宋体" w:hAnsi="宋体" w:eastAsia="宋体" w:cs="Times New Roman"/>
          <w:kern w:val="0"/>
          <w:sz w:val="24"/>
          <w:szCs w:val="24"/>
        </w:rPr>
        <w:t>规模约为</w:t>
      </w:r>
      <w:r>
        <w:rPr>
          <w:rFonts w:hint="eastAsia" w:ascii="宋体" w:hAnsi="宋体" w:eastAsia="宋体" w:cs="Times New Roman"/>
          <w:kern w:val="0"/>
          <w:sz w:val="24"/>
          <w:szCs w:val="24"/>
        </w:rPr>
        <w:t>900平方米，规划保留象山镇、玉峰镇和原智水乡垃圾转运站（现状均与污水处理厂合建）。</w:t>
      </w:r>
      <w:r>
        <w:rPr>
          <w:rFonts w:ascii="宋体" w:hAnsi="宋体" w:eastAsia="宋体" w:cs="Times New Roman"/>
          <w:kern w:val="0"/>
          <w:sz w:val="24"/>
          <w:szCs w:val="24"/>
        </w:rPr>
        <w:t>新增各村垃圾收集点，推行“户分类、村收集、镇转运、县处理”的模式，持续更新完善城乡生活垃圾收运体系，片区生活垃圾经科学分类后全部收运至射洪垃圾焚烧发电厂进行处理处置。</w:t>
      </w:r>
      <w:r>
        <w:rPr>
          <w:rFonts w:hint="eastAsia" w:ascii="Calibri" w:hAnsi="Calibri" w:eastAsia="宋体" w:cs="Times New Roman"/>
          <w:b/>
          <w:sz w:val="24"/>
          <w:u w:val="single"/>
        </w:rPr>
        <w:t>医疗垃圾、危险废弃物必须单独收集、运输和处理，大英县无法自行处理处置的医疗垃圾、危险废弃物集中运至成都市医疗废物和危险固废处置中心进行处理处置。</w:t>
      </w:r>
    </w:p>
    <w:p>
      <w:pPr>
        <w:adjustRightInd w:val="0"/>
        <w:snapToGrid w:val="0"/>
        <w:spacing w:line="360" w:lineRule="auto"/>
        <w:ind w:firstLine="480" w:firstLineChars="200"/>
        <w:rPr>
          <w:rFonts w:ascii="宋体" w:hAnsi="宋体" w:eastAsia="宋体" w:cs="Times New Roman"/>
          <w:kern w:val="0"/>
          <w:sz w:val="24"/>
          <w:szCs w:val="24"/>
        </w:rPr>
      </w:pPr>
      <w:r>
        <w:rPr>
          <w:rFonts w:hint="eastAsia" w:ascii="宋体" w:hAnsi="宋体" w:eastAsia="宋体" w:cs="Times New Roman"/>
          <w:kern w:val="0"/>
          <w:sz w:val="24"/>
          <w:szCs w:val="24"/>
        </w:rPr>
        <w:t>各村保留现有公共厕所，各村应结合村委会配置一处公共厕所。根据农户居住形态，充分尊重群众意愿，因地制宜，选择适宜且农户接受的改厕技术模式整村连片推进农村户用卫生厕所改（建）工程，规划期末农村户用厕所普及率达到</w:t>
      </w:r>
      <w:r>
        <w:rPr>
          <w:rFonts w:ascii="宋体" w:hAnsi="宋体" w:eastAsia="宋体" w:cs="Times New Roman"/>
          <w:kern w:val="0"/>
          <w:sz w:val="24"/>
          <w:szCs w:val="24"/>
        </w:rPr>
        <w:t>100%</w:t>
      </w:r>
      <w:r>
        <w:rPr>
          <w:rFonts w:hint="eastAsia" w:ascii="宋体" w:hAnsi="宋体" w:eastAsia="宋体" w:cs="Times New Roman"/>
          <w:kern w:val="0"/>
          <w:sz w:val="24"/>
          <w:szCs w:val="24"/>
        </w:rPr>
        <w:t>。</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（七）邻避设施防护</w:t>
      </w:r>
    </w:p>
    <w:p>
      <w:pPr>
        <w:adjustRightInd w:val="0"/>
        <w:snapToGrid w:val="0"/>
        <w:spacing w:line="360" w:lineRule="auto"/>
        <w:ind w:firstLine="482" w:firstLineChars="200"/>
        <w:rPr>
          <w:rFonts w:ascii="Calibri" w:hAnsi="Calibri" w:eastAsia="宋体" w:cs="Times New Roman"/>
          <w:b/>
          <w:sz w:val="24"/>
          <w:u w:val="single"/>
        </w:rPr>
      </w:pPr>
      <w:r>
        <w:rPr>
          <w:rFonts w:hint="eastAsia" w:ascii="Calibri" w:hAnsi="Calibri" w:eastAsia="宋体" w:cs="Times New Roman"/>
          <w:b/>
          <w:sz w:val="24"/>
          <w:u w:val="single"/>
        </w:rPr>
        <w:t>片区污水处理厂、垃圾转运站、变电站、燃气站场、加油加气站、高压电力线、高压燃气管道等邻避设施按法律法规和标准要求预留安全和卫生防护距离，减少邻避效应。</w:t>
      </w:r>
    </w:p>
    <w:p>
      <w:pPr>
        <w:adjustRightInd w:val="0"/>
        <w:snapToGrid w:val="0"/>
        <w:spacing w:line="360" w:lineRule="auto"/>
        <w:ind w:firstLine="482" w:firstLineChars="200"/>
        <w:rPr>
          <w:rFonts w:ascii="黑体" w:hAnsi="黑体" w:eastAsia="黑体" w:cs="Times New Roman"/>
          <w:b/>
          <w:kern w:val="0"/>
          <w:sz w:val="24"/>
          <w:szCs w:val="24"/>
        </w:rPr>
      </w:pPr>
      <w:r>
        <w:rPr>
          <w:rFonts w:hint="eastAsia" w:ascii="黑体" w:hAnsi="黑体" w:eastAsia="黑体" w:cs="Times New Roman"/>
          <w:b/>
          <w:kern w:val="0"/>
          <w:sz w:val="24"/>
          <w:szCs w:val="24"/>
        </w:rPr>
        <w:t>四、防灾设施规划</w:t>
      </w:r>
    </w:p>
    <w:p>
      <w:pPr>
        <w:adjustRightInd w:val="0"/>
        <w:snapToGrid w:val="0"/>
        <w:spacing w:line="360" w:lineRule="auto"/>
        <w:ind w:firstLine="480" w:firstLineChars="200"/>
        <w:rPr>
          <w:rFonts w:ascii="宋体" w:hAnsi="宋体" w:eastAsia="宋体" w:cs="Times New Roman"/>
          <w:kern w:val="0"/>
          <w:sz w:val="24"/>
          <w:szCs w:val="24"/>
        </w:rPr>
      </w:pPr>
      <w:r>
        <w:rPr>
          <w:rFonts w:hint="eastAsia" w:ascii="宋体" w:hAnsi="宋体" w:eastAsia="宋体" w:cs="Times New Roman"/>
          <w:kern w:val="0"/>
          <w:sz w:val="24"/>
          <w:szCs w:val="24"/>
        </w:rPr>
        <w:t>完善应急救援力量建设和物资保障体系，推进应急避难场所规范化设置，布局各类防灾设施，全面提升片区自然灾害综合防治和应急管理能力，保护好人民群众生命财产安全和社会稳定。</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（一）应急体系构建</w:t>
      </w:r>
    </w:p>
    <w:p>
      <w:pPr>
        <w:adjustRightInd w:val="0"/>
        <w:snapToGrid w:val="0"/>
        <w:spacing w:line="360" w:lineRule="auto"/>
        <w:ind w:firstLine="480" w:firstLineChars="200"/>
        <w:rPr>
          <w:rFonts w:ascii="宋体" w:hAnsi="宋体" w:eastAsia="宋体" w:cs="Times New Roman"/>
          <w:kern w:val="0"/>
          <w:sz w:val="24"/>
          <w:szCs w:val="24"/>
        </w:rPr>
      </w:pPr>
      <w:r>
        <w:rPr>
          <w:rFonts w:ascii="Calibri" w:hAnsi="Calibri" w:eastAsia="宋体" w:cs="Times New Roman"/>
          <w:sz w:val="24"/>
        </w:rPr>
        <w:t>优化防灾设施配置，构建安全、及时的防灾预警体系，提升城市韧性。构建</w:t>
      </w:r>
      <w:r>
        <w:rPr>
          <w:rFonts w:hint="eastAsia" w:ascii="Calibri" w:hAnsi="Calibri" w:eastAsia="宋体" w:cs="Times New Roman"/>
          <w:sz w:val="24"/>
        </w:rPr>
        <w:t>河边镇</w:t>
      </w:r>
      <w:r>
        <w:rPr>
          <w:rFonts w:ascii="Calibri" w:hAnsi="Calibri" w:eastAsia="宋体" w:cs="Times New Roman"/>
          <w:sz w:val="24"/>
        </w:rPr>
        <w:t>为主、象山和</w:t>
      </w:r>
      <w:r>
        <w:rPr>
          <w:rFonts w:hint="eastAsia" w:ascii="Calibri" w:hAnsi="Calibri" w:eastAsia="宋体" w:cs="Times New Roman"/>
          <w:sz w:val="24"/>
        </w:rPr>
        <w:t>玉峰</w:t>
      </w:r>
      <w:r>
        <w:rPr>
          <w:rFonts w:ascii="Calibri" w:hAnsi="Calibri" w:eastAsia="宋体" w:cs="Times New Roman"/>
          <w:sz w:val="24"/>
        </w:rPr>
        <w:t>救援为补充的</w:t>
      </w:r>
      <w:r>
        <w:rPr>
          <w:rFonts w:hint="eastAsia" w:ascii="Calibri" w:hAnsi="Calibri" w:eastAsia="宋体" w:cs="Times New Roman"/>
          <w:sz w:val="24"/>
        </w:rPr>
        <w:t>“</w:t>
      </w:r>
      <w:r>
        <w:rPr>
          <w:rFonts w:ascii="Calibri" w:hAnsi="Calibri" w:eastAsia="宋体" w:cs="Times New Roman"/>
          <w:sz w:val="24"/>
        </w:rPr>
        <w:t>一主两</w:t>
      </w:r>
      <w:r>
        <w:rPr>
          <w:rFonts w:hint="eastAsia" w:ascii="Calibri" w:hAnsi="Calibri" w:eastAsia="宋体" w:cs="Times New Roman"/>
          <w:sz w:val="24"/>
        </w:rPr>
        <w:t>辅”的</w:t>
      </w:r>
      <w:r>
        <w:rPr>
          <w:rFonts w:ascii="Calibri" w:hAnsi="Calibri" w:eastAsia="宋体" w:cs="Times New Roman"/>
          <w:sz w:val="24"/>
        </w:rPr>
        <w:t>应急服务体系</w:t>
      </w:r>
      <w:r>
        <w:rPr>
          <w:rFonts w:hint="eastAsia" w:ascii="Calibri" w:hAnsi="Calibri" w:eastAsia="宋体" w:cs="Times New Roman"/>
          <w:sz w:val="24"/>
        </w:rPr>
        <w:t>，</w:t>
      </w:r>
      <w:r>
        <w:rPr>
          <w:rFonts w:hint="eastAsia" w:ascii="Calibri" w:hAnsi="Calibri" w:eastAsia="宋体" w:cs="Times New Roman"/>
          <w:b/>
          <w:sz w:val="24"/>
          <w:u w:val="single"/>
        </w:rPr>
        <w:t>河边</w:t>
      </w:r>
      <w:r>
        <w:rPr>
          <w:rFonts w:ascii="Calibri" w:hAnsi="Calibri" w:eastAsia="宋体" w:cs="Times New Roman"/>
          <w:b/>
          <w:sz w:val="24"/>
          <w:u w:val="single"/>
        </w:rPr>
        <w:t>镇建立片区综合应急指挥中心，象山镇、</w:t>
      </w:r>
      <w:r>
        <w:rPr>
          <w:rFonts w:hint="eastAsia" w:ascii="Calibri" w:hAnsi="Calibri" w:eastAsia="宋体" w:cs="Times New Roman"/>
          <w:b/>
          <w:sz w:val="24"/>
          <w:u w:val="single"/>
        </w:rPr>
        <w:t>玉峰</w:t>
      </w:r>
      <w:r>
        <w:rPr>
          <w:rFonts w:ascii="Calibri" w:hAnsi="Calibri" w:eastAsia="宋体" w:cs="Times New Roman"/>
          <w:b/>
          <w:sz w:val="24"/>
          <w:u w:val="single"/>
        </w:rPr>
        <w:t>镇建立综合应急指挥副中心。</w:t>
      </w:r>
      <w:r>
        <w:rPr>
          <w:rFonts w:ascii="Calibri" w:hAnsi="Calibri" w:eastAsia="宋体" w:cs="Times New Roman"/>
          <w:sz w:val="24"/>
        </w:rPr>
        <w:t>采取就近疏散原则，利用广场、学校运动场等开阔空间建立避难场所</w:t>
      </w:r>
      <w:r>
        <w:rPr>
          <w:rFonts w:hint="eastAsia" w:ascii="Calibri" w:hAnsi="Calibri" w:eastAsia="宋体" w:cs="Times New Roman"/>
          <w:sz w:val="24"/>
        </w:rPr>
        <w:t>，</w:t>
      </w:r>
      <w:r>
        <w:rPr>
          <w:rFonts w:eastAsia="宋体" w:cs="Times New Roman" w:asciiTheme="minorEastAsia" w:hAnsiTheme="minorEastAsia"/>
          <w:b/>
          <w:kern w:val="0"/>
          <w:sz w:val="24"/>
          <w:szCs w:val="24"/>
          <w:u w:val="single"/>
        </w:rPr>
        <w:t>每个场镇不少于3处，各村不少于1处，共计</w:t>
      </w:r>
      <w:r>
        <w:rPr>
          <w:rFonts w:hint="eastAsia" w:eastAsia="宋体" w:cs="Times New Roman" w:asciiTheme="minorEastAsia" w:hAnsiTheme="minorEastAsia"/>
          <w:b/>
          <w:kern w:val="0"/>
          <w:sz w:val="24"/>
          <w:szCs w:val="24"/>
          <w:u w:val="single"/>
        </w:rPr>
        <w:t>82</w:t>
      </w:r>
      <w:r>
        <w:rPr>
          <w:rFonts w:eastAsia="宋体" w:cs="Times New Roman" w:asciiTheme="minorEastAsia" w:hAnsiTheme="minorEastAsia"/>
          <w:b/>
          <w:kern w:val="0"/>
          <w:sz w:val="24"/>
          <w:szCs w:val="24"/>
          <w:u w:val="single"/>
        </w:rPr>
        <w:t>处</w:t>
      </w:r>
      <w:r>
        <w:rPr>
          <w:rFonts w:hint="eastAsia" w:eastAsia="宋体" w:cs="Times New Roman" w:asciiTheme="minorEastAsia" w:hAnsiTheme="minorEastAsia"/>
          <w:b/>
          <w:kern w:val="0"/>
          <w:sz w:val="24"/>
          <w:szCs w:val="24"/>
          <w:u w:val="single"/>
        </w:rPr>
        <w:t>。</w:t>
      </w:r>
      <w:r>
        <w:rPr>
          <w:rFonts w:eastAsia="宋体" w:cs="Times New Roman" w:asciiTheme="minorEastAsia" w:hAnsiTheme="minorEastAsia"/>
          <w:b/>
          <w:kern w:val="0"/>
          <w:sz w:val="24"/>
          <w:szCs w:val="24"/>
          <w:u w:val="single"/>
        </w:rPr>
        <w:t>其中河边镇固定避难场所7处，临时避难场所4处</w:t>
      </w:r>
      <w:r>
        <w:rPr>
          <w:rFonts w:hint="eastAsia" w:eastAsia="宋体" w:cs="Times New Roman" w:asciiTheme="minorEastAsia" w:hAnsiTheme="minorEastAsia"/>
          <w:b/>
          <w:kern w:val="0"/>
          <w:sz w:val="24"/>
          <w:szCs w:val="24"/>
          <w:u w:val="single"/>
        </w:rPr>
        <w:t>，</w:t>
      </w:r>
      <w:r>
        <w:rPr>
          <w:rFonts w:eastAsia="宋体" w:cs="Times New Roman" w:asciiTheme="minorEastAsia" w:hAnsiTheme="minorEastAsia"/>
          <w:b/>
          <w:kern w:val="0"/>
          <w:sz w:val="24"/>
          <w:szCs w:val="24"/>
          <w:u w:val="single"/>
        </w:rPr>
        <w:t>象山镇固定避难场所</w:t>
      </w:r>
      <w:r>
        <w:rPr>
          <w:rFonts w:hint="eastAsia" w:eastAsia="宋体" w:cs="Times New Roman" w:asciiTheme="minorEastAsia" w:hAnsiTheme="minorEastAsia"/>
          <w:b/>
          <w:kern w:val="0"/>
          <w:sz w:val="24"/>
          <w:szCs w:val="24"/>
          <w:u w:val="single"/>
        </w:rPr>
        <w:t>5</w:t>
      </w:r>
      <w:r>
        <w:rPr>
          <w:rFonts w:eastAsia="宋体" w:cs="Times New Roman" w:asciiTheme="minorEastAsia" w:hAnsiTheme="minorEastAsia"/>
          <w:b/>
          <w:kern w:val="0"/>
          <w:sz w:val="24"/>
          <w:szCs w:val="24"/>
          <w:u w:val="single"/>
        </w:rPr>
        <w:t>处，临时避难场所</w:t>
      </w:r>
      <w:r>
        <w:rPr>
          <w:rFonts w:hint="eastAsia" w:eastAsia="宋体" w:cs="Times New Roman" w:asciiTheme="minorEastAsia" w:hAnsiTheme="minorEastAsia"/>
          <w:b/>
          <w:kern w:val="0"/>
          <w:sz w:val="24"/>
          <w:szCs w:val="24"/>
          <w:u w:val="single"/>
        </w:rPr>
        <w:t>3</w:t>
      </w:r>
      <w:r>
        <w:rPr>
          <w:rFonts w:eastAsia="宋体" w:cs="Times New Roman" w:asciiTheme="minorEastAsia" w:hAnsiTheme="minorEastAsia"/>
          <w:b/>
          <w:kern w:val="0"/>
          <w:sz w:val="24"/>
          <w:szCs w:val="24"/>
          <w:u w:val="single"/>
        </w:rPr>
        <w:t>处</w:t>
      </w:r>
      <w:r>
        <w:rPr>
          <w:rFonts w:hint="eastAsia" w:eastAsia="宋体" w:cs="Times New Roman" w:asciiTheme="minorEastAsia" w:hAnsiTheme="minorEastAsia"/>
          <w:b/>
          <w:kern w:val="0"/>
          <w:sz w:val="24"/>
          <w:szCs w:val="24"/>
          <w:u w:val="single"/>
        </w:rPr>
        <w:t>，</w:t>
      </w:r>
      <w:r>
        <w:rPr>
          <w:rFonts w:eastAsia="宋体" w:cs="Times New Roman" w:asciiTheme="minorEastAsia" w:hAnsiTheme="minorEastAsia"/>
          <w:b/>
          <w:kern w:val="0"/>
          <w:sz w:val="24"/>
          <w:szCs w:val="24"/>
          <w:u w:val="single"/>
        </w:rPr>
        <w:t>玉峰镇固定避难场所</w:t>
      </w:r>
      <w:r>
        <w:rPr>
          <w:rFonts w:hint="eastAsia" w:eastAsia="宋体" w:cs="Times New Roman" w:asciiTheme="minorEastAsia" w:hAnsiTheme="minorEastAsia"/>
          <w:b/>
          <w:kern w:val="0"/>
          <w:sz w:val="24"/>
          <w:szCs w:val="24"/>
          <w:u w:val="single"/>
        </w:rPr>
        <w:t>2</w:t>
      </w:r>
      <w:r>
        <w:rPr>
          <w:rFonts w:eastAsia="宋体" w:cs="Times New Roman" w:asciiTheme="minorEastAsia" w:hAnsiTheme="minorEastAsia"/>
          <w:b/>
          <w:kern w:val="0"/>
          <w:sz w:val="24"/>
          <w:szCs w:val="24"/>
          <w:u w:val="single"/>
        </w:rPr>
        <w:t>处，临时避难场所</w:t>
      </w:r>
      <w:r>
        <w:rPr>
          <w:rFonts w:hint="eastAsia" w:eastAsia="宋体" w:cs="Times New Roman" w:asciiTheme="minorEastAsia" w:hAnsiTheme="minorEastAsia"/>
          <w:b/>
          <w:kern w:val="0"/>
          <w:sz w:val="24"/>
          <w:szCs w:val="24"/>
          <w:u w:val="single"/>
        </w:rPr>
        <w:t>2</w:t>
      </w:r>
      <w:r>
        <w:rPr>
          <w:rFonts w:eastAsia="宋体" w:cs="Times New Roman" w:asciiTheme="minorEastAsia" w:hAnsiTheme="minorEastAsia"/>
          <w:b/>
          <w:kern w:val="0"/>
          <w:sz w:val="24"/>
          <w:szCs w:val="24"/>
          <w:u w:val="single"/>
        </w:rPr>
        <w:t>处</w:t>
      </w:r>
      <w:r>
        <w:rPr>
          <w:rFonts w:ascii="Calibri" w:hAnsi="Calibri" w:eastAsia="宋体" w:cs="Times New Roman"/>
          <w:b/>
          <w:sz w:val="24"/>
          <w:u w:val="single"/>
        </w:rPr>
        <w:t>；人均有效避灾面积1.5平方米以上</w:t>
      </w:r>
      <w:r>
        <w:rPr>
          <w:rFonts w:ascii="Calibri" w:hAnsi="Calibri" w:eastAsia="宋体" w:cs="Times New Roman"/>
          <w:sz w:val="24"/>
        </w:rPr>
        <w:t>。结合</w:t>
      </w:r>
      <w:r>
        <w:rPr>
          <w:rFonts w:hint="eastAsia" w:ascii="Calibri" w:hAnsi="Calibri" w:eastAsia="宋体" w:cs="Times New Roman"/>
          <w:sz w:val="24"/>
        </w:rPr>
        <w:t>河边镇集散中心</w:t>
      </w:r>
      <w:r>
        <w:rPr>
          <w:rFonts w:ascii="Calibri" w:hAnsi="Calibri" w:eastAsia="宋体" w:cs="Times New Roman"/>
          <w:sz w:val="24"/>
        </w:rPr>
        <w:t>新建1处物资储备中心，</w:t>
      </w:r>
      <w:r>
        <w:rPr>
          <w:rFonts w:hint="eastAsia" w:ascii="Calibri" w:hAnsi="Calibri" w:eastAsia="宋体" w:cs="Times New Roman"/>
          <w:sz w:val="24"/>
        </w:rPr>
        <w:t>象山</w:t>
      </w:r>
      <w:r>
        <w:rPr>
          <w:rFonts w:ascii="Calibri" w:hAnsi="Calibri" w:eastAsia="宋体" w:cs="Times New Roman"/>
          <w:sz w:val="24"/>
        </w:rPr>
        <w:t>镇、</w:t>
      </w:r>
      <w:r>
        <w:rPr>
          <w:rFonts w:hint="eastAsia" w:ascii="Calibri" w:hAnsi="Calibri" w:eastAsia="宋体" w:cs="Times New Roman"/>
          <w:sz w:val="24"/>
        </w:rPr>
        <w:t>玉峰</w:t>
      </w:r>
      <w:r>
        <w:rPr>
          <w:rFonts w:ascii="Calibri" w:hAnsi="Calibri" w:eastAsia="宋体" w:cs="Times New Roman"/>
          <w:sz w:val="24"/>
        </w:rPr>
        <w:t>镇结合规划的农事服务中心各新建1处物资储备库，各村、重点企业和单位建立应急物资储备点。</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（二）消防规划</w:t>
      </w:r>
    </w:p>
    <w:p>
      <w:pPr>
        <w:spacing w:line="360" w:lineRule="auto"/>
        <w:ind w:firstLine="472" w:firstLineChars="196"/>
        <w:rPr>
          <w:rFonts w:ascii="Calibri" w:hAnsi="Calibri" w:eastAsia="宋体" w:cs="Times New Roman"/>
          <w:sz w:val="24"/>
        </w:rPr>
      </w:pPr>
      <w:r>
        <w:rPr>
          <w:rFonts w:eastAsia="宋体" w:cs="Times New Roman" w:asciiTheme="minorEastAsia" w:hAnsiTheme="minorEastAsia"/>
          <w:b/>
          <w:kern w:val="0"/>
          <w:sz w:val="24"/>
          <w:szCs w:val="24"/>
          <w:u w:val="single"/>
        </w:rPr>
        <w:t>在河边镇规划1处乡镇一级专职消防队，改造象山镇现状消防队</w:t>
      </w:r>
      <w:r>
        <w:rPr>
          <w:rFonts w:ascii="Calibri" w:hAnsi="Calibri" w:eastAsia="宋体" w:cs="Times New Roman"/>
          <w:b/>
          <w:sz w:val="24"/>
          <w:u w:val="single"/>
        </w:rPr>
        <w:t>为乡镇一级专职消防队，结合玉峰派出所增设乡镇志愿队</w:t>
      </w:r>
      <w:r>
        <w:rPr>
          <w:rFonts w:hint="eastAsia" w:ascii="Calibri" w:hAnsi="Calibri" w:eastAsia="宋体" w:cs="Times New Roman"/>
          <w:b/>
          <w:sz w:val="24"/>
          <w:u w:val="single"/>
        </w:rPr>
        <w:t>，按照120米服务半径在</w:t>
      </w:r>
      <w:r>
        <w:rPr>
          <w:rFonts w:ascii="Calibri" w:hAnsi="Calibri" w:eastAsia="宋体" w:cs="Times New Roman"/>
          <w:b/>
          <w:sz w:val="24"/>
          <w:u w:val="single"/>
        </w:rPr>
        <w:t>各场镇主要道路内增设室外消火栓。结合郪江、幸福溪、濛溪河设置消防取水点</w:t>
      </w:r>
      <w:r>
        <w:rPr>
          <w:rFonts w:hint="eastAsia" w:ascii="Calibri" w:hAnsi="Calibri" w:eastAsia="宋体" w:cs="Times New Roman"/>
          <w:b/>
          <w:sz w:val="24"/>
          <w:u w:val="single"/>
        </w:rPr>
        <w:t>。</w:t>
      </w:r>
      <w:r>
        <w:rPr>
          <w:rFonts w:eastAsia="宋体" w:cs="Times New Roman" w:asciiTheme="minorEastAsia" w:hAnsiTheme="minorEastAsia"/>
          <w:kern w:val="0"/>
          <w:sz w:val="24"/>
          <w:szCs w:val="24"/>
        </w:rPr>
        <w:t>各行政村、重点防控单位</w:t>
      </w:r>
      <w:r>
        <w:rPr>
          <w:rFonts w:hint="eastAsia" w:eastAsia="宋体" w:cs="Times New Roman" w:asciiTheme="minorEastAsia" w:hAnsiTheme="minorEastAsia"/>
          <w:kern w:val="0"/>
          <w:sz w:val="24"/>
          <w:szCs w:val="24"/>
        </w:rPr>
        <w:t>依托应急分队设立微型消防室，建立最小消防应急单元。</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（三）防洪规划</w:t>
      </w:r>
    </w:p>
    <w:p>
      <w:pPr>
        <w:adjustRightInd w:val="0"/>
        <w:snapToGrid w:val="0"/>
        <w:spacing w:line="360" w:lineRule="auto"/>
        <w:ind w:firstLine="482" w:firstLineChars="200"/>
        <w:rPr>
          <w:rFonts w:eastAsia="宋体" w:cs="Times New Roman" w:asciiTheme="minorEastAsia" w:hAnsiTheme="minorEastAsia"/>
          <w:b/>
          <w:kern w:val="0"/>
          <w:sz w:val="24"/>
          <w:szCs w:val="24"/>
          <w:u w:val="single"/>
        </w:rPr>
      </w:pPr>
      <w:r>
        <w:rPr>
          <w:rFonts w:eastAsia="宋体" w:cs="Times New Roman" w:asciiTheme="minorEastAsia" w:hAnsiTheme="minorEastAsia"/>
          <w:b/>
          <w:kern w:val="0"/>
          <w:sz w:val="24"/>
          <w:szCs w:val="24"/>
          <w:u w:val="single"/>
        </w:rPr>
        <w:t>本片区三镇按10</w:t>
      </w:r>
      <w:r>
        <w:rPr>
          <w:rFonts w:hint="eastAsia" w:eastAsia="宋体" w:cs="Times New Roman" w:asciiTheme="minorEastAsia" w:hAnsiTheme="minorEastAsia"/>
          <w:b/>
          <w:kern w:val="0"/>
          <w:sz w:val="24"/>
          <w:szCs w:val="24"/>
          <w:u w:val="single"/>
        </w:rPr>
        <w:t>—20</w:t>
      </w:r>
      <w:r>
        <w:rPr>
          <w:rFonts w:eastAsia="宋体" w:cs="Times New Roman" w:asciiTheme="minorEastAsia" w:hAnsiTheme="minorEastAsia"/>
          <w:b/>
          <w:kern w:val="0"/>
          <w:sz w:val="24"/>
          <w:szCs w:val="24"/>
          <w:u w:val="single"/>
        </w:rPr>
        <w:t>年一遇的防洪标准设防</w:t>
      </w:r>
      <w:r>
        <w:rPr>
          <w:rFonts w:hint="eastAsia" w:eastAsia="宋体" w:cs="Times New Roman" w:asciiTheme="minorEastAsia" w:hAnsiTheme="minorEastAsia"/>
          <w:b/>
          <w:kern w:val="0"/>
          <w:sz w:val="24"/>
          <w:szCs w:val="24"/>
          <w:u w:val="single"/>
        </w:rPr>
        <w:t>。河边镇镇区的河流（濛溪河）按10年一遇洪水标准设防；象山镇镇区的主要河流为郪江和龙溪河，郪江按20年一遇、龙溪河按10年一遇洪水标准设防；玉峰镇镇区的主要河流为幸福溪，按10年一遇洪水标准设防。</w:t>
      </w:r>
      <w:r>
        <w:rPr>
          <w:rFonts w:eastAsia="宋体" w:cs="Times New Roman" w:asciiTheme="minorEastAsia" w:hAnsiTheme="minorEastAsia"/>
          <w:b/>
          <w:kern w:val="0"/>
          <w:sz w:val="24"/>
          <w:szCs w:val="24"/>
          <w:u w:val="single"/>
        </w:rPr>
        <w:t>建构绿色生态防洪体系、排水防涝体系。利用郪江、马力河等河流建设洪水排放通道，将无序排放的雨洪有组织疏导。</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（四）抗震</w:t>
      </w:r>
      <w:r>
        <w:rPr>
          <w:rFonts w:eastAsia="宋体" w:cs="Times New Roman" w:asciiTheme="minorEastAsia" w:hAnsiTheme="minorEastAsia"/>
          <w:b/>
          <w:kern w:val="0"/>
          <w:sz w:val="24"/>
          <w:szCs w:val="24"/>
        </w:rPr>
        <w:t>减灾规划</w:t>
      </w:r>
    </w:p>
    <w:p>
      <w:pPr>
        <w:adjustRightInd w:val="0"/>
        <w:snapToGrid w:val="0"/>
        <w:spacing w:line="360" w:lineRule="auto"/>
        <w:ind w:firstLine="482" w:firstLineChars="200"/>
        <w:rPr>
          <w:rFonts w:eastAsia="宋体" w:cs="Times New Roman" w:asciiTheme="minorEastAsia" w:hAnsiTheme="minorEastAsia"/>
          <w:b/>
          <w:kern w:val="0"/>
          <w:sz w:val="24"/>
          <w:szCs w:val="24"/>
          <w:u w:val="single"/>
        </w:rPr>
      </w:pPr>
      <w:r>
        <w:rPr>
          <w:rFonts w:hint="eastAsia" w:eastAsia="宋体" w:cs="Times New Roman" w:asciiTheme="minorEastAsia" w:hAnsiTheme="minorEastAsia"/>
          <w:b/>
          <w:kern w:val="0"/>
          <w:sz w:val="24"/>
          <w:szCs w:val="24"/>
          <w:u w:val="single"/>
        </w:rPr>
        <w:t>依据《中国地震动参数区划图》，片区地震动峰值加速度为</w:t>
      </w:r>
      <w:r>
        <w:rPr>
          <w:rFonts w:eastAsia="宋体" w:cs="Times New Roman" w:asciiTheme="minorEastAsia" w:hAnsiTheme="minorEastAsia"/>
          <w:b/>
          <w:kern w:val="0"/>
          <w:sz w:val="24"/>
          <w:szCs w:val="24"/>
          <w:u w:val="single"/>
        </w:rPr>
        <w:t>0.05g</w:t>
      </w:r>
      <w:r>
        <w:rPr>
          <w:rFonts w:hint="eastAsia" w:eastAsia="宋体" w:cs="Times New Roman" w:asciiTheme="minorEastAsia" w:hAnsiTheme="minorEastAsia"/>
          <w:b/>
          <w:kern w:val="0"/>
          <w:sz w:val="24"/>
          <w:szCs w:val="24"/>
          <w:u w:val="single"/>
        </w:rPr>
        <w:t>，地震动</w:t>
      </w:r>
    </w:p>
    <w:p>
      <w:pPr>
        <w:adjustRightInd w:val="0"/>
        <w:snapToGrid w:val="0"/>
        <w:spacing w:line="360" w:lineRule="auto"/>
        <w:rPr>
          <w:rFonts w:eastAsia="宋体" w:cs="Times New Roman" w:asciiTheme="minorEastAsia" w:hAnsiTheme="minorEastAsia"/>
          <w:b/>
          <w:kern w:val="0"/>
          <w:sz w:val="24"/>
          <w:szCs w:val="24"/>
          <w:u w:val="single"/>
        </w:rPr>
      </w:pPr>
      <w:r>
        <w:rPr>
          <w:rFonts w:hint="eastAsia" w:eastAsia="宋体" w:cs="Times New Roman" w:asciiTheme="minorEastAsia" w:hAnsiTheme="minorEastAsia"/>
          <w:b/>
          <w:kern w:val="0"/>
          <w:sz w:val="24"/>
          <w:szCs w:val="24"/>
          <w:u w:val="single"/>
        </w:rPr>
        <w:t>反应谱特征周期秒</w:t>
      </w:r>
      <w:r>
        <w:rPr>
          <w:rFonts w:eastAsia="宋体" w:cs="Times New Roman" w:asciiTheme="minorEastAsia" w:hAnsiTheme="minorEastAsia"/>
          <w:b/>
          <w:kern w:val="0"/>
          <w:sz w:val="24"/>
          <w:szCs w:val="24"/>
          <w:u w:val="single"/>
        </w:rPr>
        <w:t>0.35s</w:t>
      </w:r>
      <w:r>
        <w:rPr>
          <w:rFonts w:hint="eastAsia" w:eastAsia="宋体" w:cs="Times New Roman" w:asciiTheme="minorEastAsia" w:hAnsiTheme="minorEastAsia"/>
          <w:b/>
          <w:kern w:val="0"/>
          <w:sz w:val="24"/>
          <w:szCs w:val="24"/>
          <w:u w:val="single"/>
        </w:rPr>
        <w:t>，抗震设防基本烈度值为Ⅵ度。重大基础设施工程、生</w:t>
      </w:r>
    </w:p>
    <w:p>
      <w:pPr>
        <w:adjustRightInd w:val="0"/>
        <w:snapToGrid w:val="0"/>
        <w:spacing w:line="360" w:lineRule="auto"/>
        <w:rPr>
          <w:rFonts w:eastAsia="宋体" w:cs="Times New Roman" w:asciiTheme="minorEastAsia" w:hAnsiTheme="minorEastAsia"/>
          <w:b/>
          <w:kern w:val="0"/>
          <w:sz w:val="24"/>
          <w:szCs w:val="24"/>
          <w:u w:val="single"/>
        </w:rPr>
      </w:pPr>
      <w:r>
        <w:rPr>
          <w:rFonts w:hint="eastAsia" w:eastAsia="宋体" w:cs="Times New Roman" w:asciiTheme="minorEastAsia" w:hAnsiTheme="minorEastAsia"/>
          <w:b/>
          <w:kern w:val="0"/>
          <w:sz w:val="24"/>
          <w:szCs w:val="24"/>
          <w:u w:val="single"/>
        </w:rPr>
        <w:t>命线工程、易发生次生灾害的设施应按照《建筑工程抗震设防分类标准》要求进行设防。对新建、扩建和改建工程中的重大建设工程和可能发生次生灾害的建设工程，必须进行地震安全性评价。</w:t>
      </w:r>
    </w:p>
    <w:p>
      <w:pPr>
        <w:adjustRightInd w:val="0"/>
        <w:snapToGrid w:val="0"/>
        <w:spacing w:line="360" w:lineRule="auto"/>
        <w:ind w:firstLine="480" w:firstLineChars="200"/>
        <w:rPr>
          <w:rFonts w:ascii="宋体" w:hAnsi="宋体" w:eastAsia="宋体" w:cs="Times New Roman"/>
          <w:kern w:val="0"/>
          <w:sz w:val="24"/>
          <w:szCs w:val="24"/>
        </w:rPr>
      </w:pPr>
      <w:r>
        <w:rPr>
          <w:rFonts w:hint="eastAsia" w:ascii="宋体" w:hAnsi="宋体" w:eastAsia="宋体" w:cs="Times New Roman"/>
          <w:kern w:val="0"/>
          <w:sz w:val="24"/>
          <w:szCs w:val="24"/>
        </w:rPr>
        <w:t>城镇建设及乡村居民点应选择对抗震有利的地段，严禁在断裂、滑坡等危险地带和地震可能引起火灾、水灾、泥石流等次生灾害的地区选址。全域应做详细地质勘察，规划建设应保证建设条件安全可靠，如需建设，在建设前必须先进行不良地质灾害评估，并根据评估报告进行治理，取得相关部门同意后方能</w:t>
      </w:r>
      <w:r>
        <w:rPr>
          <w:rFonts w:hint="eastAsia" w:ascii="宋体" w:hAnsi="宋体" w:eastAsia="宋体" w:cs="Times New Roman"/>
          <w:kern w:val="0"/>
          <w:sz w:val="24"/>
          <w:szCs w:val="24"/>
          <w:lang w:val="en-US" w:eastAsia="zh-CN"/>
        </w:rPr>
        <w:t>开</w:t>
      </w:r>
      <w:r>
        <w:rPr>
          <w:rFonts w:hint="eastAsia" w:ascii="宋体" w:hAnsi="宋体" w:eastAsia="宋体" w:cs="Times New Roman"/>
          <w:kern w:val="0"/>
          <w:sz w:val="24"/>
          <w:szCs w:val="24"/>
        </w:rPr>
        <w:t>展。</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（五）地质灾害防治规划</w:t>
      </w:r>
    </w:p>
    <w:p>
      <w:pPr>
        <w:adjustRightInd w:val="0"/>
        <w:snapToGrid w:val="0"/>
        <w:spacing w:line="360" w:lineRule="auto"/>
        <w:ind w:firstLine="480" w:firstLineChars="200"/>
        <w:rPr>
          <w:rFonts w:ascii="宋体" w:hAnsi="宋体" w:eastAsia="宋体" w:cs="Times New Roman"/>
          <w:kern w:val="0"/>
          <w:sz w:val="24"/>
          <w:szCs w:val="24"/>
        </w:rPr>
      </w:pPr>
      <w:r>
        <w:rPr>
          <w:rFonts w:hint="eastAsia" w:ascii="宋体" w:hAnsi="宋体" w:eastAsia="宋体" w:cs="Times New Roman"/>
          <w:kern w:val="0"/>
          <w:sz w:val="24"/>
          <w:szCs w:val="24"/>
        </w:rPr>
        <w:t>依据《四川省大英县地质灾害风险调查评价项目成果报告》，片区内现有地质灾害隐患点14处，其中滑坡12</w:t>
      </w:r>
      <w:r>
        <w:rPr>
          <w:rFonts w:ascii="宋体" w:hAnsi="宋体" w:eastAsia="宋体" w:cs="Times New Roman"/>
          <w:kern w:val="0"/>
          <w:sz w:val="24"/>
          <w:szCs w:val="24"/>
        </w:rPr>
        <w:t xml:space="preserve"> </w:t>
      </w:r>
      <w:r>
        <w:rPr>
          <w:rFonts w:hint="eastAsia" w:ascii="宋体" w:hAnsi="宋体" w:eastAsia="宋体" w:cs="Times New Roman"/>
          <w:kern w:val="0"/>
          <w:sz w:val="24"/>
          <w:szCs w:val="24"/>
        </w:rPr>
        <w:t>处，危岩2</w:t>
      </w:r>
      <w:r>
        <w:rPr>
          <w:rFonts w:ascii="宋体" w:hAnsi="宋体" w:eastAsia="宋体" w:cs="Times New Roman"/>
          <w:kern w:val="0"/>
          <w:sz w:val="24"/>
          <w:szCs w:val="24"/>
        </w:rPr>
        <w:t xml:space="preserve"> </w:t>
      </w:r>
      <w:r>
        <w:rPr>
          <w:rFonts w:hint="eastAsia" w:ascii="宋体" w:hAnsi="宋体" w:eastAsia="宋体" w:cs="Times New Roman"/>
          <w:kern w:val="0"/>
          <w:sz w:val="24"/>
          <w:szCs w:val="24"/>
        </w:rPr>
        <w:t>处，各类地质灾害点及影响范围面积共计48.49</w:t>
      </w:r>
      <w:r>
        <w:rPr>
          <w:rFonts w:ascii="宋体" w:hAnsi="宋体" w:eastAsia="宋体" w:cs="Times New Roman"/>
          <w:kern w:val="0"/>
          <w:sz w:val="24"/>
          <w:szCs w:val="24"/>
        </w:rPr>
        <w:t xml:space="preserve"> </w:t>
      </w:r>
      <w:r>
        <w:rPr>
          <w:rFonts w:hint="eastAsia" w:ascii="宋体" w:hAnsi="宋体" w:eastAsia="宋体" w:cs="Times New Roman"/>
          <w:kern w:val="0"/>
          <w:sz w:val="24"/>
          <w:szCs w:val="24"/>
        </w:rPr>
        <w:t>公顷。规划将区域内现状发育地质灾害点及影响范围划为地质灾害风险控制线，主要分布于象山镇域西北和东南两侧、河边镇域西侧和北侧。</w:t>
      </w:r>
    </w:p>
    <w:p>
      <w:pPr>
        <w:adjustRightInd w:val="0"/>
        <w:snapToGrid w:val="0"/>
        <w:spacing w:line="360" w:lineRule="auto"/>
        <w:ind w:firstLine="480" w:firstLineChars="200"/>
        <w:rPr>
          <w:rFonts w:ascii="宋体" w:hAnsi="宋体" w:eastAsia="宋体" w:cs="Times New Roman"/>
          <w:kern w:val="0"/>
          <w:sz w:val="24"/>
          <w:szCs w:val="24"/>
        </w:rPr>
      </w:pPr>
      <w:r>
        <w:rPr>
          <w:rFonts w:hint="eastAsia" w:ascii="宋体" w:hAnsi="宋体" w:eastAsia="宋体" w:cs="Times New Roman"/>
          <w:kern w:val="0"/>
          <w:sz w:val="24"/>
          <w:szCs w:val="24"/>
        </w:rPr>
        <w:t>依据地质灾害危险性评估，坚持预防为主、避让与治理相结合原则，采取以监测和避让措施为主，工程治理为辅等方式开展地质灾害防治。强化“人防</w:t>
      </w:r>
      <w:r>
        <w:rPr>
          <w:rFonts w:ascii="宋体" w:hAnsi="宋体" w:eastAsia="宋体" w:cs="Times New Roman"/>
          <w:kern w:val="0"/>
          <w:sz w:val="24"/>
          <w:szCs w:val="24"/>
        </w:rPr>
        <w:t>+</w:t>
      </w:r>
      <w:r>
        <w:rPr>
          <w:rFonts w:hint="eastAsia" w:ascii="宋体" w:hAnsi="宋体" w:eastAsia="宋体" w:cs="Times New Roman"/>
          <w:kern w:val="0"/>
          <w:sz w:val="24"/>
          <w:szCs w:val="24"/>
        </w:rPr>
        <w:t>技防”的监测预警网络建设，充分运用无人机、卫星遥感等高科技防灾设备和防灾手段，不断提升地质灾害监测预警科技水平。长远上采取生物防治措施和合理规划各类工程建设布局等防治措施。</w:t>
      </w:r>
    </w:p>
    <w:p>
      <w:pPr>
        <w:adjustRightInd w:val="0"/>
        <w:snapToGrid w:val="0"/>
        <w:spacing w:line="360" w:lineRule="auto"/>
        <w:ind w:firstLine="480" w:firstLineChars="200"/>
        <w:rPr>
          <w:rFonts w:ascii="宋体" w:hAnsi="宋体" w:eastAsia="宋体" w:cs="Times New Roman"/>
          <w:kern w:val="0"/>
          <w:sz w:val="24"/>
          <w:szCs w:val="24"/>
        </w:rPr>
      </w:pPr>
      <w:r>
        <w:rPr>
          <w:rFonts w:hint="eastAsia" w:ascii="宋体" w:hAnsi="宋体" w:eastAsia="宋体" w:cs="Times New Roman"/>
          <w:kern w:val="0"/>
          <w:sz w:val="24"/>
          <w:szCs w:val="24"/>
        </w:rPr>
        <w:t>城镇建设及乡村居民点应选择对抗震有利地段，严禁在崩塌、滑坡等危险地带和地震可能引起火灾、水灾等次生灾害的地区选址。全域应做详细地质勘察，规划建设应保证建设条件安全可靠，建设前必须先进行不良地质灾害评估，并根据评估报告进行治理，取得相关部门同意后方能开展。工程选址在考虑工程地基好坏的同时，应首先查清外围有无可能危及工程安全的地质灾害隐患存在，评估工程建设本身诱发地质灾害的可能性和遭受地质灾害的危险性，尽可能地避开地质灾害体。对于无法避让的，应采取必要的工程治理及保护措施。合理规范人类工程活动，杜绝或减轻诱发地质灾害发生的人为因素。</w:t>
      </w:r>
    </w:p>
    <w:p>
      <w:pPr>
        <w:adjustRightInd w:val="0"/>
        <w:snapToGrid w:val="0"/>
        <w:spacing w:line="360" w:lineRule="auto"/>
        <w:ind w:firstLine="480" w:firstLineChars="200"/>
        <w:rPr>
          <w:rFonts w:eastAsia="宋体" w:cs="Times New Roman" w:asciiTheme="minorEastAsia" w:hAnsiTheme="minorEastAsia"/>
          <w:b/>
          <w:kern w:val="0"/>
          <w:sz w:val="24"/>
          <w:szCs w:val="24"/>
          <w:u w:val="single"/>
        </w:rPr>
      </w:pPr>
      <w:r>
        <w:rPr>
          <w:rFonts w:hint="eastAsia" w:ascii="宋体" w:hAnsi="宋体" w:eastAsia="宋体" w:cs="Times New Roman"/>
          <w:kern w:val="0"/>
          <w:sz w:val="24"/>
          <w:szCs w:val="24"/>
        </w:rPr>
        <w:t>加强地质灾害防灾减灾应急能力建设，提升突发地质灾害事件应对水平。</w:t>
      </w:r>
      <w:r>
        <w:rPr>
          <w:rFonts w:hint="eastAsia" w:eastAsia="宋体" w:cs="Times New Roman" w:asciiTheme="minorEastAsia" w:hAnsiTheme="minorEastAsia"/>
          <w:b/>
          <w:kern w:val="0"/>
          <w:sz w:val="24"/>
          <w:szCs w:val="24"/>
          <w:u w:val="single"/>
        </w:rPr>
        <w:t>片区范围内各项施工建设均应委托具有相应资质的单位进行工程地质详细勘察，并依据工程地质详细勘察资料及地质灾害评估报告的建议和结论指导项目建设。</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（六）防疫规划</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构建乡镇级—村级两级防控体系，以社区、村为单元建立个58</w:t>
      </w:r>
      <w:r>
        <w:rPr>
          <w:rFonts w:eastAsia="宋体" w:cs="Times New Roman" w:asciiTheme="minorEastAsia" w:hAnsiTheme="minorEastAsia"/>
          <w:kern w:val="0"/>
          <w:sz w:val="24"/>
          <w:szCs w:val="24"/>
        </w:rPr>
        <w:t xml:space="preserve"> </w:t>
      </w:r>
      <w:r>
        <w:rPr>
          <w:rFonts w:hint="eastAsia" w:eastAsia="宋体" w:cs="Times New Roman" w:asciiTheme="minorEastAsia" w:hAnsiTheme="minorEastAsia"/>
          <w:kern w:val="0"/>
          <w:sz w:val="24"/>
          <w:szCs w:val="24"/>
        </w:rPr>
        <w:t>公共卫生安全管控分区。规划在河边、玉峰镇区配套建设应对突发公共卫生事件的相关医疗设施，可结合河边镇县域医疗卫生次中心建设和玉峰医养中心及河边康养中心建设，考虑在常规病区之外增设规模适度且具有高院感控制功效的传染病后备诊疗区，在非疫情期间可用作普通病区，在重大传染病疫情发生时可迅速转变为功能独立的传染病患者救治区。结合镇区规划留白，预留急疫病防控救治用地，预留交通和基础设施接入条件。结合村委会或卫生室设立公共卫生安全管控观察点，确保发生相关疫情时能快速采取措施进行控制。</w:t>
      </w:r>
    </w:p>
    <w:p>
      <w:pPr>
        <w:pStyle w:val="36"/>
        <w:numPr>
          <w:ilvl w:val="0"/>
          <w:numId w:val="5"/>
        </w:numPr>
        <w:spacing w:beforeLines="50" w:afterLines="50"/>
        <w:ind w:firstLineChars="0"/>
        <w:jc w:val="center"/>
        <w:rPr>
          <w:rFonts w:ascii="黑体" w:hAnsi="黑体" w:eastAsia="黑体"/>
          <w:b w:val="0"/>
          <w:kern w:val="2"/>
        </w:rPr>
      </w:pPr>
      <w:bookmarkStart w:id="25" w:name="_Toc166772174"/>
      <w:r>
        <w:rPr>
          <w:rFonts w:hint="eastAsia" w:ascii="黑体" w:hAnsi="黑体" w:eastAsia="黑体"/>
          <w:b w:val="0"/>
          <w:kern w:val="2"/>
        </w:rPr>
        <w:t>品质提升规划</w:t>
      </w:r>
      <w:bookmarkEnd w:id="25"/>
    </w:p>
    <w:p>
      <w:pPr>
        <w:adjustRightInd w:val="0"/>
        <w:snapToGrid w:val="0"/>
        <w:spacing w:line="360" w:lineRule="auto"/>
        <w:ind w:firstLine="482" w:firstLineChars="200"/>
        <w:rPr>
          <w:rFonts w:ascii="黑体" w:hAnsi="黑体" w:eastAsia="黑体" w:cs="Times New Roman"/>
          <w:b/>
          <w:kern w:val="0"/>
          <w:sz w:val="24"/>
          <w:szCs w:val="24"/>
        </w:rPr>
      </w:pPr>
      <w:r>
        <w:rPr>
          <w:rFonts w:hint="eastAsia" w:ascii="黑体" w:hAnsi="黑体" w:eastAsia="黑体" w:cs="Times New Roman"/>
          <w:b/>
          <w:kern w:val="0"/>
          <w:sz w:val="24"/>
          <w:szCs w:val="24"/>
        </w:rPr>
        <w:t>一、乡村人居环境质量</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（一）</w:t>
      </w:r>
      <w:r>
        <w:rPr>
          <w:rFonts w:eastAsia="宋体" w:cs="Times New Roman" w:asciiTheme="minorEastAsia" w:hAnsiTheme="minorEastAsia"/>
          <w:b/>
          <w:kern w:val="0"/>
          <w:sz w:val="24"/>
          <w:szCs w:val="24"/>
        </w:rPr>
        <w:t>自然风貌引导</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1、大地林田</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片区以丘陵为主，保护好片区的生态山林、田园自然景观，慎砍树、禁挖山。保护好山、林、田自然交融的乡村环境</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避免对山林的破坏性开发和过度改造，严惩破坏行为</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对已遭到破坏的环境进行生态修复</w:t>
      </w:r>
      <w:r>
        <w:rPr>
          <w:rFonts w:hint="eastAsia" w:eastAsia="宋体" w:cs="Times New Roman" w:asciiTheme="minorEastAsia" w:hAnsiTheme="minorEastAsia"/>
          <w:kern w:val="0"/>
          <w:sz w:val="24"/>
          <w:szCs w:val="24"/>
        </w:rPr>
        <w:t>。</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2、</w:t>
      </w:r>
      <w:r>
        <w:rPr>
          <w:rFonts w:eastAsia="宋体" w:cs="Times New Roman" w:asciiTheme="minorEastAsia" w:hAnsiTheme="minorEastAsia"/>
          <w:kern w:val="0"/>
          <w:sz w:val="24"/>
          <w:szCs w:val="24"/>
        </w:rPr>
        <w:t>种植引导</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有序、协调</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不宜碎片化、补丁式</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周边闲置自留地、荒坡、边缘空间，宜树种树、宜花种花、宜草种草</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平坝结合现代农业生产，尤其是设施粮田等需要规模化农田，适当整理，保障自然肌理前提下，小田变大田</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丘陵地带尊重场地原有地脉，则不宜过度追求几何方正，更适宜随地形保持自然机理。</w:t>
      </w:r>
      <w:r>
        <w:rPr>
          <w:rFonts w:hint="eastAsia" w:eastAsia="宋体" w:cs="Times New Roman" w:asciiTheme="minorEastAsia" w:hAnsiTheme="minorEastAsia"/>
          <w:kern w:val="0"/>
          <w:sz w:val="24"/>
          <w:szCs w:val="24"/>
        </w:rPr>
        <w:cr/>
      </w:r>
      <w:r>
        <w:rPr>
          <w:rFonts w:hint="eastAsia" w:eastAsia="宋体" w:cs="Times New Roman" w:asciiTheme="minorEastAsia" w:hAnsiTheme="minorEastAsia"/>
          <w:kern w:val="0"/>
          <w:sz w:val="24"/>
          <w:szCs w:val="24"/>
        </w:rPr>
        <w:t>村田相融：</w:t>
      </w:r>
      <w:r>
        <w:rPr>
          <w:rFonts w:eastAsia="宋体" w:cs="Times New Roman" w:asciiTheme="minorEastAsia" w:hAnsiTheme="minorEastAsia"/>
          <w:kern w:val="0"/>
          <w:sz w:val="24"/>
          <w:szCs w:val="24"/>
        </w:rPr>
        <w:t>村庄适当集中，小组微生成组团。尽量保留原有自然景观、农耕场景的基础上，营造具有吸引力的乡村田园意境。</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3、河流堰塘</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对现状沟渠进行梳通整治，连通断头沟渠，与周边水系形成贯通的乡村水系网络，修复生物栖息廊道</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整治污水废弃堰塘、臭水沟的底部淤积，禁止倾倒垃圾，种植净水植物，安排搭配造景</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延续片区河流自然岸线形态，不可随意截弯取直</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禁止在河道内私自拦坝，保证河水自流通畅</w:t>
      </w:r>
      <w:r>
        <w:rPr>
          <w:rFonts w:hint="eastAsia" w:eastAsia="宋体" w:cs="Times New Roman" w:asciiTheme="minorEastAsia" w:hAnsiTheme="minorEastAsia"/>
          <w:kern w:val="0"/>
          <w:sz w:val="24"/>
          <w:szCs w:val="24"/>
        </w:rPr>
        <w:t>。</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4、</w:t>
      </w:r>
      <w:r>
        <w:rPr>
          <w:rFonts w:eastAsia="宋体" w:cs="Times New Roman" w:asciiTheme="minorEastAsia" w:hAnsiTheme="minorEastAsia"/>
          <w:kern w:val="0"/>
          <w:sz w:val="24"/>
          <w:szCs w:val="24"/>
        </w:rPr>
        <w:t>道路景观</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道路线型应因地制宜，随山就势，保留原肌理，不宜强行截弯取直</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禁止在道路两侧随意倾倒垃圾、破坏环境</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营造路—田、路—水和路林的景观模式。</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（二）</w:t>
      </w:r>
      <w:r>
        <w:rPr>
          <w:rFonts w:eastAsia="宋体" w:cs="Times New Roman" w:asciiTheme="minorEastAsia" w:hAnsiTheme="minorEastAsia"/>
          <w:b/>
          <w:kern w:val="0"/>
          <w:sz w:val="24"/>
          <w:szCs w:val="24"/>
        </w:rPr>
        <w:t>村庄风貌引导</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1、</w:t>
      </w:r>
      <w:r>
        <w:rPr>
          <w:rFonts w:eastAsia="宋体" w:cs="Times New Roman" w:asciiTheme="minorEastAsia" w:hAnsiTheme="minorEastAsia"/>
          <w:kern w:val="0"/>
          <w:sz w:val="24"/>
          <w:szCs w:val="24"/>
        </w:rPr>
        <w:t>村庄布局乡村聚居</w:t>
      </w:r>
      <w:r>
        <w:rPr>
          <w:rFonts w:hint="eastAsia" w:eastAsia="宋体" w:cs="Times New Roman" w:asciiTheme="minorEastAsia" w:hAnsiTheme="minorEastAsia"/>
          <w:kern w:val="0"/>
          <w:sz w:val="24"/>
          <w:szCs w:val="24"/>
        </w:rPr>
        <w:t>点规模</w:t>
      </w:r>
      <w:r>
        <w:rPr>
          <w:rFonts w:eastAsia="宋体" w:cs="Times New Roman" w:asciiTheme="minorEastAsia" w:hAnsiTheme="minorEastAsia"/>
          <w:kern w:val="0"/>
          <w:sz w:val="24"/>
          <w:szCs w:val="24"/>
        </w:rPr>
        <w:t>控制</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宜采取半散半聚、聚散结合的乡村建设模式，聚居度宜≥70%</w:t>
      </w:r>
      <w:r>
        <w:rPr>
          <w:rFonts w:hint="eastAsia" w:eastAsia="宋体" w:cs="Times New Roman" w:asciiTheme="minorEastAsia" w:hAnsiTheme="minorEastAsia"/>
          <w:kern w:val="0"/>
          <w:sz w:val="24"/>
          <w:szCs w:val="24"/>
        </w:rPr>
        <w:t>。</w:t>
      </w:r>
      <w:r>
        <w:rPr>
          <w:rFonts w:eastAsia="宋体" w:cs="Times New Roman" w:asciiTheme="minorEastAsia" w:hAnsiTheme="minorEastAsia"/>
          <w:b/>
          <w:kern w:val="0"/>
          <w:sz w:val="24"/>
          <w:szCs w:val="24"/>
          <w:u w:val="single"/>
        </w:rPr>
        <w:t>新村建设模</w:t>
      </w:r>
      <w:r>
        <w:rPr>
          <w:rFonts w:hint="eastAsia" w:eastAsia="宋体" w:cs="Times New Roman" w:asciiTheme="minorEastAsia" w:hAnsiTheme="minorEastAsia"/>
          <w:b/>
          <w:kern w:val="0"/>
          <w:sz w:val="24"/>
          <w:szCs w:val="24"/>
          <w:u w:val="single"/>
        </w:rPr>
        <w:t>式</w:t>
      </w:r>
      <w:r>
        <w:rPr>
          <w:rFonts w:eastAsia="宋体" w:cs="Times New Roman" w:asciiTheme="minorEastAsia" w:hAnsiTheme="minorEastAsia"/>
          <w:b/>
          <w:kern w:val="0"/>
          <w:sz w:val="24"/>
          <w:szCs w:val="24"/>
          <w:u w:val="single"/>
        </w:rPr>
        <w:t>:新村聚居点宜以中、小型新村为主，组团式布局。(</w:t>
      </w:r>
      <w:r>
        <w:rPr>
          <w:rFonts w:hint="eastAsia" w:eastAsia="宋体" w:cs="Times New Roman" w:asciiTheme="minorEastAsia" w:hAnsiTheme="minorEastAsia"/>
          <w:b/>
          <w:kern w:val="0"/>
          <w:sz w:val="24"/>
          <w:szCs w:val="24"/>
          <w:u w:val="single"/>
        </w:rPr>
        <w:t>大型村庄常住人口</w:t>
      </w:r>
      <w:r>
        <w:rPr>
          <w:rFonts w:eastAsia="宋体" w:cs="Times New Roman" w:asciiTheme="minorEastAsia" w:hAnsiTheme="minorEastAsia"/>
          <w:b/>
          <w:kern w:val="0"/>
          <w:sz w:val="24"/>
          <w:szCs w:val="24"/>
          <w:u w:val="single"/>
        </w:rPr>
        <w:t>601 ~1000人、约171~300户，中型村庄常住人口201 ~600 人、约61~170户，小型村庄常住人口50~200</w:t>
      </w:r>
      <w:r>
        <w:rPr>
          <w:rFonts w:hint="eastAsia" w:eastAsia="宋体" w:cs="Times New Roman" w:asciiTheme="minorEastAsia" w:hAnsiTheme="minorEastAsia"/>
          <w:b/>
          <w:kern w:val="0"/>
          <w:sz w:val="24"/>
          <w:szCs w:val="24"/>
          <w:u w:val="single"/>
        </w:rPr>
        <w:t>人、</w:t>
      </w:r>
      <w:r>
        <w:rPr>
          <w:rFonts w:eastAsia="宋体" w:cs="Times New Roman" w:asciiTheme="minorEastAsia" w:hAnsiTheme="minorEastAsia"/>
          <w:b/>
          <w:kern w:val="0"/>
          <w:sz w:val="24"/>
          <w:szCs w:val="24"/>
          <w:u w:val="single"/>
        </w:rPr>
        <w:t>60户以内</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——《四川省“幸福美丽新村”规划编制办法和技术导则2014</w:t>
      </w:r>
      <w:r>
        <w:rPr>
          <w:rFonts w:hint="eastAsia" w:eastAsia="宋体" w:cs="Times New Roman" w:asciiTheme="minorEastAsia" w:hAnsiTheme="minorEastAsia"/>
          <w:kern w:val="0"/>
          <w:sz w:val="24"/>
          <w:szCs w:val="24"/>
        </w:rPr>
        <w:t>》。</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2、</w:t>
      </w:r>
      <w:r>
        <w:rPr>
          <w:rFonts w:eastAsia="宋体" w:cs="Times New Roman" w:asciiTheme="minorEastAsia" w:hAnsiTheme="minorEastAsia"/>
          <w:kern w:val="0"/>
          <w:sz w:val="24"/>
          <w:szCs w:val="24"/>
        </w:rPr>
        <w:t>聚居点布局形式</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空间布局应以环境条件为基础，因地制宜、灵活设计。以展现乡村活力、与自然和谐共生。</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平坝区:平坝区聚居点空间布局宜选择团状组团布局形式;</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滨水区:滨水地区聚居点可依水势带状布局居住组团，以突出聚居点因地制宜、灵活自如的布局风貌;</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丘陵区:地形较为复杂的丘区应尊重地形，顺应等高线或沿乡村道路，形成树枝状组团布局或带状组团布局形式。</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院落围合，单元集聚</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因地制宜，顺应自然条件，沿道路、山体呈线状分布。形成大分散、小集中的单元组团，组团适宜以院落围合聚落为形式，避免统一朝向和规则化行列式布局。</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以滨水区和丘陵区布局为主</w:t>
      </w:r>
      <w:r>
        <w:rPr>
          <w:rFonts w:hint="eastAsia" w:eastAsia="宋体" w:cs="Times New Roman" w:asciiTheme="minorEastAsia" w:hAnsiTheme="minorEastAsia"/>
          <w:kern w:val="0"/>
          <w:sz w:val="24"/>
          <w:szCs w:val="24"/>
        </w:rPr>
        <w:t>）</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小组微生，适当聚居</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结合林盘现状及村庄聚居需要，围绕重要景观要素呈组团林盘式布局。林盘避免沿主要道路夹道布局，应利用村道连接交通性道路。</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3、</w:t>
      </w:r>
      <w:r>
        <w:rPr>
          <w:rFonts w:eastAsia="宋体" w:cs="Times New Roman" w:asciiTheme="minorEastAsia" w:hAnsiTheme="minorEastAsia"/>
          <w:kern w:val="0"/>
          <w:sz w:val="24"/>
          <w:szCs w:val="24"/>
        </w:rPr>
        <w:t>新建聚居点风貌</w:t>
      </w:r>
      <w:r>
        <w:rPr>
          <w:rFonts w:hint="eastAsia" w:eastAsia="宋体" w:cs="Times New Roman" w:asciiTheme="minorEastAsia" w:hAnsiTheme="minorEastAsia"/>
          <w:kern w:val="0"/>
          <w:sz w:val="24"/>
          <w:szCs w:val="24"/>
        </w:rPr>
        <w:t>控制</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（1）要求</w:t>
      </w:r>
    </w:p>
    <w:p>
      <w:pPr>
        <w:adjustRightInd w:val="0"/>
        <w:snapToGrid w:val="0"/>
        <w:spacing w:line="360" w:lineRule="auto"/>
        <w:ind w:firstLine="482" w:firstLineChars="200"/>
        <w:rPr>
          <w:rFonts w:cs="Times New Roman" w:asciiTheme="minorEastAsia" w:hAnsiTheme="minorEastAsia"/>
          <w:b/>
          <w:kern w:val="0"/>
          <w:sz w:val="24"/>
          <w:szCs w:val="24"/>
          <w:u w:val="single"/>
        </w:rPr>
      </w:pPr>
      <w:r>
        <w:rPr>
          <w:rFonts w:eastAsia="宋体" w:cs="Times New Roman" w:asciiTheme="minorEastAsia" w:hAnsiTheme="minorEastAsia"/>
          <w:b/>
          <w:kern w:val="0"/>
          <w:sz w:val="24"/>
          <w:szCs w:val="24"/>
          <w:u w:val="single"/>
        </w:rPr>
        <w:t>新建聚居点应遵循乡村自然形态，建筑群布局应更加自由开敞、灵活各异。遵照“小规模、组团式、微田园、生态化”的营造要求。</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（2）</w:t>
      </w:r>
      <w:r>
        <w:rPr>
          <w:rFonts w:eastAsia="宋体" w:cs="Times New Roman" w:asciiTheme="minorEastAsia" w:hAnsiTheme="minorEastAsia"/>
          <w:kern w:val="0"/>
          <w:sz w:val="24"/>
          <w:szCs w:val="24"/>
        </w:rPr>
        <w:t>建筑风貌</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风貌参考滨水现代风貌区、丘陵川中风貌区、平坝新川式风貌区、特色文化风貌区分区规划要求，各村根据自身禀赋、文俗传统等在农房建筑中融入自身特色，避免千村一面。</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（3）建筑高度</w:t>
      </w:r>
    </w:p>
    <w:p>
      <w:pPr>
        <w:adjustRightInd w:val="0"/>
        <w:snapToGrid w:val="0"/>
        <w:spacing w:line="360" w:lineRule="auto"/>
        <w:ind w:firstLine="482" w:firstLineChars="200"/>
        <w:rPr>
          <w:rFonts w:cs="Times New Roman" w:asciiTheme="minorEastAsia" w:hAnsiTheme="minorEastAsia"/>
          <w:b/>
          <w:kern w:val="0"/>
          <w:sz w:val="24"/>
          <w:szCs w:val="24"/>
          <w:u w:val="single"/>
        </w:rPr>
      </w:pPr>
      <w:r>
        <w:rPr>
          <w:rFonts w:eastAsia="宋体" w:cs="Times New Roman" w:asciiTheme="minorEastAsia" w:hAnsiTheme="minorEastAsia"/>
          <w:b/>
          <w:kern w:val="0"/>
          <w:sz w:val="24"/>
          <w:szCs w:val="24"/>
          <w:u w:val="single"/>
        </w:rPr>
        <w:t>建筑应以低层为主，建筑层数宜控制在1</w:t>
      </w:r>
      <w:r>
        <w:rPr>
          <w:rFonts w:hint="eastAsia" w:eastAsia="宋体" w:cs="Times New Roman" w:asciiTheme="minorEastAsia" w:hAnsiTheme="minorEastAsia"/>
          <w:b/>
          <w:kern w:val="0"/>
          <w:sz w:val="24"/>
          <w:szCs w:val="24"/>
          <w:u w:val="single"/>
        </w:rPr>
        <w:t>至</w:t>
      </w:r>
      <w:r>
        <w:rPr>
          <w:rFonts w:eastAsia="宋体" w:cs="Times New Roman" w:asciiTheme="minorEastAsia" w:hAnsiTheme="minorEastAsia"/>
          <w:b/>
          <w:kern w:val="0"/>
          <w:sz w:val="24"/>
          <w:szCs w:val="24"/>
          <w:u w:val="single"/>
        </w:rPr>
        <w:t>3层，总体高度不超过12</w:t>
      </w:r>
      <w:r>
        <w:rPr>
          <w:rFonts w:hint="eastAsia" w:eastAsia="宋体" w:cs="Times New Roman" w:asciiTheme="minorEastAsia" w:hAnsiTheme="minorEastAsia"/>
          <w:b/>
          <w:kern w:val="0"/>
          <w:sz w:val="24"/>
          <w:szCs w:val="24"/>
          <w:u w:val="single"/>
        </w:rPr>
        <w:t>米。</w:t>
      </w:r>
      <w:r>
        <w:rPr>
          <w:rFonts w:eastAsia="宋体" w:cs="Times New Roman" w:asciiTheme="minorEastAsia" w:hAnsiTheme="minorEastAsia"/>
          <w:b/>
          <w:kern w:val="0"/>
          <w:sz w:val="24"/>
          <w:szCs w:val="24"/>
          <w:u w:val="single"/>
        </w:rPr>
        <w:t>建筑群体高度应与乡村环境相协调</w:t>
      </w:r>
      <w:r>
        <w:rPr>
          <w:rFonts w:hint="eastAsia" w:eastAsia="宋体" w:cs="Times New Roman" w:asciiTheme="minorEastAsia" w:hAnsiTheme="minorEastAsia"/>
          <w:b/>
          <w:kern w:val="0"/>
          <w:sz w:val="24"/>
          <w:szCs w:val="24"/>
          <w:u w:val="single"/>
        </w:rPr>
        <w:t>。</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（4）</w:t>
      </w:r>
      <w:r>
        <w:rPr>
          <w:rFonts w:eastAsia="宋体" w:cs="Times New Roman" w:asciiTheme="minorEastAsia" w:hAnsiTheme="minorEastAsia"/>
          <w:kern w:val="0"/>
          <w:sz w:val="24"/>
          <w:szCs w:val="24"/>
        </w:rPr>
        <w:t>天际线景</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宜起伏错落，避免平直无变化。</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（5）建筑体量</w:t>
      </w:r>
    </w:p>
    <w:p>
      <w:pPr>
        <w:adjustRightInd w:val="0"/>
        <w:snapToGrid w:val="0"/>
        <w:spacing w:line="360" w:lineRule="auto"/>
        <w:ind w:firstLine="482" w:firstLineChars="200"/>
        <w:rPr>
          <w:rFonts w:cs="Times New Roman" w:asciiTheme="minorEastAsia" w:hAnsiTheme="minorEastAsia"/>
          <w:b/>
          <w:kern w:val="0"/>
          <w:sz w:val="24"/>
          <w:szCs w:val="24"/>
          <w:u w:val="single"/>
        </w:rPr>
      </w:pPr>
      <w:r>
        <w:rPr>
          <w:rFonts w:eastAsia="宋体" w:cs="Times New Roman" w:asciiTheme="minorEastAsia" w:hAnsiTheme="minorEastAsia"/>
          <w:b/>
          <w:kern w:val="0"/>
          <w:sz w:val="24"/>
          <w:szCs w:val="24"/>
          <w:u w:val="single"/>
        </w:rPr>
        <w:t>单体建筑应保持长宽高尺度的良好比例，与外部环境相协调，严禁出现庞大、横长或矮胖的形体，单体建筑续长度不宜超过25</w:t>
      </w:r>
      <w:r>
        <w:rPr>
          <w:rFonts w:hint="eastAsia" w:eastAsia="宋体" w:cs="Times New Roman" w:asciiTheme="minorEastAsia" w:hAnsiTheme="minorEastAsia"/>
          <w:b/>
          <w:kern w:val="0"/>
          <w:sz w:val="24"/>
          <w:szCs w:val="24"/>
          <w:u w:val="single"/>
        </w:rPr>
        <w:t>米。</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（6）</w:t>
      </w:r>
      <w:r>
        <w:rPr>
          <w:rFonts w:eastAsia="宋体" w:cs="Times New Roman" w:asciiTheme="minorEastAsia" w:hAnsiTheme="minorEastAsia"/>
          <w:kern w:val="0"/>
          <w:sz w:val="24"/>
          <w:szCs w:val="24"/>
        </w:rPr>
        <w:t>建筑组合</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建筑组合宜按照“多样式”原则，灵活布局错列布置，建筑立面应做到进退有度、层次丰富。可采用围合式、半围合式、错列式、自由式等手法，形成活泼多样的平面形态。农房建筑不宜采用单调呆板的行列式或简单联排</w:t>
      </w:r>
      <w:r>
        <w:rPr>
          <w:rFonts w:hint="eastAsia" w:eastAsia="宋体" w:cs="Times New Roman" w:asciiTheme="minorEastAsia" w:hAnsiTheme="minorEastAsia"/>
          <w:kern w:val="0"/>
          <w:sz w:val="24"/>
          <w:szCs w:val="24"/>
        </w:rPr>
        <w:t>拼接。</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4、</w:t>
      </w:r>
      <w:r>
        <w:rPr>
          <w:rFonts w:eastAsia="宋体" w:cs="Times New Roman" w:asciiTheme="minorEastAsia" w:hAnsiTheme="minorEastAsia"/>
          <w:kern w:val="0"/>
          <w:sz w:val="24"/>
          <w:szCs w:val="24"/>
        </w:rPr>
        <w:t>村庄环境整治</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对原有村庄，以“环境卫生”为核心进行整治，遵循“修、净、彩、分、美</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管”六要素。</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修：</w:t>
      </w:r>
      <w:r>
        <w:rPr>
          <w:rFonts w:eastAsia="宋体" w:cs="Times New Roman" w:asciiTheme="minorEastAsia" w:hAnsiTheme="minorEastAsia"/>
          <w:kern w:val="0"/>
          <w:sz w:val="24"/>
          <w:szCs w:val="24"/>
        </w:rPr>
        <w:t>修复村庄内使用中的残旧院墙及土坯房，确保居住安全</w:t>
      </w:r>
      <w:r>
        <w:rPr>
          <w:rFonts w:hint="eastAsia" w:eastAsia="宋体" w:cs="Times New Roman" w:asciiTheme="minorEastAsia" w:hAnsiTheme="minorEastAsia"/>
          <w:kern w:val="0"/>
          <w:sz w:val="24"/>
          <w:szCs w:val="24"/>
        </w:rPr>
        <w:t>；</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净</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杜绝乱堆乱放、乱搭乱建、乱拉乱挂等现象，清理村庄垃圾、废品及杂草，维护环境卫生</w:t>
      </w:r>
      <w:r>
        <w:rPr>
          <w:rFonts w:hint="eastAsia" w:eastAsia="宋体" w:cs="Times New Roman" w:asciiTheme="minorEastAsia" w:hAnsiTheme="minorEastAsia"/>
          <w:kern w:val="0"/>
          <w:sz w:val="24"/>
          <w:szCs w:val="24"/>
        </w:rPr>
        <w:t>；</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彩：</w:t>
      </w:r>
      <w:r>
        <w:rPr>
          <w:rFonts w:eastAsia="宋体" w:cs="Times New Roman" w:asciiTheme="minorEastAsia" w:hAnsiTheme="minorEastAsia"/>
          <w:kern w:val="0"/>
          <w:sz w:val="24"/>
          <w:szCs w:val="24"/>
        </w:rPr>
        <w:t>丰富乡村色彩环境与趣味性，蓝天，青山，绿水，红花，金麦</w:t>
      </w:r>
      <w:r>
        <w:rPr>
          <w:rFonts w:hint="eastAsia" w:eastAsia="宋体" w:cs="Times New Roman" w:asciiTheme="minorEastAsia" w:hAnsiTheme="minorEastAsia"/>
          <w:kern w:val="0"/>
          <w:sz w:val="24"/>
          <w:szCs w:val="24"/>
        </w:rPr>
        <w:t>；</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分：</w:t>
      </w:r>
      <w:r>
        <w:rPr>
          <w:rFonts w:eastAsia="宋体" w:cs="Times New Roman" w:asciiTheme="minorEastAsia" w:hAnsiTheme="minorEastAsia"/>
          <w:kern w:val="0"/>
          <w:sz w:val="24"/>
          <w:szCs w:val="24"/>
        </w:rPr>
        <w:t>人畜分离，家禽家畜养殖设置圈养设施</w:t>
      </w:r>
      <w:r>
        <w:rPr>
          <w:rFonts w:hint="eastAsia" w:eastAsia="宋体" w:cs="Times New Roman" w:asciiTheme="minorEastAsia" w:hAnsiTheme="minorEastAsia"/>
          <w:kern w:val="0"/>
          <w:sz w:val="24"/>
          <w:szCs w:val="24"/>
        </w:rPr>
        <w:t>；</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美：</w:t>
      </w:r>
      <w:r>
        <w:rPr>
          <w:rFonts w:eastAsia="宋体" w:cs="Times New Roman" w:asciiTheme="minorEastAsia" w:hAnsiTheme="minorEastAsia"/>
          <w:kern w:val="0"/>
          <w:sz w:val="24"/>
          <w:szCs w:val="24"/>
        </w:rPr>
        <w:t>多种形式美化建筑屋顶墙面、院门院墙，绿化区域内无死株、枯枝，草坪无空秃、枯黄、杂草，草高适宜，栽种的花果树木</w:t>
      </w:r>
      <w:r>
        <w:rPr>
          <w:rFonts w:hint="eastAsia" w:eastAsia="宋体" w:cs="Times New Roman" w:asciiTheme="minorEastAsia" w:hAnsiTheme="minorEastAsia"/>
          <w:kern w:val="0"/>
          <w:sz w:val="24"/>
          <w:szCs w:val="24"/>
        </w:rPr>
        <w:t>；</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管：</w:t>
      </w:r>
      <w:r>
        <w:rPr>
          <w:rFonts w:eastAsia="宋体" w:cs="Times New Roman" w:asciiTheme="minorEastAsia" w:hAnsiTheme="minorEastAsia"/>
          <w:kern w:val="0"/>
          <w:sz w:val="24"/>
          <w:szCs w:val="24"/>
        </w:rPr>
        <w:t>应制定环境卫生管理规则，确保居住院落环境卫生安全。</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5、</w:t>
      </w:r>
      <w:r>
        <w:rPr>
          <w:rFonts w:eastAsia="宋体" w:cs="Times New Roman" w:asciiTheme="minorEastAsia" w:hAnsiTheme="minorEastAsia"/>
          <w:kern w:val="0"/>
          <w:sz w:val="24"/>
          <w:szCs w:val="24"/>
        </w:rPr>
        <w:t>重要节点场所</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（1）村落入口</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村落入口空间需彰显村庄的文化特色并与村庄整体风貌相协调，对进出人群有一定空间引导性。入口节点营造元素可分为标识、绿化景观、广场等。</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（2）</w:t>
      </w:r>
      <w:r>
        <w:rPr>
          <w:rFonts w:eastAsia="宋体" w:cs="Times New Roman" w:asciiTheme="minorEastAsia" w:hAnsiTheme="minorEastAsia"/>
          <w:kern w:val="0"/>
          <w:sz w:val="24"/>
          <w:szCs w:val="24"/>
        </w:rPr>
        <w:t>入口标识入口标识的选材、尺度、色彩应与环境相协调，宜融入当地</w:t>
      </w:r>
      <w:r>
        <w:rPr>
          <w:rFonts w:hint="eastAsia" w:eastAsia="宋体" w:cs="Times New Roman" w:asciiTheme="minorEastAsia" w:hAnsiTheme="minorEastAsia"/>
          <w:kern w:val="0"/>
          <w:sz w:val="24"/>
          <w:szCs w:val="24"/>
        </w:rPr>
        <w:t>风</w:t>
      </w:r>
      <w:r>
        <w:rPr>
          <w:rFonts w:eastAsia="宋体" w:cs="Times New Roman" w:asciiTheme="minorEastAsia" w:hAnsiTheme="minorEastAsia"/>
          <w:kern w:val="0"/>
          <w:sz w:val="24"/>
          <w:szCs w:val="24"/>
        </w:rPr>
        <w:t>貌特征，具有识别性，避免千篇一律。可选择门楼、牌坊、景墙、景石、雕塑等方式。其上文字应清晰明确易于辨认，可适当使用高明度、高饱和度色彩。</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（3）</w:t>
      </w:r>
      <w:r>
        <w:rPr>
          <w:rFonts w:eastAsia="宋体" w:cs="Times New Roman" w:asciiTheme="minorEastAsia" w:hAnsiTheme="minorEastAsia"/>
          <w:kern w:val="0"/>
          <w:sz w:val="24"/>
          <w:szCs w:val="24"/>
        </w:rPr>
        <w:t>绿化景观</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建议采用植物衬托入口标识，以打造层次丰富的生态入口景观，推荐以草地景观、花丛灌丛等低矮绿化为主，或可搭配孤植乔木，绿化栽植应疏朗通透，不应对标识设施形成遮挡;景观小品可结合农耕文化、当地</w:t>
      </w:r>
      <w:r>
        <w:rPr>
          <w:rFonts w:hint="eastAsia" w:eastAsia="宋体" w:cs="Times New Roman" w:asciiTheme="minorEastAsia" w:hAnsiTheme="minorEastAsia"/>
          <w:kern w:val="0"/>
          <w:sz w:val="24"/>
          <w:szCs w:val="24"/>
          <w:lang w:val="en-US" w:eastAsia="zh-CN"/>
        </w:rPr>
        <w:t>风</w:t>
      </w:r>
      <w:r>
        <w:rPr>
          <w:rFonts w:eastAsia="宋体" w:cs="Times New Roman" w:asciiTheme="minorEastAsia" w:hAnsiTheme="minorEastAsia"/>
          <w:kern w:val="0"/>
          <w:sz w:val="24"/>
          <w:szCs w:val="24"/>
        </w:rPr>
        <w:t>俗传统、非遗等，设计形式新颖、特色突出的小品景观。</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（4）</w:t>
      </w:r>
      <w:r>
        <w:rPr>
          <w:rFonts w:eastAsia="宋体" w:cs="Times New Roman" w:asciiTheme="minorEastAsia" w:hAnsiTheme="minorEastAsia"/>
          <w:kern w:val="0"/>
          <w:sz w:val="24"/>
          <w:szCs w:val="24"/>
        </w:rPr>
        <w:t>入口广场</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有条件的村还可以根据需要配置入口广场，广场尺度不宜过大，可同时配建休闲设施、照明设施及公车站等。</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6、村庄小品</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（1）</w:t>
      </w:r>
      <w:r>
        <w:rPr>
          <w:rFonts w:eastAsia="宋体" w:cs="Times New Roman" w:asciiTheme="minorEastAsia" w:hAnsiTheme="minorEastAsia"/>
          <w:kern w:val="0"/>
          <w:sz w:val="24"/>
          <w:szCs w:val="24"/>
        </w:rPr>
        <w:t>景观设施</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景观设施包括景观小品、雕塑、景墙、栏杆等。设计必须与地域文化、历史环境结合起来，将当地的文化元素运用到设计中，使其具有地方特色，且能与周围的地域环</w:t>
      </w:r>
      <w:r>
        <w:rPr>
          <w:rFonts w:hint="eastAsia" w:eastAsia="宋体" w:cs="Times New Roman" w:asciiTheme="minorEastAsia" w:hAnsiTheme="minorEastAsia"/>
          <w:kern w:val="0"/>
          <w:sz w:val="24"/>
          <w:szCs w:val="24"/>
        </w:rPr>
        <w:t>境相融合。</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（2）</w:t>
      </w:r>
      <w:r>
        <w:rPr>
          <w:rFonts w:eastAsia="宋体" w:cs="Times New Roman" w:asciiTheme="minorEastAsia" w:hAnsiTheme="minorEastAsia"/>
          <w:kern w:val="0"/>
          <w:sz w:val="24"/>
          <w:szCs w:val="24"/>
        </w:rPr>
        <w:t>标识设施</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应结合当地民风民俗，以展示地方文化，体现乡土气息为原则，包括信息栏、导向牌、文化栏、题字题词等。可以选用竹、木、瓦、茅草等乡土材质，可依托长廊等休闲设施布置信息栏、文化、题字题词等。</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（3）</w:t>
      </w:r>
      <w:r>
        <w:rPr>
          <w:rFonts w:eastAsia="宋体" w:cs="Times New Roman" w:asciiTheme="minorEastAsia" w:hAnsiTheme="minorEastAsia"/>
          <w:kern w:val="0"/>
          <w:sz w:val="24"/>
          <w:szCs w:val="24"/>
        </w:rPr>
        <w:t>休闲设施</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包括桌椅板凳、花架廊架、活动器材、沙坑水池等。休闲设施应具有多样性，做到全龄覆盖。设施的材质、体量、色彩等应与乡村农居环境相协调。应保证休闲设施的安全性，如增加荫蔽，配建防滑铺地、考虑防跌倒措施等。</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（4）</w:t>
      </w:r>
      <w:r>
        <w:rPr>
          <w:rFonts w:eastAsia="宋体" w:cs="Times New Roman" w:asciiTheme="minorEastAsia" w:hAnsiTheme="minorEastAsia"/>
          <w:kern w:val="0"/>
          <w:sz w:val="24"/>
          <w:szCs w:val="24"/>
        </w:rPr>
        <w:t>照明设施</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在保证整体照明效果协调的情况下，可用多样化的局部照明丰富村庄景观。灯具应该融入村庄文化要素，与周围风貌相协调统一，根据不同风貌主题，结合场所、标志物、环境小品等设施选择合适的造型、色彩和组合。</w:t>
      </w:r>
    </w:p>
    <w:p>
      <w:pPr>
        <w:adjustRightInd w:val="0"/>
        <w:snapToGrid w:val="0"/>
        <w:spacing w:line="360" w:lineRule="auto"/>
        <w:ind w:firstLine="482" w:firstLineChars="200"/>
        <w:rPr>
          <w:rFonts w:ascii="黑体" w:hAnsi="黑体" w:eastAsia="黑体" w:cs="Times New Roman"/>
          <w:b/>
          <w:kern w:val="0"/>
          <w:sz w:val="24"/>
          <w:szCs w:val="24"/>
        </w:rPr>
      </w:pPr>
      <w:r>
        <w:rPr>
          <w:rFonts w:hint="eastAsia" w:ascii="黑体" w:hAnsi="黑体" w:eastAsia="黑体" w:cs="Times New Roman"/>
          <w:b/>
          <w:kern w:val="0"/>
          <w:sz w:val="24"/>
          <w:szCs w:val="24"/>
        </w:rPr>
        <w:t>二、</w:t>
      </w:r>
      <w:r>
        <w:rPr>
          <w:rFonts w:ascii="黑体" w:hAnsi="黑体" w:eastAsia="黑体" w:cs="Times New Roman"/>
          <w:b/>
          <w:kern w:val="0"/>
          <w:sz w:val="24"/>
          <w:szCs w:val="24"/>
        </w:rPr>
        <w:t>建筑风貌引导</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（一）</w:t>
      </w:r>
      <w:r>
        <w:rPr>
          <w:rFonts w:eastAsia="宋体" w:cs="Times New Roman" w:asciiTheme="minorEastAsia" w:hAnsiTheme="minorEastAsia"/>
          <w:b/>
          <w:kern w:val="0"/>
          <w:sz w:val="24"/>
          <w:szCs w:val="24"/>
        </w:rPr>
        <w:t>丘陵川中风貌区</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根据《遂宁市美丽乡村风貌导则及民居设计图集》，</w:t>
      </w:r>
      <w:r>
        <w:rPr>
          <w:rFonts w:eastAsia="宋体" w:cs="Times New Roman" w:asciiTheme="minorEastAsia" w:hAnsiTheme="minorEastAsia"/>
          <w:b/>
          <w:kern w:val="0"/>
          <w:sz w:val="24"/>
          <w:szCs w:val="24"/>
          <w:u w:val="single"/>
        </w:rPr>
        <w:t>象山镇和玉峰镇属于丘陵川中风貌区</w:t>
      </w:r>
      <w:r>
        <w:rPr>
          <w:rFonts w:eastAsia="宋体" w:cs="Times New Roman" w:asciiTheme="minorEastAsia" w:hAnsiTheme="minorEastAsia"/>
          <w:kern w:val="0"/>
          <w:sz w:val="24"/>
          <w:szCs w:val="24"/>
        </w:rPr>
        <w:t>，建筑风貌按照以下控制要求进行管控。</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1、建筑色彩</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宜朴素淡雅，单栋主导色彩不宜超过三种，应把握青砖、青瓦、白墙、原木色作为建筑主体控制色主色调，突出川中民居建筑意蕴。建筑主基色宜选用白、灰、淡黄等色系，辅助色及点缀色以茶褐色或木质色系暧色为首选。</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2、建筑材料</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宜采用与传统川中民居材质相近的材料，大面积使用木材或青砖，突出川中民居建筑特色。</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建筑屋顶形式：延续传统川中悬山坡屋顶样式，屋脊主要为平脊、凸脊；可在细部增加檐角或一般装饰。</w:t>
      </w:r>
      <w:r>
        <w:rPr>
          <w:rFonts w:hint="eastAsia" w:eastAsia="宋体" w:cs="Times New Roman" w:asciiTheme="minorEastAsia" w:hAnsiTheme="minorEastAsia"/>
          <w:kern w:val="0"/>
          <w:sz w:val="24"/>
          <w:szCs w:val="24"/>
        </w:rPr>
        <w:t>如增</w:t>
      </w:r>
      <w:r>
        <w:rPr>
          <w:rFonts w:eastAsia="宋体" w:cs="Times New Roman" w:asciiTheme="minorEastAsia" w:hAnsiTheme="minorEastAsia"/>
          <w:kern w:val="0"/>
          <w:sz w:val="24"/>
          <w:szCs w:val="24"/>
        </w:rPr>
        <w:t>加较为简洁和经济的迭瓦式构建脊式，彰显地方乡村特色。</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3、</w:t>
      </w:r>
      <w:r>
        <w:rPr>
          <w:rFonts w:eastAsia="宋体" w:cs="Times New Roman" w:asciiTheme="minorEastAsia" w:hAnsiTheme="minorEastAsia"/>
          <w:kern w:val="0"/>
          <w:sz w:val="24"/>
          <w:szCs w:val="24"/>
        </w:rPr>
        <w:t>墙面装饰</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传统中式风格应体现穿斗的架构体系，分格方式和材质应与传统穿斗结构对应。</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4、</w:t>
      </w:r>
      <w:r>
        <w:rPr>
          <w:rFonts w:eastAsia="宋体" w:cs="Times New Roman" w:asciiTheme="minorEastAsia" w:hAnsiTheme="minorEastAsia"/>
          <w:kern w:val="0"/>
          <w:sz w:val="24"/>
          <w:szCs w:val="24"/>
        </w:rPr>
        <w:t>建筑装饰构件</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门</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以木色、棕色为主，可使用传统花格门、板门或带窗门。立面设计时不应设置金属卷帘门、防盗栏和雨棚。</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窗：</w:t>
      </w:r>
      <w:r>
        <w:rPr>
          <w:rFonts w:eastAsia="宋体" w:cs="Times New Roman" w:asciiTheme="minorEastAsia" w:hAnsiTheme="minorEastAsia"/>
          <w:kern w:val="0"/>
          <w:sz w:val="24"/>
          <w:szCs w:val="24"/>
        </w:rPr>
        <w:t>宜以花格窗为主，根据不同使用功能配置窗户。宣采用花窗、竖条窗等形式，不宜出现落地</w:t>
      </w:r>
      <w:r>
        <w:rPr>
          <w:rFonts w:hint="eastAsia" w:eastAsia="宋体" w:cs="Times New Roman" w:asciiTheme="minorEastAsia" w:hAnsiTheme="minorEastAsia"/>
          <w:kern w:val="0"/>
          <w:sz w:val="24"/>
          <w:szCs w:val="24"/>
        </w:rPr>
        <w:t>窗、通窗等。</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栏杆</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宜以传统材质、传统形式为主。宜采用木质材料，也可采用仿木材质或其它符合整</w:t>
      </w:r>
      <w:r>
        <w:rPr>
          <w:rFonts w:hint="eastAsia" w:eastAsia="宋体" w:cs="Times New Roman" w:asciiTheme="minorEastAsia" w:hAnsiTheme="minorEastAsia"/>
          <w:kern w:val="0"/>
          <w:sz w:val="24"/>
          <w:szCs w:val="24"/>
          <w:lang w:val="en-US" w:eastAsia="zh-CN"/>
        </w:rPr>
        <w:t>体</w:t>
      </w:r>
      <w:r>
        <w:rPr>
          <w:rFonts w:eastAsia="宋体" w:cs="Times New Roman" w:asciiTheme="minorEastAsia" w:hAnsiTheme="minorEastAsia"/>
          <w:kern w:val="0"/>
          <w:sz w:val="24"/>
          <w:szCs w:val="24"/>
        </w:rPr>
        <w:t>风格的材质。</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（二）</w:t>
      </w:r>
      <w:r>
        <w:rPr>
          <w:rFonts w:eastAsia="宋体" w:cs="Times New Roman" w:asciiTheme="minorEastAsia" w:hAnsiTheme="minorEastAsia"/>
          <w:b/>
          <w:kern w:val="0"/>
          <w:sz w:val="24"/>
          <w:szCs w:val="24"/>
        </w:rPr>
        <w:t>平坝新川式风貌区</w:t>
      </w:r>
    </w:p>
    <w:p>
      <w:pPr>
        <w:adjustRightInd w:val="0"/>
        <w:snapToGrid w:val="0"/>
        <w:spacing w:line="360" w:lineRule="auto"/>
        <w:ind w:firstLine="482" w:firstLineChars="200"/>
        <w:rPr>
          <w:rFonts w:eastAsia="宋体" w:cs="Times New Roman" w:asciiTheme="minorEastAsia" w:hAnsiTheme="minorEastAsia"/>
          <w:kern w:val="0"/>
          <w:sz w:val="24"/>
          <w:szCs w:val="24"/>
        </w:rPr>
      </w:pPr>
      <w:r>
        <w:rPr>
          <w:rFonts w:eastAsia="宋体" w:cs="Times New Roman" w:asciiTheme="minorEastAsia" w:hAnsiTheme="minorEastAsia"/>
          <w:b/>
          <w:kern w:val="0"/>
          <w:sz w:val="24"/>
          <w:szCs w:val="24"/>
          <w:u w:val="single"/>
        </w:rPr>
        <w:t>河边镇属于《遂宁市美丽乡村风貌导则及民居设计图集》中确定的平坝新川式风貌区</w:t>
      </w:r>
      <w:r>
        <w:rPr>
          <w:rFonts w:eastAsia="宋体" w:cs="Times New Roman" w:asciiTheme="minorEastAsia" w:hAnsiTheme="minorEastAsia"/>
          <w:kern w:val="0"/>
          <w:sz w:val="24"/>
          <w:szCs w:val="24"/>
        </w:rPr>
        <w:t>，建筑风貌按照以下控制要求进行管控。</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1、建筑色彩</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新川式民居色彩应舍艳求素，以黑、白、灰为主要色调，以木质原色（褐色）为辅助色调，不宜采用过于艳丽的颜色作为建筑主体控制色调。</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2、建筑材料</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承遂宁传统民居建筑的主要特征，结合乡土材料，适量使用与传统川中民居材质相近的材料，如木材、青砖、青瓦、白墙等。</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3、</w:t>
      </w:r>
      <w:r>
        <w:rPr>
          <w:rFonts w:eastAsia="宋体" w:cs="Times New Roman" w:asciiTheme="minorEastAsia" w:hAnsiTheme="minorEastAsia"/>
          <w:kern w:val="0"/>
          <w:sz w:val="24"/>
          <w:szCs w:val="24"/>
        </w:rPr>
        <w:t>建筑屋顶形式</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延续传统川中悬山坡屋顶样式，屋脊主要为平脊、凸脊，细部简化装饰。</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4、</w:t>
      </w:r>
      <w:r>
        <w:rPr>
          <w:rFonts w:eastAsia="宋体" w:cs="Times New Roman" w:asciiTheme="minorEastAsia" w:hAnsiTheme="minorEastAsia"/>
          <w:kern w:val="0"/>
          <w:sz w:val="24"/>
          <w:szCs w:val="24"/>
        </w:rPr>
        <w:t>墙面装饰</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提炼和简化遂宁地区传统农房风貌元素，墙面装饰可采用仿抬梁涂刷、仿木柱涂刷、墙面彩绘、墙面挂饰、墙面绿化等形式。</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5、</w:t>
      </w:r>
      <w:r>
        <w:rPr>
          <w:rFonts w:eastAsia="宋体" w:cs="Times New Roman" w:asciiTheme="minorEastAsia" w:hAnsiTheme="minorEastAsia"/>
          <w:kern w:val="0"/>
          <w:sz w:val="24"/>
          <w:szCs w:val="24"/>
        </w:rPr>
        <w:t>建筑装饰构件</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门窗:宜采用木材辅以玻璃材质进行构件，门宜采用木或竹的材料进行构件，鼓励使用当地建筑工艺，并创新。</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栏杆:宜运用当地材料，如石、木材、竹等打造自然具有地域特征的栏杆构筑。传统简约风格以木材</w:t>
      </w:r>
      <w:r>
        <w:rPr>
          <w:rFonts w:hint="eastAsia" w:eastAsia="宋体" w:cs="Times New Roman" w:asciiTheme="minorEastAsia" w:hAnsiTheme="minorEastAsia"/>
          <w:kern w:val="0"/>
          <w:sz w:val="24"/>
          <w:szCs w:val="24"/>
        </w:rPr>
        <w:t>为</w:t>
      </w:r>
      <w:r>
        <w:rPr>
          <w:rFonts w:eastAsia="宋体" w:cs="Times New Roman" w:asciiTheme="minorEastAsia" w:hAnsiTheme="minorEastAsia"/>
          <w:kern w:val="0"/>
          <w:sz w:val="24"/>
          <w:szCs w:val="24"/>
        </w:rPr>
        <w:t>主，传统砖石风格以砖石和木材结合为主。</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（三）民房控制要求</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户型平面设计</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宅基地配置标准:</w:t>
      </w:r>
      <w:r>
        <w:rPr>
          <w:rFonts w:hint="eastAsia" w:eastAsia="宋体" w:cs="Times New Roman" w:asciiTheme="minorEastAsia" w:hAnsiTheme="minorEastAsia"/>
          <w:kern w:val="0"/>
          <w:sz w:val="24"/>
          <w:szCs w:val="24"/>
        </w:rPr>
        <w:t>人均</w:t>
      </w:r>
      <w:r>
        <w:rPr>
          <w:rFonts w:eastAsia="宋体" w:cs="Times New Roman" w:asciiTheme="minorEastAsia" w:hAnsiTheme="minorEastAsia"/>
          <w:kern w:val="0"/>
          <w:sz w:val="24"/>
          <w:szCs w:val="24"/>
        </w:rPr>
        <w:t>30</w:t>
      </w:r>
      <w:r>
        <w:rPr>
          <w:rFonts w:hint="eastAsia" w:eastAsia="宋体" w:cs="Times New Roman" w:asciiTheme="minorEastAsia" w:hAnsiTheme="minorEastAsia"/>
          <w:kern w:val="0"/>
          <w:sz w:val="24"/>
          <w:szCs w:val="24"/>
        </w:rPr>
        <w:t>平方米</w:t>
      </w:r>
      <w:r>
        <w:rPr>
          <w:rFonts w:eastAsia="宋体" w:cs="Times New Roman" w:asciiTheme="minorEastAsia" w:hAnsiTheme="minorEastAsia"/>
          <w:kern w:val="0"/>
          <w:sz w:val="24"/>
          <w:szCs w:val="24"/>
        </w:rPr>
        <w:t>，三人户独栋及以下按3人计，五人户独栋及以上按5人计。</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修建面积配置标准</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根据户型需求，人均25~30</w:t>
      </w:r>
      <w:r>
        <w:rPr>
          <w:rFonts w:hint="eastAsia" w:eastAsia="宋体" w:cs="Times New Roman" w:asciiTheme="minorEastAsia" w:hAnsiTheme="minorEastAsia"/>
          <w:kern w:val="0"/>
          <w:sz w:val="24"/>
          <w:szCs w:val="24"/>
        </w:rPr>
        <w:t>平方米。</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晒坝场地配置标准</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每户30~40</w:t>
      </w:r>
      <w:r>
        <w:rPr>
          <w:rFonts w:hint="eastAsia" w:eastAsia="宋体" w:cs="Times New Roman" w:asciiTheme="minorEastAsia" w:hAnsiTheme="minorEastAsia"/>
          <w:kern w:val="0"/>
          <w:sz w:val="24"/>
          <w:szCs w:val="24"/>
        </w:rPr>
        <w:t>平方米。</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户型平面需根据村民实际需求，选择单层、二层户型，</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户型设计需考虑农村生活习惯，如厨房柴火灶使用、农具粮食收纳堆放、家禽养殖、衣服晾晒、晒坝、小菜园等，户型空间尺寸需要方便生活使用。</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（四）</w:t>
      </w:r>
      <w:r>
        <w:rPr>
          <w:rFonts w:eastAsia="宋体" w:cs="Times New Roman" w:asciiTheme="minorEastAsia" w:hAnsiTheme="minorEastAsia"/>
          <w:b/>
          <w:kern w:val="0"/>
          <w:sz w:val="24"/>
          <w:szCs w:val="24"/>
        </w:rPr>
        <w:t>公共空间风貌引导</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采用增加村民健身设施、休息座椅、廊架、植物造景等方式，强化公共活动场地的功能复合性，并增加公共空间绿化</w:t>
      </w:r>
      <w:r>
        <w:rPr>
          <w:rFonts w:hint="eastAsia" w:eastAsia="宋体" w:cs="Times New Roman" w:asciiTheme="minorEastAsia" w:hAnsiTheme="minorEastAsia"/>
          <w:kern w:val="0"/>
          <w:sz w:val="24"/>
          <w:szCs w:val="24"/>
        </w:rPr>
        <w:t>。</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（五）</w:t>
      </w:r>
      <w:r>
        <w:rPr>
          <w:rFonts w:eastAsia="宋体" w:cs="Times New Roman" w:asciiTheme="minorEastAsia" w:hAnsiTheme="minorEastAsia"/>
          <w:b/>
          <w:kern w:val="0"/>
          <w:sz w:val="24"/>
          <w:szCs w:val="24"/>
        </w:rPr>
        <w:t>村庄公用设施风貌引导</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以“整洁有序、原生乡土、舒适适宜、经济实用”的方式进行建设，与当地建筑风貌相协调，尽可能使用当地建筑材料。</w:t>
      </w:r>
    </w:p>
    <w:p>
      <w:pPr>
        <w:adjustRightInd w:val="0"/>
        <w:snapToGrid w:val="0"/>
        <w:spacing w:line="360" w:lineRule="auto"/>
        <w:ind w:firstLine="482" w:firstLineChars="200"/>
        <w:rPr>
          <w:rFonts w:ascii="黑体" w:hAnsi="黑体" w:eastAsia="黑体" w:cs="Times New Roman"/>
          <w:b/>
          <w:kern w:val="0"/>
          <w:sz w:val="24"/>
          <w:szCs w:val="24"/>
        </w:rPr>
      </w:pPr>
      <w:r>
        <w:rPr>
          <w:rFonts w:hint="eastAsia" w:ascii="黑体" w:hAnsi="黑体" w:eastAsia="黑体" w:cs="Times New Roman"/>
          <w:b/>
          <w:kern w:val="0"/>
          <w:sz w:val="24"/>
          <w:szCs w:val="24"/>
        </w:rPr>
        <w:t>三、全域土地综合整治</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（一）</w:t>
      </w:r>
      <w:r>
        <w:rPr>
          <w:rFonts w:eastAsia="宋体" w:cs="Times New Roman" w:asciiTheme="minorEastAsia" w:hAnsiTheme="minorEastAsia"/>
          <w:b/>
          <w:kern w:val="0"/>
          <w:sz w:val="24"/>
          <w:szCs w:val="24"/>
        </w:rPr>
        <w:t>农用地综合整治</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1、</w:t>
      </w:r>
      <w:r>
        <w:rPr>
          <w:rFonts w:eastAsia="宋体" w:cs="Times New Roman" w:asciiTheme="minorEastAsia" w:hAnsiTheme="minorEastAsia"/>
          <w:kern w:val="0"/>
          <w:sz w:val="24"/>
          <w:szCs w:val="24"/>
        </w:rPr>
        <w:t>高标准农田建设</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要求深入实施藏粮于地、藏粮于技战略，以提升粮食产能为首要目标，以农产品主产区为主体，加快实施高标准农田建设，提高建设标准和质量，</w:t>
      </w:r>
      <w:r>
        <w:rPr>
          <w:rFonts w:hint="eastAsia" w:eastAsia="宋体" w:cs="Times New Roman" w:asciiTheme="minorEastAsia" w:hAnsiTheme="minorEastAsia"/>
          <w:kern w:val="0"/>
          <w:sz w:val="24"/>
          <w:szCs w:val="24"/>
        </w:rPr>
        <w:t>确保</w:t>
      </w:r>
      <w:r>
        <w:rPr>
          <w:rFonts w:eastAsia="宋体" w:cs="Times New Roman" w:asciiTheme="minorEastAsia" w:hAnsiTheme="minorEastAsia"/>
          <w:kern w:val="0"/>
          <w:sz w:val="24"/>
          <w:szCs w:val="24"/>
        </w:rPr>
        <w:t>粮食安全</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以永久基本农田和集中连片耕地为重点，开展高标准农田建设。统筹安排，规模整治，优先在基本农田范围内建设。因地制宜实行差别化整治，采取田、水、路、林、村综合整治措施。强化耕地数量、质量、生态三位一体的提升。鼓励农民采取多种形式参与工程建设。以土地整治专项资金为引导，聚合相关涉农资金，集中投入，引导和规范社会力量参与。</w:t>
      </w:r>
      <w:r>
        <w:rPr>
          <w:rFonts w:hint="eastAsia" w:eastAsia="宋体" w:cs="Times New Roman" w:asciiTheme="minorEastAsia" w:hAnsiTheme="minorEastAsia"/>
          <w:kern w:val="0"/>
          <w:sz w:val="24"/>
          <w:szCs w:val="24"/>
        </w:rPr>
        <w:t>至今，</w:t>
      </w:r>
      <w:r>
        <w:rPr>
          <w:rFonts w:eastAsia="宋体" w:cs="Times New Roman" w:asciiTheme="minorEastAsia" w:hAnsiTheme="minorEastAsia"/>
          <w:kern w:val="0"/>
          <w:sz w:val="24"/>
          <w:szCs w:val="24"/>
        </w:rPr>
        <w:t>片区河边镇、玉峰镇和象山镇共完成高标准农田建设项目35个，建设规模886.41公顷，其中旱地整理面积555.55公顷、水田整理面积319.78公顷、新建囤水田1.79公顷、整治山坪塘9.29公顷</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片区高标准农田新增耕地占比0.20%</w:t>
      </w:r>
      <w:r>
        <w:rPr>
          <w:rFonts w:hint="eastAsia" w:eastAsia="宋体" w:cs="Times New Roman" w:asciiTheme="minorEastAsia" w:hAnsiTheme="minorEastAsia"/>
          <w:kern w:val="0"/>
          <w:sz w:val="24"/>
          <w:szCs w:val="24"/>
        </w:rPr>
        <w:t>。</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2、宜耕后备资源开发整理潜力</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作为耕地资源的重要“储备库”，耕地后备资源状况直接反映</w:t>
      </w:r>
      <w:r>
        <w:rPr>
          <w:rFonts w:hint="eastAsia" w:eastAsia="宋体" w:cs="Times New Roman" w:asciiTheme="minorEastAsia" w:hAnsiTheme="minorEastAsia"/>
          <w:kern w:val="0"/>
          <w:sz w:val="24"/>
          <w:szCs w:val="24"/>
        </w:rPr>
        <w:t>片区</w:t>
      </w:r>
      <w:r>
        <w:rPr>
          <w:rFonts w:eastAsia="宋体" w:cs="Times New Roman" w:asciiTheme="minorEastAsia" w:hAnsiTheme="minorEastAsia"/>
          <w:kern w:val="0"/>
          <w:sz w:val="24"/>
          <w:szCs w:val="24"/>
        </w:rPr>
        <w:t>耕地开发的潜力，耕地后备资源调查</w:t>
      </w:r>
      <w:r>
        <w:rPr>
          <w:rFonts w:hint="eastAsia" w:eastAsia="宋体" w:cs="Times New Roman" w:asciiTheme="minorEastAsia" w:hAnsiTheme="minorEastAsia"/>
          <w:kern w:val="0"/>
          <w:sz w:val="24"/>
          <w:szCs w:val="24"/>
        </w:rPr>
        <w:t>整理</w:t>
      </w:r>
      <w:r>
        <w:rPr>
          <w:rFonts w:eastAsia="宋体" w:cs="Times New Roman" w:asciiTheme="minorEastAsia" w:hAnsiTheme="minorEastAsia"/>
          <w:kern w:val="0"/>
          <w:sz w:val="24"/>
          <w:szCs w:val="24"/>
        </w:rPr>
        <w:t>，是贯彻落实最严格的耕地保护制度、规范耕地“占补平衡”制度、实现耕地“进出平衡”政策的重要基础性工作，也是落实藏粮于地、藏粮于技战略，确保</w:t>
      </w:r>
      <w:r>
        <w:rPr>
          <w:rFonts w:hint="eastAsia" w:eastAsia="宋体" w:cs="Times New Roman" w:asciiTheme="minorEastAsia" w:hAnsiTheme="minorEastAsia"/>
          <w:kern w:val="0"/>
          <w:sz w:val="24"/>
          <w:szCs w:val="24"/>
        </w:rPr>
        <w:t>片区</w:t>
      </w:r>
      <w:r>
        <w:rPr>
          <w:rFonts w:eastAsia="宋体" w:cs="Times New Roman" w:asciiTheme="minorEastAsia" w:hAnsiTheme="minorEastAsia"/>
          <w:kern w:val="0"/>
          <w:sz w:val="24"/>
          <w:szCs w:val="24"/>
        </w:rPr>
        <w:t>粮食安全的有效手段。根据《耕地后备资源调查评价技术规程》</w:t>
      </w:r>
      <w:r>
        <w:rPr>
          <w:rFonts w:hint="eastAsia" w:eastAsia="宋体" w:cs="Times New Roman" w:asciiTheme="minorEastAsia" w:hAnsiTheme="minorEastAsia"/>
          <w:kern w:val="0"/>
          <w:sz w:val="24"/>
          <w:szCs w:val="24"/>
        </w:rPr>
        <w:t>，结合适宜性分析，选择宜农其他草地和田坎系数较高（</w:t>
      </w:r>
      <w:r>
        <w:rPr>
          <w:rFonts w:eastAsia="宋体" w:cs="Times New Roman" w:asciiTheme="minorEastAsia" w:hAnsiTheme="minorEastAsia"/>
          <w:kern w:val="0"/>
          <w:sz w:val="24"/>
          <w:szCs w:val="24"/>
        </w:rPr>
        <w:t>6</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-25</w:t>
      </w:r>
      <w:r>
        <w:rPr>
          <w:rFonts w:hint="eastAsia" w:eastAsia="宋体" w:cs="Times New Roman" w:asciiTheme="minorEastAsia" w:hAnsiTheme="minorEastAsia"/>
          <w:kern w:val="0"/>
          <w:sz w:val="24"/>
          <w:szCs w:val="24"/>
        </w:rPr>
        <w:t>°）的耕地进行土地开发整理，划定开发整理范围。通过草地开发、田坎整理，</w:t>
      </w:r>
      <w:r>
        <w:rPr>
          <w:rFonts w:eastAsia="宋体" w:cs="Times New Roman" w:asciiTheme="minorEastAsia" w:hAnsiTheme="minorEastAsia"/>
          <w:kern w:val="0"/>
          <w:sz w:val="24"/>
          <w:szCs w:val="24"/>
        </w:rPr>
        <w:t>片区</w:t>
      </w:r>
      <w:r>
        <w:rPr>
          <w:rFonts w:hint="eastAsia" w:eastAsia="宋体" w:cs="Times New Roman" w:asciiTheme="minorEastAsia" w:hAnsiTheme="minorEastAsia"/>
          <w:kern w:val="0"/>
          <w:sz w:val="24"/>
          <w:szCs w:val="24"/>
        </w:rPr>
        <w:t>可</w:t>
      </w:r>
      <w:r>
        <w:rPr>
          <w:rFonts w:eastAsia="宋体" w:cs="Times New Roman" w:asciiTheme="minorEastAsia" w:hAnsiTheme="minorEastAsia"/>
          <w:kern w:val="0"/>
          <w:sz w:val="24"/>
          <w:szCs w:val="24"/>
        </w:rPr>
        <w:t>恢复耕地潜力约为1777</w:t>
      </w:r>
      <w:r>
        <w:rPr>
          <w:rFonts w:hint="eastAsia" w:eastAsia="宋体" w:cs="Times New Roman" w:asciiTheme="minorEastAsia" w:hAnsiTheme="minorEastAsia"/>
          <w:kern w:val="0"/>
          <w:sz w:val="24"/>
          <w:szCs w:val="24"/>
        </w:rPr>
        <w:t>.49</w:t>
      </w:r>
      <w:r>
        <w:rPr>
          <w:rFonts w:eastAsia="宋体" w:cs="Times New Roman" w:asciiTheme="minorEastAsia" w:hAnsiTheme="minorEastAsia"/>
          <w:kern w:val="0"/>
          <w:sz w:val="24"/>
          <w:szCs w:val="24"/>
        </w:rPr>
        <w:t>公顷</w:t>
      </w:r>
      <w:r>
        <w:rPr>
          <w:rFonts w:hint="eastAsia" w:eastAsia="宋体" w:cs="Times New Roman" w:asciiTheme="minorEastAsia" w:hAnsiTheme="minorEastAsia"/>
          <w:kern w:val="0"/>
          <w:sz w:val="24"/>
          <w:szCs w:val="24"/>
        </w:rPr>
        <w:t>，可开发耕地资源潜力约为8.5</w:t>
      </w:r>
      <w:r>
        <w:rPr>
          <w:rFonts w:eastAsia="宋体" w:cs="Times New Roman" w:asciiTheme="minorEastAsia" w:hAnsiTheme="minorEastAsia"/>
          <w:kern w:val="0"/>
          <w:sz w:val="24"/>
          <w:szCs w:val="24"/>
        </w:rPr>
        <w:t>公顷</w:t>
      </w:r>
      <w:r>
        <w:rPr>
          <w:rFonts w:hint="eastAsia" w:eastAsia="宋体" w:cs="Times New Roman" w:asciiTheme="minorEastAsia" w:hAnsiTheme="minorEastAsia"/>
          <w:kern w:val="0"/>
          <w:sz w:val="24"/>
          <w:szCs w:val="24"/>
        </w:rPr>
        <w:t>，整治区域内新增耕地面积应不小于实施整治耕地面积的7</w:t>
      </w:r>
      <w:r>
        <w:rPr>
          <w:rFonts w:eastAsia="宋体" w:cs="Times New Roman" w:asciiTheme="minorEastAsia" w:hAnsiTheme="minorEastAsia"/>
          <w:kern w:val="0"/>
          <w:sz w:val="24"/>
          <w:szCs w:val="24"/>
        </w:rPr>
        <w:t>%</w:t>
      </w:r>
      <w:r>
        <w:rPr>
          <w:rFonts w:hint="eastAsia" w:eastAsia="宋体" w:cs="Times New Roman" w:asciiTheme="minorEastAsia" w:hAnsiTheme="minorEastAsia"/>
          <w:kern w:val="0"/>
          <w:sz w:val="24"/>
          <w:szCs w:val="24"/>
        </w:rPr>
        <w:t>，通过宜耕后备资源开发整理潜力整治，片区可新增耕地</w:t>
      </w:r>
      <w:r>
        <w:rPr>
          <w:rFonts w:eastAsia="宋体" w:cs="Times New Roman" w:asciiTheme="minorEastAsia" w:hAnsiTheme="minorEastAsia"/>
          <w:kern w:val="0"/>
          <w:sz w:val="24"/>
          <w:szCs w:val="24"/>
        </w:rPr>
        <w:t>125.0</w:t>
      </w:r>
      <w:r>
        <w:rPr>
          <w:rFonts w:hint="eastAsia" w:eastAsia="宋体" w:cs="Times New Roman" w:asciiTheme="minorEastAsia" w:hAnsiTheme="minorEastAsia"/>
          <w:kern w:val="0"/>
          <w:sz w:val="24"/>
          <w:szCs w:val="24"/>
        </w:rPr>
        <w:t>2</w:t>
      </w:r>
      <w:r>
        <w:rPr>
          <w:rFonts w:eastAsia="宋体" w:cs="Times New Roman" w:asciiTheme="minorEastAsia" w:hAnsiTheme="minorEastAsia"/>
          <w:kern w:val="0"/>
          <w:sz w:val="24"/>
          <w:szCs w:val="24"/>
        </w:rPr>
        <w:t>公顷</w:t>
      </w:r>
      <w:r>
        <w:rPr>
          <w:rFonts w:hint="eastAsia" w:eastAsia="宋体" w:cs="Times New Roman" w:asciiTheme="minorEastAsia" w:hAnsiTheme="minorEastAsia"/>
          <w:kern w:val="0"/>
          <w:sz w:val="24"/>
          <w:szCs w:val="24"/>
        </w:rPr>
        <w:t>。</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3、</w:t>
      </w:r>
      <w:r>
        <w:rPr>
          <w:rFonts w:eastAsia="宋体" w:cs="Times New Roman" w:asciiTheme="minorEastAsia" w:hAnsiTheme="minorEastAsia"/>
          <w:kern w:val="0"/>
          <w:sz w:val="24"/>
          <w:szCs w:val="24"/>
        </w:rPr>
        <w:t>土地整理潜力部分</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运用最新三调资料对片区</w:t>
      </w:r>
      <w:r>
        <w:rPr>
          <w:rFonts w:hint="eastAsia" w:eastAsia="宋体" w:cs="Times New Roman" w:asciiTheme="minorEastAsia" w:hAnsiTheme="minorEastAsia"/>
          <w:kern w:val="0"/>
          <w:sz w:val="24"/>
          <w:szCs w:val="24"/>
        </w:rPr>
        <w:t>在</w:t>
      </w:r>
      <w:r>
        <w:rPr>
          <w:rFonts w:eastAsia="宋体" w:cs="Times New Roman" w:asciiTheme="minorEastAsia" w:hAnsiTheme="minorEastAsia"/>
          <w:kern w:val="0"/>
          <w:sz w:val="24"/>
          <w:szCs w:val="24"/>
        </w:rPr>
        <w:t>25度以下的耕地进行统计，并扣除城市开发边界及生态保护红线范围内的面积，</w:t>
      </w:r>
      <w:r>
        <w:rPr>
          <w:rFonts w:hint="eastAsia" w:eastAsia="宋体" w:cs="Times New Roman" w:asciiTheme="minorEastAsia" w:hAnsiTheme="minorEastAsia"/>
          <w:kern w:val="0"/>
          <w:sz w:val="24"/>
          <w:szCs w:val="24"/>
        </w:rPr>
        <w:t>叠</w:t>
      </w:r>
      <w:r>
        <w:rPr>
          <w:rFonts w:eastAsia="宋体" w:cs="Times New Roman" w:asciiTheme="minorEastAsia" w:hAnsiTheme="minorEastAsia"/>
          <w:kern w:val="0"/>
          <w:sz w:val="24"/>
          <w:szCs w:val="24"/>
        </w:rPr>
        <w:t>加已参加土地整治及高标准农田建设的范围线，中低产耕地约面积5652公顷（含田坎)，对片区中低产耕地进行土地整理，增加有效耕地面积，提高耕地质量。根据最新川自然资规[2020]8号档计算新增耕地，归并田坎采取工程措施等方式，片区耕地整理新增耕地潜力为113.03公顷。</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未利用地潜力部分：通过对片区三调现状未利用地进行统计，未利用地总面积6199公顷，主要为空闲地、荒草地。</w:t>
      </w:r>
      <w:r>
        <w:rPr>
          <w:rFonts w:hint="eastAsia" w:eastAsia="宋体" w:cs="Times New Roman" w:asciiTheme="minorEastAsia" w:hAnsiTheme="minorEastAsia"/>
          <w:kern w:val="0"/>
          <w:sz w:val="24"/>
          <w:szCs w:val="24"/>
        </w:rPr>
        <w:t>扣除</w:t>
      </w:r>
      <w:r>
        <w:rPr>
          <w:rFonts w:eastAsia="宋体" w:cs="Times New Roman" w:asciiTheme="minorEastAsia" w:hAnsiTheme="minorEastAsia"/>
          <w:kern w:val="0"/>
          <w:sz w:val="24"/>
          <w:szCs w:val="24"/>
        </w:rPr>
        <w:t>627.28公顷（大于25</w:t>
      </w:r>
      <w:r>
        <w:rPr>
          <w:rFonts w:hint="eastAsia" w:eastAsia="宋体" w:cs="Times New Roman" w:asciiTheme="minorEastAsia" w:hAnsiTheme="minorEastAsia"/>
          <w:kern w:val="0"/>
          <w:sz w:val="24"/>
          <w:szCs w:val="24"/>
        </w:rPr>
        <w:t>度</w:t>
      </w:r>
      <w:r>
        <w:rPr>
          <w:rFonts w:eastAsia="宋体" w:cs="Times New Roman" w:asciiTheme="minorEastAsia" w:hAnsiTheme="minorEastAsia"/>
          <w:kern w:val="0"/>
          <w:sz w:val="24"/>
          <w:szCs w:val="24"/>
        </w:rPr>
        <w:t>，</w:t>
      </w:r>
      <w:r>
        <w:rPr>
          <w:rFonts w:hint="eastAsia" w:eastAsia="宋体" w:cs="Times New Roman" w:asciiTheme="minorEastAsia" w:hAnsiTheme="minorEastAsia"/>
          <w:kern w:val="0"/>
          <w:sz w:val="24"/>
          <w:szCs w:val="24"/>
        </w:rPr>
        <w:t>叠</w:t>
      </w:r>
      <w:r>
        <w:rPr>
          <w:rFonts w:eastAsia="宋体" w:cs="Times New Roman" w:asciiTheme="minorEastAsia" w:hAnsiTheme="minorEastAsia"/>
          <w:kern w:val="0"/>
          <w:sz w:val="24"/>
          <w:szCs w:val="24"/>
        </w:rPr>
        <w:t>加河湖管理范围线、生态极重要区域范围线、城市开发边界范围线等）</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预计新增耕</w:t>
      </w:r>
      <w:r>
        <w:rPr>
          <w:rFonts w:hint="eastAsia" w:eastAsia="宋体" w:cs="Times New Roman" w:asciiTheme="minorEastAsia" w:hAnsiTheme="minorEastAsia"/>
          <w:kern w:val="0"/>
          <w:sz w:val="24"/>
          <w:szCs w:val="24"/>
        </w:rPr>
        <w:t>地</w:t>
      </w:r>
      <w:r>
        <w:rPr>
          <w:rFonts w:eastAsia="宋体" w:cs="Times New Roman" w:asciiTheme="minorEastAsia" w:hAnsiTheme="minorEastAsia"/>
          <w:kern w:val="0"/>
          <w:sz w:val="24"/>
          <w:szCs w:val="24"/>
        </w:rPr>
        <w:t>573.17</w:t>
      </w:r>
      <w:r>
        <w:rPr>
          <w:rFonts w:hint="eastAsia" w:eastAsia="宋体" w:cs="Times New Roman" w:asciiTheme="minorEastAsia" w:hAnsiTheme="minorEastAsia"/>
          <w:kern w:val="0"/>
          <w:sz w:val="24"/>
          <w:szCs w:val="24"/>
        </w:rPr>
        <w:t>公</w:t>
      </w:r>
      <w:r>
        <w:rPr>
          <w:rFonts w:eastAsia="宋体" w:cs="Times New Roman" w:asciiTheme="minorEastAsia" w:hAnsiTheme="minorEastAsia"/>
          <w:kern w:val="0"/>
          <w:sz w:val="24"/>
          <w:szCs w:val="24"/>
        </w:rPr>
        <w:t>顷。</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（二）</w:t>
      </w:r>
      <w:r>
        <w:rPr>
          <w:rFonts w:eastAsia="宋体" w:cs="Times New Roman" w:asciiTheme="minorEastAsia" w:hAnsiTheme="minorEastAsia"/>
          <w:b/>
          <w:kern w:val="0"/>
          <w:sz w:val="24"/>
          <w:szCs w:val="24"/>
        </w:rPr>
        <w:t>建设用地整治</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1、</w:t>
      </w:r>
      <w:r>
        <w:rPr>
          <w:rFonts w:eastAsia="宋体" w:cs="Times New Roman" w:asciiTheme="minorEastAsia" w:hAnsiTheme="minorEastAsia"/>
          <w:kern w:val="0"/>
          <w:sz w:val="24"/>
          <w:szCs w:val="24"/>
        </w:rPr>
        <w:t>城乡建设用地增减挂钩</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严格控制农村人均建设用地规模，推行宅基地一户一宅制度，结合农村土地制度改革，集体建设用地三权分置、增减挂钩等政策，提出村庄规划的相关要求，明确农村建设用地整治目标。</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片区现有农村居民点用地1885.64公顷，扣除片区</w:t>
      </w:r>
      <w:r>
        <w:rPr>
          <w:rFonts w:hint="eastAsia" w:eastAsia="宋体" w:cs="Times New Roman" w:asciiTheme="minorEastAsia" w:hAnsiTheme="minorEastAsia"/>
          <w:kern w:val="0"/>
          <w:sz w:val="24"/>
          <w:szCs w:val="24"/>
          <w:lang w:eastAsia="zh-CN"/>
        </w:rPr>
        <w:t>已建成</w:t>
      </w:r>
      <w:r>
        <w:rPr>
          <w:rFonts w:hint="eastAsia" w:eastAsia="宋体" w:cs="Times New Roman" w:asciiTheme="minorEastAsia" w:hAnsiTheme="minorEastAsia"/>
          <w:kern w:val="0"/>
          <w:sz w:val="24"/>
          <w:szCs w:val="24"/>
        </w:rPr>
        <w:t>新村</w:t>
      </w:r>
      <w:r>
        <w:rPr>
          <w:rFonts w:eastAsia="宋体" w:cs="Times New Roman" w:asciiTheme="minorEastAsia" w:hAnsiTheme="minorEastAsia"/>
          <w:kern w:val="0"/>
          <w:sz w:val="24"/>
          <w:szCs w:val="24"/>
        </w:rPr>
        <w:t>聚居点</w:t>
      </w:r>
      <w:r>
        <w:rPr>
          <w:rFonts w:hint="eastAsia" w:eastAsia="宋体" w:cs="Times New Roman" w:asciiTheme="minorEastAsia" w:hAnsiTheme="minorEastAsia"/>
          <w:kern w:val="0"/>
          <w:sz w:val="24"/>
          <w:szCs w:val="24"/>
        </w:rPr>
        <w:t>和大型聚居点</w:t>
      </w:r>
      <w:r>
        <w:rPr>
          <w:rFonts w:eastAsia="宋体" w:cs="Times New Roman" w:asciiTheme="minorEastAsia" w:hAnsiTheme="minorEastAsia"/>
          <w:kern w:val="0"/>
          <w:sz w:val="24"/>
          <w:szCs w:val="24"/>
        </w:rPr>
        <w:t>266.22公顷，</w:t>
      </w:r>
      <w:r>
        <w:rPr>
          <w:rFonts w:hint="eastAsia" w:eastAsia="宋体" w:cs="Times New Roman" w:asciiTheme="minorEastAsia" w:hAnsiTheme="minorEastAsia"/>
          <w:kern w:val="0"/>
          <w:sz w:val="24"/>
          <w:szCs w:val="24"/>
        </w:rPr>
        <w:t>规划320.71公顷的聚居点用于安置村民，</w:t>
      </w:r>
      <w:r>
        <w:rPr>
          <w:rFonts w:eastAsia="宋体" w:cs="Times New Roman" w:asciiTheme="minorEastAsia" w:hAnsiTheme="minorEastAsia"/>
          <w:kern w:val="0"/>
          <w:sz w:val="24"/>
          <w:szCs w:val="24"/>
        </w:rPr>
        <w:t>剩余</w:t>
      </w:r>
      <w:r>
        <w:rPr>
          <w:rFonts w:hint="eastAsia" w:eastAsia="宋体" w:cs="Times New Roman" w:asciiTheme="minorEastAsia" w:hAnsiTheme="minorEastAsia"/>
          <w:kern w:val="0"/>
          <w:sz w:val="24"/>
          <w:szCs w:val="24"/>
        </w:rPr>
        <w:t>1298.71</w:t>
      </w:r>
      <w:r>
        <w:rPr>
          <w:rFonts w:eastAsia="宋体" w:cs="Times New Roman" w:asciiTheme="minorEastAsia" w:hAnsiTheme="minorEastAsia"/>
          <w:kern w:val="0"/>
          <w:sz w:val="24"/>
          <w:szCs w:val="24"/>
        </w:rPr>
        <w:t>公顷潜力，根据民意调查，百姓的整体</w:t>
      </w:r>
      <w:r>
        <w:rPr>
          <w:rFonts w:hint="eastAsia" w:eastAsia="宋体" w:cs="Times New Roman" w:asciiTheme="minorEastAsia" w:hAnsiTheme="minorEastAsia"/>
          <w:kern w:val="0"/>
          <w:sz w:val="24"/>
          <w:szCs w:val="24"/>
        </w:rPr>
        <w:t>拆除意愿占比55</w:t>
      </w:r>
      <w:r>
        <w:rPr>
          <w:rFonts w:eastAsia="宋体" w:cs="Times New Roman" w:asciiTheme="minorEastAsia" w:hAnsiTheme="minorEastAsia"/>
          <w:kern w:val="0"/>
          <w:sz w:val="24"/>
          <w:szCs w:val="24"/>
        </w:rPr>
        <w:t>%计算，将有</w:t>
      </w:r>
      <w:r>
        <w:rPr>
          <w:rFonts w:hint="eastAsia" w:eastAsia="宋体" w:cs="Times New Roman" w:asciiTheme="minorEastAsia" w:hAnsiTheme="minorEastAsia"/>
          <w:kern w:val="0"/>
          <w:sz w:val="24"/>
          <w:szCs w:val="24"/>
        </w:rPr>
        <w:t>714.29</w:t>
      </w:r>
      <w:r>
        <w:rPr>
          <w:rFonts w:eastAsia="宋体" w:cs="Times New Roman" w:asciiTheme="minorEastAsia" w:hAnsiTheme="minorEastAsia"/>
          <w:kern w:val="0"/>
          <w:sz w:val="24"/>
          <w:szCs w:val="24"/>
        </w:rPr>
        <w:t>公顷的潜力规模</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根据农业人口预测及规划年估算，确定农村建设用地整理潜力约273.6</w:t>
      </w:r>
      <w:r>
        <w:rPr>
          <w:rFonts w:hint="eastAsia" w:eastAsia="宋体" w:cs="Times New Roman" w:asciiTheme="minorEastAsia" w:hAnsiTheme="minorEastAsia"/>
          <w:kern w:val="0"/>
          <w:sz w:val="24"/>
          <w:szCs w:val="24"/>
        </w:rPr>
        <w:t>2</w:t>
      </w:r>
      <w:r>
        <w:rPr>
          <w:rFonts w:eastAsia="宋体" w:cs="Times New Roman" w:asciiTheme="minorEastAsia" w:hAnsiTheme="minorEastAsia"/>
          <w:kern w:val="0"/>
          <w:sz w:val="24"/>
          <w:szCs w:val="24"/>
        </w:rPr>
        <w:t>公顷。</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2、</w:t>
      </w:r>
      <w:r>
        <w:rPr>
          <w:rFonts w:eastAsia="宋体" w:cs="Times New Roman" w:asciiTheme="minorEastAsia" w:hAnsiTheme="minorEastAsia"/>
          <w:kern w:val="0"/>
          <w:sz w:val="24"/>
          <w:szCs w:val="24"/>
        </w:rPr>
        <w:t>低效用地再开发</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以建设用地节约集约利用为目标，在城市建设用地节约集约利用整体评价和详细评价、开发区土地集约利用专项评价成果的基础上，各县、区应开展城市及城镇低效建设用地调查，明确低效用地标准，摸清低效用地现状，统筹安排规划期间的低效用地再开发工程项目，配套制定低效用地再开发政策，鼓励原国有土地使用权人自主或联合改造开发；积极引导城镇工业用地、老旧小区、城中村集体建设用地改造开发；鼓励产业转型升级优化用地结构；鼓励集中成片开发；加强公共设施和民生项目建设。贯彻落实增存挂钩政策，推进规划期间工业用地退二进三和产业用地升级改造等工程项目。片区闲置低效用地图斑</w:t>
      </w:r>
      <w:r>
        <w:rPr>
          <w:rFonts w:hint="eastAsia" w:eastAsia="宋体" w:cs="Times New Roman" w:asciiTheme="minorEastAsia" w:hAnsiTheme="minorEastAsia"/>
          <w:kern w:val="0"/>
          <w:sz w:val="24"/>
          <w:szCs w:val="24"/>
        </w:rPr>
        <w:t>9</w:t>
      </w:r>
      <w:r>
        <w:rPr>
          <w:rFonts w:eastAsia="宋体" w:cs="Times New Roman" w:asciiTheme="minorEastAsia" w:hAnsiTheme="minorEastAsia"/>
          <w:kern w:val="0"/>
          <w:sz w:val="24"/>
          <w:szCs w:val="24"/>
        </w:rPr>
        <w:t>个，面积为</w:t>
      </w:r>
      <w:r>
        <w:rPr>
          <w:rFonts w:hint="eastAsia" w:eastAsia="宋体" w:cs="Times New Roman" w:asciiTheme="minorEastAsia" w:hAnsiTheme="minorEastAsia"/>
          <w:kern w:val="0"/>
          <w:sz w:val="24"/>
          <w:szCs w:val="24"/>
        </w:rPr>
        <w:t>5.24</w:t>
      </w:r>
      <w:r>
        <w:rPr>
          <w:rFonts w:eastAsia="宋体" w:cs="Times New Roman" w:asciiTheme="minorEastAsia" w:hAnsiTheme="minorEastAsia"/>
          <w:kern w:val="0"/>
          <w:sz w:val="24"/>
          <w:szCs w:val="24"/>
        </w:rPr>
        <w:t>公顷。</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（1）</w:t>
      </w:r>
      <w:r>
        <w:rPr>
          <w:rFonts w:eastAsia="宋体" w:cs="Times New Roman" w:asciiTheme="minorEastAsia" w:hAnsiTheme="minorEastAsia"/>
          <w:kern w:val="0"/>
          <w:sz w:val="24"/>
          <w:szCs w:val="24"/>
        </w:rPr>
        <w:t>低容积率用地</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鼓励企业通过翻建生产性用房或加层建造多层厂房提高容积率，对于超过建筑面 积1000平方米以上的部分，给予一定奖励。</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（2）</w:t>
      </w:r>
      <w:r>
        <w:rPr>
          <w:rFonts w:eastAsia="宋体" w:cs="Times New Roman" w:asciiTheme="minorEastAsia" w:hAnsiTheme="minorEastAsia"/>
          <w:kern w:val="0"/>
          <w:sz w:val="24"/>
          <w:szCs w:val="24"/>
        </w:rPr>
        <w:t>低税收用地</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鼓</w:t>
      </w:r>
      <w:r>
        <w:rPr>
          <w:rFonts w:eastAsia="宋体" w:cs="Times New Roman" w:asciiTheme="minorEastAsia" w:hAnsiTheme="minorEastAsia"/>
          <w:kern w:val="0"/>
          <w:sz w:val="24"/>
          <w:szCs w:val="24"/>
        </w:rPr>
        <w:t>励企业通过产业转型、拓展产业链等形式提高生产效率；建立退出机制，通过关停、重组等方式逐步转型升级。</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（3）</w:t>
      </w:r>
      <w:r>
        <w:rPr>
          <w:rFonts w:eastAsia="宋体" w:cs="Times New Roman" w:asciiTheme="minorEastAsia" w:hAnsiTheme="minorEastAsia"/>
          <w:kern w:val="0"/>
          <w:sz w:val="24"/>
          <w:szCs w:val="24"/>
        </w:rPr>
        <w:t>高空闲率用地</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推动企业建设，加快投</w:t>
      </w:r>
      <w:r>
        <w:rPr>
          <w:rFonts w:hint="eastAsia" w:eastAsia="宋体" w:cs="Times New Roman" w:asciiTheme="minorEastAsia" w:hAnsiTheme="minorEastAsia"/>
          <w:kern w:val="0"/>
          <w:sz w:val="24"/>
          <w:szCs w:val="24"/>
        </w:rPr>
        <w:t>产</w:t>
      </w:r>
      <w:r>
        <w:rPr>
          <w:rFonts w:eastAsia="宋体" w:cs="Times New Roman" w:asciiTheme="minorEastAsia" w:hAnsiTheme="minorEastAsia"/>
          <w:kern w:val="0"/>
          <w:sz w:val="24"/>
          <w:szCs w:val="24"/>
        </w:rPr>
        <w:t>使用</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鼓励企业将空闲土地和闲置厂房采取合资、合作、折价入股、企业重组、租赁 经营等形式实施改造和利用；收回闲置用地出让给其他企业。</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（4）</w:t>
      </w:r>
      <w:r>
        <w:rPr>
          <w:rFonts w:eastAsia="宋体" w:cs="Times New Roman" w:asciiTheme="minorEastAsia" w:hAnsiTheme="minorEastAsia"/>
          <w:kern w:val="0"/>
          <w:sz w:val="24"/>
          <w:szCs w:val="24"/>
        </w:rPr>
        <w:t>僵尸企业用地</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其他企业收购</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政府收回土地再次出让给其他企业。</w:t>
      </w:r>
    </w:p>
    <w:p>
      <w:pPr>
        <w:adjustRightInd w:val="0"/>
        <w:snapToGrid w:val="0"/>
        <w:spacing w:line="360" w:lineRule="auto"/>
        <w:ind w:firstLine="482" w:firstLineChars="200"/>
        <w:rPr>
          <w:rFonts w:ascii="黑体" w:hAnsi="黑体" w:eastAsia="黑体" w:cs="Times New Roman"/>
          <w:b/>
          <w:kern w:val="0"/>
          <w:sz w:val="24"/>
          <w:szCs w:val="24"/>
        </w:rPr>
      </w:pPr>
      <w:r>
        <w:rPr>
          <w:rFonts w:hint="eastAsia" w:ascii="黑体" w:hAnsi="黑体" w:eastAsia="黑体" w:cs="Times New Roman"/>
          <w:b/>
          <w:kern w:val="0"/>
          <w:sz w:val="24"/>
          <w:szCs w:val="24"/>
        </w:rPr>
        <w:t>四、生态修复规划</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以增加生态碳汇为导向，优化片区水系、林网、绿道等生态空间格局，牢牢守住生态安全底线。</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（一）</w:t>
      </w:r>
      <w:r>
        <w:rPr>
          <w:rFonts w:eastAsia="宋体" w:cs="Times New Roman" w:asciiTheme="minorEastAsia" w:hAnsiTheme="minorEastAsia"/>
          <w:b/>
          <w:kern w:val="0"/>
          <w:sz w:val="24"/>
          <w:szCs w:val="24"/>
        </w:rPr>
        <w:t>水环境治理</w:t>
      </w:r>
    </w:p>
    <w:p>
      <w:pPr>
        <w:adjustRightInd w:val="0"/>
        <w:snapToGrid w:val="0"/>
        <w:spacing w:line="360" w:lineRule="auto"/>
        <w:ind w:firstLine="482" w:firstLineChars="200"/>
        <w:rPr>
          <w:rFonts w:cs="Times New Roman" w:asciiTheme="minorEastAsia" w:hAnsiTheme="minorEastAsia"/>
          <w:b/>
          <w:kern w:val="0"/>
          <w:sz w:val="24"/>
          <w:szCs w:val="24"/>
          <w:u w:val="single"/>
        </w:rPr>
      </w:pPr>
      <w:r>
        <w:rPr>
          <w:rFonts w:eastAsia="宋体" w:cs="Times New Roman" w:asciiTheme="minorEastAsia" w:hAnsiTheme="minorEastAsia"/>
          <w:b/>
          <w:kern w:val="0"/>
          <w:sz w:val="24"/>
          <w:szCs w:val="24"/>
          <w:u w:val="single"/>
        </w:rPr>
        <w:t>保护片区内星花水库和寸塘口水库2处集中饮用水源保护地。</w:t>
      </w:r>
    </w:p>
    <w:p>
      <w:pPr>
        <w:adjustRightInd w:val="0"/>
        <w:snapToGrid w:val="0"/>
        <w:spacing w:line="360" w:lineRule="auto"/>
        <w:ind w:firstLine="482" w:firstLineChars="200"/>
        <w:rPr>
          <w:rFonts w:cs="Times New Roman" w:asciiTheme="minorEastAsia" w:hAnsiTheme="minorEastAsia"/>
          <w:b/>
          <w:kern w:val="0"/>
          <w:sz w:val="24"/>
          <w:szCs w:val="24"/>
          <w:u w:val="single"/>
        </w:rPr>
      </w:pPr>
      <w:r>
        <w:rPr>
          <w:rFonts w:hint="eastAsia" w:eastAsia="宋体" w:cs="Times New Roman" w:asciiTheme="minorEastAsia" w:hAnsiTheme="minorEastAsia"/>
          <w:b/>
          <w:kern w:val="0"/>
          <w:sz w:val="24"/>
          <w:szCs w:val="24"/>
          <w:u w:val="single"/>
        </w:rPr>
        <w:t>以郪江河、</w:t>
      </w:r>
      <w:r>
        <w:rPr>
          <w:rFonts w:eastAsia="宋体" w:cs="Times New Roman" w:asciiTheme="minorEastAsia" w:hAnsiTheme="minorEastAsia"/>
          <w:b/>
          <w:kern w:val="0"/>
          <w:sz w:val="24"/>
          <w:szCs w:val="24"/>
          <w:u w:val="single"/>
        </w:rPr>
        <w:t>马力河</w:t>
      </w:r>
      <w:r>
        <w:rPr>
          <w:rFonts w:hint="eastAsia" w:eastAsia="宋体" w:cs="Times New Roman" w:asciiTheme="minorEastAsia" w:hAnsiTheme="minorEastAsia"/>
          <w:b/>
          <w:kern w:val="0"/>
          <w:sz w:val="24"/>
          <w:szCs w:val="24"/>
          <w:u w:val="single"/>
        </w:rPr>
        <w:t>、濛溪河、幸福溪</w:t>
      </w:r>
      <w:r>
        <w:rPr>
          <w:rFonts w:eastAsia="宋体" w:cs="Times New Roman" w:asciiTheme="minorEastAsia" w:hAnsiTheme="minorEastAsia"/>
          <w:b/>
          <w:kern w:val="0"/>
          <w:sz w:val="24"/>
          <w:szCs w:val="24"/>
          <w:u w:val="single"/>
        </w:rPr>
        <w:t>为主体，开展河流水环境综合整治工程，保护河流自然岸线，修复水生态环境，规划修复岸线18.5</w:t>
      </w:r>
      <w:r>
        <w:rPr>
          <w:rFonts w:hint="eastAsia" w:eastAsia="宋体" w:cs="Times New Roman" w:asciiTheme="minorEastAsia" w:hAnsiTheme="minorEastAsia"/>
          <w:b/>
          <w:kern w:val="0"/>
          <w:sz w:val="24"/>
          <w:szCs w:val="24"/>
          <w:u w:val="single"/>
        </w:rPr>
        <w:t>公里。</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加强</w:t>
      </w:r>
      <w:r>
        <w:rPr>
          <w:rFonts w:hint="eastAsia" w:eastAsia="宋体" w:cs="Times New Roman" w:asciiTheme="minorEastAsia" w:hAnsiTheme="minorEastAsia"/>
          <w:kern w:val="0"/>
          <w:sz w:val="24"/>
          <w:szCs w:val="24"/>
        </w:rPr>
        <w:t>郪江</w:t>
      </w:r>
      <w:r>
        <w:rPr>
          <w:rFonts w:eastAsia="宋体" w:cs="Times New Roman" w:asciiTheme="minorEastAsia" w:hAnsiTheme="minorEastAsia"/>
          <w:kern w:val="0"/>
          <w:sz w:val="24"/>
          <w:szCs w:val="24"/>
        </w:rPr>
        <w:t>等河岸带湿地植被恢复和建设、有害生物防控、人工湿地减污等措施，开展湿地综合治理与修复工程，稳定湿地面积。</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（二）</w:t>
      </w:r>
      <w:r>
        <w:rPr>
          <w:rFonts w:eastAsia="宋体" w:cs="Times New Roman" w:asciiTheme="minorEastAsia" w:hAnsiTheme="minorEastAsia"/>
          <w:b/>
          <w:kern w:val="0"/>
          <w:sz w:val="24"/>
          <w:szCs w:val="24"/>
        </w:rPr>
        <w:t>差异化水系保护建设</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水土涵养区：包括水土侵蚀较为严重的郪江及其支流上游区域，重点涵养水源、防治水土流失。</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面源污染减控区：大力推进生态农业，科学规划布局畜禽养殖，减少面源污染。</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开展龙溪河流域水土流失治理2100公顷，马力河下段流域水土流失治理2300公顷，其中象山镇1000公顷，玉峰1300公顷，玉峰镇治理寸塘口河流域水土流失1100公顷，河边河（濛溪河）流域水土流失治理面积2100公顷，马力河上段水土流失治理1100公顷。</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（三）</w:t>
      </w:r>
      <w:r>
        <w:rPr>
          <w:rFonts w:eastAsia="宋体" w:cs="Times New Roman" w:asciiTheme="minorEastAsia" w:hAnsiTheme="minorEastAsia"/>
          <w:b/>
          <w:kern w:val="0"/>
          <w:sz w:val="24"/>
          <w:szCs w:val="24"/>
        </w:rPr>
        <w:t>矿山治理</w:t>
      </w:r>
    </w:p>
    <w:p>
      <w:pPr>
        <w:adjustRightInd w:val="0"/>
        <w:snapToGrid w:val="0"/>
        <w:spacing w:line="360" w:lineRule="auto"/>
        <w:ind w:firstLine="480" w:firstLineChars="200"/>
        <w:rPr>
          <w:rFonts w:cs="Times New Roman" w:asciiTheme="minorEastAsia" w:hAnsiTheme="minorEastAsia"/>
          <w:kern w:val="0"/>
          <w:sz w:val="24"/>
          <w:szCs w:val="24"/>
        </w:rPr>
      </w:pPr>
      <w:r>
        <w:rPr>
          <w:rFonts w:hint="eastAsia" w:eastAsia="宋体" w:cs="Times New Roman" w:asciiTheme="minorEastAsia" w:hAnsiTheme="minorEastAsia"/>
          <w:kern w:val="0"/>
          <w:sz w:val="24"/>
          <w:szCs w:val="24"/>
        </w:rPr>
        <w:t>到</w:t>
      </w:r>
      <w:r>
        <w:rPr>
          <w:rFonts w:eastAsia="宋体" w:cs="Times New Roman" w:asciiTheme="minorEastAsia" w:hAnsiTheme="minorEastAsia"/>
          <w:kern w:val="0"/>
          <w:sz w:val="24"/>
          <w:szCs w:val="24"/>
        </w:rPr>
        <w:t>2035年，历史遗留的矿山地质环境破坏面积恢复治理及修复面积1.6公顷。</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新建矿山做到边开采、边复垦，破坏土地复垦率达到100%</w:t>
      </w:r>
      <w:r>
        <w:rPr>
          <w:rFonts w:hint="eastAsia" w:eastAsia="宋体" w:cs="Times New Roman" w:asciiTheme="minorEastAsia" w:hAnsiTheme="minorEastAsia"/>
          <w:kern w:val="0"/>
          <w:sz w:val="24"/>
          <w:szCs w:val="24"/>
        </w:rPr>
        <w:t>以上。</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重要城镇周边、各级自然保护区、风景名胜 区、主干河流及重要交通干线两侧直观可视 范围内的露天采场进行复垦，破坏山体的绿 化造林及景观修复治理率达到100%</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矿山采矿权注销后治理率达到100%</w:t>
      </w:r>
    </w:p>
    <w:p>
      <w:pPr>
        <w:adjustRightInd w:val="0"/>
        <w:snapToGrid w:val="0"/>
        <w:spacing w:line="360" w:lineRule="auto"/>
        <w:ind w:firstLine="482" w:firstLineChars="200"/>
        <w:rPr>
          <w:rFonts w:ascii="黑体" w:hAnsi="黑体" w:eastAsia="黑体" w:cs="Times New Roman"/>
          <w:b/>
          <w:kern w:val="0"/>
          <w:sz w:val="24"/>
          <w:szCs w:val="24"/>
        </w:rPr>
      </w:pPr>
      <w:r>
        <w:rPr>
          <w:rFonts w:hint="eastAsia" w:ascii="黑体" w:hAnsi="黑体" w:eastAsia="黑体" w:cs="Times New Roman"/>
          <w:b/>
          <w:kern w:val="0"/>
          <w:sz w:val="24"/>
          <w:szCs w:val="24"/>
        </w:rPr>
        <w:t>五、</w:t>
      </w:r>
      <w:r>
        <w:rPr>
          <w:rFonts w:hint="eastAsia" w:ascii="黑体" w:hAnsi="黑体" w:eastAsia="黑体" w:cs="Times New Roman"/>
          <w:b/>
          <w:kern w:val="0"/>
          <w:sz w:val="24"/>
          <w:szCs w:val="24"/>
          <w:lang w:val="en-US" w:eastAsia="zh-CN"/>
        </w:rPr>
        <w:t>地质</w:t>
      </w:r>
      <w:r>
        <w:rPr>
          <w:rFonts w:ascii="黑体" w:hAnsi="黑体" w:eastAsia="黑体" w:cs="Times New Roman"/>
          <w:b/>
          <w:kern w:val="0"/>
          <w:sz w:val="24"/>
          <w:szCs w:val="24"/>
        </w:rPr>
        <w:t>灾害防治</w:t>
      </w:r>
    </w:p>
    <w:p>
      <w:pPr>
        <w:adjustRightInd w:val="0"/>
        <w:snapToGrid w:val="0"/>
        <w:spacing w:line="360" w:lineRule="auto"/>
        <w:ind w:firstLine="482" w:firstLineChars="200"/>
        <w:rPr>
          <w:rFonts w:ascii="宋体" w:hAnsi="宋体" w:eastAsia="宋体" w:cs="Times New Roman"/>
          <w:b/>
          <w:kern w:val="0"/>
          <w:sz w:val="24"/>
          <w:szCs w:val="24"/>
          <w:u w:val="single"/>
        </w:rPr>
      </w:pPr>
      <w:r>
        <w:rPr>
          <w:rFonts w:eastAsia="宋体" w:cs="Times New Roman" w:asciiTheme="minorEastAsia" w:hAnsiTheme="minorEastAsia"/>
          <w:b/>
          <w:kern w:val="0"/>
          <w:sz w:val="24"/>
          <w:szCs w:val="24"/>
          <w:u w:val="single"/>
        </w:rPr>
        <w:t>片区目前发育地质灾害</w:t>
      </w:r>
      <w:r>
        <w:rPr>
          <w:rFonts w:hint="eastAsia" w:eastAsia="宋体" w:cs="Times New Roman" w:asciiTheme="minorEastAsia" w:hAnsiTheme="minorEastAsia"/>
          <w:b/>
          <w:kern w:val="0"/>
          <w:sz w:val="24"/>
          <w:szCs w:val="24"/>
          <w:u w:val="single"/>
        </w:rPr>
        <w:t>17</w:t>
      </w:r>
      <w:r>
        <w:rPr>
          <w:rFonts w:eastAsia="宋体" w:cs="Times New Roman" w:asciiTheme="minorEastAsia" w:hAnsiTheme="minorEastAsia"/>
          <w:b/>
          <w:kern w:val="0"/>
          <w:sz w:val="24"/>
          <w:szCs w:val="24"/>
          <w:u w:val="single"/>
        </w:rPr>
        <w:t>处，根据《大英县地质灾害防治规划》,片区乡镇主要为重点防治区与一般防治区。其中，象山镇属于重点防治区</w:t>
      </w:r>
      <w:r>
        <w:rPr>
          <w:rFonts w:hint="eastAsia" w:eastAsia="宋体" w:cs="Times New Roman" w:asciiTheme="minorEastAsia" w:hAnsiTheme="minorEastAsia"/>
          <w:b/>
          <w:kern w:val="0"/>
          <w:sz w:val="24"/>
          <w:szCs w:val="24"/>
          <w:u w:val="single"/>
        </w:rPr>
        <w:t>（Ⅰ），</w:t>
      </w:r>
      <w:r>
        <w:rPr>
          <w:rFonts w:eastAsia="宋体" w:cs="Times New Roman" w:asciiTheme="minorEastAsia" w:hAnsiTheme="minorEastAsia"/>
          <w:b/>
          <w:kern w:val="0"/>
          <w:sz w:val="24"/>
          <w:szCs w:val="24"/>
          <w:u w:val="single"/>
        </w:rPr>
        <w:t>处于象山镇-通仙乡-蓬莱镇-金元乡重点防治亚区</w:t>
      </w:r>
      <w:r>
        <w:rPr>
          <w:rFonts w:hint="eastAsia" w:eastAsia="宋体" w:cs="Times New Roman" w:asciiTheme="minorEastAsia" w:hAnsiTheme="minorEastAsia"/>
          <w:b/>
          <w:kern w:val="0"/>
          <w:sz w:val="24"/>
          <w:szCs w:val="24"/>
          <w:u w:val="single"/>
        </w:rPr>
        <w:t>（Ⅰ</w:t>
      </w:r>
      <w:r>
        <w:rPr>
          <w:rFonts w:eastAsia="宋体" w:cs="Times New Roman" w:asciiTheme="minorEastAsia" w:hAnsiTheme="minorEastAsia"/>
          <w:b/>
          <w:kern w:val="0"/>
          <w:sz w:val="24"/>
          <w:szCs w:val="24"/>
          <w:u w:val="single"/>
        </w:rPr>
        <w:t>1</w:t>
      </w:r>
      <w:r>
        <w:rPr>
          <w:rFonts w:hint="eastAsia" w:eastAsia="宋体" w:cs="Times New Roman" w:asciiTheme="minorEastAsia" w:hAnsiTheme="minorEastAsia"/>
          <w:b/>
          <w:kern w:val="0"/>
          <w:sz w:val="24"/>
          <w:szCs w:val="24"/>
          <w:u w:val="single"/>
        </w:rPr>
        <w:t>）。河边和玉峰镇属于</w:t>
      </w:r>
      <w:r>
        <w:rPr>
          <w:rFonts w:eastAsia="宋体" w:cs="Times New Roman" w:asciiTheme="minorEastAsia" w:hAnsiTheme="minorEastAsia"/>
          <w:b/>
          <w:kern w:val="0"/>
          <w:sz w:val="24"/>
          <w:szCs w:val="24"/>
          <w:u w:val="single"/>
        </w:rPr>
        <w:t>一般防治区（</w:t>
      </w:r>
      <w:r>
        <w:rPr>
          <w:rFonts w:hint="eastAsia" w:eastAsia="宋体" w:cs="Times New Roman" w:asciiTheme="minorEastAsia" w:hAnsiTheme="minorEastAsia"/>
          <w:b/>
          <w:kern w:val="0"/>
          <w:sz w:val="24"/>
          <w:szCs w:val="24"/>
          <w:u w:val="single"/>
        </w:rPr>
        <w:t>Ⅲ</w:t>
      </w:r>
      <w:r>
        <w:rPr>
          <w:rFonts w:eastAsia="宋体" w:cs="Times New Roman" w:asciiTheme="minorEastAsia" w:hAnsiTheme="minorEastAsia"/>
          <w:b/>
          <w:kern w:val="0"/>
          <w:sz w:val="24"/>
          <w:szCs w:val="24"/>
          <w:u w:val="single"/>
        </w:rPr>
        <w:t>）</w:t>
      </w:r>
      <w:r>
        <w:rPr>
          <w:rFonts w:hint="eastAsia" w:eastAsia="宋体" w:cs="Times New Roman" w:asciiTheme="minorEastAsia" w:hAnsiTheme="minorEastAsia"/>
          <w:b/>
          <w:kern w:val="0"/>
          <w:sz w:val="24"/>
          <w:szCs w:val="24"/>
          <w:u w:val="single"/>
        </w:rPr>
        <w:t>，</w:t>
      </w:r>
      <w:r>
        <w:rPr>
          <w:rFonts w:eastAsia="宋体" w:cs="Times New Roman" w:asciiTheme="minorEastAsia" w:hAnsiTheme="minorEastAsia"/>
          <w:b/>
          <w:kern w:val="0"/>
          <w:sz w:val="24"/>
          <w:szCs w:val="24"/>
          <w:u w:val="single"/>
        </w:rPr>
        <w:t>处于河边镇—玉峰镇—智水乡一般防治区（</w:t>
      </w:r>
      <w:r>
        <w:rPr>
          <w:rFonts w:hint="eastAsia" w:eastAsia="宋体" w:cs="Times New Roman" w:asciiTheme="minorEastAsia" w:hAnsiTheme="minorEastAsia"/>
          <w:b/>
          <w:kern w:val="0"/>
          <w:sz w:val="24"/>
          <w:szCs w:val="24"/>
          <w:u w:val="single"/>
        </w:rPr>
        <w:t>Ⅲ</w:t>
      </w:r>
      <w:r>
        <w:rPr>
          <w:rFonts w:eastAsia="宋体" w:cs="Times New Roman" w:asciiTheme="minorEastAsia" w:hAnsiTheme="minorEastAsia"/>
          <w:b/>
          <w:kern w:val="0"/>
          <w:sz w:val="24"/>
          <w:szCs w:val="24"/>
          <w:u w:val="single"/>
        </w:rPr>
        <w:t>）</w:t>
      </w:r>
      <w:r>
        <w:rPr>
          <w:rFonts w:hint="eastAsia" w:eastAsia="宋体" w:cs="Times New Roman" w:asciiTheme="minorEastAsia" w:hAnsiTheme="minorEastAsia"/>
          <w:b/>
          <w:kern w:val="0"/>
          <w:sz w:val="24"/>
          <w:szCs w:val="24"/>
          <w:u w:val="single"/>
        </w:rPr>
        <w:t>。</w:t>
      </w:r>
      <w:r>
        <w:rPr>
          <w:rFonts w:hint="eastAsia" w:ascii="宋体" w:hAnsi="宋体" w:eastAsia="宋体" w:cs="Times New Roman"/>
          <w:b/>
          <w:kern w:val="0"/>
          <w:sz w:val="24"/>
          <w:szCs w:val="24"/>
          <w:u w:val="single"/>
        </w:rPr>
        <w:t>重点防治区以工程治理、应急排危为主，避险搬迁、群测群防为辅</w:t>
      </w:r>
      <w:r>
        <w:rPr>
          <w:rFonts w:hint="eastAsia" w:eastAsia="宋体" w:cs="Times New Roman" w:asciiTheme="minorEastAsia" w:hAnsiTheme="minorEastAsia"/>
          <w:b/>
          <w:kern w:val="0"/>
          <w:sz w:val="24"/>
          <w:szCs w:val="24"/>
          <w:u w:val="single"/>
        </w:rPr>
        <w:t>。</w:t>
      </w:r>
      <w:r>
        <w:rPr>
          <w:rFonts w:hint="eastAsia" w:ascii="宋体" w:hAnsi="宋体" w:eastAsia="宋体" w:cs="Times New Roman"/>
          <w:b/>
          <w:kern w:val="0"/>
          <w:sz w:val="24"/>
          <w:szCs w:val="24"/>
          <w:u w:val="single"/>
        </w:rPr>
        <w:t>一般防治区以应急排危为主，避险搬迁、群测群防为辅</w:t>
      </w:r>
      <w:r>
        <w:rPr>
          <w:rFonts w:hint="eastAsia" w:eastAsia="宋体" w:cs="Times New Roman" w:asciiTheme="minorEastAsia" w:hAnsiTheme="minorEastAsia"/>
          <w:b/>
          <w:kern w:val="0"/>
          <w:sz w:val="24"/>
          <w:szCs w:val="24"/>
          <w:u w:val="single"/>
        </w:rPr>
        <w:t>。</w:t>
      </w:r>
    </w:p>
    <w:p>
      <w:pPr>
        <w:adjustRightInd w:val="0"/>
        <w:snapToGrid w:val="0"/>
        <w:spacing w:line="360" w:lineRule="auto"/>
        <w:ind w:firstLine="482" w:firstLineChars="200"/>
        <w:rPr>
          <w:rFonts w:ascii="黑体" w:hAnsi="黑体" w:eastAsia="黑体" w:cs="Times New Roman"/>
          <w:b/>
          <w:kern w:val="0"/>
          <w:sz w:val="24"/>
          <w:szCs w:val="24"/>
        </w:rPr>
      </w:pPr>
      <w:r>
        <w:rPr>
          <w:rFonts w:hint="eastAsia" w:ascii="黑体" w:hAnsi="黑体" w:eastAsia="黑体" w:cs="Times New Roman"/>
          <w:b/>
          <w:kern w:val="0"/>
          <w:sz w:val="24"/>
          <w:szCs w:val="24"/>
        </w:rPr>
        <w:t>六、</w:t>
      </w:r>
      <w:r>
        <w:rPr>
          <w:rFonts w:ascii="黑体" w:hAnsi="黑体" w:eastAsia="黑体" w:cs="Times New Roman"/>
          <w:b/>
          <w:kern w:val="0"/>
          <w:sz w:val="24"/>
          <w:szCs w:val="24"/>
        </w:rPr>
        <w:t xml:space="preserve">统筹田水路林村综合整治 </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以山水林田湖草生命共同体的理念为引领，通过开展田、水、路、林、村</w:t>
      </w:r>
      <w:r>
        <w:rPr>
          <w:rFonts w:hint="eastAsia" w:eastAsia="宋体" w:cs="Times New Roman" w:asciiTheme="minorEastAsia" w:hAnsiTheme="minorEastAsia"/>
          <w:kern w:val="0"/>
          <w:sz w:val="24"/>
          <w:szCs w:val="24"/>
        </w:rPr>
        <w:t>全域</w:t>
      </w:r>
      <w:r>
        <w:rPr>
          <w:rFonts w:eastAsia="宋体" w:cs="Times New Roman" w:asciiTheme="minorEastAsia" w:hAnsiTheme="minorEastAsia"/>
          <w:kern w:val="0"/>
          <w:sz w:val="24"/>
          <w:szCs w:val="24"/>
        </w:rPr>
        <w:t>综合整治，合理配置农村土地资源要素，加强农村建设用地盘活利用，优化生产、生活、生态空间格局，分区域实施不同重点内容的农村土地综合整治，通过</w:t>
      </w:r>
      <w:r>
        <w:rPr>
          <w:rFonts w:hint="eastAsia" w:eastAsia="宋体" w:cs="Times New Roman" w:asciiTheme="minorEastAsia" w:hAnsiTheme="minorEastAsia"/>
          <w:kern w:val="0"/>
          <w:sz w:val="24"/>
          <w:szCs w:val="24"/>
        </w:rPr>
        <w:t>全域</w:t>
      </w:r>
      <w:r>
        <w:rPr>
          <w:rFonts w:eastAsia="宋体" w:cs="Times New Roman" w:asciiTheme="minorEastAsia" w:hAnsiTheme="minorEastAsia"/>
          <w:kern w:val="0"/>
          <w:sz w:val="24"/>
          <w:szCs w:val="24"/>
        </w:rPr>
        <w:t>规划、整体设计，运用综合性整治手段，统筹农用地、低效建设用地和生态保护修复，促进耕地保护和土地节约集约利用，改善农村人居环境，促进乡村振兴战略实施和生态文明建设。</w:t>
      </w:r>
    </w:p>
    <w:p>
      <w:pPr>
        <w:adjustRightInd w:val="0"/>
        <w:snapToGrid w:val="0"/>
        <w:spacing w:line="360" w:lineRule="auto"/>
        <w:ind w:firstLine="482" w:firstLineChars="200"/>
        <w:rPr>
          <w:rFonts w:ascii="黑体" w:hAnsi="黑体" w:eastAsia="黑体" w:cs="Times New Roman"/>
          <w:b/>
          <w:kern w:val="0"/>
          <w:sz w:val="24"/>
          <w:szCs w:val="24"/>
        </w:rPr>
      </w:pPr>
      <w:r>
        <w:rPr>
          <w:rFonts w:hint="eastAsia" w:ascii="黑体" w:hAnsi="黑体" w:eastAsia="黑体" w:cs="Times New Roman"/>
          <w:b/>
          <w:kern w:val="0"/>
          <w:sz w:val="24"/>
          <w:szCs w:val="24"/>
        </w:rPr>
        <w:t>七、</w:t>
      </w:r>
      <w:r>
        <w:rPr>
          <w:rFonts w:ascii="黑体" w:hAnsi="黑体" w:eastAsia="黑体" w:cs="Times New Roman"/>
          <w:b/>
          <w:kern w:val="0"/>
          <w:sz w:val="24"/>
          <w:szCs w:val="24"/>
        </w:rPr>
        <w:t>农村生态治理与污染防治</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（一）</w:t>
      </w:r>
      <w:r>
        <w:rPr>
          <w:rFonts w:eastAsia="宋体" w:cs="Times New Roman" w:asciiTheme="minorEastAsia" w:hAnsiTheme="minorEastAsia"/>
          <w:b/>
          <w:kern w:val="0"/>
          <w:sz w:val="24"/>
          <w:szCs w:val="24"/>
        </w:rPr>
        <w:t xml:space="preserve">完善农村环保基础设施 </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完善农村生活污水收集处理系统。加快农村生活污水处理及配套设施建设，力争乡（场）镇生活污水处理设施全覆盖，并延伸至农村，完善污水收集配套管网，到规划期末，行政村生活污水处理率达到</w:t>
      </w:r>
      <w:r>
        <w:rPr>
          <w:rFonts w:hint="eastAsia" w:eastAsia="宋体" w:cs="Times New Roman" w:asciiTheme="minorEastAsia" w:hAnsiTheme="minorEastAsia"/>
          <w:kern w:val="0"/>
          <w:sz w:val="24"/>
          <w:szCs w:val="24"/>
        </w:rPr>
        <w:t>80</w:t>
      </w:r>
      <w:r>
        <w:rPr>
          <w:rFonts w:eastAsia="宋体" w:cs="Times New Roman" w:asciiTheme="minorEastAsia" w:hAnsiTheme="minorEastAsia"/>
          <w:kern w:val="0"/>
          <w:sz w:val="24"/>
          <w:szCs w:val="24"/>
        </w:rPr>
        <w:t>%</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提高农村生活垃圾处置水平。完善农村生活垃圾收集转运系统建设，逐步取缔垃圾简易填埋和堆放场并实施治理修复。</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（二）</w:t>
      </w:r>
      <w:r>
        <w:rPr>
          <w:rFonts w:eastAsia="宋体" w:cs="Times New Roman" w:asciiTheme="minorEastAsia" w:hAnsiTheme="minorEastAsia"/>
          <w:b/>
          <w:kern w:val="0"/>
          <w:sz w:val="24"/>
          <w:szCs w:val="24"/>
        </w:rPr>
        <w:t xml:space="preserve">加强农村环境综合整治 </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以生活污水处理设施和管网建设、生活垃圾收运设施建设、畜禽养殖污染防治等为主要内容，深入开展农村环境连片整治。结合农村环境综合整治工作，加强水源周边生活污水、垃圾及畜禽养殖废弃物的处理处置，综合防治农药化肥等面源污染，强化秸秆综合利用与禁烧管控。</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（三）突出抓好土壤污染防治</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推行土壤污染防治</w:t>
      </w:r>
      <w:r>
        <w:rPr>
          <w:rFonts w:eastAsia="宋体" w:cs="Times New Roman" w:asciiTheme="minorEastAsia" w:hAnsiTheme="minorEastAsia"/>
          <w:kern w:val="0"/>
          <w:sz w:val="24"/>
          <w:szCs w:val="24"/>
        </w:rPr>
        <w:t>“田长制”，严格管控</w:t>
      </w:r>
      <w:r>
        <w:rPr>
          <w:rFonts w:hint="eastAsia" w:eastAsia="宋体" w:cs="Times New Roman" w:asciiTheme="minorEastAsia" w:hAnsiTheme="minorEastAsia"/>
          <w:kern w:val="0"/>
          <w:sz w:val="24"/>
          <w:szCs w:val="24"/>
          <w:lang w:val="en-US" w:eastAsia="zh-CN"/>
        </w:rPr>
        <w:t>重度</w:t>
      </w:r>
      <w:r>
        <w:rPr>
          <w:rFonts w:eastAsia="宋体" w:cs="Times New Roman" w:asciiTheme="minorEastAsia" w:hAnsiTheme="minorEastAsia"/>
          <w:kern w:val="0"/>
          <w:sz w:val="24"/>
          <w:szCs w:val="24"/>
        </w:rPr>
        <w:t>污染土壤用途，禁止种植食用农产品和饲草，有序开展种植结构调整或退耕还林。实施建设用地准入管理，建立建设用地调查评估制度。划定土壤管制区域，制定土壤风险防控目标，按照土壤风险防控目标进行开发利用，综合运用源头控制、隔离缓冲、土壤改良等措施，预防土壤污染。</w:t>
      </w:r>
    </w:p>
    <w:p>
      <w:pPr>
        <w:pStyle w:val="36"/>
        <w:numPr>
          <w:ilvl w:val="0"/>
          <w:numId w:val="5"/>
        </w:numPr>
        <w:spacing w:beforeLines="50" w:afterLines="50"/>
        <w:ind w:firstLineChars="0"/>
        <w:jc w:val="center"/>
        <w:rPr>
          <w:rFonts w:ascii="黑体" w:hAnsi="黑体" w:eastAsia="黑体"/>
          <w:b w:val="0"/>
          <w:kern w:val="2"/>
        </w:rPr>
      </w:pPr>
      <w:bookmarkStart w:id="26" w:name="_Toc166772175"/>
      <w:r>
        <w:rPr>
          <w:rFonts w:hint="eastAsia" w:ascii="黑体" w:hAnsi="黑体" w:eastAsia="黑体"/>
          <w:b w:val="0"/>
          <w:kern w:val="2"/>
        </w:rPr>
        <w:t>规划传导</w:t>
      </w:r>
      <w:bookmarkEnd w:id="26"/>
    </w:p>
    <w:p>
      <w:pPr>
        <w:adjustRightInd w:val="0"/>
        <w:snapToGrid w:val="0"/>
        <w:spacing w:line="360" w:lineRule="auto"/>
        <w:ind w:firstLine="482" w:firstLineChars="200"/>
        <w:rPr>
          <w:rFonts w:ascii="黑体" w:hAnsi="黑体" w:eastAsia="黑体" w:cs="Times New Roman"/>
          <w:b/>
          <w:kern w:val="0"/>
          <w:sz w:val="24"/>
          <w:szCs w:val="24"/>
        </w:rPr>
      </w:pPr>
      <w:r>
        <w:rPr>
          <w:rFonts w:hint="eastAsia" w:ascii="黑体" w:hAnsi="黑体" w:eastAsia="黑体" w:cs="Times New Roman"/>
          <w:b/>
          <w:kern w:val="0"/>
          <w:sz w:val="24"/>
          <w:szCs w:val="24"/>
        </w:rPr>
        <w:t>一、对市县级规划的落实</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规划严格落实</w:t>
      </w:r>
      <w:r>
        <w:rPr>
          <w:rFonts w:hint="eastAsia" w:ascii="宋体" w:hAnsi="宋体" w:eastAsia="宋体" w:cs="Times New Roman"/>
          <w:kern w:val="0"/>
          <w:sz w:val="24"/>
          <w:szCs w:val="24"/>
        </w:rPr>
        <w:t>遂宁</w:t>
      </w:r>
      <w:r>
        <w:rPr>
          <w:rFonts w:ascii="宋体" w:hAnsi="宋体" w:eastAsia="宋体" w:cs="Times New Roman"/>
          <w:kern w:val="0"/>
          <w:sz w:val="24"/>
          <w:szCs w:val="24"/>
        </w:rPr>
        <w:t>市级和</w:t>
      </w:r>
      <w:r>
        <w:rPr>
          <w:rFonts w:hint="eastAsia" w:ascii="宋体" w:hAnsi="宋体" w:eastAsia="宋体" w:cs="Times New Roman"/>
          <w:kern w:val="0"/>
          <w:sz w:val="24"/>
          <w:szCs w:val="24"/>
        </w:rPr>
        <w:t>大英</w:t>
      </w:r>
      <w:r>
        <w:rPr>
          <w:rFonts w:ascii="宋体" w:hAnsi="宋体" w:eastAsia="宋体" w:cs="Times New Roman"/>
          <w:kern w:val="0"/>
          <w:sz w:val="24"/>
          <w:szCs w:val="24"/>
        </w:rPr>
        <w:t>县级国土空间规划的指标体系。将生态保护红线、永久基本农田保护红线、城镇开发边界、城乡建设用地、用水总量、项目用地等主要约束性指标纳入乡镇国土空间总体规划予以落实，确保各项约束性指标完成。严格落实，确保“分类分级”规划传导落地实事求是，结合实际细化优化规划内容查缺补漏，增加区域特色规划目标。</w:t>
      </w:r>
    </w:p>
    <w:p>
      <w:pPr>
        <w:adjustRightInd w:val="0"/>
        <w:snapToGrid w:val="0"/>
        <w:spacing w:line="360" w:lineRule="auto"/>
        <w:ind w:firstLine="482" w:firstLineChars="200"/>
        <w:rPr>
          <w:rFonts w:ascii="黑体" w:hAnsi="黑体" w:eastAsia="黑体" w:cs="Times New Roman"/>
          <w:b/>
          <w:kern w:val="0"/>
          <w:sz w:val="24"/>
          <w:szCs w:val="24"/>
        </w:rPr>
      </w:pPr>
      <w:r>
        <w:rPr>
          <w:rFonts w:hint="eastAsia" w:ascii="黑体" w:hAnsi="黑体" w:eastAsia="黑体" w:cs="Times New Roman"/>
          <w:b/>
          <w:kern w:val="0"/>
          <w:sz w:val="24"/>
          <w:szCs w:val="24"/>
        </w:rPr>
        <w:t>二、对村庄规划的传导</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以村级片区为单元，构建“引导+</w:t>
      </w:r>
      <w:r>
        <w:rPr>
          <w:rFonts w:hint="eastAsia" w:ascii="宋体" w:hAnsi="宋体" w:eastAsia="宋体" w:cs="Times New Roman"/>
          <w:kern w:val="0"/>
          <w:sz w:val="24"/>
          <w:szCs w:val="24"/>
        </w:rPr>
        <w:t>管控</w:t>
      </w:r>
      <w:r>
        <w:rPr>
          <w:rFonts w:ascii="宋体" w:hAnsi="宋体" w:eastAsia="宋体" w:cs="Times New Roman"/>
          <w:kern w:val="0"/>
          <w:sz w:val="24"/>
          <w:szCs w:val="24"/>
        </w:rPr>
        <w:t>+约束指标</w:t>
      </w:r>
      <w:r>
        <w:rPr>
          <w:rFonts w:hint="eastAsia" w:ascii="宋体" w:hAnsi="宋体" w:eastAsia="宋体" w:cs="Times New Roman"/>
          <w:kern w:val="0"/>
          <w:sz w:val="24"/>
          <w:szCs w:val="24"/>
        </w:rPr>
        <w:t>+清单名录</w:t>
      </w:r>
      <w:r>
        <w:rPr>
          <w:rFonts w:ascii="宋体" w:hAnsi="宋体" w:eastAsia="宋体" w:cs="Times New Roman"/>
          <w:kern w:val="0"/>
          <w:sz w:val="24"/>
          <w:szCs w:val="24"/>
        </w:rPr>
        <w:t>”</w:t>
      </w:r>
      <w:r>
        <w:rPr>
          <w:rFonts w:hint="eastAsia" w:ascii="宋体" w:hAnsi="宋体" w:eastAsia="宋体" w:cs="Times New Roman"/>
          <w:kern w:val="0"/>
          <w:sz w:val="24"/>
          <w:szCs w:val="24"/>
        </w:rPr>
        <w:t>四</w:t>
      </w:r>
      <w:r>
        <w:rPr>
          <w:rFonts w:ascii="宋体" w:hAnsi="宋体" w:eastAsia="宋体" w:cs="Times New Roman"/>
          <w:kern w:val="0"/>
          <w:sz w:val="24"/>
          <w:szCs w:val="24"/>
        </w:rPr>
        <w:t>大类传导体系，以一图一表的形式，即“村级片区传导管控要求一览表”以及“村级片区规划用途管制分区图”，将永农保护红线</w:t>
      </w:r>
      <w:r>
        <w:rPr>
          <w:rFonts w:hint="eastAsia" w:ascii="宋体" w:hAnsi="宋体" w:eastAsia="宋体" w:cs="Times New Roman"/>
          <w:kern w:val="0"/>
          <w:sz w:val="24"/>
          <w:szCs w:val="24"/>
        </w:rPr>
        <w:t>、</w:t>
      </w:r>
      <w:r>
        <w:rPr>
          <w:rFonts w:ascii="宋体" w:hAnsi="宋体" w:eastAsia="宋体" w:cs="Times New Roman"/>
          <w:kern w:val="0"/>
          <w:sz w:val="24"/>
          <w:szCs w:val="24"/>
        </w:rPr>
        <w:t>河湖水系控制线</w:t>
      </w:r>
      <w:r>
        <w:rPr>
          <w:rFonts w:hint="eastAsia" w:ascii="宋体" w:hAnsi="宋体" w:eastAsia="宋体" w:cs="Times New Roman"/>
          <w:kern w:val="0"/>
          <w:sz w:val="24"/>
          <w:szCs w:val="24"/>
        </w:rPr>
        <w:t>、</w:t>
      </w:r>
      <w:r>
        <w:rPr>
          <w:rFonts w:ascii="宋体" w:hAnsi="宋体" w:eastAsia="宋体" w:cs="Times New Roman"/>
          <w:kern w:val="0"/>
          <w:sz w:val="24"/>
          <w:szCs w:val="24"/>
        </w:rPr>
        <w:t>地质灾害控制线</w:t>
      </w:r>
      <w:r>
        <w:rPr>
          <w:rFonts w:hint="eastAsia" w:ascii="宋体" w:hAnsi="宋体" w:eastAsia="宋体" w:cs="Times New Roman"/>
          <w:kern w:val="0"/>
          <w:sz w:val="24"/>
          <w:szCs w:val="24"/>
        </w:rPr>
        <w:t>、</w:t>
      </w:r>
      <w:r>
        <w:rPr>
          <w:rFonts w:ascii="宋体" w:hAnsi="宋体" w:eastAsia="宋体" w:cs="Times New Roman"/>
          <w:kern w:val="0"/>
          <w:sz w:val="24"/>
          <w:szCs w:val="24"/>
        </w:rPr>
        <w:t>基础设施管控线边界、用途管制分区及约束性指标等刚性约束要求传导落实到村级片区，同时对村级片区的功能定位、规划人口、产业发展方向</w:t>
      </w:r>
      <w:r>
        <w:rPr>
          <w:rFonts w:hint="eastAsia" w:ascii="宋体" w:hAnsi="宋体" w:eastAsia="宋体" w:cs="Times New Roman"/>
          <w:kern w:val="0"/>
          <w:sz w:val="24"/>
          <w:szCs w:val="24"/>
        </w:rPr>
        <w:t>、公服设施、</w:t>
      </w:r>
      <w:r>
        <w:rPr>
          <w:rFonts w:ascii="宋体" w:hAnsi="宋体" w:eastAsia="宋体" w:cs="Times New Roman"/>
          <w:kern w:val="0"/>
          <w:sz w:val="24"/>
          <w:szCs w:val="24"/>
        </w:rPr>
        <w:t>土地整治等方面内容做出弹性引导，形成片区发展指引。引导类主要对功能定位、镇村体系、产业</w:t>
      </w:r>
      <w:r>
        <w:rPr>
          <w:rFonts w:hint="eastAsia" w:ascii="宋体" w:hAnsi="宋体" w:eastAsia="宋体" w:cs="Times New Roman"/>
          <w:kern w:val="0"/>
          <w:sz w:val="24"/>
          <w:szCs w:val="24"/>
        </w:rPr>
        <w:t>、</w:t>
      </w:r>
      <w:r>
        <w:rPr>
          <w:rFonts w:ascii="宋体" w:hAnsi="宋体" w:eastAsia="宋体" w:cs="Times New Roman"/>
          <w:kern w:val="0"/>
          <w:sz w:val="24"/>
          <w:szCs w:val="24"/>
        </w:rPr>
        <w:t>业态进行弹性引导。规划</w:t>
      </w:r>
      <w:r>
        <w:rPr>
          <w:rFonts w:hint="eastAsia" w:ascii="宋体" w:hAnsi="宋体" w:eastAsia="宋体" w:cs="Times New Roman"/>
          <w:kern w:val="0"/>
          <w:sz w:val="24"/>
          <w:szCs w:val="24"/>
        </w:rPr>
        <w:t>形成“</w:t>
      </w:r>
      <w:r>
        <w:rPr>
          <w:rFonts w:ascii="宋体" w:hAnsi="宋体" w:eastAsia="宋体" w:cs="Times New Roman"/>
          <w:kern w:val="0"/>
          <w:sz w:val="24"/>
          <w:szCs w:val="24"/>
        </w:rPr>
        <w:t>3+12+46”的镇村体系</w:t>
      </w:r>
      <w:r>
        <w:rPr>
          <w:rFonts w:hint="eastAsia" w:ascii="宋体" w:hAnsi="宋体" w:eastAsia="宋体" w:cs="Times New Roman"/>
          <w:kern w:val="0"/>
          <w:sz w:val="24"/>
          <w:szCs w:val="24"/>
        </w:rPr>
        <w:t>，包括：</w:t>
      </w:r>
      <w:r>
        <w:rPr>
          <w:rFonts w:ascii="宋体" w:hAnsi="宋体" w:eastAsia="宋体" w:cs="Times New Roman"/>
          <w:kern w:val="0"/>
          <w:sz w:val="24"/>
          <w:szCs w:val="24"/>
        </w:rPr>
        <w:t>3个镇区12个中心村，46个基层村</w:t>
      </w:r>
      <w:r>
        <w:rPr>
          <w:rFonts w:hint="eastAsia" w:ascii="宋体" w:hAnsi="宋体" w:eastAsia="宋体" w:cs="Times New Roman"/>
          <w:kern w:val="0"/>
          <w:sz w:val="24"/>
          <w:szCs w:val="24"/>
        </w:rPr>
        <w:t>。按照全域</w:t>
      </w:r>
      <w:r>
        <w:rPr>
          <w:rFonts w:ascii="宋体" w:hAnsi="宋体" w:eastAsia="宋体" w:cs="Times New Roman"/>
          <w:kern w:val="0"/>
          <w:sz w:val="24"/>
          <w:szCs w:val="24"/>
        </w:rPr>
        <w:t>统筹，按照生态目标一致、交通联系紧密、资源本底相近、主导产业一致的原则，以中心村为中心，划定片区12个村级经济片区，促进乡村振兴战略落实。</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明确乡镇政府驻地详细规划编制单元，提出重要功能布局、开发强度、要素配置、空间形态等方面的约束要求，划定镇区“</w:t>
      </w:r>
      <w:r>
        <w:rPr>
          <w:rFonts w:hint="eastAsia" w:ascii="宋体" w:hAnsi="宋体" w:eastAsia="宋体" w:cs="Times New Roman"/>
          <w:kern w:val="0"/>
          <w:sz w:val="24"/>
          <w:szCs w:val="24"/>
        </w:rPr>
        <w:t>四</w:t>
      </w:r>
      <w:r>
        <w:rPr>
          <w:rFonts w:ascii="宋体" w:hAnsi="宋体" w:eastAsia="宋体" w:cs="Times New Roman"/>
          <w:kern w:val="0"/>
          <w:sz w:val="24"/>
          <w:szCs w:val="24"/>
        </w:rPr>
        <w:t>线”，明确基础设施、公共服务设施和综合防灾设施布局。</w:t>
      </w:r>
    </w:p>
    <w:p>
      <w:pPr>
        <w:adjustRightInd w:val="0"/>
        <w:snapToGrid w:val="0"/>
        <w:spacing w:line="360" w:lineRule="auto"/>
        <w:ind w:firstLine="480" w:firstLineChars="200"/>
        <w:rPr>
          <w:rFonts w:ascii="宋体" w:hAnsi="宋体" w:eastAsia="宋体" w:cs="Times New Roman"/>
          <w:kern w:val="0"/>
          <w:sz w:val="24"/>
          <w:szCs w:val="24"/>
        </w:rPr>
      </w:pPr>
      <w:r>
        <w:rPr>
          <w:rFonts w:hint="eastAsia" w:ascii="宋体" w:hAnsi="宋体" w:eastAsia="宋体" w:cs="Times New Roman"/>
          <w:kern w:val="0"/>
          <w:sz w:val="24"/>
          <w:szCs w:val="24"/>
        </w:rPr>
        <w:t>片区村级片区划分详见附表4，片区规划指标分解详见附表5。</w:t>
      </w:r>
    </w:p>
    <w:p>
      <w:pPr>
        <w:adjustRightInd w:val="0"/>
        <w:snapToGrid w:val="0"/>
        <w:spacing w:line="360" w:lineRule="auto"/>
        <w:ind w:firstLine="482" w:firstLineChars="200"/>
        <w:rPr>
          <w:rFonts w:ascii="黑体" w:hAnsi="黑体" w:eastAsia="黑体" w:cs="Times New Roman"/>
          <w:b/>
          <w:kern w:val="0"/>
          <w:sz w:val="24"/>
          <w:szCs w:val="24"/>
        </w:rPr>
      </w:pPr>
      <w:r>
        <w:rPr>
          <w:rFonts w:hint="eastAsia" w:ascii="黑体" w:hAnsi="黑体" w:eastAsia="黑体" w:cs="Times New Roman"/>
          <w:b/>
          <w:kern w:val="0"/>
          <w:sz w:val="24"/>
          <w:szCs w:val="24"/>
        </w:rPr>
        <w:t>三、对专项规划的传导</w:t>
      </w:r>
    </w:p>
    <w:p>
      <w:pPr>
        <w:spacing w:line="360" w:lineRule="auto"/>
        <w:ind w:firstLine="480" w:firstLineChars="200"/>
        <w:rPr>
          <w:rFonts w:ascii="宋体" w:hAnsi="宋体" w:eastAsia="宋体" w:cs="宋体"/>
          <w:sz w:val="24"/>
          <w:szCs w:val="24"/>
        </w:rPr>
      </w:pPr>
      <w:r>
        <w:rPr>
          <w:rFonts w:ascii="宋体" w:hAnsi="宋体" w:eastAsia="宋体" w:cs="宋体"/>
          <w:sz w:val="24"/>
          <w:szCs w:val="24"/>
        </w:rPr>
        <w:t>发挥片区国土空间规划对专项规划的指导约束作用。</w:t>
      </w:r>
      <w:r>
        <w:rPr>
          <w:rFonts w:hint="eastAsia" w:ascii="宋体" w:hAnsi="宋体" w:eastAsia="宋体" w:cs="宋体"/>
          <w:sz w:val="24"/>
          <w:szCs w:val="24"/>
        </w:rPr>
        <w:t>以</w:t>
      </w:r>
      <w:r>
        <w:rPr>
          <w:rFonts w:ascii="宋体" w:hAnsi="宋体" w:eastAsia="宋体" w:cs="宋体"/>
          <w:sz w:val="24"/>
          <w:szCs w:val="24"/>
        </w:rPr>
        <w:t>成遂协同绿色发展片区土空间规划为依据，重点从资源利用、要素配置、安全保护、区域特色等方面编制专项规划，落实乡镇各项发展要素，科学配置空间资源，逐步推动国民经济和社会发展、产业、住房、交通、市政、环境保护、公共服务、公共空间等规划相融合，实现多规合一，形成相互衔接、相互协调的一本规划。</w:t>
      </w:r>
    </w:p>
    <w:p>
      <w:pPr>
        <w:pStyle w:val="31"/>
        <w:numPr>
          <w:ilvl w:val="0"/>
          <w:numId w:val="1"/>
        </w:numPr>
        <w:spacing w:beforeLines="50" w:afterLines="50"/>
        <w:ind w:left="420"/>
        <w:rPr>
          <w:rFonts w:hAnsi="黑体"/>
        </w:rPr>
      </w:pPr>
      <w:bookmarkStart w:id="27" w:name="_Toc166772176"/>
      <w:r>
        <w:rPr>
          <w:rFonts w:hint="eastAsia" w:hAnsi="黑体"/>
        </w:rPr>
        <w:t>镇区规划</w:t>
      </w:r>
      <w:bookmarkEnd w:id="27"/>
    </w:p>
    <w:p>
      <w:pPr>
        <w:pStyle w:val="36"/>
        <w:numPr>
          <w:ilvl w:val="0"/>
          <w:numId w:val="6"/>
        </w:numPr>
        <w:spacing w:beforeLines="50" w:afterLines="50"/>
        <w:ind w:firstLineChars="0"/>
        <w:jc w:val="center"/>
        <w:rPr>
          <w:rFonts w:ascii="黑体" w:hAnsi="黑体" w:eastAsia="黑体"/>
          <w:b w:val="0"/>
          <w:kern w:val="2"/>
        </w:rPr>
      </w:pPr>
      <w:bookmarkStart w:id="28" w:name="_Toc166772177"/>
      <w:r>
        <w:rPr>
          <w:rFonts w:hint="eastAsia" w:ascii="黑体" w:hAnsi="黑体" w:eastAsia="黑体"/>
          <w:b w:val="0"/>
          <w:kern w:val="2"/>
        </w:rPr>
        <w:t>河边镇镇区规划</w:t>
      </w:r>
      <w:bookmarkEnd w:id="28"/>
    </w:p>
    <w:p>
      <w:pPr>
        <w:adjustRightInd w:val="0"/>
        <w:snapToGrid w:val="0"/>
        <w:spacing w:line="360" w:lineRule="auto"/>
        <w:ind w:firstLine="482" w:firstLineChars="200"/>
        <w:rPr>
          <w:rFonts w:ascii="黑体" w:hAnsi="黑体" w:eastAsia="黑体" w:cs="Times New Roman"/>
          <w:b/>
          <w:kern w:val="0"/>
          <w:sz w:val="24"/>
          <w:szCs w:val="24"/>
        </w:rPr>
      </w:pPr>
      <w:r>
        <w:rPr>
          <w:rFonts w:hint="eastAsia" w:ascii="黑体" w:hAnsi="黑体" w:eastAsia="黑体" w:cs="Times New Roman"/>
          <w:b/>
          <w:kern w:val="0"/>
          <w:sz w:val="24"/>
          <w:szCs w:val="24"/>
        </w:rPr>
        <w:t>一、基本情况和特征问题</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（一）</w:t>
      </w:r>
      <w:r>
        <w:rPr>
          <w:rFonts w:eastAsia="宋体" w:cs="Times New Roman" w:asciiTheme="minorEastAsia" w:hAnsiTheme="minorEastAsia"/>
          <w:b/>
          <w:kern w:val="0"/>
          <w:sz w:val="24"/>
          <w:szCs w:val="24"/>
        </w:rPr>
        <w:t>现状概况</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地处大英县西南部，东接卓筒井、蓬莱镇，南连安居区</w:t>
      </w:r>
      <w:r>
        <w:rPr>
          <w:rFonts w:hint="eastAsia" w:eastAsia="宋体" w:cs="Times New Roman" w:asciiTheme="minorEastAsia" w:hAnsiTheme="minorEastAsia"/>
          <w:kern w:val="0"/>
          <w:sz w:val="24"/>
          <w:szCs w:val="24"/>
        </w:rPr>
        <w:t>拦江镇</w:t>
      </w:r>
      <w:r>
        <w:rPr>
          <w:rFonts w:eastAsia="宋体" w:cs="Times New Roman" w:asciiTheme="minorEastAsia" w:hAnsiTheme="minorEastAsia"/>
          <w:kern w:val="0"/>
          <w:sz w:val="24"/>
          <w:szCs w:val="24"/>
        </w:rPr>
        <w:t>，西接乐至县</w:t>
      </w:r>
      <w:r>
        <w:rPr>
          <w:rFonts w:hint="eastAsia" w:eastAsia="宋体" w:cs="Times New Roman" w:asciiTheme="minorEastAsia" w:hAnsiTheme="minorEastAsia"/>
          <w:kern w:val="0"/>
          <w:sz w:val="24"/>
          <w:szCs w:val="24"/>
        </w:rPr>
        <w:t>宝林镇</w:t>
      </w:r>
      <w:r>
        <w:rPr>
          <w:rFonts w:eastAsia="宋体" w:cs="Times New Roman" w:asciiTheme="minorEastAsia" w:hAnsiTheme="minorEastAsia"/>
          <w:kern w:val="0"/>
          <w:sz w:val="24"/>
          <w:szCs w:val="24"/>
        </w:rPr>
        <w:t>、中和</w:t>
      </w:r>
      <w:r>
        <w:rPr>
          <w:rFonts w:hint="eastAsia" w:eastAsia="宋体" w:cs="Times New Roman" w:asciiTheme="minorEastAsia" w:hAnsiTheme="minorEastAsia"/>
          <w:kern w:val="0"/>
          <w:sz w:val="24"/>
          <w:szCs w:val="24"/>
        </w:rPr>
        <w:t>镇</w:t>
      </w:r>
      <w:r>
        <w:rPr>
          <w:rFonts w:eastAsia="宋体" w:cs="Times New Roman" w:asciiTheme="minorEastAsia" w:hAnsiTheme="minorEastAsia"/>
          <w:kern w:val="0"/>
          <w:sz w:val="24"/>
          <w:szCs w:val="24"/>
        </w:rPr>
        <w:t>，北邻</w:t>
      </w:r>
      <w:r>
        <w:rPr>
          <w:rFonts w:hint="eastAsia" w:eastAsia="宋体" w:cs="Times New Roman" w:asciiTheme="minorEastAsia" w:hAnsiTheme="minorEastAsia"/>
          <w:kern w:val="0"/>
          <w:sz w:val="24"/>
          <w:szCs w:val="24"/>
        </w:rPr>
        <w:t>玉峰镇。</w:t>
      </w:r>
      <w:r>
        <w:rPr>
          <w:rFonts w:eastAsia="宋体" w:cs="Times New Roman" w:asciiTheme="minorEastAsia" w:hAnsiTheme="minorEastAsia"/>
          <w:kern w:val="0"/>
          <w:sz w:val="24"/>
          <w:szCs w:val="24"/>
        </w:rPr>
        <w:t>2020年镇区常住人口0.31万人，建设用地</w:t>
      </w:r>
      <w:r>
        <w:rPr>
          <w:rFonts w:hint="eastAsia" w:eastAsia="宋体" w:cs="Times New Roman" w:asciiTheme="minorEastAsia" w:hAnsiTheme="minorEastAsia"/>
          <w:kern w:val="0"/>
          <w:sz w:val="24"/>
          <w:szCs w:val="24"/>
        </w:rPr>
        <w:t>47.69</w:t>
      </w:r>
      <w:r>
        <w:rPr>
          <w:rFonts w:eastAsia="宋体" w:cs="Times New Roman" w:asciiTheme="minorEastAsia" w:hAnsiTheme="minorEastAsia"/>
          <w:kern w:val="0"/>
          <w:sz w:val="24"/>
          <w:szCs w:val="24"/>
        </w:rPr>
        <w:t>公顷，人均建设用地</w:t>
      </w:r>
      <w:r>
        <w:rPr>
          <w:rFonts w:hint="eastAsia" w:eastAsia="宋体" w:cs="Times New Roman" w:asciiTheme="minorEastAsia" w:hAnsiTheme="minorEastAsia"/>
          <w:kern w:val="0"/>
          <w:sz w:val="24"/>
          <w:szCs w:val="24"/>
        </w:rPr>
        <w:t>153.84平方米。</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（二）</w:t>
      </w:r>
      <w:r>
        <w:rPr>
          <w:rFonts w:eastAsia="宋体" w:cs="Times New Roman" w:asciiTheme="minorEastAsia" w:hAnsiTheme="minorEastAsia"/>
          <w:b/>
          <w:kern w:val="0"/>
          <w:sz w:val="24"/>
          <w:szCs w:val="24"/>
        </w:rPr>
        <w:t>特征问题</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1、</w:t>
      </w:r>
      <w:r>
        <w:rPr>
          <w:rFonts w:eastAsia="宋体" w:cs="Times New Roman" w:asciiTheme="minorEastAsia" w:hAnsiTheme="minorEastAsia"/>
          <w:kern w:val="0"/>
          <w:sz w:val="24"/>
          <w:szCs w:val="24"/>
        </w:rPr>
        <w:t>河边镇镇区以居住用地为主，农村宅基地穿插影响布局</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镇区主要为居住用地，穿插了部分农村宅基地，对镇区整体空间布局有一定的影响。</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公服设施基础好，公共活动空间缺乏：公服设施配套基础较好，教育、医疗、文化等设施基本满足本镇需求，并能适当服务周边村镇，但缺乏养老、公园绿地、广场等公共活动空间。</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2、</w:t>
      </w:r>
      <w:r>
        <w:rPr>
          <w:rFonts w:eastAsia="宋体" w:cs="Times New Roman" w:asciiTheme="minorEastAsia" w:hAnsiTheme="minorEastAsia"/>
          <w:kern w:val="0"/>
          <w:sz w:val="24"/>
          <w:szCs w:val="24"/>
        </w:rPr>
        <w:t>市政设施配置较全，道路系统有待完善</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水厂、污水处理厂、变电站（35KV）等市政设施配置较齐全，但缺乏消防站、垃圾转运站等；交通方面，汽车站位置对交通产生影响，道路等级较低，存在断头路，无停车场</w:t>
      </w:r>
      <w:r>
        <w:rPr>
          <w:rFonts w:hint="eastAsia" w:eastAsia="宋体" w:cs="Times New Roman" w:asciiTheme="minorEastAsia" w:hAnsiTheme="minorEastAsia"/>
          <w:kern w:val="0"/>
          <w:sz w:val="24"/>
          <w:szCs w:val="24"/>
        </w:rPr>
        <w:t>。</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3、</w:t>
      </w:r>
      <w:r>
        <w:rPr>
          <w:rFonts w:eastAsia="宋体" w:cs="Times New Roman" w:asciiTheme="minorEastAsia" w:hAnsiTheme="minorEastAsia"/>
          <w:kern w:val="0"/>
          <w:sz w:val="24"/>
          <w:szCs w:val="24"/>
        </w:rPr>
        <w:t>城镇建设水平逐步向好，但风貌缺乏特色</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近年由于新建小区的出现，镇区建设水平有所提高，新建建筑以6-7层居住建筑为主，但是与镇区现存老旧民房风貌缺乏协调统一</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镇区整体风貌也缺乏特色</w:t>
      </w:r>
      <w:r>
        <w:rPr>
          <w:rFonts w:hint="eastAsia" w:eastAsia="宋体" w:cs="Times New Roman" w:asciiTheme="minorEastAsia" w:hAnsiTheme="minorEastAsia"/>
          <w:kern w:val="0"/>
          <w:sz w:val="24"/>
          <w:szCs w:val="24"/>
        </w:rPr>
        <w:t>。</w:t>
      </w:r>
    </w:p>
    <w:p>
      <w:pPr>
        <w:adjustRightInd w:val="0"/>
        <w:snapToGrid w:val="0"/>
        <w:spacing w:line="360" w:lineRule="auto"/>
        <w:ind w:firstLine="482" w:firstLineChars="200"/>
        <w:rPr>
          <w:rFonts w:ascii="黑体" w:hAnsi="黑体" w:eastAsia="黑体" w:cs="Times New Roman"/>
          <w:b/>
          <w:kern w:val="0"/>
          <w:sz w:val="24"/>
          <w:szCs w:val="24"/>
        </w:rPr>
      </w:pPr>
      <w:r>
        <w:rPr>
          <w:rFonts w:hint="eastAsia" w:ascii="黑体" w:hAnsi="黑体" w:eastAsia="黑体" w:cs="Times New Roman"/>
          <w:b/>
          <w:kern w:val="0"/>
          <w:sz w:val="24"/>
          <w:szCs w:val="24"/>
        </w:rPr>
        <w:t>二、镇区发展方向</w:t>
      </w:r>
    </w:p>
    <w:p>
      <w:pPr>
        <w:adjustRightInd w:val="0"/>
        <w:snapToGrid w:val="0"/>
        <w:spacing w:line="360" w:lineRule="auto"/>
        <w:ind w:firstLine="480" w:firstLineChars="200"/>
        <w:rPr>
          <w:rFonts w:cs="Times New Roman" w:asciiTheme="minorEastAsia" w:hAnsiTheme="minorEastAsia"/>
          <w:b/>
          <w:kern w:val="0"/>
          <w:sz w:val="24"/>
          <w:szCs w:val="24"/>
          <w:u w:val="single"/>
        </w:rPr>
      </w:pPr>
      <w:r>
        <w:rPr>
          <w:rFonts w:eastAsia="宋体" w:cs="Times New Roman" w:asciiTheme="minorEastAsia" w:hAnsiTheme="minorEastAsia"/>
          <w:kern w:val="0"/>
          <w:sz w:val="24"/>
          <w:szCs w:val="24"/>
        </w:rPr>
        <w:t>由于永久基本农田、地形、交通等条件影响，</w:t>
      </w:r>
      <w:r>
        <w:rPr>
          <w:rFonts w:eastAsia="宋体" w:cs="Times New Roman" w:asciiTheme="minorEastAsia" w:hAnsiTheme="minorEastAsia"/>
          <w:b/>
          <w:kern w:val="0"/>
          <w:sz w:val="24"/>
          <w:szCs w:val="24"/>
          <w:u w:val="single"/>
        </w:rPr>
        <w:t>镇区主要发展方向在老镇区的基础上沿蓬乐路向西发展。</w:t>
      </w:r>
    </w:p>
    <w:p>
      <w:pPr>
        <w:adjustRightInd w:val="0"/>
        <w:snapToGrid w:val="0"/>
        <w:spacing w:line="360" w:lineRule="auto"/>
        <w:ind w:firstLine="482" w:firstLineChars="200"/>
        <w:rPr>
          <w:rFonts w:ascii="黑体" w:hAnsi="黑体" w:eastAsia="黑体" w:cs="Times New Roman"/>
          <w:b/>
          <w:kern w:val="0"/>
          <w:sz w:val="24"/>
          <w:szCs w:val="24"/>
        </w:rPr>
      </w:pPr>
      <w:r>
        <w:rPr>
          <w:rFonts w:hint="eastAsia" w:ascii="黑体" w:hAnsi="黑体" w:eastAsia="黑体" w:cs="Times New Roman"/>
          <w:b/>
          <w:kern w:val="0"/>
          <w:sz w:val="24"/>
          <w:szCs w:val="24"/>
        </w:rPr>
        <w:t>三、镇区地形分析</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通过对河边城镇高程分析，河边为浅丘地形，濛溪河两岸地形呈鸡爪状，平地狭长弯曲，可建设用地较为零散，丘陵低山高度在390-410</w:t>
      </w:r>
      <w:r>
        <w:rPr>
          <w:rFonts w:hint="eastAsia" w:eastAsia="宋体" w:cs="Times New Roman" w:asciiTheme="minorEastAsia" w:hAnsiTheme="minorEastAsia"/>
          <w:kern w:val="0"/>
          <w:sz w:val="24"/>
          <w:szCs w:val="24"/>
        </w:rPr>
        <w:t>米。</w:t>
      </w:r>
      <w:r>
        <w:rPr>
          <w:rFonts w:eastAsia="宋体" w:cs="Times New Roman" w:asciiTheme="minorEastAsia" w:hAnsiTheme="minorEastAsia"/>
          <w:kern w:val="0"/>
          <w:sz w:val="24"/>
          <w:szCs w:val="24"/>
        </w:rPr>
        <w:t>特殊地形将导致城镇的发展方向周边坝地和沟谷扩展，城镇空间结构和形态应在尊重自然地形的前提下，尽量整合用地，达到顺应自然</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显山露水。</w:t>
      </w:r>
    </w:p>
    <w:p>
      <w:pPr>
        <w:adjustRightInd w:val="0"/>
        <w:snapToGrid w:val="0"/>
        <w:spacing w:line="360" w:lineRule="auto"/>
        <w:ind w:firstLine="482" w:firstLineChars="200"/>
        <w:rPr>
          <w:rFonts w:ascii="黑体" w:hAnsi="黑体" w:eastAsia="黑体" w:cs="Times New Roman"/>
          <w:b/>
          <w:kern w:val="0"/>
          <w:sz w:val="24"/>
          <w:szCs w:val="24"/>
        </w:rPr>
      </w:pPr>
      <w:r>
        <w:rPr>
          <w:rFonts w:hint="eastAsia" w:ascii="黑体" w:hAnsi="黑体" w:eastAsia="黑体" w:cs="Times New Roman"/>
          <w:b/>
          <w:kern w:val="0"/>
          <w:sz w:val="24"/>
          <w:szCs w:val="24"/>
        </w:rPr>
        <w:t>四、城镇开发边界</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根据大英县“三区三线”划定成果，河边镇区城镇开发边界规模为52.09公顷。</w:t>
      </w:r>
    </w:p>
    <w:p>
      <w:pPr>
        <w:adjustRightInd w:val="0"/>
        <w:snapToGrid w:val="0"/>
        <w:spacing w:line="360" w:lineRule="auto"/>
        <w:ind w:firstLine="482" w:firstLineChars="200"/>
        <w:rPr>
          <w:rFonts w:ascii="黑体" w:hAnsi="黑体" w:eastAsia="黑体" w:cs="Times New Roman"/>
          <w:b/>
          <w:kern w:val="0"/>
          <w:sz w:val="24"/>
          <w:szCs w:val="24"/>
        </w:rPr>
      </w:pPr>
      <w:r>
        <w:rPr>
          <w:rFonts w:hint="eastAsia" w:ascii="黑体" w:hAnsi="黑体" w:eastAsia="黑体" w:cs="Times New Roman"/>
          <w:b/>
          <w:kern w:val="0"/>
          <w:sz w:val="24"/>
          <w:szCs w:val="24"/>
        </w:rPr>
        <w:t>五、城镇性质和规模</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（一）</w:t>
      </w:r>
      <w:r>
        <w:rPr>
          <w:rFonts w:eastAsia="宋体" w:cs="Times New Roman" w:asciiTheme="minorEastAsia" w:hAnsiTheme="minorEastAsia"/>
          <w:b/>
          <w:kern w:val="0"/>
          <w:sz w:val="24"/>
          <w:szCs w:val="24"/>
        </w:rPr>
        <w:t>城镇性质</w:t>
      </w:r>
    </w:p>
    <w:p>
      <w:pPr>
        <w:adjustRightInd w:val="0"/>
        <w:snapToGrid w:val="0"/>
        <w:spacing w:line="360" w:lineRule="auto"/>
        <w:ind w:firstLine="482" w:firstLineChars="200"/>
        <w:rPr>
          <w:rFonts w:cs="Times New Roman" w:asciiTheme="minorEastAsia" w:hAnsiTheme="minorEastAsia"/>
          <w:b/>
          <w:kern w:val="0"/>
          <w:sz w:val="24"/>
          <w:szCs w:val="24"/>
          <w:u w:val="single"/>
        </w:rPr>
      </w:pPr>
      <w:r>
        <w:rPr>
          <w:rFonts w:eastAsia="宋体" w:cs="Times New Roman" w:asciiTheme="minorEastAsia" w:hAnsiTheme="minorEastAsia"/>
          <w:b/>
          <w:kern w:val="0"/>
          <w:sz w:val="24"/>
          <w:szCs w:val="24"/>
          <w:u w:val="single"/>
        </w:rPr>
        <w:t>省级“百镇建设行动”试点镇</w:t>
      </w:r>
      <w:r>
        <w:rPr>
          <w:rFonts w:hint="eastAsia" w:cs="Times New Roman" w:asciiTheme="minorEastAsia" w:hAnsiTheme="minorEastAsia"/>
          <w:b/>
          <w:kern w:val="0"/>
          <w:sz w:val="24"/>
          <w:szCs w:val="24"/>
          <w:u w:val="single"/>
        </w:rPr>
        <w:t>，</w:t>
      </w:r>
      <w:r>
        <w:rPr>
          <w:rFonts w:eastAsia="宋体" w:cs="Times New Roman" w:asciiTheme="minorEastAsia" w:hAnsiTheme="minorEastAsia"/>
          <w:b/>
          <w:kern w:val="0"/>
          <w:sz w:val="24"/>
          <w:szCs w:val="24"/>
          <w:u w:val="single"/>
        </w:rPr>
        <w:t>市级重点中心镇</w:t>
      </w:r>
      <w:r>
        <w:rPr>
          <w:rFonts w:hint="eastAsia" w:eastAsia="宋体" w:cs="Times New Roman" w:asciiTheme="minorEastAsia" w:hAnsiTheme="minorEastAsia"/>
          <w:b/>
          <w:kern w:val="0"/>
          <w:sz w:val="24"/>
          <w:szCs w:val="24"/>
          <w:u w:val="single"/>
        </w:rPr>
        <w:t>、</w:t>
      </w:r>
      <w:r>
        <w:rPr>
          <w:rFonts w:eastAsia="宋体" w:cs="Times New Roman" w:asciiTheme="minorEastAsia" w:hAnsiTheme="minorEastAsia"/>
          <w:b/>
          <w:kern w:val="0"/>
          <w:sz w:val="24"/>
          <w:szCs w:val="24"/>
          <w:u w:val="single"/>
        </w:rPr>
        <w:t>片区</w:t>
      </w:r>
      <w:r>
        <w:rPr>
          <w:rFonts w:hint="eastAsia" w:eastAsia="宋体" w:cs="Times New Roman" w:asciiTheme="minorEastAsia" w:hAnsiTheme="minorEastAsia"/>
          <w:b/>
          <w:kern w:val="0"/>
          <w:sz w:val="24"/>
          <w:szCs w:val="24"/>
          <w:u w:val="single"/>
        </w:rPr>
        <w:t>服务</w:t>
      </w:r>
      <w:r>
        <w:rPr>
          <w:rFonts w:eastAsia="宋体" w:cs="Times New Roman" w:asciiTheme="minorEastAsia" w:hAnsiTheme="minorEastAsia"/>
          <w:b/>
          <w:kern w:val="0"/>
          <w:sz w:val="24"/>
          <w:szCs w:val="24"/>
          <w:u w:val="single"/>
        </w:rPr>
        <w:t>极核</w:t>
      </w:r>
      <w:r>
        <w:rPr>
          <w:rFonts w:hint="eastAsia" w:eastAsia="宋体" w:cs="Times New Roman" w:asciiTheme="minorEastAsia" w:hAnsiTheme="minorEastAsia"/>
          <w:b/>
          <w:kern w:val="0"/>
          <w:sz w:val="24"/>
          <w:szCs w:val="24"/>
          <w:u w:val="single"/>
        </w:rPr>
        <w:t>、</w:t>
      </w:r>
      <w:r>
        <w:rPr>
          <w:rFonts w:eastAsia="宋体" w:cs="Times New Roman" w:asciiTheme="minorEastAsia" w:hAnsiTheme="minorEastAsia"/>
          <w:b/>
          <w:kern w:val="0"/>
          <w:sz w:val="24"/>
          <w:szCs w:val="24"/>
          <w:u w:val="single"/>
        </w:rPr>
        <w:t>县域医疗次中心</w:t>
      </w:r>
      <w:r>
        <w:rPr>
          <w:rFonts w:hint="eastAsia" w:eastAsia="宋体" w:cs="Times New Roman" w:asciiTheme="minorEastAsia" w:hAnsiTheme="minorEastAsia"/>
          <w:b/>
          <w:kern w:val="0"/>
          <w:sz w:val="24"/>
          <w:szCs w:val="24"/>
          <w:u w:val="single"/>
        </w:rPr>
        <w:t>。</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（二）</w:t>
      </w:r>
      <w:r>
        <w:rPr>
          <w:rFonts w:eastAsia="宋体" w:cs="Times New Roman" w:asciiTheme="minorEastAsia" w:hAnsiTheme="minorEastAsia"/>
          <w:b/>
          <w:kern w:val="0"/>
          <w:sz w:val="24"/>
          <w:szCs w:val="24"/>
        </w:rPr>
        <w:t>规模</w:t>
      </w:r>
    </w:p>
    <w:p>
      <w:pPr>
        <w:adjustRightInd w:val="0"/>
        <w:snapToGrid w:val="0"/>
        <w:spacing w:line="360" w:lineRule="auto"/>
        <w:ind w:firstLine="482" w:firstLineChars="200"/>
        <w:rPr>
          <w:rFonts w:cs="Times New Roman" w:asciiTheme="minorEastAsia" w:hAnsiTheme="minorEastAsia"/>
          <w:b/>
          <w:kern w:val="0"/>
          <w:sz w:val="24"/>
          <w:szCs w:val="24"/>
          <w:u w:val="single"/>
        </w:rPr>
      </w:pPr>
      <w:r>
        <w:rPr>
          <w:rFonts w:eastAsia="宋体" w:cs="Times New Roman" w:asciiTheme="minorEastAsia" w:hAnsiTheme="minorEastAsia"/>
          <w:b/>
          <w:kern w:val="0"/>
          <w:sz w:val="24"/>
          <w:szCs w:val="24"/>
          <w:u w:val="single"/>
        </w:rPr>
        <w:t>至规划期末，城镇建设用地</w:t>
      </w:r>
      <w:r>
        <w:rPr>
          <w:rFonts w:hint="eastAsia" w:eastAsia="宋体" w:cs="Times New Roman" w:asciiTheme="minorEastAsia" w:hAnsiTheme="minorEastAsia"/>
          <w:b/>
          <w:kern w:val="0"/>
          <w:sz w:val="24"/>
          <w:szCs w:val="24"/>
          <w:u w:val="single"/>
        </w:rPr>
        <w:t>52.09</w:t>
      </w:r>
      <w:r>
        <w:rPr>
          <w:rFonts w:eastAsia="宋体" w:cs="Times New Roman" w:asciiTheme="minorEastAsia" w:hAnsiTheme="minorEastAsia"/>
          <w:b/>
          <w:kern w:val="0"/>
          <w:sz w:val="24"/>
          <w:szCs w:val="24"/>
          <w:u w:val="single"/>
        </w:rPr>
        <w:t>公顷，城镇人口</w:t>
      </w:r>
      <w:r>
        <w:rPr>
          <w:rFonts w:hint="eastAsia" w:eastAsia="宋体" w:cs="Times New Roman" w:asciiTheme="minorEastAsia" w:hAnsiTheme="minorEastAsia"/>
          <w:b/>
          <w:kern w:val="0"/>
          <w:sz w:val="24"/>
          <w:szCs w:val="24"/>
          <w:u w:val="single"/>
        </w:rPr>
        <w:t>0.50万人（常住0.65万）。</w:t>
      </w:r>
    </w:p>
    <w:p>
      <w:pPr>
        <w:adjustRightInd w:val="0"/>
        <w:snapToGrid w:val="0"/>
        <w:spacing w:line="360" w:lineRule="auto"/>
        <w:ind w:firstLine="482" w:firstLineChars="200"/>
        <w:rPr>
          <w:rFonts w:ascii="黑体" w:hAnsi="黑体" w:eastAsia="黑体" w:cs="Times New Roman"/>
          <w:b/>
          <w:kern w:val="0"/>
          <w:sz w:val="24"/>
          <w:szCs w:val="24"/>
        </w:rPr>
      </w:pPr>
      <w:r>
        <w:rPr>
          <w:rFonts w:hint="eastAsia" w:ascii="黑体" w:hAnsi="黑体" w:eastAsia="黑体" w:cs="Times New Roman"/>
          <w:b/>
          <w:kern w:val="0"/>
          <w:sz w:val="24"/>
          <w:szCs w:val="24"/>
        </w:rPr>
        <w:t>六、镇区功能结构</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构建河边镇区“一轴一带，两心多组团”的城镇空间结构</w:t>
      </w:r>
      <w:r>
        <w:rPr>
          <w:rFonts w:hint="eastAsia" w:eastAsia="宋体" w:cs="Times New Roman" w:asciiTheme="minorEastAsia" w:hAnsiTheme="minorEastAsia"/>
          <w:kern w:val="0"/>
          <w:sz w:val="24"/>
          <w:szCs w:val="24"/>
        </w:rPr>
        <w:t>。</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一轴：依托蓬乐路</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交通上街</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下街为载体，串联各个主要功能版块，形成</w:t>
      </w:r>
      <w:r>
        <w:rPr>
          <w:rFonts w:hint="eastAsia" w:eastAsia="宋体" w:cs="Times New Roman" w:asciiTheme="minorEastAsia" w:hAnsiTheme="minorEastAsia"/>
          <w:kern w:val="0"/>
          <w:sz w:val="24"/>
          <w:szCs w:val="24"/>
        </w:rPr>
        <w:t>东西</w:t>
      </w:r>
      <w:r>
        <w:rPr>
          <w:rFonts w:eastAsia="宋体" w:cs="Times New Roman" w:asciiTheme="minorEastAsia" w:hAnsiTheme="minorEastAsia"/>
          <w:kern w:val="0"/>
          <w:sz w:val="24"/>
          <w:szCs w:val="24"/>
        </w:rPr>
        <w:t>向功能发展轴</w:t>
      </w:r>
      <w:r>
        <w:rPr>
          <w:rFonts w:hint="eastAsia" w:eastAsia="宋体" w:cs="Times New Roman" w:asciiTheme="minorEastAsia" w:hAnsiTheme="minorEastAsia"/>
          <w:kern w:val="0"/>
          <w:sz w:val="24"/>
          <w:szCs w:val="24"/>
        </w:rPr>
        <w:t>；</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一带：利用濛溪河打造生态景观绿带</w:t>
      </w:r>
      <w:r>
        <w:rPr>
          <w:rFonts w:hint="eastAsia" w:eastAsia="宋体" w:cs="Times New Roman" w:asciiTheme="minorEastAsia" w:hAnsiTheme="minorEastAsia"/>
          <w:kern w:val="0"/>
          <w:sz w:val="24"/>
          <w:szCs w:val="24"/>
        </w:rPr>
        <w:t>；</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两心：两个公共服务中心</w:t>
      </w:r>
      <w:r>
        <w:rPr>
          <w:rFonts w:hint="eastAsia" w:eastAsia="宋体" w:cs="Times New Roman" w:asciiTheme="minorEastAsia" w:hAnsiTheme="minorEastAsia"/>
          <w:kern w:val="0"/>
          <w:sz w:val="24"/>
          <w:szCs w:val="24"/>
        </w:rPr>
        <w:t>；</w:t>
      </w:r>
    </w:p>
    <w:p>
      <w:pPr>
        <w:adjustRightInd w:val="0"/>
        <w:snapToGrid w:val="0"/>
        <w:spacing w:line="360" w:lineRule="auto"/>
        <w:ind w:firstLine="480" w:firstLineChars="200"/>
        <w:rPr>
          <w:rFonts w:cs="Times New Roman" w:asciiTheme="minorEastAsia" w:hAnsiTheme="minorEastAsia"/>
          <w:kern w:val="0"/>
          <w:sz w:val="24"/>
          <w:szCs w:val="24"/>
        </w:rPr>
      </w:pPr>
      <w:r>
        <w:rPr>
          <w:rFonts w:hint="eastAsia" w:eastAsia="宋体" w:cs="Times New Roman" w:asciiTheme="minorEastAsia" w:hAnsiTheme="minorEastAsia"/>
          <w:kern w:val="0"/>
          <w:sz w:val="24"/>
          <w:szCs w:val="24"/>
        </w:rPr>
        <w:t>五</w:t>
      </w:r>
      <w:r>
        <w:rPr>
          <w:rFonts w:eastAsia="宋体" w:cs="Times New Roman" w:asciiTheme="minorEastAsia" w:hAnsiTheme="minorEastAsia"/>
          <w:kern w:val="0"/>
          <w:sz w:val="24"/>
          <w:szCs w:val="24"/>
        </w:rPr>
        <w:t>组团：依托西侧白柠檬种植区域，打造集研发、展示、电商平台、智能中心等功能于一体的服务产业区的特色产业服务组团</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依托英伦小镇形成具有城市现代新风貌的现代宜居生活组团</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依托老城进行更新提质、完善配套形成老城记忆综合组团</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依托南北侧良好的水系、田园生态环境，打造生态宜居组团</w:t>
      </w:r>
      <w:r>
        <w:rPr>
          <w:rFonts w:hint="eastAsia" w:eastAsia="宋体" w:cs="Times New Roman" w:asciiTheme="minorEastAsia" w:hAnsiTheme="minorEastAsia"/>
          <w:kern w:val="0"/>
          <w:sz w:val="24"/>
          <w:szCs w:val="24"/>
        </w:rPr>
        <w:t>，依托北侧便利的交通条件，完善物流配送和农产品加工，打造特色农产品加工基地。</w:t>
      </w:r>
    </w:p>
    <w:p>
      <w:pPr>
        <w:adjustRightInd w:val="0"/>
        <w:snapToGrid w:val="0"/>
        <w:spacing w:line="360" w:lineRule="auto"/>
        <w:ind w:firstLine="482" w:firstLineChars="200"/>
        <w:rPr>
          <w:rFonts w:ascii="黑体" w:hAnsi="黑体" w:eastAsia="黑体" w:cs="Times New Roman"/>
          <w:b/>
          <w:kern w:val="0"/>
          <w:sz w:val="24"/>
          <w:szCs w:val="24"/>
        </w:rPr>
      </w:pPr>
      <w:r>
        <w:rPr>
          <w:rFonts w:hint="eastAsia" w:ascii="黑体" w:hAnsi="黑体" w:eastAsia="黑体" w:cs="Times New Roman"/>
          <w:b/>
          <w:kern w:val="0"/>
          <w:sz w:val="24"/>
          <w:szCs w:val="24"/>
        </w:rPr>
        <w:t>七、镇区土地用途结构调整</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（一）耕地</w:t>
      </w:r>
    </w:p>
    <w:p>
      <w:pPr>
        <w:adjustRightInd w:val="0"/>
        <w:snapToGrid w:val="0"/>
        <w:spacing w:line="360" w:lineRule="auto"/>
        <w:ind w:firstLine="482" w:firstLineChars="200"/>
        <w:rPr>
          <w:rFonts w:cs="Times New Roman" w:asciiTheme="minorEastAsia" w:hAnsiTheme="minorEastAsia"/>
          <w:b/>
          <w:kern w:val="0"/>
          <w:sz w:val="24"/>
          <w:szCs w:val="24"/>
          <w:u w:val="single"/>
        </w:rPr>
      </w:pPr>
      <w:r>
        <w:rPr>
          <w:rFonts w:eastAsia="宋体" w:cs="Times New Roman" w:asciiTheme="minorEastAsia" w:hAnsiTheme="minorEastAsia"/>
          <w:b/>
          <w:kern w:val="0"/>
          <w:sz w:val="24"/>
          <w:szCs w:val="24"/>
          <w:u w:val="single"/>
        </w:rPr>
        <w:t>城镇开发边界内耕地较现状减少了</w:t>
      </w:r>
      <w:r>
        <w:rPr>
          <w:rFonts w:hint="eastAsia" w:eastAsia="宋体" w:cs="Times New Roman" w:asciiTheme="minorEastAsia" w:hAnsiTheme="minorEastAsia"/>
          <w:b/>
          <w:kern w:val="0"/>
          <w:sz w:val="24"/>
          <w:szCs w:val="24"/>
          <w:u w:val="single"/>
        </w:rPr>
        <w:t>2.55</w:t>
      </w:r>
      <w:r>
        <w:rPr>
          <w:rFonts w:eastAsia="宋体" w:cs="Times New Roman" w:asciiTheme="minorEastAsia" w:hAnsiTheme="minorEastAsia"/>
          <w:b/>
          <w:kern w:val="0"/>
          <w:sz w:val="24"/>
          <w:szCs w:val="24"/>
          <w:u w:val="single"/>
        </w:rPr>
        <w:t>公顷。</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（二）</w:t>
      </w:r>
      <w:r>
        <w:rPr>
          <w:rFonts w:eastAsia="宋体" w:cs="Times New Roman" w:asciiTheme="minorEastAsia" w:hAnsiTheme="minorEastAsia"/>
          <w:b/>
          <w:kern w:val="0"/>
          <w:sz w:val="24"/>
          <w:szCs w:val="24"/>
        </w:rPr>
        <w:t>果园</w:t>
      </w:r>
    </w:p>
    <w:p>
      <w:pPr>
        <w:adjustRightInd w:val="0"/>
        <w:snapToGrid w:val="0"/>
        <w:spacing w:line="360" w:lineRule="auto"/>
        <w:ind w:firstLine="482" w:firstLineChars="200"/>
        <w:rPr>
          <w:rFonts w:cs="Times New Roman" w:asciiTheme="minorEastAsia" w:hAnsiTheme="minorEastAsia"/>
          <w:b/>
          <w:kern w:val="0"/>
          <w:sz w:val="24"/>
          <w:szCs w:val="24"/>
          <w:u w:val="single"/>
        </w:rPr>
      </w:pPr>
      <w:r>
        <w:rPr>
          <w:rFonts w:eastAsia="宋体" w:cs="Times New Roman" w:asciiTheme="minorEastAsia" w:hAnsiTheme="minorEastAsia"/>
          <w:b/>
          <w:kern w:val="0"/>
          <w:sz w:val="24"/>
          <w:szCs w:val="24"/>
          <w:u w:val="single"/>
        </w:rPr>
        <w:t>城镇开发边界内果园较现状减少了</w:t>
      </w:r>
      <w:r>
        <w:rPr>
          <w:rFonts w:hint="eastAsia" w:eastAsia="宋体" w:cs="Times New Roman" w:asciiTheme="minorEastAsia" w:hAnsiTheme="minorEastAsia"/>
          <w:b/>
          <w:kern w:val="0"/>
          <w:sz w:val="24"/>
          <w:szCs w:val="24"/>
          <w:u w:val="single"/>
        </w:rPr>
        <w:t>0.02</w:t>
      </w:r>
      <w:r>
        <w:rPr>
          <w:rFonts w:eastAsia="宋体" w:cs="Times New Roman" w:asciiTheme="minorEastAsia" w:hAnsiTheme="minorEastAsia"/>
          <w:b/>
          <w:kern w:val="0"/>
          <w:sz w:val="24"/>
          <w:szCs w:val="24"/>
          <w:u w:val="single"/>
        </w:rPr>
        <w:t>公顷。</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（三）林地</w:t>
      </w:r>
    </w:p>
    <w:p>
      <w:pPr>
        <w:adjustRightInd w:val="0"/>
        <w:snapToGrid w:val="0"/>
        <w:spacing w:line="360" w:lineRule="auto"/>
        <w:ind w:firstLine="482" w:firstLineChars="200"/>
        <w:rPr>
          <w:rFonts w:cs="Times New Roman" w:asciiTheme="minorEastAsia" w:hAnsiTheme="minorEastAsia"/>
          <w:b/>
          <w:kern w:val="0"/>
          <w:sz w:val="24"/>
          <w:szCs w:val="24"/>
          <w:u w:val="single"/>
        </w:rPr>
      </w:pPr>
      <w:r>
        <w:rPr>
          <w:rFonts w:eastAsia="宋体" w:cs="Times New Roman" w:asciiTheme="minorEastAsia" w:hAnsiTheme="minorEastAsia"/>
          <w:b/>
          <w:kern w:val="0"/>
          <w:sz w:val="24"/>
          <w:szCs w:val="24"/>
          <w:u w:val="single"/>
        </w:rPr>
        <w:t>城镇开发边界内林地较现状减少了</w:t>
      </w:r>
      <w:r>
        <w:rPr>
          <w:rFonts w:hint="eastAsia" w:eastAsia="宋体" w:cs="Times New Roman" w:asciiTheme="minorEastAsia" w:hAnsiTheme="minorEastAsia"/>
          <w:b/>
          <w:kern w:val="0"/>
          <w:sz w:val="24"/>
          <w:szCs w:val="24"/>
          <w:u w:val="single"/>
        </w:rPr>
        <w:t>1.17</w:t>
      </w:r>
      <w:r>
        <w:rPr>
          <w:rFonts w:eastAsia="宋体" w:cs="Times New Roman" w:asciiTheme="minorEastAsia" w:hAnsiTheme="minorEastAsia"/>
          <w:b/>
          <w:kern w:val="0"/>
          <w:sz w:val="24"/>
          <w:szCs w:val="24"/>
          <w:u w:val="single"/>
        </w:rPr>
        <w:t>公顷。</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（四）</w:t>
      </w:r>
      <w:r>
        <w:rPr>
          <w:rFonts w:eastAsia="宋体" w:cs="Times New Roman" w:asciiTheme="minorEastAsia" w:hAnsiTheme="minorEastAsia"/>
          <w:b/>
          <w:kern w:val="0"/>
          <w:sz w:val="24"/>
          <w:szCs w:val="24"/>
        </w:rPr>
        <w:t>农业设施建设用地</w:t>
      </w:r>
    </w:p>
    <w:p>
      <w:pPr>
        <w:adjustRightInd w:val="0"/>
        <w:snapToGrid w:val="0"/>
        <w:spacing w:line="360" w:lineRule="auto"/>
        <w:ind w:firstLine="482" w:firstLineChars="200"/>
        <w:rPr>
          <w:rFonts w:cs="Times New Roman" w:asciiTheme="minorEastAsia" w:hAnsiTheme="minorEastAsia"/>
          <w:b/>
          <w:kern w:val="0"/>
          <w:sz w:val="24"/>
          <w:szCs w:val="24"/>
          <w:u w:val="single"/>
        </w:rPr>
      </w:pPr>
      <w:r>
        <w:rPr>
          <w:rFonts w:eastAsia="宋体" w:cs="Times New Roman" w:asciiTheme="minorEastAsia" w:hAnsiTheme="minorEastAsia"/>
          <w:b/>
          <w:kern w:val="0"/>
          <w:sz w:val="24"/>
          <w:szCs w:val="24"/>
          <w:u w:val="single"/>
        </w:rPr>
        <w:t>城镇开发边界内农业设施建设用</w:t>
      </w:r>
      <w:r>
        <w:rPr>
          <w:rFonts w:hint="eastAsia" w:eastAsia="宋体" w:cs="Times New Roman" w:asciiTheme="minorEastAsia" w:hAnsiTheme="minorEastAsia"/>
          <w:b/>
          <w:kern w:val="0"/>
          <w:sz w:val="24"/>
          <w:szCs w:val="24"/>
          <w:u w:val="single"/>
          <w:lang w:val="en-US" w:eastAsia="zh-CN"/>
        </w:rPr>
        <w:t>地</w:t>
      </w:r>
      <w:r>
        <w:rPr>
          <w:rFonts w:eastAsia="宋体" w:cs="Times New Roman" w:asciiTheme="minorEastAsia" w:hAnsiTheme="minorEastAsia"/>
          <w:b/>
          <w:kern w:val="0"/>
          <w:sz w:val="24"/>
          <w:szCs w:val="24"/>
          <w:u w:val="single"/>
        </w:rPr>
        <w:t>较现状减少了0.05公顷。</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（五）</w:t>
      </w:r>
      <w:r>
        <w:rPr>
          <w:rFonts w:eastAsia="宋体" w:cs="Times New Roman" w:asciiTheme="minorEastAsia" w:hAnsiTheme="minorEastAsia"/>
          <w:b/>
          <w:kern w:val="0"/>
          <w:sz w:val="24"/>
          <w:szCs w:val="24"/>
        </w:rPr>
        <w:t>建设用地</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规划延续镇区现状总体格局，</w:t>
      </w:r>
      <w:r>
        <w:rPr>
          <w:rFonts w:hint="eastAsia" w:eastAsia="宋体" w:cs="Times New Roman" w:asciiTheme="minorEastAsia" w:hAnsiTheme="minorEastAsia"/>
          <w:kern w:val="0"/>
          <w:sz w:val="24"/>
          <w:szCs w:val="24"/>
        </w:rPr>
        <w:t>按照需求局部更新完善。</w:t>
      </w:r>
    </w:p>
    <w:p>
      <w:pPr>
        <w:adjustRightInd w:val="0"/>
        <w:snapToGrid w:val="0"/>
        <w:spacing w:line="360" w:lineRule="auto"/>
        <w:ind w:firstLine="482" w:firstLineChars="200"/>
        <w:rPr>
          <w:rFonts w:cs="Times New Roman" w:asciiTheme="minorEastAsia" w:hAnsiTheme="minorEastAsia"/>
          <w:kern w:val="0"/>
          <w:sz w:val="24"/>
          <w:szCs w:val="24"/>
        </w:rPr>
      </w:pPr>
      <w:r>
        <w:rPr>
          <w:rFonts w:hint="eastAsia" w:eastAsia="宋体" w:cs="Times New Roman" w:asciiTheme="minorEastAsia" w:hAnsiTheme="minorEastAsia"/>
          <w:b/>
          <w:kern w:val="0"/>
          <w:sz w:val="24"/>
          <w:szCs w:val="24"/>
          <w:u w:val="single"/>
        </w:rPr>
        <w:t>居住用地21.69</w:t>
      </w:r>
      <w:r>
        <w:rPr>
          <w:rFonts w:eastAsia="宋体" w:cs="Times New Roman" w:asciiTheme="minorEastAsia" w:hAnsiTheme="minorEastAsia"/>
          <w:b/>
          <w:kern w:val="0"/>
          <w:sz w:val="24"/>
          <w:szCs w:val="24"/>
          <w:u w:val="single"/>
        </w:rPr>
        <w:t>公顷，较现状减少了</w:t>
      </w:r>
      <w:r>
        <w:rPr>
          <w:rFonts w:hint="eastAsia" w:eastAsia="宋体" w:cs="Times New Roman" w:asciiTheme="minorEastAsia" w:hAnsiTheme="minorEastAsia"/>
          <w:b/>
          <w:kern w:val="0"/>
          <w:sz w:val="24"/>
          <w:szCs w:val="24"/>
          <w:u w:val="single"/>
        </w:rPr>
        <w:t>8.89</w:t>
      </w:r>
      <w:r>
        <w:rPr>
          <w:rFonts w:eastAsia="宋体" w:cs="Times New Roman" w:asciiTheme="minorEastAsia" w:hAnsiTheme="minorEastAsia"/>
          <w:b/>
          <w:kern w:val="0"/>
          <w:sz w:val="24"/>
          <w:szCs w:val="24"/>
          <w:u w:val="single"/>
        </w:rPr>
        <w:t>公顷</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现状居住用地主要布局在蓬乐路两侧</w:t>
      </w:r>
      <w:r>
        <w:rPr>
          <w:rFonts w:hint="eastAsia" w:eastAsia="宋体" w:cs="Times New Roman" w:asciiTheme="minorEastAsia" w:hAnsiTheme="minorEastAsia"/>
          <w:kern w:val="0"/>
          <w:sz w:val="24"/>
          <w:szCs w:val="24"/>
        </w:rPr>
        <w:t>、交通上街、交通下街、正南街，</w:t>
      </w:r>
      <w:r>
        <w:rPr>
          <w:rFonts w:eastAsia="宋体" w:cs="Times New Roman" w:asciiTheme="minorEastAsia" w:hAnsiTheme="minorEastAsia"/>
          <w:kern w:val="0"/>
          <w:sz w:val="24"/>
          <w:szCs w:val="24"/>
        </w:rPr>
        <w:t>正西街和荣昌街两侧，规划在三调的基础上根据地上建筑的主要功能对用地重新</w:t>
      </w:r>
      <w:r>
        <w:rPr>
          <w:rFonts w:hint="eastAsia" w:eastAsia="宋体" w:cs="Times New Roman" w:asciiTheme="minorEastAsia" w:hAnsiTheme="minorEastAsia"/>
          <w:kern w:val="0"/>
          <w:sz w:val="24"/>
          <w:szCs w:val="24"/>
        </w:rPr>
        <w:t>进行</w:t>
      </w:r>
      <w:r>
        <w:rPr>
          <w:rFonts w:eastAsia="宋体" w:cs="Times New Roman" w:asciiTheme="minorEastAsia" w:hAnsiTheme="minorEastAsia"/>
          <w:kern w:val="0"/>
          <w:sz w:val="24"/>
          <w:szCs w:val="24"/>
        </w:rPr>
        <w:t>划分，导致居住用地较现状减少了</w:t>
      </w:r>
      <w:r>
        <w:rPr>
          <w:rFonts w:hint="eastAsia" w:eastAsia="宋体" w:cs="Times New Roman" w:asciiTheme="minorEastAsia" w:hAnsiTheme="minorEastAsia"/>
          <w:kern w:val="0"/>
          <w:sz w:val="24"/>
          <w:szCs w:val="24"/>
        </w:rPr>
        <w:t>8.89</w:t>
      </w:r>
      <w:r>
        <w:rPr>
          <w:rFonts w:eastAsia="宋体" w:cs="Times New Roman" w:asciiTheme="minorEastAsia" w:hAnsiTheme="minorEastAsia"/>
          <w:kern w:val="0"/>
          <w:sz w:val="24"/>
          <w:szCs w:val="24"/>
        </w:rPr>
        <w:t>公顷；</w:t>
      </w:r>
    </w:p>
    <w:p>
      <w:pPr>
        <w:adjustRightInd w:val="0"/>
        <w:snapToGrid w:val="0"/>
        <w:spacing w:line="360" w:lineRule="auto"/>
        <w:ind w:firstLine="480" w:firstLineChars="200"/>
        <w:rPr>
          <w:rFonts w:eastAsia="宋体" w:cs="Times New Roman" w:asciiTheme="minorEastAsia" w:hAnsiTheme="minorEastAsia"/>
          <w:b/>
          <w:kern w:val="0"/>
          <w:sz w:val="24"/>
          <w:szCs w:val="24"/>
          <w:u w:val="single"/>
        </w:rPr>
      </w:pPr>
      <w:r>
        <w:rPr>
          <w:rFonts w:eastAsia="宋体" w:cs="Times New Roman" w:asciiTheme="minorEastAsia" w:hAnsiTheme="minorEastAsia"/>
          <w:kern w:val="0"/>
          <w:sz w:val="24"/>
          <w:szCs w:val="24"/>
        </w:rPr>
        <w:t>规划保留河边中学、河边小学、河边幼儿园</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保留现状河边镇政府</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保留现状河边卫生院，规划在河边幼儿园西侧新增一处其他服务设施用地</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用于农特产品展示展览</w:t>
      </w:r>
      <w:r>
        <w:rPr>
          <w:rFonts w:hint="eastAsia" w:eastAsia="宋体" w:cs="Times New Roman" w:asciiTheme="minorEastAsia" w:hAnsiTheme="minorEastAsia"/>
          <w:kern w:val="0"/>
          <w:sz w:val="24"/>
          <w:szCs w:val="24"/>
        </w:rPr>
        <w:t>。</w:t>
      </w:r>
      <w:r>
        <w:rPr>
          <w:rFonts w:eastAsia="宋体" w:cs="Times New Roman" w:asciiTheme="minorEastAsia" w:hAnsiTheme="minorEastAsia"/>
          <w:b/>
          <w:kern w:val="0"/>
          <w:sz w:val="24"/>
          <w:szCs w:val="24"/>
          <w:u w:val="single"/>
        </w:rPr>
        <w:t>规划公共管理与公共服务设施用地</w:t>
      </w:r>
      <w:r>
        <w:rPr>
          <w:rFonts w:hint="eastAsia" w:eastAsia="宋体" w:cs="Times New Roman" w:asciiTheme="minorEastAsia" w:hAnsiTheme="minorEastAsia"/>
          <w:b/>
          <w:kern w:val="0"/>
          <w:sz w:val="24"/>
          <w:szCs w:val="24"/>
          <w:u w:val="single"/>
        </w:rPr>
        <w:t>5.61</w:t>
      </w:r>
      <w:r>
        <w:rPr>
          <w:rFonts w:eastAsia="宋体" w:cs="Times New Roman" w:asciiTheme="minorEastAsia" w:hAnsiTheme="minorEastAsia"/>
          <w:b/>
          <w:kern w:val="0"/>
          <w:sz w:val="24"/>
          <w:szCs w:val="24"/>
          <w:u w:val="single"/>
        </w:rPr>
        <w:t>公顷，较现状增加了</w:t>
      </w:r>
      <w:r>
        <w:rPr>
          <w:rFonts w:hint="eastAsia" w:eastAsia="宋体" w:cs="Times New Roman" w:asciiTheme="minorEastAsia" w:hAnsiTheme="minorEastAsia"/>
          <w:b/>
          <w:kern w:val="0"/>
          <w:sz w:val="24"/>
          <w:szCs w:val="24"/>
          <w:u w:val="single"/>
        </w:rPr>
        <w:t>0.23</w:t>
      </w:r>
      <w:r>
        <w:rPr>
          <w:rFonts w:eastAsia="宋体" w:cs="Times New Roman" w:asciiTheme="minorEastAsia" w:hAnsiTheme="minorEastAsia"/>
          <w:b/>
          <w:kern w:val="0"/>
          <w:sz w:val="24"/>
          <w:szCs w:val="24"/>
          <w:u w:val="single"/>
        </w:rPr>
        <w:t>公顷；</w:t>
      </w:r>
    </w:p>
    <w:p>
      <w:pPr>
        <w:adjustRightInd w:val="0"/>
        <w:snapToGrid w:val="0"/>
        <w:spacing w:line="360" w:lineRule="auto"/>
        <w:ind w:firstLine="480" w:firstLineChars="200"/>
        <w:rPr>
          <w:rFonts w:eastAsia="宋体" w:cs="Times New Roman" w:asciiTheme="minorEastAsia" w:hAnsiTheme="minorEastAsia"/>
          <w:b/>
          <w:kern w:val="0"/>
          <w:sz w:val="24"/>
          <w:szCs w:val="24"/>
          <w:u w:val="single"/>
        </w:rPr>
      </w:pPr>
      <w:r>
        <w:rPr>
          <w:rFonts w:eastAsia="宋体" w:cs="Times New Roman" w:asciiTheme="minorEastAsia" w:hAnsiTheme="minorEastAsia"/>
          <w:kern w:val="0"/>
          <w:sz w:val="24"/>
          <w:szCs w:val="24"/>
        </w:rPr>
        <w:t>保留镇区内的两处集贸市场，在柠香大道南侧，河边幼儿园北侧新增一处商业用地。</w:t>
      </w:r>
      <w:r>
        <w:rPr>
          <w:rFonts w:eastAsia="宋体" w:cs="Times New Roman" w:asciiTheme="minorEastAsia" w:hAnsiTheme="minorEastAsia"/>
          <w:b/>
          <w:kern w:val="0"/>
          <w:sz w:val="24"/>
          <w:szCs w:val="24"/>
          <w:u w:val="single"/>
        </w:rPr>
        <w:t>规划商业服务业用地</w:t>
      </w:r>
      <w:r>
        <w:rPr>
          <w:rFonts w:hint="eastAsia" w:eastAsia="宋体" w:cs="Times New Roman" w:asciiTheme="minorEastAsia" w:hAnsiTheme="minorEastAsia"/>
          <w:b/>
          <w:kern w:val="0"/>
          <w:sz w:val="24"/>
          <w:szCs w:val="24"/>
          <w:u w:val="single"/>
        </w:rPr>
        <w:t>4.51</w:t>
      </w:r>
      <w:r>
        <w:rPr>
          <w:rFonts w:eastAsia="宋体" w:cs="Times New Roman" w:asciiTheme="minorEastAsia" w:hAnsiTheme="minorEastAsia"/>
          <w:b/>
          <w:kern w:val="0"/>
          <w:sz w:val="24"/>
          <w:szCs w:val="24"/>
          <w:u w:val="single"/>
        </w:rPr>
        <w:t>公顷，较现状增加了</w:t>
      </w:r>
      <w:r>
        <w:rPr>
          <w:rFonts w:hint="eastAsia" w:eastAsia="宋体" w:cs="Times New Roman" w:asciiTheme="minorEastAsia" w:hAnsiTheme="minorEastAsia"/>
          <w:b/>
          <w:kern w:val="0"/>
          <w:sz w:val="24"/>
          <w:szCs w:val="24"/>
          <w:u w:val="single"/>
        </w:rPr>
        <w:t>2.58</w:t>
      </w:r>
      <w:r>
        <w:rPr>
          <w:rFonts w:eastAsia="宋体" w:cs="Times New Roman" w:asciiTheme="minorEastAsia" w:hAnsiTheme="minorEastAsia"/>
          <w:b/>
          <w:kern w:val="0"/>
          <w:sz w:val="24"/>
          <w:szCs w:val="24"/>
          <w:u w:val="single"/>
        </w:rPr>
        <w:t>公顷；</w:t>
      </w:r>
    </w:p>
    <w:p>
      <w:pPr>
        <w:adjustRightInd w:val="0"/>
        <w:snapToGrid w:val="0"/>
        <w:spacing w:line="360" w:lineRule="auto"/>
        <w:ind w:firstLine="482" w:firstLineChars="200"/>
        <w:rPr>
          <w:rFonts w:cs="Times New Roman" w:asciiTheme="minorEastAsia" w:hAnsiTheme="minorEastAsia"/>
          <w:b/>
          <w:kern w:val="0"/>
          <w:sz w:val="24"/>
          <w:szCs w:val="24"/>
          <w:u w:val="single"/>
        </w:rPr>
      </w:pPr>
      <w:r>
        <w:rPr>
          <w:rFonts w:eastAsia="宋体" w:cs="Times New Roman" w:asciiTheme="minorEastAsia" w:hAnsiTheme="minorEastAsia"/>
          <w:b/>
          <w:kern w:val="0"/>
          <w:sz w:val="24"/>
          <w:szCs w:val="24"/>
          <w:u w:val="single"/>
        </w:rPr>
        <w:t>规划工矿用地</w:t>
      </w:r>
      <w:r>
        <w:rPr>
          <w:rFonts w:hint="eastAsia" w:eastAsia="宋体" w:cs="Times New Roman" w:asciiTheme="minorEastAsia" w:hAnsiTheme="minorEastAsia"/>
          <w:b/>
          <w:kern w:val="0"/>
          <w:sz w:val="24"/>
          <w:szCs w:val="24"/>
          <w:u w:val="single"/>
        </w:rPr>
        <w:t>1.75</w:t>
      </w:r>
      <w:r>
        <w:rPr>
          <w:rFonts w:eastAsia="宋体" w:cs="Times New Roman" w:asciiTheme="minorEastAsia" w:hAnsiTheme="minorEastAsia"/>
          <w:b/>
          <w:kern w:val="0"/>
          <w:sz w:val="24"/>
          <w:szCs w:val="24"/>
          <w:u w:val="single"/>
        </w:rPr>
        <w:t>公顷，较现状减少了</w:t>
      </w:r>
      <w:r>
        <w:rPr>
          <w:rFonts w:hint="eastAsia" w:eastAsia="宋体" w:cs="Times New Roman" w:asciiTheme="minorEastAsia" w:hAnsiTheme="minorEastAsia"/>
          <w:b/>
          <w:kern w:val="0"/>
          <w:sz w:val="24"/>
          <w:szCs w:val="24"/>
          <w:u w:val="single"/>
        </w:rPr>
        <w:t>0.32</w:t>
      </w:r>
      <w:r>
        <w:rPr>
          <w:rFonts w:eastAsia="宋体" w:cs="Times New Roman" w:asciiTheme="minorEastAsia" w:hAnsiTheme="minorEastAsia"/>
          <w:b/>
          <w:kern w:val="0"/>
          <w:sz w:val="24"/>
          <w:szCs w:val="24"/>
          <w:u w:val="single"/>
        </w:rPr>
        <w:t>公顷；规划仓储用地</w:t>
      </w:r>
      <w:r>
        <w:rPr>
          <w:rFonts w:hint="eastAsia" w:eastAsia="宋体" w:cs="Times New Roman" w:asciiTheme="minorEastAsia" w:hAnsiTheme="minorEastAsia"/>
          <w:b/>
          <w:kern w:val="0"/>
          <w:sz w:val="24"/>
          <w:szCs w:val="24"/>
          <w:u w:val="single"/>
        </w:rPr>
        <w:t>1.99</w:t>
      </w:r>
      <w:r>
        <w:rPr>
          <w:rFonts w:eastAsia="宋体" w:cs="Times New Roman" w:asciiTheme="minorEastAsia" w:hAnsiTheme="minorEastAsia"/>
          <w:b/>
          <w:kern w:val="0"/>
          <w:sz w:val="24"/>
          <w:szCs w:val="24"/>
          <w:u w:val="single"/>
        </w:rPr>
        <w:t>公顷，较现状增加了</w:t>
      </w:r>
      <w:r>
        <w:rPr>
          <w:rFonts w:hint="eastAsia" w:eastAsia="宋体" w:cs="Times New Roman" w:asciiTheme="minorEastAsia" w:hAnsiTheme="minorEastAsia"/>
          <w:b/>
          <w:kern w:val="0"/>
          <w:sz w:val="24"/>
          <w:szCs w:val="24"/>
          <w:u w:val="single"/>
        </w:rPr>
        <w:t>0.43</w:t>
      </w:r>
      <w:r>
        <w:rPr>
          <w:rFonts w:eastAsia="宋体" w:cs="Times New Roman" w:asciiTheme="minorEastAsia" w:hAnsiTheme="minorEastAsia"/>
          <w:b/>
          <w:kern w:val="0"/>
          <w:sz w:val="24"/>
          <w:szCs w:val="24"/>
          <w:u w:val="single"/>
        </w:rPr>
        <w:t>公顷；规划交通运输用地</w:t>
      </w:r>
      <w:r>
        <w:rPr>
          <w:rFonts w:hint="eastAsia" w:eastAsia="宋体" w:cs="Times New Roman" w:asciiTheme="minorEastAsia" w:hAnsiTheme="minorEastAsia"/>
          <w:b/>
          <w:kern w:val="0"/>
          <w:sz w:val="24"/>
          <w:szCs w:val="24"/>
          <w:u w:val="single"/>
        </w:rPr>
        <w:t>10.98</w:t>
      </w:r>
      <w:r>
        <w:rPr>
          <w:rFonts w:eastAsia="宋体" w:cs="Times New Roman" w:asciiTheme="minorEastAsia" w:hAnsiTheme="minorEastAsia"/>
          <w:b/>
          <w:kern w:val="0"/>
          <w:sz w:val="24"/>
          <w:szCs w:val="24"/>
          <w:u w:val="single"/>
        </w:rPr>
        <w:t>公顷，较现状增加了</w:t>
      </w:r>
      <w:r>
        <w:rPr>
          <w:rFonts w:hint="eastAsia" w:eastAsia="宋体" w:cs="Times New Roman" w:asciiTheme="minorEastAsia" w:hAnsiTheme="minorEastAsia"/>
          <w:b/>
          <w:kern w:val="0"/>
          <w:sz w:val="24"/>
          <w:szCs w:val="24"/>
          <w:u w:val="single"/>
        </w:rPr>
        <w:t>5.26</w:t>
      </w:r>
      <w:r>
        <w:rPr>
          <w:rFonts w:eastAsia="宋体" w:cs="Times New Roman" w:asciiTheme="minorEastAsia" w:hAnsiTheme="minorEastAsia"/>
          <w:b/>
          <w:kern w:val="0"/>
          <w:sz w:val="24"/>
          <w:szCs w:val="24"/>
          <w:u w:val="single"/>
        </w:rPr>
        <w:t>公顷；规划公用设施用地</w:t>
      </w:r>
      <w:r>
        <w:rPr>
          <w:rFonts w:hint="eastAsia" w:eastAsia="宋体" w:cs="Times New Roman" w:asciiTheme="minorEastAsia" w:hAnsiTheme="minorEastAsia"/>
          <w:b/>
          <w:kern w:val="0"/>
          <w:sz w:val="24"/>
          <w:szCs w:val="24"/>
          <w:u w:val="single"/>
        </w:rPr>
        <w:t>0.97</w:t>
      </w:r>
      <w:r>
        <w:rPr>
          <w:rFonts w:eastAsia="宋体" w:cs="Times New Roman" w:asciiTheme="minorEastAsia" w:hAnsiTheme="minorEastAsia"/>
          <w:b/>
          <w:kern w:val="0"/>
          <w:sz w:val="24"/>
          <w:szCs w:val="24"/>
          <w:u w:val="single"/>
        </w:rPr>
        <w:t>公顷，较现状增加了</w:t>
      </w:r>
      <w:r>
        <w:rPr>
          <w:rFonts w:hint="eastAsia" w:eastAsia="宋体" w:cs="Times New Roman" w:asciiTheme="minorEastAsia" w:hAnsiTheme="minorEastAsia"/>
          <w:b/>
          <w:kern w:val="0"/>
          <w:sz w:val="24"/>
          <w:szCs w:val="24"/>
          <w:u w:val="single"/>
        </w:rPr>
        <w:t>0.56</w:t>
      </w:r>
      <w:r>
        <w:rPr>
          <w:rFonts w:eastAsia="宋体" w:cs="Times New Roman" w:asciiTheme="minorEastAsia" w:hAnsiTheme="minorEastAsia"/>
          <w:b/>
          <w:kern w:val="0"/>
          <w:sz w:val="24"/>
          <w:szCs w:val="24"/>
          <w:u w:val="single"/>
        </w:rPr>
        <w:t>公顷；规划绿地与开敞空间用地</w:t>
      </w:r>
      <w:r>
        <w:rPr>
          <w:rFonts w:hint="eastAsia" w:eastAsia="宋体" w:cs="Times New Roman" w:asciiTheme="minorEastAsia" w:hAnsiTheme="minorEastAsia"/>
          <w:b/>
          <w:kern w:val="0"/>
          <w:sz w:val="24"/>
          <w:szCs w:val="24"/>
          <w:u w:val="single"/>
        </w:rPr>
        <w:t>4.51</w:t>
      </w:r>
      <w:r>
        <w:rPr>
          <w:rFonts w:eastAsia="宋体" w:cs="Times New Roman" w:asciiTheme="minorEastAsia" w:hAnsiTheme="minorEastAsia"/>
          <w:b/>
          <w:kern w:val="0"/>
          <w:sz w:val="24"/>
          <w:szCs w:val="24"/>
          <w:u w:val="single"/>
        </w:rPr>
        <w:t>公顷，全部为新增。</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详见表</w:t>
      </w:r>
      <w:r>
        <w:rPr>
          <w:rFonts w:hint="eastAsia" w:eastAsia="宋体" w:cs="Times New Roman" w:asciiTheme="minorEastAsia" w:hAnsiTheme="minorEastAsia"/>
          <w:kern w:val="0"/>
          <w:sz w:val="24"/>
          <w:szCs w:val="24"/>
        </w:rPr>
        <w:t>10</w:t>
      </w:r>
      <w:r>
        <w:rPr>
          <w:rFonts w:eastAsia="宋体" w:cs="Times New Roman" w:asciiTheme="minorEastAsia" w:hAnsiTheme="minorEastAsia"/>
          <w:kern w:val="0"/>
          <w:sz w:val="24"/>
          <w:szCs w:val="24"/>
        </w:rPr>
        <w:t>河边镇镇区城镇建设用地规划表</w:t>
      </w:r>
    </w:p>
    <w:p>
      <w:pPr>
        <w:adjustRightInd w:val="0"/>
        <w:snapToGrid w:val="0"/>
        <w:spacing w:line="360" w:lineRule="auto"/>
        <w:ind w:firstLine="482" w:firstLineChars="200"/>
        <w:rPr>
          <w:rFonts w:ascii="黑体" w:hAnsi="黑体" w:eastAsia="黑体" w:cs="Times New Roman"/>
          <w:b/>
          <w:kern w:val="0"/>
          <w:sz w:val="24"/>
          <w:szCs w:val="24"/>
        </w:rPr>
      </w:pPr>
      <w:r>
        <w:rPr>
          <w:rFonts w:hint="eastAsia" w:ascii="黑体" w:hAnsi="黑体" w:eastAsia="黑体" w:cs="Times New Roman"/>
          <w:b/>
          <w:kern w:val="0"/>
          <w:sz w:val="24"/>
          <w:szCs w:val="24"/>
        </w:rPr>
        <w:t>八、土地使用控制</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（一）</w:t>
      </w:r>
      <w:r>
        <w:rPr>
          <w:rFonts w:eastAsia="宋体" w:cs="Times New Roman" w:asciiTheme="minorEastAsia" w:hAnsiTheme="minorEastAsia"/>
          <w:b/>
          <w:kern w:val="0"/>
          <w:sz w:val="24"/>
          <w:szCs w:val="24"/>
        </w:rPr>
        <w:t>地块划分原则</w:t>
      </w:r>
    </w:p>
    <w:p>
      <w:pPr>
        <w:adjustRightInd w:val="0"/>
        <w:snapToGrid w:val="0"/>
        <w:spacing w:line="360" w:lineRule="auto"/>
        <w:ind w:firstLine="480" w:firstLineChars="200"/>
        <w:rPr>
          <w:rFonts w:cs="Times New Roman" w:asciiTheme="minorEastAsia" w:hAnsiTheme="minorEastAsia"/>
          <w:kern w:val="0"/>
          <w:sz w:val="24"/>
          <w:szCs w:val="24"/>
        </w:rPr>
      </w:pPr>
      <w:r>
        <w:rPr>
          <w:rFonts w:ascii="宋体" w:hAnsi="宋体" w:eastAsia="宋体" w:cs="Times New Roman"/>
          <w:kern w:val="0"/>
          <w:sz w:val="24"/>
          <w:szCs w:val="24"/>
        </w:rPr>
        <w:t>规划结合自然界线、道路划分、功能用地平面布局特征，按以下原则进行合理的地块划分：一是保持地块的完整性，便于规划管理；二是保持地块用地性质相对单一，避免不兼容使用性质用地间的干扰；三是有利于下一层次规划编制、土地出让与开发建设。</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（二）</w:t>
      </w:r>
      <w:r>
        <w:rPr>
          <w:rFonts w:eastAsia="宋体" w:cs="Times New Roman" w:asciiTheme="minorEastAsia" w:hAnsiTheme="minorEastAsia"/>
          <w:b/>
          <w:kern w:val="0"/>
          <w:sz w:val="24"/>
          <w:szCs w:val="24"/>
        </w:rPr>
        <w:t>地块编码</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合理划分街区：结合自然界限、道路、土地利用的内在关联性，将镇区划分为4个管控单元。</w:t>
      </w:r>
    </w:p>
    <w:p>
      <w:pPr>
        <w:adjustRightInd w:val="0"/>
        <w:snapToGrid w:val="0"/>
        <w:spacing w:line="360" w:lineRule="auto"/>
        <w:ind w:firstLine="482" w:firstLineChars="200"/>
        <w:rPr>
          <w:rFonts w:ascii="Times New Roman" w:eastAsia="宋体" w:cs="Times New Roman"/>
          <w:b/>
          <w:u w:val="single"/>
        </w:rPr>
      </w:pPr>
      <w:r>
        <w:rPr>
          <w:rFonts w:ascii="宋体" w:hAnsi="宋体" w:eastAsia="宋体" w:cs="Times New Roman"/>
          <w:b/>
          <w:kern w:val="0"/>
          <w:sz w:val="24"/>
          <w:szCs w:val="24"/>
          <w:u w:val="single"/>
        </w:rPr>
        <w:t>参照</w:t>
      </w:r>
      <w:r>
        <w:rPr>
          <w:rFonts w:eastAsia="宋体" w:cs="Times New Roman" w:asciiTheme="minorEastAsia" w:hAnsiTheme="minorEastAsia"/>
          <w:b/>
          <w:kern w:val="0"/>
          <w:sz w:val="24"/>
          <w:szCs w:val="24"/>
          <w:u w:val="single"/>
        </w:rPr>
        <w:t>《四川省城市控制性详细规划编制技术规定》</w:t>
      </w:r>
      <w:r>
        <w:rPr>
          <w:rFonts w:ascii="宋体" w:hAnsi="宋体" w:eastAsia="宋体" w:cs="Times New Roman"/>
          <w:b/>
          <w:kern w:val="0"/>
          <w:sz w:val="24"/>
          <w:szCs w:val="24"/>
          <w:u w:val="single"/>
        </w:rPr>
        <w:t>的要求，结合</w:t>
      </w:r>
      <w:r>
        <w:rPr>
          <w:rFonts w:eastAsia="宋体" w:cs="Times New Roman" w:asciiTheme="minorEastAsia" w:hAnsiTheme="minorEastAsia"/>
          <w:b/>
          <w:kern w:val="0"/>
          <w:sz w:val="24"/>
          <w:szCs w:val="24"/>
          <w:u w:val="single"/>
        </w:rPr>
        <w:t>河边镇</w:t>
      </w:r>
      <w:r>
        <w:rPr>
          <w:rFonts w:ascii="宋体" w:hAnsi="宋体" w:eastAsia="宋体" w:cs="Times New Roman"/>
          <w:b/>
          <w:kern w:val="0"/>
          <w:sz w:val="24"/>
          <w:szCs w:val="24"/>
          <w:u w:val="single"/>
        </w:rPr>
        <w:t>的实际情况，</w:t>
      </w:r>
      <w:r>
        <w:rPr>
          <w:rFonts w:eastAsia="宋体" w:cs="Times New Roman" w:asciiTheme="minorEastAsia" w:hAnsiTheme="minorEastAsia"/>
          <w:b/>
          <w:kern w:val="0"/>
          <w:sz w:val="24"/>
          <w:szCs w:val="24"/>
          <w:u w:val="single"/>
        </w:rPr>
        <w:t>镇区</w:t>
      </w:r>
      <w:r>
        <w:rPr>
          <w:rFonts w:ascii="宋体" w:hAnsi="宋体" w:eastAsia="宋体" w:cs="Times New Roman"/>
          <w:b/>
          <w:kern w:val="0"/>
          <w:sz w:val="24"/>
          <w:szCs w:val="24"/>
          <w:u w:val="single"/>
        </w:rPr>
        <w:t>统一采用</w:t>
      </w:r>
      <w:r>
        <w:rPr>
          <w:rFonts w:eastAsia="宋体" w:cs="Times New Roman" w:asciiTheme="minorEastAsia" w:hAnsiTheme="minorEastAsia"/>
          <w:b/>
          <w:kern w:val="0"/>
          <w:sz w:val="24"/>
          <w:szCs w:val="24"/>
          <w:u w:val="single"/>
        </w:rPr>
        <w:t xml:space="preserve"> “城镇—单元—地块”三级编码体系，</w:t>
      </w:r>
      <w:r>
        <w:rPr>
          <w:rFonts w:hint="eastAsia" w:ascii="Calibri" w:hAnsi="Calibri" w:eastAsia="宋体" w:cs="Times New Roman"/>
          <w:b/>
          <w:sz w:val="24"/>
          <w:u w:val="single"/>
        </w:rPr>
        <w:t>编码标准为</w:t>
      </w:r>
      <w:r>
        <w:rPr>
          <w:rFonts w:eastAsia="宋体"/>
          <w:b/>
          <w:sz w:val="24"/>
          <w:u w:val="single"/>
        </w:rPr>
        <w:t>HB</w:t>
      </w:r>
      <w:r>
        <w:rPr>
          <w:rFonts w:ascii="Calibri" w:hAnsi="Calibri" w:eastAsia="宋体" w:cs="Times New Roman"/>
          <w:b/>
          <w:sz w:val="24"/>
          <w:u w:val="single"/>
        </w:rPr>
        <w:t>-01</w:t>
      </w:r>
      <w:r>
        <w:rPr>
          <w:rFonts w:eastAsia="宋体"/>
          <w:b/>
          <w:sz w:val="24"/>
          <w:u w:val="single"/>
        </w:rPr>
        <w:t>-01</w:t>
      </w:r>
      <w:r>
        <w:rPr>
          <w:rFonts w:hint="eastAsia" w:eastAsia="宋体"/>
          <w:b/>
          <w:sz w:val="24"/>
          <w:u w:val="single"/>
        </w:rPr>
        <w:t>，</w:t>
      </w:r>
      <w:r>
        <w:rPr>
          <w:rFonts w:eastAsia="宋体"/>
          <w:b/>
          <w:sz w:val="24"/>
          <w:u w:val="single"/>
        </w:rPr>
        <w:t>HB</w:t>
      </w:r>
      <w:r>
        <w:rPr>
          <w:rFonts w:hint="eastAsia" w:eastAsia="宋体"/>
          <w:b/>
          <w:sz w:val="24"/>
          <w:u w:val="single"/>
        </w:rPr>
        <w:t>表示城镇名称河边镇、第一个</w:t>
      </w:r>
      <w:r>
        <w:rPr>
          <w:rFonts w:eastAsia="宋体"/>
          <w:b/>
          <w:sz w:val="24"/>
          <w:u w:val="single"/>
        </w:rPr>
        <w:t>01</w:t>
      </w:r>
      <w:r>
        <w:rPr>
          <w:rFonts w:hint="eastAsia" w:eastAsia="宋体"/>
          <w:b/>
          <w:sz w:val="24"/>
          <w:u w:val="single"/>
        </w:rPr>
        <w:t>表示由</w:t>
      </w:r>
      <w:r>
        <w:rPr>
          <w:rFonts w:hint="eastAsia" w:ascii="Calibri" w:hAnsi="Calibri" w:eastAsia="宋体" w:cs="Times New Roman"/>
          <w:b/>
          <w:sz w:val="24"/>
          <w:u w:val="single"/>
        </w:rPr>
        <w:t>道路及</w:t>
      </w:r>
      <w:r>
        <w:rPr>
          <w:rFonts w:hint="eastAsia" w:eastAsia="宋体"/>
          <w:b/>
          <w:sz w:val="24"/>
          <w:u w:val="single"/>
        </w:rPr>
        <w:t>自然界限形成的管控单元，第二个</w:t>
      </w:r>
      <w:r>
        <w:rPr>
          <w:rFonts w:eastAsia="宋体"/>
          <w:b/>
          <w:sz w:val="24"/>
          <w:u w:val="single"/>
        </w:rPr>
        <w:t>01</w:t>
      </w:r>
      <w:r>
        <w:rPr>
          <w:rFonts w:hint="eastAsia" w:eastAsia="宋体"/>
          <w:b/>
          <w:sz w:val="24"/>
          <w:u w:val="single"/>
        </w:rPr>
        <w:t>表示地块号。</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（三）</w:t>
      </w:r>
      <w:r>
        <w:rPr>
          <w:rFonts w:eastAsia="宋体" w:cs="Times New Roman" w:asciiTheme="minorEastAsia" w:hAnsiTheme="minorEastAsia"/>
          <w:b/>
          <w:kern w:val="0"/>
          <w:sz w:val="24"/>
          <w:szCs w:val="24"/>
        </w:rPr>
        <w:t>指标体系</w:t>
      </w:r>
    </w:p>
    <w:p>
      <w:pPr>
        <w:adjustRightInd w:val="0"/>
        <w:snapToGrid w:val="0"/>
        <w:spacing w:line="360" w:lineRule="auto"/>
        <w:ind w:firstLine="482" w:firstLineChars="200"/>
        <w:rPr>
          <w:rFonts w:ascii="宋体" w:hAnsi="宋体" w:eastAsia="宋体" w:cs="Times New Roman"/>
          <w:b/>
          <w:kern w:val="0"/>
          <w:sz w:val="24"/>
          <w:szCs w:val="24"/>
          <w:u w:val="single"/>
        </w:rPr>
      </w:pPr>
      <w:r>
        <w:rPr>
          <w:rFonts w:ascii="宋体" w:hAnsi="宋体" w:eastAsia="宋体" w:cs="Times New Roman"/>
          <w:b/>
          <w:kern w:val="0"/>
          <w:sz w:val="24"/>
          <w:szCs w:val="24"/>
          <w:u w:val="single"/>
        </w:rPr>
        <w:t>土地使用强度控制指标体系分为规定性指标和指导性指标。其中规定性指标9项，指导性指标</w:t>
      </w:r>
      <w:r>
        <w:rPr>
          <w:rFonts w:hint="eastAsia" w:ascii="宋体" w:hAnsi="宋体" w:eastAsia="宋体" w:cs="Times New Roman"/>
          <w:b/>
          <w:kern w:val="0"/>
          <w:sz w:val="24"/>
          <w:szCs w:val="24"/>
          <w:u w:val="single"/>
        </w:rPr>
        <w:t>5</w:t>
      </w:r>
      <w:r>
        <w:rPr>
          <w:rFonts w:ascii="宋体" w:hAnsi="宋体" w:eastAsia="宋体" w:cs="Times New Roman"/>
          <w:b/>
          <w:kern w:val="0"/>
          <w:sz w:val="24"/>
          <w:szCs w:val="24"/>
          <w:u w:val="single"/>
        </w:rPr>
        <w:t>项。规定性指标包括用地性质、用地面积、容积率、绿地率、建筑密度、建筑限高、配套公共服务设施、禁止开口路段和配建车位等。指导性指标包括居住人口、建筑形式、体量、风格、色彩要求和其它环境要求等。</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（四）地块</w:t>
      </w:r>
      <w:r>
        <w:rPr>
          <w:rFonts w:eastAsia="宋体" w:cs="Times New Roman" w:asciiTheme="minorEastAsia" w:hAnsiTheme="minorEastAsia"/>
          <w:b/>
          <w:kern w:val="0"/>
          <w:sz w:val="24"/>
          <w:szCs w:val="24"/>
        </w:rPr>
        <w:t>控制</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兼顾弹性引导与刚性管控，通过规定性指标和引导性指标进行控制。地块用地性质、建筑密度、建筑高度、容积率、绿地率及其他需要配置的公共设施作为规定性指标，人口容量、建筑形式、体量、风格、色彩要求和其它环境要求为引导性指标。用地规模不小于</w:t>
      </w:r>
      <w:r>
        <w:rPr>
          <w:rFonts w:eastAsia="宋体" w:cs="Times New Roman" w:asciiTheme="minorEastAsia" w:hAnsiTheme="minorEastAsia"/>
          <w:kern w:val="0"/>
          <w:sz w:val="24"/>
          <w:szCs w:val="24"/>
        </w:rPr>
        <w:t xml:space="preserve">2000 </w:t>
      </w:r>
      <w:r>
        <w:rPr>
          <w:rFonts w:hint="eastAsia" w:eastAsia="宋体" w:cs="Times New Roman" w:asciiTheme="minorEastAsia" w:hAnsiTheme="minorEastAsia"/>
          <w:kern w:val="0"/>
          <w:sz w:val="24"/>
          <w:szCs w:val="24"/>
        </w:rPr>
        <w:t>平方米的地块应严格按照规划控制指标进行开发建设，小于</w:t>
      </w:r>
      <w:r>
        <w:rPr>
          <w:rFonts w:eastAsia="宋体" w:cs="Times New Roman" w:asciiTheme="minorEastAsia" w:hAnsiTheme="minorEastAsia"/>
          <w:kern w:val="0"/>
          <w:sz w:val="24"/>
          <w:szCs w:val="24"/>
        </w:rPr>
        <w:t xml:space="preserve">2000 </w:t>
      </w:r>
      <w:r>
        <w:rPr>
          <w:rFonts w:hint="eastAsia" w:eastAsia="宋体" w:cs="Times New Roman" w:asciiTheme="minorEastAsia" w:hAnsiTheme="minorEastAsia"/>
          <w:kern w:val="0"/>
          <w:sz w:val="24"/>
          <w:szCs w:val="24"/>
        </w:rPr>
        <w:t>平方米的地块应根据实际建设条件和《遂宁市城市规划管理技术规定》（修订）和《大英县城市规划管理技术规定》的相关要求进行确定。</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1、居住用地建设控制</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多层居住用地：容积率≤</w:t>
      </w:r>
      <w:r>
        <w:rPr>
          <w:rFonts w:hint="eastAsia" w:eastAsia="宋体" w:cs="Times New Roman" w:asciiTheme="minorEastAsia" w:hAnsiTheme="minorEastAsia"/>
          <w:kern w:val="0"/>
          <w:sz w:val="24"/>
          <w:szCs w:val="24"/>
        </w:rPr>
        <w:t>1.5</w:t>
      </w:r>
      <w:r>
        <w:rPr>
          <w:rFonts w:eastAsia="宋体" w:cs="Times New Roman" w:asciiTheme="minorEastAsia" w:hAnsiTheme="minorEastAsia"/>
          <w:kern w:val="0"/>
          <w:sz w:val="24"/>
          <w:szCs w:val="24"/>
        </w:rPr>
        <w:t>，绿地率≥30%，建筑密度≤3</w:t>
      </w:r>
      <w:r>
        <w:rPr>
          <w:rFonts w:hint="eastAsia" w:eastAsia="宋体" w:cs="Times New Roman" w:asciiTheme="minorEastAsia" w:hAnsiTheme="minorEastAsia"/>
          <w:kern w:val="0"/>
          <w:sz w:val="24"/>
          <w:szCs w:val="24"/>
        </w:rPr>
        <w:t>5</w:t>
      </w:r>
      <w:r>
        <w:rPr>
          <w:rFonts w:eastAsia="宋体" w:cs="Times New Roman" w:asciiTheme="minorEastAsia" w:hAnsiTheme="minorEastAsia"/>
          <w:kern w:val="0"/>
          <w:sz w:val="24"/>
          <w:szCs w:val="24"/>
        </w:rPr>
        <w:t>%，建筑高度≤21米（≤6层）</w:t>
      </w:r>
      <w:r>
        <w:rPr>
          <w:rFonts w:hint="eastAsia" w:eastAsia="宋体" w:cs="Times New Roman" w:asciiTheme="minorEastAsia" w:hAnsiTheme="minorEastAsia"/>
          <w:kern w:val="0"/>
          <w:sz w:val="24"/>
          <w:szCs w:val="24"/>
        </w:rPr>
        <w:t>；</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低层居住用地：容积率≤</w:t>
      </w:r>
      <w:r>
        <w:rPr>
          <w:rFonts w:hint="eastAsia" w:eastAsia="宋体" w:cs="Times New Roman" w:asciiTheme="minorEastAsia" w:hAnsiTheme="minorEastAsia"/>
          <w:kern w:val="0"/>
          <w:sz w:val="24"/>
          <w:szCs w:val="24"/>
        </w:rPr>
        <w:t>1.2</w:t>
      </w:r>
      <w:r>
        <w:rPr>
          <w:rFonts w:eastAsia="宋体" w:cs="Times New Roman" w:asciiTheme="minorEastAsia" w:hAnsiTheme="minorEastAsia"/>
          <w:kern w:val="0"/>
          <w:sz w:val="24"/>
          <w:szCs w:val="24"/>
        </w:rPr>
        <w:t>，绿地率≥30%，建筑密度≤40%，建筑高度≤10米（≤3层）</w:t>
      </w:r>
      <w:r>
        <w:rPr>
          <w:rFonts w:hint="eastAsia" w:eastAsia="宋体" w:cs="Times New Roman" w:asciiTheme="minorEastAsia" w:hAnsiTheme="minorEastAsia"/>
          <w:kern w:val="0"/>
          <w:sz w:val="24"/>
          <w:szCs w:val="24"/>
        </w:rPr>
        <w:t>。</w:t>
      </w:r>
    </w:p>
    <w:p>
      <w:pPr>
        <w:adjustRightInd w:val="0"/>
        <w:snapToGrid w:val="0"/>
        <w:spacing w:line="360" w:lineRule="auto"/>
        <w:ind w:firstLine="480" w:firstLineChars="200"/>
        <w:rPr>
          <w:rFonts w:ascii="宋体" w:hAnsi="宋体" w:eastAsia="宋体" w:cs="Times New Roman"/>
          <w:kern w:val="0"/>
          <w:sz w:val="24"/>
          <w:szCs w:val="24"/>
        </w:rPr>
      </w:pPr>
      <w:r>
        <w:rPr>
          <w:rFonts w:hint="eastAsia" w:ascii="宋体" w:hAnsi="宋体" w:eastAsia="宋体" w:cs="Times New Roman"/>
          <w:kern w:val="0"/>
          <w:sz w:val="24"/>
          <w:szCs w:val="24"/>
        </w:rPr>
        <w:t>2、非居住用地建设控制</w:t>
      </w:r>
    </w:p>
    <w:p>
      <w:pPr>
        <w:adjustRightInd w:val="0"/>
        <w:snapToGrid w:val="0"/>
        <w:spacing w:line="360" w:lineRule="auto"/>
        <w:ind w:firstLine="480" w:firstLineChars="200"/>
        <w:rPr>
          <w:rFonts w:ascii="宋体" w:hAnsi="宋体" w:eastAsia="宋体" w:cs="Times New Roman"/>
          <w:kern w:val="0"/>
          <w:sz w:val="24"/>
          <w:szCs w:val="24"/>
        </w:rPr>
      </w:pPr>
      <w:r>
        <w:rPr>
          <w:rFonts w:hint="eastAsia" w:ascii="宋体" w:hAnsi="宋体" w:eastAsia="宋体" w:cs="Times New Roman"/>
          <w:kern w:val="0"/>
          <w:sz w:val="24"/>
          <w:szCs w:val="24"/>
        </w:rPr>
        <w:t>行政办公、文化设施和体育用地规划控制指标结合方案合理性确定，按每100平方米用地面积配置不大于3平方米、且建筑面积不大于500平方米的服务设施的标准控制；</w:t>
      </w:r>
    </w:p>
    <w:p>
      <w:pPr>
        <w:adjustRightInd w:val="0"/>
        <w:snapToGrid w:val="0"/>
        <w:spacing w:line="360" w:lineRule="auto"/>
        <w:ind w:firstLine="480" w:firstLineChars="200"/>
        <w:rPr>
          <w:rFonts w:ascii="宋体" w:hAnsi="宋体" w:eastAsia="宋体" w:cs="Times New Roman"/>
          <w:kern w:val="0"/>
          <w:sz w:val="24"/>
          <w:szCs w:val="24"/>
        </w:rPr>
      </w:pPr>
      <w:r>
        <w:rPr>
          <w:rFonts w:hint="eastAsia" w:ascii="宋体" w:hAnsi="宋体" w:eastAsia="宋体" w:cs="Times New Roman"/>
          <w:kern w:val="0"/>
          <w:sz w:val="24"/>
          <w:szCs w:val="24"/>
        </w:rPr>
        <w:t>中小学用地的容积率应结合方案合理性确定，中学用地新建项目建筑密度不大于30%，小学用地新建项目建筑密度不大于35%，改扩建工程项目的建筑密度结合方案合理性确定。</w:t>
      </w:r>
    </w:p>
    <w:p>
      <w:pPr>
        <w:adjustRightInd w:val="0"/>
        <w:snapToGrid w:val="0"/>
        <w:spacing w:line="360" w:lineRule="auto"/>
        <w:ind w:firstLine="480" w:firstLineChars="200"/>
        <w:rPr>
          <w:rFonts w:ascii="宋体" w:hAnsi="宋体" w:eastAsia="宋体" w:cs="Times New Roman"/>
          <w:kern w:val="0"/>
          <w:sz w:val="24"/>
          <w:szCs w:val="24"/>
        </w:rPr>
      </w:pPr>
      <w:r>
        <w:rPr>
          <w:rFonts w:hint="eastAsia" w:ascii="宋体" w:hAnsi="宋体" w:eastAsia="宋体" w:cs="Times New Roman"/>
          <w:kern w:val="0"/>
          <w:sz w:val="24"/>
          <w:szCs w:val="24"/>
        </w:rPr>
        <w:t>新建幼儿园应独立占地</w:t>
      </w:r>
      <w:r>
        <w:rPr>
          <w:rFonts w:ascii="宋体" w:hAnsi="宋体" w:eastAsia="宋体" w:cs="Times New Roman"/>
          <w:kern w:val="0"/>
          <w:sz w:val="24"/>
          <w:szCs w:val="24"/>
        </w:rPr>
        <w:t>，绿地率≥30%，建筑密度≤30%，一般不超过3层，层高一般不超过3.9米</w:t>
      </w:r>
      <w:r>
        <w:rPr>
          <w:rFonts w:hint="eastAsia" w:ascii="宋体" w:hAnsi="宋体" w:eastAsia="宋体" w:cs="Times New Roman"/>
          <w:kern w:val="0"/>
          <w:sz w:val="24"/>
          <w:szCs w:val="24"/>
        </w:rPr>
        <w:t>；</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医疗卫生设施用地</w:t>
      </w:r>
      <w:r>
        <w:rPr>
          <w:rFonts w:hint="eastAsia" w:ascii="宋体" w:hAnsi="宋体" w:eastAsia="宋体" w:cs="Times New Roman"/>
          <w:kern w:val="0"/>
          <w:sz w:val="24"/>
          <w:szCs w:val="24"/>
        </w:rPr>
        <w:t>容积率原则上不大于1.5，建筑密度、绿地率等规划控制指标结合方案合理性确定。</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老年人社会福利用地容积率≤1.0，绿地率≥35%，建筑密度≤30%，建筑高度≤10米；</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商业用地容积率≤1.8，绿地率≥20%，建筑密度≤40%，建筑高度≤16米（≤4层）</w:t>
      </w:r>
      <w:r>
        <w:rPr>
          <w:rFonts w:hint="eastAsia" w:ascii="宋体" w:hAnsi="宋体" w:eastAsia="宋体" w:cs="Times New Roman"/>
          <w:kern w:val="0"/>
          <w:sz w:val="24"/>
          <w:szCs w:val="24"/>
        </w:rPr>
        <w:t>。</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（五）用地兼容</w:t>
      </w:r>
    </w:p>
    <w:p>
      <w:pPr>
        <w:adjustRightInd w:val="0"/>
        <w:snapToGrid w:val="0"/>
        <w:spacing w:line="360" w:lineRule="auto"/>
        <w:ind w:firstLine="480" w:firstLineChars="200"/>
        <w:rPr>
          <w:rFonts w:ascii="宋体" w:hAnsi="宋体" w:eastAsia="宋体" w:cs="Times New Roman"/>
          <w:kern w:val="0"/>
          <w:sz w:val="24"/>
          <w:szCs w:val="24"/>
        </w:rPr>
      </w:pPr>
      <w:r>
        <w:rPr>
          <w:rFonts w:hint="eastAsia" w:ascii="宋体" w:hAnsi="宋体" w:eastAsia="宋体" w:cs="Times New Roman"/>
          <w:kern w:val="0"/>
          <w:sz w:val="24"/>
          <w:szCs w:val="24"/>
        </w:rPr>
        <w:t>在开发过程中，为适应城镇发展的多种可能性，原则上允许有条件地变更某些地块原定的用地性质（第一使用性质），但必须符合《遂宁市城市规划管理技术规定》（修订）和《大英县城市规划管理技术规定》的相关规定。</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（五）其它建设控制</w:t>
      </w:r>
    </w:p>
    <w:p>
      <w:pPr>
        <w:adjustRightInd w:val="0"/>
        <w:snapToGrid w:val="0"/>
        <w:spacing w:line="360" w:lineRule="auto"/>
        <w:ind w:firstLine="480" w:firstLineChars="200"/>
        <w:rPr>
          <w:rFonts w:cs="Times New Roman" w:asciiTheme="minorEastAsia" w:hAnsiTheme="minorEastAsia"/>
          <w:kern w:val="0"/>
          <w:sz w:val="24"/>
          <w:szCs w:val="24"/>
        </w:rPr>
      </w:pPr>
      <w:r>
        <w:rPr>
          <w:rFonts w:hint="eastAsia" w:eastAsia="宋体" w:cs="Times New Roman" w:asciiTheme="minorEastAsia" w:hAnsiTheme="minorEastAsia"/>
          <w:kern w:val="0"/>
          <w:sz w:val="24"/>
          <w:szCs w:val="24"/>
        </w:rPr>
        <w:t>1、</w:t>
      </w:r>
      <w:r>
        <w:rPr>
          <w:rFonts w:ascii="宋体" w:hAnsi="宋体" w:eastAsia="宋体" w:cs="Times New Roman"/>
          <w:kern w:val="0"/>
          <w:sz w:val="24"/>
          <w:szCs w:val="24"/>
        </w:rPr>
        <w:t>配建车位控制</w:t>
      </w:r>
    </w:p>
    <w:p>
      <w:pPr>
        <w:adjustRightInd w:val="0"/>
        <w:snapToGrid w:val="0"/>
        <w:spacing w:line="360" w:lineRule="auto"/>
        <w:ind w:firstLine="480" w:firstLineChars="200"/>
        <w:rPr>
          <w:rFonts w:cs="Times New Roman" w:asciiTheme="minorEastAsia" w:hAnsiTheme="minorEastAsia"/>
          <w:kern w:val="0"/>
          <w:sz w:val="24"/>
          <w:szCs w:val="24"/>
        </w:rPr>
      </w:pPr>
      <w:r>
        <w:rPr>
          <w:rFonts w:ascii="宋体" w:hAnsi="宋体" w:eastAsia="宋体" w:cs="Times New Roman"/>
          <w:kern w:val="0"/>
          <w:sz w:val="24"/>
          <w:szCs w:val="24"/>
        </w:rPr>
        <w:t>地块内配建停车位标准按照</w:t>
      </w:r>
      <w:r>
        <w:rPr>
          <w:rFonts w:eastAsia="宋体" w:cs="Times New Roman" w:asciiTheme="minorEastAsia" w:hAnsiTheme="minorEastAsia"/>
          <w:kern w:val="0"/>
          <w:sz w:val="24"/>
          <w:szCs w:val="24"/>
        </w:rPr>
        <w:t>《大英县城市规划管理技术规定》表2.3.5停车场（库）配置标准执行。</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2、建筑退距控制</w:t>
      </w:r>
    </w:p>
    <w:p>
      <w:pPr>
        <w:adjustRightInd w:val="0"/>
        <w:snapToGrid w:val="0"/>
        <w:spacing w:line="360" w:lineRule="auto"/>
        <w:ind w:firstLine="480" w:firstLineChars="200"/>
        <w:rPr>
          <w:rFonts w:ascii="宋体" w:hAnsi="宋体" w:eastAsia="宋体" w:cs="Times New Roman"/>
          <w:kern w:val="0"/>
          <w:sz w:val="24"/>
          <w:szCs w:val="24"/>
        </w:rPr>
      </w:pPr>
      <w:r>
        <w:rPr>
          <w:rFonts w:hint="eastAsia" w:ascii="宋体" w:hAnsi="宋体" w:eastAsia="宋体" w:cs="Times New Roman"/>
          <w:kern w:val="0"/>
          <w:sz w:val="24"/>
          <w:szCs w:val="24"/>
        </w:rPr>
        <w:t>建筑退距按《</w:t>
      </w:r>
      <w:r>
        <w:rPr>
          <w:rFonts w:eastAsia="宋体" w:cs="Times New Roman" w:asciiTheme="minorEastAsia" w:hAnsiTheme="minorEastAsia"/>
          <w:kern w:val="0"/>
          <w:sz w:val="24"/>
          <w:szCs w:val="24"/>
        </w:rPr>
        <w:t>大英县城市规划管理技术规定</w:t>
      </w:r>
      <w:r>
        <w:rPr>
          <w:rFonts w:ascii="宋体" w:hAnsi="宋体" w:eastAsia="宋体" w:cs="Times New Roman"/>
          <w:kern w:val="0"/>
          <w:sz w:val="24"/>
          <w:szCs w:val="24"/>
        </w:rPr>
        <w:t>》中的有关规定执行。</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3、禁止开口路段</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道路开设机动车出入口时，出入口开口位置至道路交叉口距离必须保证：距主干道交叉口路沿石切点≥30米；距次干道交叉口路沿石切点≥20米；距支路交叉口路沿石切点≥10米。同时须符合城市交通管理部门有关规定和</w:t>
      </w:r>
      <w:r>
        <w:rPr>
          <w:rFonts w:hint="eastAsia" w:ascii="宋体" w:hAnsi="宋体" w:eastAsia="宋体" w:cs="Times New Roman"/>
          <w:kern w:val="0"/>
          <w:sz w:val="24"/>
          <w:szCs w:val="24"/>
        </w:rPr>
        <w:t>大英县</w:t>
      </w:r>
      <w:r>
        <w:rPr>
          <w:rFonts w:ascii="宋体" w:hAnsi="宋体" w:eastAsia="宋体" w:cs="Times New Roman"/>
          <w:kern w:val="0"/>
          <w:sz w:val="24"/>
          <w:szCs w:val="24"/>
        </w:rPr>
        <w:t>相关技术管理规定。</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详见表</w:t>
      </w:r>
      <w:r>
        <w:rPr>
          <w:rFonts w:hint="eastAsia" w:ascii="宋体" w:hAnsi="宋体" w:eastAsia="宋体" w:cs="Times New Roman"/>
          <w:kern w:val="0"/>
          <w:sz w:val="24"/>
          <w:szCs w:val="24"/>
        </w:rPr>
        <w:t>10河边镇</w:t>
      </w:r>
      <w:r>
        <w:rPr>
          <w:rFonts w:ascii="宋体" w:hAnsi="宋体" w:eastAsia="宋体" w:cs="Times New Roman"/>
          <w:kern w:val="0"/>
          <w:sz w:val="24"/>
          <w:szCs w:val="24"/>
        </w:rPr>
        <w:t>镇区</w:t>
      </w:r>
      <w:r>
        <w:rPr>
          <w:rFonts w:hint="eastAsia" w:ascii="宋体" w:hAnsi="宋体" w:eastAsia="宋体" w:cs="Times New Roman"/>
          <w:kern w:val="0"/>
          <w:sz w:val="24"/>
          <w:szCs w:val="24"/>
        </w:rPr>
        <w:t>地块</w:t>
      </w:r>
      <w:r>
        <w:rPr>
          <w:rFonts w:ascii="宋体" w:hAnsi="宋体" w:eastAsia="宋体" w:cs="Times New Roman"/>
          <w:kern w:val="0"/>
          <w:sz w:val="24"/>
          <w:szCs w:val="24"/>
        </w:rPr>
        <w:t>指标一览表</w:t>
      </w:r>
    </w:p>
    <w:p>
      <w:pPr>
        <w:adjustRightInd w:val="0"/>
        <w:snapToGrid w:val="0"/>
        <w:spacing w:line="360" w:lineRule="auto"/>
        <w:ind w:firstLine="482" w:firstLineChars="200"/>
        <w:rPr>
          <w:rFonts w:ascii="黑体" w:hAnsi="黑体" w:eastAsia="黑体" w:cs="Times New Roman"/>
          <w:b/>
          <w:kern w:val="0"/>
          <w:sz w:val="24"/>
          <w:szCs w:val="24"/>
        </w:rPr>
      </w:pPr>
      <w:r>
        <w:rPr>
          <w:rFonts w:hint="eastAsia" w:ascii="黑体" w:hAnsi="黑体" w:eastAsia="黑体" w:cs="Times New Roman"/>
          <w:b/>
          <w:kern w:val="0"/>
          <w:sz w:val="24"/>
          <w:szCs w:val="24"/>
        </w:rPr>
        <w:t>九、四线控制</w:t>
      </w:r>
    </w:p>
    <w:p>
      <w:pPr>
        <w:adjustRightInd w:val="0"/>
        <w:snapToGrid w:val="0"/>
        <w:spacing w:line="360" w:lineRule="auto"/>
        <w:ind w:firstLine="482" w:firstLineChars="200"/>
        <w:rPr>
          <w:rFonts w:ascii="宋体" w:hAnsi="宋体" w:eastAsia="宋体" w:cs="Times New Roman"/>
          <w:b/>
          <w:kern w:val="0"/>
          <w:sz w:val="24"/>
          <w:szCs w:val="24"/>
          <w:u w:val="single"/>
        </w:rPr>
      </w:pPr>
      <w:r>
        <w:rPr>
          <w:rFonts w:ascii="宋体" w:hAnsi="宋体" w:eastAsia="宋体" w:cs="Times New Roman"/>
          <w:b/>
          <w:kern w:val="0"/>
          <w:sz w:val="24"/>
          <w:szCs w:val="24"/>
          <w:u w:val="single"/>
        </w:rPr>
        <w:t>“四线”包括“绿线”、“黄线”、“蓝线”、“紫线”。镇区规划范围内涉及“绿线”、“蓝线”、和“黄线”。</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（一）</w:t>
      </w:r>
      <w:r>
        <w:rPr>
          <w:rFonts w:eastAsia="宋体" w:cs="Times New Roman" w:asciiTheme="minorEastAsia" w:hAnsiTheme="minorEastAsia"/>
          <w:b/>
          <w:kern w:val="0"/>
          <w:sz w:val="24"/>
          <w:szCs w:val="24"/>
        </w:rPr>
        <w:t>绿线</w:t>
      </w:r>
    </w:p>
    <w:p>
      <w:pPr>
        <w:adjustRightInd w:val="0"/>
        <w:snapToGrid w:val="0"/>
        <w:spacing w:line="360" w:lineRule="auto"/>
        <w:ind w:firstLine="482" w:firstLineChars="200"/>
        <w:rPr>
          <w:rFonts w:ascii="宋体" w:hAnsi="宋体" w:eastAsia="宋体" w:cs="Times New Roman"/>
          <w:b/>
          <w:kern w:val="0"/>
          <w:sz w:val="24"/>
          <w:szCs w:val="24"/>
          <w:u w:val="single"/>
        </w:rPr>
      </w:pPr>
      <w:r>
        <w:rPr>
          <w:rFonts w:ascii="宋体" w:hAnsi="宋体" w:eastAsia="宋体" w:cs="Times New Roman"/>
          <w:b/>
          <w:kern w:val="0"/>
          <w:sz w:val="24"/>
          <w:szCs w:val="24"/>
          <w:u w:val="single"/>
        </w:rPr>
        <w:t>绿线包括城市公园绿地、防护绿地、广场用地等城市各类绿地范围的控制线。划定镇区坡地公园、广场等公园绿地为城市绿线范围，面积</w:t>
      </w:r>
      <w:r>
        <w:rPr>
          <w:rFonts w:hint="eastAsia" w:ascii="宋体" w:hAnsi="宋体" w:eastAsia="宋体" w:cs="Times New Roman"/>
          <w:b/>
          <w:kern w:val="0"/>
          <w:sz w:val="24"/>
          <w:szCs w:val="24"/>
          <w:u w:val="single"/>
        </w:rPr>
        <w:t>4.51</w:t>
      </w:r>
      <w:r>
        <w:rPr>
          <w:rFonts w:ascii="宋体" w:hAnsi="宋体" w:eastAsia="宋体" w:cs="Times New Roman"/>
          <w:b/>
          <w:kern w:val="0"/>
          <w:sz w:val="24"/>
          <w:szCs w:val="24"/>
          <w:u w:val="single"/>
        </w:rPr>
        <w:t>公顷。</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绿线范围内的公园绿地、防护绿地、广场用地、生产绿地、附属绿地和其他绿地，必须按照《城市用地分类与规划建设用地标准》、《公园设计规范》等标准，进行绿地建设。</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因特殊情况确需调整绿线的，应由县自然资源和规划行政主管部门会同县园林行政主管部门提出专题报告，经县人民政府审查同意后，由具备相应资质的规划编制单位</w:t>
      </w:r>
      <w:r>
        <w:rPr>
          <w:rFonts w:hint="eastAsia" w:ascii="宋体" w:hAnsi="宋体" w:eastAsia="宋体" w:cs="Times New Roman"/>
          <w:kern w:val="0"/>
          <w:sz w:val="24"/>
          <w:szCs w:val="24"/>
          <w:lang w:val="en-US" w:eastAsia="zh-CN"/>
        </w:rPr>
        <w:t>作</w:t>
      </w:r>
      <w:r>
        <w:rPr>
          <w:rFonts w:hint="eastAsia" w:ascii="宋体" w:hAnsi="宋体" w:eastAsia="宋体" w:cs="Times New Roman"/>
          <w:kern w:val="0"/>
          <w:sz w:val="24"/>
          <w:szCs w:val="24"/>
        </w:rPr>
        <w:t>出</w:t>
      </w:r>
      <w:r>
        <w:rPr>
          <w:rFonts w:ascii="宋体" w:hAnsi="宋体" w:eastAsia="宋体" w:cs="Times New Roman"/>
          <w:kern w:val="0"/>
          <w:sz w:val="24"/>
          <w:szCs w:val="24"/>
        </w:rPr>
        <w:t>调整方案，报原批准机关批准后实施。</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（二）</w:t>
      </w:r>
      <w:r>
        <w:rPr>
          <w:rFonts w:eastAsia="宋体" w:cs="Times New Roman" w:asciiTheme="minorEastAsia" w:hAnsiTheme="minorEastAsia"/>
          <w:b/>
          <w:kern w:val="0"/>
          <w:sz w:val="24"/>
          <w:szCs w:val="24"/>
        </w:rPr>
        <w:t>黄线</w:t>
      </w:r>
    </w:p>
    <w:p>
      <w:pPr>
        <w:adjustRightInd w:val="0"/>
        <w:snapToGrid w:val="0"/>
        <w:spacing w:line="360" w:lineRule="auto"/>
        <w:ind w:firstLine="482" w:firstLineChars="200"/>
        <w:rPr>
          <w:rFonts w:ascii="宋体" w:hAnsi="宋体" w:eastAsia="宋体" w:cs="Times New Roman"/>
          <w:b/>
          <w:kern w:val="0"/>
          <w:sz w:val="24"/>
          <w:szCs w:val="24"/>
          <w:u w:val="single"/>
        </w:rPr>
      </w:pPr>
      <w:r>
        <w:rPr>
          <w:rFonts w:ascii="宋体" w:hAnsi="宋体" w:eastAsia="宋体" w:cs="Times New Roman"/>
          <w:b/>
          <w:kern w:val="0"/>
          <w:sz w:val="24"/>
          <w:szCs w:val="24"/>
          <w:u w:val="single"/>
        </w:rPr>
        <w:t>黄线控制范围主要是给水厂、污水处理厂、消防设施用地以及通信用地。</w:t>
      </w:r>
    </w:p>
    <w:p>
      <w:pPr>
        <w:adjustRightInd w:val="0"/>
        <w:snapToGrid w:val="0"/>
        <w:spacing w:line="360" w:lineRule="auto"/>
        <w:ind w:firstLine="482" w:firstLineChars="200"/>
        <w:rPr>
          <w:rFonts w:ascii="宋体" w:hAnsi="宋体" w:eastAsia="宋体" w:cs="Times New Roman"/>
          <w:b/>
          <w:kern w:val="0"/>
          <w:sz w:val="24"/>
          <w:szCs w:val="24"/>
          <w:u w:val="single"/>
        </w:rPr>
      </w:pPr>
      <w:r>
        <w:rPr>
          <w:rFonts w:ascii="宋体" w:hAnsi="宋体" w:eastAsia="宋体" w:cs="Times New Roman"/>
          <w:b/>
          <w:kern w:val="0"/>
          <w:sz w:val="24"/>
          <w:szCs w:val="24"/>
          <w:u w:val="single"/>
        </w:rPr>
        <w:t>划定镇区客运站、消防站、给水厂、污水处理厂、垃圾收集站为城市黄线范围，面积</w:t>
      </w:r>
      <w:r>
        <w:rPr>
          <w:rFonts w:hint="eastAsia" w:ascii="宋体" w:hAnsi="宋体" w:eastAsia="宋体" w:cs="Times New Roman"/>
          <w:b/>
          <w:kern w:val="0"/>
          <w:sz w:val="24"/>
          <w:szCs w:val="24"/>
          <w:u w:val="single"/>
        </w:rPr>
        <w:t>1.42</w:t>
      </w:r>
      <w:r>
        <w:rPr>
          <w:rFonts w:ascii="宋体" w:hAnsi="宋体" w:eastAsia="宋体" w:cs="Times New Roman"/>
          <w:b/>
          <w:kern w:val="0"/>
          <w:sz w:val="24"/>
          <w:szCs w:val="24"/>
          <w:u w:val="single"/>
        </w:rPr>
        <w:t>公顷。</w:t>
      </w:r>
    </w:p>
    <w:p>
      <w:pPr>
        <w:adjustRightInd w:val="0"/>
        <w:snapToGrid w:val="0"/>
        <w:spacing w:line="360" w:lineRule="auto"/>
        <w:ind w:firstLine="482" w:firstLineChars="200"/>
        <w:rPr>
          <w:rFonts w:ascii="宋体" w:hAnsi="宋体" w:eastAsia="宋体" w:cs="Times New Roman"/>
          <w:b/>
          <w:kern w:val="0"/>
          <w:sz w:val="24"/>
          <w:szCs w:val="24"/>
          <w:u w:val="single"/>
        </w:rPr>
      </w:pPr>
      <w:r>
        <w:rPr>
          <w:rFonts w:ascii="宋体" w:hAnsi="宋体" w:eastAsia="宋体" w:cs="Times New Roman"/>
          <w:b/>
          <w:kern w:val="0"/>
          <w:sz w:val="24"/>
          <w:szCs w:val="24"/>
          <w:u w:val="single"/>
        </w:rPr>
        <w:t>在城市黄线范围内禁止进行下列活动：违反国土空间规划要求，进行建筑物、构筑物及其他设施的建设；违反国家有关技术标准和规范进行建设；未经批准，改装、迁移或拆毁原有城市基础设施；其他损坏城市基础设施或影响城市基础设施安全和正常运转的行为。</w:t>
      </w:r>
    </w:p>
    <w:p>
      <w:pPr>
        <w:adjustRightInd w:val="0"/>
        <w:snapToGrid w:val="0"/>
        <w:spacing w:line="360" w:lineRule="auto"/>
        <w:ind w:firstLine="482" w:firstLineChars="200"/>
        <w:rPr>
          <w:rFonts w:ascii="宋体" w:hAnsi="宋体" w:eastAsia="宋体" w:cs="Times New Roman"/>
          <w:b/>
          <w:kern w:val="0"/>
          <w:sz w:val="24"/>
          <w:szCs w:val="24"/>
          <w:u w:val="single"/>
        </w:rPr>
      </w:pPr>
      <w:r>
        <w:rPr>
          <w:rFonts w:hint="eastAsia" w:ascii="宋体" w:hAnsi="宋体" w:eastAsia="宋体" w:cs="Times New Roman"/>
          <w:b/>
          <w:kern w:val="0"/>
          <w:sz w:val="24"/>
          <w:szCs w:val="24"/>
          <w:u w:val="single"/>
        </w:rPr>
        <w:t>在城市</w:t>
      </w:r>
      <w:r>
        <w:rPr>
          <w:rFonts w:ascii="宋体" w:hAnsi="宋体" w:eastAsia="宋体" w:cs="Times New Roman"/>
          <w:b/>
          <w:kern w:val="0"/>
          <w:sz w:val="24"/>
          <w:szCs w:val="24"/>
          <w:u w:val="single"/>
        </w:rPr>
        <w:t>黄线内新建、改建、扩建各类建筑物、构筑物、道路、管线和其他工程设施，应当符合经批准的国土空间规划，并依法向建设主管部门（自然资源和规划行政主管部门）申请办理规划许可，并依据有关法律、法规办理相关手续。</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（三）</w:t>
      </w:r>
      <w:r>
        <w:rPr>
          <w:rFonts w:eastAsia="宋体" w:cs="Times New Roman" w:asciiTheme="minorEastAsia" w:hAnsiTheme="minorEastAsia"/>
          <w:b/>
          <w:kern w:val="0"/>
          <w:sz w:val="24"/>
          <w:szCs w:val="24"/>
        </w:rPr>
        <w:t>蓝线</w:t>
      </w:r>
    </w:p>
    <w:p>
      <w:pPr>
        <w:adjustRightInd w:val="0"/>
        <w:snapToGrid w:val="0"/>
        <w:spacing w:line="360" w:lineRule="auto"/>
        <w:ind w:firstLine="482" w:firstLineChars="200"/>
        <w:rPr>
          <w:rFonts w:ascii="宋体" w:hAnsi="宋体" w:eastAsia="宋体" w:cs="Times New Roman"/>
          <w:b/>
          <w:kern w:val="0"/>
          <w:sz w:val="24"/>
          <w:szCs w:val="24"/>
          <w:u w:val="single"/>
        </w:rPr>
      </w:pPr>
      <w:r>
        <w:rPr>
          <w:rFonts w:ascii="宋体" w:hAnsi="宋体" w:eastAsia="宋体" w:cs="Times New Roman"/>
          <w:b/>
          <w:kern w:val="0"/>
          <w:sz w:val="24"/>
          <w:szCs w:val="24"/>
          <w:u w:val="single"/>
        </w:rPr>
        <w:t>蓝线控制范围主要是</w:t>
      </w:r>
      <w:r>
        <w:rPr>
          <w:rFonts w:hint="eastAsia" w:ascii="宋体" w:hAnsi="宋体" w:eastAsia="宋体" w:cs="Times New Roman"/>
          <w:b/>
          <w:kern w:val="0"/>
          <w:sz w:val="24"/>
          <w:szCs w:val="24"/>
          <w:u w:val="single"/>
        </w:rPr>
        <w:t>濛溪河自然水系。</w:t>
      </w:r>
    </w:p>
    <w:p>
      <w:pPr>
        <w:adjustRightInd w:val="0"/>
        <w:snapToGrid w:val="0"/>
        <w:spacing w:line="360" w:lineRule="auto"/>
        <w:ind w:firstLine="482" w:firstLineChars="200"/>
        <w:rPr>
          <w:rFonts w:ascii="宋体" w:hAnsi="宋体" w:eastAsia="宋体" w:cs="Times New Roman"/>
          <w:b/>
          <w:kern w:val="0"/>
          <w:sz w:val="24"/>
          <w:szCs w:val="24"/>
          <w:u w:val="single"/>
        </w:rPr>
      </w:pPr>
      <w:r>
        <w:rPr>
          <w:rFonts w:ascii="宋体" w:hAnsi="宋体" w:eastAsia="宋体" w:cs="Times New Roman"/>
          <w:b/>
          <w:kern w:val="0"/>
          <w:sz w:val="24"/>
          <w:szCs w:val="24"/>
          <w:u w:val="single"/>
        </w:rPr>
        <w:t>蓝线范围内，禁止违反城镇蓝线保护和控制要求的建设活动；禁止擅自填埋、占用城镇蓝线内水域；禁止影响水系安全的爆破、采石、取土等活动；禁止擅自建设各类排污设施，向水域内排放污水。</w:t>
      </w:r>
    </w:p>
    <w:p>
      <w:pPr>
        <w:adjustRightInd w:val="0"/>
        <w:snapToGrid w:val="0"/>
        <w:spacing w:line="360" w:lineRule="auto"/>
        <w:ind w:firstLine="482" w:firstLineChars="200"/>
        <w:rPr>
          <w:rFonts w:ascii="黑体" w:hAnsi="黑体" w:eastAsia="黑体" w:cs="Times New Roman"/>
          <w:b/>
          <w:kern w:val="0"/>
          <w:sz w:val="24"/>
          <w:szCs w:val="24"/>
        </w:rPr>
      </w:pPr>
      <w:r>
        <w:rPr>
          <w:rFonts w:hint="eastAsia" w:ascii="黑体" w:hAnsi="黑体" w:eastAsia="黑体" w:cs="Times New Roman"/>
          <w:b/>
          <w:kern w:val="0"/>
          <w:sz w:val="24"/>
          <w:szCs w:val="24"/>
        </w:rPr>
        <w:t>十、镇区公服设施规划</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 xml:space="preserve">构建河边镇区“一个十分钟生活圈，三个五分钟生活圈 </w:t>
      </w:r>
      <w:r>
        <w:rPr>
          <w:rFonts w:hint="eastAsia" w:ascii="宋体" w:hAnsi="宋体" w:eastAsia="宋体" w:cs="Times New Roman"/>
          <w:kern w:val="0"/>
          <w:sz w:val="24"/>
          <w:szCs w:val="24"/>
        </w:rPr>
        <w:t>”。</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针对居民需求和未来发展需要，</w:t>
      </w:r>
      <w:r>
        <w:rPr>
          <w:rFonts w:ascii="宋体" w:hAnsi="宋体" w:eastAsia="宋体" w:cs="Times New Roman"/>
          <w:b/>
          <w:kern w:val="0"/>
          <w:sz w:val="24"/>
          <w:szCs w:val="24"/>
          <w:u w:val="single"/>
        </w:rPr>
        <w:t>增补1处体育运动场地、</w:t>
      </w:r>
      <w:r>
        <w:rPr>
          <w:rFonts w:hint="eastAsia" w:ascii="宋体" w:hAnsi="宋体" w:eastAsia="宋体" w:cs="Times New Roman"/>
          <w:b/>
          <w:kern w:val="0"/>
          <w:sz w:val="24"/>
          <w:szCs w:val="24"/>
          <w:u w:val="single"/>
        </w:rPr>
        <w:t>2</w:t>
      </w:r>
      <w:r>
        <w:rPr>
          <w:rFonts w:ascii="宋体" w:hAnsi="宋体" w:eastAsia="宋体" w:cs="Times New Roman"/>
          <w:b/>
          <w:kern w:val="0"/>
          <w:sz w:val="24"/>
          <w:szCs w:val="24"/>
          <w:u w:val="single"/>
        </w:rPr>
        <w:t>处社会停车场、2处</w:t>
      </w:r>
      <w:r>
        <w:rPr>
          <w:rFonts w:hint="eastAsia" w:ascii="宋体" w:hAnsi="宋体" w:eastAsia="宋体" w:cs="Times New Roman"/>
          <w:b/>
          <w:kern w:val="0"/>
          <w:sz w:val="24"/>
          <w:szCs w:val="24"/>
          <w:u w:val="single"/>
        </w:rPr>
        <w:t>社区</w:t>
      </w:r>
      <w:r>
        <w:rPr>
          <w:rFonts w:ascii="宋体" w:hAnsi="宋体" w:eastAsia="宋体" w:cs="Times New Roman"/>
          <w:b/>
          <w:kern w:val="0"/>
          <w:sz w:val="24"/>
          <w:szCs w:val="24"/>
          <w:u w:val="single"/>
        </w:rPr>
        <w:t>综合服务中心，</w:t>
      </w:r>
      <w:r>
        <w:rPr>
          <w:rFonts w:hint="eastAsia" w:ascii="宋体" w:hAnsi="宋体" w:eastAsia="宋体" w:cs="Times New Roman"/>
          <w:kern w:val="0"/>
          <w:sz w:val="24"/>
          <w:szCs w:val="24"/>
        </w:rPr>
        <w:t>完善配套，增加居民生活的便利度和幸福感。</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针对镇区未来产业服务发展的需求，规划利用西侧新增用地</w:t>
      </w:r>
      <w:r>
        <w:rPr>
          <w:rFonts w:hint="eastAsia" w:ascii="宋体" w:hAnsi="宋体" w:eastAsia="宋体" w:cs="Times New Roman"/>
          <w:kern w:val="0"/>
          <w:sz w:val="24"/>
          <w:szCs w:val="24"/>
        </w:rPr>
        <w:t>，</w:t>
      </w:r>
      <w:r>
        <w:rPr>
          <w:rFonts w:ascii="宋体" w:hAnsi="宋体" w:eastAsia="宋体" w:cs="Times New Roman"/>
          <w:kern w:val="0"/>
          <w:sz w:val="24"/>
          <w:szCs w:val="24"/>
        </w:rPr>
        <w:t>规划增设电商服务、大数据平台等，进行农产品市场行情和动态快递、商业机会撮合、产品信息发布等内容，提升医疗、教育、职业等服务设施质量。</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（一）</w:t>
      </w:r>
      <w:r>
        <w:rPr>
          <w:rFonts w:eastAsia="宋体" w:cs="Times New Roman" w:asciiTheme="minorEastAsia" w:hAnsiTheme="minorEastAsia"/>
          <w:b/>
          <w:kern w:val="0"/>
          <w:sz w:val="24"/>
          <w:szCs w:val="24"/>
        </w:rPr>
        <w:t>机关团体</w:t>
      </w:r>
    </w:p>
    <w:p>
      <w:pPr>
        <w:adjustRightInd w:val="0"/>
        <w:snapToGrid w:val="0"/>
        <w:spacing w:line="360" w:lineRule="auto"/>
        <w:ind w:firstLine="482" w:firstLineChars="200"/>
        <w:rPr>
          <w:rFonts w:ascii="宋体" w:hAnsi="宋体" w:eastAsia="宋体" w:cs="Times New Roman"/>
          <w:b/>
          <w:kern w:val="0"/>
          <w:sz w:val="24"/>
          <w:szCs w:val="24"/>
          <w:u w:val="single"/>
        </w:rPr>
      </w:pPr>
      <w:r>
        <w:rPr>
          <w:rFonts w:ascii="宋体" w:hAnsi="宋体" w:eastAsia="宋体" w:cs="Times New Roman"/>
          <w:b/>
          <w:kern w:val="0"/>
          <w:sz w:val="24"/>
          <w:szCs w:val="24"/>
          <w:u w:val="single"/>
        </w:rPr>
        <w:t>扩建现状镇政府，面积</w:t>
      </w:r>
      <w:r>
        <w:rPr>
          <w:rFonts w:hint="eastAsia" w:ascii="宋体" w:hAnsi="宋体" w:eastAsia="宋体" w:cs="Times New Roman"/>
          <w:b/>
          <w:kern w:val="0"/>
          <w:sz w:val="24"/>
          <w:szCs w:val="24"/>
          <w:u w:val="single"/>
        </w:rPr>
        <w:t>0.41</w:t>
      </w:r>
      <w:r>
        <w:rPr>
          <w:rFonts w:ascii="宋体" w:hAnsi="宋体" w:eastAsia="宋体" w:cs="Times New Roman"/>
          <w:b/>
          <w:kern w:val="0"/>
          <w:sz w:val="24"/>
          <w:szCs w:val="24"/>
          <w:u w:val="single"/>
        </w:rPr>
        <w:t>公顷</w:t>
      </w:r>
      <w:r>
        <w:rPr>
          <w:rFonts w:hint="eastAsia" w:ascii="宋体" w:hAnsi="宋体" w:eastAsia="宋体" w:cs="Times New Roman"/>
          <w:b/>
          <w:kern w:val="0"/>
          <w:sz w:val="24"/>
          <w:szCs w:val="24"/>
          <w:u w:val="single"/>
        </w:rPr>
        <w:t>。</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（二）社</w:t>
      </w:r>
      <w:r>
        <w:rPr>
          <w:rFonts w:eastAsia="宋体" w:cs="Times New Roman" w:asciiTheme="minorEastAsia" w:hAnsiTheme="minorEastAsia"/>
          <w:b/>
          <w:kern w:val="0"/>
          <w:sz w:val="24"/>
          <w:szCs w:val="24"/>
        </w:rPr>
        <w:t>区综合服务用地</w:t>
      </w:r>
    </w:p>
    <w:p>
      <w:pPr>
        <w:adjustRightInd w:val="0"/>
        <w:snapToGrid w:val="0"/>
        <w:spacing w:line="360" w:lineRule="auto"/>
        <w:ind w:firstLine="482" w:firstLineChars="200"/>
        <w:rPr>
          <w:rFonts w:ascii="宋体" w:hAnsi="宋体" w:eastAsia="宋体" w:cs="Times New Roman"/>
          <w:b/>
          <w:kern w:val="0"/>
          <w:sz w:val="24"/>
          <w:szCs w:val="24"/>
          <w:u w:val="single"/>
        </w:rPr>
      </w:pPr>
      <w:r>
        <w:rPr>
          <w:rFonts w:hint="eastAsia" w:ascii="宋体" w:hAnsi="宋体" w:eastAsia="宋体" w:cs="Times New Roman"/>
          <w:b/>
          <w:kern w:val="0"/>
          <w:sz w:val="24"/>
          <w:szCs w:val="24"/>
          <w:u w:val="single"/>
        </w:rPr>
        <w:t>增加</w:t>
      </w:r>
      <w:r>
        <w:rPr>
          <w:rFonts w:ascii="宋体" w:hAnsi="宋体" w:eastAsia="宋体" w:cs="Times New Roman"/>
          <w:b/>
          <w:kern w:val="0"/>
          <w:sz w:val="24"/>
          <w:szCs w:val="24"/>
          <w:u w:val="single"/>
        </w:rPr>
        <w:t>2处</w:t>
      </w:r>
      <w:r>
        <w:rPr>
          <w:rFonts w:hint="eastAsia" w:ascii="宋体" w:hAnsi="宋体" w:eastAsia="宋体" w:cs="Times New Roman"/>
          <w:b/>
          <w:kern w:val="0"/>
          <w:sz w:val="24"/>
          <w:szCs w:val="24"/>
          <w:u w:val="single"/>
        </w:rPr>
        <w:t>社区</w:t>
      </w:r>
      <w:r>
        <w:rPr>
          <w:rFonts w:ascii="宋体" w:hAnsi="宋体" w:eastAsia="宋体" w:cs="Times New Roman"/>
          <w:b/>
          <w:kern w:val="0"/>
          <w:sz w:val="24"/>
          <w:szCs w:val="24"/>
          <w:u w:val="single"/>
        </w:rPr>
        <w:t>服务中心，面积</w:t>
      </w:r>
      <w:r>
        <w:rPr>
          <w:rFonts w:hint="eastAsia" w:ascii="宋体" w:hAnsi="宋体" w:eastAsia="宋体" w:cs="Times New Roman"/>
          <w:b/>
          <w:kern w:val="0"/>
          <w:sz w:val="24"/>
          <w:szCs w:val="24"/>
          <w:u w:val="single"/>
        </w:rPr>
        <w:t>0.92</w:t>
      </w:r>
      <w:r>
        <w:rPr>
          <w:rFonts w:ascii="宋体" w:hAnsi="宋体" w:eastAsia="宋体" w:cs="Times New Roman"/>
          <w:b/>
          <w:kern w:val="0"/>
          <w:sz w:val="24"/>
          <w:szCs w:val="24"/>
          <w:u w:val="single"/>
        </w:rPr>
        <w:t>公顷</w:t>
      </w:r>
      <w:r>
        <w:rPr>
          <w:rFonts w:hint="eastAsia" w:ascii="宋体" w:hAnsi="宋体" w:eastAsia="宋体" w:cs="Times New Roman"/>
          <w:b/>
          <w:kern w:val="0"/>
          <w:sz w:val="24"/>
          <w:szCs w:val="24"/>
          <w:u w:val="single"/>
        </w:rPr>
        <w:t>。</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（三）文化设施用地</w:t>
      </w:r>
    </w:p>
    <w:p>
      <w:pPr>
        <w:adjustRightInd w:val="0"/>
        <w:snapToGrid w:val="0"/>
        <w:spacing w:line="360" w:lineRule="auto"/>
        <w:ind w:firstLine="482" w:firstLineChars="200"/>
        <w:rPr>
          <w:rFonts w:ascii="宋体" w:hAnsi="宋体" w:eastAsia="宋体" w:cs="Times New Roman"/>
          <w:b/>
          <w:kern w:val="0"/>
          <w:sz w:val="24"/>
          <w:szCs w:val="24"/>
          <w:u w:val="single"/>
        </w:rPr>
      </w:pPr>
      <w:r>
        <w:rPr>
          <w:rFonts w:ascii="宋体" w:hAnsi="宋体" w:eastAsia="宋体" w:cs="Times New Roman"/>
          <w:b/>
          <w:kern w:val="0"/>
          <w:sz w:val="24"/>
          <w:szCs w:val="24"/>
          <w:u w:val="single"/>
        </w:rPr>
        <w:t>改造现状河边文化站</w:t>
      </w:r>
      <w:r>
        <w:rPr>
          <w:rFonts w:hint="eastAsia" w:ascii="宋体" w:hAnsi="宋体" w:eastAsia="宋体" w:cs="Times New Roman"/>
          <w:b/>
          <w:kern w:val="0"/>
          <w:sz w:val="24"/>
          <w:szCs w:val="24"/>
          <w:u w:val="single"/>
        </w:rPr>
        <w:t>（电影院）为镇区文化体育活动中心，打造河边粮站为片区的文化综合体，成为片区的文化服务中心，</w:t>
      </w:r>
      <w:r>
        <w:rPr>
          <w:rFonts w:ascii="宋体" w:hAnsi="宋体" w:eastAsia="宋体" w:cs="Times New Roman"/>
          <w:b/>
          <w:kern w:val="0"/>
          <w:sz w:val="24"/>
          <w:szCs w:val="24"/>
          <w:u w:val="single"/>
        </w:rPr>
        <w:t>集图书馆、文化馆、公共电子阅览室、书画室、培训室、乡村文化展示室于一体，服务于片区文化休闲</w:t>
      </w:r>
      <w:r>
        <w:rPr>
          <w:rFonts w:hint="eastAsia" w:ascii="宋体" w:hAnsi="宋体" w:eastAsia="宋体" w:cs="Times New Roman"/>
          <w:b/>
          <w:kern w:val="0"/>
          <w:sz w:val="24"/>
          <w:szCs w:val="24"/>
          <w:u w:val="single"/>
        </w:rPr>
        <w:t>。</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（四）教育用地</w:t>
      </w:r>
    </w:p>
    <w:p>
      <w:pPr>
        <w:adjustRightInd w:val="0"/>
        <w:snapToGrid w:val="0"/>
        <w:spacing w:line="360" w:lineRule="auto"/>
        <w:ind w:firstLine="482" w:firstLineChars="200"/>
        <w:rPr>
          <w:rFonts w:ascii="宋体" w:hAnsi="宋体" w:eastAsia="宋体" w:cs="Times New Roman"/>
          <w:b/>
          <w:kern w:val="0"/>
          <w:sz w:val="24"/>
          <w:szCs w:val="24"/>
          <w:u w:val="single"/>
        </w:rPr>
      </w:pPr>
      <w:r>
        <w:rPr>
          <w:rFonts w:ascii="宋体" w:hAnsi="宋体" w:eastAsia="宋体" w:cs="Times New Roman"/>
          <w:b/>
          <w:kern w:val="0"/>
          <w:sz w:val="24"/>
          <w:szCs w:val="24"/>
          <w:u w:val="single"/>
        </w:rPr>
        <w:t>保留现状中、小学、幼儿园，面积</w:t>
      </w:r>
      <w:r>
        <w:rPr>
          <w:rFonts w:hint="eastAsia" w:ascii="宋体" w:hAnsi="宋体" w:eastAsia="宋体" w:cs="Times New Roman"/>
          <w:b/>
          <w:kern w:val="0"/>
          <w:sz w:val="24"/>
          <w:szCs w:val="24"/>
          <w:u w:val="single"/>
        </w:rPr>
        <w:t>3.53</w:t>
      </w:r>
      <w:r>
        <w:rPr>
          <w:rFonts w:ascii="宋体" w:hAnsi="宋体" w:eastAsia="宋体" w:cs="Times New Roman"/>
          <w:b/>
          <w:kern w:val="0"/>
          <w:sz w:val="24"/>
          <w:szCs w:val="24"/>
          <w:u w:val="single"/>
        </w:rPr>
        <w:t>公顷</w:t>
      </w:r>
      <w:r>
        <w:rPr>
          <w:rFonts w:hint="eastAsia" w:ascii="宋体" w:hAnsi="宋体" w:eastAsia="宋体" w:cs="Times New Roman"/>
          <w:b/>
          <w:kern w:val="0"/>
          <w:sz w:val="24"/>
          <w:szCs w:val="24"/>
          <w:u w:val="single"/>
        </w:rPr>
        <w:t>。</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（五）</w:t>
      </w:r>
      <w:r>
        <w:rPr>
          <w:rFonts w:eastAsia="宋体" w:cs="Times New Roman" w:asciiTheme="minorEastAsia" w:hAnsiTheme="minorEastAsia"/>
          <w:b/>
          <w:kern w:val="0"/>
          <w:sz w:val="24"/>
          <w:szCs w:val="24"/>
        </w:rPr>
        <w:t>体育设施</w:t>
      </w:r>
    </w:p>
    <w:p>
      <w:pPr>
        <w:adjustRightInd w:val="0"/>
        <w:snapToGrid w:val="0"/>
        <w:spacing w:line="360" w:lineRule="auto"/>
        <w:ind w:firstLine="482" w:firstLineChars="200"/>
        <w:rPr>
          <w:rFonts w:ascii="宋体" w:hAnsi="宋体" w:eastAsia="宋体" w:cs="Times New Roman"/>
          <w:b/>
          <w:kern w:val="0"/>
          <w:sz w:val="24"/>
          <w:szCs w:val="24"/>
          <w:u w:val="single"/>
        </w:rPr>
      </w:pPr>
      <w:r>
        <w:rPr>
          <w:rFonts w:ascii="宋体" w:hAnsi="宋体" w:eastAsia="宋体" w:cs="Times New Roman"/>
          <w:b/>
          <w:kern w:val="0"/>
          <w:sz w:val="24"/>
          <w:szCs w:val="24"/>
          <w:u w:val="single"/>
        </w:rPr>
        <w:t>规划一处体育场地，用地面积0.10公顷，服务全镇</w:t>
      </w:r>
      <w:r>
        <w:rPr>
          <w:rFonts w:hint="eastAsia" w:ascii="宋体" w:hAnsi="宋体" w:eastAsia="宋体" w:cs="Times New Roman"/>
          <w:b/>
          <w:kern w:val="0"/>
          <w:sz w:val="24"/>
          <w:szCs w:val="24"/>
          <w:u w:val="single"/>
        </w:rPr>
        <w:t xml:space="preserve">。 </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（六）</w:t>
      </w:r>
      <w:r>
        <w:rPr>
          <w:rFonts w:eastAsia="宋体" w:cs="Times New Roman" w:asciiTheme="minorEastAsia" w:hAnsiTheme="minorEastAsia"/>
          <w:b/>
          <w:kern w:val="0"/>
          <w:sz w:val="24"/>
          <w:szCs w:val="24"/>
        </w:rPr>
        <w:t>医疗卫生</w:t>
      </w:r>
    </w:p>
    <w:p>
      <w:pPr>
        <w:adjustRightInd w:val="0"/>
        <w:snapToGrid w:val="0"/>
        <w:spacing w:line="360" w:lineRule="auto"/>
        <w:ind w:firstLine="482" w:firstLineChars="200"/>
        <w:rPr>
          <w:rFonts w:ascii="宋体" w:hAnsi="宋体" w:eastAsia="宋体" w:cs="Times New Roman"/>
          <w:b/>
          <w:kern w:val="0"/>
          <w:sz w:val="24"/>
          <w:szCs w:val="24"/>
          <w:u w:val="single"/>
        </w:rPr>
      </w:pPr>
      <w:r>
        <w:rPr>
          <w:rFonts w:ascii="宋体" w:hAnsi="宋体" w:eastAsia="宋体" w:cs="Times New Roman"/>
          <w:b/>
          <w:kern w:val="0"/>
          <w:sz w:val="24"/>
          <w:szCs w:val="24"/>
          <w:u w:val="single"/>
        </w:rPr>
        <w:t>保留现状卫生院，面积</w:t>
      </w:r>
      <w:r>
        <w:rPr>
          <w:rFonts w:hint="eastAsia" w:ascii="宋体" w:hAnsi="宋体" w:eastAsia="宋体" w:cs="Times New Roman"/>
          <w:b/>
          <w:kern w:val="0"/>
          <w:sz w:val="24"/>
          <w:szCs w:val="24"/>
          <w:u w:val="single"/>
        </w:rPr>
        <w:t>1.03</w:t>
      </w:r>
      <w:r>
        <w:rPr>
          <w:rFonts w:ascii="宋体" w:hAnsi="宋体" w:eastAsia="宋体" w:cs="Times New Roman"/>
          <w:b/>
          <w:kern w:val="0"/>
          <w:sz w:val="24"/>
          <w:szCs w:val="24"/>
          <w:u w:val="single"/>
        </w:rPr>
        <w:t>公顷</w:t>
      </w:r>
      <w:r>
        <w:rPr>
          <w:rFonts w:hint="eastAsia" w:ascii="宋体" w:hAnsi="宋体" w:eastAsia="宋体" w:cs="Times New Roman"/>
          <w:b/>
          <w:kern w:val="0"/>
          <w:sz w:val="24"/>
          <w:szCs w:val="24"/>
          <w:u w:val="single"/>
        </w:rPr>
        <w:t>。</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（七）养老设施</w:t>
      </w:r>
    </w:p>
    <w:p>
      <w:pPr>
        <w:adjustRightInd w:val="0"/>
        <w:snapToGrid w:val="0"/>
        <w:spacing w:line="360" w:lineRule="auto"/>
        <w:ind w:firstLine="482" w:firstLineChars="200"/>
        <w:rPr>
          <w:rFonts w:ascii="宋体" w:hAnsi="宋体" w:eastAsia="宋体" w:cs="Times New Roman"/>
          <w:b/>
          <w:kern w:val="0"/>
          <w:sz w:val="24"/>
          <w:szCs w:val="24"/>
          <w:u w:val="single"/>
        </w:rPr>
      </w:pPr>
      <w:r>
        <w:rPr>
          <w:rFonts w:hint="eastAsia" w:ascii="宋体" w:hAnsi="宋体" w:eastAsia="宋体" w:cs="Times New Roman"/>
          <w:b/>
          <w:kern w:val="0"/>
          <w:sz w:val="24"/>
          <w:szCs w:val="24"/>
          <w:u w:val="single"/>
        </w:rPr>
        <w:t>利用河边镇粮站部分建筑，改建成为片区养老服务综合体，建筑面积约为3000平方米。</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（八）</w:t>
      </w:r>
      <w:r>
        <w:rPr>
          <w:rFonts w:eastAsia="宋体" w:cs="Times New Roman" w:asciiTheme="minorEastAsia" w:hAnsiTheme="minorEastAsia"/>
          <w:b/>
          <w:kern w:val="0"/>
          <w:sz w:val="24"/>
          <w:szCs w:val="24"/>
        </w:rPr>
        <w:t>社会停车场</w:t>
      </w:r>
    </w:p>
    <w:p>
      <w:pPr>
        <w:adjustRightInd w:val="0"/>
        <w:snapToGrid w:val="0"/>
        <w:spacing w:line="360" w:lineRule="auto"/>
        <w:ind w:firstLine="482" w:firstLineChars="200"/>
        <w:rPr>
          <w:rFonts w:ascii="宋体" w:hAnsi="宋体" w:eastAsia="宋体" w:cs="Times New Roman"/>
          <w:b/>
          <w:kern w:val="0"/>
          <w:sz w:val="24"/>
          <w:szCs w:val="24"/>
          <w:u w:val="single"/>
        </w:rPr>
      </w:pPr>
      <w:r>
        <w:rPr>
          <w:rFonts w:ascii="宋体" w:hAnsi="宋体" w:eastAsia="宋体" w:cs="Times New Roman"/>
          <w:b/>
          <w:kern w:val="0"/>
          <w:sz w:val="24"/>
          <w:szCs w:val="24"/>
          <w:u w:val="single"/>
        </w:rPr>
        <w:t>新增社会停车场</w:t>
      </w:r>
      <w:r>
        <w:rPr>
          <w:rFonts w:hint="eastAsia" w:ascii="宋体" w:hAnsi="宋体" w:eastAsia="宋体" w:cs="Times New Roman"/>
          <w:b/>
          <w:kern w:val="0"/>
          <w:sz w:val="24"/>
          <w:szCs w:val="24"/>
          <w:u w:val="single"/>
        </w:rPr>
        <w:t>2</w:t>
      </w:r>
      <w:r>
        <w:rPr>
          <w:rFonts w:ascii="宋体" w:hAnsi="宋体" w:eastAsia="宋体" w:cs="Times New Roman"/>
          <w:b/>
          <w:kern w:val="0"/>
          <w:sz w:val="24"/>
          <w:szCs w:val="24"/>
          <w:u w:val="single"/>
        </w:rPr>
        <w:t>处，面积</w:t>
      </w:r>
      <w:r>
        <w:rPr>
          <w:rFonts w:hint="eastAsia" w:ascii="宋体" w:hAnsi="宋体" w:eastAsia="宋体" w:cs="Times New Roman"/>
          <w:b/>
          <w:kern w:val="0"/>
          <w:sz w:val="24"/>
          <w:szCs w:val="24"/>
          <w:u w:val="single"/>
        </w:rPr>
        <w:t>0.19</w:t>
      </w:r>
      <w:r>
        <w:rPr>
          <w:rFonts w:ascii="宋体" w:hAnsi="宋体" w:eastAsia="宋体" w:cs="Times New Roman"/>
          <w:b/>
          <w:kern w:val="0"/>
          <w:sz w:val="24"/>
          <w:szCs w:val="24"/>
          <w:u w:val="single"/>
        </w:rPr>
        <w:t>公顷。</w:t>
      </w:r>
    </w:p>
    <w:p>
      <w:pPr>
        <w:adjustRightInd w:val="0"/>
        <w:snapToGrid w:val="0"/>
        <w:spacing w:line="360" w:lineRule="auto"/>
        <w:ind w:firstLine="482" w:firstLineChars="200"/>
        <w:rPr>
          <w:rFonts w:ascii="黑体" w:hAnsi="黑体" w:eastAsia="黑体" w:cs="Times New Roman"/>
          <w:b/>
          <w:kern w:val="0"/>
          <w:sz w:val="24"/>
          <w:szCs w:val="24"/>
        </w:rPr>
      </w:pPr>
      <w:r>
        <w:rPr>
          <w:rFonts w:hint="eastAsia" w:ascii="黑体" w:hAnsi="黑体" w:eastAsia="黑体" w:cs="Times New Roman"/>
          <w:b/>
          <w:kern w:val="0"/>
          <w:sz w:val="24"/>
          <w:szCs w:val="24"/>
        </w:rPr>
        <w:t>十一、构建完善多维的交通体系</w:t>
      </w:r>
    </w:p>
    <w:p>
      <w:pPr>
        <w:adjustRightInd w:val="0"/>
        <w:snapToGrid w:val="0"/>
        <w:spacing w:line="360" w:lineRule="auto"/>
        <w:ind w:firstLine="480" w:firstLineChars="200"/>
        <w:rPr>
          <w:rFonts w:ascii="Times New Roman" w:hAnsi="Times New Roman" w:eastAsia="宋体"/>
          <w:b/>
          <w:sz w:val="24"/>
          <w:szCs w:val="24"/>
        </w:rPr>
      </w:pPr>
      <w:r>
        <w:rPr>
          <w:rFonts w:ascii="宋体" w:hAnsi="宋体" w:eastAsia="宋体" w:cs="Times New Roman"/>
          <w:kern w:val="0"/>
          <w:sz w:val="24"/>
          <w:szCs w:val="24"/>
        </w:rPr>
        <w:t>以现状道路为基础，适当拓宽道路，增加路网密度，依托优质生态资源构建滨水绿道体系，形成多维交通体系。</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（一）</w:t>
      </w:r>
      <w:r>
        <w:rPr>
          <w:rFonts w:eastAsia="宋体" w:cs="Times New Roman" w:asciiTheme="minorEastAsia" w:hAnsiTheme="minorEastAsia"/>
          <w:b/>
          <w:kern w:val="0"/>
          <w:sz w:val="24"/>
          <w:szCs w:val="24"/>
        </w:rPr>
        <w:t>加强对外交通联系（优化道路宽度、密度）</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规划三大乐高速在镇区</w:t>
      </w:r>
      <w:r>
        <w:rPr>
          <w:rFonts w:hint="eastAsia" w:ascii="宋体" w:hAnsi="宋体" w:eastAsia="宋体" w:cs="Times New Roman"/>
          <w:kern w:val="0"/>
          <w:sz w:val="24"/>
          <w:szCs w:val="24"/>
        </w:rPr>
        <w:t>东部</w:t>
      </w:r>
      <w:r>
        <w:rPr>
          <w:rFonts w:ascii="宋体" w:hAnsi="宋体" w:eastAsia="宋体" w:cs="Times New Roman"/>
          <w:kern w:val="0"/>
          <w:sz w:val="24"/>
          <w:szCs w:val="24"/>
        </w:rPr>
        <w:t>经过，规划升级蓬乐路为S401，承担镇区交通联系高速的主通道，以满足未来作为中心镇的发展需求。</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（二）</w:t>
      </w:r>
      <w:r>
        <w:rPr>
          <w:rFonts w:eastAsia="宋体" w:cs="Times New Roman" w:asciiTheme="minorEastAsia" w:hAnsiTheme="minorEastAsia"/>
          <w:b/>
          <w:kern w:val="0"/>
          <w:sz w:val="24"/>
          <w:szCs w:val="24"/>
        </w:rPr>
        <w:t>因地制宜构建镇区道路网络（新旧共存、动静结合）</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在充分尊重现状镇区道路走向的情况下，适当拓宽和调整优化不合理的交叉口，增加路网密度，与规划城镇道路和谐共存。同时，增加停车设施，以缓解镇区停车矛盾。</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镇区以蓬乐路、荣昌街、正西街、交通上街主要道路为骨架，形成“三横三纵”方格网式路网格局</w:t>
      </w:r>
      <w:r>
        <w:rPr>
          <w:rFonts w:hint="eastAsia" w:ascii="宋体" w:hAnsi="宋体" w:eastAsia="宋体" w:cs="Times New Roman"/>
          <w:kern w:val="0"/>
          <w:sz w:val="24"/>
          <w:szCs w:val="24"/>
        </w:rPr>
        <w:t>，</w:t>
      </w:r>
      <w:r>
        <w:rPr>
          <w:rFonts w:ascii="宋体" w:hAnsi="宋体" w:eastAsia="宋体" w:cs="Times New Roman"/>
          <w:kern w:val="0"/>
          <w:sz w:val="24"/>
          <w:szCs w:val="24"/>
        </w:rPr>
        <w:t>结合现状道路，按照小街区、密路网规划城镇道路，形成疏密有致，方便通畅的交通体系。</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（三）</w:t>
      </w:r>
      <w:r>
        <w:rPr>
          <w:rFonts w:eastAsia="宋体" w:cs="Times New Roman" w:asciiTheme="minorEastAsia" w:hAnsiTheme="minorEastAsia"/>
          <w:b/>
          <w:kern w:val="0"/>
          <w:sz w:val="24"/>
          <w:szCs w:val="24"/>
        </w:rPr>
        <w:t>交通设施规划</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调整河边镇区现有客运站至</w:t>
      </w:r>
      <w:r>
        <w:rPr>
          <w:rFonts w:hint="eastAsia" w:ascii="宋体" w:hAnsi="宋体" w:eastAsia="宋体" w:cs="Times New Roman"/>
          <w:kern w:val="0"/>
          <w:sz w:val="24"/>
          <w:szCs w:val="24"/>
        </w:rPr>
        <w:t>镇区</w:t>
      </w:r>
      <w:r>
        <w:rPr>
          <w:rFonts w:ascii="宋体" w:hAnsi="宋体" w:eastAsia="宋体" w:cs="Times New Roman"/>
          <w:kern w:val="0"/>
          <w:sz w:val="24"/>
          <w:szCs w:val="24"/>
        </w:rPr>
        <w:t>东侧</w:t>
      </w:r>
      <w:r>
        <w:rPr>
          <w:rFonts w:hint="eastAsia" w:ascii="宋体" w:hAnsi="宋体" w:eastAsia="宋体" w:cs="Times New Roman"/>
          <w:kern w:val="0"/>
          <w:sz w:val="24"/>
          <w:szCs w:val="24"/>
        </w:rPr>
        <w:t>，</w:t>
      </w:r>
      <w:r>
        <w:rPr>
          <w:rFonts w:ascii="宋体" w:hAnsi="宋体" w:eastAsia="宋体" w:cs="Times New Roman"/>
          <w:kern w:val="0"/>
          <w:sz w:val="24"/>
          <w:szCs w:val="24"/>
        </w:rPr>
        <w:t>蓬乐路西侧，减少对镇区交通的干扰，同时也方便居民出行。</w:t>
      </w:r>
    </w:p>
    <w:p>
      <w:pPr>
        <w:adjustRightInd w:val="0"/>
        <w:snapToGrid w:val="0"/>
        <w:spacing w:line="360" w:lineRule="auto"/>
        <w:ind w:firstLine="482" w:firstLineChars="200"/>
        <w:rPr>
          <w:rFonts w:ascii="黑体" w:hAnsi="黑体" w:eastAsia="黑体" w:cs="Times New Roman"/>
          <w:b/>
          <w:kern w:val="0"/>
          <w:sz w:val="24"/>
          <w:szCs w:val="24"/>
        </w:rPr>
      </w:pPr>
      <w:r>
        <w:rPr>
          <w:rFonts w:hint="eastAsia" w:ascii="黑体" w:hAnsi="黑体" w:eastAsia="黑体" w:cs="Times New Roman"/>
          <w:b/>
          <w:kern w:val="0"/>
          <w:sz w:val="24"/>
          <w:szCs w:val="24"/>
        </w:rPr>
        <w:t xml:space="preserve">十二、补足市政设施短板 </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（一）现状概况</w:t>
      </w:r>
    </w:p>
    <w:p>
      <w:pPr>
        <w:adjustRightInd w:val="0"/>
        <w:snapToGrid w:val="0"/>
        <w:spacing w:line="360" w:lineRule="auto"/>
        <w:ind w:firstLine="480" w:firstLineChars="200"/>
        <w:rPr>
          <w:rFonts w:ascii="宋体" w:hAnsi="宋体" w:eastAsia="宋体" w:cs="Times New Roman"/>
          <w:kern w:val="0"/>
          <w:sz w:val="24"/>
          <w:szCs w:val="24"/>
        </w:rPr>
      </w:pPr>
      <w:r>
        <w:rPr>
          <w:rFonts w:hint="eastAsia" w:ascii="宋体" w:hAnsi="宋体" w:eastAsia="宋体" w:cs="Times New Roman"/>
          <w:kern w:val="0"/>
          <w:sz w:val="24"/>
          <w:szCs w:val="24"/>
        </w:rPr>
        <w:t>1、给水现状</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镇区有供水站</w:t>
      </w:r>
      <w:r>
        <w:rPr>
          <w:rFonts w:hint="eastAsia" w:ascii="宋体" w:hAnsi="宋体" w:eastAsia="宋体" w:cs="Times New Roman"/>
          <w:kern w:val="0"/>
          <w:sz w:val="24"/>
          <w:szCs w:val="24"/>
        </w:rPr>
        <w:t>（于家寨供水站）</w:t>
      </w:r>
      <w:r>
        <w:rPr>
          <w:rFonts w:ascii="宋体" w:hAnsi="宋体" w:eastAsia="宋体" w:cs="Times New Roman"/>
          <w:kern w:val="0"/>
          <w:sz w:val="24"/>
          <w:szCs w:val="24"/>
        </w:rPr>
        <w:t>，水源来自</w:t>
      </w:r>
      <w:r>
        <w:rPr>
          <w:rFonts w:hint="eastAsia" w:ascii="宋体" w:hAnsi="宋体" w:eastAsia="宋体" w:cs="Times New Roman"/>
          <w:kern w:val="0"/>
          <w:sz w:val="24"/>
          <w:szCs w:val="24"/>
        </w:rPr>
        <w:t>星花</w:t>
      </w:r>
      <w:r>
        <w:rPr>
          <w:rFonts w:ascii="宋体" w:hAnsi="宋体" w:eastAsia="宋体" w:cs="Times New Roman"/>
          <w:kern w:val="0"/>
          <w:sz w:val="24"/>
          <w:szCs w:val="24"/>
        </w:rPr>
        <w:t>水库，基本能满足现有镇区生活用水需要。</w:t>
      </w:r>
    </w:p>
    <w:p>
      <w:pPr>
        <w:adjustRightInd w:val="0"/>
        <w:snapToGrid w:val="0"/>
        <w:spacing w:line="360" w:lineRule="auto"/>
        <w:ind w:firstLine="480" w:firstLineChars="200"/>
        <w:rPr>
          <w:rFonts w:ascii="宋体" w:hAnsi="宋体" w:eastAsia="宋体" w:cs="Times New Roman"/>
          <w:kern w:val="0"/>
          <w:sz w:val="24"/>
          <w:szCs w:val="24"/>
        </w:rPr>
      </w:pPr>
      <w:r>
        <w:rPr>
          <w:rFonts w:hint="eastAsia" w:ascii="宋体" w:hAnsi="宋体" w:eastAsia="宋体" w:cs="Times New Roman"/>
          <w:kern w:val="0"/>
          <w:sz w:val="24"/>
          <w:szCs w:val="24"/>
        </w:rPr>
        <w:t>2、排水现状</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镇区现有河边污水处理厂，集中收集处理镇区以及近郊村庄生活污水。</w:t>
      </w:r>
    </w:p>
    <w:p>
      <w:pPr>
        <w:adjustRightInd w:val="0"/>
        <w:snapToGrid w:val="0"/>
        <w:spacing w:line="360" w:lineRule="auto"/>
        <w:ind w:firstLine="480" w:firstLineChars="200"/>
        <w:rPr>
          <w:rFonts w:ascii="宋体" w:hAnsi="宋体" w:eastAsia="宋体" w:cs="Times New Roman"/>
          <w:kern w:val="0"/>
          <w:sz w:val="24"/>
          <w:szCs w:val="24"/>
        </w:rPr>
      </w:pPr>
      <w:r>
        <w:rPr>
          <w:rFonts w:hint="eastAsia" w:ascii="宋体" w:hAnsi="宋体" w:eastAsia="宋体" w:cs="Times New Roman"/>
          <w:kern w:val="0"/>
          <w:sz w:val="24"/>
          <w:szCs w:val="24"/>
        </w:rPr>
        <w:t>3、电力现状</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镇区电源来</w:t>
      </w:r>
      <w:r>
        <w:rPr>
          <w:rFonts w:hint="eastAsia" w:ascii="宋体" w:hAnsi="宋体" w:eastAsia="宋体" w:cs="Times New Roman"/>
          <w:kern w:val="0"/>
          <w:sz w:val="24"/>
          <w:szCs w:val="24"/>
        </w:rPr>
        <w:t>35KV玉峰变电站（11.3MVA）</w:t>
      </w:r>
      <w:r>
        <w:rPr>
          <w:rFonts w:ascii="宋体" w:hAnsi="宋体" w:eastAsia="宋体" w:cs="Times New Roman"/>
          <w:kern w:val="0"/>
          <w:sz w:val="24"/>
          <w:szCs w:val="24"/>
        </w:rPr>
        <w:t>。</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（二）给水工程规划</w:t>
      </w:r>
    </w:p>
    <w:p>
      <w:pPr>
        <w:adjustRightInd w:val="0"/>
        <w:snapToGrid w:val="0"/>
        <w:spacing w:line="360" w:lineRule="auto"/>
        <w:ind w:firstLine="480" w:firstLineChars="200"/>
        <w:rPr>
          <w:rFonts w:ascii="宋体" w:hAnsi="宋体" w:eastAsia="宋体" w:cs="Times New Roman"/>
          <w:kern w:val="0"/>
          <w:sz w:val="24"/>
          <w:szCs w:val="24"/>
        </w:rPr>
      </w:pPr>
      <w:r>
        <w:rPr>
          <w:rFonts w:hint="eastAsia" w:ascii="宋体" w:hAnsi="宋体" w:eastAsia="宋体" w:cs="Times New Roman"/>
          <w:kern w:val="0"/>
          <w:sz w:val="24"/>
          <w:szCs w:val="24"/>
        </w:rPr>
        <w:t>1、用水量预测</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根据规划预测，河边镇区远期规划常住人口为</w:t>
      </w:r>
      <w:r>
        <w:rPr>
          <w:rFonts w:hint="eastAsia" w:ascii="宋体" w:hAnsi="宋体" w:eastAsia="宋体" w:cs="Times New Roman"/>
          <w:kern w:val="0"/>
          <w:sz w:val="24"/>
          <w:szCs w:val="24"/>
        </w:rPr>
        <w:t>0.65</w:t>
      </w:r>
      <w:r>
        <w:rPr>
          <w:rFonts w:ascii="宋体" w:hAnsi="宋体" w:eastAsia="宋体" w:cs="Times New Roman"/>
          <w:kern w:val="0"/>
          <w:sz w:val="24"/>
          <w:szCs w:val="24"/>
        </w:rPr>
        <w:t>万人，综合用水量指标为0.20吨/（人·日），则最高日用水量为</w:t>
      </w:r>
      <w:r>
        <w:rPr>
          <w:rFonts w:hint="eastAsia" w:ascii="宋体" w:hAnsi="宋体" w:eastAsia="宋体" w:cs="Times New Roman"/>
          <w:kern w:val="0"/>
          <w:sz w:val="24"/>
          <w:szCs w:val="24"/>
        </w:rPr>
        <w:t>0.13</w:t>
      </w:r>
      <w:r>
        <w:rPr>
          <w:rFonts w:ascii="宋体" w:hAnsi="宋体" w:eastAsia="宋体" w:cs="Times New Roman"/>
          <w:kern w:val="0"/>
          <w:sz w:val="24"/>
          <w:szCs w:val="24"/>
        </w:rPr>
        <w:t>万吨/日。</w:t>
      </w:r>
    </w:p>
    <w:p>
      <w:pPr>
        <w:adjustRightInd w:val="0"/>
        <w:snapToGrid w:val="0"/>
        <w:spacing w:line="360" w:lineRule="auto"/>
        <w:ind w:firstLine="480" w:firstLineChars="200"/>
        <w:rPr>
          <w:rFonts w:ascii="宋体" w:hAnsi="宋体" w:eastAsia="宋体" w:cs="Times New Roman"/>
          <w:kern w:val="0"/>
          <w:sz w:val="24"/>
          <w:szCs w:val="24"/>
        </w:rPr>
      </w:pPr>
      <w:r>
        <w:rPr>
          <w:rFonts w:hint="eastAsia" w:ascii="宋体" w:hAnsi="宋体" w:eastAsia="宋体" w:cs="Times New Roman"/>
          <w:kern w:val="0"/>
          <w:sz w:val="24"/>
          <w:szCs w:val="24"/>
        </w:rPr>
        <w:t>2、水厂及水源</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落实衔接县级国土空间总体规划和专项规划的要求，由</w:t>
      </w:r>
      <w:r>
        <w:rPr>
          <w:rFonts w:hint="eastAsia" w:ascii="宋体" w:hAnsi="宋体" w:eastAsia="宋体" w:cs="Times New Roman"/>
          <w:kern w:val="0"/>
          <w:sz w:val="24"/>
          <w:szCs w:val="24"/>
        </w:rPr>
        <w:t>星花</w:t>
      </w:r>
      <w:r>
        <w:rPr>
          <w:rFonts w:ascii="宋体" w:hAnsi="宋体" w:eastAsia="宋体" w:cs="Times New Roman"/>
          <w:kern w:val="0"/>
          <w:sz w:val="24"/>
          <w:szCs w:val="24"/>
        </w:rPr>
        <w:t>水库作为</w:t>
      </w:r>
      <w:r>
        <w:rPr>
          <w:rFonts w:hint="eastAsia" w:ascii="宋体" w:hAnsi="宋体" w:eastAsia="宋体" w:cs="Times New Roman"/>
          <w:kern w:val="0"/>
          <w:sz w:val="24"/>
          <w:szCs w:val="24"/>
        </w:rPr>
        <w:t>玉峰镇</w:t>
      </w:r>
      <w:r>
        <w:rPr>
          <w:rFonts w:ascii="宋体" w:hAnsi="宋体" w:eastAsia="宋体" w:cs="Times New Roman"/>
          <w:kern w:val="0"/>
          <w:sz w:val="24"/>
          <w:szCs w:val="24"/>
        </w:rPr>
        <w:t>水源统一供水，规划提升镇区于家寨供水</w:t>
      </w:r>
      <w:r>
        <w:rPr>
          <w:rFonts w:hint="eastAsia" w:ascii="宋体" w:hAnsi="宋体" w:eastAsia="宋体" w:cs="Times New Roman"/>
          <w:kern w:val="0"/>
          <w:sz w:val="24"/>
          <w:szCs w:val="24"/>
        </w:rPr>
        <w:t>厂</w:t>
      </w:r>
      <w:r>
        <w:rPr>
          <w:rFonts w:ascii="宋体" w:hAnsi="宋体" w:eastAsia="宋体" w:cs="Times New Roman"/>
          <w:kern w:val="0"/>
          <w:sz w:val="24"/>
          <w:szCs w:val="24"/>
        </w:rPr>
        <w:t>规模</w:t>
      </w:r>
      <w:r>
        <w:rPr>
          <w:rFonts w:hint="eastAsia" w:ascii="宋体" w:hAnsi="宋体" w:eastAsia="宋体" w:cs="Times New Roman"/>
          <w:kern w:val="0"/>
          <w:sz w:val="24"/>
          <w:szCs w:val="24"/>
        </w:rPr>
        <w:t>，</w:t>
      </w:r>
      <w:r>
        <w:rPr>
          <w:rFonts w:ascii="宋体" w:hAnsi="宋体" w:eastAsia="宋体" w:cs="Times New Roman"/>
          <w:kern w:val="0"/>
          <w:sz w:val="24"/>
          <w:szCs w:val="24"/>
        </w:rPr>
        <w:t>日供水量600</w:t>
      </w:r>
      <w:r>
        <w:rPr>
          <w:rFonts w:hint="eastAsia" w:ascii="宋体" w:hAnsi="宋体" w:eastAsia="宋体" w:cs="Times New Roman"/>
          <w:kern w:val="0"/>
          <w:sz w:val="24"/>
          <w:szCs w:val="24"/>
        </w:rPr>
        <w:t>吨</w:t>
      </w:r>
      <w:r>
        <w:rPr>
          <w:rFonts w:ascii="宋体" w:hAnsi="宋体" w:eastAsia="宋体" w:cs="Times New Roman"/>
          <w:kern w:val="0"/>
          <w:sz w:val="24"/>
          <w:szCs w:val="24"/>
        </w:rPr>
        <w:t>/</w:t>
      </w:r>
      <w:r>
        <w:rPr>
          <w:rFonts w:hint="eastAsia" w:ascii="宋体" w:hAnsi="宋体" w:eastAsia="宋体" w:cs="Times New Roman"/>
          <w:kern w:val="0"/>
          <w:sz w:val="24"/>
          <w:szCs w:val="24"/>
        </w:rPr>
        <w:t>日。</w:t>
      </w:r>
    </w:p>
    <w:p>
      <w:pPr>
        <w:adjustRightInd w:val="0"/>
        <w:snapToGrid w:val="0"/>
        <w:spacing w:line="360" w:lineRule="auto"/>
        <w:ind w:firstLine="480" w:firstLineChars="200"/>
        <w:rPr>
          <w:rFonts w:ascii="宋体" w:hAnsi="宋体" w:eastAsia="宋体" w:cs="Times New Roman"/>
          <w:kern w:val="0"/>
          <w:sz w:val="24"/>
          <w:szCs w:val="24"/>
        </w:rPr>
      </w:pPr>
      <w:r>
        <w:rPr>
          <w:rFonts w:hint="eastAsia" w:ascii="宋体" w:hAnsi="宋体" w:eastAsia="宋体" w:cs="Times New Roman"/>
          <w:kern w:val="0"/>
          <w:sz w:val="24"/>
          <w:szCs w:val="24"/>
        </w:rPr>
        <w:t>3、供水管网</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规划沿</w:t>
      </w:r>
      <w:r>
        <w:rPr>
          <w:rFonts w:hint="eastAsia" w:ascii="宋体" w:hAnsi="宋体" w:eastAsia="宋体" w:cs="Times New Roman"/>
          <w:kern w:val="0"/>
          <w:sz w:val="24"/>
          <w:szCs w:val="24"/>
        </w:rPr>
        <w:t>镇区</w:t>
      </w:r>
      <w:r>
        <w:rPr>
          <w:rFonts w:ascii="宋体" w:hAnsi="宋体" w:eastAsia="宋体" w:cs="Times New Roman"/>
          <w:kern w:val="0"/>
          <w:sz w:val="24"/>
          <w:szCs w:val="24"/>
        </w:rPr>
        <w:t>道路敷设</w:t>
      </w:r>
      <w:r>
        <w:rPr>
          <w:rFonts w:hint="eastAsia" w:ascii="宋体" w:hAnsi="宋体" w:eastAsia="宋体" w:cs="Times New Roman"/>
          <w:kern w:val="0"/>
          <w:sz w:val="24"/>
          <w:szCs w:val="24"/>
        </w:rPr>
        <w:t>DN110-DN200给水管网</w:t>
      </w:r>
      <w:r>
        <w:rPr>
          <w:rFonts w:ascii="宋体" w:hAnsi="宋体" w:eastAsia="宋体" w:cs="Times New Roman"/>
          <w:kern w:val="0"/>
          <w:sz w:val="24"/>
          <w:szCs w:val="24"/>
        </w:rPr>
        <w:t>，形成“环状+放射线”的给水管网布局</w:t>
      </w:r>
      <w:r>
        <w:rPr>
          <w:rFonts w:hint="eastAsia" w:ascii="宋体" w:hAnsi="宋体" w:eastAsia="宋体" w:cs="Times New Roman"/>
          <w:kern w:val="0"/>
          <w:sz w:val="24"/>
          <w:szCs w:val="24"/>
        </w:rPr>
        <w:t>，</w:t>
      </w:r>
      <w:r>
        <w:rPr>
          <w:rFonts w:ascii="宋体" w:hAnsi="宋体" w:eastAsia="宋体" w:cs="Times New Roman"/>
          <w:kern w:val="0"/>
          <w:sz w:val="24"/>
          <w:szCs w:val="24"/>
        </w:rPr>
        <w:t>形成“两横、多纵”的给水环状管网，主干给水管网互联互通。生产、生活，消防共用给水系统，配水支管不应小于DN100。在现状基础上完善规划范围供水管网，结合用地布局调整和道路改造，改造老旧管网，提高供水管网安全性，并通过引入现代化管理技术，全面降低管网漏损。</w:t>
      </w:r>
    </w:p>
    <w:p>
      <w:pPr>
        <w:adjustRightInd w:val="0"/>
        <w:snapToGrid w:val="0"/>
        <w:spacing w:line="360" w:lineRule="auto"/>
        <w:ind w:firstLine="480" w:firstLineChars="200"/>
        <w:rPr>
          <w:rFonts w:ascii="宋体" w:hAnsi="宋体" w:eastAsia="宋体" w:cs="Times New Roman"/>
          <w:kern w:val="0"/>
          <w:sz w:val="24"/>
          <w:szCs w:val="24"/>
        </w:rPr>
      </w:pPr>
      <w:r>
        <w:rPr>
          <w:rFonts w:hint="eastAsia" w:ascii="宋体" w:hAnsi="宋体" w:eastAsia="宋体" w:cs="Times New Roman"/>
          <w:kern w:val="0"/>
          <w:sz w:val="24"/>
          <w:szCs w:val="24"/>
        </w:rPr>
        <w:t>4、消防用水</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镇区消防水量按火灾同时发生次数1次，1小时延时，一次灭火消防流量为20升/秒考虑。市政给水管沿线按规定间距设置消火栓，消火栓间距不应大于120</w:t>
      </w:r>
      <w:r>
        <w:rPr>
          <w:rFonts w:hint="eastAsia" w:ascii="宋体" w:hAnsi="宋体" w:eastAsia="宋体" w:cs="Times New Roman"/>
          <w:kern w:val="0"/>
          <w:sz w:val="24"/>
          <w:szCs w:val="24"/>
        </w:rPr>
        <w:t>米</w:t>
      </w:r>
      <w:r>
        <w:rPr>
          <w:rFonts w:ascii="宋体" w:hAnsi="宋体" w:eastAsia="宋体" w:cs="Times New Roman"/>
          <w:kern w:val="0"/>
          <w:sz w:val="24"/>
          <w:szCs w:val="24"/>
        </w:rPr>
        <w:t>，保护半径不超过150</w:t>
      </w:r>
      <w:r>
        <w:rPr>
          <w:rFonts w:hint="eastAsia" w:ascii="宋体" w:hAnsi="宋体" w:eastAsia="宋体" w:cs="Times New Roman"/>
          <w:kern w:val="0"/>
          <w:sz w:val="24"/>
          <w:szCs w:val="24"/>
        </w:rPr>
        <w:t>米</w:t>
      </w:r>
      <w:r>
        <w:rPr>
          <w:rFonts w:ascii="宋体" w:hAnsi="宋体" w:eastAsia="宋体" w:cs="Times New Roman"/>
          <w:kern w:val="0"/>
          <w:sz w:val="24"/>
          <w:szCs w:val="24"/>
        </w:rPr>
        <w:t>，并在道路交叉口保证有一处消火栓。</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（三）排水工程规划</w:t>
      </w:r>
    </w:p>
    <w:p>
      <w:pPr>
        <w:adjustRightInd w:val="0"/>
        <w:snapToGrid w:val="0"/>
        <w:spacing w:line="360" w:lineRule="auto"/>
        <w:ind w:firstLine="480" w:firstLineChars="200"/>
        <w:rPr>
          <w:rFonts w:ascii="宋体" w:hAnsi="宋体" w:eastAsia="宋体" w:cs="Times New Roman"/>
          <w:kern w:val="0"/>
          <w:sz w:val="24"/>
          <w:szCs w:val="24"/>
        </w:rPr>
      </w:pPr>
      <w:r>
        <w:rPr>
          <w:rFonts w:hint="eastAsia" w:ascii="宋体" w:hAnsi="宋体" w:eastAsia="宋体" w:cs="Times New Roman"/>
          <w:kern w:val="0"/>
          <w:sz w:val="24"/>
          <w:szCs w:val="24"/>
        </w:rPr>
        <w:t>1、排水体制</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规划镇区采用雨、污分流制。</w:t>
      </w:r>
    </w:p>
    <w:p>
      <w:pPr>
        <w:adjustRightInd w:val="0"/>
        <w:snapToGrid w:val="0"/>
        <w:spacing w:line="360" w:lineRule="auto"/>
        <w:ind w:firstLine="480" w:firstLineChars="200"/>
        <w:rPr>
          <w:rFonts w:ascii="宋体" w:hAnsi="宋体" w:eastAsia="宋体" w:cs="Times New Roman"/>
          <w:kern w:val="0"/>
          <w:sz w:val="24"/>
          <w:szCs w:val="24"/>
        </w:rPr>
      </w:pPr>
      <w:r>
        <w:rPr>
          <w:rFonts w:hint="eastAsia" w:ascii="宋体" w:hAnsi="宋体" w:eastAsia="宋体" w:cs="Times New Roman"/>
          <w:kern w:val="0"/>
          <w:sz w:val="24"/>
          <w:szCs w:val="24"/>
        </w:rPr>
        <w:t>2、雨水工程</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保留原有路线。规划沿荣昌街布局管径DN600</w:t>
      </w:r>
      <w:r>
        <w:rPr>
          <w:rFonts w:hint="eastAsia" w:ascii="宋体" w:hAnsi="宋体" w:eastAsia="宋体" w:cs="Times New Roman"/>
          <w:kern w:val="0"/>
          <w:sz w:val="24"/>
          <w:szCs w:val="24"/>
        </w:rPr>
        <w:t>，沿</w:t>
      </w:r>
      <w:r>
        <w:rPr>
          <w:rFonts w:ascii="宋体" w:hAnsi="宋体" w:eastAsia="宋体" w:cs="Times New Roman"/>
          <w:kern w:val="0"/>
          <w:sz w:val="24"/>
          <w:szCs w:val="24"/>
        </w:rPr>
        <w:t>蓬乐路，正东街</w:t>
      </w:r>
      <w:r>
        <w:rPr>
          <w:rFonts w:hint="eastAsia" w:ascii="宋体" w:hAnsi="宋体" w:eastAsia="宋体" w:cs="Times New Roman"/>
          <w:kern w:val="0"/>
          <w:sz w:val="24"/>
          <w:szCs w:val="24"/>
        </w:rPr>
        <w:t>，</w:t>
      </w:r>
      <w:r>
        <w:rPr>
          <w:rFonts w:ascii="宋体" w:hAnsi="宋体" w:eastAsia="宋体" w:cs="Times New Roman"/>
          <w:kern w:val="0"/>
          <w:sz w:val="24"/>
          <w:szCs w:val="24"/>
        </w:rPr>
        <w:t>规划管径DN500，沿正西街，蓬乐路规划管径DN400</w:t>
      </w:r>
      <w:r>
        <w:rPr>
          <w:rFonts w:hint="eastAsia" w:ascii="宋体" w:hAnsi="宋体" w:eastAsia="宋体" w:cs="Times New Roman"/>
          <w:kern w:val="0"/>
          <w:sz w:val="24"/>
          <w:szCs w:val="24"/>
        </w:rPr>
        <w:t>。</w:t>
      </w:r>
      <w:r>
        <w:rPr>
          <w:rFonts w:ascii="宋体" w:hAnsi="宋体" w:eastAsia="宋体" w:cs="Times New Roman"/>
          <w:kern w:val="0"/>
          <w:sz w:val="24"/>
          <w:szCs w:val="24"/>
        </w:rPr>
        <w:t>雨水系统布置充分利用地形，结合分散就近排放的原则，根据地形特点和雨水汇流方向，保证雨水管渠以最短路线就近排入周边水体。</w:t>
      </w:r>
    </w:p>
    <w:p>
      <w:pPr>
        <w:adjustRightInd w:val="0"/>
        <w:snapToGrid w:val="0"/>
        <w:spacing w:line="360" w:lineRule="auto"/>
        <w:ind w:firstLine="480" w:firstLineChars="200"/>
        <w:rPr>
          <w:rFonts w:ascii="宋体" w:hAnsi="宋体" w:eastAsia="宋体" w:cs="Times New Roman"/>
          <w:kern w:val="0"/>
          <w:sz w:val="24"/>
          <w:szCs w:val="24"/>
        </w:rPr>
      </w:pPr>
      <w:r>
        <w:rPr>
          <w:rFonts w:hint="eastAsia" w:ascii="宋体" w:hAnsi="宋体" w:eastAsia="宋体" w:cs="Times New Roman"/>
          <w:kern w:val="0"/>
          <w:sz w:val="24"/>
          <w:szCs w:val="24"/>
        </w:rPr>
        <w:t>3、污水工程</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规划镇区综合生活污水排放系数取</w:t>
      </w:r>
      <w:r>
        <w:rPr>
          <w:rFonts w:hint="eastAsia" w:ascii="宋体" w:hAnsi="宋体" w:eastAsia="宋体" w:cs="Times New Roman"/>
          <w:kern w:val="0"/>
          <w:sz w:val="24"/>
          <w:szCs w:val="24"/>
        </w:rPr>
        <w:t>0.80</w:t>
      </w:r>
      <w:r>
        <w:rPr>
          <w:rFonts w:ascii="宋体" w:hAnsi="宋体" w:eastAsia="宋体" w:cs="Times New Roman"/>
          <w:kern w:val="0"/>
          <w:sz w:val="24"/>
          <w:szCs w:val="24"/>
        </w:rPr>
        <w:t>，污水处理率取100%，镇区远期均日污水量约为</w:t>
      </w:r>
      <w:r>
        <w:rPr>
          <w:rFonts w:hint="eastAsia" w:ascii="宋体" w:hAnsi="宋体" w:eastAsia="宋体" w:cs="Times New Roman"/>
          <w:kern w:val="0"/>
          <w:sz w:val="24"/>
          <w:szCs w:val="24"/>
        </w:rPr>
        <w:t>0.104</w:t>
      </w:r>
      <w:r>
        <w:rPr>
          <w:rFonts w:ascii="宋体" w:hAnsi="宋体" w:eastAsia="宋体" w:cs="Times New Roman"/>
          <w:kern w:val="0"/>
          <w:sz w:val="24"/>
          <w:szCs w:val="24"/>
        </w:rPr>
        <w:t>万吨/日。规划利用镇区污水处理厂，集中收集处理镇区以及近郊村庄生活污水。</w:t>
      </w:r>
    </w:p>
    <w:p>
      <w:pPr>
        <w:adjustRightInd w:val="0"/>
        <w:snapToGrid w:val="0"/>
        <w:spacing w:line="360" w:lineRule="auto"/>
        <w:ind w:firstLine="482" w:firstLineChars="200"/>
        <w:rPr>
          <w:rFonts w:ascii="宋体" w:hAnsi="宋体" w:eastAsia="宋体" w:cs="Times New Roman"/>
          <w:b/>
          <w:kern w:val="0"/>
          <w:sz w:val="24"/>
          <w:szCs w:val="24"/>
          <w:u w:val="single"/>
        </w:rPr>
      </w:pPr>
      <w:r>
        <w:rPr>
          <w:rFonts w:ascii="宋体" w:hAnsi="宋体" w:eastAsia="宋体" w:cs="Times New Roman"/>
          <w:b/>
          <w:kern w:val="0"/>
          <w:sz w:val="24"/>
          <w:szCs w:val="24"/>
          <w:u w:val="single"/>
        </w:rPr>
        <w:t>综合生活污水和工业废水排入城镇污水系统的水质应符合《污水排入城镇下水道水质标准</w:t>
      </w:r>
      <w:r>
        <w:rPr>
          <w:rFonts w:hint="eastAsia" w:ascii="宋体" w:hAnsi="宋体" w:eastAsia="宋体" w:cs="Times New Roman"/>
          <w:b/>
          <w:kern w:val="0"/>
          <w:sz w:val="24"/>
          <w:szCs w:val="24"/>
          <w:u w:val="single"/>
        </w:rPr>
        <w:t>（</w:t>
      </w:r>
      <w:r>
        <w:rPr>
          <w:rFonts w:ascii="宋体" w:hAnsi="宋体" w:eastAsia="宋体" w:cs="Times New Roman"/>
          <w:b/>
          <w:kern w:val="0"/>
          <w:sz w:val="24"/>
          <w:szCs w:val="24"/>
          <w:u w:val="single"/>
        </w:rPr>
        <w:t>GB/</w:t>
      </w:r>
      <w:r>
        <w:rPr>
          <w:rFonts w:hint="eastAsia" w:ascii="宋体" w:hAnsi="宋体" w:eastAsia="宋体" w:cs="Times New Roman"/>
          <w:b/>
          <w:kern w:val="0"/>
          <w:sz w:val="24"/>
          <w:szCs w:val="24"/>
          <w:u w:val="single"/>
        </w:rPr>
        <w:t>T</w:t>
      </w:r>
      <w:r>
        <w:rPr>
          <w:rFonts w:ascii="宋体" w:hAnsi="宋体" w:eastAsia="宋体" w:cs="Times New Roman"/>
          <w:b/>
          <w:kern w:val="0"/>
          <w:sz w:val="24"/>
          <w:szCs w:val="24"/>
          <w:u w:val="single"/>
        </w:rPr>
        <w:t>31962-2015</w:t>
      </w:r>
      <w:r>
        <w:rPr>
          <w:rFonts w:hint="eastAsia" w:ascii="宋体" w:hAnsi="宋体" w:eastAsia="宋体" w:cs="Times New Roman"/>
          <w:b/>
          <w:kern w:val="0"/>
          <w:sz w:val="24"/>
          <w:szCs w:val="24"/>
          <w:u w:val="single"/>
        </w:rPr>
        <w:t>）</w:t>
      </w:r>
      <w:r>
        <w:rPr>
          <w:rFonts w:ascii="宋体" w:hAnsi="宋体" w:eastAsia="宋体" w:cs="Times New Roman"/>
          <w:b/>
          <w:kern w:val="0"/>
          <w:sz w:val="24"/>
          <w:szCs w:val="24"/>
          <w:u w:val="single"/>
        </w:rPr>
        <w:t>》的要求</w:t>
      </w:r>
      <w:r>
        <w:rPr>
          <w:rFonts w:hint="eastAsia" w:ascii="宋体" w:hAnsi="宋体" w:eastAsia="宋体" w:cs="Times New Roman"/>
          <w:b/>
          <w:kern w:val="0"/>
          <w:sz w:val="24"/>
          <w:szCs w:val="24"/>
          <w:u w:val="single"/>
        </w:rPr>
        <w:t>，污水处理站处理后排放标准不低于《城镇污水处理厂污染物排放标准》中的一级</w:t>
      </w:r>
      <w:r>
        <w:rPr>
          <w:rFonts w:ascii="宋体" w:hAnsi="宋体" w:eastAsia="宋体" w:cs="Times New Roman"/>
          <w:b/>
          <w:kern w:val="0"/>
          <w:sz w:val="24"/>
          <w:szCs w:val="24"/>
          <w:u w:val="single"/>
        </w:rPr>
        <w:t xml:space="preserve">A </w:t>
      </w:r>
      <w:r>
        <w:rPr>
          <w:rFonts w:hint="eastAsia" w:ascii="宋体" w:hAnsi="宋体" w:eastAsia="宋体" w:cs="Times New Roman"/>
          <w:b/>
          <w:kern w:val="0"/>
          <w:sz w:val="24"/>
          <w:szCs w:val="24"/>
          <w:u w:val="single"/>
        </w:rPr>
        <w:t>标准</w:t>
      </w:r>
      <w:r>
        <w:rPr>
          <w:rFonts w:ascii="宋体" w:hAnsi="宋体" w:eastAsia="宋体" w:cs="Times New Roman"/>
          <w:b/>
          <w:kern w:val="0"/>
          <w:sz w:val="24"/>
          <w:szCs w:val="24"/>
          <w:u w:val="single"/>
        </w:rPr>
        <w:t>，并满足水环境功能区划对受纳水体环境质量的控制要求。</w:t>
      </w:r>
    </w:p>
    <w:p>
      <w:pPr>
        <w:adjustRightInd w:val="0"/>
        <w:snapToGrid w:val="0"/>
        <w:spacing w:line="360" w:lineRule="auto"/>
        <w:ind w:firstLine="480" w:firstLineChars="200"/>
        <w:rPr>
          <w:rFonts w:ascii="宋体" w:hAnsi="宋体" w:eastAsia="宋体" w:cs="Times New Roman"/>
          <w:kern w:val="0"/>
          <w:sz w:val="24"/>
          <w:szCs w:val="24"/>
        </w:rPr>
      </w:pPr>
      <w:r>
        <w:rPr>
          <w:rFonts w:hint="eastAsia" w:ascii="宋体" w:hAnsi="宋体" w:eastAsia="宋体" w:cs="Times New Roman"/>
          <w:kern w:val="0"/>
          <w:sz w:val="24"/>
          <w:szCs w:val="24"/>
        </w:rPr>
        <w:t>4、污水管网规划</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保留原有</w:t>
      </w:r>
      <w:r>
        <w:rPr>
          <w:rFonts w:hint="eastAsia" w:ascii="宋体" w:hAnsi="宋体" w:eastAsia="宋体" w:cs="Times New Roman"/>
          <w:kern w:val="0"/>
          <w:sz w:val="24"/>
          <w:szCs w:val="24"/>
        </w:rPr>
        <w:t>污水</w:t>
      </w:r>
      <w:r>
        <w:rPr>
          <w:rFonts w:ascii="宋体" w:hAnsi="宋体" w:eastAsia="宋体" w:cs="Times New Roman"/>
          <w:kern w:val="0"/>
          <w:sz w:val="24"/>
          <w:szCs w:val="24"/>
        </w:rPr>
        <w:t>管网。规划管径DN600</w:t>
      </w:r>
      <w:r>
        <w:rPr>
          <w:rFonts w:hint="eastAsia" w:ascii="宋体" w:hAnsi="宋体" w:eastAsia="宋体" w:cs="Times New Roman"/>
          <w:kern w:val="0"/>
          <w:sz w:val="24"/>
          <w:szCs w:val="24"/>
        </w:rPr>
        <w:t>沿荣昌街敷设，</w:t>
      </w:r>
      <w:r>
        <w:rPr>
          <w:rFonts w:ascii="宋体" w:hAnsi="宋体" w:eastAsia="宋体" w:cs="Times New Roman"/>
          <w:kern w:val="0"/>
          <w:sz w:val="24"/>
          <w:szCs w:val="24"/>
        </w:rPr>
        <w:t>规划管径DN400</w:t>
      </w:r>
      <w:r>
        <w:rPr>
          <w:rFonts w:hint="eastAsia" w:ascii="宋体" w:hAnsi="宋体" w:eastAsia="宋体" w:cs="Times New Roman"/>
          <w:kern w:val="0"/>
          <w:sz w:val="24"/>
          <w:szCs w:val="24"/>
        </w:rPr>
        <w:t>沿</w:t>
      </w:r>
      <w:r>
        <w:rPr>
          <w:rFonts w:ascii="宋体" w:hAnsi="宋体" w:eastAsia="宋体" w:cs="Times New Roman"/>
          <w:kern w:val="0"/>
          <w:sz w:val="24"/>
          <w:szCs w:val="24"/>
        </w:rPr>
        <w:t>蓬乐路，正东街，正北街敷设。规划管径DN300</w:t>
      </w:r>
      <w:r>
        <w:rPr>
          <w:rFonts w:hint="eastAsia" w:ascii="宋体" w:hAnsi="宋体" w:eastAsia="宋体" w:cs="Times New Roman"/>
          <w:kern w:val="0"/>
          <w:sz w:val="24"/>
          <w:szCs w:val="24"/>
        </w:rPr>
        <w:t>沿</w:t>
      </w:r>
      <w:r>
        <w:rPr>
          <w:rFonts w:ascii="宋体" w:hAnsi="宋体" w:eastAsia="宋体" w:cs="Times New Roman"/>
          <w:kern w:val="0"/>
          <w:sz w:val="24"/>
          <w:szCs w:val="24"/>
        </w:rPr>
        <w:t>蓬乐路敷设</w:t>
      </w:r>
      <w:r>
        <w:rPr>
          <w:rFonts w:hint="eastAsia" w:ascii="宋体" w:hAnsi="宋体" w:eastAsia="宋体" w:cs="Times New Roman"/>
          <w:kern w:val="0"/>
          <w:sz w:val="24"/>
          <w:szCs w:val="24"/>
        </w:rPr>
        <w:t>。</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新建的污水管道沿道路敷设，共新建六条支管。新规划的污水管网覆盖镇区内所有居民，全镇所有生活污水由河边镇污水处理厂进行处理。</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（四）电力工程规划</w:t>
      </w:r>
    </w:p>
    <w:p>
      <w:pPr>
        <w:adjustRightInd w:val="0"/>
        <w:snapToGrid w:val="0"/>
        <w:spacing w:line="360" w:lineRule="auto"/>
        <w:ind w:firstLine="480" w:firstLineChars="200"/>
        <w:rPr>
          <w:rFonts w:ascii="宋体" w:hAnsi="宋体" w:eastAsia="宋体" w:cs="Times New Roman"/>
          <w:kern w:val="0"/>
          <w:sz w:val="24"/>
          <w:szCs w:val="24"/>
        </w:rPr>
      </w:pPr>
      <w:r>
        <w:rPr>
          <w:rFonts w:hint="eastAsia" w:ascii="宋体" w:hAnsi="宋体" w:eastAsia="宋体" w:cs="Times New Roman"/>
          <w:kern w:val="0"/>
          <w:sz w:val="24"/>
          <w:szCs w:val="24"/>
        </w:rPr>
        <w:t>1、电力负荷预算</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根据规划用地性质，采用分类用地负荷密度法预测本规划区用电负荷，用电指标及负荷预测结果详见下表：</w:t>
      </w:r>
    </w:p>
    <w:tbl>
      <w:tblPr>
        <w:tblStyle w:val="16"/>
        <w:tblW w:w="5000" w:type="pct"/>
        <w:tblInd w:w="0" w:type="dxa"/>
        <w:tblLayout w:type="autofit"/>
        <w:tblCellMar>
          <w:top w:w="0" w:type="dxa"/>
          <w:left w:w="108" w:type="dxa"/>
          <w:bottom w:w="0" w:type="dxa"/>
          <w:right w:w="108" w:type="dxa"/>
        </w:tblCellMar>
      </w:tblPr>
      <w:tblGrid>
        <w:gridCol w:w="1245"/>
        <w:gridCol w:w="3247"/>
        <w:gridCol w:w="1244"/>
        <w:gridCol w:w="1542"/>
        <w:gridCol w:w="1244"/>
      </w:tblGrid>
      <w:tr>
        <w:tblPrEx>
          <w:tblCellMar>
            <w:top w:w="0" w:type="dxa"/>
            <w:left w:w="108" w:type="dxa"/>
            <w:bottom w:w="0" w:type="dxa"/>
            <w:right w:w="108" w:type="dxa"/>
          </w:tblCellMar>
        </w:tblPrEx>
        <w:trPr>
          <w:trHeight w:val="540" w:hRule="atLeast"/>
        </w:trPr>
        <w:tc>
          <w:tcPr>
            <w:tcW w:w="73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序号</w:t>
            </w:r>
          </w:p>
        </w:tc>
        <w:tc>
          <w:tcPr>
            <w:tcW w:w="1905"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用地名称</w:t>
            </w:r>
          </w:p>
        </w:tc>
        <w:tc>
          <w:tcPr>
            <w:tcW w:w="730"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规划面积</w:t>
            </w:r>
            <w:r>
              <w:rPr>
                <w:rFonts w:hint="eastAsia" w:cs="宋体" w:asciiTheme="minorEastAsia" w:hAnsiTheme="minorEastAsia"/>
                <w:color w:val="000000"/>
                <w:kern w:val="0"/>
                <w:szCs w:val="21"/>
              </w:rPr>
              <w:br w:type="textWrapping"/>
            </w:r>
            <w:r>
              <w:rPr>
                <w:rFonts w:hint="eastAsia" w:cs="宋体" w:asciiTheme="minorEastAsia" w:hAnsiTheme="minorEastAsia"/>
                <w:color w:val="000000"/>
                <w:kern w:val="0"/>
                <w:szCs w:val="21"/>
              </w:rPr>
              <w:t>（ha）</w:t>
            </w:r>
          </w:p>
        </w:tc>
        <w:tc>
          <w:tcPr>
            <w:tcW w:w="905"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用电指标</w:t>
            </w:r>
            <w:r>
              <w:rPr>
                <w:rFonts w:hint="eastAsia" w:cs="宋体" w:asciiTheme="minorEastAsia" w:hAnsiTheme="minorEastAsia"/>
                <w:color w:val="000000"/>
                <w:kern w:val="0"/>
                <w:szCs w:val="21"/>
              </w:rPr>
              <w:br w:type="textWrapping"/>
            </w:r>
            <w:r>
              <w:rPr>
                <w:rFonts w:hint="eastAsia" w:cs="宋体" w:asciiTheme="minorEastAsia" w:hAnsiTheme="minorEastAsia"/>
                <w:color w:val="000000"/>
                <w:kern w:val="0"/>
                <w:szCs w:val="21"/>
              </w:rPr>
              <w:t>（KW/ha）</w:t>
            </w:r>
          </w:p>
        </w:tc>
        <w:tc>
          <w:tcPr>
            <w:tcW w:w="730"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用电负荷</w:t>
            </w:r>
            <w:r>
              <w:rPr>
                <w:rFonts w:hint="eastAsia" w:cs="宋体" w:asciiTheme="minorEastAsia" w:hAnsiTheme="minorEastAsia"/>
                <w:color w:val="000000"/>
                <w:kern w:val="0"/>
                <w:szCs w:val="21"/>
              </w:rPr>
              <w:br w:type="textWrapping"/>
            </w:r>
            <w:r>
              <w:rPr>
                <w:rFonts w:hint="eastAsia" w:cs="宋体" w:asciiTheme="minorEastAsia" w:hAnsiTheme="minorEastAsia"/>
                <w:color w:val="000000"/>
                <w:kern w:val="0"/>
                <w:szCs w:val="21"/>
              </w:rPr>
              <w:t>（KW）</w:t>
            </w:r>
          </w:p>
        </w:tc>
      </w:tr>
      <w:tr>
        <w:tblPrEx>
          <w:tblCellMar>
            <w:top w:w="0" w:type="dxa"/>
            <w:left w:w="108" w:type="dxa"/>
            <w:bottom w:w="0" w:type="dxa"/>
            <w:right w:w="108" w:type="dxa"/>
          </w:tblCellMar>
        </w:tblPrEx>
        <w:trPr>
          <w:trHeight w:val="270" w:hRule="atLeast"/>
        </w:trPr>
        <w:tc>
          <w:tcPr>
            <w:tcW w:w="730"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w:t>
            </w:r>
          </w:p>
        </w:tc>
        <w:tc>
          <w:tcPr>
            <w:tcW w:w="1905"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居住用地</w:t>
            </w:r>
          </w:p>
        </w:tc>
        <w:tc>
          <w:tcPr>
            <w:tcW w:w="73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21.69</w:t>
            </w:r>
          </w:p>
        </w:tc>
        <w:tc>
          <w:tcPr>
            <w:tcW w:w="905"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250</w:t>
            </w:r>
          </w:p>
        </w:tc>
        <w:tc>
          <w:tcPr>
            <w:tcW w:w="73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cs="宋体" w:asciiTheme="minorEastAsia" w:hAnsiTheme="minorEastAsia"/>
                <w:color w:val="000000"/>
                <w:kern w:val="0"/>
                <w:szCs w:val="21"/>
              </w:rPr>
              <w:t>5422.5</w:t>
            </w:r>
          </w:p>
        </w:tc>
      </w:tr>
      <w:tr>
        <w:tblPrEx>
          <w:tblCellMar>
            <w:top w:w="0" w:type="dxa"/>
            <w:left w:w="108" w:type="dxa"/>
            <w:bottom w:w="0" w:type="dxa"/>
            <w:right w:w="108" w:type="dxa"/>
          </w:tblCellMar>
        </w:tblPrEx>
        <w:trPr>
          <w:trHeight w:val="270" w:hRule="atLeast"/>
        </w:trPr>
        <w:tc>
          <w:tcPr>
            <w:tcW w:w="730"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w:t>
            </w:r>
          </w:p>
        </w:tc>
        <w:tc>
          <w:tcPr>
            <w:tcW w:w="1905"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公共管理与公共服务用地</w:t>
            </w:r>
          </w:p>
        </w:tc>
        <w:tc>
          <w:tcPr>
            <w:tcW w:w="73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5.13</w:t>
            </w:r>
          </w:p>
        </w:tc>
        <w:tc>
          <w:tcPr>
            <w:tcW w:w="905"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300</w:t>
            </w:r>
          </w:p>
        </w:tc>
        <w:tc>
          <w:tcPr>
            <w:tcW w:w="73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cs="宋体" w:asciiTheme="minorEastAsia" w:hAnsiTheme="minorEastAsia"/>
                <w:color w:val="000000"/>
                <w:kern w:val="0"/>
                <w:szCs w:val="21"/>
              </w:rPr>
              <w:t>1539</w:t>
            </w:r>
          </w:p>
        </w:tc>
      </w:tr>
      <w:tr>
        <w:tblPrEx>
          <w:tblCellMar>
            <w:top w:w="0" w:type="dxa"/>
            <w:left w:w="108" w:type="dxa"/>
            <w:bottom w:w="0" w:type="dxa"/>
            <w:right w:w="108" w:type="dxa"/>
          </w:tblCellMar>
        </w:tblPrEx>
        <w:trPr>
          <w:trHeight w:val="270" w:hRule="atLeast"/>
        </w:trPr>
        <w:tc>
          <w:tcPr>
            <w:tcW w:w="730"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3</w:t>
            </w:r>
          </w:p>
        </w:tc>
        <w:tc>
          <w:tcPr>
            <w:tcW w:w="1905"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商业服务业用地</w:t>
            </w:r>
          </w:p>
        </w:tc>
        <w:tc>
          <w:tcPr>
            <w:tcW w:w="73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5.0</w:t>
            </w:r>
          </w:p>
        </w:tc>
        <w:tc>
          <w:tcPr>
            <w:tcW w:w="905"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800</w:t>
            </w:r>
          </w:p>
        </w:tc>
        <w:tc>
          <w:tcPr>
            <w:tcW w:w="73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cs="宋体" w:asciiTheme="minorEastAsia" w:hAnsiTheme="minorEastAsia"/>
                <w:color w:val="000000"/>
                <w:kern w:val="0"/>
                <w:szCs w:val="21"/>
              </w:rPr>
              <w:t>4000</w:t>
            </w:r>
          </w:p>
        </w:tc>
      </w:tr>
      <w:tr>
        <w:tblPrEx>
          <w:tblCellMar>
            <w:top w:w="0" w:type="dxa"/>
            <w:left w:w="108" w:type="dxa"/>
            <w:bottom w:w="0" w:type="dxa"/>
            <w:right w:w="108" w:type="dxa"/>
          </w:tblCellMar>
        </w:tblPrEx>
        <w:trPr>
          <w:trHeight w:val="270" w:hRule="atLeast"/>
        </w:trPr>
        <w:tc>
          <w:tcPr>
            <w:tcW w:w="730"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4</w:t>
            </w:r>
          </w:p>
        </w:tc>
        <w:tc>
          <w:tcPr>
            <w:tcW w:w="1905"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交通运输用地</w:t>
            </w:r>
          </w:p>
        </w:tc>
        <w:tc>
          <w:tcPr>
            <w:tcW w:w="73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10.98</w:t>
            </w:r>
          </w:p>
        </w:tc>
        <w:tc>
          <w:tcPr>
            <w:tcW w:w="905"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20</w:t>
            </w:r>
          </w:p>
        </w:tc>
        <w:tc>
          <w:tcPr>
            <w:tcW w:w="73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cs="宋体" w:asciiTheme="minorEastAsia" w:hAnsiTheme="minorEastAsia"/>
                <w:color w:val="000000"/>
                <w:kern w:val="0"/>
                <w:szCs w:val="21"/>
              </w:rPr>
              <w:t>219.6</w:t>
            </w:r>
          </w:p>
        </w:tc>
      </w:tr>
      <w:tr>
        <w:tblPrEx>
          <w:tblCellMar>
            <w:top w:w="0" w:type="dxa"/>
            <w:left w:w="108" w:type="dxa"/>
            <w:bottom w:w="0" w:type="dxa"/>
            <w:right w:w="108" w:type="dxa"/>
          </w:tblCellMar>
        </w:tblPrEx>
        <w:trPr>
          <w:trHeight w:val="270" w:hRule="atLeast"/>
        </w:trPr>
        <w:tc>
          <w:tcPr>
            <w:tcW w:w="730"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5</w:t>
            </w:r>
          </w:p>
        </w:tc>
        <w:tc>
          <w:tcPr>
            <w:tcW w:w="1905"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仓储用地</w:t>
            </w:r>
          </w:p>
        </w:tc>
        <w:tc>
          <w:tcPr>
            <w:tcW w:w="73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1.99</w:t>
            </w:r>
          </w:p>
        </w:tc>
        <w:tc>
          <w:tcPr>
            <w:tcW w:w="905"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30</w:t>
            </w:r>
          </w:p>
        </w:tc>
        <w:tc>
          <w:tcPr>
            <w:tcW w:w="73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cs="宋体" w:asciiTheme="minorEastAsia" w:hAnsiTheme="minorEastAsia"/>
                <w:color w:val="000000"/>
                <w:kern w:val="0"/>
                <w:szCs w:val="21"/>
              </w:rPr>
              <w:t>59.7</w:t>
            </w:r>
          </w:p>
        </w:tc>
      </w:tr>
      <w:tr>
        <w:tblPrEx>
          <w:tblCellMar>
            <w:top w:w="0" w:type="dxa"/>
            <w:left w:w="108" w:type="dxa"/>
            <w:bottom w:w="0" w:type="dxa"/>
            <w:right w:w="108" w:type="dxa"/>
          </w:tblCellMar>
        </w:tblPrEx>
        <w:trPr>
          <w:trHeight w:val="270" w:hRule="atLeast"/>
        </w:trPr>
        <w:tc>
          <w:tcPr>
            <w:tcW w:w="730"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6</w:t>
            </w:r>
          </w:p>
        </w:tc>
        <w:tc>
          <w:tcPr>
            <w:tcW w:w="1905"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工矿用地</w:t>
            </w:r>
          </w:p>
        </w:tc>
        <w:tc>
          <w:tcPr>
            <w:tcW w:w="73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1.75</w:t>
            </w:r>
          </w:p>
        </w:tc>
        <w:tc>
          <w:tcPr>
            <w:tcW w:w="905"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200</w:t>
            </w:r>
          </w:p>
        </w:tc>
        <w:tc>
          <w:tcPr>
            <w:tcW w:w="73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cs="宋体" w:asciiTheme="minorEastAsia" w:hAnsiTheme="minorEastAsia"/>
                <w:color w:val="000000"/>
                <w:kern w:val="0"/>
                <w:szCs w:val="21"/>
              </w:rPr>
              <w:t>350</w:t>
            </w:r>
          </w:p>
        </w:tc>
      </w:tr>
      <w:tr>
        <w:tblPrEx>
          <w:tblCellMar>
            <w:top w:w="0" w:type="dxa"/>
            <w:left w:w="108" w:type="dxa"/>
            <w:bottom w:w="0" w:type="dxa"/>
            <w:right w:w="108" w:type="dxa"/>
          </w:tblCellMar>
        </w:tblPrEx>
        <w:trPr>
          <w:trHeight w:val="270" w:hRule="atLeast"/>
        </w:trPr>
        <w:tc>
          <w:tcPr>
            <w:tcW w:w="730"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7</w:t>
            </w:r>
          </w:p>
        </w:tc>
        <w:tc>
          <w:tcPr>
            <w:tcW w:w="1905"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公用设施用地</w:t>
            </w:r>
          </w:p>
        </w:tc>
        <w:tc>
          <w:tcPr>
            <w:tcW w:w="73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0.97</w:t>
            </w:r>
          </w:p>
        </w:tc>
        <w:tc>
          <w:tcPr>
            <w:tcW w:w="905"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200</w:t>
            </w:r>
          </w:p>
        </w:tc>
        <w:tc>
          <w:tcPr>
            <w:tcW w:w="73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cs="宋体" w:asciiTheme="minorEastAsia" w:hAnsiTheme="minorEastAsia"/>
                <w:color w:val="000000"/>
                <w:kern w:val="0"/>
                <w:szCs w:val="21"/>
              </w:rPr>
              <w:t>194</w:t>
            </w:r>
          </w:p>
        </w:tc>
      </w:tr>
      <w:tr>
        <w:tblPrEx>
          <w:tblCellMar>
            <w:top w:w="0" w:type="dxa"/>
            <w:left w:w="108" w:type="dxa"/>
            <w:bottom w:w="0" w:type="dxa"/>
            <w:right w:w="108" w:type="dxa"/>
          </w:tblCellMar>
        </w:tblPrEx>
        <w:trPr>
          <w:trHeight w:val="270" w:hRule="atLeast"/>
        </w:trPr>
        <w:tc>
          <w:tcPr>
            <w:tcW w:w="730"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8</w:t>
            </w:r>
          </w:p>
        </w:tc>
        <w:tc>
          <w:tcPr>
            <w:tcW w:w="1905"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绿地与开敞空间用地</w:t>
            </w:r>
          </w:p>
        </w:tc>
        <w:tc>
          <w:tcPr>
            <w:tcW w:w="73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4.51</w:t>
            </w:r>
          </w:p>
        </w:tc>
        <w:tc>
          <w:tcPr>
            <w:tcW w:w="905"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10</w:t>
            </w:r>
          </w:p>
        </w:tc>
        <w:tc>
          <w:tcPr>
            <w:tcW w:w="73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cs="宋体" w:asciiTheme="minorEastAsia" w:hAnsiTheme="minorEastAsia"/>
                <w:color w:val="000000"/>
                <w:kern w:val="0"/>
                <w:szCs w:val="21"/>
              </w:rPr>
              <w:t>45.1</w:t>
            </w:r>
          </w:p>
        </w:tc>
      </w:tr>
      <w:tr>
        <w:tblPrEx>
          <w:tblCellMar>
            <w:top w:w="0" w:type="dxa"/>
            <w:left w:w="108" w:type="dxa"/>
            <w:bottom w:w="0" w:type="dxa"/>
            <w:right w:w="108" w:type="dxa"/>
          </w:tblCellMar>
        </w:tblPrEx>
        <w:trPr>
          <w:trHeight w:val="270" w:hRule="atLeast"/>
        </w:trPr>
        <w:tc>
          <w:tcPr>
            <w:tcW w:w="4270" w:type="pct"/>
            <w:gridSpan w:val="4"/>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合计</w:t>
            </w:r>
          </w:p>
        </w:tc>
        <w:tc>
          <w:tcPr>
            <w:tcW w:w="73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cs="宋体" w:asciiTheme="minorEastAsia" w:hAnsiTheme="minorEastAsia"/>
                <w:color w:val="000000"/>
                <w:kern w:val="0"/>
                <w:szCs w:val="21"/>
              </w:rPr>
              <w:t>11829.9</w:t>
            </w:r>
          </w:p>
        </w:tc>
      </w:tr>
    </w:tbl>
    <w:p>
      <w:pPr>
        <w:adjustRightInd w:val="0"/>
        <w:snapToGrid w:val="0"/>
        <w:spacing w:beforeLines="50"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负荷同时率取0.7，计算出总用电量为8280.93千瓦。</w:t>
      </w:r>
    </w:p>
    <w:p>
      <w:pPr>
        <w:adjustRightInd w:val="0"/>
        <w:snapToGrid w:val="0"/>
        <w:spacing w:line="360" w:lineRule="auto"/>
        <w:ind w:firstLine="480" w:firstLineChars="200"/>
        <w:rPr>
          <w:rFonts w:ascii="宋体" w:hAnsi="宋体" w:eastAsia="宋体" w:cs="Times New Roman"/>
          <w:kern w:val="0"/>
          <w:sz w:val="24"/>
          <w:szCs w:val="24"/>
        </w:rPr>
      </w:pPr>
      <w:r>
        <w:rPr>
          <w:rFonts w:hint="eastAsia" w:ascii="宋体" w:hAnsi="宋体" w:eastAsia="宋体" w:cs="Times New Roman"/>
          <w:kern w:val="0"/>
          <w:sz w:val="24"/>
          <w:szCs w:val="24"/>
        </w:rPr>
        <w:t>2、电力工程</w:t>
      </w:r>
    </w:p>
    <w:p>
      <w:pPr>
        <w:adjustRightInd w:val="0"/>
        <w:snapToGrid w:val="0"/>
        <w:spacing w:line="360" w:lineRule="auto"/>
        <w:ind w:firstLine="480" w:firstLineChars="200"/>
        <w:rPr>
          <w:rFonts w:ascii="宋体" w:hAnsi="宋体" w:eastAsia="宋体" w:cs="Times New Roman"/>
          <w:kern w:val="0"/>
          <w:sz w:val="24"/>
          <w:szCs w:val="24"/>
        </w:rPr>
      </w:pPr>
      <w:r>
        <w:rPr>
          <w:rFonts w:hint="eastAsia" w:ascii="宋体" w:hAnsi="宋体" w:eastAsia="宋体" w:cs="Times New Roman"/>
          <w:kern w:val="0"/>
          <w:sz w:val="24"/>
          <w:szCs w:val="24"/>
        </w:rPr>
        <w:t>保留现状河边35KV变电站，</w:t>
      </w:r>
      <w:r>
        <w:rPr>
          <w:rFonts w:ascii="宋体" w:hAnsi="宋体" w:eastAsia="宋体" w:cs="Times New Roman"/>
          <w:kern w:val="0"/>
          <w:sz w:val="24"/>
          <w:szCs w:val="24"/>
        </w:rPr>
        <w:t>35kV玉河线电力线从镇区北部经过，走廊控制宽度</w:t>
      </w:r>
      <w:r>
        <w:rPr>
          <w:rFonts w:hint="eastAsia" w:ascii="宋体" w:hAnsi="宋体" w:eastAsia="宋体" w:cs="Times New Roman"/>
          <w:kern w:val="0"/>
          <w:sz w:val="24"/>
          <w:szCs w:val="24"/>
        </w:rPr>
        <w:t>30</w:t>
      </w:r>
      <w:r>
        <w:rPr>
          <w:rFonts w:ascii="宋体" w:hAnsi="宋体" w:eastAsia="宋体" w:cs="Times New Roman"/>
          <w:kern w:val="0"/>
          <w:sz w:val="24"/>
          <w:szCs w:val="24"/>
        </w:rPr>
        <w:t>米。规划10kV中压配电网沿城镇道路布局形成环形网络，远期采用电力浅沟方式敷设。规划低压电网采用放射与树枝状结合的形式。</w:t>
      </w:r>
    </w:p>
    <w:p>
      <w:pPr>
        <w:adjustRightInd w:val="0"/>
        <w:snapToGrid w:val="0"/>
        <w:spacing w:line="360" w:lineRule="auto"/>
        <w:ind w:firstLine="480" w:firstLineChars="200"/>
        <w:rPr>
          <w:rFonts w:ascii="宋体" w:hAnsi="宋体" w:eastAsia="宋体" w:cs="Times New Roman"/>
          <w:b/>
          <w:kern w:val="0"/>
          <w:sz w:val="24"/>
          <w:szCs w:val="24"/>
          <w:u w:val="single"/>
        </w:rPr>
      </w:pPr>
      <w:r>
        <w:rPr>
          <w:rFonts w:hint="eastAsia" w:ascii="宋体" w:hAnsi="宋体" w:eastAsia="宋体" w:cs="Times New Roman"/>
          <w:kern w:val="0"/>
          <w:sz w:val="24"/>
          <w:szCs w:val="24"/>
        </w:rPr>
        <w:t>保护、控制现状及规划高压线走廊（含防护隔离带），对于保留的现状架空电力线路及杆塔位，以实测坐标控制，规划及调整架空电力线路及杆塔位按规划预留走廊进行控制，</w:t>
      </w:r>
      <w:r>
        <w:rPr>
          <w:rFonts w:ascii="宋体" w:hAnsi="宋体" w:eastAsia="宋体" w:cs="Times New Roman"/>
          <w:b/>
          <w:kern w:val="0"/>
          <w:sz w:val="24"/>
          <w:szCs w:val="24"/>
          <w:u w:val="single"/>
        </w:rPr>
        <w:t xml:space="preserve">35kV </w:t>
      </w:r>
      <w:r>
        <w:rPr>
          <w:rFonts w:hint="eastAsia" w:ascii="宋体" w:hAnsi="宋体" w:eastAsia="宋体" w:cs="Times New Roman"/>
          <w:b/>
          <w:kern w:val="0"/>
          <w:sz w:val="24"/>
          <w:szCs w:val="24"/>
          <w:u w:val="single"/>
        </w:rPr>
        <w:t>高压架空单回电力线走廊宽度控制为</w:t>
      </w:r>
      <w:r>
        <w:rPr>
          <w:rFonts w:ascii="宋体" w:hAnsi="宋体" w:eastAsia="宋体" w:cs="Times New Roman"/>
          <w:b/>
          <w:kern w:val="0"/>
          <w:sz w:val="24"/>
          <w:szCs w:val="24"/>
          <w:u w:val="single"/>
        </w:rPr>
        <w:t xml:space="preserve">20 </w:t>
      </w:r>
      <w:r>
        <w:rPr>
          <w:rFonts w:hint="eastAsia" w:ascii="宋体" w:hAnsi="宋体" w:eastAsia="宋体" w:cs="Times New Roman"/>
          <w:b/>
          <w:kern w:val="0"/>
          <w:sz w:val="24"/>
          <w:szCs w:val="24"/>
          <w:u w:val="single"/>
        </w:rPr>
        <w:t>米，同时应符合《城市电力规划规范》等相关国家法律法规和标准规范的要求。</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（五）通讯工程规划</w:t>
      </w:r>
    </w:p>
    <w:p>
      <w:pPr>
        <w:adjustRightInd w:val="0"/>
        <w:snapToGrid w:val="0"/>
        <w:spacing w:line="360" w:lineRule="auto"/>
        <w:ind w:firstLine="480" w:firstLineChars="200"/>
        <w:rPr>
          <w:rFonts w:ascii="宋体" w:hAnsi="宋体" w:eastAsia="宋体" w:cs="Times New Roman"/>
          <w:kern w:val="0"/>
          <w:sz w:val="24"/>
          <w:szCs w:val="24"/>
        </w:rPr>
      </w:pPr>
      <w:r>
        <w:rPr>
          <w:rFonts w:hint="eastAsia" w:ascii="宋体" w:hAnsi="宋体" w:eastAsia="宋体" w:cs="Times New Roman"/>
          <w:kern w:val="0"/>
          <w:sz w:val="24"/>
          <w:szCs w:val="24"/>
        </w:rPr>
        <w:t>1、市话用户预测</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固定电话普及率指标取</w:t>
      </w:r>
      <w:r>
        <w:rPr>
          <w:rFonts w:hint="eastAsia" w:ascii="宋体" w:hAnsi="宋体" w:eastAsia="宋体" w:cs="Times New Roman"/>
          <w:kern w:val="0"/>
          <w:sz w:val="24"/>
          <w:szCs w:val="24"/>
        </w:rPr>
        <w:t>60</w:t>
      </w:r>
      <w:r>
        <w:rPr>
          <w:rFonts w:ascii="宋体" w:hAnsi="宋体" w:eastAsia="宋体" w:cs="Times New Roman"/>
          <w:kern w:val="0"/>
          <w:sz w:val="24"/>
          <w:szCs w:val="24"/>
        </w:rPr>
        <w:t>部/百人，移动电话普及率指标取</w:t>
      </w:r>
      <w:r>
        <w:rPr>
          <w:rFonts w:hint="eastAsia" w:ascii="宋体" w:hAnsi="宋体" w:eastAsia="宋体" w:cs="Times New Roman"/>
          <w:kern w:val="0"/>
          <w:sz w:val="24"/>
          <w:szCs w:val="24"/>
        </w:rPr>
        <w:t>130</w:t>
      </w:r>
      <w:r>
        <w:rPr>
          <w:rFonts w:ascii="宋体" w:hAnsi="宋体" w:eastAsia="宋体" w:cs="Times New Roman"/>
          <w:kern w:val="0"/>
          <w:sz w:val="24"/>
          <w:szCs w:val="24"/>
        </w:rPr>
        <w:t>部/百人。</w:t>
      </w:r>
    </w:p>
    <w:p>
      <w:pPr>
        <w:adjustRightInd w:val="0"/>
        <w:snapToGrid w:val="0"/>
        <w:spacing w:line="360" w:lineRule="auto"/>
        <w:ind w:firstLine="480" w:firstLineChars="200"/>
        <w:rPr>
          <w:rFonts w:ascii="宋体" w:hAnsi="宋体" w:eastAsia="宋体" w:cs="Times New Roman"/>
          <w:kern w:val="0"/>
          <w:sz w:val="24"/>
          <w:szCs w:val="24"/>
        </w:rPr>
      </w:pPr>
      <w:r>
        <w:rPr>
          <w:rFonts w:hint="eastAsia" w:ascii="宋体" w:hAnsi="宋体" w:eastAsia="宋体" w:cs="Times New Roman"/>
          <w:kern w:val="0"/>
          <w:sz w:val="24"/>
          <w:szCs w:val="24"/>
        </w:rPr>
        <w:t>2、通信网络系统规划</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保留现状1处邮政所，规划配套完善相应功能。通信管网根据</w:t>
      </w:r>
      <w:r>
        <w:rPr>
          <w:rFonts w:hint="eastAsia" w:ascii="宋体" w:hAnsi="宋体" w:eastAsia="宋体" w:cs="Times New Roman"/>
          <w:kern w:val="0"/>
          <w:sz w:val="24"/>
          <w:szCs w:val="24"/>
        </w:rPr>
        <w:t>镇区</w:t>
      </w:r>
      <w:r>
        <w:rPr>
          <w:rFonts w:ascii="宋体" w:hAnsi="宋体" w:eastAsia="宋体" w:cs="Times New Roman"/>
          <w:kern w:val="0"/>
          <w:sz w:val="24"/>
          <w:szCs w:val="24"/>
        </w:rPr>
        <w:t>终期容量进行设计，管孔数量应满足各类通讯业务（电话、数据通信、有线电视等）的要求。规划主干管为9孔，支管为6孔。镇区主干通信管道可采用电缆穿PVC波纹管埋地敷设，配线光缆宜采用直埋敷设。</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（六）燃气工程规划</w:t>
      </w:r>
    </w:p>
    <w:p>
      <w:pPr>
        <w:adjustRightInd w:val="0"/>
        <w:snapToGrid w:val="0"/>
        <w:spacing w:line="360" w:lineRule="auto"/>
        <w:ind w:firstLine="480" w:firstLineChars="200"/>
        <w:rPr>
          <w:rFonts w:ascii="宋体" w:hAnsi="宋体" w:eastAsia="宋体" w:cs="Times New Roman"/>
          <w:kern w:val="0"/>
          <w:sz w:val="24"/>
          <w:szCs w:val="24"/>
        </w:rPr>
      </w:pPr>
      <w:r>
        <w:rPr>
          <w:rFonts w:hint="eastAsia" w:ascii="宋体" w:hAnsi="宋体" w:eastAsia="宋体" w:cs="Times New Roman"/>
          <w:kern w:val="0"/>
          <w:sz w:val="24"/>
          <w:szCs w:val="24"/>
        </w:rPr>
        <w:t>1、燃气需求量预测</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镇区远期规划常住人口为</w:t>
      </w:r>
      <w:r>
        <w:rPr>
          <w:rFonts w:hint="eastAsia" w:ascii="宋体" w:hAnsi="宋体" w:eastAsia="宋体" w:cs="Times New Roman"/>
          <w:kern w:val="0"/>
          <w:sz w:val="24"/>
          <w:szCs w:val="24"/>
        </w:rPr>
        <w:t>0.65</w:t>
      </w:r>
      <w:r>
        <w:rPr>
          <w:rFonts w:ascii="宋体" w:hAnsi="宋体" w:eastAsia="宋体" w:cs="Times New Roman"/>
          <w:kern w:val="0"/>
          <w:sz w:val="24"/>
          <w:szCs w:val="24"/>
        </w:rPr>
        <w:t>万人，规划镇区天然气气化率达到100%，</w:t>
      </w:r>
      <w:r>
        <w:rPr>
          <w:rFonts w:hint="eastAsia" w:ascii="宋体" w:hAnsi="宋体" w:eastAsia="宋体" w:cs="Times New Roman"/>
          <w:kern w:val="0"/>
          <w:sz w:val="24"/>
          <w:szCs w:val="24"/>
        </w:rPr>
        <w:t>依据《城镇燃气设计规范》（</w:t>
      </w:r>
      <w:r>
        <w:rPr>
          <w:rFonts w:ascii="宋体" w:hAnsi="宋体" w:eastAsia="宋体" w:cs="Times New Roman"/>
          <w:kern w:val="0"/>
          <w:sz w:val="24"/>
          <w:szCs w:val="24"/>
        </w:rPr>
        <w:t>GB50028-2006</w:t>
      </w:r>
      <w:r>
        <w:rPr>
          <w:rFonts w:hint="eastAsia" w:ascii="宋体" w:hAnsi="宋体" w:eastAsia="宋体" w:cs="Times New Roman"/>
          <w:kern w:val="0"/>
          <w:sz w:val="24"/>
          <w:szCs w:val="24"/>
        </w:rPr>
        <w:t>）、《城镇燃气规划规范》（</w:t>
      </w:r>
      <w:r>
        <w:rPr>
          <w:rFonts w:ascii="宋体" w:hAnsi="宋体" w:eastAsia="宋体" w:cs="Times New Roman"/>
          <w:kern w:val="0"/>
          <w:sz w:val="24"/>
          <w:szCs w:val="24"/>
        </w:rPr>
        <w:t>GB/T51098-2015</w:t>
      </w:r>
      <w:r>
        <w:rPr>
          <w:rFonts w:hint="eastAsia" w:ascii="宋体" w:hAnsi="宋体" w:eastAsia="宋体" w:cs="Times New Roman"/>
          <w:kern w:val="0"/>
          <w:sz w:val="24"/>
          <w:szCs w:val="24"/>
        </w:rPr>
        <w:t>）及当地的生活水平、生活习惯等因素，</w:t>
      </w:r>
      <w:r>
        <w:rPr>
          <w:rFonts w:ascii="宋体" w:hAnsi="宋体" w:eastAsia="宋体" w:cs="Times New Roman"/>
          <w:kern w:val="0"/>
          <w:sz w:val="24"/>
          <w:szCs w:val="24"/>
        </w:rPr>
        <w:t>居民用气量指标为</w:t>
      </w:r>
      <w:r>
        <w:rPr>
          <w:rFonts w:hint="eastAsia" w:ascii="宋体" w:hAnsi="宋体" w:eastAsia="宋体" w:cs="Times New Roman"/>
          <w:kern w:val="0"/>
          <w:sz w:val="24"/>
          <w:szCs w:val="24"/>
        </w:rPr>
        <w:t>0.35立方米</w:t>
      </w:r>
      <w:r>
        <w:rPr>
          <w:rFonts w:ascii="宋体" w:hAnsi="宋体" w:eastAsia="宋体" w:cs="Times New Roman"/>
          <w:kern w:val="0"/>
          <w:sz w:val="24"/>
          <w:szCs w:val="24"/>
        </w:rPr>
        <w:t>/人·</w:t>
      </w:r>
      <w:r>
        <w:rPr>
          <w:rFonts w:hint="eastAsia" w:ascii="宋体" w:hAnsi="宋体" w:eastAsia="宋体" w:cs="Times New Roman"/>
          <w:kern w:val="0"/>
          <w:sz w:val="24"/>
          <w:szCs w:val="24"/>
        </w:rPr>
        <w:t>天，</w:t>
      </w:r>
      <w:r>
        <w:rPr>
          <w:rFonts w:ascii="宋体" w:hAnsi="宋体" w:eastAsia="宋体" w:cs="Times New Roman"/>
          <w:kern w:val="0"/>
          <w:sz w:val="24"/>
          <w:szCs w:val="24"/>
        </w:rPr>
        <w:t>综合预测</w:t>
      </w:r>
      <w:r>
        <w:rPr>
          <w:rFonts w:hint="eastAsia" w:ascii="宋体" w:hAnsi="宋体" w:eastAsia="宋体" w:cs="Times New Roman"/>
          <w:kern w:val="0"/>
          <w:sz w:val="24"/>
          <w:szCs w:val="24"/>
        </w:rPr>
        <w:t>河边</w:t>
      </w:r>
      <w:r>
        <w:rPr>
          <w:rFonts w:ascii="宋体" w:hAnsi="宋体" w:eastAsia="宋体" w:cs="Times New Roman"/>
          <w:kern w:val="0"/>
          <w:sz w:val="24"/>
          <w:szCs w:val="24"/>
        </w:rPr>
        <w:t>镇燃气使用规模总计</w:t>
      </w:r>
      <w:r>
        <w:rPr>
          <w:rFonts w:hint="eastAsia" w:ascii="宋体" w:hAnsi="宋体" w:eastAsia="宋体" w:cs="Times New Roman"/>
          <w:kern w:val="0"/>
          <w:sz w:val="24"/>
          <w:szCs w:val="24"/>
        </w:rPr>
        <w:t>0.23</w:t>
      </w:r>
      <w:r>
        <w:rPr>
          <w:rFonts w:ascii="宋体" w:hAnsi="宋体" w:eastAsia="宋体" w:cs="Times New Roman"/>
          <w:kern w:val="0"/>
          <w:sz w:val="24"/>
          <w:szCs w:val="24"/>
        </w:rPr>
        <w:t>万</w:t>
      </w:r>
      <w:r>
        <w:rPr>
          <w:rFonts w:hint="eastAsia" w:ascii="宋体" w:hAnsi="宋体" w:eastAsia="宋体" w:cs="Times New Roman"/>
          <w:kern w:val="0"/>
          <w:sz w:val="24"/>
          <w:szCs w:val="24"/>
        </w:rPr>
        <w:t>立方米</w:t>
      </w:r>
      <w:r>
        <w:rPr>
          <w:rFonts w:ascii="宋体" w:hAnsi="宋体" w:eastAsia="宋体" w:cs="Times New Roman"/>
          <w:kern w:val="0"/>
          <w:sz w:val="24"/>
          <w:szCs w:val="24"/>
        </w:rPr>
        <w:t>/</w:t>
      </w:r>
      <w:r>
        <w:rPr>
          <w:rFonts w:hint="eastAsia" w:ascii="宋体" w:hAnsi="宋体" w:eastAsia="宋体" w:cs="Times New Roman"/>
          <w:kern w:val="0"/>
          <w:sz w:val="24"/>
          <w:szCs w:val="24"/>
        </w:rPr>
        <w:t>天</w:t>
      </w:r>
      <w:r>
        <w:rPr>
          <w:rFonts w:ascii="宋体" w:hAnsi="宋体" w:eastAsia="宋体" w:cs="Times New Roman"/>
          <w:kern w:val="0"/>
          <w:sz w:val="24"/>
          <w:szCs w:val="24"/>
        </w:rPr>
        <w:t>。</w:t>
      </w:r>
    </w:p>
    <w:p>
      <w:pPr>
        <w:adjustRightInd w:val="0"/>
        <w:snapToGrid w:val="0"/>
        <w:spacing w:line="360" w:lineRule="auto"/>
        <w:ind w:firstLine="480" w:firstLineChars="200"/>
        <w:rPr>
          <w:rFonts w:ascii="宋体" w:hAnsi="宋体" w:eastAsia="宋体" w:cs="Times New Roman"/>
          <w:kern w:val="0"/>
          <w:sz w:val="24"/>
          <w:szCs w:val="24"/>
        </w:rPr>
      </w:pPr>
      <w:r>
        <w:rPr>
          <w:rFonts w:hint="eastAsia" w:ascii="宋体" w:hAnsi="宋体" w:eastAsia="宋体" w:cs="Times New Roman"/>
          <w:kern w:val="0"/>
          <w:sz w:val="24"/>
          <w:szCs w:val="24"/>
        </w:rPr>
        <w:t>2、气源规划</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燃气气源由中压输气管线从</w:t>
      </w:r>
      <w:r>
        <w:rPr>
          <w:rFonts w:hint="eastAsia" w:ascii="宋体" w:hAnsi="宋体" w:eastAsia="宋体" w:cs="Times New Roman"/>
          <w:kern w:val="0"/>
          <w:sz w:val="24"/>
          <w:szCs w:val="24"/>
        </w:rPr>
        <w:t>大英</w:t>
      </w:r>
      <w:r>
        <w:rPr>
          <w:rFonts w:ascii="宋体" w:hAnsi="宋体" w:eastAsia="宋体" w:cs="Times New Roman"/>
          <w:kern w:val="0"/>
          <w:sz w:val="24"/>
          <w:szCs w:val="24"/>
        </w:rPr>
        <w:t>县</w:t>
      </w:r>
      <w:r>
        <w:rPr>
          <w:rFonts w:hint="eastAsia" w:ascii="宋体" w:hAnsi="宋体" w:eastAsia="宋体" w:cs="Times New Roman"/>
          <w:kern w:val="0"/>
          <w:sz w:val="24"/>
          <w:szCs w:val="24"/>
        </w:rPr>
        <w:t>配气站</w:t>
      </w:r>
      <w:r>
        <w:rPr>
          <w:rFonts w:ascii="宋体" w:hAnsi="宋体" w:eastAsia="宋体" w:cs="Times New Roman"/>
          <w:kern w:val="0"/>
          <w:sz w:val="24"/>
          <w:szCs w:val="24"/>
        </w:rPr>
        <w:t>引入。</w:t>
      </w:r>
    </w:p>
    <w:p>
      <w:pPr>
        <w:adjustRightInd w:val="0"/>
        <w:snapToGrid w:val="0"/>
        <w:spacing w:line="360" w:lineRule="auto"/>
        <w:ind w:firstLine="480" w:firstLineChars="200"/>
        <w:rPr>
          <w:rFonts w:ascii="宋体" w:hAnsi="宋体" w:eastAsia="宋体" w:cs="Times New Roman"/>
          <w:kern w:val="0"/>
          <w:sz w:val="24"/>
          <w:szCs w:val="24"/>
        </w:rPr>
      </w:pPr>
      <w:r>
        <w:rPr>
          <w:rFonts w:hint="eastAsia" w:ascii="宋体" w:hAnsi="宋体" w:eastAsia="宋体" w:cs="Times New Roman"/>
          <w:kern w:val="0"/>
          <w:sz w:val="24"/>
          <w:szCs w:val="24"/>
        </w:rPr>
        <w:t>3、管网系统</w:t>
      </w:r>
    </w:p>
    <w:p>
      <w:pPr>
        <w:adjustRightInd w:val="0"/>
        <w:snapToGrid w:val="0"/>
        <w:spacing w:line="360" w:lineRule="auto"/>
        <w:ind w:firstLine="480" w:firstLineChars="200"/>
        <w:rPr>
          <w:rFonts w:ascii="宋体" w:hAnsi="宋体" w:eastAsia="宋体" w:cs="Times New Roman"/>
          <w:b/>
          <w:kern w:val="0"/>
          <w:sz w:val="24"/>
          <w:szCs w:val="24"/>
          <w:u w:val="single"/>
        </w:rPr>
      </w:pPr>
      <w:r>
        <w:rPr>
          <w:rFonts w:ascii="宋体" w:hAnsi="宋体" w:eastAsia="宋体" w:cs="Times New Roman"/>
          <w:kern w:val="0"/>
          <w:sz w:val="24"/>
          <w:szCs w:val="24"/>
        </w:rPr>
        <w:t>考虑</w:t>
      </w:r>
      <w:r>
        <w:rPr>
          <w:rFonts w:hint="eastAsia" w:ascii="宋体" w:hAnsi="宋体" w:eastAsia="宋体" w:cs="Times New Roman"/>
          <w:kern w:val="0"/>
          <w:sz w:val="24"/>
          <w:szCs w:val="24"/>
        </w:rPr>
        <w:t>镇区</w:t>
      </w:r>
      <w:r>
        <w:rPr>
          <w:rFonts w:ascii="宋体" w:hAnsi="宋体" w:eastAsia="宋体" w:cs="Times New Roman"/>
          <w:kern w:val="0"/>
          <w:sz w:val="24"/>
          <w:szCs w:val="24"/>
        </w:rPr>
        <w:t>人口规模的不确定性，并结合现状管道压力状况，</w:t>
      </w:r>
      <w:r>
        <w:rPr>
          <w:rFonts w:hint="eastAsia" w:ascii="宋体" w:hAnsi="宋体" w:eastAsia="宋体" w:cs="Times New Roman"/>
          <w:kern w:val="0"/>
          <w:sz w:val="24"/>
          <w:szCs w:val="24"/>
        </w:rPr>
        <w:t>规划</w:t>
      </w:r>
      <w:r>
        <w:rPr>
          <w:rFonts w:ascii="宋体" w:hAnsi="宋体" w:eastAsia="宋体" w:cs="Times New Roman"/>
          <w:kern w:val="0"/>
          <w:sz w:val="24"/>
          <w:szCs w:val="24"/>
        </w:rPr>
        <w:t>天然气管网采用中压一级系统，出站压力为0.2Mpa。供气干管以D</w:t>
      </w:r>
      <w:r>
        <w:rPr>
          <w:rFonts w:hint="eastAsia" w:ascii="宋体" w:hAnsi="宋体" w:eastAsia="宋体" w:cs="Times New Roman"/>
          <w:kern w:val="0"/>
          <w:sz w:val="24"/>
          <w:szCs w:val="24"/>
        </w:rPr>
        <w:t>N125</w:t>
      </w:r>
      <w:r>
        <w:rPr>
          <w:rFonts w:ascii="宋体" w:hAnsi="宋体" w:eastAsia="宋体" w:cs="Times New Roman"/>
          <w:kern w:val="0"/>
          <w:sz w:val="24"/>
          <w:szCs w:val="24"/>
        </w:rPr>
        <w:t>为主，共形成1个环网，保留现状燃气主管，在</w:t>
      </w:r>
      <w:r>
        <w:rPr>
          <w:rFonts w:hint="eastAsia" w:ascii="宋体" w:hAnsi="宋体" w:eastAsia="宋体" w:cs="Times New Roman"/>
          <w:kern w:val="0"/>
          <w:sz w:val="24"/>
          <w:szCs w:val="24"/>
        </w:rPr>
        <w:t>荣昌街</w:t>
      </w:r>
      <w:r>
        <w:rPr>
          <w:rFonts w:ascii="宋体" w:hAnsi="宋体" w:eastAsia="宋体" w:cs="Times New Roman"/>
          <w:kern w:val="0"/>
          <w:sz w:val="24"/>
          <w:szCs w:val="24"/>
        </w:rPr>
        <w:t>和盐市街沿居住区新增管线。并通过树枝状配气管道延伸至用户，各用户分设楼栋式调压器降压。</w:t>
      </w:r>
      <w:r>
        <w:rPr>
          <w:rFonts w:hint="eastAsia" w:ascii="宋体" w:hAnsi="宋体" w:eastAsia="宋体" w:cs="Times New Roman"/>
          <w:b/>
          <w:kern w:val="0"/>
          <w:sz w:val="24"/>
          <w:szCs w:val="24"/>
          <w:u w:val="single"/>
        </w:rPr>
        <w:t>输气管线安全防护距离应满足《城镇燃气设计规范》、《输气管道工程设计规范》等相关国家法律法规和标准规范的要求。</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（七）环卫工程规划</w:t>
      </w:r>
    </w:p>
    <w:p>
      <w:pPr>
        <w:adjustRightInd w:val="0"/>
        <w:snapToGrid w:val="0"/>
        <w:spacing w:line="360" w:lineRule="auto"/>
        <w:ind w:firstLine="480" w:firstLineChars="200"/>
        <w:rPr>
          <w:rFonts w:ascii="宋体" w:hAnsi="宋体" w:eastAsia="宋体" w:cs="Times New Roman"/>
          <w:kern w:val="0"/>
          <w:sz w:val="24"/>
          <w:szCs w:val="24"/>
        </w:rPr>
      </w:pPr>
      <w:r>
        <w:rPr>
          <w:rFonts w:hint="eastAsia" w:ascii="宋体" w:hAnsi="宋体" w:eastAsia="宋体" w:cs="Times New Roman"/>
          <w:kern w:val="0"/>
          <w:sz w:val="24"/>
          <w:szCs w:val="24"/>
        </w:rPr>
        <w:t>1、规划目标</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积极推广垃圾分类收集、分类清运和分类处理，建立“收集点－压缩转运站－填埋场”的收运和处置模式，逐步实现清洁作业和垃圾收运机械化。生活垃圾收运做到日产日清，远期实现生活垃圾处理无害化、减量化、资源化。</w:t>
      </w:r>
    </w:p>
    <w:p>
      <w:pPr>
        <w:adjustRightInd w:val="0"/>
        <w:snapToGrid w:val="0"/>
        <w:spacing w:line="360" w:lineRule="auto"/>
        <w:ind w:firstLine="480" w:firstLineChars="200"/>
        <w:rPr>
          <w:rFonts w:ascii="宋体" w:hAnsi="宋体" w:eastAsia="宋体" w:cs="Times New Roman"/>
          <w:kern w:val="0"/>
          <w:sz w:val="24"/>
          <w:szCs w:val="24"/>
        </w:rPr>
      </w:pPr>
      <w:r>
        <w:rPr>
          <w:rFonts w:hint="eastAsia" w:ascii="宋体" w:hAnsi="宋体" w:eastAsia="宋体" w:cs="Times New Roman"/>
          <w:kern w:val="0"/>
          <w:sz w:val="24"/>
          <w:szCs w:val="24"/>
        </w:rPr>
        <w:t>2、生活垃圾量预测</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规划镇区人均垃圾产生量取1.0千克/</w:t>
      </w:r>
      <w:r>
        <w:rPr>
          <w:rFonts w:hint="eastAsia" w:ascii="宋体" w:hAnsi="宋体" w:eastAsia="宋体" w:cs="Times New Roman"/>
          <w:kern w:val="0"/>
          <w:sz w:val="24"/>
          <w:szCs w:val="24"/>
        </w:rPr>
        <w:t>天</w:t>
      </w:r>
      <w:r>
        <w:rPr>
          <w:rFonts w:ascii="宋体" w:hAnsi="宋体" w:eastAsia="宋体" w:cs="Times New Roman"/>
          <w:kern w:val="0"/>
          <w:sz w:val="24"/>
          <w:szCs w:val="24"/>
        </w:rPr>
        <w:t>，则规划远期生活垃圾日产量</w:t>
      </w:r>
      <w:r>
        <w:rPr>
          <w:rFonts w:hint="eastAsia" w:ascii="宋体" w:hAnsi="宋体" w:eastAsia="宋体" w:cs="Times New Roman"/>
          <w:kern w:val="0"/>
          <w:sz w:val="24"/>
          <w:szCs w:val="24"/>
        </w:rPr>
        <w:t>0.65万</w:t>
      </w:r>
      <w:r>
        <w:rPr>
          <w:rFonts w:ascii="宋体" w:hAnsi="宋体" w:eastAsia="宋体" w:cs="Times New Roman"/>
          <w:kern w:val="0"/>
          <w:sz w:val="24"/>
          <w:szCs w:val="24"/>
        </w:rPr>
        <w:t>千克/日，有效收集率达到100</w:t>
      </w:r>
      <w:r>
        <w:rPr>
          <w:rFonts w:hint="eastAsia" w:ascii="宋体" w:hAnsi="宋体" w:eastAsia="宋体" w:cs="Times New Roman"/>
          <w:kern w:val="0"/>
          <w:sz w:val="24"/>
          <w:szCs w:val="24"/>
        </w:rPr>
        <w:t>%。</w:t>
      </w:r>
    </w:p>
    <w:p>
      <w:pPr>
        <w:adjustRightInd w:val="0"/>
        <w:snapToGrid w:val="0"/>
        <w:spacing w:line="360" w:lineRule="auto"/>
        <w:ind w:firstLine="480" w:firstLineChars="200"/>
        <w:rPr>
          <w:rFonts w:ascii="宋体" w:hAnsi="宋体" w:eastAsia="宋体" w:cs="Times New Roman"/>
          <w:kern w:val="0"/>
          <w:sz w:val="24"/>
          <w:szCs w:val="24"/>
        </w:rPr>
      </w:pPr>
      <w:r>
        <w:rPr>
          <w:rFonts w:hint="eastAsia" w:ascii="宋体" w:hAnsi="宋体" w:eastAsia="宋体" w:cs="Times New Roman"/>
          <w:kern w:val="0"/>
          <w:sz w:val="24"/>
          <w:szCs w:val="24"/>
        </w:rPr>
        <w:t>3、环境卫生工程规划</w:t>
      </w:r>
    </w:p>
    <w:p>
      <w:pPr>
        <w:adjustRightInd w:val="0"/>
        <w:snapToGrid w:val="0"/>
        <w:spacing w:line="360" w:lineRule="auto"/>
        <w:ind w:firstLine="480" w:firstLineChars="200"/>
        <w:rPr>
          <w:rFonts w:ascii="宋体" w:hAnsi="宋体" w:eastAsia="宋体" w:cs="Times New Roman"/>
          <w:b/>
          <w:kern w:val="0"/>
          <w:sz w:val="24"/>
          <w:szCs w:val="24"/>
          <w:u w:val="single"/>
        </w:rPr>
      </w:pPr>
      <w:r>
        <w:rPr>
          <w:rFonts w:ascii="宋体" w:hAnsi="宋体" w:eastAsia="宋体" w:cs="Times New Roman"/>
          <w:kern w:val="0"/>
          <w:sz w:val="24"/>
          <w:szCs w:val="24"/>
        </w:rPr>
        <w:t>实施城乡垃圾清运一体化模式，由第三方（遂宁川能环卫公司）清运模式。村收集、镇转运，统一由三方公司打包运至射洪发电厂进行焚烧发电。</w:t>
      </w:r>
      <w:r>
        <w:rPr>
          <w:rFonts w:hint="eastAsia" w:ascii="宋体" w:hAnsi="宋体" w:eastAsia="宋体" w:cs="Times New Roman"/>
          <w:b/>
          <w:kern w:val="0"/>
          <w:sz w:val="24"/>
          <w:szCs w:val="24"/>
          <w:u w:val="single"/>
        </w:rPr>
        <w:t>医疗垃圾、危险废弃物必须单独收集、运输和处理，大英县无法自行处理处置的医疗垃圾、危险废弃物集中运至成都市医疗废物和危险固废处置中心进行处理处置。</w:t>
      </w:r>
    </w:p>
    <w:p>
      <w:pPr>
        <w:adjustRightInd w:val="0"/>
        <w:snapToGrid w:val="0"/>
        <w:spacing w:line="360" w:lineRule="auto"/>
        <w:ind w:firstLine="480" w:firstLineChars="200"/>
        <w:rPr>
          <w:rFonts w:ascii="宋体" w:hAnsi="宋体" w:eastAsia="宋体" w:cs="Times New Roman"/>
          <w:kern w:val="0"/>
          <w:sz w:val="24"/>
          <w:szCs w:val="24"/>
        </w:rPr>
      </w:pPr>
      <w:r>
        <w:rPr>
          <w:rFonts w:hint="eastAsia" w:ascii="宋体" w:hAnsi="宋体" w:eastAsia="宋体" w:cs="Times New Roman"/>
          <w:kern w:val="0"/>
          <w:sz w:val="24"/>
          <w:szCs w:val="24"/>
        </w:rPr>
        <w:t>公共厕所的服务半径根据地段和人口而定，繁华街道间距为</w:t>
      </w:r>
      <w:r>
        <w:rPr>
          <w:rFonts w:ascii="宋体" w:hAnsi="宋体" w:eastAsia="宋体" w:cs="Times New Roman"/>
          <w:kern w:val="0"/>
          <w:sz w:val="24"/>
          <w:szCs w:val="24"/>
        </w:rPr>
        <w:t xml:space="preserve">300-500 </w:t>
      </w:r>
      <w:r>
        <w:rPr>
          <w:rFonts w:hint="eastAsia" w:ascii="宋体" w:hAnsi="宋体" w:eastAsia="宋体" w:cs="Times New Roman"/>
          <w:kern w:val="0"/>
          <w:sz w:val="24"/>
          <w:szCs w:val="24"/>
        </w:rPr>
        <w:t>米，一般街道为</w:t>
      </w:r>
      <w:r>
        <w:rPr>
          <w:rFonts w:ascii="宋体" w:hAnsi="宋体" w:eastAsia="宋体" w:cs="Times New Roman"/>
          <w:kern w:val="0"/>
          <w:sz w:val="24"/>
          <w:szCs w:val="24"/>
        </w:rPr>
        <w:t xml:space="preserve">750-1000 </w:t>
      </w:r>
      <w:r>
        <w:rPr>
          <w:rFonts w:hint="eastAsia" w:ascii="宋体" w:hAnsi="宋体" w:eastAsia="宋体" w:cs="Times New Roman"/>
          <w:kern w:val="0"/>
          <w:sz w:val="24"/>
          <w:szCs w:val="24"/>
        </w:rPr>
        <w:t>米，新建居民区以</w:t>
      </w:r>
      <w:r>
        <w:rPr>
          <w:rFonts w:ascii="宋体" w:hAnsi="宋体" w:eastAsia="宋体" w:cs="Times New Roman"/>
          <w:kern w:val="0"/>
          <w:sz w:val="24"/>
          <w:szCs w:val="24"/>
        </w:rPr>
        <w:t xml:space="preserve">300-500 </w:t>
      </w:r>
      <w:r>
        <w:rPr>
          <w:rFonts w:hint="eastAsia" w:ascii="宋体" w:hAnsi="宋体" w:eastAsia="宋体" w:cs="Times New Roman"/>
          <w:kern w:val="0"/>
          <w:sz w:val="24"/>
          <w:szCs w:val="24"/>
        </w:rPr>
        <w:t>米为半径，也可以地域面积计算，每平方公里不少于</w:t>
      </w:r>
      <w:r>
        <w:rPr>
          <w:rFonts w:ascii="宋体" w:hAnsi="宋体" w:eastAsia="宋体" w:cs="Times New Roman"/>
          <w:kern w:val="0"/>
          <w:sz w:val="24"/>
          <w:szCs w:val="24"/>
        </w:rPr>
        <w:t xml:space="preserve">3 </w:t>
      </w:r>
      <w:r>
        <w:rPr>
          <w:rFonts w:hint="eastAsia" w:ascii="宋体" w:hAnsi="宋体" w:eastAsia="宋体" w:cs="Times New Roman"/>
          <w:kern w:val="0"/>
          <w:sz w:val="24"/>
          <w:szCs w:val="24"/>
        </w:rPr>
        <w:t>处。</w:t>
      </w:r>
    </w:p>
    <w:p>
      <w:pPr>
        <w:adjustRightInd w:val="0"/>
        <w:snapToGrid w:val="0"/>
        <w:spacing w:line="360" w:lineRule="auto"/>
        <w:ind w:firstLine="482" w:firstLineChars="200"/>
        <w:rPr>
          <w:rFonts w:ascii="黑体" w:hAnsi="黑体" w:eastAsia="黑体" w:cs="Times New Roman"/>
          <w:b/>
          <w:kern w:val="0"/>
          <w:sz w:val="24"/>
          <w:szCs w:val="24"/>
        </w:rPr>
      </w:pPr>
      <w:r>
        <w:rPr>
          <w:rFonts w:hint="eastAsia" w:ascii="黑体" w:hAnsi="黑体" w:eastAsia="黑体" w:cs="Times New Roman"/>
          <w:b/>
          <w:kern w:val="0"/>
          <w:sz w:val="24"/>
          <w:szCs w:val="24"/>
        </w:rPr>
        <w:t>十三、完善综合防灾体系，提升应急救援水平</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（一）</w:t>
      </w:r>
      <w:r>
        <w:rPr>
          <w:rFonts w:eastAsia="宋体" w:cs="Times New Roman" w:asciiTheme="minorEastAsia" w:hAnsiTheme="minorEastAsia"/>
          <w:b/>
          <w:kern w:val="0"/>
          <w:sz w:val="24"/>
          <w:szCs w:val="24"/>
        </w:rPr>
        <w:t>防洪规划</w:t>
      </w:r>
    </w:p>
    <w:p>
      <w:pPr>
        <w:adjustRightInd w:val="0"/>
        <w:snapToGrid w:val="0"/>
        <w:spacing w:line="360" w:lineRule="auto"/>
        <w:ind w:firstLine="482" w:firstLineChars="200"/>
        <w:rPr>
          <w:rFonts w:ascii="宋体" w:hAnsi="宋体" w:eastAsia="宋体" w:cs="Times New Roman"/>
          <w:b/>
          <w:kern w:val="0"/>
          <w:sz w:val="24"/>
          <w:szCs w:val="24"/>
          <w:u w:val="single"/>
        </w:rPr>
      </w:pPr>
      <w:r>
        <w:rPr>
          <w:rFonts w:ascii="宋体" w:hAnsi="宋体" w:eastAsia="宋体" w:cs="Times New Roman"/>
          <w:b/>
          <w:kern w:val="0"/>
          <w:sz w:val="24"/>
          <w:szCs w:val="24"/>
          <w:u w:val="single"/>
        </w:rPr>
        <w:t>根据现行《防洪标准》（GB50201-2014）及</w:t>
      </w:r>
      <w:r>
        <w:rPr>
          <w:rFonts w:hint="eastAsia" w:ascii="宋体" w:hAnsi="宋体" w:eastAsia="宋体" w:cs="Times New Roman"/>
          <w:b/>
          <w:kern w:val="0"/>
          <w:sz w:val="24"/>
          <w:szCs w:val="24"/>
          <w:u w:val="single"/>
        </w:rPr>
        <w:t>《</w:t>
      </w:r>
      <w:r>
        <w:rPr>
          <w:rFonts w:ascii="宋体" w:hAnsi="宋体" w:eastAsia="宋体" w:cs="Times New Roman"/>
          <w:b/>
          <w:kern w:val="0"/>
          <w:sz w:val="24"/>
          <w:szCs w:val="24"/>
          <w:u w:val="single"/>
        </w:rPr>
        <w:t>城市防洪工程设计规范</w:t>
      </w:r>
      <w:r>
        <w:rPr>
          <w:rFonts w:hint="eastAsia" w:ascii="宋体" w:hAnsi="宋体" w:eastAsia="宋体" w:cs="Times New Roman"/>
          <w:b/>
          <w:kern w:val="0"/>
          <w:sz w:val="24"/>
          <w:szCs w:val="24"/>
          <w:u w:val="single"/>
        </w:rPr>
        <w:t>》</w:t>
      </w:r>
      <w:r>
        <w:rPr>
          <w:rFonts w:ascii="宋体" w:hAnsi="宋体" w:eastAsia="宋体" w:cs="Times New Roman"/>
          <w:b/>
          <w:kern w:val="0"/>
          <w:sz w:val="24"/>
          <w:szCs w:val="24"/>
          <w:u w:val="single"/>
        </w:rPr>
        <w:t>（GB/T50850－2012）的规定，镇区的主要河流为</w:t>
      </w:r>
      <w:r>
        <w:rPr>
          <w:rFonts w:hint="eastAsia" w:ascii="宋体" w:hAnsi="宋体" w:eastAsia="宋体" w:cs="Times New Roman"/>
          <w:b/>
          <w:kern w:val="0"/>
          <w:sz w:val="24"/>
          <w:szCs w:val="24"/>
          <w:u w:val="single"/>
        </w:rPr>
        <w:t>濛溪河，按照</w:t>
      </w:r>
      <w:r>
        <w:rPr>
          <w:rFonts w:ascii="宋体" w:hAnsi="宋体" w:eastAsia="宋体" w:cs="Times New Roman"/>
          <w:b/>
          <w:kern w:val="0"/>
          <w:sz w:val="24"/>
          <w:szCs w:val="24"/>
          <w:u w:val="single"/>
        </w:rPr>
        <w:t>10年一遇洪水标准设防</w:t>
      </w:r>
      <w:r>
        <w:rPr>
          <w:rFonts w:hint="eastAsia" w:ascii="宋体" w:hAnsi="宋体" w:eastAsia="宋体" w:cs="Times New Roman"/>
          <w:b/>
          <w:kern w:val="0"/>
          <w:sz w:val="24"/>
          <w:szCs w:val="24"/>
          <w:u w:val="single"/>
        </w:rPr>
        <w:t>。</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（二）</w:t>
      </w:r>
      <w:r>
        <w:rPr>
          <w:rFonts w:eastAsia="宋体" w:cs="Times New Roman" w:asciiTheme="minorEastAsia" w:hAnsiTheme="minorEastAsia"/>
          <w:b/>
          <w:kern w:val="0"/>
          <w:sz w:val="24"/>
          <w:szCs w:val="24"/>
        </w:rPr>
        <w:t>消防规划</w:t>
      </w:r>
    </w:p>
    <w:p>
      <w:pPr>
        <w:adjustRightInd w:val="0"/>
        <w:snapToGrid w:val="0"/>
        <w:spacing w:line="360" w:lineRule="auto"/>
        <w:ind w:firstLine="480" w:firstLineChars="200"/>
        <w:rPr>
          <w:rFonts w:ascii="宋体" w:hAnsi="宋体" w:eastAsia="宋体" w:cs="Times New Roman"/>
          <w:b/>
          <w:kern w:val="0"/>
          <w:sz w:val="24"/>
          <w:szCs w:val="24"/>
          <w:u w:val="single"/>
        </w:rPr>
      </w:pPr>
      <w:r>
        <w:rPr>
          <w:rFonts w:ascii="宋体" w:hAnsi="宋体" w:eastAsia="宋体" w:cs="Times New Roman"/>
          <w:kern w:val="0"/>
          <w:sz w:val="24"/>
          <w:szCs w:val="24"/>
        </w:rPr>
        <w:t>在镇区西侧规划一处乡镇一级专职消防队，负责全镇的消防救援工作，结合河边镇政府和河边卫生院设置应急救援指挥中心和防灾救护中心。</w:t>
      </w:r>
      <w:r>
        <w:rPr>
          <w:rFonts w:ascii="宋体" w:hAnsi="宋体" w:eastAsia="宋体" w:cs="Times New Roman"/>
          <w:b/>
          <w:kern w:val="0"/>
          <w:sz w:val="24"/>
          <w:szCs w:val="24"/>
          <w:u w:val="single"/>
        </w:rPr>
        <w:t>规划河边镇区专职消防队占地面积</w:t>
      </w:r>
      <w:r>
        <w:rPr>
          <w:rFonts w:hint="eastAsia" w:ascii="宋体" w:hAnsi="宋体" w:eastAsia="宋体" w:cs="Times New Roman"/>
          <w:b/>
          <w:kern w:val="0"/>
          <w:sz w:val="24"/>
          <w:szCs w:val="24"/>
          <w:u w:val="single"/>
        </w:rPr>
        <w:t>0.29</w:t>
      </w:r>
      <w:r>
        <w:rPr>
          <w:rFonts w:ascii="宋体" w:hAnsi="宋体" w:eastAsia="宋体" w:cs="Times New Roman"/>
          <w:b/>
          <w:kern w:val="0"/>
          <w:sz w:val="24"/>
          <w:szCs w:val="24"/>
          <w:u w:val="single"/>
        </w:rPr>
        <w:t>公顷。</w:t>
      </w:r>
      <w:r>
        <w:rPr>
          <w:rFonts w:ascii="宋体" w:hAnsi="宋体" w:eastAsia="宋体" w:cs="Times New Roman"/>
          <w:kern w:val="0"/>
          <w:sz w:val="24"/>
          <w:szCs w:val="24"/>
        </w:rPr>
        <w:t>将镇区主次干道作为避难疏散通道，明确标示标牌。结合镇区规划绿地</w:t>
      </w:r>
      <w:r>
        <w:rPr>
          <w:rFonts w:hint="eastAsia" w:ascii="宋体" w:hAnsi="宋体" w:eastAsia="宋体" w:cs="Times New Roman"/>
          <w:kern w:val="0"/>
          <w:sz w:val="24"/>
          <w:szCs w:val="24"/>
        </w:rPr>
        <w:t>、</w:t>
      </w:r>
      <w:r>
        <w:rPr>
          <w:rFonts w:ascii="宋体" w:hAnsi="宋体" w:eastAsia="宋体" w:cs="Times New Roman"/>
          <w:kern w:val="0"/>
          <w:sz w:val="24"/>
          <w:szCs w:val="24"/>
        </w:rPr>
        <w:t>广场和小学，设置固定避难场所7处，临时避难场所4处。</w:t>
      </w:r>
      <w:r>
        <w:rPr>
          <w:rFonts w:ascii="宋体" w:hAnsi="宋体" w:eastAsia="宋体" w:cs="Times New Roman"/>
          <w:b/>
          <w:kern w:val="0"/>
          <w:sz w:val="24"/>
          <w:szCs w:val="24"/>
          <w:u w:val="single"/>
        </w:rPr>
        <w:t>消防通道按照通道之间的中心线间距不大于160</w:t>
      </w:r>
      <w:r>
        <w:rPr>
          <w:rFonts w:hint="eastAsia" w:ascii="宋体" w:hAnsi="宋体" w:eastAsia="宋体" w:cs="Times New Roman"/>
          <w:b/>
          <w:kern w:val="0"/>
          <w:sz w:val="24"/>
          <w:szCs w:val="24"/>
          <w:u w:val="single"/>
        </w:rPr>
        <w:t>米</w:t>
      </w:r>
      <w:r>
        <w:rPr>
          <w:rFonts w:ascii="宋体" w:hAnsi="宋体" w:eastAsia="宋体" w:cs="Times New Roman"/>
          <w:b/>
          <w:kern w:val="0"/>
          <w:sz w:val="24"/>
          <w:szCs w:val="24"/>
          <w:u w:val="single"/>
        </w:rPr>
        <w:t>进行设置，消防车通道的净宽度和净空高度均不应小于4</w:t>
      </w:r>
      <w:r>
        <w:rPr>
          <w:rFonts w:hint="eastAsia" w:ascii="宋体" w:hAnsi="宋体" w:eastAsia="宋体" w:cs="Times New Roman"/>
          <w:b/>
          <w:kern w:val="0"/>
          <w:sz w:val="24"/>
          <w:szCs w:val="24"/>
          <w:u w:val="single"/>
        </w:rPr>
        <w:t>米</w:t>
      </w:r>
      <w:r>
        <w:rPr>
          <w:rFonts w:ascii="宋体" w:hAnsi="宋体" w:eastAsia="宋体" w:cs="Times New Roman"/>
          <w:b/>
          <w:kern w:val="0"/>
          <w:sz w:val="24"/>
          <w:szCs w:val="24"/>
          <w:u w:val="single"/>
        </w:rPr>
        <w:t>，与建筑外墙宜大于5</w:t>
      </w:r>
      <w:r>
        <w:rPr>
          <w:rFonts w:hint="eastAsia" w:ascii="宋体" w:hAnsi="宋体" w:eastAsia="宋体" w:cs="Times New Roman"/>
          <w:b/>
          <w:kern w:val="0"/>
          <w:sz w:val="24"/>
          <w:szCs w:val="24"/>
          <w:u w:val="single"/>
        </w:rPr>
        <w:t>米</w:t>
      </w:r>
      <w:r>
        <w:rPr>
          <w:rFonts w:ascii="宋体" w:hAnsi="宋体" w:eastAsia="宋体" w:cs="Times New Roman"/>
          <w:b/>
          <w:kern w:val="0"/>
          <w:sz w:val="24"/>
          <w:szCs w:val="24"/>
          <w:u w:val="single"/>
        </w:rPr>
        <w:t>。</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（三）</w:t>
      </w:r>
      <w:r>
        <w:rPr>
          <w:rFonts w:eastAsia="宋体" w:cs="Times New Roman" w:asciiTheme="minorEastAsia" w:hAnsiTheme="minorEastAsia"/>
          <w:b/>
          <w:kern w:val="0"/>
          <w:sz w:val="24"/>
          <w:szCs w:val="24"/>
        </w:rPr>
        <w:t>抗震减灾规划</w:t>
      </w:r>
    </w:p>
    <w:p>
      <w:pPr>
        <w:adjustRightInd w:val="0"/>
        <w:snapToGrid w:val="0"/>
        <w:spacing w:line="360" w:lineRule="auto"/>
        <w:ind w:firstLine="482" w:firstLineChars="200"/>
        <w:rPr>
          <w:rFonts w:ascii="宋体" w:hAnsi="宋体" w:eastAsia="宋体" w:cs="Times New Roman"/>
          <w:b/>
          <w:kern w:val="0"/>
          <w:sz w:val="24"/>
          <w:szCs w:val="24"/>
          <w:u w:val="single"/>
        </w:rPr>
      </w:pPr>
      <w:r>
        <w:rPr>
          <w:rFonts w:ascii="宋体" w:hAnsi="宋体" w:eastAsia="宋体" w:cs="Times New Roman"/>
          <w:b/>
          <w:kern w:val="0"/>
          <w:sz w:val="24"/>
          <w:szCs w:val="24"/>
          <w:u w:val="single"/>
        </w:rPr>
        <w:t>根据《中国地震动参数区划图》(GB18306-20015)，镇区位于地震动峰值加速度0.05g分区、反应谱特征周期0.35s分区，抗震设防烈度为</w:t>
      </w:r>
      <w:r>
        <w:rPr>
          <w:rFonts w:hint="eastAsia" w:ascii="宋体" w:hAnsi="宋体" w:eastAsia="宋体" w:cs="Times New Roman"/>
          <w:b/>
          <w:kern w:val="0"/>
          <w:sz w:val="24"/>
          <w:szCs w:val="24"/>
          <w:u w:val="single"/>
        </w:rPr>
        <w:t>Ⅵ</w:t>
      </w:r>
      <w:r>
        <w:rPr>
          <w:rFonts w:ascii="宋体" w:hAnsi="宋体" w:eastAsia="宋体" w:cs="Times New Roman"/>
          <w:b/>
          <w:kern w:val="0"/>
          <w:sz w:val="24"/>
          <w:szCs w:val="24"/>
          <w:u w:val="single"/>
        </w:rPr>
        <w:t>度。严格控制新建、改建、扩建</w:t>
      </w:r>
      <w:r>
        <w:rPr>
          <w:rFonts w:hint="eastAsia" w:ascii="宋体" w:hAnsi="宋体" w:eastAsia="宋体" w:cs="Times New Roman"/>
          <w:b/>
          <w:kern w:val="0"/>
          <w:sz w:val="24"/>
          <w:szCs w:val="24"/>
          <w:u w:val="single"/>
        </w:rPr>
        <w:t>（构）</w:t>
      </w:r>
      <w:r>
        <w:rPr>
          <w:rFonts w:ascii="宋体" w:hAnsi="宋体" w:eastAsia="宋体" w:cs="Times New Roman"/>
          <w:b/>
          <w:kern w:val="0"/>
          <w:sz w:val="24"/>
          <w:szCs w:val="24"/>
          <w:u w:val="single"/>
        </w:rPr>
        <w:t>筑物防震等级，一般民用建筑按6 度设防，重要工程、城市生命线工程结构基础按7 度设防。重大工程和可能发生次生灾害的工程，必须进行地震安全性评价，并根据地震安全性评价的结果，确定抗震设防要求，进行抗震设防。</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（四）地质灾害防治规划</w:t>
      </w:r>
    </w:p>
    <w:p>
      <w:pPr>
        <w:adjustRightInd w:val="0"/>
        <w:snapToGrid w:val="0"/>
        <w:spacing w:line="360" w:lineRule="auto"/>
        <w:ind w:firstLine="482" w:firstLineChars="200"/>
        <w:rPr>
          <w:rFonts w:ascii="宋体" w:hAnsi="宋体" w:eastAsia="宋体" w:cs="Times New Roman"/>
          <w:b/>
          <w:kern w:val="0"/>
          <w:sz w:val="24"/>
          <w:szCs w:val="24"/>
          <w:u w:val="single"/>
        </w:rPr>
      </w:pPr>
      <w:r>
        <w:rPr>
          <w:rFonts w:ascii="宋体" w:hAnsi="宋体" w:eastAsia="宋体" w:cs="Times New Roman"/>
          <w:b/>
          <w:kern w:val="0"/>
          <w:sz w:val="24"/>
          <w:szCs w:val="24"/>
          <w:u w:val="single"/>
        </w:rPr>
        <w:t>规划应根据《地质灾害防治条例》、《地质灾害防治管理办法》、《县（市）地质灾害调查与区划基本要求》的精神和要求尽快编制相符的工程地质勘查报告，并作地质灾害评估。如遇规划结论与地勘结论有矛盾之处，下一步建筑设计报建应以详勘为依据，若出现地质勘察认定不宜建设情况，应以地质勘察结论为依据审查建设方案，并适时论证调整规划。</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镇区应完善预警联动和信息共享机制，确保第一时间将防灾信息、防灾措施和防灾要求传递到各村社负责人、地质灾害隐患点监测责任人、监测人和危险区内的群众。</w:t>
      </w:r>
    </w:p>
    <w:p>
      <w:pPr>
        <w:adjustRightInd w:val="0"/>
        <w:snapToGrid w:val="0"/>
        <w:spacing w:line="360" w:lineRule="auto"/>
        <w:ind w:firstLine="482" w:firstLineChars="200"/>
        <w:rPr>
          <w:rFonts w:ascii="黑体" w:hAnsi="黑体" w:eastAsia="黑体" w:cs="Times New Roman"/>
          <w:b/>
          <w:kern w:val="0"/>
          <w:sz w:val="24"/>
          <w:szCs w:val="24"/>
        </w:rPr>
      </w:pPr>
      <w:r>
        <w:rPr>
          <w:rFonts w:hint="eastAsia" w:ascii="黑体" w:hAnsi="黑体" w:eastAsia="黑体" w:cs="Times New Roman"/>
          <w:b/>
          <w:kern w:val="0"/>
          <w:sz w:val="24"/>
          <w:szCs w:val="24"/>
        </w:rPr>
        <w:t>十四、风貌管控</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运用城市设计理念，结合自然山水格局和地域人文特征，对河边镇区的空间形态和风貌特色进行分区。 构建河边镇区“一带三区多点”的风貌管控结构。</w:t>
      </w:r>
    </w:p>
    <w:p>
      <w:pPr>
        <w:adjustRightInd w:val="0"/>
        <w:snapToGrid w:val="0"/>
        <w:spacing w:line="360" w:lineRule="auto"/>
        <w:ind w:firstLine="482" w:firstLineChars="200"/>
        <w:rPr>
          <w:rFonts w:ascii="宋体" w:hAnsi="宋体" w:eastAsia="宋体" w:cs="Times New Roman"/>
          <w:b/>
          <w:kern w:val="0"/>
          <w:sz w:val="24"/>
          <w:szCs w:val="24"/>
          <w:u w:val="single"/>
        </w:rPr>
      </w:pPr>
      <w:r>
        <w:rPr>
          <w:rFonts w:ascii="宋体" w:hAnsi="宋体" w:eastAsia="宋体" w:cs="Times New Roman"/>
          <w:b/>
          <w:kern w:val="0"/>
          <w:sz w:val="24"/>
          <w:szCs w:val="24"/>
          <w:u w:val="single"/>
        </w:rPr>
        <w:t>河边镇区建筑以现状保留为主，基本维持现状空间形态，加强立面风貌整治，营造和谐的街景意向。部分新建居住建筑不超过6层，临近濛溪河和镇区中保留的山体，首排建筑高度不超过12 米，营造显山露水，错落有致的小镇风貌。重要节点，结合开敞空间、公建建筑特点，打造地标建筑。</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（一）建筑色彩管控</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传统风貌区：</w:t>
      </w:r>
      <w:r>
        <w:rPr>
          <w:rFonts w:hint="eastAsia" w:ascii="宋体" w:hAnsi="宋体" w:eastAsia="宋体" w:cs="Times New Roman"/>
          <w:kern w:val="0"/>
          <w:sz w:val="24"/>
          <w:szCs w:val="24"/>
        </w:rPr>
        <w:t>整体以平坝新川式</w:t>
      </w:r>
      <w:r>
        <w:rPr>
          <w:rFonts w:ascii="宋体" w:hAnsi="宋体" w:eastAsia="宋体" w:cs="Times New Roman"/>
          <w:kern w:val="0"/>
          <w:sz w:val="24"/>
          <w:szCs w:val="24"/>
        </w:rPr>
        <w:t>风貌为主，建筑色彩以黑、白、灰为基调，</w:t>
      </w:r>
      <w:r>
        <w:rPr>
          <w:rFonts w:hint="eastAsia" w:ascii="宋体" w:hAnsi="宋体" w:eastAsia="宋体" w:cs="Times New Roman"/>
          <w:kern w:val="0"/>
          <w:sz w:val="24"/>
          <w:szCs w:val="24"/>
        </w:rPr>
        <w:t>以木质原色(褐色)为辅助色调。不宜采用过于艳丽的颜色作为建筑主体控制色调。</w:t>
      </w:r>
      <w:r>
        <w:rPr>
          <w:rFonts w:ascii="宋体" w:hAnsi="宋体" w:eastAsia="宋体" w:cs="Times New Roman"/>
          <w:kern w:val="0"/>
          <w:sz w:val="24"/>
          <w:szCs w:val="24"/>
        </w:rPr>
        <w:t>严禁出现庞大、横长或矮胖的建筑体型，单体建筑</w:t>
      </w:r>
      <w:r>
        <w:rPr>
          <w:rFonts w:hint="eastAsia" w:ascii="宋体" w:hAnsi="宋体" w:eastAsia="宋体" w:cs="Times New Roman"/>
          <w:kern w:val="0"/>
          <w:sz w:val="24"/>
          <w:szCs w:val="24"/>
        </w:rPr>
        <w:t>连续</w:t>
      </w:r>
      <w:r>
        <w:rPr>
          <w:rFonts w:ascii="宋体" w:hAnsi="宋体" w:eastAsia="宋体" w:cs="Times New Roman"/>
          <w:kern w:val="0"/>
          <w:sz w:val="24"/>
          <w:szCs w:val="24"/>
        </w:rPr>
        <w:t>长度不宜超过25</w:t>
      </w:r>
      <w:r>
        <w:rPr>
          <w:rFonts w:hint="eastAsia" w:ascii="宋体" w:hAnsi="宋体" w:eastAsia="宋体" w:cs="Times New Roman"/>
          <w:kern w:val="0"/>
          <w:sz w:val="24"/>
          <w:szCs w:val="24"/>
        </w:rPr>
        <w:t>米。</w:t>
      </w:r>
      <w:r>
        <w:rPr>
          <w:rFonts w:ascii="宋体" w:hAnsi="宋体" w:eastAsia="宋体" w:cs="Times New Roman"/>
          <w:kern w:val="0"/>
          <w:sz w:val="24"/>
          <w:szCs w:val="24"/>
        </w:rPr>
        <w:t>在墙身里面处理上不应大面积的使用光面墙砖、防腐木和不耐脏、不耐久的低档涂料，不应设置金属卷帘门、防盗栏和雨棚。室外空调外机、电控箱、管道统一设计遮蔽措施，采用与风貌相协调的材质颜色。</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（二）</w:t>
      </w:r>
      <w:r>
        <w:rPr>
          <w:rFonts w:eastAsia="宋体" w:cs="Times New Roman" w:asciiTheme="minorEastAsia" w:hAnsiTheme="minorEastAsia"/>
          <w:b/>
          <w:kern w:val="0"/>
          <w:sz w:val="24"/>
          <w:szCs w:val="24"/>
        </w:rPr>
        <w:t>建筑屋顶控制</w:t>
      </w:r>
    </w:p>
    <w:p>
      <w:pPr>
        <w:adjustRightInd w:val="0"/>
        <w:snapToGrid w:val="0"/>
        <w:spacing w:line="360" w:lineRule="auto"/>
        <w:ind w:firstLine="480" w:firstLineChars="200"/>
        <w:rPr>
          <w:rFonts w:ascii="宋体" w:hAnsi="宋体" w:eastAsia="宋体" w:cs="Times New Roman"/>
          <w:kern w:val="0"/>
          <w:sz w:val="24"/>
          <w:szCs w:val="24"/>
        </w:rPr>
      </w:pPr>
      <w:r>
        <w:rPr>
          <w:rFonts w:hint="eastAsia" w:ascii="宋体" w:hAnsi="宋体" w:eastAsia="宋体" w:cs="Times New Roman"/>
          <w:kern w:val="0"/>
          <w:sz w:val="24"/>
          <w:szCs w:val="24"/>
        </w:rPr>
        <w:t>1、</w:t>
      </w:r>
      <w:r>
        <w:rPr>
          <w:rFonts w:ascii="宋体" w:hAnsi="宋体" w:eastAsia="宋体" w:cs="Times New Roman"/>
          <w:kern w:val="0"/>
          <w:sz w:val="24"/>
          <w:szCs w:val="24"/>
        </w:rPr>
        <w:t>传统风貌区</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以坡屋顶为主，延续传统川中悬山坡屋顶样式，屋脊主要为平脊、凸脊</w:t>
      </w:r>
      <w:r>
        <w:rPr>
          <w:rFonts w:hint="eastAsia" w:ascii="宋体" w:hAnsi="宋体" w:eastAsia="宋体" w:cs="Times New Roman"/>
          <w:kern w:val="0"/>
          <w:sz w:val="24"/>
          <w:szCs w:val="24"/>
        </w:rPr>
        <w:t>；</w:t>
      </w:r>
      <w:r>
        <w:rPr>
          <w:rFonts w:ascii="宋体" w:hAnsi="宋体" w:eastAsia="宋体" w:cs="Times New Roman"/>
          <w:kern w:val="0"/>
          <w:sz w:val="24"/>
          <w:szCs w:val="24"/>
        </w:rPr>
        <w:t>可在细部增加檐角或一般装饰，如增加较为简洁和经济的迭瓦式构建脊饰，彰显地方乡村特色</w:t>
      </w:r>
      <w:r>
        <w:rPr>
          <w:rFonts w:hint="eastAsia" w:ascii="宋体" w:hAnsi="宋体" w:eastAsia="宋体" w:cs="Times New Roman"/>
          <w:kern w:val="0"/>
          <w:sz w:val="24"/>
          <w:szCs w:val="24"/>
        </w:rPr>
        <w:t>；</w:t>
      </w:r>
      <w:r>
        <w:rPr>
          <w:rFonts w:ascii="宋体" w:hAnsi="宋体" w:eastAsia="宋体" w:cs="Times New Roman"/>
          <w:kern w:val="0"/>
          <w:sz w:val="24"/>
          <w:szCs w:val="24"/>
        </w:rPr>
        <w:t>禁止使用颜色艳丽平板彩钢板屋顶。</w:t>
      </w:r>
    </w:p>
    <w:p>
      <w:pPr>
        <w:adjustRightInd w:val="0"/>
        <w:snapToGrid w:val="0"/>
        <w:spacing w:line="360" w:lineRule="auto"/>
        <w:ind w:firstLine="480" w:firstLineChars="200"/>
        <w:rPr>
          <w:rFonts w:ascii="宋体" w:hAnsi="宋体" w:eastAsia="宋体" w:cs="Times New Roman"/>
          <w:kern w:val="0"/>
          <w:sz w:val="24"/>
          <w:szCs w:val="24"/>
        </w:rPr>
      </w:pPr>
      <w:r>
        <w:rPr>
          <w:rFonts w:hint="eastAsia" w:ascii="宋体" w:hAnsi="宋体" w:eastAsia="宋体" w:cs="Times New Roman"/>
          <w:kern w:val="0"/>
          <w:sz w:val="24"/>
          <w:szCs w:val="24"/>
        </w:rPr>
        <w:t>2、</w:t>
      </w:r>
      <w:r>
        <w:rPr>
          <w:rFonts w:ascii="宋体" w:hAnsi="宋体" w:eastAsia="宋体" w:cs="Times New Roman"/>
          <w:kern w:val="0"/>
          <w:sz w:val="24"/>
          <w:szCs w:val="24"/>
        </w:rPr>
        <w:t>现代风貌区</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平屋顶为主，可以平坡结合的形式，屋顶可做上人种植屋面。</w:t>
      </w:r>
    </w:p>
    <w:p>
      <w:pPr>
        <w:adjustRightInd w:val="0"/>
        <w:snapToGrid w:val="0"/>
        <w:spacing w:line="360" w:lineRule="auto"/>
        <w:ind w:firstLine="480" w:firstLineChars="200"/>
        <w:rPr>
          <w:rFonts w:ascii="宋体" w:hAnsi="宋体" w:eastAsia="宋体" w:cs="Times New Roman"/>
          <w:kern w:val="0"/>
          <w:sz w:val="24"/>
          <w:szCs w:val="24"/>
        </w:rPr>
      </w:pPr>
      <w:r>
        <w:rPr>
          <w:rFonts w:hint="eastAsia" w:ascii="宋体" w:hAnsi="宋体" w:eastAsia="宋体" w:cs="Times New Roman"/>
          <w:kern w:val="0"/>
          <w:sz w:val="24"/>
          <w:szCs w:val="24"/>
        </w:rPr>
        <w:t>3、</w:t>
      </w:r>
      <w:r>
        <w:rPr>
          <w:rFonts w:ascii="宋体" w:hAnsi="宋体" w:eastAsia="宋体" w:cs="Times New Roman"/>
          <w:kern w:val="0"/>
          <w:sz w:val="24"/>
          <w:szCs w:val="24"/>
        </w:rPr>
        <w:t>田园风貌区</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坡屋顶为主，可作为生态种植屋面，与自然环境充分融合。</w:t>
      </w:r>
    </w:p>
    <w:p>
      <w:pPr>
        <w:adjustRightInd w:val="0"/>
        <w:snapToGrid w:val="0"/>
        <w:spacing w:line="360" w:lineRule="auto"/>
        <w:ind w:firstLine="482" w:firstLineChars="200"/>
        <w:rPr>
          <w:rFonts w:ascii="黑体" w:hAnsi="黑体" w:eastAsia="黑体" w:cs="Times New Roman"/>
          <w:b/>
          <w:kern w:val="0"/>
          <w:sz w:val="24"/>
          <w:szCs w:val="24"/>
        </w:rPr>
      </w:pPr>
      <w:r>
        <w:rPr>
          <w:rFonts w:hint="eastAsia" w:ascii="黑体" w:hAnsi="黑体" w:eastAsia="黑体" w:cs="Times New Roman"/>
          <w:b/>
          <w:kern w:val="0"/>
          <w:sz w:val="24"/>
          <w:szCs w:val="24"/>
        </w:rPr>
        <w:t>十五、镇区宅基地管控</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（一）城镇开发边界内自建房控制</w:t>
      </w:r>
    </w:p>
    <w:p>
      <w:pPr>
        <w:adjustRightInd w:val="0"/>
        <w:snapToGrid w:val="0"/>
        <w:spacing w:line="360" w:lineRule="auto"/>
        <w:ind w:firstLine="482" w:firstLineChars="200"/>
        <w:rPr>
          <w:rFonts w:ascii="宋体" w:hAnsi="宋体" w:eastAsia="宋体" w:cs="Times New Roman"/>
          <w:b/>
          <w:kern w:val="0"/>
          <w:sz w:val="24"/>
          <w:szCs w:val="24"/>
          <w:u w:val="single"/>
        </w:rPr>
      </w:pPr>
      <w:r>
        <w:rPr>
          <w:rFonts w:hint="eastAsia" w:ascii="宋体" w:hAnsi="宋体" w:eastAsia="宋体" w:cs="Times New Roman"/>
          <w:b/>
          <w:kern w:val="0"/>
          <w:sz w:val="24"/>
          <w:szCs w:val="24"/>
          <w:u w:val="single"/>
        </w:rPr>
        <w:t>中心场镇开发边界内的自建房项目须经房屋鉴定机构鉴定确认属于D级危房（申请时提供鉴定报告），又无其他居所，且未纳入棚户区规划，也不能纳入易地提前安置的，则按原址原面积原高度的原则予以审批。开发边界内自建房总建筑层数不宜超过3层（含3层），建筑高度不宜超过12米。</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（二）宅基地面积控制</w:t>
      </w:r>
    </w:p>
    <w:p>
      <w:pPr>
        <w:adjustRightInd w:val="0"/>
        <w:snapToGrid w:val="0"/>
        <w:spacing w:line="360" w:lineRule="auto"/>
        <w:ind w:firstLine="482" w:firstLineChars="200"/>
        <w:rPr>
          <w:rFonts w:ascii="宋体" w:hAnsi="宋体" w:eastAsia="宋体" w:cs="Times New Roman"/>
          <w:b/>
          <w:kern w:val="0"/>
          <w:sz w:val="24"/>
          <w:szCs w:val="24"/>
          <w:u w:val="single"/>
        </w:rPr>
      </w:pPr>
      <w:r>
        <w:rPr>
          <w:rFonts w:hint="eastAsia" w:ascii="宋体" w:hAnsi="宋体" w:eastAsia="宋体" w:cs="Times New Roman"/>
          <w:b/>
          <w:kern w:val="0"/>
          <w:sz w:val="24"/>
          <w:szCs w:val="24"/>
          <w:u w:val="single"/>
        </w:rPr>
        <w:t>在中心场镇开发边界内使用集体建设用地进行自建房建设的，必须坚持“一户一宅”原则，户宅基地面积标准分3人户及以下、4人户、5人户及以上类别，宅基地面积分别控制在90、100、125平方米以内。</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（三）户型选择</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在中心场镇开发边界内使用集体建设用地进行自建房建设的，户型选择建议按照《遂宁市美丽乡村风貌导则及民居设计图集》（2023.01）建筑图集内容P82-91执行应避免选择山墙开窗的户型。</w:t>
      </w:r>
    </w:p>
    <w:p>
      <w:pPr>
        <w:adjustRightInd w:val="0"/>
        <w:snapToGrid w:val="0"/>
        <w:spacing w:line="360" w:lineRule="auto"/>
        <w:ind w:firstLine="480" w:firstLineChars="200"/>
        <w:rPr>
          <w:rFonts w:ascii="宋体" w:hAnsi="宋体" w:eastAsia="宋体" w:cs="Times New Roman"/>
          <w:b/>
          <w:kern w:val="0"/>
          <w:sz w:val="24"/>
          <w:szCs w:val="24"/>
          <w:u w:val="single"/>
        </w:rPr>
      </w:pPr>
      <w:r>
        <w:rPr>
          <w:rFonts w:hint="eastAsia" w:eastAsia="宋体" w:cs="Times New Roman" w:asciiTheme="minorEastAsia" w:hAnsiTheme="minorEastAsia"/>
          <w:kern w:val="0"/>
          <w:sz w:val="24"/>
          <w:szCs w:val="24"/>
        </w:rPr>
        <w:t>其他具体管理办法参照《大英县城市开发边界线和中心场镇规划区内自建房建设管理办法》执行。</w:t>
      </w:r>
    </w:p>
    <w:p>
      <w:pPr>
        <w:pStyle w:val="36"/>
        <w:numPr>
          <w:ilvl w:val="0"/>
          <w:numId w:val="6"/>
        </w:numPr>
        <w:spacing w:beforeLines="50" w:afterLines="50"/>
        <w:ind w:firstLineChars="0"/>
        <w:jc w:val="center"/>
        <w:rPr>
          <w:rFonts w:ascii="黑体" w:hAnsi="黑体" w:eastAsia="黑体"/>
          <w:b w:val="0"/>
          <w:kern w:val="2"/>
        </w:rPr>
      </w:pPr>
      <w:bookmarkStart w:id="29" w:name="_Toc166772178"/>
      <w:r>
        <w:rPr>
          <w:rFonts w:hint="eastAsia" w:ascii="黑体" w:hAnsi="黑体" w:eastAsia="黑体"/>
          <w:b w:val="0"/>
          <w:kern w:val="2"/>
        </w:rPr>
        <w:t>象山镇镇区规划</w:t>
      </w:r>
      <w:bookmarkEnd w:id="29"/>
    </w:p>
    <w:p>
      <w:pPr>
        <w:adjustRightInd w:val="0"/>
        <w:snapToGrid w:val="0"/>
        <w:spacing w:line="360" w:lineRule="auto"/>
        <w:ind w:firstLine="482" w:firstLineChars="200"/>
        <w:rPr>
          <w:rFonts w:ascii="黑体" w:hAnsi="黑体" w:eastAsia="黑体" w:cs="Times New Roman"/>
          <w:b/>
          <w:kern w:val="0"/>
          <w:sz w:val="24"/>
          <w:szCs w:val="24"/>
        </w:rPr>
      </w:pPr>
      <w:r>
        <w:rPr>
          <w:rFonts w:hint="eastAsia" w:ascii="黑体" w:hAnsi="黑体" w:eastAsia="黑体" w:cs="Times New Roman"/>
          <w:b/>
          <w:kern w:val="0"/>
          <w:sz w:val="24"/>
          <w:szCs w:val="24"/>
        </w:rPr>
        <w:t>一、基本情况和特征问题</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（一）</w:t>
      </w:r>
      <w:r>
        <w:rPr>
          <w:rFonts w:eastAsia="宋体" w:cs="Times New Roman" w:asciiTheme="minorEastAsia" w:hAnsiTheme="minorEastAsia"/>
          <w:b/>
          <w:kern w:val="0"/>
          <w:sz w:val="24"/>
          <w:szCs w:val="24"/>
        </w:rPr>
        <w:t>基本情况</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象山镇地处大英县西北部，东接射洪涪西镇，南连蓬莱镇、通仙乡，西接中江县普兴镇，北邻三台县建中镇，是三市四县交界的重要物质集散地，市场活跃、商贸繁荣。2020年镇区常住人口0.25万人，建设用地</w:t>
      </w:r>
      <w:r>
        <w:rPr>
          <w:rFonts w:hint="eastAsia" w:ascii="宋体" w:hAnsi="宋体" w:eastAsia="宋体" w:cs="Times New Roman"/>
          <w:kern w:val="0"/>
          <w:sz w:val="24"/>
          <w:szCs w:val="24"/>
        </w:rPr>
        <w:t>49.80</w:t>
      </w:r>
      <w:r>
        <w:rPr>
          <w:rFonts w:ascii="宋体" w:hAnsi="宋体" w:eastAsia="宋体" w:cs="Times New Roman"/>
          <w:kern w:val="0"/>
          <w:sz w:val="24"/>
          <w:szCs w:val="24"/>
        </w:rPr>
        <w:t>公顷，人均建设用地</w:t>
      </w:r>
      <w:r>
        <w:rPr>
          <w:rFonts w:hint="eastAsia" w:ascii="宋体" w:hAnsi="宋体" w:eastAsia="宋体" w:cs="Times New Roman"/>
          <w:kern w:val="0"/>
          <w:sz w:val="24"/>
          <w:szCs w:val="24"/>
        </w:rPr>
        <w:t xml:space="preserve">199.20平方米。 </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（二）</w:t>
      </w:r>
      <w:r>
        <w:rPr>
          <w:rFonts w:eastAsia="宋体" w:cs="Times New Roman" w:asciiTheme="minorEastAsia" w:hAnsiTheme="minorEastAsia"/>
          <w:b/>
          <w:kern w:val="0"/>
          <w:sz w:val="24"/>
          <w:szCs w:val="24"/>
        </w:rPr>
        <w:t>特征问题</w:t>
      </w:r>
    </w:p>
    <w:p>
      <w:pPr>
        <w:adjustRightInd w:val="0"/>
        <w:snapToGrid w:val="0"/>
        <w:spacing w:line="360" w:lineRule="auto"/>
        <w:ind w:firstLine="480" w:firstLineChars="200"/>
        <w:rPr>
          <w:rFonts w:ascii="宋体" w:hAnsi="宋体" w:eastAsia="宋体" w:cs="Times New Roman"/>
          <w:kern w:val="0"/>
          <w:sz w:val="24"/>
          <w:szCs w:val="24"/>
        </w:rPr>
      </w:pPr>
      <w:r>
        <w:rPr>
          <w:rFonts w:hint="eastAsia" w:ascii="宋体" w:hAnsi="宋体" w:eastAsia="宋体" w:cs="Times New Roman"/>
          <w:kern w:val="0"/>
          <w:sz w:val="24"/>
          <w:szCs w:val="24"/>
        </w:rPr>
        <w:t>1、</w:t>
      </w:r>
      <w:r>
        <w:rPr>
          <w:rFonts w:ascii="宋体" w:hAnsi="宋体" w:eastAsia="宋体" w:cs="Times New Roman"/>
          <w:kern w:val="0"/>
          <w:sz w:val="24"/>
          <w:szCs w:val="24"/>
        </w:rPr>
        <w:t>商贸能力辐射强，拓展空间不足</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象山镇区商贸发达，辐射能力较强，但受城镇开发边界的影响商业发展空间受限，且面临其他场镇同质竞争（中江苍山古镇）</w:t>
      </w:r>
      <w:r>
        <w:rPr>
          <w:rFonts w:hint="eastAsia" w:ascii="宋体" w:hAnsi="宋体" w:eastAsia="宋体" w:cs="Times New Roman"/>
          <w:kern w:val="0"/>
          <w:sz w:val="24"/>
          <w:szCs w:val="24"/>
        </w:rPr>
        <w:t>；</w:t>
      </w:r>
    </w:p>
    <w:p>
      <w:pPr>
        <w:adjustRightInd w:val="0"/>
        <w:snapToGrid w:val="0"/>
        <w:spacing w:line="360" w:lineRule="auto"/>
        <w:ind w:firstLine="480" w:firstLineChars="200"/>
        <w:rPr>
          <w:rFonts w:ascii="宋体" w:hAnsi="宋体" w:eastAsia="宋体" w:cs="Times New Roman"/>
          <w:kern w:val="0"/>
          <w:sz w:val="24"/>
          <w:szCs w:val="24"/>
        </w:rPr>
      </w:pPr>
      <w:r>
        <w:rPr>
          <w:rFonts w:hint="eastAsia" w:ascii="宋体" w:hAnsi="宋体" w:eastAsia="宋体" w:cs="Times New Roman"/>
          <w:kern w:val="0"/>
          <w:sz w:val="24"/>
          <w:szCs w:val="24"/>
        </w:rPr>
        <w:t>2、</w:t>
      </w:r>
      <w:r>
        <w:rPr>
          <w:rFonts w:ascii="宋体" w:hAnsi="宋体" w:eastAsia="宋体" w:cs="Times New Roman"/>
          <w:kern w:val="0"/>
          <w:sz w:val="24"/>
          <w:szCs w:val="24"/>
        </w:rPr>
        <w:t>公服设施基础好，公共活动空间不足</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教育、就业、医疗等设施基本满足本镇需求，并能适当服务周边村镇，但缺少养老、公园绿地、广场等公共活动空间不足</w:t>
      </w:r>
      <w:r>
        <w:rPr>
          <w:rFonts w:hint="eastAsia" w:ascii="宋体" w:hAnsi="宋体" w:eastAsia="宋体" w:cs="Times New Roman"/>
          <w:kern w:val="0"/>
          <w:sz w:val="24"/>
          <w:szCs w:val="24"/>
        </w:rPr>
        <w:t>；</w:t>
      </w:r>
    </w:p>
    <w:p>
      <w:pPr>
        <w:adjustRightInd w:val="0"/>
        <w:snapToGrid w:val="0"/>
        <w:spacing w:line="360" w:lineRule="auto"/>
        <w:ind w:firstLine="480" w:firstLineChars="200"/>
        <w:rPr>
          <w:rFonts w:ascii="宋体" w:hAnsi="宋体" w:eastAsia="宋体" w:cs="Times New Roman"/>
          <w:kern w:val="0"/>
          <w:sz w:val="24"/>
          <w:szCs w:val="24"/>
        </w:rPr>
      </w:pPr>
      <w:r>
        <w:rPr>
          <w:rFonts w:hint="eastAsia" w:ascii="宋体" w:hAnsi="宋体" w:eastAsia="宋体" w:cs="Times New Roman"/>
          <w:kern w:val="0"/>
          <w:sz w:val="24"/>
          <w:szCs w:val="24"/>
        </w:rPr>
        <w:t>3、</w:t>
      </w:r>
      <w:r>
        <w:rPr>
          <w:rFonts w:ascii="宋体" w:hAnsi="宋体" w:eastAsia="宋体" w:cs="Times New Roman"/>
          <w:kern w:val="0"/>
          <w:sz w:val="24"/>
          <w:szCs w:val="24"/>
        </w:rPr>
        <w:t>市政设施配置齐全，道路系统有待完善</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水厂、污水处理厂、变电站（永乐村35KV）等市政设施配置齐全，但交通系统不够健全，存在较多断头路，多为路内停车，亟待完善</w:t>
      </w:r>
      <w:r>
        <w:rPr>
          <w:rFonts w:hint="eastAsia" w:ascii="宋体" w:hAnsi="宋体" w:eastAsia="宋体" w:cs="Times New Roman"/>
          <w:kern w:val="0"/>
          <w:sz w:val="24"/>
          <w:szCs w:val="24"/>
        </w:rPr>
        <w:t>；</w:t>
      </w:r>
    </w:p>
    <w:p>
      <w:pPr>
        <w:adjustRightInd w:val="0"/>
        <w:snapToGrid w:val="0"/>
        <w:spacing w:line="360" w:lineRule="auto"/>
        <w:ind w:firstLine="480" w:firstLineChars="200"/>
        <w:rPr>
          <w:rFonts w:ascii="宋体" w:hAnsi="宋体" w:eastAsia="宋体" w:cs="Times New Roman"/>
          <w:kern w:val="0"/>
          <w:sz w:val="24"/>
          <w:szCs w:val="24"/>
        </w:rPr>
      </w:pPr>
      <w:r>
        <w:rPr>
          <w:rFonts w:hint="eastAsia" w:ascii="宋体" w:hAnsi="宋体" w:eastAsia="宋体" w:cs="Times New Roman"/>
          <w:kern w:val="0"/>
          <w:sz w:val="24"/>
          <w:szCs w:val="24"/>
        </w:rPr>
        <w:t>4、</w:t>
      </w:r>
      <w:r>
        <w:rPr>
          <w:rFonts w:ascii="宋体" w:hAnsi="宋体" w:eastAsia="宋体" w:cs="Times New Roman"/>
          <w:kern w:val="0"/>
          <w:sz w:val="24"/>
          <w:szCs w:val="24"/>
        </w:rPr>
        <w:t>城镇建设水平逐步向好，但风貌缺乏特色</w:t>
      </w:r>
    </w:p>
    <w:p>
      <w:pPr>
        <w:adjustRightInd w:val="0"/>
        <w:snapToGrid w:val="0"/>
        <w:spacing w:line="360" w:lineRule="auto"/>
        <w:ind w:firstLine="480" w:firstLineChars="200"/>
        <w:rPr>
          <w:rFonts w:ascii="宋体" w:hAnsi="宋体" w:eastAsia="宋体" w:cs="Times New Roman"/>
          <w:kern w:val="0"/>
          <w:sz w:val="24"/>
          <w:szCs w:val="24"/>
        </w:rPr>
      </w:pPr>
      <w:r>
        <w:rPr>
          <w:rFonts w:hint="eastAsia" w:ascii="宋体" w:hAnsi="宋体" w:eastAsia="宋体" w:cs="Times New Roman"/>
          <w:kern w:val="0"/>
          <w:sz w:val="24"/>
          <w:szCs w:val="24"/>
        </w:rPr>
        <w:t>近年新建居住建筑以</w:t>
      </w:r>
      <w:r>
        <w:rPr>
          <w:rFonts w:ascii="宋体" w:hAnsi="宋体" w:eastAsia="宋体" w:cs="Times New Roman"/>
          <w:kern w:val="0"/>
          <w:sz w:val="24"/>
          <w:szCs w:val="24"/>
        </w:rPr>
        <w:t>6</w:t>
      </w:r>
      <w:r>
        <w:rPr>
          <w:rFonts w:hint="eastAsia" w:ascii="宋体" w:hAnsi="宋体" w:eastAsia="宋体" w:cs="Times New Roman"/>
          <w:kern w:val="0"/>
          <w:sz w:val="24"/>
          <w:szCs w:val="24"/>
        </w:rPr>
        <w:t>层</w:t>
      </w:r>
      <w:r>
        <w:rPr>
          <w:rFonts w:ascii="宋体" w:hAnsi="宋体" w:eastAsia="宋体" w:cs="Times New Roman"/>
          <w:kern w:val="0"/>
          <w:sz w:val="24"/>
          <w:szCs w:val="24"/>
        </w:rPr>
        <w:t>建筑为主，向城市小区化发展，城镇建设水平逐步向好，但是整体风貌缺乏特色。</w:t>
      </w:r>
    </w:p>
    <w:p>
      <w:pPr>
        <w:adjustRightInd w:val="0"/>
        <w:snapToGrid w:val="0"/>
        <w:spacing w:line="360" w:lineRule="auto"/>
        <w:ind w:firstLine="482" w:firstLineChars="200"/>
        <w:rPr>
          <w:rFonts w:ascii="黑体" w:hAnsi="黑体" w:eastAsia="黑体" w:cs="Times New Roman"/>
          <w:b/>
          <w:kern w:val="0"/>
          <w:sz w:val="24"/>
          <w:szCs w:val="24"/>
        </w:rPr>
      </w:pPr>
      <w:r>
        <w:rPr>
          <w:rFonts w:hint="eastAsia" w:ascii="黑体" w:hAnsi="黑体" w:eastAsia="黑体" w:cs="Times New Roman"/>
          <w:b/>
          <w:kern w:val="0"/>
          <w:sz w:val="24"/>
          <w:szCs w:val="24"/>
        </w:rPr>
        <w:t>二、镇区发展方向</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镇区主要发展方向在老城镇的基础上沿郪江向南</w:t>
      </w:r>
      <w:r>
        <w:rPr>
          <w:rFonts w:hint="eastAsia" w:ascii="宋体" w:hAnsi="宋体" w:eastAsia="宋体" w:cs="Times New Roman"/>
          <w:kern w:val="0"/>
          <w:sz w:val="24"/>
          <w:szCs w:val="24"/>
        </w:rPr>
        <w:t>、</w:t>
      </w:r>
      <w:r>
        <w:rPr>
          <w:rFonts w:ascii="宋体" w:hAnsi="宋体" w:eastAsia="宋体" w:cs="Times New Roman"/>
          <w:kern w:val="0"/>
          <w:sz w:val="24"/>
          <w:szCs w:val="24"/>
        </w:rPr>
        <w:t>北发展，形成拥江的城镇发展态势。</w:t>
      </w:r>
      <w:r>
        <w:rPr>
          <w:rFonts w:hint="eastAsia" w:ascii="宋体" w:hAnsi="宋体" w:eastAsia="宋体" w:cs="Times New Roman"/>
          <w:kern w:val="0"/>
          <w:sz w:val="24"/>
          <w:szCs w:val="24"/>
        </w:rPr>
        <w:t>跨</w:t>
      </w:r>
      <w:r>
        <w:rPr>
          <w:rFonts w:ascii="宋体" w:hAnsi="宋体" w:eastAsia="宋体" w:cs="Times New Roman"/>
          <w:kern w:val="0"/>
          <w:sz w:val="24"/>
          <w:szCs w:val="24"/>
        </w:rPr>
        <w:t>郪江适度向西扩，规划聚居点，以疏解镇区未来人口。</w:t>
      </w:r>
    </w:p>
    <w:p>
      <w:pPr>
        <w:adjustRightInd w:val="0"/>
        <w:snapToGrid w:val="0"/>
        <w:spacing w:line="360" w:lineRule="auto"/>
        <w:ind w:firstLine="482" w:firstLineChars="200"/>
        <w:rPr>
          <w:rFonts w:ascii="黑体" w:hAnsi="黑体" w:eastAsia="黑体" w:cs="Times New Roman"/>
          <w:b/>
          <w:kern w:val="0"/>
          <w:sz w:val="24"/>
          <w:szCs w:val="24"/>
        </w:rPr>
      </w:pPr>
      <w:r>
        <w:rPr>
          <w:rFonts w:hint="eastAsia" w:ascii="黑体" w:hAnsi="黑体" w:eastAsia="黑体" w:cs="Times New Roman"/>
          <w:b/>
          <w:kern w:val="0"/>
          <w:sz w:val="24"/>
          <w:szCs w:val="24"/>
        </w:rPr>
        <w:t>三、镇区地形分析</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通过对象山城镇高程分析，象山镇区为浅丘地形，郪江和龙溪河在镇区内穿过，两岸地形呈“Y”字状，建设用地沿河呈带状发展，镇区内建设用地比较紧凑，现状地形将导致城镇的发展方向南侧平坝地扩展，城镇空间结构和形态应在尊重自然地形的前提下，尽量整合用地，达到顺应自然，显山露水。</w:t>
      </w:r>
    </w:p>
    <w:p>
      <w:pPr>
        <w:adjustRightInd w:val="0"/>
        <w:snapToGrid w:val="0"/>
        <w:spacing w:line="360" w:lineRule="auto"/>
        <w:ind w:firstLine="482" w:firstLineChars="200"/>
        <w:rPr>
          <w:rFonts w:ascii="黑体" w:hAnsi="黑体" w:eastAsia="黑体" w:cs="Times New Roman"/>
          <w:b/>
          <w:kern w:val="0"/>
          <w:sz w:val="24"/>
          <w:szCs w:val="24"/>
        </w:rPr>
      </w:pPr>
      <w:r>
        <w:rPr>
          <w:rFonts w:hint="eastAsia" w:ascii="黑体" w:hAnsi="黑体" w:eastAsia="黑体" w:cs="Times New Roman"/>
          <w:b/>
          <w:kern w:val="0"/>
          <w:sz w:val="24"/>
          <w:szCs w:val="24"/>
        </w:rPr>
        <w:t>四、城镇开发边界</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根据大英县“三区三线”划定成果，象山镇区城镇开发边界规模为55.87公顷（不含县城城镇开发边界）。</w:t>
      </w:r>
    </w:p>
    <w:p>
      <w:pPr>
        <w:adjustRightInd w:val="0"/>
        <w:snapToGrid w:val="0"/>
        <w:spacing w:line="360" w:lineRule="auto"/>
        <w:ind w:firstLine="482" w:firstLineChars="200"/>
        <w:rPr>
          <w:rFonts w:ascii="黑体" w:hAnsi="黑体" w:eastAsia="黑体" w:cs="Times New Roman"/>
          <w:b/>
          <w:kern w:val="0"/>
          <w:sz w:val="24"/>
          <w:szCs w:val="24"/>
        </w:rPr>
      </w:pPr>
      <w:r>
        <w:rPr>
          <w:rFonts w:hint="eastAsia" w:ascii="黑体" w:hAnsi="黑体" w:eastAsia="黑体" w:cs="Times New Roman"/>
          <w:b/>
          <w:kern w:val="0"/>
          <w:sz w:val="24"/>
          <w:szCs w:val="24"/>
        </w:rPr>
        <w:t>五、城镇性质和规模</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（一）城镇性质</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规划象山镇为片区副中心</w:t>
      </w:r>
      <w:r>
        <w:rPr>
          <w:rFonts w:hint="eastAsia" w:ascii="宋体" w:hAnsi="宋体" w:eastAsia="宋体" w:cs="Times New Roman"/>
          <w:kern w:val="0"/>
          <w:sz w:val="24"/>
          <w:szCs w:val="24"/>
        </w:rPr>
        <w:t>、</w:t>
      </w:r>
      <w:r>
        <w:rPr>
          <w:rFonts w:ascii="宋体" w:hAnsi="宋体" w:eastAsia="宋体" w:cs="Times New Roman"/>
          <w:kern w:val="0"/>
          <w:sz w:val="24"/>
          <w:szCs w:val="24"/>
        </w:rPr>
        <w:t>特色商贸</w:t>
      </w:r>
      <w:r>
        <w:rPr>
          <w:rFonts w:hint="eastAsia" w:ascii="宋体" w:hAnsi="宋体" w:eastAsia="宋体" w:cs="Times New Roman"/>
          <w:kern w:val="0"/>
          <w:sz w:val="24"/>
          <w:szCs w:val="24"/>
        </w:rPr>
        <w:t>城</w:t>
      </w:r>
      <w:r>
        <w:rPr>
          <w:rFonts w:ascii="宋体" w:hAnsi="宋体" w:eastAsia="宋体" w:cs="Times New Roman"/>
          <w:kern w:val="0"/>
          <w:sz w:val="24"/>
          <w:szCs w:val="24"/>
        </w:rPr>
        <w:t>镇</w:t>
      </w:r>
      <w:r>
        <w:rPr>
          <w:rFonts w:hint="eastAsia" w:ascii="宋体" w:hAnsi="宋体" w:eastAsia="宋体" w:cs="Times New Roman"/>
          <w:kern w:val="0"/>
          <w:sz w:val="24"/>
          <w:szCs w:val="24"/>
        </w:rPr>
        <w:t>、</w:t>
      </w:r>
      <w:r>
        <w:rPr>
          <w:rFonts w:ascii="宋体" w:hAnsi="宋体" w:eastAsia="宋体" w:cs="Times New Roman"/>
          <w:kern w:val="0"/>
          <w:sz w:val="24"/>
          <w:szCs w:val="24"/>
        </w:rPr>
        <w:t>“三市四县”交接的重要</w:t>
      </w:r>
      <w:r>
        <w:rPr>
          <w:rFonts w:hint="eastAsia" w:ascii="宋体" w:hAnsi="宋体" w:eastAsia="宋体" w:cs="Times New Roman"/>
          <w:kern w:val="0"/>
          <w:sz w:val="24"/>
          <w:szCs w:val="24"/>
        </w:rPr>
        <w:t>物资</w:t>
      </w:r>
      <w:r>
        <w:rPr>
          <w:rFonts w:ascii="宋体" w:hAnsi="宋体" w:eastAsia="宋体" w:cs="Times New Roman"/>
          <w:kern w:val="0"/>
          <w:sz w:val="24"/>
          <w:szCs w:val="24"/>
        </w:rPr>
        <w:t>集散地。</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（二）规模</w:t>
      </w:r>
    </w:p>
    <w:p>
      <w:pPr>
        <w:adjustRightInd w:val="0"/>
        <w:snapToGrid w:val="0"/>
        <w:spacing w:line="360" w:lineRule="auto"/>
        <w:ind w:firstLine="480" w:firstLineChars="200"/>
        <w:rPr>
          <w:rFonts w:ascii="宋体" w:hAnsi="宋体" w:eastAsia="宋体" w:cs="Times New Roman"/>
          <w:kern w:val="0"/>
          <w:sz w:val="24"/>
          <w:szCs w:val="24"/>
        </w:rPr>
      </w:pPr>
      <w:r>
        <w:rPr>
          <w:rFonts w:hint="eastAsia" w:ascii="宋体" w:hAnsi="宋体" w:eastAsia="宋体" w:cs="Times New Roman"/>
          <w:kern w:val="0"/>
          <w:sz w:val="24"/>
          <w:szCs w:val="24"/>
        </w:rPr>
        <w:t xml:space="preserve">规划城镇建设用地55.87公顷，城镇人口0.50万人（常住0.65万）。 </w:t>
      </w:r>
    </w:p>
    <w:p>
      <w:pPr>
        <w:adjustRightInd w:val="0"/>
        <w:snapToGrid w:val="0"/>
        <w:spacing w:line="360" w:lineRule="auto"/>
        <w:ind w:firstLine="482" w:firstLineChars="200"/>
        <w:rPr>
          <w:rFonts w:ascii="黑体" w:hAnsi="黑体" w:eastAsia="黑体" w:cs="Times New Roman"/>
          <w:b/>
          <w:kern w:val="0"/>
          <w:sz w:val="24"/>
          <w:szCs w:val="24"/>
        </w:rPr>
      </w:pPr>
      <w:r>
        <w:rPr>
          <w:rFonts w:hint="eastAsia" w:ascii="黑体" w:hAnsi="黑体" w:eastAsia="黑体" w:cs="Times New Roman"/>
          <w:b/>
          <w:kern w:val="0"/>
          <w:sz w:val="24"/>
          <w:szCs w:val="24"/>
        </w:rPr>
        <w:t>六、镇区功能结构</w:t>
      </w:r>
    </w:p>
    <w:p>
      <w:pPr>
        <w:adjustRightInd w:val="0"/>
        <w:snapToGrid w:val="0"/>
        <w:spacing w:line="360" w:lineRule="auto"/>
        <w:ind w:firstLine="480" w:firstLineChars="200"/>
        <w:rPr>
          <w:rFonts w:ascii="宋体" w:hAnsi="宋体" w:eastAsia="宋体" w:cs="Times New Roman"/>
          <w:kern w:val="0"/>
          <w:sz w:val="24"/>
          <w:szCs w:val="24"/>
        </w:rPr>
      </w:pPr>
      <w:r>
        <w:rPr>
          <w:rFonts w:hint="eastAsia" w:ascii="宋体" w:hAnsi="宋体" w:eastAsia="宋体" w:cs="Times New Roman"/>
          <w:kern w:val="0"/>
          <w:sz w:val="24"/>
          <w:szCs w:val="24"/>
        </w:rPr>
        <w:t>根据</w:t>
      </w:r>
      <w:r>
        <w:rPr>
          <w:rFonts w:ascii="宋体" w:hAnsi="宋体" w:eastAsia="宋体" w:cs="Times New Roman"/>
          <w:kern w:val="0"/>
          <w:sz w:val="24"/>
          <w:szCs w:val="24"/>
        </w:rPr>
        <w:t>象山镇用地评定结果和县级国土空间规划确定的城镇开发边界，结合镇区建设现状，确定镇区建设用地功能结构。推动象山向东南发展，与大英浪漫地中海、文旅产业园形成联动；重构公共服务中心，面向生活和产业服务，依托现状</w:t>
      </w:r>
      <w:r>
        <w:rPr>
          <w:rFonts w:hint="eastAsia" w:ascii="宋体" w:hAnsi="宋体" w:eastAsia="宋体" w:cs="Times New Roman"/>
          <w:kern w:val="0"/>
          <w:sz w:val="24"/>
          <w:szCs w:val="24"/>
        </w:rPr>
        <w:t>郪江</w:t>
      </w:r>
      <w:r>
        <w:rPr>
          <w:rFonts w:ascii="宋体" w:hAnsi="宋体" w:eastAsia="宋体" w:cs="Times New Roman"/>
          <w:kern w:val="0"/>
          <w:sz w:val="24"/>
          <w:szCs w:val="24"/>
        </w:rPr>
        <w:t>和龙溪河资源形成景观绿带，构建镇区形成“一轴两带，一核两心多组团”的城镇空间结构。</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一轴：以交通街为载体，形成南北向商贸发展服务轴</w:t>
      </w:r>
      <w:r>
        <w:rPr>
          <w:rFonts w:hint="eastAsia" w:ascii="宋体" w:hAnsi="宋体" w:eastAsia="宋体" w:cs="Times New Roman"/>
          <w:kern w:val="0"/>
          <w:sz w:val="24"/>
          <w:szCs w:val="24"/>
        </w:rPr>
        <w:t>；</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两带：利用郪江和龙溪河水系打造公园景观绿带</w:t>
      </w:r>
      <w:r>
        <w:rPr>
          <w:rFonts w:hint="eastAsia" w:ascii="宋体" w:hAnsi="宋体" w:eastAsia="宋体" w:cs="Times New Roman"/>
          <w:kern w:val="0"/>
          <w:sz w:val="24"/>
          <w:szCs w:val="24"/>
        </w:rPr>
        <w:t>；</w:t>
      </w:r>
    </w:p>
    <w:p>
      <w:pPr>
        <w:adjustRightInd w:val="0"/>
        <w:snapToGrid w:val="0"/>
        <w:spacing w:line="360" w:lineRule="auto"/>
        <w:ind w:firstLine="480" w:firstLineChars="200"/>
        <w:rPr>
          <w:rFonts w:ascii="宋体" w:hAnsi="宋体" w:eastAsia="宋体" w:cs="Times New Roman"/>
          <w:kern w:val="0"/>
          <w:sz w:val="24"/>
          <w:szCs w:val="24"/>
        </w:rPr>
      </w:pPr>
      <w:r>
        <w:rPr>
          <w:rFonts w:hint="eastAsia" w:ascii="宋体" w:hAnsi="宋体" w:eastAsia="宋体" w:cs="Times New Roman"/>
          <w:kern w:val="0"/>
          <w:sz w:val="24"/>
          <w:szCs w:val="24"/>
        </w:rPr>
        <w:t>一核：</w:t>
      </w:r>
      <w:r>
        <w:rPr>
          <w:rFonts w:ascii="宋体" w:hAnsi="宋体" w:eastAsia="宋体" w:cs="Times New Roman"/>
          <w:kern w:val="0"/>
          <w:sz w:val="24"/>
          <w:szCs w:val="24"/>
        </w:rPr>
        <w:t>公共服务核</w:t>
      </w:r>
      <w:r>
        <w:rPr>
          <w:rFonts w:hint="eastAsia" w:ascii="宋体" w:hAnsi="宋体" w:eastAsia="宋体" w:cs="Times New Roman"/>
          <w:kern w:val="0"/>
          <w:sz w:val="24"/>
          <w:szCs w:val="24"/>
        </w:rPr>
        <w:t>；</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两心：两个商贸服务中心</w:t>
      </w:r>
      <w:r>
        <w:rPr>
          <w:rFonts w:hint="eastAsia" w:ascii="宋体" w:hAnsi="宋体" w:eastAsia="宋体" w:cs="Times New Roman"/>
          <w:kern w:val="0"/>
          <w:sz w:val="24"/>
          <w:szCs w:val="24"/>
        </w:rPr>
        <w:t>；</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多组团：宜居生活组团、商贸拓展组团、生态居住组团</w:t>
      </w:r>
      <w:r>
        <w:rPr>
          <w:rFonts w:hint="eastAsia" w:ascii="宋体" w:hAnsi="宋体" w:eastAsia="宋体" w:cs="Times New Roman"/>
          <w:kern w:val="0"/>
          <w:sz w:val="24"/>
          <w:szCs w:val="24"/>
        </w:rPr>
        <w:t>。</w:t>
      </w:r>
    </w:p>
    <w:p>
      <w:pPr>
        <w:adjustRightInd w:val="0"/>
        <w:snapToGrid w:val="0"/>
        <w:spacing w:line="360" w:lineRule="auto"/>
        <w:ind w:firstLine="482" w:firstLineChars="200"/>
        <w:rPr>
          <w:rFonts w:ascii="黑体" w:hAnsi="黑体" w:eastAsia="黑体" w:cs="Times New Roman"/>
          <w:b/>
          <w:kern w:val="0"/>
          <w:sz w:val="24"/>
          <w:szCs w:val="24"/>
        </w:rPr>
      </w:pPr>
      <w:r>
        <w:rPr>
          <w:rFonts w:hint="eastAsia" w:ascii="黑体" w:hAnsi="黑体" w:eastAsia="黑体" w:cs="Times New Roman"/>
          <w:b/>
          <w:kern w:val="0"/>
          <w:sz w:val="24"/>
          <w:szCs w:val="24"/>
        </w:rPr>
        <w:t>七、镇区土地用途结构调整</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（一）耕地</w:t>
      </w:r>
    </w:p>
    <w:p>
      <w:pPr>
        <w:adjustRightInd w:val="0"/>
        <w:snapToGrid w:val="0"/>
        <w:spacing w:line="360" w:lineRule="auto"/>
        <w:ind w:firstLine="482" w:firstLineChars="200"/>
        <w:rPr>
          <w:rFonts w:ascii="宋体" w:hAnsi="宋体" w:eastAsia="宋体" w:cs="Times New Roman"/>
          <w:b/>
          <w:kern w:val="0"/>
          <w:sz w:val="24"/>
          <w:szCs w:val="24"/>
          <w:u w:val="single"/>
        </w:rPr>
      </w:pPr>
      <w:r>
        <w:rPr>
          <w:rFonts w:ascii="宋体" w:hAnsi="宋体" w:eastAsia="宋体" w:cs="Times New Roman"/>
          <w:b/>
          <w:kern w:val="0"/>
          <w:sz w:val="24"/>
          <w:szCs w:val="24"/>
          <w:u w:val="single"/>
        </w:rPr>
        <w:t>城镇开发边界内耕地较现状减少了</w:t>
      </w:r>
      <w:r>
        <w:rPr>
          <w:rFonts w:hint="eastAsia" w:ascii="宋体" w:hAnsi="宋体" w:eastAsia="宋体" w:cs="Times New Roman"/>
          <w:b/>
          <w:kern w:val="0"/>
          <w:sz w:val="24"/>
          <w:szCs w:val="24"/>
          <w:u w:val="single"/>
        </w:rPr>
        <w:t>2.16</w:t>
      </w:r>
      <w:r>
        <w:rPr>
          <w:rFonts w:ascii="宋体" w:hAnsi="宋体" w:eastAsia="宋体" w:cs="Times New Roman"/>
          <w:b/>
          <w:kern w:val="0"/>
          <w:sz w:val="24"/>
          <w:szCs w:val="24"/>
          <w:u w:val="single"/>
        </w:rPr>
        <w:t>公顷。</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（二）园地</w:t>
      </w:r>
    </w:p>
    <w:p>
      <w:pPr>
        <w:adjustRightInd w:val="0"/>
        <w:snapToGrid w:val="0"/>
        <w:spacing w:line="360" w:lineRule="auto"/>
        <w:ind w:firstLine="482" w:firstLineChars="200"/>
        <w:rPr>
          <w:rFonts w:ascii="宋体" w:hAnsi="宋体" w:eastAsia="宋体" w:cs="Times New Roman"/>
          <w:b/>
          <w:kern w:val="0"/>
          <w:sz w:val="24"/>
          <w:szCs w:val="24"/>
          <w:u w:val="single"/>
        </w:rPr>
      </w:pPr>
      <w:r>
        <w:rPr>
          <w:rFonts w:ascii="宋体" w:hAnsi="宋体" w:eastAsia="宋体" w:cs="Times New Roman"/>
          <w:b/>
          <w:kern w:val="0"/>
          <w:sz w:val="24"/>
          <w:szCs w:val="24"/>
          <w:u w:val="single"/>
        </w:rPr>
        <w:t>城镇开发边界内</w:t>
      </w:r>
      <w:r>
        <w:rPr>
          <w:rFonts w:hint="eastAsia" w:ascii="宋体" w:hAnsi="宋体" w:eastAsia="宋体" w:cs="Times New Roman"/>
          <w:b/>
          <w:kern w:val="0"/>
          <w:sz w:val="24"/>
          <w:szCs w:val="24"/>
          <w:u w:val="single"/>
        </w:rPr>
        <w:t>园地</w:t>
      </w:r>
      <w:r>
        <w:rPr>
          <w:rFonts w:ascii="宋体" w:hAnsi="宋体" w:eastAsia="宋体" w:cs="Times New Roman"/>
          <w:b/>
          <w:kern w:val="0"/>
          <w:sz w:val="24"/>
          <w:szCs w:val="24"/>
          <w:u w:val="single"/>
        </w:rPr>
        <w:t>较现状减少了</w:t>
      </w:r>
      <w:r>
        <w:rPr>
          <w:rFonts w:hint="eastAsia" w:ascii="宋体" w:hAnsi="宋体" w:eastAsia="宋体" w:cs="Times New Roman"/>
          <w:b/>
          <w:kern w:val="0"/>
          <w:sz w:val="24"/>
          <w:szCs w:val="24"/>
          <w:u w:val="single"/>
        </w:rPr>
        <w:t>0.01</w:t>
      </w:r>
      <w:r>
        <w:rPr>
          <w:rFonts w:ascii="宋体" w:hAnsi="宋体" w:eastAsia="宋体" w:cs="Times New Roman"/>
          <w:b/>
          <w:kern w:val="0"/>
          <w:sz w:val="24"/>
          <w:szCs w:val="24"/>
          <w:u w:val="single"/>
        </w:rPr>
        <w:t>公顷。</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（三）林地</w:t>
      </w:r>
    </w:p>
    <w:p>
      <w:pPr>
        <w:adjustRightInd w:val="0"/>
        <w:snapToGrid w:val="0"/>
        <w:spacing w:line="360" w:lineRule="auto"/>
        <w:ind w:firstLine="482" w:firstLineChars="200"/>
        <w:rPr>
          <w:rFonts w:ascii="宋体" w:hAnsi="宋体" w:eastAsia="宋体" w:cs="Times New Roman"/>
          <w:b/>
          <w:kern w:val="0"/>
          <w:sz w:val="24"/>
          <w:szCs w:val="24"/>
          <w:u w:val="single"/>
        </w:rPr>
      </w:pPr>
      <w:r>
        <w:rPr>
          <w:rFonts w:ascii="宋体" w:hAnsi="宋体" w:eastAsia="宋体" w:cs="Times New Roman"/>
          <w:b/>
          <w:kern w:val="0"/>
          <w:sz w:val="24"/>
          <w:szCs w:val="24"/>
          <w:u w:val="single"/>
        </w:rPr>
        <w:t>城镇开发边界内林地较现状减少了</w:t>
      </w:r>
      <w:r>
        <w:rPr>
          <w:rFonts w:hint="eastAsia" w:ascii="宋体" w:hAnsi="宋体" w:eastAsia="宋体" w:cs="Times New Roman"/>
          <w:b/>
          <w:kern w:val="0"/>
          <w:sz w:val="24"/>
          <w:szCs w:val="24"/>
          <w:u w:val="single"/>
        </w:rPr>
        <w:t>3.03</w:t>
      </w:r>
      <w:r>
        <w:rPr>
          <w:rFonts w:ascii="宋体" w:hAnsi="宋体" w:eastAsia="宋体" w:cs="Times New Roman"/>
          <w:b/>
          <w:kern w:val="0"/>
          <w:sz w:val="24"/>
          <w:szCs w:val="24"/>
          <w:u w:val="single"/>
        </w:rPr>
        <w:t>公顷。</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（四）</w:t>
      </w:r>
      <w:r>
        <w:rPr>
          <w:rFonts w:eastAsia="宋体" w:cs="Times New Roman" w:asciiTheme="minorEastAsia" w:hAnsiTheme="minorEastAsia"/>
          <w:b/>
          <w:kern w:val="0"/>
          <w:sz w:val="24"/>
          <w:szCs w:val="24"/>
        </w:rPr>
        <w:t>农业设施建设用地</w:t>
      </w:r>
    </w:p>
    <w:p>
      <w:pPr>
        <w:adjustRightInd w:val="0"/>
        <w:snapToGrid w:val="0"/>
        <w:spacing w:line="360" w:lineRule="auto"/>
        <w:ind w:firstLine="482" w:firstLineChars="200"/>
        <w:rPr>
          <w:rFonts w:ascii="宋体" w:hAnsi="宋体" w:eastAsia="宋体" w:cs="Times New Roman"/>
          <w:b/>
          <w:kern w:val="0"/>
          <w:sz w:val="24"/>
          <w:szCs w:val="24"/>
          <w:u w:val="single"/>
        </w:rPr>
      </w:pPr>
      <w:r>
        <w:rPr>
          <w:rFonts w:ascii="宋体" w:hAnsi="宋体" w:eastAsia="宋体" w:cs="Times New Roman"/>
          <w:b/>
          <w:kern w:val="0"/>
          <w:sz w:val="24"/>
          <w:szCs w:val="24"/>
          <w:u w:val="single"/>
        </w:rPr>
        <w:t>城镇开发边界内农业设施建设用</w:t>
      </w:r>
      <w:r>
        <w:rPr>
          <w:rFonts w:hint="eastAsia" w:ascii="宋体" w:hAnsi="宋体" w:eastAsia="宋体" w:cs="Times New Roman"/>
          <w:b/>
          <w:kern w:val="0"/>
          <w:sz w:val="24"/>
          <w:szCs w:val="24"/>
          <w:u w:val="single"/>
          <w:lang w:val="en-US" w:eastAsia="zh-CN"/>
        </w:rPr>
        <w:t>地</w:t>
      </w:r>
      <w:r>
        <w:rPr>
          <w:rFonts w:ascii="宋体" w:hAnsi="宋体" w:eastAsia="宋体" w:cs="Times New Roman"/>
          <w:b/>
          <w:kern w:val="0"/>
          <w:sz w:val="24"/>
          <w:szCs w:val="24"/>
          <w:u w:val="single"/>
        </w:rPr>
        <w:t>现状减少</w:t>
      </w:r>
      <w:r>
        <w:rPr>
          <w:rFonts w:hint="eastAsia" w:ascii="宋体" w:hAnsi="宋体" w:eastAsia="宋体" w:cs="Times New Roman"/>
          <w:b/>
          <w:kern w:val="0"/>
          <w:sz w:val="24"/>
          <w:szCs w:val="24"/>
          <w:u w:val="single"/>
        </w:rPr>
        <w:t>0.18</w:t>
      </w:r>
      <w:r>
        <w:rPr>
          <w:rFonts w:ascii="宋体" w:hAnsi="宋体" w:eastAsia="宋体" w:cs="Times New Roman"/>
          <w:b/>
          <w:kern w:val="0"/>
          <w:sz w:val="24"/>
          <w:szCs w:val="24"/>
          <w:u w:val="single"/>
        </w:rPr>
        <w:t>公顷。</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（四）</w:t>
      </w:r>
      <w:r>
        <w:rPr>
          <w:rFonts w:eastAsia="宋体" w:cs="Times New Roman" w:asciiTheme="minorEastAsia" w:hAnsiTheme="minorEastAsia"/>
          <w:b/>
          <w:kern w:val="0"/>
          <w:sz w:val="24"/>
          <w:szCs w:val="24"/>
        </w:rPr>
        <w:t>建设用地</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以“尊重自然与历史肌理、不大拆大建、保持宜人尺度、节约集约发展”为前提，盘活存量低效用地，合理布局镇区建设用地，规划城镇建设用地面积</w:t>
      </w:r>
      <w:r>
        <w:rPr>
          <w:rFonts w:hint="eastAsia" w:ascii="宋体" w:hAnsi="宋体" w:eastAsia="宋体" w:cs="Times New Roman"/>
          <w:kern w:val="0"/>
          <w:sz w:val="24"/>
          <w:szCs w:val="24"/>
        </w:rPr>
        <w:t>55.66公顷。</w:t>
      </w:r>
    </w:p>
    <w:p>
      <w:pPr>
        <w:adjustRightInd w:val="0"/>
        <w:snapToGrid w:val="0"/>
        <w:spacing w:line="360" w:lineRule="auto"/>
        <w:ind w:firstLine="482" w:firstLineChars="200"/>
        <w:rPr>
          <w:rFonts w:ascii="宋体" w:hAnsi="宋体" w:eastAsia="宋体" w:cs="Times New Roman"/>
          <w:kern w:val="0"/>
          <w:sz w:val="24"/>
          <w:szCs w:val="24"/>
        </w:rPr>
      </w:pPr>
      <w:r>
        <w:rPr>
          <w:rFonts w:hint="eastAsia" w:ascii="宋体" w:hAnsi="宋体" w:eastAsia="宋体" w:cs="Times New Roman"/>
          <w:b/>
          <w:kern w:val="0"/>
          <w:sz w:val="24"/>
          <w:szCs w:val="24"/>
          <w:u w:val="single"/>
        </w:rPr>
        <w:t>居住用地24.74</w:t>
      </w:r>
      <w:r>
        <w:rPr>
          <w:rFonts w:ascii="宋体" w:hAnsi="宋体" w:eastAsia="宋体" w:cs="Times New Roman"/>
          <w:b/>
          <w:kern w:val="0"/>
          <w:sz w:val="24"/>
          <w:szCs w:val="24"/>
          <w:u w:val="single"/>
        </w:rPr>
        <w:t>公顷，较现状减少了</w:t>
      </w:r>
      <w:r>
        <w:rPr>
          <w:rFonts w:hint="eastAsia" w:ascii="宋体" w:hAnsi="宋体" w:eastAsia="宋体" w:cs="Times New Roman"/>
          <w:b/>
          <w:kern w:val="0"/>
          <w:sz w:val="24"/>
          <w:szCs w:val="24"/>
          <w:u w:val="single"/>
        </w:rPr>
        <w:t>0.83</w:t>
      </w:r>
      <w:r>
        <w:rPr>
          <w:rFonts w:ascii="宋体" w:hAnsi="宋体" w:eastAsia="宋体" w:cs="Times New Roman"/>
          <w:b/>
          <w:kern w:val="0"/>
          <w:sz w:val="24"/>
          <w:szCs w:val="24"/>
          <w:u w:val="single"/>
        </w:rPr>
        <w:t>公顷</w:t>
      </w:r>
      <w:r>
        <w:rPr>
          <w:rFonts w:ascii="宋体" w:hAnsi="宋体" w:eastAsia="宋体" w:cs="Times New Roman"/>
          <w:kern w:val="0"/>
          <w:sz w:val="24"/>
          <w:szCs w:val="24"/>
        </w:rPr>
        <w:t>，现状居住用地主要布局在交通街和滨江路两侧，龙溪河西侧组团分布少量居住用地</w:t>
      </w:r>
      <w:r>
        <w:rPr>
          <w:rFonts w:hint="eastAsia" w:ascii="宋体" w:hAnsi="宋体" w:eastAsia="宋体" w:cs="Times New Roman"/>
          <w:kern w:val="0"/>
          <w:sz w:val="24"/>
          <w:szCs w:val="24"/>
        </w:rPr>
        <w:t>，</w:t>
      </w:r>
      <w:r>
        <w:rPr>
          <w:rFonts w:ascii="宋体" w:hAnsi="宋体" w:eastAsia="宋体" w:cs="Times New Roman"/>
          <w:kern w:val="0"/>
          <w:sz w:val="24"/>
          <w:szCs w:val="24"/>
        </w:rPr>
        <w:t>规划沿着郪江、滨江路东侧规划新增两处居住用地。</w:t>
      </w:r>
      <w:r>
        <w:rPr>
          <w:rFonts w:hint="eastAsia" w:ascii="宋体" w:hAnsi="宋体" w:eastAsia="宋体" w:cs="Times New Roman"/>
          <w:kern w:val="0"/>
          <w:sz w:val="24"/>
          <w:szCs w:val="24"/>
        </w:rPr>
        <w:t>居住用地在</w:t>
      </w:r>
      <w:r>
        <w:rPr>
          <w:rFonts w:ascii="宋体" w:hAnsi="宋体" w:eastAsia="宋体" w:cs="Times New Roman"/>
          <w:kern w:val="0"/>
          <w:sz w:val="24"/>
          <w:szCs w:val="24"/>
        </w:rPr>
        <w:t>“三调”的基础上根据地上建筑的主要功能对用地重新</w:t>
      </w:r>
      <w:r>
        <w:rPr>
          <w:rFonts w:hint="eastAsia" w:ascii="宋体" w:hAnsi="宋体" w:eastAsia="宋体" w:cs="Times New Roman"/>
          <w:kern w:val="0"/>
          <w:sz w:val="24"/>
          <w:szCs w:val="24"/>
        </w:rPr>
        <w:t>进行</w:t>
      </w:r>
      <w:r>
        <w:rPr>
          <w:rFonts w:ascii="宋体" w:hAnsi="宋体" w:eastAsia="宋体" w:cs="Times New Roman"/>
          <w:kern w:val="0"/>
          <w:sz w:val="24"/>
          <w:szCs w:val="24"/>
        </w:rPr>
        <w:t>划分，导致居住用地较现状减少了</w:t>
      </w:r>
      <w:r>
        <w:rPr>
          <w:rFonts w:hint="eastAsia" w:ascii="宋体" w:hAnsi="宋体" w:eastAsia="宋体" w:cs="Times New Roman"/>
          <w:kern w:val="0"/>
          <w:sz w:val="24"/>
          <w:szCs w:val="24"/>
        </w:rPr>
        <w:t>0.83</w:t>
      </w:r>
      <w:r>
        <w:rPr>
          <w:rFonts w:ascii="宋体" w:hAnsi="宋体" w:eastAsia="宋体" w:cs="Times New Roman"/>
          <w:kern w:val="0"/>
          <w:sz w:val="24"/>
          <w:szCs w:val="24"/>
        </w:rPr>
        <w:t>公顷。</w:t>
      </w:r>
    </w:p>
    <w:p>
      <w:pPr>
        <w:adjustRightInd w:val="0"/>
        <w:snapToGrid w:val="0"/>
        <w:spacing w:line="360" w:lineRule="auto"/>
        <w:ind w:firstLine="482" w:firstLineChars="200"/>
        <w:rPr>
          <w:rFonts w:ascii="宋体" w:hAnsi="宋体" w:eastAsia="宋体" w:cs="Times New Roman"/>
          <w:b/>
          <w:kern w:val="0"/>
          <w:sz w:val="24"/>
          <w:szCs w:val="24"/>
          <w:u w:val="single"/>
        </w:rPr>
      </w:pPr>
      <w:r>
        <w:rPr>
          <w:rFonts w:ascii="宋体" w:hAnsi="宋体" w:eastAsia="宋体" w:cs="Times New Roman"/>
          <w:b/>
          <w:kern w:val="0"/>
          <w:sz w:val="24"/>
          <w:szCs w:val="24"/>
          <w:u w:val="single"/>
        </w:rPr>
        <w:t>规划保留</w:t>
      </w:r>
      <w:r>
        <w:rPr>
          <w:rFonts w:hint="eastAsia" w:ascii="宋体" w:hAnsi="宋体" w:eastAsia="宋体" w:cs="Times New Roman"/>
          <w:b/>
          <w:kern w:val="0"/>
          <w:sz w:val="24"/>
          <w:szCs w:val="24"/>
          <w:u w:val="single"/>
        </w:rPr>
        <w:t>象山</w:t>
      </w:r>
      <w:r>
        <w:rPr>
          <w:rFonts w:ascii="宋体" w:hAnsi="宋体" w:eastAsia="宋体" w:cs="Times New Roman"/>
          <w:b/>
          <w:kern w:val="0"/>
          <w:sz w:val="24"/>
          <w:szCs w:val="24"/>
          <w:u w:val="single"/>
        </w:rPr>
        <w:t>中学、</w:t>
      </w:r>
      <w:r>
        <w:rPr>
          <w:rFonts w:hint="eastAsia" w:ascii="宋体" w:hAnsi="宋体" w:eastAsia="宋体" w:cs="Times New Roman"/>
          <w:b/>
          <w:kern w:val="0"/>
          <w:sz w:val="24"/>
          <w:szCs w:val="24"/>
          <w:u w:val="single"/>
        </w:rPr>
        <w:t>象山</w:t>
      </w:r>
      <w:r>
        <w:rPr>
          <w:rFonts w:ascii="宋体" w:hAnsi="宋体" w:eastAsia="宋体" w:cs="Times New Roman"/>
          <w:b/>
          <w:kern w:val="0"/>
          <w:sz w:val="24"/>
          <w:szCs w:val="24"/>
          <w:u w:val="single"/>
        </w:rPr>
        <w:t>小学、象山幼儿园，保留现状</w:t>
      </w:r>
      <w:r>
        <w:rPr>
          <w:rFonts w:hint="eastAsia" w:ascii="宋体" w:hAnsi="宋体" w:eastAsia="宋体" w:cs="Times New Roman"/>
          <w:b/>
          <w:kern w:val="0"/>
          <w:sz w:val="24"/>
          <w:szCs w:val="24"/>
          <w:u w:val="single"/>
        </w:rPr>
        <w:t>象山</w:t>
      </w:r>
      <w:r>
        <w:rPr>
          <w:rFonts w:ascii="宋体" w:hAnsi="宋体" w:eastAsia="宋体" w:cs="Times New Roman"/>
          <w:b/>
          <w:kern w:val="0"/>
          <w:sz w:val="24"/>
          <w:szCs w:val="24"/>
          <w:u w:val="single"/>
        </w:rPr>
        <w:t>镇政府、消防站，在滨江路东侧规划一处派出所用地，保留现状象山卫生院、文化活动站等设施，规划公共管理与公共服务设施用地</w:t>
      </w:r>
      <w:r>
        <w:rPr>
          <w:rFonts w:hint="eastAsia" w:ascii="宋体" w:hAnsi="宋体" w:eastAsia="宋体" w:cs="Times New Roman"/>
          <w:b/>
          <w:kern w:val="0"/>
          <w:sz w:val="24"/>
          <w:szCs w:val="24"/>
          <w:u w:val="single"/>
        </w:rPr>
        <w:t>9.75</w:t>
      </w:r>
      <w:r>
        <w:rPr>
          <w:rFonts w:ascii="宋体" w:hAnsi="宋体" w:eastAsia="宋体" w:cs="Times New Roman"/>
          <w:b/>
          <w:kern w:val="0"/>
          <w:sz w:val="24"/>
          <w:szCs w:val="24"/>
          <w:u w:val="single"/>
        </w:rPr>
        <w:t>公顷，较现状增加了</w:t>
      </w:r>
      <w:r>
        <w:rPr>
          <w:rFonts w:hint="eastAsia" w:ascii="宋体" w:hAnsi="宋体" w:eastAsia="宋体" w:cs="Times New Roman"/>
          <w:b/>
          <w:kern w:val="0"/>
          <w:sz w:val="24"/>
          <w:szCs w:val="24"/>
          <w:u w:val="single"/>
        </w:rPr>
        <w:t>2.68</w:t>
      </w:r>
      <w:r>
        <w:rPr>
          <w:rFonts w:ascii="宋体" w:hAnsi="宋体" w:eastAsia="宋体" w:cs="Times New Roman"/>
          <w:b/>
          <w:kern w:val="0"/>
          <w:sz w:val="24"/>
          <w:szCs w:val="24"/>
          <w:u w:val="single"/>
        </w:rPr>
        <w:t>公顷。</w:t>
      </w:r>
    </w:p>
    <w:p>
      <w:pPr>
        <w:adjustRightInd w:val="0"/>
        <w:snapToGrid w:val="0"/>
        <w:spacing w:line="360" w:lineRule="auto"/>
        <w:ind w:firstLine="480" w:firstLineChars="200"/>
        <w:rPr>
          <w:rFonts w:ascii="宋体" w:hAnsi="宋体" w:eastAsia="宋体" w:cs="Times New Roman"/>
          <w:b/>
          <w:kern w:val="0"/>
          <w:sz w:val="24"/>
          <w:szCs w:val="24"/>
          <w:u w:val="single"/>
        </w:rPr>
      </w:pPr>
      <w:r>
        <w:rPr>
          <w:rFonts w:hint="eastAsia" w:ascii="宋体" w:hAnsi="宋体" w:eastAsia="宋体" w:cs="Times New Roman"/>
          <w:kern w:val="0"/>
          <w:sz w:val="24"/>
          <w:szCs w:val="24"/>
        </w:rPr>
        <w:t>保留</w:t>
      </w:r>
      <w:r>
        <w:rPr>
          <w:rFonts w:ascii="宋体" w:hAnsi="宋体" w:eastAsia="宋体" w:cs="Times New Roman"/>
          <w:kern w:val="0"/>
          <w:sz w:val="24"/>
          <w:szCs w:val="24"/>
        </w:rPr>
        <w:t>圣象国际住宅小区内的综合农贸市场</w:t>
      </w:r>
      <w:r>
        <w:rPr>
          <w:rFonts w:hint="eastAsia" w:ascii="宋体" w:hAnsi="宋体" w:eastAsia="宋体" w:cs="Times New Roman"/>
          <w:kern w:val="0"/>
          <w:sz w:val="24"/>
          <w:szCs w:val="24"/>
        </w:rPr>
        <w:t>、</w:t>
      </w:r>
      <w:r>
        <w:rPr>
          <w:rFonts w:ascii="宋体" w:hAnsi="宋体" w:eastAsia="宋体" w:cs="Times New Roman"/>
          <w:kern w:val="0"/>
          <w:sz w:val="24"/>
          <w:szCs w:val="24"/>
        </w:rPr>
        <w:t>世纪宏大购物中心</w:t>
      </w:r>
      <w:r>
        <w:rPr>
          <w:rFonts w:hint="eastAsia" w:ascii="宋体" w:hAnsi="宋体" w:eastAsia="宋体" w:cs="Times New Roman"/>
          <w:kern w:val="0"/>
          <w:sz w:val="24"/>
          <w:szCs w:val="24"/>
        </w:rPr>
        <w:t>、</w:t>
      </w:r>
      <w:r>
        <w:rPr>
          <w:rFonts w:ascii="宋体" w:hAnsi="宋体" w:eastAsia="宋体" w:cs="Times New Roman"/>
          <w:kern w:val="0"/>
          <w:sz w:val="24"/>
          <w:szCs w:val="24"/>
        </w:rPr>
        <w:t>福满家商贸中心，</w:t>
      </w:r>
      <w:r>
        <w:rPr>
          <w:rFonts w:hint="eastAsia" w:ascii="宋体" w:hAnsi="宋体" w:eastAsia="宋体" w:cs="Times New Roman"/>
          <w:kern w:val="0"/>
          <w:sz w:val="24"/>
          <w:szCs w:val="24"/>
        </w:rPr>
        <w:t>调整</w:t>
      </w:r>
      <w:r>
        <w:rPr>
          <w:rFonts w:ascii="宋体" w:hAnsi="宋体" w:eastAsia="宋体" w:cs="Times New Roman"/>
          <w:kern w:val="0"/>
          <w:sz w:val="24"/>
          <w:szCs w:val="24"/>
        </w:rPr>
        <w:t>镇区北侧驾校的部分用地为商业用地</w:t>
      </w:r>
      <w:r>
        <w:rPr>
          <w:rFonts w:hint="eastAsia" w:ascii="宋体" w:hAnsi="宋体" w:eastAsia="宋体" w:cs="Times New Roman"/>
          <w:kern w:val="0"/>
          <w:sz w:val="24"/>
          <w:szCs w:val="24"/>
        </w:rPr>
        <w:t>，</w:t>
      </w:r>
      <w:r>
        <w:rPr>
          <w:rFonts w:ascii="宋体" w:hAnsi="宋体" w:eastAsia="宋体" w:cs="Times New Roman"/>
          <w:kern w:val="0"/>
          <w:sz w:val="24"/>
          <w:szCs w:val="24"/>
        </w:rPr>
        <w:t>规划在龙溪河西侧新增一处商业中心</w:t>
      </w:r>
      <w:r>
        <w:rPr>
          <w:rFonts w:hint="eastAsia" w:ascii="宋体" w:hAnsi="宋体" w:eastAsia="宋体" w:cs="Times New Roman"/>
          <w:kern w:val="0"/>
          <w:sz w:val="24"/>
          <w:szCs w:val="24"/>
        </w:rPr>
        <w:t>，</w:t>
      </w:r>
      <w:r>
        <w:rPr>
          <w:rFonts w:ascii="宋体" w:hAnsi="宋体" w:eastAsia="宋体" w:cs="Times New Roman"/>
          <w:kern w:val="0"/>
          <w:sz w:val="24"/>
          <w:szCs w:val="24"/>
        </w:rPr>
        <w:t>服务</w:t>
      </w:r>
      <w:r>
        <w:rPr>
          <w:rFonts w:hint="eastAsia" w:ascii="宋体" w:hAnsi="宋体" w:eastAsia="宋体" w:cs="Times New Roman"/>
          <w:kern w:val="0"/>
          <w:sz w:val="24"/>
          <w:szCs w:val="24"/>
        </w:rPr>
        <w:t>镇区西北侧的宜居生活组团</w:t>
      </w:r>
      <w:r>
        <w:rPr>
          <w:rFonts w:ascii="宋体" w:hAnsi="宋体" w:eastAsia="宋体" w:cs="Times New Roman"/>
          <w:kern w:val="0"/>
          <w:sz w:val="24"/>
          <w:szCs w:val="24"/>
        </w:rPr>
        <w:t>。</w:t>
      </w:r>
      <w:r>
        <w:rPr>
          <w:rFonts w:ascii="宋体" w:hAnsi="宋体" w:eastAsia="宋体" w:cs="Times New Roman"/>
          <w:b/>
          <w:kern w:val="0"/>
          <w:sz w:val="24"/>
          <w:szCs w:val="24"/>
          <w:u w:val="single"/>
        </w:rPr>
        <w:t>规划商业服务业用地</w:t>
      </w:r>
      <w:r>
        <w:rPr>
          <w:rFonts w:hint="eastAsia" w:ascii="宋体" w:hAnsi="宋体" w:eastAsia="宋体" w:cs="Times New Roman"/>
          <w:b/>
          <w:kern w:val="0"/>
          <w:sz w:val="24"/>
          <w:szCs w:val="24"/>
          <w:u w:val="single"/>
        </w:rPr>
        <w:t>5.21</w:t>
      </w:r>
      <w:r>
        <w:rPr>
          <w:rFonts w:ascii="宋体" w:hAnsi="宋体" w:eastAsia="宋体" w:cs="Times New Roman"/>
          <w:b/>
          <w:kern w:val="0"/>
          <w:sz w:val="24"/>
          <w:szCs w:val="24"/>
          <w:u w:val="single"/>
        </w:rPr>
        <w:t>公顷，较现状增加了</w:t>
      </w:r>
      <w:r>
        <w:rPr>
          <w:rFonts w:hint="eastAsia" w:ascii="宋体" w:hAnsi="宋体" w:eastAsia="宋体" w:cs="Times New Roman"/>
          <w:b/>
          <w:kern w:val="0"/>
          <w:sz w:val="24"/>
          <w:szCs w:val="24"/>
          <w:u w:val="single"/>
        </w:rPr>
        <w:t>5.21</w:t>
      </w:r>
      <w:r>
        <w:rPr>
          <w:rFonts w:ascii="宋体" w:hAnsi="宋体" w:eastAsia="宋体" w:cs="Times New Roman"/>
          <w:b/>
          <w:kern w:val="0"/>
          <w:sz w:val="24"/>
          <w:szCs w:val="24"/>
          <w:u w:val="single"/>
        </w:rPr>
        <w:t>公顷；</w:t>
      </w:r>
    </w:p>
    <w:p>
      <w:pPr>
        <w:adjustRightInd w:val="0"/>
        <w:snapToGrid w:val="0"/>
        <w:spacing w:line="360" w:lineRule="auto"/>
        <w:ind w:firstLine="482" w:firstLineChars="200"/>
        <w:rPr>
          <w:rFonts w:ascii="宋体" w:hAnsi="宋体" w:eastAsia="宋体" w:cs="Times New Roman"/>
          <w:b/>
          <w:kern w:val="0"/>
          <w:sz w:val="24"/>
          <w:szCs w:val="24"/>
          <w:u w:val="single"/>
        </w:rPr>
      </w:pPr>
      <w:r>
        <w:rPr>
          <w:rFonts w:ascii="宋体" w:hAnsi="宋体" w:eastAsia="宋体" w:cs="Times New Roman"/>
          <w:b/>
          <w:kern w:val="0"/>
          <w:sz w:val="24"/>
          <w:szCs w:val="24"/>
          <w:u w:val="single"/>
        </w:rPr>
        <w:t>规划取消镇区内的现状工矿用地（均为废弃制砖厂），较现状减少了</w:t>
      </w:r>
      <w:r>
        <w:rPr>
          <w:rFonts w:hint="eastAsia" w:ascii="宋体" w:hAnsi="宋体" w:eastAsia="宋体" w:cs="Times New Roman"/>
          <w:b/>
          <w:kern w:val="0"/>
          <w:sz w:val="24"/>
          <w:szCs w:val="24"/>
          <w:u w:val="single"/>
        </w:rPr>
        <w:t>3.07</w:t>
      </w:r>
      <w:r>
        <w:rPr>
          <w:rFonts w:ascii="宋体" w:hAnsi="宋体" w:eastAsia="宋体" w:cs="Times New Roman"/>
          <w:b/>
          <w:kern w:val="0"/>
          <w:sz w:val="24"/>
          <w:szCs w:val="24"/>
          <w:u w:val="single"/>
        </w:rPr>
        <w:t>公顷；</w:t>
      </w:r>
    </w:p>
    <w:p>
      <w:pPr>
        <w:adjustRightInd w:val="0"/>
        <w:snapToGrid w:val="0"/>
        <w:spacing w:line="360" w:lineRule="auto"/>
        <w:ind w:firstLine="482" w:firstLineChars="200"/>
        <w:rPr>
          <w:rFonts w:ascii="宋体" w:hAnsi="宋体" w:eastAsia="宋体" w:cs="Times New Roman"/>
          <w:b/>
          <w:kern w:val="0"/>
          <w:sz w:val="24"/>
          <w:szCs w:val="24"/>
          <w:u w:val="single"/>
        </w:rPr>
      </w:pPr>
      <w:r>
        <w:rPr>
          <w:rFonts w:ascii="宋体" w:hAnsi="宋体" w:eastAsia="宋体" w:cs="Times New Roman"/>
          <w:b/>
          <w:kern w:val="0"/>
          <w:sz w:val="24"/>
          <w:szCs w:val="24"/>
          <w:u w:val="single"/>
        </w:rPr>
        <w:t>规划交通运输用地</w:t>
      </w:r>
      <w:r>
        <w:rPr>
          <w:rFonts w:hint="eastAsia" w:ascii="宋体" w:hAnsi="宋体" w:eastAsia="宋体" w:cs="Times New Roman"/>
          <w:b/>
          <w:kern w:val="0"/>
          <w:sz w:val="24"/>
          <w:szCs w:val="24"/>
          <w:u w:val="single"/>
        </w:rPr>
        <w:t>10.23</w:t>
      </w:r>
      <w:r>
        <w:rPr>
          <w:rFonts w:ascii="宋体" w:hAnsi="宋体" w:eastAsia="宋体" w:cs="Times New Roman"/>
          <w:b/>
          <w:kern w:val="0"/>
          <w:sz w:val="24"/>
          <w:szCs w:val="24"/>
          <w:u w:val="single"/>
        </w:rPr>
        <w:t>公顷，较现状</w:t>
      </w:r>
      <w:r>
        <w:rPr>
          <w:rFonts w:hint="eastAsia" w:ascii="宋体" w:hAnsi="宋体" w:eastAsia="宋体" w:cs="Times New Roman"/>
          <w:b/>
          <w:kern w:val="0"/>
          <w:sz w:val="24"/>
          <w:szCs w:val="24"/>
          <w:u w:val="single"/>
        </w:rPr>
        <w:t>减少</w:t>
      </w:r>
      <w:r>
        <w:rPr>
          <w:rFonts w:ascii="宋体" w:hAnsi="宋体" w:eastAsia="宋体" w:cs="Times New Roman"/>
          <w:b/>
          <w:kern w:val="0"/>
          <w:sz w:val="24"/>
          <w:szCs w:val="24"/>
          <w:u w:val="single"/>
        </w:rPr>
        <w:t>了</w:t>
      </w:r>
      <w:r>
        <w:rPr>
          <w:rFonts w:hint="eastAsia" w:ascii="宋体" w:hAnsi="宋体" w:eastAsia="宋体" w:cs="Times New Roman"/>
          <w:b/>
          <w:kern w:val="0"/>
          <w:sz w:val="24"/>
          <w:szCs w:val="24"/>
          <w:u w:val="single"/>
        </w:rPr>
        <w:t>0.40</w:t>
      </w:r>
      <w:r>
        <w:rPr>
          <w:rFonts w:ascii="宋体" w:hAnsi="宋体" w:eastAsia="宋体" w:cs="Times New Roman"/>
          <w:b/>
          <w:kern w:val="0"/>
          <w:sz w:val="24"/>
          <w:szCs w:val="24"/>
          <w:u w:val="single"/>
        </w:rPr>
        <w:t>公顷；</w:t>
      </w:r>
    </w:p>
    <w:p>
      <w:pPr>
        <w:adjustRightInd w:val="0"/>
        <w:snapToGrid w:val="0"/>
        <w:spacing w:line="360" w:lineRule="auto"/>
        <w:ind w:firstLine="482" w:firstLineChars="200"/>
        <w:rPr>
          <w:rFonts w:ascii="宋体" w:hAnsi="宋体" w:eastAsia="宋体" w:cs="Times New Roman"/>
          <w:b/>
          <w:kern w:val="0"/>
          <w:sz w:val="24"/>
          <w:szCs w:val="24"/>
          <w:u w:val="single"/>
        </w:rPr>
      </w:pPr>
      <w:r>
        <w:rPr>
          <w:rFonts w:ascii="宋体" w:hAnsi="宋体" w:eastAsia="宋体" w:cs="Times New Roman"/>
          <w:b/>
          <w:kern w:val="0"/>
          <w:sz w:val="24"/>
          <w:szCs w:val="24"/>
          <w:u w:val="single"/>
        </w:rPr>
        <w:t>规划公用设施用地</w:t>
      </w:r>
      <w:r>
        <w:rPr>
          <w:rFonts w:hint="eastAsia" w:ascii="宋体" w:hAnsi="宋体" w:eastAsia="宋体" w:cs="Times New Roman"/>
          <w:b/>
          <w:kern w:val="0"/>
          <w:sz w:val="24"/>
          <w:szCs w:val="24"/>
          <w:u w:val="single"/>
        </w:rPr>
        <w:t>1.03</w:t>
      </w:r>
      <w:r>
        <w:rPr>
          <w:rFonts w:ascii="宋体" w:hAnsi="宋体" w:eastAsia="宋体" w:cs="Times New Roman"/>
          <w:b/>
          <w:kern w:val="0"/>
          <w:sz w:val="24"/>
          <w:szCs w:val="24"/>
          <w:u w:val="single"/>
        </w:rPr>
        <w:t>公顷，较现状增加了0.33公顷；</w:t>
      </w:r>
    </w:p>
    <w:p>
      <w:pPr>
        <w:adjustRightInd w:val="0"/>
        <w:snapToGrid w:val="0"/>
        <w:spacing w:line="360" w:lineRule="auto"/>
        <w:ind w:firstLine="482" w:firstLineChars="200"/>
        <w:rPr>
          <w:rFonts w:ascii="宋体" w:hAnsi="宋体" w:eastAsia="宋体" w:cs="Times New Roman"/>
          <w:b/>
          <w:kern w:val="0"/>
          <w:sz w:val="24"/>
          <w:szCs w:val="24"/>
          <w:u w:val="single"/>
        </w:rPr>
      </w:pPr>
      <w:r>
        <w:rPr>
          <w:rFonts w:ascii="宋体" w:hAnsi="宋体" w:eastAsia="宋体" w:cs="Times New Roman"/>
          <w:b/>
          <w:kern w:val="0"/>
          <w:sz w:val="24"/>
          <w:szCs w:val="24"/>
          <w:u w:val="single"/>
        </w:rPr>
        <w:t>规划绿地与开敞空间用地</w:t>
      </w:r>
      <w:r>
        <w:rPr>
          <w:rFonts w:hint="eastAsia" w:ascii="宋体" w:hAnsi="宋体" w:eastAsia="宋体" w:cs="Times New Roman"/>
          <w:b/>
          <w:kern w:val="0"/>
          <w:sz w:val="24"/>
          <w:szCs w:val="24"/>
          <w:u w:val="single"/>
        </w:rPr>
        <w:t>4.21</w:t>
      </w:r>
      <w:r>
        <w:rPr>
          <w:rFonts w:ascii="宋体" w:hAnsi="宋体" w:eastAsia="宋体" w:cs="Times New Roman"/>
          <w:b/>
          <w:kern w:val="0"/>
          <w:sz w:val="24"/>
          <w:szCs w:val="24"/>
          <w:u w:val="single"/>
        </w:rPr>
        <w:t>公顷，全部为新增；</w:t>
      </w:r>
    </w:p>
    <w:p>
      <w:pPr>
        <w:adjustRightInd w:val="0"/>
        <w:snapToGrid w:val="0"/>
        <w:spacing w:line="360" w:lineRule="auto"/>
        <w:ind w:firstLine="482" w:firstLineChars="200"/>
        <w:rPr>
          <w:rFonts w:ascii="宋体" w:hAnsi="宋体" w:eastAsia="宋体" w:cs="Times New Roman"/>
          <w:b/>
          <w:kern w:val="0"/>
          <w:sz w:val="24"/>
          <w:szCs w:val="24"/>
          <w:u w:val="single"/>
        </w:rPr>
      </w:pPr>
      <w:r>
        <w:rPr>
          <w:rFonts w:ascii="宋体" w:hAnsi="宋体" w:eastAsia="宋体" w:cs="Times New Roman"/>
          <w:b/>
          <w:kern w:val="0"/>
          <w:sz w:val="24"/>
          <w:szCs w:val="24"/>
          <w:u w:val="single"/>
        </w:rPr>
        <w:t>规划</w:t>
      </w:r>
      <w:r>
        <w:rPr>
          <w:rFonts w:hint="eastAsia" w:ascii="宋体" w:hAnsi="宋体" w:eastAsia="宋体" w:cs="Times New Roman"/>
          <w:b/>
          <w:kern w:val="0"/>
          <w:sz w:val="24"/>
          <w:szCs w:val="24"/>
          <w:u w:val="single"/>
        </w:rPr>
        <w:t>特殊</w:t>
      </w:r>
      <w:r>
        <w:rPr>
          <w:rFonts w:ascii="宋体" w:hAnsi="宋体" w:eastAsia="宋体" w:cs="Times New Roman"/>
          <w:b/>
          <w:kern w:val="0"/>
          <w:sz w:val="24"/>
          <w:szCs w:val="24"/>
          <w:u w:val="single"/>
        </w:rPr>
        <w:t>用地</w:t>
      </w:r>
      <w:r>
        <w:rPr>
          <w:rFonts w:hint="eastAsia" w:ascii="宋体" w:hAnsi="宋体" w:eastAsia="宋体" w:cs="Times New Roman"/>
          <w:b/>
          <w:kern w:val="0"/>
          <w:sz w:val="24"/>
          <w:szCs w:val="24"/>
          <w:u w:val="single"/>
        </w:rPr>
        <w:t>0.48</w:t>
      </w:r>
      <w:r>
        <w:rPr>
          <w:rFonts w:ascii="宋体" w:hAnsi="宋体" w:eastAsia="宋体" w:cs="Times New Roman"/>
          <w:b/>
          <w:kern w:val="0"/>
          <w:sz w:val="24"/>
          <w:szCs w:val="24"/>
          <w:u w:val="single"/>
        </w:rPr>
        <w:t>公顷，</w:t>
      </w:r>
      <w:r>
        <w:rPr>
          <w:rFonts w:hint="eastAsia" w:ascii="宋体" w:hAnsi="宋体" w:eastAsia="宋体" w:cs="Times New Roman"/>
          <w:b/>
          <w:kern w:val="0"/>
          <w:sz w:val="24"/>
          <w:szCs w:val="24"/>
          <w:u w:val="single"/>
        </w:rPr>
        <w:t>其中</w:t>
      </w:r>
      <w:r>
        <w:rPr>
          <w:rFonts w:ascii="宋体" w:hAnsi="宋体" w:eastAsia="宋体" w:cs="Times New Roman"/>
          <w:b/>
          <w:kern w:val="0"/>
          <w:sz w:val="24"/>
          <w:szCs w:val="24"/>
          <w:u w:val="single"/>
        </w:rPr>
        <w:t>福乐寺用地</w:t>
      </w:r>
      <w:r>
        <w:rPr>
          <w:rFonts w:hint="eastAsia" w:ascii="宋体" w:hAnsi="宋体" w:eastAsia="宋体" w:cs="Times New Roman"/>
          <w:b/>
          <w:kern w:val="0"/>
          <w:sz w:val="24"/>
          <w:szCs w:val="24"/>
          <w:u w:val="single"/>
        </w:rPr>
        <w:t>0.28公顷、象山书院0.21公顷。</w:t>
      </w:r>
    </w:p>
    <w:p>
      <w:pPr>
        <w:adjustRightInd w:val="0"/>
        <w:snapToGrid w:val="0"/>
        <w:spacing w:line="360" w:lineRule="auto"/>
        <w:ind w:firstLine="480" w:firstLineChars="200"/>
        <w:rPr>
          <w:rFonts w:cs="Times New Roman" w:asciiTheme="minorEastAsia" w:hAnsiTheme="minorEastAsia"/>
          <w:kern w:val="0"/>
          <w:sz w:val="24"/>
          <w:szCs w:val="24"/>
        </w:rPr>
      </w:pPr>
      <w:r>
        <w:rPr>
          <w:rFonts w:eastAsia="宋体" w:cs="Times New Roman" w:asciiTheme="minorEastAsia" w:hAnsiTheme="minorEastAsia"/>
          <w:kern w:val="0"/>
          <w:sz w:val="24"/>
          <w:szCs w:val="24"/>
        </w:rPr>
        <w:t>详见表</w:t>
      </w:r>
      <w:r>
        <w:rPr>
          <w:rFonts w:hint="eastAsia" w:eastAsia="宋体" w:cs="Times New Roman" w:asciiTheme="minorEastAsia" w:hAnsiTheme="minorEastAsia"/>
          <w:kern w:val="0"/>
          <w:sz w:val="24"/>
          <w:szCs w:val="24"/>
        </w:rPr>
        <w:t>11象山</w:t>
      </w:r>
      <w:r>
        <w:rPr>
          <w:rFonts w:eastAsia="宋体" w:cs="Times New Roman" w:asciiTheme="minorEastAsia" w:hAnsiTheme="minorEastAsia"/>
          <w:kern w:val="0"/>
          <w:sz w:val="24"/>
          <w:szCs w:val="24"/>
        </w:rPr>
        <w:t>镇镇区城镇建设用地规划表</w:t>
      </w:r>
    </w:p>
    <w:p>
      <w:pPr>
        <w:adjustRightInd w:val="0"/>
        <w:snapToGrid w:val="0"/>
        <w:spacing w:line="360" w:lineRule="auto"/>
        <w:ind w:firstLine="482" w:firstLineChars="200"/>
        <w:rPr>
          <w:rFonts w:ascii="黑体" w:hAnsi="黑体" w:eastAsia="黑体" w:cs="Times New Roman"/>
          <w:b/>
          <w:kern w:val="0"/>
          <w:sz w:val="24"/>
          <w:szCs w:val="24"/>
        </w:rPr>
      </w:pPr>
      <w:r>
        <w:rPr>
          <w:rFonts w:hint="eastAsia" w:ascii="黑体" w:hAnsi="黑体" w:eastAsia="黑体" w:cs="Times New Roman"/>
          <w:b/>
          <w:kern w:val="0"/>
          <w:sz w:val="24"/>
          <w:szCs w:val="24"/>
        </w:rPr>
        <w:t>八、土地使用控制</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（一）</w:t>
      </w:r>
      <w:r>
        <w:rPr>
          <w:rFonts w:eastAsia="宋体" w:cs="Times New Roman" w:asciiTheme="minorEastAsia" w:hAnsiTheme="minorEastAsia"/>
          <w:b/>
          <w:kern w:val="0"/>
          <w:sz w:val="24"/>
          <w:szCs w:val="24"/>
        </w:rPr>
        <w:t>地块划分原则</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规划结合自然界线、道路划分、功能用地平面布局特征，按以下原则进行合理的地块划分：一是保持地块的完整性，便于规划管理；二是保持地块用地性质相对单一，避免不兼容使用性质用地间的干扰；三是有利于下一层次规划编制、土地出让与开发建设。</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（二）</w:t>
      </w:r>
      <w:r>
        <w:rPr>
          <w:rFonts w:eastAsia="宋体" w:cs="Times New Roman" w:asciiTheme="minorEastAsia" w:hAnsiTheme="minorEastAsia"/>
          <w:b/>
          <w:kern w:val="0"/>
          <w:sz w:val="24"/>
          <w:szCs w:val="24"/>
        </w:rPr>
        <w:t>地块编码</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合理划分街区：结合自然界限、道路、土地利用的内在关联性，将镇区划分为3个管控单元。</w:t>
      </w:r>
    </w:p>
    <w:p>
      <w:pPr>
        <w:adjustRightInd w:val="0"/>
        <w:snapToGrid w:val="0"/>
        <w:spacing w:line="360" w:lineRule="auto"/>
        <w:ind w:firstLine="482" w:firstLineChars="200"/>
        <w:rPr>
          <w:rFonts w:ascii="宋体" w:hAnsi="宋体" w:eastAsia="宋体" w:cs="Times New Roman"/>
          <w:b/>
          <w:kern w:val="0"/>
          <w:sz w:val="24"/>
          <w:szCs w:val="24"/>
          <w:u w:val="single"/>
        </w:rPr>
      </w:pPr>
      <w:r>
        <w:rPr>
          <w:rFonts w:ascii="宋体" w:hAnsi="宋体" w:eastAsia="宋体" w:cs="Times New Roman"/>
          <w:b/>
          <w:kern w:val="0"/>
          <w:sz w:val="24"/>
          <w:szCs w:val="24"/>
          <w:u w:val="single"/>
        </w:rPr>
        <w:t>参照《四川省城市控制性详细规划编制技术规定》的要求，结合河边镇的实际情况，镇区统一采用 “城镇—单元—地块”三级编码体系，编码标准为XS-01-01</w:t>
      </w:r>
      <w:r>
        <w:rPr>
          <w:rFonts w:hint="eastAsia" w:ascii="宋体" w:hAnsi="宋体" w:eastAsia="宋体" w:cs="Times New Roman"/>
          <w:b/>
          <w:kern w:val="0"/>
          <w:sz w:val="24"/>
          <w:szCs w:val="24"/>
          <w:u w:val="single"/>
        </w:rPr>
        <w:t>，</w:t>
      </w:r>
      <w:r>
        <w:rPr>
          <w:rFonts w:ascii="宋体" w:hAnsi="宋体" w:eastAsia="宋体" w:cs="Times New Roman"/>
          <w:b/>
          <w:kern w:val="0"/>
          <w:sz w:val="24"/>
          <w:szCs w:val="24"/>
          <w:u w:val="single"/>
        </w:rPr>
        <w:t>SX</w:t>
      </w:r>
      <w:r>
        <w:rPr>
          <w:rFonts w:hint="eastAsia" w:ascii="宋体" w:hAnsi="宋体" w:eastAsia="宋体" w:cs="Times New Roman"/>
          <w:b/>
          <w:kern w:val="0"/>
          <w:sz w:val="24"/>
          <w:szCs w:val="24"/>
          <w:u w:val="single"/>
        </w:rPr>
        <w:t>表示</w:t>
      </w:r>
      <w:r>
        <w:rPr>
          <w:rFonts w:ascii="宋体" w:hAnsi="宋体" w:eastAsia="宋体" w:cs="Times New Roman"/>
          <w:b/>
          <w:kern w:val="0"/>
          <w:sz w:val="24"/>
          <w:szCs w:val="24"/>
          <w:u w:val="single"/>
        </w:rPr>
        <w:t>城镇名称</w:t>
      </w:r>
      <w:r>
        <w:rPr>
          <w:rFonts w:hint="eastAsia" w:ascii="宋体" w:hAnsi="宋体" w:eastAsia="宋体" w:cs="Times New Roman"/>
          <w:b/>
          <w:kern w:val="0"/>
          <w:sz w:val="24"/>
          <w:szCs w:val="24"/>
          <w:u w:val="single"/>
        </w:rPr>
        <w:t>象山</w:t>
      </w:r>
      <w:r>
        <w:rPr>
          <w:rFonts w:ascii="宋体" w:hAnsi="宋体" w:eastAsia="宋体" w:cs="Times New Roman"/>
          <w:b/>
          <w:kern w:val="0"/>
          <w:sz w:val="24"/>
          <w:szCs w:val="24"/>
          <w:u w:val="single"/>
        </w:rPr>
        <w:t>镇、第一个01</w:t>
      </w:r>
      <w:r>
        <w:rPr>
          <w:rFonts w:hint="eastAsia" w:ascii="宋体" w:hAnsi="宋体" w:eastAsia="宋体" w:cs="Times New Roman"/>
          <w:b/>
          <w:kern w:val="0"/>
          <w:sz w:val="24"/>
          <w:szCs w:val="24"/>
          <w:u w:val="single"/>
        </w:rPr>
        <w:t>表示</w:t>
      </w:r>
      <w:r>
        <w:rPr>
          <w:rFonts w:ascii="宋体" w:hAnsi="宋体" w:eastAsia="宋体" w:cs="Times New Roman"/>
          <w:b/>
          <w:kern w:val="0"/>
          <w:sz w:val="24"/>
          <w:szCs w:val="24"/>
          <w:u w:val="single"/>
        </w:rPr>
        <w:t>由道路及自然界限形成的管控单元，第二个01</w:t>
      </w:r>
      <w:r>
        <w:rPr>
          <w:rFonts w:hint="eastAsia" w:ascii="宋体" w:hAnsi="宋体" w:eastAsia="宋体" w:cs="Times New Roman"/>
          <w:b/>
          <w:kern w:val="0"/>
          <w:sz w:val="24"/>
          <w:szCs w:val="24"/>
          <w:u w:val="single"/>
        </w:rPr>
        <w:t>表示</w:t>
      </w:r>
      <w:r>
        <w:rPr>
          <w:rFonts w:ascii="宋体" w:hAnsi="宋体" w:eastAsia="宋体" w:cs="Times New Roman"/>
          <w:b/>
          <w:kern w:val="0"/>
          <w:sz w:val="24"/>
          <w:szCs w:val="24"/>
          <w:u w:val="single"/>
        </w:rPr>
        <w:t>地块号。</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（三）</w:t>
      </w:r>
      <w:r>
        <w:rPr>
          <w:rFonts w:eastAsia="宋体" w:cs="Times New Roman" w:asciiTheme="minorEastAsia" w:hAnsiTheme="minorEastAsia"/>
          <w:b/>
          <w:kern w:val="0"/>
          <w:sz w:val="24"/>
          <w:szCs w:val="24"/>
        </w:rPr>
        <w:t>指标体系</w:t>
      </w:r>
    </w:p>
    <w:p>
      <w:pPr>
        <w:adjustRightInd w:val="0"/>
        <w:snapToGrid w:val="0"/>
        <w:spacing w:line="360" w:lineRule="auto"/>
        <w:ind w:firstLine="482" w:firstLineChars="200"/>
        <w:rPr>
          <w:rFonts w:ascii="宋体" w:hAnsi="宋体" w:eastAsia="宋体" w:cs="Times New Roman"/>
          <w:b/>
          <w:kern w:val="0"/>
          <w:sz w:val="24"/>
          <w:szCs w:val="24"/>
          <w:u w:val="single"/>
        </w:rPr>
      </w:pPr>
      <w:r>
        <w:rPr>
          <w:rFonts w:ascii="宋体" w:hAnsi="宋体" w:eastAsia="宋体" w:cs="Times New Roman"/>
          <w:b/>
          <w:kern w:val="0"/>
          <w:sz w:val="24"/>
          <w:szCs w:val="24"/>
          <w:u w:val="single"/>
        </w:rPr>
        <w:t>土地使用强度控制指标体系分为规定性指标和指导性指标。</w:t>
      </w:r>
    </w:p>
    <w:p>
      <w:pPr>
        <w:adjustRightInd w:val="0"/>
        <w:snapToGrid w:val="0"/>
        <w:spacing w:line="360" w:lineRule="auto"/>
        <w:ind w:firstLine="482" w:firstLineChars="200"/>
        <w:rPr>
          <w:rFonts w:ascii="宋体" w:hAnsi="宋体" w:eastAsia="宋体" w:cs="Times New Roman"/>
          <w:b/>
          <w:kern w:val="0"/>
          <w:sz w:val="24"/>
          <w:szCs w:val="24"/>
          <w:u w:val="single"/>
        </w:rPr>
      </w:pPr>
      <w:r>
        <w:rPr>
          <w:rFonts w:ascii="宋体" w:hAnsi="宋体" w:eastAsia="宋体" w:cs="Times New Roman"/>
          <w:b/>
          <w:kern w:val="0"/>
          <w:sz w:val="24"/>
          <w:szCs w:val="24"/>
          <w:u w:val="single"/>
        </w:rPr>
        <w:t>其中规定性指标9项，指导性指标</w:t>
      </w:r>
      <w:r>
        <w:rPr>
          <w:rFonts w:hint="eastAsia" w:ascii="宋体" w:hAnsi="宋体" w:eastAsia="宋体" w:cs="Times New Roman"/>
          <w:b/>
          <w:kern w:val="0"/>
          <w:sz w:val="24"/>
          <w:szCs w:val="24"/>
          <w:u w:val="single"/>
        </w:rPr>
        <w:t>5</w:t>
      </w:r>
      <w:r>
        <w:rPr>
          <w:rFonts w:ascii="宋体" w:hAnsi="宋体" w:eastAsia="宋体" w:cs="Times New Roman"/>
          <w:b/>
          <w:kern w:val="0"/>
          <w:sz w:val="24"/>
          <w:szCs w:val="24"/>
          <w:u w:val="single"/>
        </w:rPr>
        <w:t>项。规定性指标包括用地性质、用地面积、容积率、绿地率、建筑密度、建筑限高、配套公共服务设施、禁止开口路段和配建车位等。指导性指标包括居住人口、建筑形式、体量、风格、色彩要求和其它环境要求等。</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（四）地块</w:t>
      </w:r>
      <w:r>
        <w:rPr>
          <w:rFonts w:eastAsia="宋体" w:cs="Times New Roman" w:asciiTheme="minorEastAsia" w:hAnsiTheme="minorEastAsia"/>
          <w:b/>
          <w:kern w:val="0"/>
          <w:sz w:val="24"/>
          <w:szCs w:val="24"/>
        </w:rPr>
        <w:t>控制</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合理控制开发强度和建筑高度。考虑土地资源要素充分利用和合理的经济效益，突出中心、延续传统，塑造疏密有致的空间形态。结合地块区位、用地性质、景观风貌等因素综合确定各地块开发强度和建筑高度。</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1、居住用地建设控制</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多层居住用地：容积率≤</w:t>
      </w:r>
      <w:r>
        <w:rPr>
          <w:rFonts w:hint="eastAsia" w:eastAsia="宋体" w:cs="Times New Roman" w:asciiTheme="minorEastAsia" w:hAnsiTheme="minorEastAsia"/>
          <w:kern w:val="0"/>
          <w:sz w:val="24"/>
          <w:szCs w:val="24"/>
        </w:rPr>
        <w:t>1.5</w:t>
      </w:r>
      <w:r>
        <w:rPr>
          <w:rFonts w:eastAsia="宋体" w:cs="Times New Roman" w:asciiTheme="minorEastAsia" w:hAnsiTheme="minorEastAsia"/>
          <w:kern w:val="0"/>
          <w:sz w:val="24"/>
          <w:szCs w:val="24"/>
        </w:rPr>
        <w:t>，绿地率≥30%，建筑密度≤3</w:t>
      </w:r>
      <w:r>
        <w:rPr>
          <w:rFonts w:hint="eastAsia" w:eastAsia="宋体" w:cs="Times New Roman" w:asciiTheme="minorEastAsia" w:hAnsiTheme="minorEastAsia"/>
          <w:kern w:val="0"/>
          <w:sz w:val="24"/>
          <w:szCs w:val="24"/>
        </w:rPr>
        <w:t>5</w:t>
      </w:r>
      <w:r>
        <w:rPr>
          <w:rFonts w:eastAsia="宋体" w:cs="Times New Roman" w:asciiTheme="minorEastAsia" w:hAnsiTheme="minorEastAsia"/>
          <w:kern w:val="0"/>
          <w:sz w:val="24"/>
          <w:szCs w:val="24"/>
        </w:rPr>
        <w:t>%，建筑高度≤21米（≤6层）</w:t>
      </w:r>
      <w:r>
        <w:rPr>
          <w:rFonts w:hint="eastAsia" w:eastAsia="宋体" w:cs="Times New Roman" w:asciiTheme="minorEastAsia" w:hAnsiTheme="minorEastAsia"/>
          <w:kern w:val="0"/>
          <w:sz w:val="24"/>
          <w:szCs w:val="24"/>
        </w:rPr>
        <w:t>；</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低层居住用地：容积率≤</w:t>
      </w:r>
      <w:r>
        <w:rPr>
          <w:rFonts w:hint="eastAsia" w:eastAsia="宋体" w:cs="Times New Roman" w:asciiTheme="minorEastAsia" w:hAnsiTheme="minorEastAsia"/>
          <w:kern w:val="0"/>
          <w:sz w:val="24"/>
          <w:szCs w:val="24"/>
        </w:rPr>
        <w:t>1.2</w:t>
      </w:r>
      <w:r>
        <w:rPr>
          <w:rFonts w:eastAsia="宋体" w:cs="Times New Roman" w:asciiTheme="minorEastAsia" w:hAnsiTheme="minorEastAsia"/>
          <w:kern w:val="0"/>
          <w:sz w:val="24"/>
          <w:szCs w:val="24"/>
        </w:rPr>
        <w:t>，绿地率≥30%，建筑密度≤40%，建筑高度≤10米（≤3层）</w:t>
      </w:r>
      <w:r>
        <w:rPr>
          <w:rFonts w:hint="eastAsia" w:eastAsia="宋体" w:cs="Times New Roman" w:asciiTheme="minorEastAsia" w:hAnsiTheme="minorEastAsia"/>
          <w:kern w:val="0"/>
          <w:sz w:val="24"/>
          <w:szCs w:val="24"/>
        </w:rPr>
        <w:t>。</w:t>
      </w:r>
    </w:p>
    <w:p>
      <w:pPr>
        <w:adjustRightInd w:val="0"/>
        <w:snapToGrid w:val="0"/>
        <w:spacing w:line="360" w:lineRule="auto"/>
        <w:ind w:firstLine="480" w:firstLineChars="200"/>
        <w:rPr>
          <w:rFonts w:ascii="宋体" w:hAnsi="宋体" w:eastAsia="宋体" w:cs="Times New Roman"/>
          <w:kern w:val="0"/>
          <w:sz w:val="24"/>
          <w:szCs w:val="24"/>
        </w:rPr>
      </w:pPr>
      <w:r>
        <w:rPr>
          <w:rFonts w:hint="eastAsia" w:ascii="宋体" w:hAnsi="宋体" w:eastAsia="宋体" w:cs="Times New Roman"/>
          <w:kern w:val="0"/>
          <w:sz w:val="24"/>
          <w:szCs w:val="24"/>
        </w:rPr>
        <w:t>2、非居住用地建设控制</w:t>
      </w:r>
    </w:p>
    <w:p>
      <w:pPr>
        <w:adjustRightInd w:val="0"/>
        <w:snapToGrid w:val="0"/>
        <w:spacing w:line="360" w:lineRule="auto"/>
        <w:ind w:firstLine="480" w:firstLineChars="200"/>
        <w:rPr>
          <w:rFonts w:ascii="宋体" w:hAnsi="宋体" w:eastAsia="宋体" w:cs="Times New Roman"/>
          <w:kern w:val="0"/>
          <w:sz w:val="24"/>
          <w:szCs w:val="24"/>
        </w:rPr>
      </w:pPr>
      <w:r>
        <w:rPr>
          <w:rFonts w:hint="eastAsia" w:ascii="宋体" w:hAnsi="宋体" w:eastAsia="宋体" w:cs="Times New Roman"/>
          <w:kern w:val="0"/>
          <w:sz w:val="24"/>
          <w:szCs w:val="24"/>
        </w:rPr>
        <w:t>行政办公、文化设施和体育用地规划控制指标结合方案合理性确定，按每100平方米用地面积配置不大于3平方米、且建筑面积不大于500平方米的服务设施的标准控制；</w:t>
      </w:r>
    </w:p>
    <w:p>
      <w:pPr>
        <w:adjustRightInd w:val="0"/>
        <w:snapToGrid w:val="0"/>
        <w:spacing w:line="360" w:lineRule="auto"/>
        <w:ind w:firstLine="480" w:firstLineChars="200"/>
        <w:rPr>
          <w:rFonts w:ascii="宋体" w:hAnsi="宋体" w:eastAsia="宋体" w:cs="Times New Roman"/>
          <w:kern w:val="0"/>
          <w:sz w:val="24"/>
          <w:szCs w:val="24"/>
        </w:rPr>
      </w:pPr>
      <w:r>
        <w:rPr>
          <w:rFonts w:hint="eastAsia" w:ascii="宋体" w:hAnsi="宋体" w:eastAsia="宋体" w:cs="Times New Roman"/>
          <w:kern w:val="0"/>
          <w:sz w:val="24"/>
          <w:szCs w:val="24"/>
        </w:rPr>
        <w:t>中小学用地的容积率应结合方案合理性确定，中学用地新建项目建筑密度不大于30%，小学用地新建项目建筑密度不大于35%，改扩建工程项目的建筑密度结合方案合理性确定。</w:t>
      </w:r>
    </w:p>
    <w:p>
      <w:pPr>
        <w:adjustRightInd w:val="0"/>
        <w:snapToGrid w:val="0"/>
        <w:spacing w:line="360" w:lineRule="auto"/>
        <w:ind w:firstLine="480" w:firstLineChars="200"/>
        <w:rPr>
          <w:rFonts w:ascii="宋体" w:hAnsi="宋体" w:eastAsia="宋体" w:cs="Times New Roman"/>
          <w:kern w:val="0"/>
          <w:sz w:val="24"/>
          <w:szCs w:val="24"/>
        </w:rPr>
      </w:pPr>
      <w:r>
        <w:rPr>
          <w:rFonts w:hint="eastAsia" w:ascii="宋体" w:hAnsi="宋体" w:eastAsia="宋体" w:cs="Times New Roman"/>
          <w:kern w:val="0"/>
          <w:sz w:val="24"/>
          <w:szCs w:val="24"/>
        </w:rPr>
        <w:t>新建幼儿园应独立占地</w:t>
      </w:r>
      <w:r>
        <w:rPr>
          <w:rFonts w:ascii="宋体" w:hAnsi="宋体" w:eastAsia="宋体" w:cs="Times New Roman"/>
          <w:kern w:val="0"/>
          <w:sz w:val="24"/>
          <w:szCs w:val="24"/>
        </w:rPr>
        <w:t>，绿地率≥30%，建筑密度≤30%，一般不超过3层，层高一般不超过3.9米</w:t>
      </w:r>
      <w:r>
        <w:rPr>
          <w:rFonts w:hint="eastAsia" w:ascii="宋体" w:hAnsi="宋体" w:eastAsia="宋体" w:cs="Times New Roman"/>
          <w:kern w:val="0"/>
          <w:sz w:val="24"/>
          <w:szCs w:val="24"/>
        </w:rPr>
        <w:t>；</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医疗卫生设施用地</w:t>
      </w:r>
      <w:r>
        <w:rPr>
          <w:rFonts w:hint="eastAsia" w:ascii="宋体" w:hAnsi="宋体" w:eastAsia="宋体" w:cs="Times New Roman"/>
          <w:kern w:val="0"/>
          <w:sz w:val="24"/>
          <w:szCs w:val="24"/>
        </w:rPr>
        <w:t>容积率原则上不大于1.5，建筑密度、绿地率等规划控制指标结合方案合理性确定。</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老年人社会福利用地容积率≤1.0，绿地率≥35%，建筑密度≤30%，建筑高度≤10米；</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商业用地容积率≤1.8，绿地率≥20%，建筑密度≤40%</w:t>
      </w:r>
      <w:r>
        <w:rPr>
          <w:rFonts w:hint="eastAsia" w:ascii="宋体" w:hAnsi="宋体" w:eastAsia="宋体" w:cs="Times New Roman"/>
          <w:kern w:val="0"/>
          <w:sz w:val="24"/>
          <w:szCs w:val="24"/>
        </w:rPr>
        <w:t>，</w:t>
      </w:r>
      <w:r>
        <w:rPr>
          <w:rFonts w:ascii="宋体" w:hAnsi="宋体" w:eastAsia="宋体" w:cs="Times New Roman"/>
          <w:kern w:val="0"/>
          <w:sz w:val="24"/>
          <w:szCs w:val="24"/>
        </w:rPr>
        <w:t>建筑高度≤16米（≤4层）</w:t>
      </w:r>
      <w:r>
        <w:rPr>
          <w:rFonts w:hint="eastAsia" w:ascii="宋体" w:hAnsi="宋体" w:eastAsia="宋体" w:cs="Times New Roman"/>
          <w:kern w:val="0"/>
          <w:sz w:val="24"/>
          <w:szCs w:val="24"/>
        </w:rPr>
        <w:t>。</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（五）用地兼容</w:t>
      </w:r>
    </w:p>
    <w:p>
      <w:pPr>
        <w:adjustRightInd w:val="0"/>
        <w:snapToGrid w:val="0"/>
        <w:spacing w:line="360" w:lineRule="auto"/>
        <w:ind w:firstLine="480" w:firstLineChars="200"/>
        <w:rPr>
          <w:rFonts w:ascii="宋体" w:hAnsi="宋体" w:eastAsia="宋体" w:cs="Times New Roman"/>
          <w:kern w:val="0"/>
          <w:sz w:val="24"/>
          <w:szCs w:val="24"/>
        </w:rPr>
      </w:pPr>
      <w:r>
        <w:rPr>
          <w:rFonts w:hint="eastAsia" w:ascii="宋体" w:hAnsi="宋体" w:eastAsia="宋体" w:cs="Times New Roman"/>
          <w:kern w:val="0"/>
          <w:sz w:val="24"/>
          <w:szCs w:val="24"/>
        </w:rPr>
        <w:t>在开发过程中，为适应城镇发展的多种可能性，原则上允许有条件地变更某些地块原定的用地性质（第一使用性质），但必须符合《遂宁市城市规划管理技术规定》（修订）和《大英县城市规划管理技术规定》的相关规定。</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（六）其它建设控制</w:t>
      </w:r>
    </w:p>
    <w:p>
      <w:pPr>
        <w:adjustRightInd w:val="0"/>
        <w:snapToGrid w:val="0"/>
        <w:spacing w:line="360" w:lineRule="auto"/>
        <w:ind w:firstLine="480" w:firstLineChars="200"/>
        <w:rPr>
          <w:rFonts w:cs="Times New Roman" w:asciiTheme="minorEastAsia" w:hAnsiTheme="minorEastAsia"/>
          <w:kern w:val="0"/>
          <w:sz w:val="24"/>
          <w:szCs w:val="24"/>
        </w:rPr>
      </w:pPr>
      <w:r>
        <w:rPr>
          <w:rFonts w:hint="eastAsia" w:eastAsia="宋体" w:cs="Times New Roman" w:asciiTheme="minorEastAsia" w:hAnsiTheme="minorEastAsia"/>
          <w:kern w:val="0"/>
          <w:sz w:val="24"/>
          <w:szCs w:val="24"/>
        </w:rPr>
        <w:t>1、</w:t>
      </w:r>
      <w:r>
        <w:rPr>
          <w:rFonts w:ascii="宋体" w:hAnsi="宋体" w:eastAsia="宋体" w:cs="Times New Roman"/>
          <w:kern w:val="0"/>
          <w:sz w:val="24"/>
          <w:szCs w:val="24"/>
        </w:rPr>
        <w:t>配建车位控制</w:t>
      </w:r>
    </w:p>
    <w:p>
      <w:pPr>
        <w:adjustRightInd w:val="0"/>
        <w:snapToGrid w:val="0"/>
        <w:spacing w:line="360" w:lineRule="auto"/>
        <w:ind w:firstLine="480" w:firstLineChars="200"/>
        <w:rPr>
          <w:rFonts w:cs="Times New Roman" w:asciiTheme="minorEastAsia" w:hAnsiTheme="minorEastAsia"/>
          <w:kern w:val="0"/>
          <w:sz w:val="24"/>
          <w:szCs w:val="24"/>
        </w:rPr>
      </w:pPr>
      <w:r>
        <w:rPr>
          <w:rFonts w:ascii="宋体" w:hAnsi="宋体" w:eastAsia="宋体" w:cs="Times New Roman"/>
          <w:kern w:val="0"/>
          <w:sz w:val="24"/>
          <w:szCs w:val="24"/>
        </w:rPr>
        <w:t>地块内配建停车位标准按照</w:t>
      </w:r>
      <w:r>
        <w:rPr>
          <w:rFonts w:eastAsia="宋体" w:cs="Times New Roman" w:asciiTheme="minorEastAsia" w:hAnsiTheme="minorEastAsia"/>
          <w:kern w:val="0"/>
          <w:sz w:val="24"/>
          <w:szCs w:val="24"/>
        </w:rPr>
        <w:t>《大英县城市规划管理技术规定》表2.3.5停车场（库）配置标准执行。</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2、建筑退距控制</w:t>
      </w:r>
    </w:p>
    <w:p>
      <w:pPr>
        <w:adjustRightInd w:val="0"/>
        <w:snapToGrid w:val="0"/>
        <w:spacing w:line="360" w:lineRule="auto"/>
        <w:ind w:firstLine="480" w:firstLineChars="200"/>
        <w:rPr>
          <w:rFonts w:ascii="宋体" w:hAnsi="宋体" w:eastAsia="宋体" w:cs="Times New Roman"/>
          <w:kern w:val="0"/>
          <w:sz w:val="24"/>
          <w:szCs w:val="24"/>
        </w:rPr>
      </w:pPr>
      <w:r>
        <w:rPr>
          <w:rFonts w:hint="eastAsia" w:ascii="宋体" w:hAnsi="宋体" w:eastAsia="宋体" w:cs="Times New Roman"/>
          <w:kern w:val="0"/>
          <w:sz w:val="24"/>
          <w:szCs w:val="24"/>
        </w:rPr>
        <w:t>建筑退距按《</w:t>
      </w:r>
      <w:r>
        <w:rPr>
          <w:rFonts w:eastAsia="宋体" w:cs="Times New Roman" w:asciiTheme="minorEastAsia" w:hAnsiTheme="minorEastAsia"/>
          <w:kern w:val="0"/>
          <w:sz w:val="24"/>
          <w:szCs w:val="24"/>
        </w:rPr>
        <w:t>大英县城市规划管理技术规定</w:t>
      </w:r>
      <w:r>
        <w:rPr>
          <w:rFonts w:ascii="宋体" w:hAnsi="宋体" w:eastAsia="宋体" w:cs="Times New Roman"/>
          <w:kern w:val="0"/>
          <w:sz w:val="24"/>
          <w:szCs w:val="24"/>
        </w:rPr>
        <w:t>》中的有关规定执行。</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3、禁止开口路段</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道路开设机动车出入口时，出入口开口位置至道路交叉口距离必须保证：距主干道交叉口路沿石切点≥30米；距次干道交叉口路沿石切点≥20米；距支路交叉口路沿石切点≥10米。同时须符合城市交通管理部门有关规定和</w:t>
      </w:r>
      <w:r>
        <w:rPr>
          <w:rFonts w:hint="eastAsia" w:ascii="宋体" w:hAnsi="宋体" w:eastAsia="宋体" w:cs="Times New Roman"/>
          <w:kern w:val="0"/>
          <w:sz w:val="24"/>
          <w:szCs w:val="24"/>
        </w:rPr>
        <w:t>大英县</w:t>
      </w:r>
      <w:r>
        <w:rPr>
          <w:rFonts w:ascii="宋体" w:hAnsi="宋体" w:eastAsia="宋体" w:cs="Times New Roman"/>
          <w:kern w:val="0"/>
          <w:sz w:val="24"/>
          <w:szCs w:val="24"/>
        </w:rPr>
        <w:t>相关技术管理规定。</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详见表</w:t>
      </w:r>
      <w:r>
        <w:rPr>
          <w:rFonts w:hint="eastAsia" w:ascii="宋体" w:hAnsi="宋体" w:eastAsia="宋体" w:cs="Times New Roman"/>
          <w:kern w:val="0"/>
          <w:sz w:val="24"/>
          <w:szCs w:val="24"/>
        </w:rPr>
        <w:t>12象山</w:t>
      </w:r>
      <w:r>
        <w:rPr>
          <w:rFonts w:ascii="宋体" w:hAnsi="宋体" w:eastAsia="宋体" w:cs="Times New Roman"/>
          <w:kern w:val="0"/>
          <w:sz w:val="24"/>
          <w:szCs w:val="24"/>
        </w:rPr>
        <w:t>镇镇区</w:t>
      </w:r>
      <w:r>
        <w:rPr>
          <w:rFonts w:hint="eastAsia" w:ascii="宋体" w:hAnsi="宋体" w:eastAsia="宋体" w:cs="Times New Roman"/>
          <w:kern w:val="0"/>
          <w:sz w:val="24"/>
          <w:szCs w:val="24"/>
        </w:rPr>
        <w:t>地块</w:t>
      </w:r>
      <w:r>
        <w:rPr>
          <w:rFonts w:ascii="宋体" w:hAnsi="宋体" w:eastAsia="宋体" w:cs="Times New Roman"/>
          <w:kern w:val="0"/>
          <w:sz w:val="24"/>
          <w:szCs w:val="24"/>
        </w:rPr>
        <w:t>指标一览表</w:t>
      </w:r>
    </w:p>
    <w:p>
      <w:pPr>
        <w:adjustRightInd w:val="0"/>
        <w:snapToGrid w:val="0"/>
        <w:spacing w:line="360" w:lineRule="auto"/>
        <w:ind w:firstLine="482" w:firstLineChars="200"/>
        <w:rPr>
          <w:rFonts w:ascii="黑体" w:hAnsi="黑体" w:eastAsia="黑体" w:cs="Times New Roman"/>
          <w:b/>
          <w:kern w:val="0"/>
          <w:sz w:val="24"/>
          <w:szCs w:val="24"/>
        </w:rPr>
      </w:pPr>
      <w:r>
        <w:rPr>
          <w:rFonts w:hint="eastAsia" w:ascii="黑体" w:hAnsi="黑体" w:eastAsia="黑体" w:cs="Times New Roman"/>
          <w:b/>
          <w:kern w:val="0"/>
          <w:sz w:val="24"/>
          <w:szCs w:val="24"/>
        </w:rPr>
        <w:t>九、四线控制</w:t>
      </w:r>
    </w:p>
    <w:p>
      <w:pPr>
        <w:adjustRightInd w:val="0"/>
        <w:snapToGrid w:val="0"/>
        <w:spacing w:line="360" w:lineRule="auto"/>
        <w:ind w:firstLine="482" w:firstLineChars="200"/>
        <w:rPr>
          <w:rFonts w:ascii="宋体" w:hAnsi="宋体" w:eastAsia="宋体" w:cs="Times New Roman"/>
          <w:b/>
          <w:kern w:val="0"/>
          <w:sz w:val="24"/>
          <w:szCs w:val="24"/>
          <w:u w:val="single"/>
        </w:rPr>
      </w:pPr>
      <w:r>
        <w:rPr>
          <w:rFonts w:ascii="宋体" w:hAnsi="宋体" w:eastAsia="宋体" w:cs="Times New Roman"/>
          <w:b/>
          <w:kern w:val="0"/>
          <w:sz w:val="24"/>
          <w:szCs w:val="24"/>
          <w:u w:val="single"/>
        </w:rPr>
        <w:t>“四线”包括“绿线”、“黄线”、“蓝线”、“紫线”。镇区规划范围内涉及“绿线”、“蓝线”、“黄线”和“紫线”。</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（一）</w:t>
      </w:r>
      <w:r>
        <w:rPr>
          <w:rFonts w:eastAsia="宋体" w:cs="Times New Roman" w:asciiTheme="minorEastAsia" w:hAnsiTheme="minorEastAsia"/>
          <w:b/>
          <w:kern w:val="0"/>
          <w:sz w:val="24"/>
          <w:szCs w:val="24"/>
        </w:rPr>
        <w:t>绿线</w:t>
      </w:r>
    </w:p>
    <w:p>
      <w:pPr>
        <w:adjustRightInd w:val="0"/>
        <w:snapToGrid w:val="0"/>
        <w:spacing w:line="360" w:lineRule="auto"/>
        <w:ind w:firstLine="482" w:firstLineChars="200"/>
        <w:rPr>
          <w:rFonts w:ascii="宋体" w:hAnsi="宋体" w:eastAsia="宋体" w:cs="Times New Roman"/>
          <w:b/>
          <w:kern w:val="0"/>
          <w:sz w:val="24"/>
          <w:szCs w:val="24"/>
          <w:u w:val="single"/>
        </w:rPr>
      </w:pPr>
      <w:r>
        <w:rPr>
          <w:rFonts w:ascii="宋体" w:hAnsi="宋体" w:eastAsia="宋体" w:cs="Times New Roman"/>
          <w:b/>
          <w:kern w:val="0"/>
          <w:sz w:val="24"/>
          <w:szCs w:val="24"/>
          <w:u w:val="single"/>
        </w:rPr>
        <w:t>绿线包括城市公园绿地、防护绿地、广场用地等城市各类绿地范围的控制线。划定镇区坡地公园、广场等公园绿地为城市绿线范围，面积</w:t>
      </w:r>
      <w:r>
        <w:rPr>
          <w:rFonts w:hint="eastAsia" w:ascii="宋体" w:hAnsi="宋体" w:eastAsia="宋体" w:cs="Times New Roman"/>
          <w:b/>
          <w:kern w:val="0"/>
          <w:sz w:val="24"/>
          <w:szCs w:val="24"/>
          <w:u w:val="single"/>
        </w:rPr>
        <w:t>4.21</w:t>
      </w:r>
      <w:r>
        <w:rPr>
          <w:rFonts w:ascii="宋体" w:hAnsi="宋体" w:eastAsia="宋体" w:cs="Times New Roman"/>
          <w:b/>
          <w:kern w:val="0"/>
          <w:sz w:val="24"/>
          <w:szCs w:val="24"/>
          <w:u w:val="single"/>
        </w:rPr>
        <w:t>公顷。</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绿线范围内的公园绿地、防护绿地、广场用地、生产绿地、附属绿地和其他绿地，必须按照《城市用地分类与规划建设用地标准》、《公园设计规范》等标准，进行绿地建设。</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因特殊情况确需调整绿线的，应由县自然资源和规划行政主管部门会同县园林行政主管部门提出专题报告，经县人民政府审查同意后，由具备相应资质的规划编制单位</w:t>
      </w:r>
      <w:r>
        <w:rPr>
          <w:rFonts w:hint="eastAsia" w:ascii="宋体" w:hAnsi="宋体" w:eastAsia="宋体" w:cs="Times New Roman"/>
          <w:kern w:val="0"/>
          <w:sz w:val="24"/>
          <w:szCs w:val="24"/>
          <w:lang w:val="en-US" w:eastAsia="zh-CN"/>
        </w:rPr>
        <w:t>作</w:t>
      </w:r>
      <w:r>
        <w:rPr>
          <w:rFonts w:hint="eastAsia" w:ascii="宋体" w:hAnsi="宋体" w:eastAsia="宋体" w:cs="Times New Roman"/>
          <w:kern w:val="0"/>
          <w:sz w:val="24"/>
          <w:szCs w:val="24"/>
        </w:rPr>
        <w:t>出</w:t>
      </w:r>
      <w:r>
        <w:rPr>
          <w:rFonts w:ascii="宋体" w:hAnsi="宋体" w:eastAsia="宋体" w:cs="Times New Roman"/>
          <w:kern w:val="0"/>
          <w:sz w:val="24"/>
          <w:szCs w:val="24"/>
        </w:rPr>
        <w:t>调整方案，报原批准机关批准后实施。</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（二）</w:t>
      </w:r>
      <w:r>
        <w:rPr>
          <w:rFonts w:eastAsia="宋体" w:cs="Times New Roman" w:asciiTheme="minorEastAsia" w:hAnsiTheme="minorEastAsia"/>
          <w:b/>
          <w:kern w:val="0"/>
          <w:sz w:val="24"/>
          <w:szCs w:val="24"/>
        </w:rPr>
        <w:t>黄线</w:t>
      </w:r>
    </w:p>
    <w:p>
      <w:pPr>
        <w:adjustRightInd w:val="0"/>
        <w:snapToGrid w:val="0"/>
        <w:spacing w:line="360" w:lineRule="auto"/>
        <w:ind w:firstLine="482" w:firstLineChars="200"/>
        <w:rPr>
          <w:rFonts w:ascii="宋体" w:hAnsi="宋体" w:eastAsia="宋体" w:cs="Times New Roman"/>
          <w:b/>
          <w:kern w:val="0"/>
          <w:sz w:val="24"/>
          <w:szCs w:val="24"/>
          <w:u w:val="single"/>
        </w:rPr>
      </w:pPr>
      <w:r>
        <w:rPr>
          <w:rFonts w:ascii="宋体" w:hAnsi="宋体" w:eastAsia="宋体" w:cs="Times New Roman"/>
          <w:b/>
          <w:kern w:val="0"/>
          <w:sz w:val="24"/>
          <w:szCs w:val="24"/>
          <w:u w:val="single"/>
        </w:rPr>
        <w:t>黄线控制范围主要是给水厂、污水处理厂、消防设施用地以及通信用地。</w:t>
      </w:r>
    </w:p>
    <w:p>
      <w:pPr>
        <w:adjustRightInd w:val="0"/>
        <w:snapToGrid w:val="0"/>
        <w:spacing w:line="360" w:lineRule="auto"/>
        <w:ind w:firstLine="482" w:firstLineChars="200"/>
        <w:rPr>
          <w:rFonts w:ascii="宋体" w:hAnsi="宋体" w:eastAsia="宋体" w:cs="Times New Roman"/>
          <w:b/>
          <w:kern w:val="0"/>
          <w:sz w:val="24"/>
          <w:szCs w:val="24"/>
          <w:u w:val="single"/>
        </w:rPr>
      </w:pPr>
      <w:r>
        <w:rPr>
          <w:rFonts w:ascii="宋体" w:hAnsi="宋体" w:eastAsia="宋体" w:cs="Times New Roman"/>
          <w:b/>
          <w:kern w:val="0"/>
          <w:sz w:val="24"/>
          <w:szCs w:val="24"/>
          <w:u w:val="single"/>
        </w:rPr>
        <w:t>划定镇区客运站、消防站、污水处理厂、水工设施为城市黄线范围，面积</w:t>
      </w:r>
      <w:r>
        <w:rPr>
          <w:rFonts w:hint="eastAsia" w:ascii="宋体" w:hAnsi="宋体" w:eastAsia="宋体" w:cs="Times New Roman"/>
          <w:b/>
          <w:kern w:val="0"/>
          <w:sz w:val="24"/>
          <w:szCs w:val="24"/>
          <w:u w:val="single"/>
        </w:rPr>
        <w:t>1.26</w:t>
      </w:r>
      <w:r>
        <w:rPr>
          <w:rFonts w:ascii="宋体" w:hAnsi="宋体" w:eastAsia="宋体" w:cs="Times New Roman"/>
          <w:b/>
          <w:kern w:val="0"/>
          <w:sz w:val="24"/>
          <w:szCs w:val="24"/>
          <w:u w:val="single"/>
        </w:rPr>
        <w:t>公顷。</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在城市黄线范围内禁止进行下列活动：违反国土空间规划要求，进行建筑物、构筑物及其他设施的建设；违反国家有关技术标准和规范进行建设；未经批准，改装、迁移或拆毁原有城市基础设施；其他损坏城市基础设施或影响城市基础设施安全和正常运转的行为。</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在城市黄线内新建、改建、扩建各类建筑物、构筑物、道路、管线和其他工程设施，应当符合经批准的国土空间规划，并依法向建设主管部门（自然资源和规划行政主管部门）申请办理城市规划许可，并依据有关法律、法规办理相关手续。</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（三）</w:t>
      </w:r>
      <w:r>
        <w:rPr>
          <w:rFonts w:eastAsia="宋体" w:cs="Times New Roman" w:asciiTheme="minorEastAsia" w:hAnsiTheme="minorEastAsia"/>
          <w:b/>
          <w:kern w:val="0"/>
          <w:sz w:val="24"/>
          <w:szCs w:val="24"/>
        </w:rPr>
        <w:t>蓝线</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蓝线控制范围主要是郪江和龙溪河流</w:t>
      </w:r>
      <w:r>
        <w:rPr>
          <w:rFonts w:hint="eastAsia" w:ascii="宋体" w:hAnsi="宋体" w:eastAsia="宋体" w:cs="Times New Roman"/>
          <w:kern w:val="0"/>
          <w:sz w:val="24"/>
          <w:szCs w:val="24"/>
        </w:rPr>
        <w:t>自然水系。</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蓝线范围内，禁止违反城镇蓝线保护和控制要求的建设活动；禁止擅自填埋、占用城镇蓝线内水域；禁止影响水系安全的爆破、采石、取土等活动；禁止擅自建设各类排污设施，向水域内排放污水。</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（四）</w:t>
      </w:r>
      <w:r>
        <w:rPr>
          <w:rFonts w:eastAsia="宋体" w:cs="Times New Roman" w:asciiTheme="minorEastAsia" w:hAnsiTheme="minorEastAsia"/>
          <w:b/>
          <w:kern w:val="0"/>
          <w:sz w:val="24"/>
          <w:szCs w:val="24"/>
        </w:rPr>
        <w:t>紫线</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指国家历史文化名城内的历史文化街区和省、自治区、直辖市人民政府公布的历史文化街区的保护范围界线，以及历史文化街区外经县级以上人民政府公布保护的历史建筑的保护范围界线。</w:t>
      </w:r>
    </w:p>
    <w:p>
      <w:pPr>
        <w:adjustRightInd w:val="0"/>
        <w:snapToGrid w:val="0"/>
        <w:spacing w:line="360" w:lineRule="auto"/>
        <w:ind w:firstLine="482" w:firstLineChars="200"/>
        <w:rPr>
          <w:rFonts w:ascii="宋体" w:hAnsi="宋体" w:eastAsia="宋体" w:cs="Times New Roman"/>
          <w:b/>
          <w:kern w:val="0"/>
          <w:sz w:val="24"/>
          <w:szCs w:val="24"/>
          <w:u w:val="single"/>
        </w:rPr>
      </w:pPr>
      <w:r>
        <w:rPr>
          <w:rFonts w:ascii="宋体" w:hAnsi="宋体" w:eastAsia="宋体" w:cs="Times New Roman"/>
          <w:b/>
          <w:kern w:val="0"/>
          <w:sz w:val="24"/>
          <w:szCs w:val="24"/>
          <w:u w:val="single"/>
        </w:rPr>
        <w:t>划定</w:t>
      </w:r>
      <w:r>
        <w:rPr>
          <w:rFonts w:hint="eastAsia" w:ascii="宋体" w:hAnsi="宋体" w:eastAsia="宋体" w:cs="Times New Roman"/>
          <w:b/>
          <w:kern w:val="0"/>
          <w:sz w:val="24"/>
          <w:szCs w:val="24"/>
          <w:u w:val="single"/>
        </w:rPr>
        <w:t>象山</w:t>
      </w:r>
      <w:r>
        <w:rPr>
          <w:rFonts w:ascii="宋体" w:hAnsi="宋体" w:eastAsia="宋体" w:cs="Times New Roman"/>
          <w:b/>
          <w:kern w:val="0"/>
          <w:sz w:val="24"/>
          <w:szCs w:val="24"/>
          <w:u w:val="single"/>
        </w:rPr>
        <w:t>书院历史文物保护单位建设控制地带为城镇紫线范围，面积</w:t>
      </w:r>
      <w:r>
        <w:rPr>
          <w:rFonts w:hint="eastAsia" w:ascii="宋体" w:hAnsi="宋体" w:eastAsia="宋体" w:cs="Times New Roman"/>
          <w:b/>
          <w:kern w:val="0"/>
          <w:sz w:val="24"/>
          <w:szCs w:val="24"/>
          <w:u w:val="single"/>
        </w:rPr>
        <w:t>0.44</w:t>
      </w:r>
      <w:r>
        <w:rPr>
          <w:rFonts w:ascii="宋体" w:hAnsi="宋体" w:eastAsia="宋体" w:cs="Times New Roman"/>
          <w:b/>
          <w:kern w:val="0"/>
          <w:sz w:val="24"/>
          <w:szCs w:val="24"/>
          <w:u w:val="single"/>
        </w:rPr>
        <w:t>公顷。严格按照《城市紫线管理办法》相关要求进行管控。</w:t>
      </w:r>
    </w:p>
    <w:p>
      <w:pPr>
        <w:adjustRightInd w:val="0"/>
        <w:snapToGrid w:val="0"/>
        <w:spacing w:line="360" w:lineRule="auto"/>
        <w:ind w:firstLine="482" w:firstLineChars="200"/>
        <w:rPr>
          <w:rFonts w:ascii="黑体" w:hAnsi="黑体" w:eastAsia="黑体" w:cs="Times New Roman"/>
          <w:b/>
          <w:kern w:val="0"/>
          <w:sz w:val="24"/>
          <w:szCs w:val="24"/>
        </w:rPr>
      </w:pPr>
      <w:r>
        <w:rPr>
          <w:rFonts w:hint="eastAsia" w:ascii="黑体" w:hAnsi="黑体" w:eastAsia="黑体" w:cs="Times New Roman"/>
          <w:b/>
          <w:kern w:val="0"/>
          <w:sz w:val="24"/>
          <w:szCs w:val="24"/>
        </w:rPr>
        <w:t>十、镇区公服设施规划</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构建象山镇区“一个十分钟生活圈，三个五分钟生活圈”，针对镇区居民日常生活需求及商贸发展需求，增补1处</w:t>
      </w:r>
      <w:r>
        <w:rPr>
          <w:rFonts w:hint="eastAsia" w:ascii="宋体" w:hAnsi="宋体" w:eastAsia="宋体" w:cs="Times New Roman"/>
          <w:kern w:val="0"/>
          <w:sz w:val="24"/>
          <w:szCs w:val="24"/>
        </w:rPr>
        <w:t>敬老院</w:t>
      </w:r>
      <w:r>
        <w:rPr>
          <w:rFonts w:ascii="宋体" w:hAnsi="宋体" w:eastAsia="宋体" w:cs="Times New Roman"/>
          <w:kern w:val="0"/>
          <w:sz w:val="24"/>
          <w:szCs w:val="24"/>
        </w:rPr>
        <w:t>、1处</w:t>
      </w:r>
      <w:r>
        <w:rPr>
          <w:rFonts w:hint="eastAsia" w:ascii="宋体" w:hAnsi="宋体" w:eastAsia="宋体" w:cs="Times New Roman"/>
          <w:kern w:val="0"/>
          <w:sz w:val="24"/>
          <w:szCs w:val="24"/>
        </w:rPr>
        <w:t>体育中心</w:t>
      </w:r>
      <w:r>
        <w:rPr>
          <w:rFonts w:ascii="宋体" w:hAnsi="宋体" w:eastAsia="宋体" w:cs="Times New Roman"/>
          <w:kern w:val="0"/>
          <w:sz w:val="24"/>
          <w:szCs w:val="24"/>
        </w:rPr>
        <w:t>、1处客运站、1处派出所，通过邻里中心强化特色文化、体育、休闲生活方式的配套。</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规划调出现状驾校，改造利用原象山小学成为镇区消防站，</w:t>
      </w:r>
      <w:r>
        <w:rPr>
          <w:rFonts w:hint="eastAsia" w:ascii="宋体" w:hAnsi="宋体" w:eastAsia="宋体" w:cs="Times New Roman"/>
          <w:kern w:val="0"/>
          <w:sz w:val="24"/>
          <w:szCs w:val="24"/>
        </w:rPr>
        <w:t>利用富</w:t>
      </w:r>
      <w:r>
        <w:rPr>
          <w:rFonts w:ascii="宋体" w:hAnsi="宋体" w:eastAsia="宋体" w:cs="Times New Roman"/>
          <w:kern w:val="0"/>
          <w:sz w:val="24"/>
          <w:szCs w:val="24"/>
        </w:rPr>
        <w:t>乐</w:t>
      </w:r>
      <w:r>
        <w:rPr>
          <w:rFonts w:hint="eastAsia" w:ascii="宋体" w:hAnsi="宋体" w:eastAsia="宋体" w:cs="Times New Roman"/>
          <w:kern w:val="0"/>
          <w:sz w:val="24"/>
          <w:szCs w:val="24"/>
        </w:rPr>
        <w:t>社区</w:t>
      </w:r>
      <w:r>
        <w:rPr>
          <w:rFonts w:ascii="宋体" w:hAnsi="宋体" w:eastAsia="宋体" w:cs="Times New Roman"/>
          <w:kern w:val="0"/>
          <w:sz w:val="24"/>
          <w:szCs w:val="24"/>
        </w:rPr>
        <w:t xml:space="preserve">党群服务中心增设农村电商服务中心，进行农产品市场行情和动态快递、商业机会撮合、产品信息发布等内容，提升医疗、教育、职业等服务设施质量。 </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（一）</w:t>
      </w:r>
      <w:r>
        <w:rPr>
          <w:rFonts w:eastAsia="宋体" w:cs="Times New Roman" w:asciiTheme="minorEastAsia" w:hAnsiTheme="minorEastAsia"/>
          <w:b/>
          <w:kern w:val="0"/>
          <w:sz w:val="24"/>
          <w:szCs w:val="24"/>
        </w:rPr>
        <w:t>机关团体</w:t>
      </w:r>
    </w:p>
    <w:p>
      <w:pPr>
        <w:adjustRightInd w:val="0"/>
        <w:snapToGrid w:val="0"/>
        <w:spacing w:line="360" w:lineRule="auto"/>
        <w:ind w:firstLine="482" w:firstLineChars="200"/>
        <w:rPr>
          <w:rFonts w:ascii="宋体" w:hAnsi="宋体" w:eastAsia="宋体" w:cs="Times New Roman"/>
          <w:b/>
          <w:kern w:val="0"/>
          <w:sz w:val="24"/>
          <w:szCs w:val="24"/>
          <w:u w:val="single"/>
        </w:rPr>
      </w:pPr>
      <w:r>
        <w:rPr>
          <w:rFonts w:ascii="宋体" w:hAnsi="宋体" w:eastAsia="宋体" w:cs="Times New Roman"/>
          <w:b/>
          <w:kern w:val="0"/>
          <w:sz w:val="24"/>
          <w:szCs w:val="24"/>
          <w:u w:val="single"/>
        </w:rPr>
        <w:t>保留现状镇政府</w:t>
      </w:r>
      <w:r>
        <w:rPr>
          <w:rFonts w:hint="eastAsia" w:ascii="宋体" w:hAnsi="宋体" w:eastAsia="宋体" w:cs="Times New Roman"/>
          <w:b/>
          <w:kern w:val="0"/>
          <w:sz w:val="24"/>
          <w:szCs w:val="24"/>
          <w:u w:val="single"/>
        </w:rPr>
        <w:t>、</w:t>
      </w:r>
      <w:r>
        <w:rPr>
          <w:rFonts w:ascii="宋体" w:hAnsi="宋体" w:eastAsia="宋体" w:cs="Times New Roman"/>
          <w:b/>
          <w:kern w:val="0"/>
          <w:sz w:val="24"/>
          <w:szCs w:val="24"/>
          <w:u w:val="single"/>
        </w:rPr>
        <w:t>富乐社区居委会，规划1处派出所，面积</w:t>
      </w:r>
      <w:r>
        <w:rPr>
          <w:rFonts w:hint="eastAsia" w:ascii="宋体" w:hAnsi="宋体" w:eastAsia="宋体" w:cs="Times New Roman"/>
          <w:b/>
          <w:kern w:val="0"/>
          <w:sz w:val="24"/>
          <w:szCs w:val="24"/>
          <w:u w:val="single"/>
        </w:rPr>
        <w:t>1.14</w:t>
      </w:r>
      <w:r>
        <w:rPr>
          <w:rFonts w:ascii="宋体" w:hAnsi="宋体" w:eastAsia="宋体" w:cs="Times New Roman"/>
          <w:b/>
          <w:kern w:val="0"/>
          <w:sz w:val="24"/>
          <w:szCs w:val="24"/>
          <w:u w:val="single"/>
        </w:rPr>
        <w:t>公顷；</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（二）文化用地</w:t>
      </w:r>
    </w:p>
    <w:p>
      <w:pPr>
        <w:adjustRightInd w:val="0"/>
        <w:snapToGrid w:val="0"/>
        <w:spacing w:line="360" w:lineRule="auto"/>
        <w:ind w:firstLine="482" w:firstLineChars="200"/>
        <w:rPr>
          <w:rFonts w:ascii="宋体" w:hAnsi="宋体" w:eastAsia="宋体" w:cs="Times New Roman"/>
          <w:b/>
          <w:kern w:val="0"/>
          <w:sz w:val="24"/>
          <w:szCs w:val="24"/>
          <w:u w:val="single"/>
        </w:rPr>
      </w:pPr>
      <w:r>
        <w:rPr>
          <w:rFonts w:ascii="宋体" w:hAnsi="宋体" w:eastAsia="宋体" w:cs="Times New Roman"/>
          <w:b/>
          <w:kern w:val="0"/>
          <w:sz w:val="24"/>
          <w:szCs w:val="24"/>
          <w:u w:val="single"/>
        </w:rPr>
        <w:t>保留现状综合文化站，面积</w:t>
      </w:r>
      <w:r>
        <w:rPr>
          <w:rFonts w:hint="eastAsia" w:ascii="宋体" w:hAnsi="宋体" w:eastAsia="宋体" w:cs="Times New Roman"/>
          <w:b/>
          <w:kern w:val="0"/>
          <w:sz w:val="24"/>
          <w:szCs w:val="24"/>
          <w:u w:val="single"/>
        </w:rPr>
        <w:t>0.14</w:t>
      </w:r>
      <w:r>
        <w:rPr>
          <w:rFonts w:ascii="宋体" w:hAnsi="宋体" w:eastAsia="宋体" w:cs="Times New Roman"/>
          <w:b/>
          <w:kern w:val="0"/>
          <w:sz w:val="24"/>
          <w:szCs w:val="24"/>
          <w:u w:val="single"/>
        </w:rPr>
        <w:t>公顷；</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（三）教育用地</w:t>
      </w:r>
    </w:p>
    <w:p>
      <w:pPr>
        <w:adjustRightInd w:val="0"/>
        <w:snapToGrid w:val="0"/>
        <w:spacing w:line="360" w:lineRule="auto"/>
        <w:ind w:firstLine="482" w:firstLineChars="200"/>
        <w:rPr>
          <w:rFonts w:ascii="宋体" w:hAnsi="宋体" w:eastAsia="宋体" w:cs="Times New Roman"/>
          <w:b/>
          <w:kern w:val="0"/>
          <w:sz w:val="24"/>
          <w:szCs w:val="24"/>
          <w:u w:val="single"/>
        </w:rPr>
      </w:pPr>
      <w:r>
        <w:rPr>
          <w:rFonts w:ascii="宋体" w:hAnsi="宋体" w:eastAsia="宋体" w:cs="Times New Roman"/>
          <w:b/>
          <w:kern w:val="0"/>
          <w:sz w:val="24"/>
          <w:szCs w:val="24"/>
          <w:u w:val="single"/>
        </w:rPr>
        <w:t>保留现状中、小学、幼儿园，面积</w:t>
      </w:r>
      <w:r>
        <w:rPr>
          <w:rFonts w:hint="eastAsia" w:ascii="宋体" w:hAnsi="宋体" w:eastAsia="宋体" w:cs="Times New Roman"/>
          <w:b/>
          <w:kern w:val="0"/>
          <w:sz w:val="24"/>
          <w:szCs w:val="24"/>
          <w:u w:val="single"/>
        </w:rPr>
        <w:t>6.82</w:t>
      </w:r>
      <w:r>
        <w:rPr>
          <w:rFonts w:ascii="宋体" w:hAnsi="宋体" w:eastAsia="宋体" w:cs="Times New Roman"/>
          <w:b/>
          <w:kern w:val="0"/>
          <w:sz w:val="24"/>
          <w:szCs w:val="24"/>
          <w:u w:val="single"/>
        </w:rPr>
        <w:t>公顷；</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（四）</w:t>
      </w:r>
      <w:r>
        <w:rPr>
          <w:rFonts w:eastAsia="宋体" w:cs="Times New Roman" w:asciiTheme="minorEastAsia" w:hAnsiTheme="minorEastAsia"/>
          <w:b/>
          <w:kern w:val="0"/>
          <w:sz w:val="24"/>
          <w:szCs w:val="24"/>
        </w:rPr>
        <w:t>体育设施</w:t>
      </w:r>
    </w:p>
    <w:p>
      <w:pPr>
        <w:adjustRightInd w:val="0"/>
        <w:snapToGrid w:val="0"/>
        <w:spacing w:line="360" w:lineRule="auto"/>
        <w:ind w:firstLine="482" w:firstLineChars="200"/>
        <w:rPr>
          <w:rFonts w:ascii="宋体" w:hAnsi="宋体" w:eastAsia="宋体" w:cs="Times New Roman"/>
          <w:b/>
          <w:kern w:val="0"/>
          <w:sz w:val="24"/>
          <w:szCs w:val="24"/>
          <w:u w:val="single"/>
        </w:rPr>
      </w:pPr>
      <w:r>
        <w:rPr>
          <w:rFonts w:ascii="宋体" w:hAnsi="宋体" w:eastAsia="宋体" w:cs="Times New Roman"/>
          <w:b/>
          <w:kern w:val="0"/>
          <w:sz w:val="24"/>
          <w:szCs w:val="24"/>
          <w:u w:val="single"/>
        </w:rPr>
        <w:t>规划一处体育场馆，用地面积</w:t>
      </w:r>
      <w:r>
        <w:rPr>
          <w:rFonts w:hint="eastAsia" w:ascii="宋体" w:hAnsi="宋体" w:eastAsia="宋体" w:cs="Times New Roman"/>
          <w:b/>
          <w:kern w:val="0"/>
          <w:sz w:val="24"/>
          <w:szCs w:val="24"/>
          <w:u w:val="single"/>
        </w:rPr>
        <w:t>0.72</w:t>
      </w:r>
      <w:r>
        <w:rPr>
          <w:rFonts w:ascii="宋体" w:hAnsi="宋体" w:eastAsia="宋体" w:cs="Times New Roman"/>
          <w:b/>
          <w:kern w:val="0"/>
          <w:sz w:val="24"/>
          <w:szCs w:val="24"/>
          <w:u w:val="single"/>
        </w:rPr>
        <w:t>公顷，服务全镇；</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（五）</w:t>
      </w:r>
      <w:r>
        <w:rPr>
          <w:rFonts w:eastAsia="宋体" w:cs="Times New Roman" w:asciiTheme="minorEastAsia" w:hAnsiTheme="minorEastAsia"/>
          <w:b/>
          <w:kern w:val="0"/>
          <w:sz w:val="24"/>
          <w:szCs w:val="24"/>
        </w:rPr>
        <w:t>医疗卫生</w:t>
      </w:r>
    </w:p>
    <w:p>
      <w:pPr>
        <w:adjustRightInd w:val="0"/>
        <w:snapToGrid w:val="0"/>
        <w:spacing w:line="360" w:lineRule="auto"/>
        <w:ind w:firstLine="482" w:firstLineChars="200"/>
        <w:rPr>
          <w:rFonts w:ascii="宋体" w:hAnsi="宋体" w:eastAsia="宋体" w:cs="Times New Roman"/>
          <w:b/>
          <w:kern w:val="0"/>
          <w:sz w:val="24"/>
          <w:szCs w:val="24"/>
          <w:u w:val="single"/>
        </w:rPr>
      </w:pPr>
      <w:r>
        <w:rPr>
          <w:rFonts w:ascii="宋体" w:hAnsi="宋体" w:eastAsia="宋体" w:cs="Times New Roman"/>
          <w:b/>
          <w:kern w:val="0"/>
          <w:sz w:val="24"/>
          <w:szCs w:val="24"/>
          <w:u w:val="single"/>
        </w:rPr>
        <w:t>保留现状计生站，扩大现状卫生院，面积</w:t>
      </w:r>
      <w:r>
        <w:rPr>
          <w:rFonts w:hint="eastAsia" w:ascii="宋体" w:hAnsi="宋体" w:eastAsia="宋体" w:cs="Times New Roman"/>
          <w:b/>
          <w:kern w:val="0"/>
          <w:sz w:val="24"/>
          <w:szCs w:val="24"/>
          <w:u w:val="single"/>
        </w:rPr>
        <w:t>0.26</w:t>
      </w:r>
      <w:r>
        <w:rPr>
          <w:rFonts w:ascii="宋体" w:hAnsi="宋体" w:eastAsia="宋体" w:cs="Times New Roman"/>
          <w:b/>
          <w:kern w:val="0"/>
          <w:sz w:val="24"/>
          <w:szCs w:val="24"/>
          <w:u w:val="single"/>
        </w:rPr>
        <w:t>公顷；</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（六）养老设施:</w:t>
      </w:r>
    </w:p>
    <w:p>
      <w:pPr>
        <w:adjustRightInd w:val="0"/>
        <w:snapToGrid w:val="0"/>
        <w:spacing w:line="360" w:lineRule="auto"/>
        <w:ind w:firstLine="482" w:firstLineChars="200"/>
        <w:rPr>
          <w:rFonts w:ascii="宋体" w:hAnsi="宋体" w:eastAsia="宋体" w:cs="Times New Roman"/>
          <w:b/>
          <w:kern w:val="0"/>
          <w:sz w:val="24"/>
          <w:szCs w:val="24"/>
          <w:u w:val="single"/>
        </w:rPr>
      </w:pPr>
      <w:r>
        <w:rPr>
          <w:rFonts w:eastAsia="宋体" w:cs="Times New Roman" w:asciiTheme="minorEastAsia" w:hAnsiTheme="minorEastAsia"/>
          <w:b/>
          <w:kern w:val="0"/>
          <w:sz w:val="24"/>
          <w:szCs w:val="24"/>
          <w:u w:val="single"/>
        </w:rPr>
        <w:t>规划</w:t>
      </w:r>
      <w:r>
        <w:rPr>
          <w:rFonts w:hint="eastAsia" w:eastAsia="宋体" w:cs="Times New Roman" w:asciiTheme="minorEastAsia" w:hAnsiTheme="minorEastAsia"/>
          <w:b/>
          <w:kern w:val="0"/>
          <w:sz w:val="24"/>
          <w:szCs w:val="24"/>
          <w:u w:val="single"/>
        </w:rPr>
        <w:t>新增敬老院一处，</w:t>
      </w:r>
      <w:r>
        <w:rPr>
          <w:rFonts w:eastAsia="宋体" w:cs="Times New Roman" w:asciiTheme="minorEastAsia" w:hAnsiTheme="minorEastAsia"/>
          <w:b/>
          <w:kern w:val="0"/>
          <w:sz w:val="24"/>
          <w:szCs w:val="24"/>
          <w:u w:val="single"/>
        </w:rPr>
        <w:t>占地面积</w:t>
      </w:r>
      <w:r>
        <w:rPr>
          <w:rFonts w:hint="eastAsia" w:eastAsia="宋体" w:cs="Times New Roman" w:asciiTheme="minorEastAsia" w:hAnsiTheme="minorEastAsia"/>
          <w:b/>
          <w:kern w:val="0"/>
          <w:sz w:val="24"/>
          <w:szCs w:val="24"/>
          <w:u w:val="single"/>
        </w:rPr>
        <w:t>0.54公顷；</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（七）</w:t>
      </w:r>
      <w:r>
        <w:rPr>
          <w:rFonts w:eastAsia="宋体" w:cs="Times New Roman" w:asciiTheme="minorEastAsia" w:hAnsiTheme="minorEastAsia"/>
          <w:b/>
          <w:kern w:val="0"/>
          <w:sz w:val="24"/>
          <w:szCs w:val="24"/>
        </w:rPr>
        <w:t>其他设施</w:t>
      </w:r>
    </w:p>
    <w:p>
      <w:pPr>
        <w:adjustRightInd w:val="0"/>
        <w:snapToGrid w:val="0"/>
        <w:spacing w:line="360" w:lineRule="auto"/>
        <w:ind w:firstLine="482" w:firstLineChars="200"/>
        <w:rPr>
          <w:rFonts w:ascii="宋体" w:hAnsi="宋体" w:eastAsia="宋体" w:cs="Times New Roman"/>
          <w:b/>
          <w:kern w:val="0"/>
          <w:sz w:val="24"/>
          <w:szCs w:val="24"/>
          <w:u w:val="single"/>
        </w:rPr>
      </w:pPr>
      <w:r>
        <w:rPr>
          <w:rFonts w:ascii="宋体" w:hAnsi="宋体" w:eastAsia="宋体" w:cs="Times New Roman"/>
          <w:b/>
          <w:kern w:val="0"/>
          <w:sz w:val="24"/>
          <w:szCs w:val="24"/>
          <w:u w:val="single"/>
        </w:rPr>
        <w:t>保留现状福乐寺，控制其规模不</w:t>
      </w:r>
      <w:r>
        <w:rPr>
          <w:rFonts w:hint="eastAsia" w:ascii="宋体" w:hAnsi="宋体" w:eastAsia="宋体" w:cs="Times New Roman"/>
          <w:b/>
          <w:kern w:val="0"/>
          <w:sz w:val="24"/>
          <w:szCs w:val="24"/>
          <w:u w:val="single"/>
          <w:lang w:val="en-US" w:eastAsia="zh-CN"/>
        </w:rPr>
        <w:t>再</w:t>
      </w:r>
      <w:r>
        <w:rPr>
          <w:rFonts w:ascii="宋体" w:hAnsi="宋体" w:eastAsia="宋体" w:cs="Times New Roman"/>
          <w:b/>
          <w:kern w:val="0"/>
          <w:sz w:val="24"/>
          <w:szCs w:val="24"/>
          <w:u w:val="single"/>
        </w:rPr>
        <w:t>扩大，面积</w:t>
      </w:r>
      <w:r>
        <w:rPr>
          <w:rFonts w:hint="eastAsia" w:ascii="宋体" w:hAnsi="宋体" w:eastAsia="宋体" w:cs="Times New Roman"/>
          <w:b/>
          <w:kern w:val="0"/>
          <w:sz w:val="24"/>
          <w:szCs w:val="24"/>
          <w:u w:val="single"/>
        </w:rPr>
        <w:t>0.28</w:t>
      </w:r>
      <w:r>
        <w:rPr>
          <w:rFonts w:ascii="宋体" w:hAnsi="宋体" w:eastAsia="宋体" w:cs="Times New Roman"/>
          <w:b/>
          <w:kern w:val="0"/>
          <w:sz w:val="24"/>
          <w:szCs w:val="24"/>
          <w:u w:val="single"/>
        </w:rPr>
        <w:t>公顷</w:t>
      </w:r>
      <w:r>
        <w:rPr>
          <w:rFonts w:hint="eastAsia" w:ascii="宋体" w:hAnsi="宋体" w:eastAsia="宋体" w:cs="Times New Roman"/>
          <w:b/>
          <w:kern w:val="0"/>
          <w:sz w:val="24"/>
          <w:szCs w:val="24"/>
          <w:u w:val="single"/>
        </w:rPr>
        <w:t>；</w:t>
      </w:r>
      <w:r>
        <w:rPr>
          <w:rFonts w:ascii="宋体" w:hAnsi="宋体" w:eastAsia="宋体" w:cs="Times New Roman"/>
          <w:b/>
          <w:kern w:val="0"/>
          <w:sz w:val="24"/>
          <w:szCs w:val="24"/>
          <w:u w:val="single"/>
        </w:rPr>
        <w:t>保留现状象山书院</w:t>
      </w:r>
      <w:r>
        <w:rPr>
          <w:rFonts w:hint="eastAsia" w:ascii="宋体" w:hAnsi="宋体" w:eastAsia="宋体" w:cs="Times New Roman"/>
          <w:b/>
          <w:kern w:val="0"/>
          <w:sz w:val="24"/>
          <w:szCs w:val="24"/>
          <w:u w:val="single"/>
        </w:rPr>
        <w:t>，</w:t>
      </w:r>
      <w:r>
        <w:rPr>
          <w:rFonts w:ascii="宋体" w:hAnsi="宋体" w:eastAsia="宋体" w:cs="Times New Roman"/>
          <w:b/>
          <w:kern w:val="0"/>
          <w:sz w:val="24"/>
          <w:szCs w:val="24"/>
          <w:u w:val="single"/>
        </w:rPr>
        <w:t>占地面积</w:t>
      </w:r>
      <w:r>
        <w:rPr>
          <w:rFonts w:hint="eastAsia" w:ascii="宋体" w:hAnsi="宋体" w:eastAsia="宋体" w:cs="Times New Roman"/>
          <w:b/>
          <w:kern w:val="0"/>
          <w:sz w:val="24"/>
          <w:szCs w:val="24"/>
          <w:u w:val="single"/>
        </w:rPr>
        <w:t>0.21公顷。</w:t>
      </w:r>
    </w:p>
    <w:p>
      <w:pPr>
        <w:adjustRightInd w:val="0"/>
        <w:snapToGrid w:val="0"/>
        <w:spacing w:line="360" w:lineRule="auto"/>
        <w:ind w:firstLine="482" w:firstLineChars="200"/>
        <w:rPr>
          <w:rFonts w:ascii="黑体" w:hAnsi="黑体" w:eastAsia="黑体" w:cs="Times New Roman"/>
          <w:b/>
          <w:kern w:val="0"/>
          <w:sz w:val="24"/>
          <w:szCs w:val="24"/>
        </w:rPr>
      </w:pPr>
      <w:r>
        <w:rPr>
          <w:rFonts w:hint="eastAsia" w:ascii="黑体" w:hAnsi="黑体" w:eastAsia="黑体" w:cs="Times New Roman"/>
          <w:b/>
          <w:kern w:val="0"/>
          <w:sz w:val="24"/>
          <w:szCs w:val="24"/>
        </w:rPr>
        <w:t>十一、构建完善多维的交通体系</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以现状道路为基础，增加路网密度，形成以交通街（上、中、下三段）、滨江路为主干路的城镇道路交通体系；部分路段增设路内停车，并依托优质生态资源构建滨江绿道体系，串联镇区核心功能与中心镇生活场景。</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（一）</w:t>
      </w:r>
      <w:r>
        <w:rPr>
          <w:rFonts w:eastAsia="宋体" w:cs="Times New Roman" w:asciiTheme="minorEastAsia" w:hAnsiTheme="minorEastAsia"/>
          <w:b/>
          <w:kern w:val="0"/>
          <w:sz w:val="24"/>
          <w:szCs w:val="24"/>
        </w:rPr>
        <w:t>加强对外交通联系（优化滨江路）</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未来三大乐高速在</w:t>
      </w:r>
      <w:r>
        <w:rPr>
          <w:rFonts w:hint="eastAsia" w:ascii="宋体" w:hAnsi="宋体" w:eastAsia="宋体" w:cs="Times New Roman"/>
          <w:kern w:val="0"/>
          <w:sz w:val="24"/>
          <w:szCs w:val="24"/>
        </w:rPr>
        <w:t>镇区</w:t>
      </w:r>
      <w:r>
        <w:rPr>
          <w:rFonts w:ascii="宋体" w:hAnsi="宋体" w:eastAsia="宋体" w:cs="Times New Roman"/>
          <w:kern w:val="0"/>
          <w:sz w:val="24"/>
          <w:szCs w:val="24"/>
        </w:rPr>
        <w:t>西侧设高速出入口一处，夏团路</w:t>
      </w:r>
      <w:r>
        <w:rPr>
          <w:rFonts w:hint="eastAsia" w:ascii="宋体" w:hAnsi="宋体" w:eastAsia="宋体" w:cs="Times New Roman"/>
          <w:kern w:val="0"/>
          <w:sz w:val="24"/>
          <w:szCs w:val="24"/>
        </w:rPr>
        <w:t>、</w:t>
      </w:r>
      <w:r>
        <w:rPr>
          <w:rFonts w:ascii="宋体" w:hAnsi="宋体" w:eastAsia="宋体" w:cs="Times New Roman"/>
          <w:kern w:val="0"/>
          <w:sz w:val="24"/>
          <w:szCs w:val="24"/>
        </w:rPr>
        <w:t>滨江路不仅承担主要的对外交通职能，又是镇区内部的主要交通干路，规划改造滨江路为省道（S101</w:t>
      </w:r>
      <w:r>
        <w:rPr>
          <w:rFonts w:hint="eastAsia" w:ascii="宋体" w:hAnsi="宋体" w:eastAsia="宋体" w:cs="Times New Roman"/>
          <w:kern w:val="0"/>
          <w:sz w:val="24"/>
          <w:szCs w:val="24"/>
        </w:rPr>
        <w:t>和</w:t>
      </w:r>
      <w:r>
        <w:rPr>
          <w:rFonts w:ascii="宋体" w:hAnsi="宋体" w:eastAsia="宋体" w:cs="Times New Roman"/>
          <w:kern w:val="0"/>
          <w:sz w:val="24"/>
          <w:szCs w:val="24"/>
        </w:rPr>
        <w:t>S209），同时优化部分道路与滨江路的接口，提高</w:t>
      </w:r>
      <w:r>
        <w:rPr>
          <w:rFonts w:hint="eastAsia" w:ascii="宋体" w:hAnsi="宋体" w:eastAsia="宋体" w:cs="Times New Roman"/>
          <w:kern w:val="0"/>
          <w:sz w:val="24"/>
          <w:szCs w:val="24"/>
        </w:rPr>
        <w:t>通行</w:t>
      </w:r>
      <w:r>
        <w:rPr>
          <w:rFonts w:ascii="宋体" w:hAnsi="宋体" w:eastAsia="宋体" w:cs="Times New Roman"/>
          <w:kern w:val="0"/>
          <w:sz w:val="24"/>
          <w:szCs w:val="24"/>
        </w:rPr>
        <w:t>能力。</w:t>
      </w:r>
    </w:p>
    <w:p>
      <w:pPr>
        <w:adjustRightInd w:val="0"/>
        <w:snapToGrid w:val="0"/>
        <w:spacing w:line="360" w:lineRule="auto"/>
        <w:ind w:firstLine="482" w:firstLineChars="200"/>
        <w:rPr>
          <w:rFonts w:ascii="宋体" w:hAnsi="宋体" w:eastAsia="宋体" w:cs="Times New Roman"/>
          <w:kern w:val="0"/>
          <w:sz w:val="24"/>
          <w:szCs w:val="24"/>
        </w:rPr>
      </w:pPr>
      <w:r>
        <w:rPr>
          <w:rFonts w:hint="eastAsia" w:eastAsia="宋体" w:cs="Times New Roman" w:asciiTheme="minorEastAsia" w:hAnsiTheme="minorEastAsia"/>
          <w:b/>
          <w:kern w:val="0"/>
          <w:sz w:val="24"/>
          <w:szCs w:val="24"/>
        </w:rPr>
        <w:t>（二）</w:t>
      </w:r>
      <w:r>
        <w:rPr>
          <w:rFonts w:eastAsia="宋体" w:cs="Times New Roman" w:asciiTheme="minorEastAsia" w:hAnsiTheme="minorEastAsia"/>
          <w:b/>
          <w:kern w:val="0"/>
          <w:sz w:val="24"/>
          <w:szCs w:val="24"/>
        </w:rPr>
        <w:t>因地制宜构建镇区道路网络（老共存、动静结合）</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充分尊重现状镇区街道，保留</w:t>
      </w:r>
      <w:r>
        <w:rPr>
          <w:rFonts w:hint="eastAsia" w:ascii="宋体" w:hAnsi="宋体" w:eastAsia="宋体" w:cs="Times New Roman"/>
          <w:kern w:val="0"/>
          <w:sz w:val="24"/>
          <w:szCs w:val="24"/>
        </w:rPr>
        <w:t>交通街</w:t>
      </w:r>
      <w:r>
        <w:rPr>
          <w:rFonts w:ascii="宋体" w:hAnsi="宋体" w:eastAsia="宋体" w:cs="Times New Roman"/>
          <w:kern w:val="0"/>
          <w:sz w:val="24"/>
          <w:szCs w:val="24"/>
        </w:rPr>
        <w:t>老街道路作为特色步行道，与规划城镇道路和谐共存。</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“三横三纵”方格网式路网格局：结合现状道路，按照小街区、密路网规划城镇道路，形成三条纵向主干通道。</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（三）</w:t>
      </w:r>
      <w:r>
        <w:rPr>
          <w:rFonts w:eastAsia="宋体" w:cs="Times New Roman" w:asciiTheme="minorEastAsia" w:hAnsiTheme="minorEastAsia"/>
          <w:b/>
          <w:kern w:val="0"/>
          <w:sz w:val="24"/>
          <w:szCs w:val="24"/>
        </w:rPr>
        <w:t>交通设施规划</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规划在象山镇区设置1处客运站，与客运码头、公共停车场共同设置为运输综合服务站。</w:t>
      </w:r>
    </w:p>
    <w:p>
      <w:pPr>
        <w:adjustRightInd w:val="0"/>
        <w:snapToGrid w:val="0"/>
        <w:spacing w:line="360" w:lineRule="auto"/>
        <w:ind w:firstLine="482" w:firstLineChars="200"/>
        <w:rPr>
          <w:rFonts w:ascii="黑体" w:hAnsi="黑体" w:eastAsia="黑体" w:cs="Times New Roman"/>
          <w:b/>
          <w:kern w:val="0"/>
          <w:sz w:val="24"/>
          <w:szCs w:val="24"/>
        </w:rPr>
      </w:pPr>
      <w:r>
        <w:rPr>
          <w:rFonts w:hint="eastAsia" w:ascii="黑体" w:hAnsi="黑体" w:eastAsia="黑体" w:cs="Times New Roman"/>
          <w:b/>
          <w:kern w:val="0"/>
          <w:sz w:val="24"/>
          <w:szCs w:val="24"/>
        </w:rPr>
        <w:t xml:space="preserve">十二、补足市政设施短板 </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（一）现状概况</w:t>
      </w:r>
    </w:p>
    <w:p>
      <w:pPr>
        <w:adjustRightInd w:val="0"/>
        <w:snapToGrid w:val="0"/>
        <w:spacing w:line="360" w:lineRule="auto"/>
        <w:ind w:firstLine="480" w:firstLineChars="200"/>
        <w:rPr>
          <w:rFonts w:ascii="宋体" w:hAnsi="宋体" w:eastAsia="宋体" w:cs="Times New Roman"/>
          <w:kern w:val="0"/>
          <w:sz w:val="24"/>
          <w:szCs w:val="24"/>
        </w:rPr>
      </w:pPr>
      <w:r>
        <w:rPr>
          <w:rFonts w:hint="eastAsia" w:ascii="宋体" w:hAnsi="宋体" w:eastAsia="宋体" w:cs="Times New Roman"/>
          <w:kern w:val="0"/>
          <w:sz w:val="24"/>
          <w:szCs w:val="24"/>
        </w:rPr>
        <w:t>1、给水现状</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镇区现状桥头供水站供水规模为360</w:t>
      </w:r>
      <w:r>
        <w:rPr>
          <w:rFonts w:hint="eastAsia" w:ascii="宋体" w:hAnsi="宋体" w:eastAsia="宋体" w:cs="Times New Roman"/>
          <w:kern w:val="0"/>
          <w:sz w:val="24"/>
          <w:szCs w:val="24"/>
        </w:rPr>
        <w:t>立方米/天</w:t>
      </w:r>
      <w:r>
        <w:rPr>
          <w:rFonts w:ascii="宋体" w:hAnsi="宋体" w:eastAsia="宋体" w:cs="Times New Roman"/>
          <w:kern w:val="0"/>
          <w:sz w:val="24"/>
          <w:szCs w:val="24"/>
        </w:rPr>
        <w:t>，水源来自</w:t>
      </w:r>
      <w:r>
        <w:rPr>
          <w:rFonts w:hint="eastAsia" w:ascii="宋体" w:hAnsi="宋体" w:eastAsia="宋体" w:cs="Times New Roman"/>
          <w:kern w:val="0"/>
          <w:sz w:val="24"/>
          <w:szCs w:val="24"/>
        </w:rPr>
        <w:t>寸塘口水库</w:t>
      </w:r>
      <w:r>
        <w:rPr>
          <w:rFonts w:ascii="宋体" w:hAnsi="宋体" w:eastAsia="宋体" w:cs="Times New Roman"/>
          <w:kern w:val="0"/>
          <w:sz w:val="24"/>
          <w:szCs w:val="24"/>
        </w:rPr>
        <w:t>，基本能满足现有镇区生活用水需要。</w:t>
      </w:r>
    </w:p>
    <w:p>
      <w:pPr>
        <w:adjustRightInd w:val="0"/>
        <w:snapToGrid w:val="0"/>
        <w:spacing w:line="360" w:lineRule="auto"/>
        <w:ind w:firstLine="480" w:firstLineChars="200"/>
        <w:rPr>
          <w:rFonts w:ascii="宋体" w:hAnsi="宋体" w:eastAsia="宋体" w:cs="Times New Roman"/>
          <w:kern w:val="0"/>
          <w:sz w:val="24"/>
          <w:szCs w:val="24"/>
        </w:rPr>
      </w:pPr>
      <w:r>
        <w:rPr>
          <w:rFonts w:hint="eastAsia" w:ascii="宋体" w:hAnsi="宋体" w:eastAsia="宋体" w:cs="Times New Roman"/>
          <w:kern w:val="0"/>
          <w:sz w:val="24"/>
          <w:szCs w:val="24"/>
        </w:rPr>
        <w:t>2、排水现状</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镇区现有</w:t>
      </w:r>
      <w:r>
        <w:rPr>
          <w:rFonts w:hint="eastAsia" w:ascii="宋体" w:hAnsi="宋体" w:eastAsia="宋体" w:cs="Times New Roman"/>
          <w:kern w:val="0"/>
          <w:sz w:val="24"/>
          <w:szCs w:val="24"/>
        </w:rPr>
        <w:t>象山</w:t>
      </w:r>
      <w:r>
        <w:rPr>
          <w:rFonts w:ascii="宋体" w:hAnsi="宋体" w:eastAsia="宋体" w:cs="Times New Roman"/>
          <w:kern w:val="0"/>
          <w:sz w:val="24"/>
          <w:szCs w:val="24"/>
        </w:rPr>
        <w:t>污水处理厂，集中收集处理镇区以及近郊村庄生活污水。</w:t>
      </w:r>
    </w:p>
    <w:p>
      <w:pPr>
        <w:adjustRightInd w:val="0"/>
        <w:snapToGrid w:val="0"/>
        <w:spacing w:line="360" w:lineRule="auto"/>
        <w:ind w:firstLine="480" w:firstLineChars="200"/>
        <w:rPr>
          <w:rFonts w:ascii="宋体" w:hAnsi="宋体" w:eastAsia="宋体" w:cs="Times New Roman"/>
          <w:kern w:val="0"/>
          <w:sz w:val="24"/>
          <w:szCs w:val="24"/>
        </w:rPr>
      </w:pPr>
      <w:r>
        <w:rPr>
          <w:rFonts w:hint="eastAsia" w:ascii="宋体" w:hAnsi="宋体" w:eastAsia="宋体" w:cs="Times New Roman"/>
          <w:kern w:val="0"/>
          <w:sz w:val="24"/>
          <w:szCs w:val="24"/>
        </w:rPr>
        <w:t>3、电力现状</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镇区电源来</w:t>
      </w:r>
      <w:r>
        <w:rPr>
          <w:rFonts w:hint="eastAsia" w:ascii="宋体" w:hAnsi="宋体" w:eastAsia="宋体" w:cs="Times New Roman"/>
          <w:kern w:val="0"/>
          <w:sz w:val="24"/>
          <w:szCs w:val="24"/>
        </w:rPr>
        <w:t>35KV永乐变电站</w:t>
      </w:r>
      <w:r>
        <w:rPr>
          <w:rFonts w:ascii="宋体" w:hAnsi="宋体" w:eastAsia="宋体" w:cs="Times New Roman"/>
          <w:kern w:val="0"/>
          <w:sz w:val="24"/>
          <w:szCs w:val="24"/>
        </w:rPr>
        <w:t>。</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（二）给水工程规划</w:t>
      </w:r>
    </w:p>
    <w:p>
      <w:pPr>
        <w:adjustRightInd w:val="0"/>
        <w:snapToGrid w:val="0"/>
        <w:spacing w:line="360" w:lineRule="auto"/>
        <w:ind w:firstLine="480" w:firstLineChars="200"/>
        <w:rPr>
          <w:rFonts w:ascii="宋体" w:hAnsi="宋体" w:eastAsia="宋体" w:cs="Times New Roman"/>
          <w:kern w:val="0"/>
          <w:sz w:val="24"/>
          <w:szCs w:val="24"/>
        </w:rPr>
      </w:pPr>
      <w:r>
        <w:rPr>
          <w:rFonts w:hint="eastAsia" w:ascii="宋体" w:hAnsi="宋体" w:eastAsia="宋体" w:cs="Times New Roman"/>
          <w:kern w:val="0"/>
          <w:sz w:val="24"/>
          <w:szCs w:val="24"/>
        </w:rPr>
        <w:t>1、用水量预测</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根据规划预测，</w:t>
      </w:r>
      <w:r>
        <w:rPr>
          <w:rFonts w:hint="eastAsia" w:ascii="宋体" w:hAnsi="宋体" w:eastAsia="宋体" w:cs="Times New Roman"/>
          <w:kern w:val="0"/>
          <w:sz w:val="24"/>
          <w:szCs w:val="24"/>
        </w:rPr>
        <w:t>象山</w:t>
      </w:r>
      <w:r>
        <w:rPr>
          <w:rFonts w:ascii="宋体" w:hAnsi="宋体" w:eastAsia="宋体" w:cs="Times New Roman"/>
          <w:kern w:val="0"/>
          <w:sz w:val="24"/>
          <w:szCs w:val="24"/>
        </w:rPr>
        <w:t>镇区远期规划常住人口为</w:t>
      </w:r>
      <w:r>
        <w:rPr>
          <w:rFonts w:hint="eastAsia" w:ascii="宋体" w:hAnsi="宋体" w:eastAsia="宋体" w:cs="Times New Roman"/>
          <w:kern w:val="0"/>
          <w:sz w:val="24"/>
          <w:szCs w:val="24"/>
        </w:rPr>
        <w:t>0.65</w:t>
      </w:r>
      <w:r>
        <w:rPr>
          <w:rFonts w:ascii="宋体" w:hAnsi="宋体" w:eastAsia="宋体" w:cs="Times New Roman"/>
          <w:kern w:val="0"/>
          <w:sz w:val="24"/>
          <w:szCs w:val="24"/>
        </w:rPr>
        <w:t>万人，综合用水量指标为</w:t>
      </w:r>
      <w:r>
        <w:rPr>
          <w:rFonts w:eastAsia="宋体" w:cs="Times New Roman" w:asciiTheme="minorEastAsia" w:hAnsiTheme="minorEastAsia"/>
          <w:kern w:val="0"/>
          <w:sz w:val="24"/>
          <w:szCs w:val="24"/>
        </w:rPr>
        <w:t>0.20吨/（人·日）</w:t>
      </w:r>
      <w:r>
        <w:rPr>
          <w:rFonts w:ascii="宋体" w:hAnsi="宋体" w:eastAsia="宋体" w:cs="Times New Roman"/>
          <w:kern w:val="0"/>
          <w:sz w:val="24"/>
          <w:szCs w:val="24"/>
        </w:rPr>
        <w:t>，则最高日用水量为</w:t>
      </w:r>
      <w:r>
        <w:rPr>
          <w:rFonts w:hint="eastAsia" w:ascii="宋体" w:hAnsi="宋体" w:eastAsia="宋体" w:cs="Times New Roman"/>
          <w:kern w:val="0"/>
          <w:sz w:val="24"/>
          <w:szCs w:val="24"/>
        </w:rPr>
        <w:t>0.13</w:t>
      </w:r>
      <w:r>
        <w:rPr>
          <w:rFonts w:ascii="宋体" w:hAnsi="宋体" w:eastAsia="宋体" w:cs="Times New Roman"/>
          <w:kern w:val="0"/>
          <w:sz w:val="24"/>
          <w:szCs w:val="24"/>
        </w:rPr>
        <w:t>万吨/日。</w:t>
      </w:r>
    </w:p>
    <w:p>
      <w:pPr>
        <w:adjustRightInd w:val="0"/>
        <w:snapToGrid w:val="0"/>
        <w:spacing w:line="360" w:lineRule="auto"/>
        <w:ind w:firstLine="480" w:firstLineChars="200"/>
        <w:rPr>
          <w:rFonts w:ascii="宋体" w:hAnsi="宋体" w:eastAsia="宋体" w:cs="Times New Roman"/>
          <w:kern w:val="0"/>
          <w:sz w:val="24"/>
          <w:szCs w:val="24"/>
        </w:rPr>
      </w:pPr>
      <w:r>
        <w:rPr>
          <w:rFonts w:hint="eastAsia" w:ascii="宋体" w:hAnsi="宋体" w:eastAsia="宋体" w:cs="Times New Roman"/>
          <w:kern w:val="0"/>
          <w:sz w:val="24"/>
          <w:szCs w:val="24"/>
        </w:rPr>
        <w:t>2、水厂及水源</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落实衔接县级国土空间总体规划和专项规划的要求，由</w:t>
      </w:r>
      <w:r>
        <w:rPr>
          <w:rFonts w:hint="eastAsia" w:ascii="宋体" w:hAnsi="宋体" w:eastAsia="宋体" w:cs="Times New Roman"/>
          <w:kern w:val="0"/>
          <w:sz w:val="24"/>
          <w:szCs w:val="24"/>
        </w:rPr>
        <w:t>寸塘口</w:t>
      </w:r>
      <w:r>
        <w:rPr>
          <w:rFonts w:ascii="宋体" w:hAnsi="宋体" w:eastAsia="宋体" w:cs="Times New Roman"/>
          <w:kern w:val="0"/>
          <w:sz w:val="24"/>
          <w:szCs w:val="24"/>
        </w:rPr>
        <w:t>水库作为</w:t>
      </w:r>
      <w:r>
        <w:rPr>
          <w:rFonts w:hint="eastAsia" w:ascii="宋体" w:hAnsi="宋体" w:eastAsia="宋体" w:cs="Times New Roman"/>
          <w:kern w:val="0"/>
          <w:sz w:val="24"/>
          <w:szCs w:val="24"/>
        </w:rPr>
        <w:t>象山镇</w:t>
      </w:r>
      <w:r>
        <w:rPr>
          <w:rFonts w:ascii="宋体" w:hAnsi="宋体" w:eastAsia="宋体" w:cs="Times New Roman"/>
          <w:kern w:val="0"/>
          <w:sz w:val="24"/>
          <w:szCs w:val="24"/>
        </w:rPr>
        <w:t>水源统一供水，现状桥头供水站可以满足镇区远期供水要求</w:t>
      </w:r>
      <w:r>
        <w:rPr>
          <w:rFonts w:hint="eastAsia" w:ascii="宋体" w:hAnsi="宋体" w:eastAsia="宋体" w:cs="Times New Roman"/>
          <w:kern w:val="0"/>
          <w:sz w:val="24"/>
          <w:szCs w:val="24"/>
        </w:rPr>
        <w:t>，</w:t>
      </w:r>
      <w:r>
        <w:rPr>
          <w:rFonts w:ascii="宋体" w:hAnsi="宋体" w:eastAsia="宋体" w:cs="Times New Roman"/>
          <w:kern w:val="0"/>
          <w:sz w:val="24"/>
          <w:szCs w:val="24"/>
        </w:rPr>
        <w:t>不需要对供水站规模进行扩建</w:t>
      </w:r>
      <w:r>
        <w:rPr>
          <w:rFonts w:hint="eastAsia" w:ascii="宋体" w:hAnsi="宋体" w:eastAsia="宋体" w:cs="Times New Roman"/>
          <w:kern w:val="0"/>
          <w:sz w:val="24"/>
          <w:szCs w:val="24"/>
        </w:rPr>
        <w:t>，</w:t>
      </w:r>
      <w:r>
        <w:rPr>
          <w:rFonts w:ascii="宋体" w:hAnsi="宋体" w:eastAsia="宋体" w:cs="Times New Roman"/>
          <w:kern w:val="0"/>
          <w:sz w:val="24"/>
          <w:szCs w:val="24"/>
        </w:rPr>
        <w:t>但需要对其进行品质提升</w:t>
      </w:r>
      <w:r>
        <w:rPr>
          <w:rFonts w:hint="eastAsia" w:ascii="宋体" w:hAnsi="宋体" w:eastAsia="宋体" w:cs="Times New Roman"/>
          <w:kern w:val="0"/>
          <w:sz w:val="24"/>
          <w:szCs w:val="24"/>
        </w:rPr>
        <w:t>。</w:t>
      </w:r>
    </w:p>
    <w:p>
      <w:pPr>
        <w:adjustRightInd w:val="0"/>
        <w:snapToGrid w:val="0"/>
        <w:spacing w:line="360" w:lineRule="auto"/>
        <w:ind w:firstLine="480" w:firstLineChars="200"/>
        <w:rPr>
          <w:rFonts w:ascii="宋体" w:hAnsi="宋体" w:eastAsia="宋体" w:cs="Times New Roman"/>
          <w:kern w:val="0"/>
          <w:sz w:val="24"/>
          <w:szCs w:val="24"/>
        </w:rPr>
      </w:pPr>
      <w:r>
        <w:rPr>
          <w:rFonts w:hint="eastAsia" w:ascii="宋体" w:hAnsi="宋体" w:eastAsia="宋体" w:cs="Times New Roman"/>
          <w:kern w:val="0"/>
          <w:sz w:val="24"/>
          <w:szCs w:val="24"/>
        </w:rPr>
        <w:t>3、供水管网</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规划沿</w:t>
      </w:r>
      <w:r>
        <w:rPr>
          <w:rFonts w:hint="eastAsia" w:ascii="宋体" w:hAnsi="宋体" w:eastAsia="宋体" w:cs="Times New Roman"/>
          <w:kern w:val="0"/>
          <w:sz w:val="24"/>
          <w:szCs w:val="24"/>
        </w:rPr>
        <w:t>镇区</w:t>
      </w:r>
      <w:r>
        <w:rPr>
          <w:rFonts w:ascii="宋体" w:hAnsi="宋体" w:eastAsia="宋体" w:cs="Times New Roman"/>
          <w:kern w:val="0"/>
          <w:sz w:val="24"/>
          <w:szCs w:val="24"/>
        </w:rPr>
        <w:t>道路敷设</w:t>
      </w:r>
      <w:r>
        <w:rPr>
          <w:rFonts w:hint="eastAsia" w:ascii="宋体" w:hAnsi="宋体" w:eastAsia="宋体" w:cs="Times New Roman"/>
          <w:kern w:val="0"/>
          <w:sz w:val="24"/>
          <w:szCs w:val="24"/>
        </w:rPr>
        <w:t>DN110-DN160给水管网</w:t>
      </w:r>
      <w:r>
        <w:rPr>
          <w:rFonts w:ascii="宋体" w:hAnsi="宋体" w:eastAsia="宋体" w:cs="Times New Roman"/>
          <w:kern w:val="0"/>
          <w:sz w:val="24"/>
          <w:szCs w:val="24"/>
        </w:rPr>
        <w:t>，形成“环状+放射线”的给水管网布局</w:t>
      </w:r>
      <w:r>
        <w:rPr>
          <w:rFonts w:hint="eastAsia" w:ascii="宋体" w:hAnsi="宋体" w:eastAsia="宋体" w:cs="Times New Roman"/>
          <w:kern w:val="0"/>
          <w:sz w:val="24"/>
          <w:szCs w:val="24"/>
        </w:rPr>
        <w:t>，</w:t>
      </w:r>
      <w:r>
        <w:rPr>
          <w:rFonts w:ascii="宋体" w:hAnsi="宋体" w:eastAsia="宋体" w:cs="Times New Roman"/>
          <w:kern w:val="0"/>
          <w:sz w:val="24"/>
          <w:szCs w:val="24"/>
        </w:rPr>
        <w:t>形成“</w:t>
      </w:r>
      <w:r>
        <w:rPr>
          <w:rFonts w:hint="eastAsia" w:ascii="宋体" w:hAnsi="宋体" w:eastAsia="宋体" w:cs="Times New Roman"/>
          <w:kern w:val="0"/>
          <w:sz w:val="24"/>
          <w:szCs w:val="24"/>
        </w:rPr>
        <w:t>三横</w:t>
      </w:r>
      <w:r>
        <w:rPr>
          <w:rFonts w:ascii="宋体" w:hAnsi="宋体" w:eastAsia="宋体" w:cs="Times New Roman"/>
          <w:kern w:val="0"/>
          <w:sz w:val="24"/>
          <w:szCs w:val="24"/>
        </w:rPr>
        <w:t>、</w:t>
      </w:r>
      <w:r>
        <w:rPr>
          <w:rFonts w:hint="eastAsia" w:ascii="宋体" w:hAnsi="宋体" w:eastAsia="宋体" w:cs="Times New Roman"/>
          <w:kern w:val="0"/>
          <w:sz w:val="24"/>
          <w:szCs w:val="24"/>
        </w:rPr>
        <w:t>一</w:t>
      </w:r>
      <w:r>
        <w:rPr>
          <w:rFonts w:ascii="宋体" w:hAnsi="宋体" w:eastAsia="宋体" w:cs="Times New Roman"/>
          <w:kern w:val="0"/>
          <w:sz w:val="24"/>
          <w:szCs w:val="24"/>
        </w:rPr>
        <w:t>纵”的给水环状管网，主干给水管网互联互通。在现状基础上完善规划范围供水管网，结合用地布局调整和道路改造，改造老旧管网，提高供水管网安全性，并通过引入现代化管理技术，全面降低管网漏损。</w:t>
      </w:r>
    </w:p>
    <w:p>
      <w:pPr>
        <w:adjustRightInd w:val="0"/>
        <w:snapToGrid w:val="0"/>
        <w:spacing w:line="360" w:lineRule="auto"/>
        <w:ind w:firstLine="480" w:firstLineChars="200"/>
        <w:rPr>
          <w:rFonts w:ascii="宋体" w:hAnsi="宋体" w:eastAsia="宋体" w:cs="Times New Roman"/>
          <w:kern w:val="0"/>
          <w:sz w:val="24"/>
          <w:szCs w:val="24"/>
        </w:rPr>
      </w:pPr>
      <w:r>
        <w:rPr>
          <w:rFonts w:hint="eastAsia" w:ascii="宋体" w:hAnsi="宋体" w:eastAsia="宋体" w:cs="Times New Roman"/>
          <w:kern w:val="0"/>
          <w:sz w:val="24"/>
          <w:szCs w:val="24"/>
        </w:rPr>
        <w:t>4、消防用水</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镇区消防水量按火灾同时发生次数1次，1小时延时，一次灭火消防流量为20升/秒考虑。市政给水管沿线按规定间距设置消火栓，消火栓间距不应大于120</w:t>
      </w:r>
      <w:r>
        <w:rPr>
          <w:rFonts w:hint="eastAsia" w:ascii="宋体" w:hAnsi="宋体" w:eastAsia="宋体" w:cs="Times New Roman"/>
          <w:kern w:val="0"/>
          <w:sz w:val="24"/>
          <w:szCs w:val="24"/>
        </w:rPr>
        <w:t>米</w:t>
      </w:r>
      <w:r>
        <w:rPr>
          <w:rFonts w:ascii="宋体" w:hAnsi="宋体" w:eastAsia="宋体" w:cs="Times New Roman"/>
          <w:kern w:val="0"/>
          <w:sz w:val="24"/>
          <w:szCs w:val="24"/>
        </w:rPr>
        <w:t>，保护半径不超过150</w:t>
      </w:r>
      <w:r>
        <w:rPr>
          <w:rFonts w:hint="eastAsia" w:ascii="宋体" w:hAnsi="宋体" w:eastAsia="宋体" w:cs="Times New Roman"/>
          <w:kern w:val="0"/>
          <w:sz w:val="24"/>
          <w:szCs w:val="24"/>
        </w:rPr>
        <w:t>米</w:t>
      </w:r>
      <w:r>
        <w:rPr>
          <w:rFonts w:ascii="宋体" w:hAnsi="宋体" w:eastAsia="宋体" w:cs="Times New Roman"/>
          <w:kern w:val="0"/>
          <w:sz w:val="24"/>
          <w:szCs w:val="24"/>
        </w:rPr>
        <w:t>，并在道路交叉口保证有一处消火栓。</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（三）排水工程规划</w:t>
      </w:r>
    </w:p>
    <w:p>
      <w:pPr>
        <w:adjustRightInd w:val="0"/>
        <w:snapToGrid w:val="0"/>
        <w:spacing w:line="360" w:lineRule="auto"/>
        <w:ind w:firstLine="480" w:firstLineChars="200"/>
        <w:rPr>
          <w:rFonts w:ascii="宋体" w:hAnsi="宋体" w:eastAsia="宋体" w:cs="Times New Roman"/>
          <w:kern w:val="0"/>
          <w:sz w:val="24"/>
          <w:szCs w:val="24"/>
        </w:rPr>
      </w:pPr>
      <w:r>
        <w:rPr>
          <w:rFonts w:hint="eastAsia" w:ascii="宋体" w:hAnsi="宋体" w:eastAsia="宋体" w:cs="Times New Roman"/>
          <w:kern w:val="0"/>
          <w:sz w:val="24"/>
          <w:szCs w:val="24"/>
        </w:rPr>
        <w:t>1、排水体制</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规划镇区采用雨、污分流制。</w:t>
      </w:r>
    </w:p>
    <w:p>
      <w:pPr>
        <w:adjustRightInd w:val="0"/>
        <w:snapToGrid w:val="0"/>
        <w:spacing w:line="360" w:lineRule="auto"/>
        <w:ind w:firstLine="480" w:firstLineChars="200"/>
        <w:rPr>
          <w:rFonts w:ascii="宋体" w:hAnsi="宋体" w:eastAsia="宋体" w:cs="Times New Roman"/>
          <w:kern w:val="0"/>
          <w:sz w:val="24"/>
          <w:szCs w:val="24"/>
        </w:rPr>
      </w:pPr>
      <w:r>
        <w:rPr>
          <w:rFonts w:hint="eastAsia" w:ascii="宋体" w:hAnsi="宋体" w:eastAsia="宋体" w:cs="Times New Roman"/>
          <w:kern w:val="0"/>
          <w:sz w:val="24"/>
          <w:szCs w:val="24"/>
        </w:rPr>
        <w:t>2、雨水工程</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保留原有路线。规划沿</w:t>
      </w:r>
      <w:r>
        <w:rPr>
          <w:rFonts w:hint="eastAsia" w:ascii="宋体" w:hAnsi="宋体" w:eastAsia="宋体" w:cs="Times New Roman"/>
          <w:kern w:val="0"/>
          <w:sz w:val="24"/>
          <w:szCs w:val="24"/>
        </w:rPr>
        <w:t>交通下街、交通上街、滨江路</w:t>
      </w:r>
      <w:r>
        <w:rPr>
          <w:rFonts w:ascii="宋体" w:hAnsi="宋体" w:eastAsia="宋体" w:cs="Times New Roman"/>
          <w:kern w:val="0"/>
          <w:sz w:val="24"/>
          <w:szCs w:val="24"/>
        </w:rPr>
        <w:t>布局管径DN600</w:t>
      </w:r>
      <w:r>
        <w:rPr>
          <w:rFonts w:hint="eastAsia" w:ascii="宋体" w:hAnsi="宋体" w:eastAsia="宋体" w:cs="Times New Roman"/>
          <w:kern w:val="0"/>
          <w:sz w:val="24"/>
          <w:szCs w:val="24"/>
        </w:rPr>
        <w:t>，沿富乐街</w:t>
      </w:r>
      <w:r>
        <w:rPr>
          <w:rFonts w:ascii="宋体" w:hAnsi="宋体" w:eastAsia="宋体" w:cs="Times New Roman"/>
          <w:kern w:val="0"/>
          <w:sz w:val="24"/>
          <w:szCs w:val="24"/>
        </w:rPr>
        <w:t>，交通中街片区路网</w:t>
      </w:r>
      <w:r>
        <w:rPr>
          <w:rFonts w:hint="eastAsia" w:ascii="宋体" w:hAnsi="宋体" w:eastAsia="宋体" w:cs="Times New Roman"/>
          <w:kern w:val="0"/>
          <w:sz w:val="24"/>
          <w:szCs w:val="24"/>
        </w:rPr>
        <w:t>（原驾校片区）</w:t>
      </w:r>
      <w:r>
        <w:rPr>
          <w:rFonts w:ascii="宋体" w:hAnsi="宋体" w:eastAsia="宋体" w:cs="Times New Roman"/>
          <w:kern w:val="0"/>
          <w:sz w:val="24"/>
          <w:szCs w:val="24"/>
        </w:rPr>
        <w:t>正东街</w:t>
      </w:r>
      <w:r>
        <w:rPr>
          <w:rFonts w:hint="eastAsia" w:ascii="宋体" w:hAnsi="宋体" w:eastAsia="宋体" w:cs="Times New Roman"/>
          <w:kern w:val="0"/>
          <w:sz w:val="24"/>
          <w:szCs w:val="24"/>
        </w:rPr>
        <w:t>，顺河街</w:t>
      </w:r>
      <w:r>
        <w:rPr>
          <w:rFonts w:ascii="宋体" w:hAnsi="宋体" w:eastAsia="宋体" w:cs="Times New Roman"/>
          <w:kern w:val="0"/>
          <w:sz w:val="24"/>
          <w:szCs w:val="24"/>
        </w:rPr>
        <w:t>规划管径DN500，沿</w:t>
      </w:r>
      <w:r>
        <w:rPr>
          <w:rFonts w:hint="eastAsia" w:ascii="宋体" w:hAnsi="宋体" w:eastAsia="宋体" w:cs="Times New Roman"/>
          <w:kern w:val="0"/>
          <w:sz w:val="24"/>
          <w:szCs w:val="24"/>
        </w:rPr>
        <w:t>规划</w:t>
      </w:r>
      <w:r>
        <w:rPr>
          <w:rFonts w:ascii="宋体" w:hAnsi="宋体" w:eastAsia="宋体" w:cs="Times New Roman"/>
          <w:kern w:val="0"/>
          <w:sz w:val="24"/>
          <w:szCs w:val="24"/>
        </w:rPr>
        <w:t>派出所周边路网规划管径DN</w:t>
      </w:r>
      <w:r>
        <w:rPr>
          <w:rFonts w:hint="eastAsia" w:ascii="宋体" w:hAnsi="宋体" w:eastAsia="宋体" w:cs="Times New Roman"/>
          <w:kern w:val="0"/>
          <w:sz w:val="24"/>
          <w:szCs w:val="24"/>
        </w:rPr>
        <w:t>30</w:t>
      </w:r>
      <w:r>
        <w:rPr>
          <w:rFonts w:ascii="宋体" w:hAnsi="宋体" w:eastAsia="宋体" w:cs="Times New Roman"/>
          <w:kern w:val="0"/>
          <w:sz w:val="24"/>
          <w:szCs w:val="24"/>
        </w:rPr>
        <w:t>0</w:t>
      </w:r>
      <w:r>
        <w:rPr>
          <w:rFonts w:hint="eastAsia" w:ascii="宋体" w:hAnsi="宋体" w:eastAsia="宋体" w:cs="Times New Roman"/>
          <w:kern w:val="0"/>
          <w:sz w:val="24"/>
          <w:szCs w:val="24"/>
        </w:rPr>
        <w:t>。</w:t>
      </w:r>
      <w:r>
        <w:rPr>
          <w:rFonts w:ascii="宋体" w:hAnsi="宋体" w:eastAsia="宋体" w:cs="Times New Roman"/>
          <w:kern w:val="0"/>
          <w:sz w:val="24"/>
          <w:szCs w:val="24"/>
        </w:rPr>
        <w:t>雨水系统布置充分利用地形，结合分散就近排放的原则，根据地形特点和雨水汇流方向，保证雨水管渠以最短路线就近排入周边水体。</w:t>
      </w:r>
    </w:p>
    <w:p>
      <w:pPr>
        <w:adjustRightInd w:val="0"/>
        <w:snapToGrid w:val="0"/>
        <w:spacing w:line="360" w:lineRule="auto"/>
        <w:ind w:firstLine="480" w:firstLineChars="200"/>
        <w:rPr>
          <w:rFonts w:ascii="宋体" w:hAnsi="宋体" w:eastAsia="宋体" w:cs="Times New Roman"/>
          <w:kern w:val="0"/>
          <w:sz w:val="24"/>
          <w:szCs w:val="24"/>
        </w:rPr>
      </w:pPr>
      <w:r>
        <w:rPr>
          <w:rFonts w:hint="eastAsia" w:ascii="宋体" w:hAnsi="宋体" w:eastAsia="宋体" w:cs="Times New Roman"/>
          <w:kern w:val="0"/>
          <w:sz w:val="24"/>
          <w:szCs w:val="24"/>
        </w:rPr>
        <w:t>3、污水工程</w:t>
      </w:r>
    </w:p>
    <w:p>
      <w:pPr>
        <w:adjustRightInd w:val="0"/>
        <w:snapToGrid w:val="0"/>
        <w:spacing w:line="360" w:lineRule="auto"/>
        <w:ind w:firstLine="480" w:firstLineChars="200"/>
        <w:rPr>
          <w:rFonts w:ascii="宋体" w:hAnsi="宋体" w:eastAsia="宋体" w:cs="Times New Roman"/>
          <w:b/>
          <w:kern w:val="0"/>
          <w:sz w:val="24"/>
          <w:szCs w:val="24"/>
          <w:u w:val="single"/>
        </w:rPr>
      </w:pPr>
      <w:r>
        <w:rPr>
          <w:rFonts w:ascii="宋体" w:hAnsi="宋体" w:eastAsia="宋体" w:cs="Times New Roman"/>
          <w:kern w:val="0"/>
          <w:sz w:val="24"/>
          <w:szCs w:val="24"/>
        </w:rPr>
        <w:t>规划镇区综合生活污水排放系数取</w:t>
      </w:r>
      <w:r>
        <w:rPr>
          <w:rFonts w:hint="eastAsia" w:ascii="宋体" w:hAnsi="宋体" w:eastAsia="宋体" w:cs="Times New Roman"/>
          <w:kern w:val="0"/>
          <w:sz w:val="24"/>
          <w:szCs w:val="24"/>
        </w:rPr>
        <w:t>0.80</w:t>
      </w:r>
      <w:r>
        <w:rPr>
          <w:rFonts w:ascii="宋体" w:hAnsi="宋体" w:eastAsia="宋体" w:cs="Times New Roman"/>
          <w:kern w:val="0"/>
          <w:sz w:val="24"/>
          <w:szCs w:val="24"/>
        </w:rPr>
        <w:t>，污水处理率取100%，镇区远期均日污水量约为</w:t>
      </w:r>
      <w:r>
        <w:rPr>
          <w:rFonts w:hint="eastAsia" w:ascii="宋体" w:hAnsi="宋体" w:eastAsia="宋体" w:cs="Times New Roman"/>
          <w:kern w:val="0"/>
          <w:sz w:val="24"/>
          <w:szCs w:val="24"/>
        </w:rPr>
        <w:t>0.11</w:t>
      </w:r>
      <w:r>
        <w:rPr>
          <w:rFonts w:ascii="宋体" w:hAnsi="宋体" w:eastAsia="宋体" w:cs="Times New Roman"/>
          <w:kern w:val="0"/>
          <w:sz w:val="24"/>
          <w:szCs w:val="24"/>
        </w:rPr>
        <w:t>万吨/日。规划对象山污水处理厂进行</w:t>
      </w:r>
      <w:r>
        <w:rPr>
          <w:rFonts w:hint="eastAsia" w:ascii="宋体" w:hAnsi="宋体" w:eastAsia="宋体" w:cs="Times New Roman"/>
          <w:kern w:val="0"/>
          <w:sz w:val="24"/>
          <w:szCs w:val="24"/>
        </w:rPr>
        <w:t>扩容</w:t>
      </w:r>
      <w:r>
        <w:rPr>
          <w:rFonts w:ascii="宋体" w:hAnsi="宋体" w:eastAsia="宋体" w:cs="Times New Roman"/>
          <w:kern w:val="0"/>
          <w:sz w:val="24"/>
          <w:szCs w:val="24"/>
        </w:rPr>
        <w:t>，处理规模</w:t>
      </w:r>
      <w:r>
        <w:rPr>
          <w:rFonts w:hint="eastAsia" w:ascii="宋体" w:hAnsi="宋体" w:eastAsia="宋体" w:cs="Times New Roman"/>
          <w:kern w:val="0"/>
          <w:sz w:val="24"/>
          <w:szCs w:val="24"/>
        </w:rPr>
        <w:t>提升</w:t>
      </w:r>
      <w:r>
        <w:rPr>
          <w:rFonts w:ascii="宋体" w:hAnsi="宋体" w:eastAsia="宋体" w:cs="Times New Roman"/>
          <w:kern w:val="0"/>
          <w:sz w:val="24"/>
          <w:szCs w:val="24"/>
        </w:rPr>
        <w:t>至</w:t>
      </w:r>
      <w:r>
        <w:rPr>
          <w:rFonts w:hint="eastAsia" w:ascii="宋体" w:hAnsi="宋体" w:eastAsia="宋体" w:cs="Times New Roman"/>
          <w:kern w:val="0"/>
          <w:sz w:val="24"/>
          <w:szCs w:val="24"/>
        </w:rPr>
        <w:t>2000</w:t>
      </w:r>
      <w:r>
        <w:rPr>
          <w:rFonts w:ascii="宋体" w:hAnsi="宋体" w:eastAsia="宋体" w:cs="Times New Roman"/>
          <w:kern w:val="0"/>
          <w:sz w:val="24"/>
          <w:szCs w:val="24"/>
        </w:rPr>
        <w:t>吨/日</w:t>
      </w:r>
      <w:r>
        <w:rPr>
          <w:rFonts w:hint="eastAsia" w:ascii="宋体" w:hAnsi="宋体" w:eastAsia="宋体" w:cs="Times New Roman"/>
          <w:kern w:val="0"/>
          <w:sz w:val="24"/>
          <w:szCs w:val="24"/>
        </w:rPr>
        <w:t>。</w:t>
      </w:r>
      <w:r>
        <w:rPr>
          <w:rFonts w:ascii="宋体" w:hAnsi="宋体" w:eastAsia="宋体" w:cs="Times New Roman"/>
          <w:b/>
          <w:kern w:val="0"/>
          <w:sz w:val="24"/>
          <w:szCs w:val="24"/>
          <w:u w:val="single"/>
        </w:rPr>
        <w:t>综合生活污水和工业废水排入城镇污水系统的水质应符合《污水排入城镇下水道水质标准</w:t>
      </w:r>
      <w:r>
        <w:rPr>
          <w:rFonts w:hint="eastAsia" w:ascii="宋体" w:hAnsi="宋体" w:eastAsia="宋体" w:cs="Times New Roman"/>
          <w:b/>
          <w:kern w:val="0"/>
          <w:sz w:val="24"/>
          <w:szCs w:val="24"/>
          <w:u w:val="single"/>
        </w:rPr>
        <w:t>（</w:t>
      </w:r>
      <w:r>
        <w:rPr>
          <w:rFonts w:ascii="宋体" w:hAnsi="宋体" w:eastAsia="宋体" w:cs="Times New Roman"/>
          <w:b/>
          <w:kern w:val="0"/>
          <w:sz w:val="24"/>
          <w:szCs w:val="24"/>
          <w:u w:val="single"/>
        </w:rPr>
        <w:t>GB/</w:t>
      </w:r>
      <w:r>
        <w:rPr>
          <w:rFonts w:hint="eastAsia" w:ascii="宋体" w:hAnsi="宋体" w:eastAsia="宋体" w:cs="Times New Roman"/>
          <w:b/>
          <w:kern w:val="0"/>
          <w:sz w:val="24"/>
          <w:szCs w:val="24"/>
          <w:u w:val="single"/>
        </w:rPr>
        <w:t>T</w:t>
      </w:r>
      <w:r>
        <w:rPr>
          <w:rFonts w:ascii="宋体" w:hAnsi="宋体" w:eastAsia="宋体" w:cs="Times New Roman"/>
          <w:b/>
          <w:kern w:val="0"/>
          <w:sz w:val="24"/>
          <w:szCs w:val="24"/>
          <w:u w:val="single"/>
        </w:rPr>
        <w:t>31962-2015</w:t>
      </w:r>
      <w:r>
        <w:rPr>
          <w:rFonts w:hint="eastAsia" w:ascii="宋体" w:hAnsi="宋体" w:eastAsia="宋体" w:cs="Times New Roman"/>
          <w:b/>
          <w:kern w:val="0"/>
          <w:sz w:val="24"/>
          <w:szCs w:val="24"/>
          <w:u w:val="single"/>
        </w:rPr>
        <w:t>）</w:t>
      </w:r>
      <w:r>
        <w:rPr>
          <w:rFonts w:ascii="宋体" w:hAnsi="宋体" w:eastAsia="宋体" w:cs="Times New Roman"/>
          <w:b/>
          <w:kern w:val="0"/>
          <w:sz w:val="24"/>
          <w:szCs w:val="24"/>
          <w:u w:val="single"/>
        </w:rPr>
        <w:t>》的要求</w:t>
      </w:r>
      <w:r>
        <w:rPr>
          <w:rFonts w:hint="eastAsia" w:ascii="宋体" w:hAnsi="宋体" w:eastAsia="宋体" w:cs="Times New Roman"/>
          <w:b/>
          <w:kern w:val="0"/>
          <w:sz w:val="24"/>
          <w:szCs w:val="24"/>
          <w:u w:val="single"/>
        </w:rPr>
        <w:t>，污水处理站处理后排放标准不低于《城镇污水处理厂污染物排放标准》中的一级</w:t>
      </w:r>
      <w:r>
        <w:rPr>
          <w:rFonts w:ascii="宋体" w:hAnsi="宋体" w:eastAsia="宋体" w:cs="Times New Roman"/>
          <w:b/>
          <w:kern w:val="0"/>
          <w:sz w:val="24"/>
          <w:szCs w:val="24"/>
          <w:u w:val="single"/>
        </w:rPr>
        <w:t xml:space="preserve">A </w:t>
      </w:r>
      <w:r>
        <w:rPr>
          <w:rFonts w:hint="eastAsia" w:ascii="宋体" w:hAnsi="宋体" w:eastAsia="宋体" w:cs="Times New Roman"/>
          <w:b/>
          <w:kern w:val="0"/>
          <w:sz w:val="24"/>
          <w:szCs w:val="24"/>
          <w:u w:val="single"/>
        </w:rPr>
        <w:t>标准</w:t>
      </w:r>
      <w:r>
        <w:rPr>
          <w:rFonts w:ascii="宋体" w:hAnsi="宋体" w:eastAsia="宋体" w:cs="Times New Roman"/>
          <w:b/>
          <w:kern w:val="0"/>
          <w:sz w:val="24"/>
          <w:szCs w:val="24"/>
          <w:u w:val="single"/>
        </w:rPr>
        <w:t>，并满足水环境功能区划对受纳水体环境质量的控制要求。</w:t>
      </w:r>
    </w:p>
    <w:p>
      <w:pPr>
        <w:adjustRightInd w:val="0"/>
        <w:snapToGrid w:val="0"/>
        <w:spacing w:line="360" w:lineRule="auto"/>
        <w:ind w:firstLine="480" w:firstLineChars="200"/>
        <w:rPr>
          <w:rFonts w:ascii="宋体" w:hAnsi="宋体" w:eastAsia="宋体" w:cs="Times New Roman"/>
          <w:kern w:val="0"/>
          <w:sz w:val="24"/>
          <w:szCs w:val="24"/>
        </w:rPr>
      </w:pPr>
      <w:r>
        <w:rPr>
          <w:rFonts w:hint="eastAsia" w:ascii="宋体" w:hAnsi="宋体" w:eastAsia="宋体" w:cs="Times New Roman"/>
          <w:kern w:val="0"/>
          <w:sz w:val="24"/>
          <w:szCs w:val="24"/>
        </w:rPr>
        <w:t>4、污水管网规划</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保留原有</w:t>
      </w:r>
      <w:r>
        <w:rPr>
          <w:rFonts w:hint="eastAsia" w:ascii="宋体" w:hAnsi="宋体" w:eastAsia="宋体" w:cs="Times New Roman"/>
          <w:kern w:val="0"/>
          <w:sz w:val="24"/>
          <w:szCs w:val="24"/>
        </w:rPr>
        <w:t>污水</w:t>
      </w:r>
      <w:r>
        <w:rPr>
          <w:rFonts w:ascii="宋体" w:hAnsi="宋体" w:eastAsia="宋体" w:cs="Times New Roman"/>
          <w:kern w:val="0"/>
          <w:sz w:val="24"/>
          <w:szCs w:val="24"/>
        </w:rPr>
        <w:t>管网。规划管径DN</w:t>
      </w:r>
      <w:r>
        <w:rPr>
          <w:rFonts w:hint="eastAsia" w:ascii="宋体" w:hAnsi="宋体" w:eastAsia="宋体" w:cs="Times New Roman"/>
          <w:kern w:val="0"/>
          <w:sz w:val="24"/>
          <w:szCs w:val="24"/>
        </w:rPr>
        <w:t>5</w:t>
      </w:r>
      <w:r>
        <w:rPr>
          <w:rFonts w:ascii="宋体" w:hAnsi="宋体" w:eastAsia="宋体" w:cs="Times New Roman"/>
          <w:kern w:val="0"/>
          <w:sz w:val="24"/>
          <w:szCs w:val="24"/>
        </w:rPr>
        <w:t>00</w:t>
      </w:r>
      <w:r>
        <w:rPr>
          <w:rFonts w:hint="eastAsia" w:ascii="宋体" w:hAnsi="宋体" w:eastAsia="宋体" w:cs="Times New Roman"/>
          <w:kern w:val="0"/>
          <w:sz w:val="24"/>
          <w:szCs w:val="24"/>
        </w:rPr>
        <w:t>沿滨河路、交通上街敷设，</w:t>
      </w:r>
      <w:r>
        <w:rPr>
          <w:rFonts w:ascii="宋体" w:hAnsi="宋体" w:eastAsia="宋体" w:cs="Times New Roman"/>
          <w:kern w:val="0"/>
          <w:sz w:val="24"/>
          <w:szCs w:val="24"/>
        </w:rPr>
        <w:t>规划管径DN400</w:t>
      </w:r>
      <w:r>
        <w:rPr>
          <w:rFonts w:hint="eastAsia" w:ascii="宋体" w:hAnsi="宋体" w:eastAsia="宋体" w:cs="Times New Roman"/>
          <w:kern w:val="0"/>
          <w:sz w:val="24"/>
          <w:szCs w:val="24"/>
        </w:rPr>
        <w:t>沿交通</w:t>
      </w:r>
      <w:r>
        <w:rPr>
          <w:rFonts w:ascii="宋体" w:hAnsi="宋体" w:eastAsia="宋体" w:cs="Times New Roman"/>
          <w:kern w:val="0"/>
          <w:sz w:val="24"/>
          <w:szCs w:val="24"/>
        </w:rPr>
        <w:t>下街</w:t>
      </w:r>
      <w:r>
        <w:rPr>
          <w:rFonts w:hint="eastAsia" w:ascii="宋体" w:hAnsi="宋体" w:eastAsia="宋体" w:cs="Times New Roman"/>
          <w:kern w:val="0"/>
          <w:sz w:val="24"/>
          <w:szCs w:val="24"/>
        </w:rPr>
        <w:t>、</w:t>
      </w:r>
      <w:r>
        <w:rPr>
          <w:rFonts w:ascii="宋体" w:hAnsi="宋体" w:eastAsia="宋体" w:cs="Times New Roman"/>
          <w:kern w:val="0"/>
          <w:sz w:val="24"/>
          <w:szCs w:val="24"/>
        </w:rPr>
        <w:t>顺河街</w:t>
      </w:r>
      <w:r>
        <w:rPr>
          <w:rFonts w:hint="eastAsia" w:ascii="宋体" w:hAnsi="宋体" w:eastAsia="宋体" w:cs="Times New Roman"/>
          <w:kern w:val="0"/>
          <w:sz w:val="24"/>
          <w:szCs w:val="24"/>
        </w:rPr>
        <w:t>、</w:t>
      </w:r>
      <w:r>
        <w:rPr>
          <w:rFonts w:ascii="宋体" w:hAnsi="宋体" w:eastAsia="宋体" w:cs="Times New Roman"/>
          <w:kern w:val="0"/>
          <w:sz w:val="24"/>
          <w:szCs w:val="24"/>
        </w:rPr>
        <w:t>富乐街</w:t>
      </w:r>
      <w:r>
        <w:rPr>
          <w:rFonts w:hint="eastAsia" w:ascii="宋体" w:hAnsi="宋体" w:eastAsia="宋体" w:cs="Times New Roman"/>
          <w:kern w:val="0"/>
          <w:sz w:val="24"/>
          <w:szCs w:val="24"/>
        </w:rPr>
        <w:t>、</w:t>
      </w:r>
      <w:r>
        <w:rPr>
          <w:rFonts w:ascii="宋体" w:hAnsi="宋体" w:eastAsia="宋体" w:cs="Times New Roman"/>
          <w:kern w:val="0"/>
          <w:sz w:val="24"/>
          <w:szCs w:val="24"/>
        </w:rPr>
        <w:t>学校背后敷设。新建的污水管道沿道路敷设，共新建两条主管，八条支管。主管管径为DN500，支管管径为DN400，新规划的污水管网覆盖镇区内所有居民，全镇所有生活污水由象山镇污水处理厂进行处理。</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（四）电力工程规划</w:t>
      </w:r>
    </w:p>
    <w:p>
      <w:pPr>
        <w:adjustRightInd w:val="0"/>
        <w:snapToGrid w:val="0"/>
        <w:spacing w:line="360" w:lineRule="auto"/>
        <w:ind w:firstLine="480" w:firstLineChars="200"/>
        <w:rPr>
          <w:rFonts w:ascii="宋体" w:hAnsi="宋体" w:eastAsia="宋体" w:cs="Times New Roman"/>
          <w:kern w:val="0"/>
          <w:sz w:val="24"/>
          <w:szCs w:val="24"/>
        </w:rPr>
      </w:pPr>
      <w:r>
        <w:rPr>
          <w:rFonts w:hint="eastAsia" w:ascii="宋体" w:hAnsi="宋体" w:eastAsia="宋体" w:cs="Times New Roman"/>
          <w:kern w:val="0"/>
          <w:sz w:val="24"/>
          <w:szCs w:val="24"/>
        </w:rPr>
        <w:t>1、电力负荷预算</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根据规划用地性质，采用分类用地负荷密度法预测本规划区用电负荷，用电指标及负荷预测结果详见下表：</w:t>
      </w:r>
    </w:p>
    <w:tbl>
      <w:tblPr>
        <w:tblStyle w:val="16"/>
        <w:tblW w:w="5000" w:type="pct"/>
        <w:tblInd w:w="0" w:type="dxa"/>
        <w:tblLayout w:type="autofit"/>
        <w:tblCellMar>
          <w:top w:w="0" w:type="dxa"/>
          <w:left w:w="108" w:type="dxa"/>
          <w:bottom w:w="0" w:type="dxa"/>
          <w:right w:w="108" w:type="dxa"/>
        </w:tblCellMar>
      </w:tblPr>
      <w:tblGrid>
        <w:gridCol w:w="1245"/>
        <w:gridCol w:w="3247"/>
        <w:gridCol w:w="1244"/>
        <w:gridCol w:w="1542"/>
        <w:gridCol w:w="1244"/>
      </w:tblGrid>
      <w:tr>
        <w:tblPrEx>
          <w:tblCellMar>
            <w:top w:w="0" w:type="dxa"/>
            <w:left w:w="108" w:type="dxa"/>
            <w:bottom w:w="0" w:type="dxa"/>
            <w:right w:w="108" w:type="dxa"/>
          </w:tblCellMar>
        </w:tblPrEx>
        <w:trPr>
          <w:trHeight w:val="540" w:hRule="atLeast"/>
        </w:trPr>
        <w:tc>
          <w:tcPr>
            <w:tcW w:w="73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序号</w:t>
            </w:r>
          </w:p>
        </w:tc>
        <w:tc>
          <w:tcPr>
            <w:tcW w:w="1905"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用地名称</w:t>
            </w:r>
          </w:p>
        </w:tc>
        <w:tc>
          <w:tcPr>
            <w:tcW w:w="730"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规划面积</w:t>
            </w:r>
            <w:r>
              <w:rPr>
                <w:rFonts w:hint="eastAsia" w:cs="宋体" w:asciiTheme="minorEastAsia" w:hAnsiTheme="minorEastAsia"/>
                <w:color w:val="000000"/>
                <w:kern w:val="0"/>
                <w:szCs w:val="21"/>
              </w:rPr>
              <w:br w:type="textWrapping"/>
            </w:r>
            <w:r>
              <w:rPr>
                <w:rFonts w:hint="eastAsia" w:cs="宋体" w:asciiTheme="minorEastAsia" w:hAnsiTheme="minorEastAsia"/>
                <w:color w:val="000000"/>
                <w:kern w:val="0"/>
                <w:szCs w:val="21"/>
              </w:rPr>
              <w:t>（ha）</w:t>
            </w:r>
          </w:p>
        </w:tc>
        <w:tc>
          <w:tcPr>
            <w:tcW w:w="905"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用电指标</w:t>
            </w:r>
            <w:r>
              <w:rPr>
                <w:rFonts w:hint="eastAsia" w:cs="宋体" w:asciiTheme="minorEastAsia" w:hAnsiTheme="minorEastAsia"/>
                <w:color w:val="000000"/>
                <w:kern w:val="0"/>
                <w:szCs w:val="21"/>
              </w:rPr>
              <w:br w:type="textWrapping"/>
            </w:r>
            <w:r>
              <w:rPr>
                <w:rFonts w:hint="eastAsia" w:cs="宋体" w:asciiTheme="minorEastAsia" w:hAnsiTheme="minorEastAsia"/>
                <w:color w:val="000000"/>
                <w:kern w:val="0"/>
                <w:szCs w:val="21"/>
              </w:rPr>
              <w:t>（KW/ha）</w:t>
            </w:r>
          </w:p>
        </w:tc>
        <w:tc>
          <w:tcPr>
            <w:tcW w:w="730"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用电负荷</w:t>
            </w:r>
            <w:r>
              <w:rPr>
                <w:rFonts w:hint="eastAsia" w:cs="宋体" w:asciiTheme="minorEastAsia" w:hAnsiTheme="minorEastAsia"/>
                <w:color w:val="000000"/>
                <w:kern w:val="0"/>
                <w:szCs w:val="21"/>
              </w:rPr>
              <w:br w:type="textWrapping"/>
            </w:r>
            <w:r>
              <w:rPr>
                <w:rFonts w:hint="eastAsia" w:cs="宋体" w:asciiTheme="minorEastAsia" w:hAnsiTheme="minorEastAsia"/>
                <w:color w:val="000000"/>
                <w:kern w:val="0"/>
                <w:szCs w:val="21"/>
              </w:rPr>
              <w:t>（KW）</w:t>
            </w:r>
          </w:p>
        </w:tc>
      </w:tr>
      <w:tr>
        <w:tblPrEx>
          <w:tblCellMar>
            <w:top w:w="0" w:type="dxa"/>
            <w:left w:w="108" w:type="dxa"/>
            <w:bottom w:w="0" w:type="dxa"/>
            <w:right w:w="108" w:type="dxa"/>
          </w:tblCellMar>
        </w:tblPrEx>
        <w:trPr>
          <w:trHeight w:val="270" w:hRule="atLeast"/>
        </w:trPr>
        <w:tc>
          <w:tcPr>
            <w:tcW w:w="730"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w:t>
            </w:r>
          </w:p>
        </w:tc>
        <w:tc>
          <w:tcPr>
            <w:tcW w:w="1905"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居住用地</w:t>
            </w:r>
          </w:p>
        </w:tc>
        <w:tc>
          <w:tcPr>
            <w:tcW w:w="73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24.74</w:t>
            </w:r>
          </w:p>
        </w:tc>
        <w:tc>
          <w:tcPr>
            <w:tcW w:w="905"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250</w:t>
            </w:r>
          </w:p>
        </w:tc>
        <w:tc>
          <w:tcPr>
            <w:tcW w:w="730" w:type="pct"/>
            <w:tcBorders>
              <w:top w:val="nil"/>
              <w:left w:val="nil"/>
              <w:bottom w:val="single" w:color="auto" w:sz="4" w:space="0"/>
              <w:right w:val="single" w:color="auto" w:sz="4" w:space="0"/>
            </w:tcBorders>
            <w:shd w:val="clear" w:color="auto" w:fill="auto"/>
            <w:noWrap/>
            <w:vAlign w:val="center"/>
          </w:tcPr>
          <w:p>
            <w:pPr>
              <w:jc w:val="center"/>
              <w:rPr>
                <w:rFonts w:cs="宋体" w:asciiTheme="minorEastAsia" w:hAnsiTheme="minorEastAsia"/>
                <w:color w:val="000000"/>
                <w:kern w:val="0"/>
                <w:szCs w:val="21"/>
              </w:rPr>
            </w:pPr>
            <w:r>
              <w:rPr>
                <w:rFonts w:cs="宋体" w:asciiTheme="minorEastAsia" w:hAnsiTheme="minorEastAsia"/>
                <w:color w:val="000000"/>
                <w:kern w:val="0"/>
                <w:szCs w:val="21"/>
              </w:rPr>
              <w:t>6185</w:t>
            </w:r>
          </w:p>
        </w:tc>
      </w:tr>
      <w:tr>
        <w:tblPrEx>
          <w:tblCellMar>
            <w:top w:w="0" w:type="dxa"/>
            <w:left w:w="108" w:type="dxa"/>
            <w:bottom w:w="0" w:type="dxa"/>
            <w:right w:w="108" w:type="dxa"/>
          </w:tblCellMar>
        </w:tblPrEx>
        <w:trPr>
          <w:trHeight w:val="270" w:hRule="atLeast"/>
        </w:trPr>
        <w:tc>
          <w:tcPr>
            <w:tcW w:w="730"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w:t>
            </w:r>
          </w:p>
        </w:tc>
        <w:tc>
          <w:tcPr>
            <w:tcW w:w="1905"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公共管理与公共服务用地</w:t>
            </w:r>
          </w:p>
        </w:tc>
        <w:tc>
          <w:tcPr>
            <w:tcW w:w="73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9.75</w:t>
            </w:r>
          </w:p>
        </w:tc>
        <w:tc>
          <w:tcPr>
            <w:tcW w:w="905"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300</w:t>
            </w:r>
          </w:p>
        </w:tc>
        <w:tc>
          <w:tcPr>
            <w:tcW w:w="730" w:type="pct"/>
            <w:tcBorders>
              <w:top w:val="nil"/>
              <w:left w:val="nil"/>
              <w:bottom w:val="single" w:color="auto" w:sz="4" w:space="0"/>
              <w:right w:val="single" w:color="auto" w:sz="4" w:space="0"/>
            </w:tcBorders>
            <w:shd w:val="clear" w:color="auto" w:fill="auto"/>
            <w:noWrap/>
            <w:vAlign w:val="center"/>
          </w:tcPr>
          <w:p>
            <w:pPr>
              <w:jc w:val="center"/>
              <w:rPr>
                <w:rFonts w:cs="宋体" w:asciiTheme="minorEastAsia" w:hAnsiTheme="minorEastAsia"/>
                <w:color w:val="000000"/>
                <w:kern w:val="0"/>
                <w:szCs w:val="21"/>
              </w:rPr>
            </w:pPr>
            <w:r>
              <w:rPr>
                <w:rFonts w:cs="宋体" w:asciiTheme="minorEastAsia" w:hAnsiTheme="minorEastAsia"/>
                <w:color w:val="000000"/>
                <w:kern w:val="0"/>
                <w:szCs w:val="21"/>
              </w:rPr>
              <w:t>2925</w:t>
            </w:r>
          </w:p>
        </w:tc>
      </w:tr>
      <w:tr>
        <w:tblPrEx>
          <w:tblCellMar>
            <w:top w:w="0" w:type="dxa"/>
            <w:left w:w="108" w:type="dxa"/>
            <w:bottom w:w="0" w:type="dxa"/>
            <w:right w:w="108" w:type="dxa"/>
          </w:tblCellMar>
        </w:tblPrEx>
        <w:trPr>
          <w:trHeight w:val="270" w:hRule="atLeast"/>
        </w:trPr>
        <w:tc>
          <w:tcPr>
            <w:tcW w:w="730"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3</w:t>
            </w:r>
          </w:p>
        </w:tc>
        <w:tc>
          <w:tcPr>
            <w:tcW w:w="1905"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商业服务业用地</w:t>
            </w:r>
          </w:p>
        </w:tc>
        <w:tc>
          <w:tcPr>
            <w:tcW w:w="73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5.21</w:t>
            </w:r>
          </w:p>
        </w:tc>
        <w:tc>
          <w:tcPr>
            <w:tcW w:w="905"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800</w:t>
            </w:r>
          </w:p>
        </w:tc>
        <w:tc>
          <w:tcPr>
            <w:tcW w:w="730" w:type="pct"/>
            <w:tcBorders>
              <w:top w:val="nil"/>
              <w:left w:val="nil"/>
              <w:bottom w:val="single" w:color="auto" w:sz="4" w:space="0"/>
              <w:right w:val="single" w:color="auto" w:sz="4" w:space="0"/>
            </w:tcBorders>
            <w:shd w:val="clear" w:color="auto" w:fill="auto"/>
            <w:noWrap/>
            <w:vAlign w:val="center"/>
          </w:tcPr>
          <w:p>
            <w:pPr>
              <w:jc w:val="center"/>
              <w:rPr>
                <w:rFonts w:cs="宋体" w:asciiTheme="minorEastAsia" w:hAnsiTheme="minorEastAsia"/>
                <w:color w:val="000000"/>
                <w:kern w:val="0"/>
                <w:szCs w:val="21"/>
              </w:rPr>
            </w:pPr>
            <w:r>
              <w:rPr>
                <w:rFonts w:cs="宋体" w:asciiTheme="minorEastAsia" w:hAnsiTheme="minorEastAsia"/>
                <w:color w:val="000000"/>
                <w:kern w:val="0"/>
                <w:szCs w:val="21"/>
              </w:rPr>
              <w:t>4168</w:t>
            </w:r>
          </w:p>
        </w:tc>
      </w:tr>
      <w:tr>
        <w:tblPrEx>
          <w:tblCellMar>
            <w:top w:w="0" w:type="dxa"/>
            <w:left w:w="108" w:type="dxa"/>
            <w:bottom w:w="0" w:type="dxa"/>
            <w:right w:w="108" w:type="dxa"/>
          </w:tblCellMar>
        </w:tblPrEx>
        <w:trPr>
          <w:trHeight w:val="270" w:hRule="atLeast"/>
        </w:trPr>
        <w:tc>
          <w:tcPr>
            <w:tcW w:w="730"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4</w:t>
            </w:r>
          </w:p>
        </w:tc>
        <w:tc>
          <w:tcPr>
            <w:tcW w:w="1905"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交通运输用地</w:t>
            </w:r>
          </w:p>
        </w:tc>
        <w:tc>
          <w:tcPr>
            <w:tcW w:w="73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10.23</w:t>
            </w:r>
          </w:p>
        </w:tc>
        <w:tc>
          <w:tcPr>
            <w:tcW w:w="905"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20</w:t>
            </w:r>
          </w:p>
        </w:tc>
        <w:tc>
          <w:tcPr>
            <w:tcW w:w="730" w:type="pct"/>
            <w:tcBorders>
              <w:top w:val="nil"/>
              <w:left w:val="nil"/>
              <w:bottom w:val="single" w:color="auto" w:sz="4" w:space="0"/>
              <w:right w:val="single" w:color="auto" w:sz="4" w:space="0"/>
            </w:tcBorders>
            <w:shd w:val="clear" w:color="auto" w:fill="auto"/>
            <w:noWrap/>
            <w:vAlign w:val="center"/>
          </w:tcPr>
          <w:p>
            <w:pPr>
              <w:jc w:val="center"/>
              <w:rPr>
                <w:rFonts w:cs="宋体" w:asciiTheme="minorEastAsia" w:hAnsiTheme="minorEastAsia"/>
                <w:color w:val="000000"/>
                <w:kern w:val="0"/>
                <w:szCs w:val="21"/>
              </w:rPr>
            </w:pPr>
            <w:r>
              <w:rPr>
                <w:rFonts w:cs="宋体" w:asciiTheme="minorEastAsia" w:hAnsiTheme="minorEastAsia"/>
                <w:color w:val="000000"/>
                <w:kern w:val="0"/>
                <w:szCs w:val="21"/>
              </w:rPr>
              <w:t>204.6</w:t>
            </w:r>
          </w:p>
        </w:tc>
      </w:tr>
      <w:tr>
        <w:tblPrEx>
          <w:tblCellMar>
            <w:top w:w="0" w:type="dxa"/>
            <w:left w:w="108" w:type="dxa"/>
            <w:bottom w:w="0" w:type="dxa"/>
            <w:right w:w="108" w:type="dxa"/>
          </w:tblCellMar>
        </w:tblPrEx>
        <w:trPr>
          <w:trHeight w:val="270" w:hRule="atLeast"/>
        </w:trPr>
        <w:tc>
          <w:tcPr>
            <w:tcW w:w="730"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5</w:t>
            </w:r>
          </w:p>
        </w:tc>
        <w:tc>
          <w:tcPr>
            <w:tcW w:w="1905"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公用设施用地</w:t>
            </w:r>
          </w:p>
        </w:tc>
        <w:tc>
          <w:tcPr>
            <w:tcW w:w="73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1.03</w:t>
            </w:r>
          </w:p>
        </w:tc>
        <w:tc>
          <w:tcPr>
            <w:tcW w:w="905"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200</w:t>
            </w:r>
          </w:p>
        </w:tc>
        <w:tc>
          <w:tcPr>
            <w:tcW w:w="730" w:type="pct"/>
            <w:tcBorders>
              <w:top w:val="nil"/>
              <w:left w:val="nil"/>
              <w:bottom w:val="single" w:color="auto" w:sz="4" w:space="0"/>
              <w:right w:val="single" w:color="auto" w:sz="4" w:space="0"/>
            </w:tcBorders>
            <w:shd w:val="clear" w:color="auto" w:fill="auto"/>
            <w:noWrap/>
            <w:vAlign w:val="center"/>
          </w:tcPr>
          <w:p>
            <w:pPr>
              <w:jc w:val="center"/>
              <w:rPr>
                <w:rFonts w:cs="宋体" w:asciiTheme="minorEastAsia" w:hAnsiTheme="minorEastAsia"/>
                <w:color w:val="000000"/>
                <w:kern w:val="0"/>
                <w:szCs w:val="21"/>
              </w:rPr>
            </w:pPr>
            <w:r>
              <w:rPr>
                <w:rFonts w:cs="宋体" w:asciiTheme="minorEastAsia" w:hAnsiTheme="minorEastAsia"/>
                <w:color w:val="000000"/>
                <w:kern w:val="0"/>
                <w:szCs w:val="21"/>
              </w:rPr>
              <w:t>206</w:t>
            </w:r>
          </w:p>
        </w:tc>
      </w:tr>
      <w:tr>
        <w:tblPrEx>
          <w:tblCellMar>
            <w:top w:w="0" w:type="dxa"/>
            <w:left w:w="108" w:type="dxa"/>
            <w:bottom w:w="0" w:type="dxa"/>
            <w:right w:w="108" w:type="dxa"/>
          </w:tblCellMar>
        </w:tblPrEx>
        <w:trPr>
          <w:trHeight w:val="270" w:hRule="atLeast"/>
        </w:trPr>
        <w:tc>
          <w:tcPr>
            <w:tcW w:w="730"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6</w:t>
            </w:r>
          </w:p>
        </w:tc>
        <w:tc>
          <w:tcPr>
            <w:tcW w:w="1905"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绿地与开敞空间用地</w:t>
            </w:r>
          </w:p>
        </w:tc>
        <w:tc>
          <w:tcPr>
            <w:tcW w:w="73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4.21</w:t>
            </w:r>
          </w:p>
        </w:tc>
        <w:tc>
          <w:tcPr>
            <w:tcW w:w="905"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10</w:t>
            </w:r>
          </w:p>
        </w:tc>
        <w:tc>
          <w:tcPr>
            <w:tcW w:w="730" w:type="pct"/>
            <w:tcBorders>
              <w:top w:val="nil"/>
              <w:left w:val="nil"/>
              <w:bottom w:val="single" w:color="auto" w:sz="4" w:space="0"/>
              <w:right w:val="single" w:color="auto" w:sz="4" w:space="0"/>
            </w:tcBorders>
            <w:shd w:val="clear" w:color="auto" w:fill="auto"/>
            <w:noWrap/>
            <w:vAlign w:val="center"/>
          </w:tcPr>
          <w:p>
            <w:pPr>
              <w:jc w:val="center"/>
              <w:rPr>
                <w:rFonts w:cs="宋体" w:asciiTheme="minorEastAsia" w:hAnsiTheme="minorEastAsia"/>
                <w:color w:val="000000"/>
                <w:kern w:val="0"/>
                <w:szCs w:val="21"/>
              </w:rPr>
            </w:pPr>
            <w:r>
              <w:rPr>
                <w:rFonts w:cs="宋体" w:asciiTheme="minorEastAsia" w:hAnsiTheme="minorEastAsia"/>
                <w:color w:val="000000"/>
                <w:kern w:val="0"/>
                <w:szCs w:val="21"/>
              </w:rPr>
              <w:t>42.1</w:t>
            </w:r>
          </w:p>
        </w:tc>
      </w:tr>
      <w:tr>
        <w:tblPrEx>
          <w:tblCellMar>
            <w:top w:w="0" w:type="dxa"/>
            <w:left w:w="108" w:type="dxa"/>
            <w:bottom w:w="0" w:type="dxa"/>
            <w:right w:w="108" w:type="dxa"/>
          </w:tblCellMar>
        </w:tblPrEx>
        <w:trPr>
          <w:trHeight w:val="270" w:hRule="atLeast"/>
        </w:trPr>
        <w:tc>
          <w:tcPr>
            <w:tcW w:w="730"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7</w:t>
            </w:r>
          </w:p>
        </w:tc>
        <w:tc>
          <w:tcPr>
            <w:tcW w:w="1905"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特殊用地</w:t>
            </w:r>
          </w:p>
        </w:tc>
        <w:tc>
          <w:tcPr>
            <w:tcW w:w="73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0.48</w:t>
            </w:r>
          </w:p>
        </w:tc>
        <w:tc>
          <w:tcPr>
            <w:tcW w:w="905"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200</w:t>
            </w:r>
          </w:p>
        </w:tc>
        <w:tc>
          <w:tcPr>
            <w:tcW w:w="730" w:type="pct"/>
            <w:tcBorders>
              <w:top w:val="nil"/>
              <w:left w:val="nil"/>
              <w:bottom w:val="single" w:color="auto" w:sz="4" w:space="0"/>
              <w:right w:val="single" w:color="auto" w:sz="4" w:space="0"/>
            </w:tcBorders>
            <w:shd w:val="clear" w:color="auto" w:fill="auto"/>
            <w:noWrap/>
            <w:vAlign w:val="center"/>
          </w:tcPr>
          <w:p>
            <w:pPr>
              <w:jc w:val="center"/>
              <w:rPr>
                <w:rFonts w:cs="宋体" w:asciiTheme="minorEastAsia" w:hAnsiTheme="minorEastAsia"/>
                <w:color w:val="000000"/>
                <w:kern w:val="0"/>
                <w:szCs w:val="21"/>
              </w:rPr>
            </w:pPr>
            <w:r>
              <w:rPr>
                <w:rFonts w:cs="宋体" w:asciiTheme="minorEastAsia" w:hAnsiTheme="minorEastAsia"/>
                <w:color w:val="000000"/>
                <w:kern w:val="0"/>
                <w:szCs w:val="21"/>
              </w:rPr>
              <w:t>96</w:t>
            </w:r>
          </w:p>
        </w:tc>
      </w:tr>
      <w:tr>
        <w:tblPrEx>
          <w:tblCellMar>
            <w:top w:w="0" w:type="dxa"/>
            <w:left w:w="108" w:type="dxa"/>
            <w:bottom w:w="0" w:type="dxa"/>
            <w:right w:w="108" w:type="dxa"/>
          </w:tblCellMar>
        </w:tblPrEx>
        <w:trPr>
          <w:trHeight w:val="270" w:hRule="atLeast"/>
        </w:trPr>
        <w:tc>
          <w:tcPr>
            <w:tcW w:w="4270" w:type="pct"/>
            <w:gridSpan w:val="4"/>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合计</w:t>
            </w:r>
          </w:p>
        </w:tc>
        <w:tc>
          <w:tcPr>
            <w:tcW w:w="730" w:type="pct"/>
            <w:tcBorders>
              <w:top w:val="nil"/>
              <w:left w:val="nil"/>
              <w:bottom w:val="single" w:color="auto" w:sz="4" w:space="0"/>
              <w:right w:val="single" w:color="auto" w:sz="4" w:space="0"/>
            </w:tcBorders>
            <w:shd w:val="clear" w:color="auto" w:fill="auto"/>
            <w:noWrap/>
            <w:vAlign w:val="center"/>
          </w:tcPr>
          <w:p>
            <w:pPr>
              <w:jc w:val="center"/>
              <w:rPr>
                <w:rFonts w:cs="宋体" w:asciiTheme="minorEastAsia" w:hAnsiTheme="minorEastAsia"/>
                <w:color w:val="000000"/>
                <w:kern w:val="0"/>
                <w:szCs w:val="21"/>
              </w:rPr>
            </w:pPr>
            <w:r>
              <w:rPr>
                <w:rFonts w:cs="宋体" w:asciiTheme="minorEastAsia" w:hAnsiTheme="minorEastAsia"/>
                <w:color w:val="000000"/>
                <w:kern w:val="0"/>
                <w:szCs w:val="21"/>
              </w:rPr>
              <w:t>13826.7</w:t>
            </w:r>
            <w:r>
              <w:rPr>
                <w:rFonts w:hint="eastAsia" w:cs="宋体" w:asciiTheme="minorEastAsia" w:hAnsiTheme="minorEastAsia"/>
                <w:color w:val="000000"/>
                <w:kern w:val="0"/>
                <w:szCs w:val="21"/>
              </w:rPr>
              <w:t>0</w:t>
            </w:r>
          </w:p>
        </w:tc>
      </w:tr>
    </w:tbl>
    <w:p>
      <w:pPr>
        <w:adjustRightInd w:val="0"/>
        <w:snapToGrid w:val="0"/>
        <w:spacing w:beforeLines="50"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负荷同时率取0.7，计算出总用电量为9678.69千瓦。</w:t>
      </w:r>
    </w:p>
    <w:p>
      <w:pPr>
        <w:adjustRightInd w:val="0"/>
        <w:snapToGrid w:val="0"/>
        <w:spacing w:line="360" w:lineRule="auto"/>
        <w:ind w:firstLine="480" w:firstLineChars="200"/>
        <w:rPr>
          <w:rFonts w:ascii="宋体" w:hAnsi="宋体" w:eastAsia="宋体" w:cs="Times New Roman"/>
          <w:kern w:val="0"/>
          <w:sz w:val="24"/>
          <w:szCs w:val="24"/>
        </w:rPr>
      </w:pPr>
      <w:r>
        <w:rPr>
          <w:rFonts w:hint="eastAsia" w:ascii="宋体" w:hAnsi="宋体" w:eastAsia="宋体" w:cs="Times New Roman"/>
          <w:kern w:val="0"/>
          <w:sz w:val="24"/>
          <w:szCs w:val="24"/>
        </w:rPr>
        <w:t>2、电力工程</w:t>
      </w:r>
    </w:p>
    <w:p>
      <w:pPr>
        <w:adjustRightInd w:val="0"/>
        <w:snapToGrid w:val="0"/>
        <w:spacing w:line="360" w:lineRule="auto"/>
        <w:ind w:firstLine="480" w:firstLineChars="200"/>
        <w:rPr>
          <w:rFonts w:ascii="宋体" w:hAnsi="宋体" w:eastAsia="宋体" w:cs="Times New Roman"/>
          <w:kern w:val="0"/>
          <w:sz w:val="24"/>
          <w:szCs w:val="24"/>
        </w:rPr>
      </w:pPr>
      <w:r>
        <w:rPr>
          <w:rFonts w:hint="eastAsia" w:ascii="宋体" w:hAnsi="宋体" w:eastAsia="宋体" w:cs="Times New Roman"/>
          <w:kern w:val="0"/>
          <w:sz w:val="24"/>
          <w:szCs w:val="24"/>
        </w:rPr>
        <w:t>规划对现状永乐35KV变电站进行扩容（12.6MVA），</w:t>
      </w:r>
      <w:r>
        <w:rPr>
          <w:rFonts w:ascii="宋体" w:hAnsi="宋体" w:eastAsia="宋体" w:cs="Times New Roman"/>
          <w:kern w:val="0"/>
          <w:sz w:val="24"/>
          <w:szCs w:val="24"/>
        </w:rPr>
        <w:t>规划10</w:t>
      </w:r>
      <w:r>
        <w:rPr>
          <w:rFonts w:hint="eastAsia" w:ascii="宋体" w:hAnsi="宋体" w:eastAsia="宋体" w:cs="Times New Roman"/>
          <w:kern w:val="0"/>
          <w:sz w:val="24"/>
          <w:szCs w:val="24"/>
        </w:rPr>
        <w:t>KV</w:t>
      </w:r>
      <w:r>
        <w:rPr>
          <w:rFonts w:ascii="宋体" w:hAnsi="宋体" w:eastAsia="宋体" w:cs="Times New Roman"/>
          <w:kern w:val="0"/>
          <w:sz w:val="24"/>
          <w:szCs w:val="24"/>
        </w:rPr>
        <w:t>中压配电网沿城镇道路布局形成环形网络，远期采用电力浅沟方式敷设</w:t>
      </w:r>
      <w:r>
        <w:rPr>
          <w:rFonts w:hint="eastAsia" w:ascii="宋体" w:hAnsi="宋体" w:eastAsia="宋体" w:cs="Times New Roman"/>
          <w:kern w:val="0"/>
          <w:sz w:val="24"/>
          <w:szCs w:val="24"/>
        </w:rPr>
        <w:t>，规划</w:t>
      </w:r>
      <w:r>
        <w:rPr>
          <w:rFonts w:ascii="宋体" w:hAnsi="宋体" w:eastAsia="宋体" w:cs="Times New Roman"/>
          <w:kern w:val="0"/>
          <w:sz w:val="24"/>
          <w:szCs w:val="24"/>
        </w:rPr>
        <w:t>低压电网采用放射与树枝状结合的形式。</w:t>
      </w:r>
    </w:p>
    <w:p>
      <w:pPr>
        <w:adjustRightInd w:val="0"/>
        <w:snapToGrid w:val="0"/>
        <w:spacing w:line="360" w:lineRule="auto"/>
        <w:ind w:firstLine="480" w:firstLineChars="200"/>
        <w:rPr>
          <w:rFonts w:ascii="宋体" w:hAnsi="宋体" w:eastAsia="宋体" w:cs="Times New Roman"/>
          <w:b/>
          <w:kern w:val="0"/>
          <w:sz w:val="24"/>
          <w:szCs w:val="24"/>
          <w:u w:val="single"/>
        </w:rPr>
      </w:pPr>
      <w:r>
        <w:rPr>
          <w:rFonts w:hint="eastAsia" w:ascii="宋体" w:hAnsi="宋体" w:eastAsia="宋体" w:cs="Times New Roman"/>
          <w:kern w:val="0"/>
          <w:sz w:val="24"/>
          <w:szCs w:val="24"/>
        </w:rPr>
        <w:t>保护、控制现状及规划高压线走廊（含防护隔离带），对于保留的现状架空电力线路及杆塔位，以实测坐标控制，规划及调整架空电力线路及杆塔位按规划预留走廊进行控制，</w:t>
      </w:r>
      <w:r>
        <w:rPr>
          <w:rFonts w:ascii="宋体" w:hAnsi="宋体" w:eastAsia="宋体" w:cs="Times New Roman"/>
          <w:b/>
          <w:kern w:val="0"/>
          <w:sz w:val="24"/>
          <w:szCs w:val="24"/>
          <w:u w:val="single"/>
        </w:rPr>
        <w:t xml:space="preserve">35kV </w:t>
      </w:r>
      <w:r>
        <w:rPr>
          <w:rFonts w:hint="eastAsia" w:ascii="宋体" w:hAnsi="宋体" w:eastAsia="宋体" w:cs="Times New Roman"/>
          <w:b/>
          <w:kern w:val="0"/>
          <w:sz w:val="24"/>
          <w:szCs w:val="24"/>
          <w:u w:val="single"/>
        </w:rPr>
        <w:t>高压架空单回电力线走廊宽度控制为</w:t>
      </w:r>
      <w:r>
        <w:rPr>
          <w:rFonts w:ascii="宋体" w:hAnsi="宋体" w:eastAsia="宋体" w:cs="Times New Roman"/>
          <w:b/>
          <w:kern w:val="0"/>
          <w:sz w:val="24"/>
          <w:szCs w:val="24"/>
          <w:u w:val="single"/>
        </w:rPr>
        <w:t xml:space="preserve">20 </w:t>
      </w:r>
      <w:r>
        <w:rPr>
          <w:rFonts w:hint="eastAsia" w:ascii="宋体" w:hAnsi="宋体" w:eastAsia="宋体" w:cs="Times New Roman"/>
          <w:b/>
          <w:kern w:val="0"/>
          <w:sz w:val="24"/>
          <w:szCs w:val="24"/>
          <w:u w:val="single"/>
        </w:rPr>
        <w:t>米，同时应符合《城市电力规划规范》等相关国家法律法规和标准规范的要求。</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（五）通讯工程规划</w:t>
      </w:r>
    </w:p>
    <w:p>
      <w:pPr>
        <w:adjustRightInd w:val="0"/>
        <w:snapToGrid w:val="0"/>
        <w:spacing w:line="360" w:lineRule="auto"/>
        <w:ind w:firstLine="480" w:firstLineChars="200"/>
        <w:rPr>
          <w:rFonts w:ascii="宋体" w:hAnsi="宋体" w:eastAsia="宋体" w:cs="Times New Roman"/>
          <w:kern w:val="0"/>
          <w:sz w:val="24"/>
          <w:szCs w:val="24"/>
        </w:rPr>
      </w:pPr>
      <w:r>
        <w:rPr>
          <w:rFonts w:hint="eastAsia" w:ascii="宋体" w:hAnsi="宋体" w:eastAsia="宋体" w:cs="Times New Roman"/>
          <w:kern w:val="0"/>
          <w:sz w:val="24"/>
          <w:szCs w:val="24"/>
        </w:rPr>
        <w:t>1、市话用户预测</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固定电话普及率指标取</w:t>
      </w:r>
      <w:r>
        <w:rPr>
          <w:rFonts w:hint="eastAsia" w:ascii="宋体" w:hAnsi="宋体" w:eastAsia="宋体" w:cs="Times New Roman"/>
          <w:kern w:val="0"/>
          <w:sz w:val="24"/>
          <w:szCs w:val="24"/>
        </w:rPr>
        <w:t>60</w:t>
      </w:r>
      <w:r>
        <w:rPr>
          <w:rFonts w:ascii="宋体" w:hAnsi="宋体" w:eastAsia="宋体" w:cs="Times New Roman"/>
          <w:kern w:val="0"/>
          <w:sz w:val="24"/>
          <w:szCs w:val="24"/>
        </w:rPr>
        <w:t>部/百人，移动电话普及率指标取</w:t>
      </w:r>
      <w:r>
        <w:rPr>
          <w:rFonts w:hint="eastAsia" w:ascii="宋体" w:hAnsi="宋体" w:eastAsia="宋体" w:cs="Times New Roman"/>
          <w:kern w:val="0"/>
          <w:sz w:val="24"/>
          <w:szCs w:val="24"/>
        </w:rPr>
        <w:t>130</w:t>
      </w:r>
      <w:r>
        <w:rPr>
          <w:rFonts w:ascii="宋体" w:hAnsi="宋体" w:eastAsia="宋体" w:cs="Times New Roman"/>
          <w:kern w:val="0"/>
          <w:sz w:val="24"/>
          <w:szCs w:val="24"/>
        </w:rPr>
        <w:t>部/百人。</w:t>
      </w:r>
    </w:p>
    <w:p>
      <w:pPr>
        <w:adjustRightInd w:val="0"/>
        <w:snapToGrid w:val="0"/>
        <w:spacing w:line="360" w:lineRule="auto"/>
        <w:ind w:firstLine="480" w:firstLineChars="200"/>
        <w:rPr>
          <w:rFonts w:ascii="宋体" w:hAnsi="宋体" w:eastAsia="宋体" w:cs="Times New Roman"/>
          <w:kern w:val="0"/>
          <w:sz w:val="24"/>
          <w:szCs w:val="24"/>
        </w:rPr>
      </w:pPr>
      <w:r>
        <w:rPr>
          <w:rFonts w:hint="eastAsia" w:ascii="宋体" w:hAnsi="宋体" w:eastAsia="宋体" w:cs="Times New Roman"/>
          <w:kern w:val="0"/>
          <w:sz w:val="24"/>
          <w:szCs w:val="24"/>
        </w:rPr>
        <w:t>2、通信网络系统规划</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保留现状1处邮政所，规划配套完善相应功能。通信管网根据</w:t>
      </w:r>
      <w:r>
        <w:rPr>
          <w:rFonts w:hint="eastAsia" w:ascii="宋体" w:hAnsi="宋体" w:eastAsia="宋体" w:cs="Times New Roman"/>
          <w:kern w:val="0"/>
          <w:sz w:val="24"/>
          <w:szCs w:val="24"/>
        </w:rPr>
        <w:t>镇区</w:t>
      </w:r>
      <w:r>
        <w:rPr>
          <w:rFonts w:ascii="宋体" w:hAnsi="宋体" w:eastAsia="宋体" w:cs="Times New Roman"/>
          <w:kern w:val="0"/>
          <w:sz w:val="24"/>
          <w:szCs w:val="24"/>
        </w:rPr>
        <w:t>终期容量进行设计，管孔数量应满足各类通讯业务（电话、数据通信、有线电视等）的要求。规划主干管为9孔，支管为6孔。镇区主干通信管道可采用电缆穿PVC波纹管埋地敷设，配线光缆宜采用直埋敷设。</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（六）燃气工程规划</w:t>
      </w:r>
    </w:p>
    <w:p>
      <w:pPr>
        <w:adjustRightInd w:val="0"/>
        <w:snapToGrid w:val="0"/>
        <w:spacing w:line="360" w:lineRule="auto"/>
        <w:ind w:firstLine="480" w:firstLineChars="200"/>
        <w:rPr>
          <w:rFonts w:ascii="宋体" w:hAnsi="宋体" w:eastAsia="宋体" w:cs="Times New Roman"/>
          <w:kern w:val="0"/>
          <w:sz w:val="24"/>
          <w:szCs w:val="24"/>
        </w:rPr>
      </w:pPr>
      <w:r>
        <w:rPr>
          <w:rFonts w:hint="eastAsia" w:ascii="宋体" w:hAnsi="宋体" w:eastAsia="宋体" w:cs="Times New Roman"/>
          <w:kern w:val="0"/>
          <w:sz w:val="24"/>
          <w:szCs w:val="24"/>
        </w:rPr>
        <w:t>1、燃气需求量预测</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镇区远期规划常住人口为0.6</w:t>
      </w:r>
      <w:r>
        <w:rPr>
          <w:rFonts w:hint="eastAsia" w:ascii="宋体" w:hAnsi="宋体" w:eastAsia="宋体" w:cs="Times New Roman"/>
          <w:kern w:val="0"/>
          <w:sz w:val="24"/>
          <w:szCs w:val="24"/>
        </w:rPr>
        <w:t>5</w:t>
      </w:r>
      <w:r>
        <w:rPr>
          <w:rFonts w:ascii="宋体" w:hAnsi="宋体" w:eastAsia="宋体" w:cs="Times New Roman"/>
          <w:kern w:val="0"/>
          <w:sz w:val="24"/>
          <w:szCs w:val="24"/>
        </w:rPr>
        <w:t>万人，规划镇区天然气气化率达到100%，居民用气量指标为</w:t>
      </w:r>
      <w:r>
        <w:rPr>
          <w:rFonts w:hint="eastAsia" w:ascii="宋体" w:hAnsi="宋体" w:eastAsia="宋体" w:cs="Times New Roman"/>
          <w:kern w:val="0"/>
          <w:sz w:val="24"/>
          <w:szCs w:val="24"/>
        </w:rPr>
        <w:t>0.35立方米</w:t>
      </w:r>
      <w:r>
        <w:rPr>
          <w:rFonts w:ascii="宋体" w:hAnsi="宋体" w:eastAsia="宋体" w:cs="Times New Roman"/>
          <w:kern w:val="0"/>
          <w:sz w:val="24"/>
          <w:szCs w:val="24"/>
        </w:rPr>
        <w:t>/人·</w:t>
      </w:r>
      <w:r>
        <w:rPr>
          <w:rFonts w:hint="eastAsia" w:ascii="宋体" w:hAnsi="宋体" w:eastAsia="宋体" w:cs="Times New Roman"/>
          <w:kern w:val="0"/>
          <w:sz w:val="24"/>
          <w:szCs w:val="24"/>
        </w:rPr>
        <w:t>天，</w:t>
      </w:r>
      <w:r>
        <w:rPr>
          <w:rFonts w:ascii="宋体" w:hAnsi="宋体" w:eastAsia="宋体" w:cs="Times New Roman"/>
          <w:kern w:val="0"/>
          <w:sz w:val="24"/>
          <w:szCs w:val="24"/>
        </w:rPr>
        <w:t>综合预测</w:t>
      </w:r>
      <w:r>
        <w:rPr>
          <w:rFonts w:hint="eastAsia" w:ascii="宋体" w:hAnsi="宋体" w:eastAsia="宋体" w:cs="Times New Roman"/>
          <w:kern w:val="0"/>
          <w:sz w:val="24"/>
          <w:szCs w:val="24"/>
        </w:rPr>
        <w:t>象山镇</w:t>
      </w:r>
      <w:r>
        <w:rPr>
          <w:rFonts w:ascii="宋体" w:hAnsi="宋体" w:eastAsia="宋体" w:cs="Times New Roman"/>
          <w:kern w:val="0"/>
          <w:sz w:val="24"/>
          <w:szCs w:val="24"/>
        </w:rPr>
        <w:t>燃气使用规模总计</w:t>
      </w:r>
      <w:r>
        <w:rPr>
          <w:rFonts w:hint="eastAsia" w:ascii="宋体" w:hAnsi="宋体" w:eastAsia="宋体" w:cs="Times New Roman"/>
          <w:kern w:val="0"/>
          <w:sz w:val="24"/>
          <w:szCs w:val="24"/>
        </w:rPr>
        <w:t>0.23</w:t>
      </w:r>
      <w:r>
        <w:rPr>
          <w:rFonts w:ascii="宋体" w:hAnsi="宋体" w:eastAsia="宋体" w:cs="Times New Roman"/>
          <w:kern w:val="0"/>
          <w:sz w:val="24"/>
          <w:szCs w:val="24"/>
        </w:rPr>
        <w:t>万</w:t>
      </w:r>
      <w:r>
        <w:rPr>
          <w:rFonts w:hint="eastAsia" w:ascii="宋体" w:hAnsi="宋体" w:eastAsia="宋体" w:cs="Times New Roman"/>
          <w:kern w:val="0"/>
          <w:sz w:val="24"/>
          <w:szCs w:val="24"/>
        </w:rPr>
        <w:t>立方米</w:t>
      </w:r>
      <w:r>
        <w:rPr>
          <w:rFonts w:ascii="宋体" w:hAnsi="宋体" w:eastAsia="宋体" w:cs="Times New Roman"/>
          <w:kern w:val="0"/>
          <w:sz w:val="24"/>
          <w:szCs w:val="24"/>
        </w:rPr>
        <w:t>/</w:t>
      </w:r>
      <w:r>
        <w:rPr>
          <w:rFonts w:hint="eastAsia" w:ascii="宋体" w:hAnsi="宋体" w:eastAsia="宋体" w:cs="Times New Roman"/>
          <w:kern w:val="0"/>
          <w:sz w:val="24"/>
          <w:szCs w:val="24"/>
        </w:rPr>
        <w:t>天</w:t>
      </w:r>
      <w:r>
        <w:rPr>
          <w:rFonts w:ascii="宋体" w:hAnsi="宋体" w:eastAsia="宋体" w:cs="Times New Roman"/>
          <w:kern w:val="0"/>
          <w:sz w:val="24"/>
          <w:szCs w:val="24"/>
        </w:rPr>
        <w:t>。</w:t>
      </w:r>
    </w:p>
    <w:p>
      <w:pPr>
        <w:adjustRightInd w:val="0"/>
        <w:snapToGrid w:val="0"/>
        <w:spacing w:line="360" w:lineRule="auto"/>
        <w:ind w:firstLine="480" w:firstLineChars="200"/>
        <w:rPr>
          <w:rFonts w:ascii="宋体" w:hAnsi="宋体" w:eastAsia="宋体" w:cs="Times New Roman"/>
          <w:kern w:val="0"/>
          <w:sz w:val="24"/>
          <w:szCs w:val="24"/>
        </w:rPr>
      </w:pPr>
      <w:r>
        <w:rPr>
          <w:rFonts w:hint="eastAsia" w:ascii="宋体" w:hAnsi="宋体" w:eastAsia="宋体" w:cs="Times New Roman"/>
          <w:kern w:val="0"/>
          <w:sz w:val="24"/>
          <w:szCs w:val="24"/>
        </w:rPr>
        <w:t>2、气源规划</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燃气气源由中压输气管线从</w:t>
      </w:r>
      <w:r>
        <w:rPr>
          <w:rFonts w:hint="eastAsia" w:ascii="宋体" w:hAnsi="宋体" w:eastAsia="宋体" w:cs="Times New Roman"/>
          <w:kern w:val="0"/>
          <w:sz w:val="24"/>
          <w:szCs w:val="24"/>
        </w:rPr>
        <w:t>大英</w:t>
      </w:r>
      <w:r>
        <w:rPr>
          <w:rFonts w:ascii="宋体" w:hAnsi="宋体" w:eastAsia="宋体" w:cs="Times New Roman"/>
          <w:kern w:val="0"/>
          <w:sz w:val="24"/>
          <w:szCs w:val="24"/>
        </w:rPr>
        <w:t>县玉象燃气公司引入。</w:t>
      </w:r>
    </w:p>
    <w:p>
      <w:pPr>
        <w:adjustRightInd w:val="0"/>
        <w:snapToGrid w:val="0"/>
        <w:spacing w:line="360" w:lineRule="auto"/>
        <w:ind w:firstLine="480" w:firstLineChars="200"/>
        <w:rPr>
          <w:rFonts w:ascii="宋体" w:hAnsi="宋体" w:eastAsia="宋体" w:cs="Times New Roman"/>
          <w:kern w:val="0"/>
          <w:sz w:val="24"/>
          <w:szCs w:val="24"/>
        </w:rPr>
      </w:pPr>
      <w:r>
        <w:rPr>
          <w:rFonts w:hint="eastAsia" w:ascii="宋体" w:hAnsi="宋体" w:eastAsia="宋体" w:cs="Times New Roman"/>
          <w:kern w:val="0"/>
          <w:sz w:val="24"/>
          <w:szCs w:val="24"/>
        </w:rPr>
        <w:t>3、管网系统</w:t>
      </w:r>
    </w:p>
    <w:p>
      <w:pPr>
        <w:adjustRightInd w:val="0"/>
        <w:snapToGrid w:val="0"/>
        <w:spacing w:line="360" w:lineRule="auto"/>
        <w:ind w:firstLine="480" w:firstLineChars="200"/>
        <w:rPr>
          <w:rFonts w:ascii="宋体" w:hAnsi="宋体" w:eastAsia="宋体" w:cs="Times New Roman"/>
          <w:b/>
          <w:kern w:val="0"/>
          <w:sz w:val="24"/>
          <w:szCs w:val="24"/>
          <w:u w:val="single"/>
        </w:rPr>
      </w:pPr>
      <w:r>
        <w:rPr>
          <w:rFonts w:ascii="宋体" w:hAnsi="宋体" w:eastAsia="宋体" w:cs="Times New Roman"/>
          <w:kern w:val="0"/>
          <w:sz w:val="24"/>
          <w:szCs w:val="24"/>
        </w:rPr>
        <w:t>考虑</w:t>
      </w:r>
      <w:r>
        <w:rPr>
          <w:rFonts w:hint="eastAsia" w:ascii="宋体" w:hAnsi="宋体" w:eastAsia="宋体" w:cs="Times New Roman"/>
          <w:kern w:val="0"/>
          <w:sz w:val="24"/>
          <w:szCs w:val="24"/>
        </w:rPr>
        <w:t>镇区</w:t>
      </w:r>
      <w:r>
        <w:rPr>
          <w:rFonts w:ascii="宋体" w:hAnsi="宋体" w:eastAsia="宋体" w:cs="Times New Roman"/>
          <w:kern w:val="0"/>
          <w:sz w:val="24"/>
          <w:szCs w:val="24"/>
        </w:rPr>
        <w:t>人口规模的不确定性，并结合现状管道压力状况，</w:t>
      </w:r>
      <w:r>
        <w:rPr>
          <w:rFonts w:hint="eastAsia" w:ascii="宋体" w:hAnsi="宋体" w:eastAsia="宋体" w:cs="Times New Roman"/>
          <w:kern w:val="0"/>
          <w:sz w:val="24"/>
          <w:szCs w:val="24"/>
        </w:rPr>
        <w:t>规划</w:t>
      </w:r>
      <w:r>
        <w:rPr>
          <w:rFonts w:ascii="宋体" w:hAnsi="宋体" w:eastAsia="宋体" w:cs="Times New Roman"/>
          <w:kern w:val="0"/>
          <w:sz w:val="24"/>
          <w:szCs w:val="24"/>
        </w:rPr>
        <w:t>天然气管网采用中压一级系统，出站压力为0.2Mpa。规划形成主管呈放射状、支管呈环的管网布局形态。保留现状DN90、DN76燃气主管</w:t>
      </w:r>
      <w:r>
        <w:rPr>
          <w:rFonts w:hint="eastAsia" w:ascii="宋体" w:hAnsi="宋体" w:eastAsia="宋体" w:cs="Times New Roman"/>
          <w:kern w:val="0"/>
          <w:sz w:val="24"/>
          <w:szCs w:val="24"/>
        </w:rPr>
        <w:t>和DN40燃气支管，规划金象花园富乐街及</w:t>
      </w:r>
      <w:r>
        <w:rPr>
          <w:rFonts w:ascii="宋体" w:hAnsi="宋体" w:eastAsia="宋体" w:cs="Times New Roman"/>
          <w:kern w:val="0"/>
          <w:sz w:val="24"/>
          <w:szCs w:val="24"/>
        </w:rPr>
        <w:t>交通中街的主要道路新增燃气管线。</w:t>
      </w:r>
      <w:r>
        <w:rPr>
          <w:rFonts w:hint="eastAsia" w:ascii="宋体" w:hAnsi="宋体" w:eastAsia="宋体" w:cs="Times New Roman"/>
          <w:b/>
          <w:kern w:val="0"/>
          <w:sz w:val="24"/>
          <w:szCs w:val="24"/>
          <w:u w:val="single"/>
        </w:rPr>
        <w:t>输气管线安全防护距离应满足《城镇燃气设计规范》、《输气管道工程设计规范》等相关国家法律法规和标准规范的要求。</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（七）环卫工程规划</w:t>
      </w:r>
    </w:p>
    <w:p>
      <w:pPr>
        <w:adjustRightInd w:val="0"/>
        <w:snapToGrid w:val="0"/>
        <w:spacing w:line="360" w:lineRule="auto"/>
        <w:ind w:firstLine="480" w:firstLineChars="200"/>
        <w:rPr>
          <w:rFonts w:ascii="宋体" w:hAnsi="宋体" w:eastAsia="宋体" w:cs="Times New Roman"/>
          <w:kern w:val="0"/>
          <w:sz w:val="24"/>
          <w:szCs w:val="24"/>
        </w:rPr>
      </w:pPr>
      <w:r>
        <w:rPr>
          <w:rFonts w:hint="eastAsia" w:ascii="宋体" w:hAnsi="宋体" w:eastAsia="宋体" w:cs="Times New Roman"/>
          <w:kern w:val="0"/>
          <w:sz w:val="24"/>
          <w:szCs w:val="24"/>
        </w:rPr>
        <w:t>1、规划目标</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积极推广垃圾分类收集、分类清运和分类处理，建立“收集点－压缩转运站－填埋场”的收运和处置模式，逐步实现清洁作业和垃圾收运机械化。生活垃圾收运做到日产日清，远期实现生活垃圾处理无害化、减量化、资源化。</w:t>
      </w:r>
    </w:p>
    <w:p>
      <w:pPr>
        <w:adjustRightInd w:val="0"/>
        <w:snapToGrid w:val="0"/>
        <w:spacing w:line="360" w:lineRule="auto"/>
        <w:ind w:firstLine="480" w:firstLineChars="200"/>
        <w:rPr>
          <w:rFonts w:ascii="宋体" w:hAnsi="宋体" w:eastAsia="宋体" w:cs="Times New Roman"/>
          <w:kern w:val="0"/>
          <w:sz w:val="24"/>
          <w:szCs w:val="24"/>
        </w:rPr>
      </w:pPr>
      <w:r>
        <w:rPr>
          <w:rFonts w:hint="eastAsia" w:ascii="宋体" w:hAnsi="宋体" w:eastAsia="宋体" w:cs="Times New Roman"/>
          <w:kern w:val="0"/>
          <w:sz w:val="24"/>
          <w:szCs w:val="24"/>
        </w:rPr>
        <w:t>2、生活垃圾量预测</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规划镇区人均垃圾产生量取1.0千克/</w:t>
      </w:r>
      <w:r>
        <w:rPr>
          <w:rFonts w:hint="eastAsia" w:ascii="宋体" w:hAnsi="宋体" w:eastAsia="宋体" w:cs="Times New Roman"/>
          <w:kern w:val="0"/>
          <w:sz w:val="24"/>
          <w:szCs w:val="24"/>
        </w:rPr>
        <w:t>天</w:t>
      </w:r>
      <w:r>
        <w:rPr>
          <w:rFonts w:ascii="宋体" w:hAnsi="宋体" w:eastAsia="宋体" w:cs="Times New Roman"/>
          <w:kern w:val="0"/>
          <w:sz w:val="24"/>
          <w:szCs w:val="24"/>
        </w:rPr>
        <w:t>，则规划远期生活垃圾日产量</w:t>
      </w:r>
      <w:r>
        <w:rPr>
          <w:rFonts w:hint="eastAsia" w:ascii="宋体" w:hAnsi="宋体" w:eastAsia="宋体" w:cs="Times New Roman"/>
          <w:kern w:val="0"/>
          <w:sz w:val="24"/>
          <w:szCs w:val="24"/>
        </w:rPr>
        <w:t>0.65万</w:t>
      </w:r>
      <w:r>
        <w:rPr>
          <w:rFonts w:ascii="宋体" w:hAnsi="宋体" w:eastAsia="宋体" w:cs="Times New Roman"/>
          <w:kern w:val="0"/>
          <w:sz w:val="24"/>
          <w:szCs w:val="24"/>
        </w:rPr>
        <w:t>千克/日，有效收集率达到100</w:t>
      </w:r>
      <w:r>
        <w:rPr>
          <w:rFonts w:hint="eastAsia" w:ascii="宋体" w:hAnsi="宋体" w:eastAsia="宋体" w:cs="Times New Roman"/>
          <w:kern w:val="0"/>
          <w:sz w:val="24"/>
          <w:szCs w:val="24"/>
        </w:rPr>
        <w:t>%。</w:t>
      </w:r>
    </w:p>
    <w:p>
      <w:pPr>
        <w:adjustRightInd w:val="0"/>
        <w:snapToGrid w:val="0"/>
        <w:spacing w:line="360" w:lineRule="auto"/>
        <w:ind w:firstLine="480" w:firstLineChars="200"/>
        <w:rPr>
          <w:rFonts w:ascii="宋体" w:hAnsi="宋体" w:eastAsia="宋体" w:cs="Times New Roman"/>
          <w:kern w:val="0"/>
          <w:sz w:val="24"/>
          <w:szCs w:val="24"/>
        </w:rPr>
      </w:pPr>
      <w:r>
        <w:rPr>
          <w:rFonts w:hint="eastAsia" w:ascii="宋体" w:hAnsi="宋体" w:eastAsia="宋体" w:cs="Times New Roman"/>
          <w:kern w:val="0"/>
          <w:sz w:val="24"/>
          <w:szCs w:val="24"/>
        </w:rPr>
        <w:t>3、环境卫生工程规划</w:t>
      </w:r>
    </w:p>
    <w:p>
      <w:pPr>
        <w:adjustRightInd w:val="0"/>
        <w:snapToGrid w:val="0"/>
        <w:spacing w:line="360" w:lineRule="auto"/>
        <w:ind w:firstLine="480" w:firstLineChars="200"/>
        <w:rPr>
          <w:rFonts w:ascii="宋体" w:hAnsi="宋体" w:eastAsia="宋体" w:cs="Times New Roman"/>
          <w:b/>
          <w:kern w:val="0"/>
          <w:sz w:val="24"/>
          <w:szCs w:val="24"/>
          <w:u w:val="single"/>
        </w:rPr>
      </w:pPr>
      <w:r>
        <w:rPr>
          <w:rFonts w:ascii="宋体" w:hAnsi="宋体" w:eastAsia="宋体" w:cs="Times New Roman"/>
          <w:kern w:val="0"/>
          <w:sz w:val="24"/>
          <w:szCs w:val="24"/>
        </w:rPr>
        <w:t>实施城乡垃圾清运一体化模式，由第三方（遂宁川能环卫公司）清运模式。村收集、镇转运，统一由三方公司打包运至射洪发电厂进行焚烧发电。</w:t>
      </w:r>
      <w:r>
        <w:rPr>
          <w:rFonts w:hint="eastAsia" w:ascii="宋体" w:hAnsi="宋体" w:eastAsia="宋体" w:cs="Times New Roman"/>
          <w:b/>
          <w:kern w:val="0"/>
          <w:sz w:val="24"/>
          <w:szCs w:val="24"/>
          <w:u w:val="single"/>
        </w:rPr>
        <w:t>医疗垃圾、危险废弃物必须单独收集、运输和处理，大英县无法自行处理处置的医疗垃圾、危险废弃物集中运至成都市医疗废物和危险固废处置中心进行处理处置。</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规划范围内优化1处现状垃圾转运站</w:t>
      </w:r>
      <w:r>
        <w:rPr>
          <w:rFonts w:hint="eastAsia" w:ascii="宋体" w:hAnsi="宋体" w:eastAsia="宋体" w:cs="Times New Roman"/>
          <w:kern w:val="0"/>
          <w:sz w:val="24"/>
          <w:szCs w:val="24"/>
        </w:rPr>
        <w:t>，</w:t>
      </w:r>
      <w:r>
        <w:rPr>
          <w:rFonts w:ascii="宋体" w:hAnsi="宋体" w:eastAsia="宋体" w:cs="Times New Roman"/>
          <w:kern w:val="0"/>
          <w:sz w:val="24"/>
          <w:szCs w:val="24"/>
        </w:rPr>
        <w:t>占地面积为</w:t>
      </w:r>
      <w:r>
        <w:rPr>
          <w:rFonts w:hint="eastAsia" w:ascii="宋体" w:hAnsi="宋体" w:eastAsia="宋体" w:cs="Times New Roman"/>
          <w:kern w:val="0"/>
          <w:sz w:val="24"/>
          <w:szCs w:val="24"/>
        </w:rPr>
        <w:t>406</w:t>
      </w:r>
      <w:r>
        <w:rPr>
          <w:rFonts w:ascii="宋体" w:hAnsi="宋体" w:eastAsia="宋体" w:cs="Times New Roman"/>
          <w:kern w:val="0"/>
          <w:sz w:val="24"/>
          <w:szCs w:val="24"/>
        </w:rPr>
        <w:t>平方米，转运全镇的垃圾。保留现状的垃圾收集点9处，新增垃圾收集点1处，按300米服务半径已全域覆盖。</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公共厕所的服务半径根据地段和人口而定，繁华街道间距为300-500米，一般街道为750-1000米，新建居民区以300-500米为半径，也可以地域面积计算，每平方公里不少于3处。共新增公共厕所</w:t>
      </w:r>
      <w:r>
        <w:rPr>
          <w:rFonts w:hint="eastAsia" w:ascii="宋体" w:hAnsi="宋体" w:eastAsia="宋体" w:cs="Times New Roman"/>
          <w:kern w:val="0"/>
          <w:sz w:val="24"/>
          <w:szCs w:val="24"/>
        </w:rPr>
        <w:t>2</w:t>
      </w:r>
      <w:r>
        <w:rPr>
          <w:rFonts w:ascii="宋体" w:hAnsi="宋体" w:eastAsia="宋体" w:cs="Times New Roman"/>
          <w:kern w:val="0"/>
          <w:sz w:val="24"/>
          <w:szCs w:val="24"/>
        </w:rPr>
        <w:t>处，保留和完善现有的2处公共厕所，以提高镇区公厕服务质量。</w:t>
      </w:r>
    </w:p>
    <w:p>
      <w:pPr>
        <w:adjustRightInd w:val="0"/>
        <w:snapToGrid w:val="0"/>
        <w:spacing w:line="360" w:lineRule="auto"/>
        <w:ind w:firstLine="482" w:firstLineChars="200"/>
        <w:rPr>
          <w:rFonts w:ascii="黑体" w:hAnsi="黑体" w:eastAsia="黑体" w:cs="Times New Roman"/>
          <w:b/>
          <w:kern w:val="0"/>
          <w:sz w:val="24"/>
          <w:szCs w:val="24"/>
        </w:rPr>
      </w:pPr>
      <w:r>
        <w:rPr>
          <w:rFonts w:hint="eastAsia" w:ascii="黑体" w:hAnsi="黑体" w:eastAsia="黑体" w:cs="Times New Roman"/>
          <w:b/>
          <w:kern w:val="0"/>
          <w:sz w:val="24"/>
          <w:szCs w:val="24"/>
        </w:rPr>
        <w:t>十三、完善综合防灾体系，提升应急救援水平</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（一）</w:t>
      </w:r>
      <w:r>
        <w:rPr>
          <w:rFonts w:eastAsia="宋体" w:cs="Times New Roman" w:asciiTheme="minorEastAsia" w:hAnsiTheme="minorEastAsia"/>
          <w:b/>
          <w:kern w:val="0"/>
          <w:sz w:val="24"/>
          <w:szCs w:val="24"/>
        </w:rPr>
        <w:t>防洪规划</w:t>
      </w:r>
    </w:p>
    <w:p>
      <w:pPr>
        <w:adjustRightInd w:val="0"/>
        <w:snapToGrid w:val="0"/>
        <w:spacing w:line="360" w:lineRule="auto"/>
        <w:ind w:firstLine="482" w:firstLineChars="200"/>
        <w:rPr>
          <w:rFonts w:ascii="宋体" w:hAnsi="宋体" w:eastAsia="宋体" w:cs="Times New Roman"/>
          <w:b/>
          <w:kern w:val="0"/>
          <w:sz w:val="24"/>
          <w:szCs w:val="24"/>
          <w:u w:val="single"/>
        </w:rPr>
      </w:pPr>
      <w:r>
        <w:rPr>
          <w:rFonts w:ascii="宋体" w:hAnsi="宋体" w:eastAsia="宋体" w:cs="Times New Roman"/>
          <w:b/>
          <w:kern w:val="0"/>
          <w:sz w:val="24"/>
          <w:szCs w:val="24"/>
          <w:u w:val="single"/>
        </w:rPr>
        <w:t>根据现行《防洪标准》（GB50201-2014）及</w:t>
      </w:r>
      <w:r>
        <w:rPr>
          <w:rFonts w:hint="eastAsia" w:ascii="宋体" w:hAnsi="宋体" w:eastAsia="宋体" w:cs="Times New Roman"/>
          <w:b/>
          <w:kern w:val="0"/>
          <w:sz w:val="24"/>
          <w:szCs w:val="24"/>
          <w:u w:val="single"/>
        </w:rPr>
        <w:t>《</w:t>
      </w:r>
      <w:r>
        <w:rPr>
          <w:rFonts w:ascii="宋体" w:hAnsi="宋体" w:eastAsia="宋体" w:cs="Times New Roman"/>
          <w:b/>
          <w:kern w:val="0"/>
          <w:sz w:val="24"/>
          <w:szCs w:val="24"/>
          <w:u w:val="single"/>
        </w:rPr>
        <w:t>城市防洪工程设计规范</w:t>
      </w:r>
      <w:r>
        <w:rPr>
          <w:rFonts w:hint="eastAsia" w:ascii="宋体" w:hAnsi="宋体" w:eastAsia="宋体" w:cs="Times New Roman"/>
          <w:b/>
          <w:kern w:val="0"/>
          <w:sz w:val="24"/>
          <w:szCs w:val="24"/>
          <w:u w:val="single"/>
        </w:rPr>
        <w:t>》</w:t>
      </w:r>
      <w:r>
        <w:rPr>
          <w:rFonts w:ascii="宋体" w:hAnsi="宋体" w:eastAsia="宋体" w:cs="Times New Roman"/>
          <w:b/>
          <w:kern w:val="0"/>
          <w:sz w:val="24"/>
          <w:szCs w:val="24"/>
          <w:u w:val="single"/>
        </w:rPr>
        <w:t>（GB/T50850－2012）的规定，镇区的主要河流为</w:t>
      </w:r>
      <w:r>
        <w:rPr>
          <w:rFonts w:hint="eastAsia" w:ascii="宋体" w:hAnsi="宋体" w:eastAsia="宋体" w:cs="Times New Roman"/>
          <w:b/>
          <w:kern w:val="0"/>
          <w:sz w:val="24"/>
          <w:szCs w:val="24"/>
          <w:u w:val="single"/>
        </w:rPr>
        <w:t>郪江</w:t>
      </w:r>
      <w:r>
        <w:rPr>
          <w:rFonts w:ascii="宋体" w:hAnsi="宋体" w:eastAsia="宋体" w:cs="Times New Roman"/>
          <w:b/>
          <w:kern w:val="0"/>
          <w:sz w:val="24"/>
          <w:szCs w:val="24"/>
          <w:u w:val="single"/>
        </w:rPr>
        <w:t>和龙溪河</w:t>
      </w:r>
      <w:r>
        <w:rPr>
          <w:rFonts w:hint="eastAsia" w:ascii="宋体" w:hAnsi="宋体" w:eastAsia="宋体" w:cs="Times New Roman"/>
          <w:b/>
          <w:kern w:val="0"/>
          <w:sz w:val="24"/>
          <w:szCs w:val="24"/>
          <w:u w:val="single"/>
        </w:rPr>
        <w:t>，</w:t>
      </w:r>
      <w:r>
        <w:rPr>
          <w:rFonts w:hint="eastAsia" w:eastAsia="宋体" w:cs="Times New Roman" w:asciiTheme="minorEastAsia" w:hAnsiTheme="minorEastAsia"/>
          <w:b/>
          <w:kern w:val="0"/>
          <w:sz w:val="24"/>
          <w:szCs w:val="24"/>
          <w:u w:val="single"/>
        </w:rPr>
        <w:t>郪江按20年一遇、龙溪河按10年一遇洪水标准设防</w:t>
      </w:r>
      <w:r>
        <w:rPr>
          <w:rFonts w:hint="eastAsia" w:ascii="宋体" w:hAnsi="宋体" w:eastAsia="宋体" w:cs="Times New Roman"/>
          <w:b/>
          <w:kern w:val="0"/>
          <w:sz w:val="24"/>
          <w:szCs w:val="24"/>
          <w:u w:val="single"/>
        </w:rPr>
        <w:t>。</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（二）</w:t>
      </w:r>
      <w:r>
        <w:rPr>
          <w:rFonts w:eastAsia="宋体" w:cs="Times New Roman" w:asciiTheme="minorEastAsia" w:hAnsiTheme="minorEastAsia"/>
          <w:b/>
          <w:kern w:val="0"/>
          <w:sz w:val="24"/>
          <w:szCs w:val="24"/>
        </w:rPr>
        <w:t>消防规划</w:t>
      </w:r>
    </w:p>
    <w:p>
      <w:pPr>
        <w:adjustRightInd w:val="0"/>
        <w:snapToGrid w:val="0"/>
        <w:spacing w:line="360" w:lineRule="auto"/>
        <w:ind w:firstLine="482" w:firstLineChars="200"/>
        <w:rPr>
          <w:rFonts w:ascii="宋体" w:hAnsi="宋体" w:eastAsia="宋体" w:cs="Times New Roman"/>
          <w:b/>
          <w:kern w:val="0"/>
          <w:sz w:val="24"/>
          <w:szCs w:val="24"/>
          <w:u w:val="single"/>
        </w:rPr>
      </w:pPr>
      <w:r>
        <w:rPr>
          <w:rFonts w:ascii="宋体" w:hAnsi="宋体" w:eastAsia="宋体" w:cs="Times New Roman"/>
          <w:b/>
          <w:kern w:val="0"/>
          <w:sz w:val="24"/>
          <w:szCs w:val="24"/>
          <w:u w:val="single"/>
        </w:rPr>
        <w:t>保留现状镇区乡镇一级专职消防队，占地面积0.37公顷，负责全镇的消防救援工作，结合象山镇</w:t>
      </w:r>
      <w:r>
        <w:rPr>
          <w:rFonts w:hint="eastAsia" w:ascii="宋体" w:hAnsi="宋体" w:eastAsia="宋体" w:cs="Times New Roman"/>
          <w:b/>
          <w:kern w:val="0"/>
          <w:sz w:val="24"/>
          <w:szCs w:val="24"/>
          <w:u w:val="single"/>
        </w:rPr>
        <w:t>政府和象山</w:t>
      </w:r>
      <w:r>
        <w:rPr>
          <w:rFonts w:ascii="宋体" w:hAnsi="宋体" w:eastAsia="宋体" w:cs="Times New Roman"/>
          <w:b/>
          <w:kern w:val="0"/>
          <w:sz w:val="24"/>
          <w:szCs w:val="24"/>
          <w:u w:val="single"/>
        </w:rPr>
        <w:t>卫生院设置应急救援指挥中心和防灾救护中心。</w:t>
      </w:r>
      <w:r>
        <w:rPr>
          <w:rFonts w:ascii="宋体" w:hAnsi="宋体" w:eastAsia="宋体" w:cs="Times New Roman"/>
          <w:kern w:val="0"/>
          <w:sz w:val="24"/>
          <w:szCs w:val="24"/>
        </w:rPr>
        <w:t>将镇区主次干道作为避难疏散通道，明确标示标牌。结合镇区规划绿地、广场、体育场和小学，设置固定避难场所5处，临时避难场所3处。</w:t>
      </w:r>
      <w:r>
        <w:rPr>
          <w:rFonts w:ascii="宋体" w:hAnsi="宋体" w:eastAsia="宋体" w:cs="Times New Roman"/>
          <w:b/>
          <w:kern w:val="0"/>
          <w:sz w:val="24"/>
          <w:szCs w:val="24"/>
          <w:u w:val="single"/>
        </w:rPr>
        <w:t>消防通道按照通道之间的中心线间距不大于160</w:t>
      </w:r>
      <w:r>
        <w:rPr>
          <w:rFonts w:hint="eastAsia" w:ascii="宋体" w:hAnsi="宋体" w:eastAsia="宋体" w:cs="Times New Roman"/>
          <w:b/>
          <w:kern w:val="0"/>
          <w:sz w:val="24"/>
          <w:szCs w:val="24"/>
          <w:u w:val="single"/>
        </w:rPr>
        <w:t>米</w:t>
      </w:r>
      <w:r>
        <w:rPr>
          <w:rFonts w:ascii="宋体" w:hAnsi="宋体" w:eastAsia="宋体" w:cs="Times New Roman"/>
          <w:b/>
          <w:kern w:val="0"/>
          <w:sz w:val="24"/>
          <w:szCs w:val="24"/>
          <w:u w:val="single"/>
        </w:rPr>
        <w:t>进行设置，消防车通道的净宽度和净空高度均不应小于4</w:t>
      </w:r>
      <w:r>
        <w:rPr>
          <w:rFonts w:hint="eastAsia" w:ascii="宋体" w:hAnsi="宋体" w:eastAsia="宋体" w:cs="Times New Roman"/>
          <w:b/>
          <w:kern w:val="0"/>
          <w:sz w:val="24"/>
          <w:szCs w:val="24"/>
          <w:u w:val="single"/>
        </w:rPr>
        <w:t>米</w:t>
      </w:r>
      <w:r>
        <w:rPr>
          <w:rFonts w:ascii="宋体" w:hAnsi="宋体" w:eastAsia="宋体" w:cs="Times New Roman"/>
          <w:b/>
          <w:kern w:val="0"/>
          <w:sz w:val="24"/>
          <w:szCs w:val="24"/>
          <w:u w:val="single"/>
        </w:rPr>
        <w:t>，与建筑外墙宜大于5</w:t>
      </w:r>
      <w:r>
        <w:rPr>
          <w:rFonts w:hint="eastAsia" w:ascii="宋体" w:hAnsi="宋体" w:eastAsia="宋体" w:cs="Times New Roman"/>
          <w:b/>
          <w:kern w:val="0"/>
          <w:sz w:val="24"/>
          <w:szCs w:val="24"/>
          <w:u w:val="single"/>
        </w:rPr>
        <w:t>米</w:t>
      </w:r>
      <w:r>
        <w:rPr>
          <w:rFonts w:ascii="宋体" w:hAnsi="宋体" w:eastAsia="宋体" w:cs="Times New Roman"/>
          <w:b/>
          <w:kern w:val="0"/>
          <w:sz w:val="24"/>
          <w:szCs w:val="24"/>
          <w:u w:val="single"/>
        </w:rPr>
        <w:t>。</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（三）</w:t>
      </w:r>
      <w:r>
        <w:rPr>
          <w:rFonts w:eastAsia="宋体" w:cs="Times New Roman" w:asciiTheme="minorEastAsia" w:hAnsiTheme="minorEastAsia"/>
          <w:b/>
          <w:kern w:val="0"/>
          <w:sz w:val="24"/>
          <w:szCs w:val="24"/>
        </w:rPr>
        <w:t>抗震减灾规划</w:t>
      </w:r>
    </w:p>
    <w:p>
      <w:pPr>
        <w:adjustRightInd w:val="0"/>
        <w:snapToGrid w:val="0"/>
        <w:spacing w:line="360" w:lineRule="auto"/>
        <w:ind w:firstLine="482" w:firstLineChars="200"/>
        <w:rPr>
          <w:rFonts w:ascii="宋体" w:hAnsi="宋体" w:eastAsia="宋体" w:cs="Times New Roman"/>
          <w:b/>
          <w:kern w:val="0"/>
          <w:sz w:val="24"/>
          <w:szCs w:val="24"/>
          <w:u w:val="single"/>
        </w:rPr>
      </w:pPr>
      <w:r>
        <w:rPr>
          <w:rFonts w:ascii="宋体" w:hAnsi="宋体" w:eastAsia="宋体" w:cs="Times New Roman"/>
          <w:b/>
          <w:kern w:val="0"/>
          <w:sz w:val="24"/>
          <w:szCs w:val="24"/>
          <w:u w:val="single"/>
        </w:rPr>
        <w:t>根据《中国地震动参数区划图》(GB18306-20015)，镇区位于地震动峰值加速度0.05g分区、反应谱特征周期0.35s分区，抗震设防烈度为</w:t>
      </w:r>
      <w:r>
        <w:rPr>
          <w:rFonts w:hint="eastAsia" w:ascii="宋体" w:hAnsi="宋体" w:eastAsia="宋体" w:cs="Times New Roman"/>
          <w:b/>
          <w:kern w:val="0"/>
          <w:sz w:val="24"/>
          <w:szCs w:val="24"/>
          <w:u w:val="single"/>
        </w:rPr>
        <w:t>Ⅵ</w:t>
      </w:r>
      <w:r>
        <w:rPr>
          <w:rFonts w:ascii="宋体" w:hAnsi="宋体" w:eastAsia="宋体" w:cs="Times New Roman"/>
          <w:b/>
          <w:kern w:val="0"/>
          <w:sz w:val="24"/>
          <w:szCs w:val="24"/>
          <w:u w:val="single"/>
        </w:rPr>
        <w:t>度。严格控制新建、改建、扩建</w:t>
      </w:r>
      <w:r>
        <w:rPr>
          <w:rFonts w:hint="eastAsia" w:ascii="宋体" w:hAnsi="宋体" w:eastAsia="宋体" w:cs="Times New Roman"/>
          <w:b/>
          <w:kern w:val="0"/>
          <w:sz w:val="24"/>
          <w:szCs w:val="24"/>
          <w:u w:val="single"/>
        </w:rPr>
        <w:t>（构）</w:t>
      </w:r>
      <w:r>
        <w:rPr>
          <w:rFonts w:ascii="宋体" w:hAnsi="宋体" w:eastAsia="宋体" w:cs="Times New Roman"/>
          <w:b/>
          <w:kern w:val="0"/>
          <w:sz w:val="24"/>
          <w:szCs w:val="24"/>
          <w:u w:val="single"/>
        </w:rPr>
        <w:t>筑物防震等级，一般民用建筑按6 度设防，重要工程、城市生命线工程结构基础按7 度设防。重大工程和可能发生次生灾害的工程，必须进行地震安全性评价，并根据地震安全性评价的结果，确定抗震设防要求，进行抗震设防。</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（四）地质灾害防治规划</w:t>
      </w:r>
    </w:p>
    <w:p>
      <w:pPr>
        <w:adjustRightInd w:val="0"/>
        <w:snapToGrid w:val="0"/>
        <w:spacing w:line="360" w:lineRule="auto"/>
        <w:ind w:firstLine="480" w:firstLineChars="200"/>
        <w:rPr>
          <w:sz w:val="32"/>
          <w:szCs w:val="32"/>
        </w:rPr>
      </w:pPr>
      <w:r>
        <w:rPr>
          <w:rFonts w:ascii="宋体" w:hAnsi="宋体" w:eastAsia="宋体" w:cs="Times New Roman"/>
          <w:kern w:val="0"/>
          <w:sz w:val="24"/>
          <w:szCs w:val="24"/>
        </w:rPr>
        <w:t>规划应根据《地质灾害防治条例》、《地质灾害防治管理办法》、《县（市）地质灾害调查与区划基本要求》的精神和要求尽快编制相符的工程地质勘查报告，并作地质灾害评估。如遇规划结论与地勘结论有矛盾之处，下一步建筑设计报建应以详勘为依据，若出现地质勘察认定不宜建设情况，应以地质勘察结论为依据审查建设方案，并适时论证调整规划</w:t>
      </w:r>
      <w:r>
        <w:rPr>
          <w:sz w:val="32"/>
          <w:szCs w:val="32"/>
        </w:rPr>
        <w:t>。</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镇区应完善预警联动和信息共享机制，确保第一时间将防灾信息、防灾措施和防灾要求传递到各村社负责人、地质灾害隐患点监测责任人、监测人和危险区内的群众。</w:t>
      </w:r>
    </w:p>
    <w:p>
      <w:pPr>
        <w:adjustRightInd w:val="0"/>
        <w:snapToGrid w:val="0"/>
        <w:spacing w:line="360" w:lineRule="auto"/>
        <w:ind w:firstLine="482" w:firstLineChars="200"/>
        <w:rPr>
          <w:rFonts w:ascii="黑体" w:hAnsi="黑体" w:eastAsia="黑体" w:cs="Times New Roman"/>
          <w:b/>
          <w:kern w:val="0"/>
          <w:sz w:val="24"/>
          <w:szCs w:val="24"/>
        </w:rPr>
      </w:pPr>
      <w:r>
        <w:rPr>
          <w:rFonts w:hint="eastAsia" w:ascii="黑体" w:hAnsi="黑体" w:eastAsia="黑体" w:cs="Times New Roman"/>
          <w:b/>
          <w:kern w:val="0"/>
          <w:sz w:val="24"/>
          <w:szCs w:val="24"/>
        </w:rPr>
        <w:t>十四、风貌管控</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（一）风貌结构规划</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规划贯穿城市设计理念，结合自然山水格局和地域人文特征，对象山镇区的空间形态和风貌特色等内容进行整体研究。确定风貌塑造上以</w:t>
      </w:r>
      <w:r>
        <w:rPr>
          <w:rFonts w:hint="eastAsia" w:ascii="宋体" w:hAnsi="宋体" w:eastAsia="宋体" w:cs="Times New Roman"/>
          <w:kern w:val="0"/>
          <w:sz w:val="24"/>
          <w:szCs w:val="24"/>
        </w:rPr>
        <w:t>丘陵</w:t>
      </w:r>
      <w:r>
        <w:rPr>
          <w:rFonts w:ascii="宋体" w:hAnsi="宋体" w:eastAsia="宋体" w:cs="Times New Roman"/>
          <w:kern w:val="0"/>
          <w:sz w:val="24"/>
          <w:szCs w:val="24"/>
        </w:rPr>
        <w:t>川中民居为主基调。 构建象山镇区“一轴一带三区”的风貌结构。</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一轴：沿交通街商贸风情文化轴；</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一带：沿郪江生态景观廊道；</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三区：田园风貌区、川中现代风貌区和川中传统风貌区。</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象山镇区建筑以现状保留为主，基本维持现状空间形态，加强立面风貌整治，营造和谐的街景意向。部分新建居住建筑不超过6层，临近郪江首排建筑高度不超过12 米，营造绿色掩映的空间意向。</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（二）</w:t>
      </w:r>
      <w:r>
        <w:rPr>
          <w:rFonts w:eastAsia="宋体" w:cs="Times New Roman" w:asciiTheme="minorEastAsia" w:hAnsiTheme="minorEastAsia"/>
          <w:b/>
          <w:kern w:val="0"/>
          <w:sz w:val="24"/>
          <w:szCs w:val="24"/>
        </w:rPr>
        <w:t>建筑风貌管控</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1、建筑屋顶</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全部采用坡屋顶形式。</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2</w:t>
      </w:r>
      <w:r>
        <w:rPr>
          <w:rFonts w:hint="eastAsia" w:ascii="宋体" w:hAnsi="宋体" w:eastAsia="宋体" w:cs="Times New Roman"/>
          <w:kern w:val="0"/>
          <w:sz w:val="24"/>
          <w:szCs w:val="24"/>
        </w:rPr>
        <w:t>、建筑色彩</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以黑、白、灰为基调，单体建筑色彩不宜超过三种。</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3</w:t>
      </w:r>
      <w:r>
        <w:rPr>
          <w:rFonts w:hint="eastAsia" w:ascii="宋体" w:hAnsi="宋体" w:eastAsia="宋体" w:cs="Times New Roman"/>
          <w:kern w:val="0"/>
          <w:sz w:val="24"/>
          <w:szCs w:val="24"/>
        </w:rPr>
        <w:t>、建筑体量</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严禁出现庞大、横长或矮胖的形体，单体建筑连续长度不宜超过25</w:t>
      </w:r>
      <w:r>
        <w:rPr>
          <w:rFonts w:hint="eastAsia" w:ascii="宋体" w:hAnsi="宋体" w:eastAsia="宋体" w:cs="Times New Roman"/>
          <w:kern w:val="0"/>
          <w:sz w:val="24"/>
          <w:szCs w:val="24"/>
        </w:rPr>
        <w:t>米。</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4</w:t>
      </w:r>
      <w:r>
        <w:rPr>
          <w:rFonts w:hint="eastAsia" w:ascii="宋体" w:hAnsi="宋体" w:eastAsia="宋体" w:cs="Times New Roman"/>
          <w:kern w:val="0"/>
          <w:sz w:val="24"/>
          <w:szCs w:val="24"/>
        </w:rPr>
        <w:t>、建筑立面</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在墙身的处理上不应大面积的使用光面墙砖、防腐木和不耐脏、不耐久的低档涂料，不应设置金属卷帘门、防盗栏和雨棚。</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5、建筑屋顶材质</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禁止使用颜色艳丽平板彩钢板屋顶。</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6、墙裙材质</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采用青砖、仿</w:t>
      </w:r>
      <w:r>
        <w:rPr>
          <w:rFonts w:hint="eastAsia" w:ascii="宋体" w:hAnsi="宋体" w:eastAsia="宋体" w:cs="Times New Roman"/>
          <w:kern w:val="0"/>
          <w:sz w:val="24"/>
          <w:szCs w:val="24"/>
        </w:rPr>
        <w:t>木质</w:t>
      </w:r>
      <w:r>
        <w:rPr>
          <w:rFonts w:ascii="宋体" w:hAnsi="宋体" w:eastAsia="宋体" w:cs="Times New Roman"/>
          <w:kern w:val="0"/>
          <w:sz w:val="24"/>
          <w:szCs w:val="24"/>
        </w:rPr>
        <w:t>墙裙。</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7、建筑装饰</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室外空调外机、电控箱、管道统一设计遮蔽措施，采用与风貌相协调的材质颜色。</w:t>
      </w:r>
    </w:p>
    <w:p>
      <w:pPr>
        <w:adjustRightInd w:val="0"/>
        <w:snapToGrid w:val="0"/>
        <w:spacing w:line="360" w:lineRule="auto"/>
        <w:ind w:firstLine="482" w:firstLineChars="200"/>
        <w:rPr>
          <w:rFonts w:ascii="黑体" w:hAnsi="黑体" w:eastAsia="黑体" w:cs="Times New Roman"/>
          <w:b/>
          <w:kern w:val="0"/>
          <w:sz w:val="24"/>
          <w:szCs w:val="24"/>
        </w:rPr>
      </w:pPr>
      <w:r>
        <w:rPr>
          <w:rFonts w:hint="eastAsia" w:ascii="黑体" w:hAnsi="黑体" w:eastAsia="黑体" w:cs="Times New Roman"/>
          <w:b/>
          <w:kern w:val="0"/>
          <w:sz w:val="24"/>
          <w:szCs w:val="24"/>
        </w:rPr>
        <w:t>十五、镇区宅基地管控</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（一）城镇开发边界内自建房控制</w:t>
      </w:r>
    </w:p>
    <w:p>
      <w:pPr>
        <w:adjustRightInd w:val="0"/>
        <w:snapToGrid w:val="0"/>
        <w:spacing w:line="360" w:lineRule="auto"/>
        <w:ind w:firstLine="482" w:firstLineChars="200"/>
        <w:rPr>
          <w:rFonts w:ascii="宋体" w:hAnsi="宋体" w:eastAsia="宋体" w:cs="Times New Roman"/>
          <w:b/>
          <w:kern w:val="0"/>
          <w:sz w:val="24"/>
          <w:szCs w:val="24"/>
          <w:u w:val="single"/>
        </w:rPr>
      </w:pPr>
      <w:r>
        <w:rPr>
          <w:rFonts w:hint="eastAsia" w:ascii="宋体" w:hAnsi="宋体" w:eastAsia="宋体" w:cs="Times New Roman"/>
          <w:b/>
          <w:kern w:val="0"/>
          <w:sz w:val="24"/>
          <w:szCs w:val="24"/>
          <w:u w:val="single"/>
        </w:rPr>
        <w:t>中心场镇开发边界内的自建房项目须经房屋鉴定机构鉴定确认属于D级危房（申请时提供鉴定报告），又无其他居所，且未纳入棚户区规划，也不能纳入易地提前安置的，则按原址原面积原高度的原则予以审批。开发边界内自建房总建筑层数不宜超过3层（含3层），建筑高度不宜超过12米。</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（二）宅基地面积控制</w:t>
      </w:r>
    </w:p>
    <w:p>
      <w:pPr>
        <w:adjustRightInd w:val="0"/>
        <w:snapToGrid w:val="0"/>
        <w:spacing w:line="360" w:lineRule="auto"/>
        <w:ind w:firstLine="482" w:firstLineChars="200"/>
        <w:rPr>
          <w:rFonts w:ascii="宋体" w:hAnsi="宋体" w:eastAsia="宋体" w:cs="Times New Roman"/>
          <w:b/>
          <w:kern w:val="0"/>
          <w:sz w:val="24"/>
          <w:szCs w:val="24"/>
          <w:u w:val="single"/>
        </w:rPr>
      </w:pPr>
      <w:r>
        <w:rPr>
          <w:rFonts w:hint="eastAsia" w:ascii="宋体" w:hAnsi="宋体" w:eastAsia="宋体" w:cs="Times New Roman"/>
          <w:b/>
          <w:kern w:val="0"/>
          <w:sz w:val="24"/>
          <w:szCs w:val="24"/>
          <w:u w:val="single"/>
        </w:rPr>
        <w:t>在中心场镇开发边界内使用集体建设用地进行自建房建设的，必须坚持“一户一宅”原则，户宅基地面积标准分3人户及以下、4人户、5人户及以上类别，宅基地面积分别控制在90、100、125平方米以内。</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（三）户型选择</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在中心场镇开发边界内使用集体建设用地进行自建房建设的，户型选择建议按照《遂宁市美丽乡村风貌导则及民居设计图集》（2023.01）建筑图集内容P82-91执行，应避免选择山墙开窗的户型。</w:t>
      </w:r>
    </w:p>
    <w:p>
      <w:pPr>
        <w:adjustRightInd w:val="0"/>
        <w:snapToGrid w:val="0"/>
        <w:spacing w:line="360" w:lineRule="auto"/>
        <w:ind w:firstLine="480" w:firstLineChars="200"/>
        <w:rPr>
          <w:rFonts w:ascii="宋体" w:hAnsi="宋体" w:eastAsia="宋体" w:cs="Times New Roman"/>
          <w:b/>
          <w:kern w:val="0"/>
          <w:sz w:val="24"/>
          <w:szCs w:val="24"/>
          <w:u w:val="single"/>
        </w:rPr>
      </w:pPr>
      <w:r>
        <w:rPr>
          <w:rFonts w:hint="eastAsia" w:eastAsia="宋体" w:cs="Times New Roman" w:asciiTheme="minorEastAsia" w:hAnsiTheme="minorEastAsia"/>
          <w:kern w:val="0"/>
          <w:sz w:val="24"/>
          <w:szCs w:val="24"/>
        </w:rPr>
        <w:t>其他具体管理办法参照《大英县城市开发边界线和中心场镇规划区内自建房建设管理办法》执行。</w:t>
      </w:r>
    </w:p>
    <w:p>
      <w:pPr>
        <w:pStyle w:val="36"/>
        <w:numPr>
          <w:ilvl w:val="0"/>
          <w:numId w:val="6"/>
        </w:numPr>
        <w:spacing w:beforeLines="50" w:afterLines="50"/>
        <w:ind w:firstLineChars="0"/>
        <w:jc w:val="center"/>
        <w:rPr>
          <w:rFonts w:ascii="黑体" w:hAnsi="黑体" w:eastAsia="黑体"/>
          <w:b w:val="0"/>
          <w:kern w:val="2"/>
        </w:rPr>
      </w:pPr>
      <w:bookmarkStart w:id="30" w:name="_Toc166772179"/>
      <w:r>
        <w:rPr>
          <w:rFonts w:hint="eastAsia" w:ascii="黑体" w:hAnsi="黑体" w:eastAsia="黑体"/>
          <w:b w:val="0"/>
          <w:kern w:val="2"/>
        </w:rPr>
        <w:t>玉峰镇镇区规划</w:t>
      </w:r>
      <w:bookmarkEnd w:id="30"/>
    </w:p>
    <w:p>
      <w:pPr>
        <w:adjustRightInd w:val="0"/>
        <w:snapToGrid w:val="0"/>
        <w:spacing w:line="360" w:lineRule="auto"/>
        <w:ind w:firstLine="482" w:firstLineChars="200"/>
        <w:rPr>
          <w:rFonts w:ascii="黑体" w:hAnsi="黑体" w:eastAsia="黑体" w:cs="Times New Roman"/>
          <w:b/>
          <w:kern w:val="0"/>
          <w:sz w:val="24"/>
          <w:szCs w:val="24"/>
        </w:rPr>
      </w:pPr>
      <w:r>
        <w:rPr>
          <w:rFonts w:hint="eastAsia" w:ascii="黑体" w:hAnsi="黑体" w:eastAsia="黑体" w:cs="Times New Roman"/>
          <w:b/>
          <w:kern w:val="0"/>
          <w:sz w:val="24"/>
          <w:szCs w:val="24"/>
        </w:rPr>
        <w:t>一、镇区基本情况和特征问题</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（一）</w:t>
      </w:r>
      <w:r>
        <w:rPr>
          <w:rFonts w:eastAsia="宋体" w:cs="Times New Roman" w:asciiTheme="minorEastAsia" w:hAnsiTheme="minorEastAsia"/>
          <w:b/>
          <w:kern w:val="0"/>
          <w:sz w:val="24"/>
          <w:szCs w:val="24"/>
        </w:rPr>
        <w:t>基本情况</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地处大英县西北部，是遂宁市与德阳市的交界处，东临蓬莱镇，南靠河边镇，西侧与智水乡和德阳市中江县接壤，北侧为象山镇，政府驻地位于玉峰村。2020年镇区常住人口0.12万人，建设用地</w:t>
      </w:r>
      <w:r>
        <w:rPr>
          <w:rFonts w:hint="eastAsia" w:eastAsia="宋体" w:cs="Times New Roman" w:asciiTheme="minorEastAsia" w:hAnsiTheme="minorEastAsia"/>
          <w:kern w:val="0"/>
          <w:sz w:val="24"/>
          <w:szCs w:val="24"/>
        </w:rPr>
        <w:t>33.94</w:t>
      </w:r>
      <w:r>
        <w:rPr>
          <w:rFonts w:eastAsia="宋体" w:cs="Times New Roman" w:asciiTheme="minorEastAsia" w:hAnsiTheme="minorEastAsia"/>
          <w:kern w:val="0"/>
          <w:sz w:val="24"/>
          <w:szCs w:val="24"/>
        </w:rPr>
        <w:t>公顷，人均建设用地282.83</w:t>
      </w:r>
      <w:r>
        <w:rPr>
          <w:rFonts w:hint="eastAsia" w:eastAsia="宋体" w:cs="Times New Roman" w:asciiTheme="minorEastAsia" w:hAnsiTheme="minorEastAsia"/>
          <w:kern w:val="0"/>
          <w:sz w:val="24"/>
          <w:szCs w:val="24"/>
        </w:rPr>
        <w:t>平方米。</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（二）</w:t>
      </w:r>
      <w:r>
        <w:rPr>
          <w:rFonts w:eastAsia="宋体" w:cs="Times New Roman" w:asciiTheme="minorEastAsia" w:hAnsiTheme="minorEastAsia"/>
          <w:b/>
          <w:kern w:val="0"/>
          <w:sz w:val="24"/>
          <w:szCs w:val="24"/>
        </w:rPr>
        <w:t>特征问题</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镇区</w:t>
      </w:r>
      <w:r>
        <w:rPr>
          <w:rFonts w:hint="eastAsia" w:ascii="宋体" w:hAnsi="宋体" w:eastAsia="宋体" w:cs="Times New Roman"/>
          <w:kern w:val="0"/>
          <w:sz w:val="24"/>
          <w:szCs w:val="24"/>
        </w:rPr>
        <w:t>功能</w:t>
      </w:r>
      <w:r>
        <w:rPr>
          <w:rFonts w:ascii="宋体" w:hAnsi="宋体" w:eastAsia="宋体" w:cs="Times New Roman"/>
          <w:kern w:val="0"/>
          <w:sz w:val="24"/>
          <w:szCs w:val="24"/>
        </w:rPr>
        <w:t>结构布局不合理，现状居住用地过多，占范围面积的</w:t>
      </w:r>
      <w:r>
        <w:rPr>
          <w:rFonts w:hint="eastAsia" w:ascii="宋体" w:hAnsi="宋体" w:eastAsia="宋体" w:cs="Times New Roman"/>
          <w:kern w:val="0"/>
          <w:sz w:val="24"/>
          <w:szCs w:val="24"/>
        </w:rPr>
        <w:t>44.81</w:t>
      </w:r>
      <w:r>
        <w:rPr>
          <w:rFonts w:ascii="宋体" w:hAnsi="宋体" w:eastAsia="宋体" w:cs="Times New Roman"/>
          <w:kern w:val="0"/>
          <w:sz w:val="24"/>
          <w:szCs w:val="24"/>
        </w:rPr>
        <w:t>%，客运站与居住用地混合布局，威胁人居安全，其他服务性设施用地较少。</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玉峰镇镇区的公服设施门类齐全、基础好，但部分基础设施年代久远、处于废弃状态，整体质量不高</w:t>
      </w:r>
      <w:r>
        <w:rPr>
          <w:rFonts w:hint="eastAsia" w:ascii="宋体" w:hAnsi="宋体" w:eastAsia="宋体" w:cs="Times New Roman"/>
          <w:kern w:val="0"/>
          <w:sz w:val="24"/>
          <w:szCs w:val="24"/>
        </w:rPr>
        <w:t>，</w:t>
      </w:r>
      <w:r>
        <w:rPr>
          <w:rFonts w:ascii="宋体" w:hAnsi="宋体" w:eastAsia="宋体" w:cs="Times New Roman"/>
          <w:kern w:val="0"/>
          <w:sz w:val="24"/>
          <w:szCs w:val="24"/>
        </w:rPr>
        <w:t>教育、就业、医疗等设施基本满足镇域需求，缺少养老服务中心，同时文体活动设施缺口较大。</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镇区内市政设施配置齐全，镇区实现户户通自来水</w:t>
      </w:r>
      <w:r>
        <w:rPr>
          <w:rFonts w:hint="eastAsia" w:ascii="宋体" w:hAnsi="宋体" w:eastAsia="宋体" w:cs="Times New Roman"/>
          <w:kern w:val="0"/>
          <w:sz w:val="24"/>
          <w:szCs w:val="24"/>
        </w:rPr>
        <w:t>，</w:t>
      </w:r>
      <w:r>
        <w:rPr>
          <w:rFonts w:ascii="宋体" w:hAnsi="宋体" w:eastAsia="宋体" w:cs="Times New Roman"/>
          <w:kern w:val="0"/>
          <w:sz w:val="24"/>
          <w:szCs w:val="24"/>
        </w:rPr>
        <w:t>污水处理厂、变电站（玉峰35KV）等市政设施配基本满足未来城镇发展需求，但交通系统不够健全，道路过窄，不满足消防要求，停车场配建不够完善，亟待改善。</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镇区风貌较为杂乱，缺乏特色</w:t>
      </w:r>
      <w:r>
        <w:rPr>
          <w:rFonts w:hint="eastAsia" w:ascii="宋体" w:hAnsi="宋体" w:eastAsia="宋体" w:cs="Times New Roman"/>
          <w:kern w:val="0"/>
          <w:sz w:val="24"/>
          <w:szCs w:val="24"/>
        </w:rPr>
        <w:t>。</w:t>
      </w:r>
      <w:r>
        <w:rPr>
          <w:rFonts w:ascii="宋体" w:hAnsi="宋体" w:eastAsia="宋体" w:cs="Times New Roman"/>
          <w:kern w:val="0"/>
          <w:sz w:val="24"/>
          <w:szCs w:val="24"/>
        </w:rPr>
        <w:t>镇区整体以低层建筑为主，玉峰镇区近年来新增建筑较少，但是整体风貌较为杂乱，缺乏特色。</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镇区现状环境质量良好</w:t>
      </w:r>
      <w:r>
        <w:rPr>
          <w:rFonts w:hint="eastAsia" w:ascii="宋体" w:hAnsi="宋体" w:eastAsia="宋体" w:cs="Times New Roman"/>
          <w:kern w:val="0"/>
          <w:sz w:val="24"/>
          <w:szCs w:val="24"/>
        </w:rPr>
        <w:t>，</w:t>
      </w:r>
      <w:r>
        <w:rPr>
          <w:rFonts w:ascii="宋体" w:hAnsi="宋体" w:eastAsia="宋体" w:cs="Times New Roman"/>
          <w:kern w:val="0"/>
          <w:sz w:val="24"/>
          <w:szCs w:val="24"/>
        </w:rPr>
        <w:t>有玉印公园、幸福溪穿越镇区</w:t>
      </w:r>
      <w:r>
        <w:rPr>
          <w:rFonts w:hint="eastAsia" w:ascii="宋体" w:hAnsi="宋体" w:eastAsia="宋体" w:cs="Times New Roman"/>
          <w:kern w:val="0"/>
          <w:sz w:val="24"/>
          <w:szCs w:val="24"/>
        </w:rPr>
        <w:t xml:space="preserve">。 </w:t>
      </w:r>
    </w:p>
    <w:p>
      <w:pPr>
        <w:adjustRightInd w:val="0"/>
        <w:snapToGrid w:val="0"/>
        <w:spacing w:line="360" w:lineRule="auto"/>
        <w:ind w:firstLine="482" w:firstLineChars="200"/>
        <w:rPr>
          <w:rFonts w:ascii="黑体" w:hAnsi="黑体" w:eastAsia="黑体" w:cs="Times New Roman"/>
          <w:b/>
          <w:kern w:val="0"/>
          <w:sz w:val="24"/>
          <w:szCs w:val="24"/>
        </w:rPr>
      </w:pPr>
      <w:r>
        <w:rPr>
          <w:rFonts w:hint="eastAsia" w:ascii="黑体" w:hAnsi="黑体" w:eastAsia="黑体" w:cs="Times New Roman"/>
          <w:b/>
          <w:kern w:val="0"/>
          <w:sz w:val="24"/>
          <w:szCs w:val="24"/>
        </w:rPr>
        <w:t>二、镇区发展方向</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镇区主要发展方向在老城镇的基础上沿幸福路向东发展，形成沿路两侧发展的态势。</w:t>
      </w:r>
    </w:p>
    <w:p>
      <w:pPr>
        <w:adjustRightInd w:val="0"/>
        <w:snapToGrid w:val="0"/>
        <w:spacing w:line="360" w:lineRule="auto"/>
        <w:ind w:firstLine="482" w:firstLineChars="200"/>
        <w:rPr>
          <w:rFonts w:ascii="黑体" w:hAnsi="黑体" w:eastAsia="黑体" w:cs="Times New Roman"/>
          <w:b/>
          <w:kern w:val="0"/>
          <w:sz w:val="24"/>
          <w:szCs w:val="24"/>
        </w:rPr>
      </w:pPr>
      <w:r>
        <w:rPr>
          <w:rFonts w:hint="eastAsia" w:ascii="黑体" w:hAnsi="黑体" w:eastAsia="黑体" w:cs="Times New Roman"/>
          <w:b/>
          <w:kern w:val="0"/>
          <w:sz w:val="24"/>
          <w:szCs w:val="24"/>
        </w:rPr>
        <w:t>三、镇区用地评价</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镇区现状城镇建设主要沿交通街与幸福路平行分布</w:t>
      </w:r>
      <w:r>
        <w:rPr>
          <w:rFonts w:hint="eastAsia" w:ascii="宋体" w:hAnsi="宋体" w:eastAsia="宋体" w:cs="Times New Roman"/>
          <w:kern w:val="0"/>
          <w:sz w:val="24"/>
          <w:szCs w:val="24"/>
        </w:rPr>
        <w:t>，</w:t>
      </w:r>
      <w:r>
        <w:rPr>
          <w:rFonts w:ascii="宋体" w:hAnsi="宋体" w:eastAsia="宋体" w:cs="Times New Roman"/>
          <w:kern w:val="0"/>
          <w:sz w:val="24"/>
          <w:szCs w:val="24"/>
        </w:rPr>
        <w:t>现状居住用地、公共设施用地占建设用地比例较高，而交通用地、市政用地等比例</w:t>
      </w:r>
      <w:r>
        <w:rPr>
          <w:rFonts w:hint="eastAsia" w:ascii="宋体" w:hAnsi="宋体" w:eastAsia="宋体" w:cs="Times New Roman"/>
          <w:kern w:val="0"/>
          <w:sz w:val="24"/>
          <w:szCs w:val="24"/>
        </w:rPr>
        <w:t>较低</w:t>
      </w:r>
      <w:r>
        <w:rPr>
          <w:rFonts w:ascii="宋体" w:hAnsi="宋体" w:eastAsia="宋体" w:cs="Times New Roman"/>
          <w:kern w:val="0"/>
          <w:sz w:val="24"/>
          <w:szCs w:val="24"/>
        </w:rPr>
        <w:t>。现状场镇西南部和幸福溪南侧开阔的地段主要为耕地，高程较低</w:t>
      </w:r>
      <w:r>
        <w:rPr>
          <w:rFonts w:hint="eastAsia" w:ascii="宋体" w:hAnsi="宋体" w:eastAsia="宋体" w:cs="Times New Roman"/>
          <w:kern w:val="0"/>
          <w:sz w:val="24"/>
          <w:szCs w:val="24"/>
        </w:rPr>
        <w:t>、</w:t>
      </w:r>
      <w:r>
        <w:rPr>
          <w:rFonts w:ascii="宋体" w:hAnsi="宋体" w:eastAsia="宋体" w:cs="Times New Roman"/>
          <w:kern w:val="0"/>
          <w:sz w:val="24"/>
          <w:szCs w:val="24"/>
        </w:rPr>
        <w:t>地势起伏不大，为较好的城镇建设用地</w:t>
      </w:r>
      <w:r>
        <w:rPr>
          <w:rFonts w:hint="eastAsia" w:ascii="宋体" w:hAnsi="宋体" w:eastAsia="宋体" w:cs="Times New Roman"/>
          <w:kern w:val="0"/>
          <w:sz w:val="24"/>
          <w:szCs w:val="24"/>
        </w:rPr>
        <w:t>。</w:t>
      </w:r>
    </w:p>
    <w:p>
      <w:pPr>
        <w:adjustRightInd w:val="0"/>
        <w:snapToGrid w:val="0"/>
        <w:spacing w:line="360" w:lineRule="auto"/>
        <w:ind w:firstLine="482" w:firstLineChars="200"/>
        <w:rPr>
          <w:rFonts w:ascii="黑体" w:hAnsi="黑体" w:eastAsia="黑体" w:cs="Times New Roman"/>
          <w:b/>
          <w:kern w:val="0"/>
          <w:sz w:val="24"/>
          <w:szCs w:val="24"/>
        </w:rPr>
      </w:pPr>
      <w:r>
        <w:rPr>
          <w:rFonts w:hint="eastAsia" w:ascii="黑体" w:hAnsi="黑体" w:eastAsia="黑体" w:cs="Times New Roman"/>
          <w:b/>
          <w:kern w:val="0"/>
          <w:sz w:val="24"/>
          <w:szCs w:val="24"/>
        </w:rPr>
        <w:t>四、城镇开发边界</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根据大英县“三区三线”划定成果，玉峰镇区城镇开发边界规模为40.26公顷（不包含原智水和方平沟场镇的开发边界）。</w:t>
      </w:r>
    </w:p>
    <w:p>
      <w:pPr>
        <w:adjustRightInd w:val="0"/>
        <w:snapToGrid w:val="0"/>
        <w:spacing w:line="360" w:lineRule="auto"/>
        <w:ind w:firstLine="482" w:firstLineChars="200"/>
        <w:rPr>
          <w:rFonts w:ascii="黑体" w:hAnsi="黑体" w:eastAsia="黑体" w:cs="Times New Roman"/>
          <w:b/>
          <w:kern w:val="0"/>
          <w:sz w:val="24"/>
          <w:szCs w:val="24"/>
        </w:rPr>
      </w:pPr>
      <w:r>
        <w:rPr>
          <w:rFonts w:hint="eastAsia" w:ascii="黑体" w:hAnsi="黑体" w:eastAsia="黑体" w:cs="Times New Roman"/>
          <w:b/>
          <w:kern w:val="0"/>
          <w:sz w:val="24"/>
          <w:szCs w:val="24"/>
        </w:rPr>
        <w:t>五、城镇性质和规模</w:t>
      </w:r>
    </w:p>
    <w:p>
      <w:pPr>
        <w:adjustRightInd w:val="0"/>
        <w:snapToGrid w:val="0"/>
        <w:spacing w:line="360" w:lineRule="auto"/>
        <w:ind w:firstLine="482" w:firstLineChars="200"/>
        <w:rPr>
          <w:rFonts w:ascii="宋体" w:hAnsi="宋体" w:eastAsia="宋体" w:cs="Times New Roman"/>
          <w:b/>
          <w:kern w:val="0"/>
          <w:sz w:val="24"/>
          <w:szCs w:val="24"/>
          <w:u w:val="single"/>
        </w:rPr>
      </w:pPr>
      <w:r>
        <w:rPr>
          <w:rFonts w:ascii="宋体" w:hAnsi="宋体" w:eastAsia="宋体" w:cs="Times New Roman"/>
          <w:b/>
          <w:kern w:val="0"/>
          <w:sz w:val="24"/>
          <w:szCs w:val="24"/>
          <w:u w:val="single"/>
        </w:rPr>
        <w:t>规划</w:t>
      </w:r>
      <w:r>
        <w:rPr>
          <w:rFonts w:hint="eastAsia" w:ascii="宋体" w:hAnsi="宋体" w:eastAsia="宋体" w:cs="Times New Roman"/>
          <w:b/>
          <w:kern w:val="0"/>
          <w:sz w:val="24"/>
          <w:szCs w:val="24"/>
          <w:u w:val="single"/>
        </w:rPr>
        <w:t>玉峰</w:t>
      </w:r>
      <w:r>
        <w:rPr>
          <w:rFonts w:ascii="宋体" w:hAnsi="宋体" w:eastAsia="宋体" w:cs="Times New Roman"/>
          <w:b/>
          <w:kern w:val="0"/>
          <w:sz w:val="24"/>
          <w:szCs w:val="24"/>
          <w:u w:val="single"/>
        </w:rPr>
        <w:t>镇城镇性质为乡旅驿站，田园宜居</w:t>
      </w:r>
      <w:r>
        <w:rPr>
          <w:rFonts w:hint="eastAsia" w:ascii="宋体" w:hAnsi="宋体" w:eastAsia="宋体" w:cs="Times New Roman"/>
          <w:b/>
          <w:kern w:val="0"/>
          <w:sz w:val="24"/>
          <w:szCs w:val="24"/>
          <w:u w:val="single"/>
        </w:rPr>
        <w:t>城</w:t>
      </w:r>
      <w:r>
        <w:rPr>
          <w:rFonts w:ascii="宋体" w:hAnsi="宋体" w:eastAsia="宋体" w:cs="Times New Roman"/>
          <w:b/>
          <w:kern w:val="0"/>
          <w:sz w:val="24"/>
          <w:szCs w:val="24"/>
          <w:u w:val="single"/>
        </w:rPr>
        <w:t>镇。</w:t>
      </w:r>
    </w:p>
    <w:p>
      <w:pPr>
        <w:adjustRightInd w:val="0"/>
        <w:snapToGrid w:val="0"/>
        <w:spacing w:line="360" w:lineRule="auto"/>
        <w:ind w:firstLine="482" w:firstLineChars="200"/>
        <w:rPr>
          <w:rFonts w:ascii="宋体" w:hAnsi="宋体" w:eastAsia="宋体" w:cs="Times New Roman"/>
          <w:b/>
          <w:kern w:val="0"/>
          <w:sz w:val="24"/>
          <w:szCs w:val="24"/>
          <w:u w:val="single"/>
        </w:rPr>
      </w:pPr>
      <w:r>
        <w:rPr>
          <w:rFonts w:ascii="宋体" w:hAnsi="宋体" w:eastAsia="宋体" w:cs="Times New Roman"/>
          <w:b/>
          <w:kern w:val="0"/>
          <w:sz w:val="24"/>
          <w:szCs w:val="24"/>
          <w:u w:val="single"/>
        </w:rPr>
        <w:t>规划镇区建设用地</w:t>
      </w:r>
      <w:r>
        <w:rPr>
          <w:rFonts w:hint="eastAsia" w:ascii="宋体" w:hAnsi="宋体" w:eastAsia="宋体" w:cs="Times New Roman"/>
          <w:b/>
          <w:kern w:val="0"/>
          <w:sz w:val="24"/>
          <w:szCs w:val="24"/>
          <w:u w:val="single"/>
        </w:rPr>
        <w:t>40.26</w:t>
      </w:r>
      <w:r>
        <w:rPr>
          <w:rFonts w:ascii="宋体" w:hAnsi="宋体" w:eastAsia="宋体" w:cs="Times New Roman"/>
          <w:b/>
          <w:kern w:val="0"/>
          <w:sz w:val="24"/>
          <w:szCs w:val="24"/>
          <w:u w:val="single"/>
        </w:rPr>
        <w:t>公顷，城镇人口</w:t>
      </w:r>
      <w:r>
        <w:rPr>
          <w:rFonts w:hint="eastAsia" w:ascii="宋体" w:hAnsi="宋体" w:eastAsia="宋体" w:cs="Times New Roman"/>
          <w:b/>
          <w:kern w:val="0"/>
          <w:sz w:val="24"/>
          <w:szCs w:val="24"/>
          <w:u w:val="single"/>
        </w:rPr>
        <w:t>0.40万人，常住人口0.50万人。</w:t>
      </w:r>
    </w:p>
    <w:p>
      <w:pPr>
        <w:adjustRightInd w:val="0"/>
        <w:snapToGrid w:val="0"/>
        <w:spacing w:line="360" w:lineRule="auto"/>
        <w:ind w:firstLine="482" w:firstLineChars="200"/>
        <w:rPr>
          <w:rFonts w:ascii="黑体" w:hAnsi="黑体" w:eastAsia="黑体" w:cs="Times New Roman"/>
          <w:b/>
          <w:kern w:val="0"/>
          <w:sz w:val="24"/>
          <w:szCs w:val="24"/>
        </w:rPr>
      </w:pPr>
      <w:r>
        <w:rPr>
          <w:rFonts w:hint="eastAsia" w:ascii="黑体" w:hAnsi="黑体" w:eastAsia="黑体" w:cs="Times New Roman"/>
          <w:b/>
          <w:kern w:val="0"/>
          <w:sz w:val="24"/>
          <w:szCs w:val="24"/>
        </w:rPr>
        <w:t>六、镇区功能结构</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推动玉峰向东南发展，重构公共服务中心，面向生活和产业服务，依托现状幸福溪形成景观绿带，构建“两心、一轴、一带、两组团”的城镇空间结构。</w:t>
      </w:r>
    </w:p>
    <w:p>
      <w:pPr>
        <w:adjustRightInd w:val="0"/>
        <w:snapToGrid w:val="0"/>
        <w:spacing w:line="360" w:lineRule="auto"/>
        <w:ind w:firstLine="482" w:firstLineChars="200"/>
        <w:rPr>
          <w:rFonts w:ascii="黑体" w:hAnsi="黑体" w:eastAsia="黑体" w:cs="Times New Roman"/>
          <w:b/>
          <w:kern w:val="0"/>
          <w:sz w:val="24"/>
          <w:szCs w:val="24"/>
        </w:rPr>
      </w:pPr>
      <w:r>
        <w:rPr>
          <w:rFonts w:hint="eastAsia" w:ascii="黑体" w:hAnsi="黑体" w:eastAsia="黑体" w:cs="Times New Roman"/>
          <w:b/>
          <w:kern w:val="0"/>
          <w:sz w:val="24"/>
          <w:szCs w:val="24"/>
        </w:rPr>
        <w:t>七、镇区土地用途结构调整</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（一）耕地</w:t>
      </w:r>
    </w:p>
    <w:p>
      <w:pPr>
        <w:adjustRightInd w:val="0"/>
        <w:snapToGrid w:val="0"/>
        <w:spacing w:line="360" w:lineRule="auto"/>
        <w:ind w:firstLine="482" w:firstLineChars="200"/>
        <w:rPr>
          <w:rFonts w:ascii="宋体" w:hAnsi="宋体" w:eastAsia="宋体" w:cs="Times New Roman"/>
          <w:b/>
          <w:kern w:val="0"/>
          <w:sz w:val="24"/>
          <w:szCs w:val="24"/>
          <w:u w:val="single"/>
        </w:rPr>
      </w:pPr>
      <w:r>
        <w:rPr>
          <w:rFonts w:ascii="宋体" w:hAnsi="宋体" w:eastAsia="宋体" w:cs="Times New Roman"/>
          <w:b/>
          <w:kern w:val="0"/>
          <w:sz w:val="24"/>
          <w:szCs w:val="24"/>
          <w:u w:val="single"/>
        </w:rPr>
        <w:t>城镇开发边界内耕地较现状减少了</w:t>
      </w:r>
      <w:r>
        <w:rPr>
          <w:rFonts w:hint="eastAsia" w:ascii="宋体" w:hAnsi="宋体" w:eastAsia="宋体" w:cs="Times New Roman"/>
          <w:b/>
          <w:kern w:val="0"/>
          <w:sz w:val="24"/>
          <w:szCs w:val="24"/>
          <w:u w:val="single"/>
        </w:rPr>
        <w:t>3.80</w:t>
      </w:r>
      <w:r>
        <w:rPr>
          <w:rFonts w:ascii="宋体" w:hAnsi="宋体" w:eastAsia="宋体" w:cs="Times New Roman"/>
          <w:b/>
          <w:kern w:val="0"/>
          <w:sz w:val="24"/>
          <w:szCs w:val="24"/>
          <w:u w:val="single"/>
        </w:rPr>
        <w:t>公顷。</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（二）林地</w:t>
      </w:r>
    </w:p>
    <w:p>
      <w:pPr>
        <w:adjustRightInd w:val="0"/>
        <w:snapToGrid w:val="0"/>
        <w:spacing w:line="360" w:lineRule="auto"/>
        <w:ind w:firstLine="482" w:firstLineChars="200"/>
        <w:rPr>
          <w:rFonts w:ascii="宋体" w:hAnsi="宋体" w:eastAsia="宋体" w:cs="Times New Roman"/>
          <w:b/>
          <w:kern w:val="0"/>
          <w:sz w:val="24"/>
          <w:szCs w:val="24"/>
          <w:u w:val="single"/>
        </w:rPr>
      </w:pPr>
      <w:r>
        <w:rPr>
          <w:rFonts w:ascii="宋体" w:hAnsi="宋体" w:eastAsia="宋体" w:cs="Times New Roman"/>
          <w:b/>
          <w:kern w:val="0"/>
          <w:sz w:val="24"/>
          <w:szCs w:val="24"/>
          <w:u w:val="single"/>
        </w:rPr>
        <w:t>城镇开发边界内林地较现状减少了</w:t>
      </w:r>
      <w:r>
        <w:rPr>
          <w:rFonts w:hint="eastAsia" w:ascii="宋体" w:hAnsi="宋体" w:eastAsia="宋体" w:cs="Times New Roman"/>
          <w:b/>
          <w:kern w:val="0"/>
          <w:sz w:val="24"/>
          <w:szCs w:val="24"/>
          <w:u w:val="single"/>
        </w:rPr>
        <w:t>2.07</w:t>
      </w:r>
      <w:r>
        <w:rPr>
          <w:rFonts w:ascii="宋体" w:hAnsi="宋体" w:eastAsia="宋体" w:cs="Times New Roman"/>
          <w:b/>
          <w:kern w:val="0"/>
          <w:sz w:val="24"/>
          <w:szCs w:val="24"/>
          <w:u w:val="single"/>
        </w:rPr>
        <w:t>公顷。</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（三）</w:t>
      </w:r>
      <w:r>
        <w:rPr>
          <w:rFonts w:eastAsia="宋体" w:cs="Times New Roman" w:asciiTheme="minorEastAsia" w:hAnsiTheme="minorEastAsia"/>
          <w:b/>
          <w:kern w:val="0"/>
          <w:sz w:val="24"/>
          <w:szCs w:val="24"/>
        </w:rPr>
        <w:t>农业设施建设用地</w:t>
      </w:r>
    </w:p>
    <w:p>
      <w:pPr>
        <w:adjustRightInd w:val="0"/>
        <w:snapToGrid w:val="0"/>
        <w:spacing w:line="360" w:lineRule="auto"/>
        <w:ind w:firstLine="482" w:firstLineChars="200"/>
        <w:rPr>
          <w:rFonts w:ascii="宋体" w:hAnsi="宋体" w:eastAsia="宋体" w:cs="Times New Roman"/>
          <w:b/>
          <w:kern w:val="0"/>
          <w:sz w:val="24"/>
          <w:szCs w:val="24"/>
          <w:u w:val="single"/>
        </w:rPr>
      </w:pPr>
      <w:r>
        <w:rPr>
          <w:rFonts w:ascii="宋体" w:hAnsi="宋体" w:eastAsia="宋体" w:cs="Times New Roman"/>
          <w:b/>
          <w:kern w:val="0"/>
          <w:sz w:val="24"/>
          <w:szCs w:val="24"/>
          <w:u w:val="single"/>
        </w:rPr>
        <w:t>城镇开发边界内农业设施建设用</w:t>
      </w:r>
      <w:r>
        <w:rPr>
          <w:rFonts w:hint="eastAsia" w:ascii="宋体" w:hAnsi="宋体" w:eastAsia="宋体" w:cs="Times New Roman"/>
          <w:b/>
          <w:kern w:val="0"/>
          <w:sz w:val="24"/>
          <w:szCs w:val="24"/>
          <w:u w:val="single"/>
          <w:lang w:val="en-US" w:eastAsia="zh-CN"/>
        </w:rPr>
        <w:t>地</w:t>
      </w:r>
      <w:r>
        <w:rPr>
          <w:rFonts w:ascii="宋体" w:hAnsi="宋体" w:eastAsia="宋体" w:cs="Times New Roman"/>
          <w:b/>
          <w:kern w:val="0"/>
          <w:sz w:val="24"/>
          <w:szCs w:val="24"/>
          <w:u w:val="single"/>
        </w:rPr>
        <w:t>较现状减少</w:t>
      </w:r>
      <w:r>
        <w:rPr>
          <w:rFonts w:hint="eastAsia" w:ascii="宋体" w:hAnsi="宋体" w:eastAsia="宋体" w:cs="Times New Roman"/>
          <w:b/>
          <w:kern w:val="0"/>
          <w:sz w:val="24"/>
          <w:szCs w:val="24"/>
          <w:u w:val="single"/>
        </w:rPr>
        <w:t>0.09</w:t>
      </w:r>
      <w:r>
        <w:rPr>
          <w:rFonts w:ascii="宋体" w:hAnsi="宋体" w:eastAsia="宋体" w:cs="Times New Roman"/>
          <w:b/>
          <w:kern w:val="0"/>
          <w:sz w:val="24"/>
          <w:szCs w:val="24"/>
          <w:u w:val="single"/>
        </w:rPr>
        <w:t>公顷。</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（四）</w:t>
      </w:r>
      <w:r>
        <w:rPr>
          <w:rFonts w:eastAsia="宋体" w:cs="Times New Roman" w:asciiTheme="minorEastAsia" w:hAnsiTheme="minorEastAsia"/>
          <w:b/>
          <w:kern w:val="0"/>
          <w:sz w:val="24"/>
          <w:szCs w:val="24"/>
        </w:rPr>
        <w:t>建设用地</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以“尊重自然与历史肌理、不大拆大建、保持宜人尺度、节约集约发展”为前提，盘活存量低效用地，合理布局镇区建设用地，规划城镇建设用地面积</w:t>
      </w:r>
      <w:r>
        <w:rPr>
          <w:rFonts w:hint="eastAsia" w:ascii="宋体" w:hAnsi="宋体" w:eastAsia="宋体" w:cs="Times New Roman"/>
          <w:kern w:val="0"/>
          <w:sz w:val="24"/>
          <w:szCs w:val="24"/>
        </w:rPr>
        <w:t>40.16</w:t>
      </w:r>
      <w:r>
        <w:rPr>
          <w:rFonts w:ascii="宋体" w:hAnsi="宋体" w:eastAsia="宋体" w:cs="Times New Roman"/>
          <w:kern w:val="0"/>
          <w:sz w:val="24"/>
          <w:szCs w:val="24"/>
        </w:rPr>
        <w:t>公顷</w:t>
      </w:r>
      <w:r>
        <w:rPr>
          <w:rFonts w:hint="eastAsia" w:ascii="宋体" w:hAnsi="宋体" w:eastAsia="宋体" w:cs="Times New Roman"/>
          <w:kern w:val="0"/>
          <w:sz w:val="24"/>
          <w:szCs w:val="24"/>
        </w:rPr>
        <w:t>。</w:t>
      </w:r>
    </w:p>
    <w:p>
      <w:pPr>
        <w:adjustRightInd w:val="0"/>
        <w:snapToGrid w:val="0"/>
        <w:spacing w:line="360" w:lineRule="auto"/>
        <w:ind w:firstLine="482" w:firstLineChars="200"/>
        <w:rPr>
          <w:rFonts w:ascii="宋体" w:hAnsi="宋体" w:eastAsia="宋体" w:cs="Times New Roman"/>
          <w:kern w:val="0"/>
          <w:sz w:val="24"/>
          <w:szCs w:val="24"/>
        </w:rPr>
      </w:pPr>
      <w:r>
        <w:rPr>
          <w:rFonts w:ascii="宋体" w:hAnsi="宋体" w:eastAsia="宋体" w:cs="Times New Roman"/>
          <w:b/>
          <w:kern w:val="0"/>
          <w:sz w:val="24"/>
          <w:szCs w:val="24"/>
          <w:u w:val="single"/>
        </w:rPr>
        <w:t>规划</w:t>
      </w:r>
      <w:r>
        <w:rPr>
          <w:rFonts w:hint="eastAsia" w:ascii="宋体" w:hAnsi="宋体" w:eastAsia="宋体" w:cs="Times New Roman"/>
          <w:b/>
          <w:kern w:val="0"/>
          <w:sz w:val="24"/>
          <w:szCs w:val="24"/>
          <w:u w:val="single"/>
        </w:rPr>
        <w:t>居住用地20.13</w:t>
      </w:r>
      <w:r>
        <w:rPr>
          <w:rFonts w:ascii="宋体" w:hAnsi="宋体" w:eastAsia="宋体" w:cs="Times New Roman"/>
          <w:b/>
          <w:kern w:val="0"/>
          <w:sz w:val="24"/>
          <w:szCs w:val="24"/>
          <w:u w:val="single"/>
        </w:rPr>
        <w:t>公顷，较现状</w:t>
      </w:r>
      <w:r>
        <w:rPr>
          <w:rFonts w:hint="eastAsia" w:ascii="宋体" w:hAnsi="宋体" w:eastAsia="宋体" w:cs="Times New Roman"/>
          <w:b/>
          <w:kern w:val="0"/>
          <w:sz w:val="24"/>
          <w:szCs w:val="24"/>
          <w:u w:val="single"/>
        </w:rPr>
        <w:t>增加了2.09</w:t>
      </w:r>
      <w:r>
        <w:rPr>
          <w:rFonts w:ascii="宋体" w:hAnsi="宋体" w:eastAsia="宋体" w:cs="Times New Roman"/>
          <w:b/>
          <w:kern w:val="0"/>
          <w:sz w:val="24"/>
          <w:szCs w:val="24"/>
          <w:u w:val="single"/>
        </w:rPr>
        <w:t>公顷</w:t>
      </w:r>
      <w:r>
        <w:rPr>
          <w:rFonts w:hint="eastAsia" w:ascii="宋体" w:hAnsi="宋体" w:eastAsia="宋体" w:cs="Times New Roman"/>
          <w:kern w:val="0"/>
          <w:sz w:val="24"/>
          <w:szCs w:val="24"/>
        </w:rPr>
        <w:t>，</w:t>
      </w:r>
      <w:r>
        <w:rPr>
          <w:rFonts w:ascii="宋体" w:hAnsi="宋体" w:eastAsia="宋体" w:cs="Times New Roman"/>
          <w:kern w:val="0"/>
          <w:sz w:val="24"/>
          <w:szCs w:val="24"/>
        </w:rPr>
        <w:t>现状居住用地主要分布</w:t>
      </w:r>
      <w:r>
        <w:rPr>
          <w:rFonts w:hint="eastAsia" w:ascii="宋体" w:hAnsi="宋体" w:eastAsia="宋体" w:cs="Times New Roman"/>
          <w:kern w:val="0"/>
          <w:sz w:val="24"/>
          <w:szCs w:val="24"/>
        </w:rPr>
        <w:t>在</w:t>
      </w:r>
      <w:r>
        <w:rPr>
          <w:rFonts w:ascii="宋体" w:hAnsi="宋体" w:eastAsia="宋体" w:cs="Times New Roman"/>
          <w:kern w:val="0"/>
          <w:sz w:val="24"/>
          <w:szCs w:val="24"/>
        </w:rPr>
        <w:t>交通街两侧</w:t>
      </w:r>
      <w:r>
        <w:rPr>
          <w:rFonts w:hint="eastAsia" w:ascii="宋体" w:hAnsi="宋体" w:eastAsia="宋体" w:cs="Times New Roman"/>
          <w:kern w:val="0"/>
          <w:sz w:val="24"/>
          <w:szCs w:val="24"/>
        </w:rPr>
        <w:t>，</w:t>
      </w:r>
      <w:r>
        <w:rPr>
          <w:rFonts w:ascii="宋体" w:hAnsi="宋体" w:eastAsia="宋体" w:cs="Times New Roman"/>
          <w:kern w:val="0"/>
          <w:sz w:val="24"/>
          <w:szCs w:val="24"/>
        </w:rPr>
        <w:t>幸福路南侧分布有</w:t>
      </w:r>
      <w:r>
        <w:rPr>
          <w:rFonts w:hint="eastAsia" w:ascii="宋体" w:hAnsi="宋体" w:eastAsia="宋体" w:cs="Times New Roman"/>
          <w:kern w:val="0"/>
          <w:sz w:val="24"/>
          <w:szCs w:val="24"/>
        </w:rPr>
        <w:t>少量居住用地，</w:t>
      </w:r>
      <w:r>
        <w:rPr>
          <w:rFonts w:ascii="宋体" w:hAnsi="宋体" w:eastAsia="宋体" w:cs="Times New Roman"/>
          <w:kern w:val="0"/>
          <w:sz w:val="24"/>
          <w:szCs w:val="24"/>
        </w:rPr>
        <w:t>规划沿幸福路东侧和南侧</w:t>
      </w:r>
      <w:r>
        <w:rPr>
          <w:rFonts w:hint="eastAsia" w:ascii="宋体" w:hAnsi="宋体" w:eastAsia="宋体" w:cs="Times New Roman"/>
          <w:kern w:val="0"/>
          <w:sz w:val="24"/>
          <w:szCs w:val="24"/>
        </w:rPr>
        <w:t>、</w:t>
      </w:r>
      <w:r>
        <w:rPr>
          <w:rFonts w:ascii="宋体" w:hAnsi="宋体" w:eastAsia="宋体" w:cs="Times New Roman"/>
          <w:kern w:val="0"/>
          <w:sz w:val="24"/>
          <w:szCs w:val="24"/>
        </w:rPr>
        <w:t>交通街东侧布局5处居住用地</w:t>
      </w:r>
      <w:r>
        <w:rPr>
          <w:rFonts w:hint="eastAsia" w:ascii="宋体" w:hAnsi="宋体" w:eastAsia="宋体" w:cs="Times New Roman"/>
          <w:kern w:val="0"/>
          <w:sz w:val="24"/>
          <w:szCs w:val="24"/>
        </w:rPr>
        <w:t>。</w:t>
      </w:r>
    </w:p>
    <w:p>
      <w:pPr>
        <w:adjustRightInd w:val="0"/>
        <w:snapToGrid w:val="0"/>
        <w:spacing w:line="360" w:lineRule="auto"/>
        <w:ind w:firstLine="482" w:firstLineChars="200"/>
        <w:rPr>
          <w:rFonts w:ascii="宋体" w:hAnsi="宋体" w:eastAsia="宋体" w:cs="Times New Roman"/>
          <w:b/>
          <w:kern w:val="0"/>
          <w:sz w:val="24"/>
          <w:szCs w:val="24"/>
          <w:u w:val="single"/>
        </w:rPr>
      </w:pPr>
      <w:r>
        <w:rPr>
          <w:rFonts w:ascii="宋体" w:hAnsi="宋体" w:eastAsia="宋体" w:cs="Times New Roman"/>
          <w:b/>
          <w:kern w:val="0"/>
          <w:sz w:val="24"/>
          <w:szCs w:val="24"/>
          <w:u w:val="single"/>
        </w:rPr>
        <w:t>规划保留</w:t>
      </w:r>
      <w:r>
        <w:rPr>
          <w:rFonts w:hint="eastAsia" w:ascii="宋体" w:hAnsi="宋体" w:eastAsia="宋体" w:cs="Times New Roman"/>
          <w:b/>
          <w:kern w:val="0"/>
          <w:sz w:val="24"/>
          <w:szCs w:val="24"/>
          <w:u w:val="single"/>
        </w:rPr>
        <w:t>玉峰</w:t>
      </w:r>
      <w:r>
        <w:rPr>
          <w:rFonts w:ascii="宋体" w:hAnsi="宋体" w:eastAsia="宋体" w:cs="Times New Roman"/>
          <w:b/>
          <w:kern w:val="0"/>
          <w:sz w:val="24"/>
          <w:szCs w:val="24"/>
          <w:u w:val="single"/>
        </w:rPr>
        <w:t>中学、</w:t>
      </w:r>
      <w:r>
        <w:rPr>
          <w:rFonts w:hint="eastAsia" w:ascii="宋体" w:hAnsi="宋体" w:eastAsia="宋体" w:cs="Times New Roman"/>
          <w:b/>
          <w:kern w:val="0"/>
          <w:sz w:val="24"/>
          <w:szCs w:val="24"/>
          <w:u w:val="single"/>
        </w:rPr>
        <w:t>玉峰</w:t>
      </w:r>
      <w:r>
        <w:rPr>
          <w:rFonts w:ascii="宋体" w:hAnsi="宋体" w:eastAsia="宋体" w:cs="Times New Roman"/>
          <w:b/>
          <w:kern w:val="0"/>
          <w:sz w:val="24"/>
          <w:szCs w:val="24"/>
          <w:u w:val="single"/>
        </w:rPr>
        <w:t>小学、幼儿园，保留现状</w:t>
      </w:r>
      <w:r>
        <w:rPr>
          <w:rFonts w:hint="eastAsia" w:ascii="宋体" w:hAnsi="宋体" w:eastAsia="宋体" w:cs="Times New Roman"/>
          <w:b/>
          <w:kern w:val="0"/>
          <w:sz w:val="24"/>
          <w:szCs w:val="24"/>
          <w:u w:val="single"/>
        </w:rPr>
        <w:t>玉峰</w:t>
      </w:r>
      <w:r>
        <w:rPr>
          <w:rFonts w:ascii="宋体" w:hAnsi="宋体" w:eastAsia="宋体" w:cs="Times New Roman"/>
          <w:b/>
          <w:kern w:val="0"/>
          <w:sz w:val="24"/>
          <w:szCs w:val="24"/>
          <w:u w:val="single"/>
        </w:rPr>
        <w:t>镇政府、派出所、司法所、幸福</w:t>
      </w:r>
      <w:r>
        <w:rPr>
          <w:rFonts w:hint="eastAsia" w:ascii="宋体" w:hAnsi="宋体" w:eastAsia="宋体" w:cs="Times New Roman"/>
          <w:b/>
          <w:kern w:val="0"/>
          <w:sz w:val="24"/>
          <w:szCs w:val="24"/>
          <w:u w:val="single"/>
        </w:rPr>
        <w:t>社区</w:t>
      </w:r>
      <w:r>
        <w:rPr>
          <w:rFonts w:ascii="宋体" w:hAnsi="宋体" w:eastAsia="宋体" w:cs="Times New Roman"/>
          <w:b/>
          <w:kern w:val="0"/>
          <w:sz w:val="24"/>
          <w:szCs w:val="24"/>
          <w:u w:val="single"/>
        </w:rPr>
        <w:t>服务站，保留现状</w:t>
      </w:r>
      <w:r>
        <w:rPr>
          <w:rFonts w:hint="eastAsia" w:ascii="宋体" w:hAnsi="宋体" w:eastAsia="宋体" w:cs="Times New Roman"/>
          <w:b/>
          <w:kern w:val="0"/>
          <w:sz w:val="24"/>
          <w:szCs w:val="24"/>
          <w:u w:val="single"/>
        </w:rPr>
        <w:t>玉峰</w:t>
      </w:r>
      <w:r>
        <w:rPr>
          <w:rFonts w:ascii="宋体" w:hAnsi="宋体" w:eastAsia="宋体" w:cs="Times New Roman"/>
          <w:b/>
          <w:kern w:val="0"/>
          <w:sz w:val="24"/>
          <w:szCs w:val="24"/>
          <w:u w:val="single"/>
        </w:rPr>
        <w:t>卫生院、计生站、文化站和文化大院等设施，规划公共管理与公共服务设施用地</w:t>
      </w:r>
      <w:r>
        <w:rPr>
          <w:rFonts w:hint="eastAsia" w:ascii="宋体" w:hAnsi="宋体" w:eastAsia="宋体" w:cs="Times New Roman"/>
          <w:b/>
          <w:kern w:val="0"/>
          <w:sz w:val="24"/>
          <w:szCs w:val="24"/>
          <w:u w:val="single"/>
        </w:rPr>
        <w:t>5.82</w:t>
      </w:r>
      <w:r>
        <w:rPr>
          <w:rFonts w:ascii="宋体" w:hAnsi="宋体" w:eastAsia="宋体" w:cs="Times New Roman"/>
          <w:b/>
          <w:kern w:val="0"/>
          <w:sz w:val="24"/>
          <w:szCs w:val="24"/>
          <w:u w:val="single"/>
        </w:rPr>
        <w:t>公顷，较现状增加了</w:t>
      </w:r>
      <w:r>
        <w:rPr>
          <w:rFonts w:hint="eastAsia" w:ascii="宋体" w:hAnsi="宋体" w:eastAsia="宋体" w:cs="Times New Roman"/>
          <w:b/>
          <w:kern w:val="0"/>
          <w:sz w:val="24"/>
          <w:szCs w:val="24"/>
          <w:u w:val="single"/>
        </w:rPr>
        <w:t>1.26</w:t>
      </w:r>
      <w:r>
        <w:rPr>
          <w:rFonts w:ascii="宋体" w:hAnsi="宋体" w:eastAsia="宋体" w:cs="Times New Roman"/>
          <w:b/>
          <w:kern w:val="0"/>
          <w:sz w:val="24"/>
          <w:szCs w:val="24"/>
          <w:u w:val="single"/>
        </w:rPr>
        <w:t>公顷。</w:t>
      </w:r>
    </w:p>
    <w:p>
      <w:pPr>
        <w:adjustRightInd w:val="0"/>
        <w:snapToGrid w:val="0"/>
        <w:spacing w:line="360" w:lineRule="auto"/>
        <w:ind w:firstLine="482" w:firstLineChars="200"/>
        <w:rPr>
          <w:rFonts w:ascii="宋体" w:hAnsi="宋体" w:eastAsia="宋体" w:cs="Times New Roman"/>
          <w:b/>
          <w:kern w:val="0"/>
          <w:sz w:val="24"/>
          <w:szCs w:val="24"/>
          <w:u w:val="single"/>
        </w:rPr>
      </w:pPr>
      <w:r>
        <w:rPr>
          <w:rFonts w:hint="eastAsia" w:ascii="宋体" w:hAnsi="宋体" w:eastAsia="宋体" w:cs="Times New Roman"/>
          <w:b/>
          <w:kern w:val="0"/>
          <w:sz w:val="24"/>
          <w:szCs w:val="24"/>
          <w:u w:val="single"/>
        </w:rPr>
        <w:t>保留</w:t>
      </w:r>
      <w:r>
        <w:rPr>
          <w:rFonts w:ascii="宋体" w:hAnsi="宋体" w:eastAsia="宋体" w:cs="Times New Roman"/>
          <w:b/>
          <w:kern w:val="0"/>
          <w:sz w:val="24"/>
          <w:szCs w:val="24"/>
          <w:u w:val="single"/>
        </w:rPr>
        <w:t>镇区现状农贸市场、供销社和东侧的加油站</w:t>
      </w:r>
      <w:r>
        <w:rPr>
          <w:rFonts w:hint="eastAsia" w:ascii="宋体" w:hAnsi="宋体" w:eastAsia="宋体" w:cs="Times New Roman"/>
          <w:b/>
          <w:kern w:val="0"/>
          <w:sz w:val="24"/>
          <w:szCs w:val="24"/>
          <w:u w:val="single"/>
        </w:rPr>
        <w:t>。</w:t>
      </w:r>
      <w:r>
        <w:rPr>
          <w:rFonts w:ascii="宋体" w:hAnsi="宋体" w:eastAsia="宋体" w:cs="Times New Roman"/>
          <w:b/>
          <w:kern w:val="0"/>
          <w:sz w:val="24"/>
          <w:szCs w:val="24"/>
          <w:u w:val="single"/>
        </w:rPr>
        <w:t>规划商业服务业用地</w:t>
      </w:r>
      <w:r>
        <w:rPr>
          <w:rFonts w:hint="eastAsia" w:ascii="宋体" w:hAnsi="宋体" w:eastAsia="宋体" w:cs="Times New Roman"/>
          <w:b/>
          <w:kern w:val="0"/>
          <w:sz w:val="24"/>
          <w:szCs w:val="24"/>
          <w:u w:val="single"/>
        </w:rPr>
        <w:t>2.95</w:t>
      </w:r>
      <w:r>
        <w:rPr>
          <w:rFonts w:ascii="宋体" w:hAnsi="宋体" w:eastAsia="宋体" w:cs="Times New Roman"/>
          <w:b/>
          <w:kern w:val="0"/>
          <w:sz w:val="24"/>
          <w:szCs w:val="24"/>
          <w:u w:val="single"/>
        </w:rPr>
        <w:t>公顷，较现状增加了</w:t>
      </w:r>
      <w:r>
        <w:rPr>
          <w:rFonts w:hint="eastAsia" w:ascii="宋体" w:hAnsi="宋体" w:eastAsia="宋体" w:cs="Times New Roman"/>
          <w:b/>
          <w:kern w:val="0"/>
          <w:sz w:val="24"/>
          <w:szCs w:val="24"/>
          <w:u w:val="single"/>
        </w:rPr>
        <w:t>2.14</w:t>
      </w:r>
      <w:r>
        <w:rPr>
          <w:rFonts w:ascii="宋体" w:hAnsi="宋体" w:eastAsia="宋体" w:cs="Times New Roman"/>
          <w:b/>
          <w:kern w:val="0"/>
          <w:sz w:val="24"/>
          <w:szCs w:val="24"/>
          <w:u w:val="single"/>
        </w:rPr>
        <w:t>公顷；</w:t>
      </w:r>
    </w:p>
    <w:p>
      <w:pPr>
        <w:adjustRightInd w:val="0"/>
        <w:snapToGrid w:val="0"/>
        <w:spacing w:line="360" w:lineRule="auto"/>
        <w:ind w:firstLine="482" w:firstLineChars="200"/>
        <w:rPr>
          <w:rFonts w:ascii="宋体" w:hAnsi="宋体" w:eastAsia="宋体" w:cs="Times New Roman"/>
          <w:b/>
          <w:kern w:val="0"/>
          <w:sz w:val="24"/>
          <w:szCs w:val="24"/>
          <w:u w:val="single"/>
        </w:rPr>
      </w:pPr>
      <w:r>
        <w:rPr>
          <w:rFonts w:ascii="宋体" w:hAnsi="宋体" w:eastAsia="宋体" w:cs="Times New Roman"/>
          <w:b/>
          <w:kern w:val="0"/>
          <w:sz w:val="24"/>
          <w:szCs w:val="24"/>
          <w:u w:val="single"/>
        </w:rPr>
        <w:t>规划取消镇区内的现状工矿用地（均为废弃制砖厂），较现状减少了0.5公顷；</w:t>
      </w:r>
    </w:p>
    <w:p>
      <w:pPr>
        <w:adjustRightInd w:val="0"/>
        <w:snapToGrid w:val="0"/>
        <w:spacing w:line="360" w:lineRule="auto"/>
        <w:ind w:firstLine="482" w:firstLineChars="200"/>
        <w:rPr>
          <w:rFonts w:ascii="宋体" w:hAnsi="宋体" w:eastAsia="宋体" w:cs="Times New Roman"/>
          <w:b/>
          <w:kern w:val="0"/>
          <w:sz w:val="24"/>
          <w:szCs w:val="24"/>
          <w:u w:val="single"/>
        </w:rPr>
      </w:pPr>
      <w:r>
        <w:rPr>
          <w:rFonts w:ascii="宋体" w:hAnsi="宋体" w:eastAsia="宋体" w:cs="Times New Roman"/>
          <w:b/>
          <w:kern w:val="0"/>
          <w:sz w:val="24"/>
          <w:szCs w:val="24"/>
          <w:u w:val="single"/>
        </w:rPr>
        <w:t>规划交通运输用地</w:t>
      </w:r>
      <w:r>
        <w:rPr>
          <w:rFonts w:hint="eastAsia" w:ascii="宋体" w:hAnsi="宋体" w:eastAsia="宋体" w:cs="Times New Roman"/>
          <w:b/>
          <w:kern w:val="0"/>
          <w:sz w:val="24"/>
          <w:szCs w:val="24"/>
          <w:u w:val="single"/>
        </w:rPr>
        <w:t>8.37</w:t>
      </w:r>
      <w:r>
        <w:rPr>
          <w:rFonts w:ascii="宋体" w:hAnsi="宋体" w:eastAsia="宋体" w:cs="Times New Roman"/>
          <w:b/>
          <w:kern w:val="0"/>
          <w:sz w:val="24"/>
          <w:szCs w:val="24"/>
          <w:u w:val="single"/>
        </w:rPr>
        <w:t>公顷，较现状增加了</w:t>
      </w:r>
      <w:r>
        <w:rPr>
          <w:rFonts w:hint="eastAsia" w:ascii="宋体" w:hAnsi="宋体" w:eastAsia="宋体" w:cs="Times New Roman"/>
          <w:b/>
          <w:kern w:val="0"/>
          <w:sz w:val="24"/>
          <w:szCs w:val="24"/>
          <w:u w:val="single"/>
        </w:rPr>
        <w:t>0.54</w:t>
      </w:r>
      <w:r>
        <w:rPr>
          <w:rFonts w:ascii="宋体" w:hAnsi="宋体" w:eastAsia="宋体" w:cs="Times New Roman"/>
          <w:b/>
          <w:kern w:val="0"/>
          <w:sz w:val="24"/>
          <w:szCs w:val="24"/>
          <w:u w:val="single"/>
        </w:rPr>
        <w:t>公顷；</w:t>
      </w:r>
    </w:p>
    <w:p>
      <w:pPr>
        <w:adjustRightInd w:val="0"/>
        <w:snapToGrid w:val="0"/>
        <w:spacing w:line="360" w:lineRule="auto"/>
        <w:ind w:firstLine="482" w:firstLineChars="200"/>
        <w:rPr>
          <w:rFonts w:ascii="宋体" w:hAnsi="宋体" w:eastAsia="宋体" w:cs="Times New Roman"/>
          <w:b/>
          <w:kern w:val="0"/>
          <w:sz w:val="24"/>
          <w:szCs w:val="24"/>
          <w:u w:val="single"/>
        </w:rPr>
      </w:pPr>
      <w:r>
        <w:rPr>
          <w:rFonts w:ascii="宋体" w:hAnsi="宋体" w:eastAsia="宋体" w:cs="Times New Roman"/>
          <w:b/>
          <w:kern w:val="0"/>
          <w:sz w:val="24"/>
          <w:szCs w:val="24"/>
          <w:u w:val="single"/>
        </w:rPr>
        <w:t>规划公用设施用地</w:t>
      </w:r>
      <w:r>
        <w:rPr>
          <w:rFonts w:hint="eastAsia" w:ascii="宋体" w:hAnsi="宋体" w:eastAsia="宋体" w:cs="Times New Roman"/>
          <w:b/>
          <w:kern w:val="0"/>
          <w:sz w:val="24"/>
          <w:szCs w:val="24"/>
          <w:u w:val="single"/>
        </w:rPr>
        <w:t>0.89</w:t>
      </w:r>
      <w:r>
        <w:rPr>
          <w:rFonts w:ascii="宋体" w:hAnsi="宋体" w:eastAsia="宋体" w:cs="Times New Roman"/>
          <w:b/>
          <w:kern w:val="0"/>
          <w:sz w:val="24"/>
          <w:szCs w:val="24"/>
          <w:u w:val="single"/>
        </w:rPr>
        <w:t>公顷，较现状增加了</w:t>
      </w:r>
      <w:r>
        <w:rPr>
          <w:rFonts w:hint="eastAsia" w:ascii="宋体" w:hAnsi="宋体" w:eastAsia="宋体" w:cs="Times New Roman"/>
          <w:b/>
          <w:kern w:val="0"/>
          <w:sz w:val="24"/>
          <w:szCs w:val="24"/>
          <w:u w:val="single"/>
        </w:rPr>
        <w:t>0.10</w:t>
      </w:r>
      <w:r>
        <w:rPr>
          <w:rFonts w:ascii="宋体" w:hAnsi="宋体" w:eastAsia="宋体" w:cs="Times New Roman"/>
          <w:b/>
          <w:kern w:val="0"/>
          <w:sz w:val="24"/>
          <w:szCs w:val="24"/>
          <w:u w:val="single"/>
        </w:rPr>
        <w:t>公顷；</w:t>
      </w:r>
    </w:p>
    <w:p>
      <w:pPr>
        <w:adjustRightInd w:val="0"/>
        <w:snapToGrid w:val="0"/>
        <w:spacing w:line="360" w:lineRule="auto"/>
        <w:ind w:firstLine="482" w:firstLineChars="200"/>
        <w:rPr>
          <w:rFonts w:ascii="宋体" w:hAnsi="宋体" w:eastAsia="宋体" w:cs="Times New Roman"/>
          <w:b/>
          <w:kern w:val="0"/>
          <w:sz w:val="24"/>
          <w:szCs w:val="24"/>
          <w:u w:val="single"/>
        </w:rPr>
      </w:pPr>
      <w:r>
        <w:rPr>
          <w:rFonts w:ascii="宋体" w:hAnsi="宋体" w:eastAsia="宋体" w:cs="Times New Roman"/>
          <w:b/>
          <w:kern w:val="0"/>
          <w:sz w:val="24"/>
          <w:szCs w:val="24"/>
          <w:u w:val="single"/>
        </w:rPr>
        <w:t>规划绿地与开敞空间用地</w:t>
      </w:r>
      <w:r>
        <w:rPr>
          <w:rFonts w:hint="eastAsia" w:ascii="宋体" w:hAnsi="宋体" w:eastAsia="宋体" w:cs="Times New Roman"/>
          <w:b/>
          <w:kern w:val="0"/>
          <w:sz w:val="24"/>
          <w:szCs w:val="24"/>
          <w:u w:val="single"/>
        </w:rPr>
        <w:t>0.52</w:t>
      </w:r>
      <w:r>
        <w:rPr>
          <w:rFonts w:ascii="宋体" w:hAnsi="宋体" w:eastAsia="宋体" w:cs="Times New Roman"/>
          <w:b/>
          <w:kern w:val="0"/>
          <w:sz w:val="24"/>
          <w:szCs w:val="24"/>
          <w:u w:val="single"/>
        </w:rPr>
        <w:t>公顷，全部为新增。</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详见表</w:t>
      </w:r>
      <w:r>
        <w:rPr>
          <w:rFonts w:hint="eastAsia" w:ascii="宋体" w:hAnsi="宋体" w:eastAsia="宋体" w:cs="Times New Roman"/>
          <w:kern w:val="0"/>
          <w:sz w:val="24"/>
          <w:szCs w:val="24"/>
        </w:rPr>
        <w:t>12</w:t>
      </w:r>
      <w:r>
        <w:rPr>
          <w:rFonts w:ascii="宋体" w:hAnsi="宋体" w:eastAsia="宋体" w:cs="Times New Roman"/>
          <w:kern w:val="0"/>
          <w:sz w:val="24"/>
          <w:szCs w:val="24"/>
        </w:rPr>
        <w:t>玉峰镇镇区城镇建设用地规划表</w:t>
      </w:r>
    </w:p>
    <w:p>
      <w:pPr>
        <w:adjustRightInd w:val="0"/>
        <w:snapToGrid w:val="0"/>
        <w:spacing w:line="360" w:lineRule="auto"/>
        <w:ind w:firstLine="482" w:firstLineChars="200"/>
        <w:rPr>
          <w:rFonts w:ascii="黑体" w:hAnsi="黑体" w:eastAsia="黑体" w:cs="Times New Roman"/>
          <w:b/>
          <w:kern w:val="0"/>
          <w:sz w:val="24"/>
          <w:szCs w:val="24"/>
        </w:rPr>
      </w:pPr>
      <w:r>
        <w:rPr>
          <w:rFonts w:hint="eastAsia" w:ascii="黑体" w:hAnsi="黑体" w:eastAsia="黑体" w:cs="Times New Roman"/>
          <w:b/>
          <w:kern w:val="0"/>
          <w:sz w:val="24"/>
          <w:szCs w:val="24"/>
        </w:rPr>
        <w:t>八、土地使用控制</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（一）</w:t>
      </w:r>
      <w:r>
        <w:rPr>
          <w:rFonts w:eastAsia="宋体" w:cs="Times New Roman" w:asciiTheme="minorEastAsia" w:hAnsiTheme="minorEastAsia"/>
          <w:b/>
          <w:kern w:val="0"/>
          <w:sz w:val="24"/>
          <w:szCs w:val="24"/>
        </w:rPr>
        <w:t>地块划分原则</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规划结合自然界线、道路划分、功能用地平面布局特征，按以下原则进行合理的地块划分：一是保持地块的完整性，便于规划管理；二是保持地块用地性质相对单一，避免不兼容使用性质用地间的干扰；三是有利于下一层次规划编制、土地出让与开发建设。</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（二）</w:t>
      </w:r>
      <w:r>
        <w:rPr>
          <w:rFonts w:eastAsia="宋体" w:cs="Times New Roman" w:asciiTheme="minorEastAsia" w:hAnsiTheme="minorEastAsia"/>
          <w:b/>
          <w:kern w:val="0"/>
          <w:sz w:val="24"/>
          <w:szCs w:val="24"/>
        </w:rPr>
        <w:t>地块编码</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合理划分街区：结合自然界限、道路、土地利用的内在关联性，将镇区划分为3个管控单元。</w:t>
      </w:r>
    </w:p>
    <w:p>
      <w:pPr>
        <w:adjustRightInd w:val="0"/>
        <w:snapToGrid w:val="0"/>
        <w:spacing w:line="360" w:lineRule="auto"/>
        <w:ind w:firstLine="482" w:firstLineChars="200"/>
        <w:rPr>
          <w:rFonts w:ascii="宋体" w:hAnsi="宋体" w:eastAsia="宋体" w:cs="Times New Roman"/>
          <w:b/>
          <w:kern w:val="0"/>
          <w:sz w:val="24"/>
          <w:szCs w:val="24"/>
          <w:u w:val="single"/>
        </w:rPr>
      </w:pPr>
      <w:r>
        <w:rPr>
          <w:rFonts w:ascii="宋体" w:hAnsi="宋体" w:eastAsia="宋体" w:cs="Times New Roman"/>
          <w:b/>
          <w:kern w:val="0"/>
          <w:sz w:val="24"/>
          <w:szCs w:val="24"/>
          <w:u w:val="single"/>
        </w:rPr>
        <w:t>参照《四川省城市控制性详细规划编制技术规定》的要求，结合河边镇的实际情况，镇区统一采用 “城镇—单元—地块”三级编码体系，编码标准为YF-01-01</w:t>
      </w:r>
      <w:r>
        <w:rPr>
          <w:rFonts w:hint="eastAsia" w:ascii="宋体" w:hAnsi="宋体" w:eastAsia="宋体" w:cs="Times New Roman"/>
          <w:b/>
          <w:kern w:val="0"/>
          <w:sz w:val="24"/>
          <w:szCs w:val="24"/>
          <w:u w:val="single"/>
        </w:rPr>
        <w:t>，</w:t>
      </w:r>
      <w:r>
        <w:rPr>
          <w:rFonts w:ascii="宋体" w:hAnsi="宋体" w:eastAsia="宋体" w:cs="Times New Roman"/>
          <w:b/>
          <w:kern w:val="0"/>
          <w:sz w:val="24"/>
          <w:szCs w:val="24"/>
          <w:u w:val="single"/>
        </w:rPr>
        <w:t>YF表示城镇名称</w:t>
      </w:r>
      <w:r>
        <w:rPr>
          <w:rFonts w:hint="eastAsia" w:ascii="宋体" w:hAnsi="宋体" w:eastAsia="宋体" w:cs="Times New Roman"/>
          <w:b/>
          <w:kern w:val="0"/>
          <w:sz w:val="24"/>
          <w:szCs w:val="24"/>
          <w:u w:val="single"/>
        </w:rPr>
        <w:t>玉峰</w:t>
      </w:r>
      <w:r>
        <w:rPr>
          <w:rFonts w:ascii="宋体" w:hAnsi="宋体" w:eastAsia="宋体" w:cs="Times New Roman"/>
          <w:b/>
          <w:kern w:val="0"/>
          <w:sz w:val="24"/>
          <w:szCs w:val="24"/>
          <w:u w:val="single"/>
        </w:rPr>
        <w:t>镇、第一个01</w:t>
      </w:r>
      <w:r>
        <w:rPr>
          <w:rFonts w:hint="eastAsia" w:ascii="宋体" w:hAnsi="宋体" w:eastAsia="宋体" w:cs="Times New Roman"/>
          <w:b/>
          <w:kern w:val="0"/>
          <w:sz w:val="24"/>
          <w:szCs w:val="24"/>
          <w:u w:val="single"/>
        </w:rPr>
        <w:t>表示</w:t>
      </w:r>
      <w:r>
        <w:rPr>
          <w:rFonts w:ascii="宋体" w:hAnsi="宋体" w:eastAsia="宋体" w:cs="Times New Roman"/>
          <w:b/>
          <w:kern w:val="0"/>
          <w:sz w:val="24"/>
          <w:szCs w:val="24"/>
          <w:u w:val="single"/>
        </w:rPr>
        <w:t>由道路及自然界限形成的管控单元，第二个01</w:t>
      </w:r>
      <w:r>
        <w:rPr>
          <w:rFonts w:hint="eastAsia" w:ascii="宋体" w:hAnsi="宋体" w:eastAsia="宋体" w:cs="Times New Roman"/>
          <w:b/>
          <w:kern w:val="0"/>
          <w:sz w:val="24"/>
          <w:szCs w:val="24"/>
          <w:u w:val="single"/>
        </w:rPr>
        <w:t>表示</w:t>
      </w:r>
      <w:r>
        <w:rPr>
          <w:rFonts w:ascii="宋体" w:hAnsi="宋体" w:eastAsia="宋体" w:cs="Times New Roman"/>
          <w:b/>
          <w:kern w:val="0"/>
          <w:sz w:val="24"/>
          <w:szCs w:val="24"/>
          <w:u w:val="single"/>
        </w:rPr>
        <w:t>地块号。</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（三）</w:t>
      </w:r>
      <w:r>
        <w:rPr>
          <w:rFonts w:eastAsia="宋体" w:cs="Times New Roman" w:asciiTheme="minorEastAsia" w:hAnsiTheme="minorEastAsia"/>
          <w:b/>
          <w:kern w:val="0"/>
          <w:sz w:val="24"/>
          <w:szCs w:val="24"/>
        </w:rPr>
        <w:t>指标体系</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土地使用强度控制指标体系分为规定性指标和指导性指标。</w:t>
      </w:r>
    </w:p>
    <w:p>
      <w:pPr>
        <w:adjustRightInd w:val="0"/>
        <w:snapToGrid w:val="0"/>
        <w:spacing w:line="360" w:lineRule="auto"/>
        <w:ind w:firstLine="482" w:firstLineChars="200"/>
        <w:rPr>
          <w:rFonts w:ascii="宋体" w:hAnsi="宋体" w:eastAsia="宋体" w:cs="Times New Roman"/>
          <w:b/>
          <w:kern w:val="0"/>
          <w:sz w:val="24"/>
          <w:szCs w:val="24"/>
          <w:u w:val="single"/>
        </w:rPr>
      </w:pPr>
      <w:r>
        <w:rPr>
          <w:rFonts w:ascii="宋体" w:hAnsi="宋体" w:eastAsia="宋体" w:cs="Times New Roman"/>
          <w:b/>
          <w:kern w:val="0"/>
          <w:sz w:val="24"/>
          <w:szCs w:val="24"/>
          <w:u w:val="single"/>
        </w:rPr>
        <w:t>其中规定性指标9项，指导性指标</w:t>
      </w:r>
      <w:r>
        <w:rPr>
          <w:rFonts w:hint="eastAsia" w:ascii="宋体" w:hAnsi="宋体" w:eastAsia="宋体" w:cs="Times New Roman"/>
          <w:b/>
          <w:kern w:val="0"/>
          <w:sz w:val="24"/>
          <w:szCs w:val="24"/>
          <w:u w:val="single"/>
        </w:rPr>
        <w:t>5</w:t>
      </w:r>
      <w:r>
        <w:rPr>
          <w:rFonts w:ascii="宋体" w:hAnsi="宋体" w:eastAsia="宋体" w:cs="Times New Roman"/>
          <w:b/>
          <w:kern w:val="0"/>
          <w:sz w:val="24"/>
          <w:szCs w:val="24"/>
          <w:u w:val="single"/>
        </w:rPr>
        <w:t>项。规定性指标包括用地性质、用地面积、容积率、绿地率、建筑密度、建筑限高、配套公共服务设施、禁止开口路段和配建车位等。指导性指标包括居住人口、建筑形式、体量、风格、色彩要求和其它环境要求等。</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（四）地块</w:t>
      </w:r>
      <w:r>
        <w:rPr>
          <w:rFonts w:eastAsia="宋体" w:cs="Times New Roman" w:asciiTheme="minorEastAsia" w:hAnsiTheme="minorEastAsia"/>
          <w:b/>
          <w:kern w:val="0"/>
          <w:sz w:val="24"/>
          <w:szCs w:val="24"/>
        </w:rPr>
        <w:t>控制</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合理控制开发强度和建筑高度。考虑土地资源要素充分利用和合理的经济效益，突出中心、延续传统，塑造疏密有致的空间形态。结合地块区位、用地性质、景观风貌等因素综合确定各地块开发强度和建筑高度。</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1、居住用地建设控制</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多层居住用地：容积率≤</w:t>
      </w:r>
      <w:r>
        <w:rPr>
          <w:rFonts w:hint="eastAsia" w:eastAsia="宋体" w:cs="Times New Roman" w:asciiTheme="minorEastAsia" w:hAnsiTheme="minorEastAsia"/>
          <w:kern w:val="0"/>
          <w:sz w:val="24"/>
          <w:szCs w:val="24"/>
        </w:rPr>
        <w:t>1.5</w:t>
      </w:r>
      <w:r>
        <w:rPr>
          <w:rFonts w:eastAsia="宋体" w:cs="Times New Roman" w:asciiTheme="minorEastAsia" w:hAnsiTheme="minorEastAsia"/>
          <w:kern w:val="0"/>
          <w:sz w:val="24"/>
          <w:szCs w:val="24"/>
        </w:rPr>
        <w:t>，绿地率≥30%，建筑密度≤3</w:t>
      </w:r>
      <w:r>
        <w:rPr>
          <w:rFonts w:hint="eastAsia" w:eastAsia="宋体" w:cs="Times New Roman" w:asciiTheme="minorEastAsia" w:hAnsiTheme="minorEastAsia"/>
          <w:kern w:val="0"/>
          <w:sz w:val="24"/>
          <w:szCs w:val="24"/>
        </w:rPr>
        <w:t>5</w:t>
      </w:r>
      <w:r>
        <w:rPr>
          <w:rFonts w:eastAsia="宋体" w:cs="Times New Roman" w:asciiTheme="minorEastAsia" w:hAnsiTheme="minorEastAsia"/>
          <w:kern w:val="0"/>
          <w:sz w:val="24"/>
          <w:szCs w:val="24"/>
        </w:rPr>
        <w:t>%，建筑高度≤21米（≤6层）</w:t>
      </w:r>
      <w:r>
        <w:rPr>
          <w:rFonts w:hint="eastAsia" w:eastAsia="宋体" w:cs="Times New Roman" w:asciiTheme="minorEastAsia" w:hAnsiTheme="minorEastAsia"/>
          <w:kern w:val="0"/>
          <w:sz w:val="24"/>
          <w:szCs w:val="24"/>
        </w:rPr>
        <w:t>；</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eastAsia="宋体" w:cs="Times New Roman" w:asciiTheme="minorEastAsia" w:hAnsiTheme="minorEastAsia"/>
          <w:kern w:val="0"/>
          <w:sz w:val="24"/>
          <w:szCs w:val="24"/>
        </w:rPr>
        <w:t>低层居住用地：容积率≤</w:t>
      </w:r>
      <w:r>
        <w:rPr>
          <w:rFonts w:hint="eastAsia" w:eastAsia="宋体" w:cs="Times New Roman" w:asciiTheme="minorEastAsia" w:hAnsiTheme="minorEastAsia"/>
          <w:kern w:val="0"/>
          <w:sz w:val="24"/>
          <w:szCs w:val="24"/>
        </w:rPr>
        <w:t>1.2</w:t>
      </w:r>
      <w:r>
        <w:rPr>
          <w:rFonts w:eastAsia="宋体" w:cs="Times New Roman" w:asciiTheme="minorEastAsia" w:hAnsiTheme="minorEastAsia"/>
          <w:kern w:val="0"/>
          <w:sz w:val="24"/>
          <w:szCs w:val="24"/>
        </w:rPr>
        <w:t>，绿地率≥30%，建筑密度≤40%，建筑高度≤10米（≤3层）</w:t>
      </w:r>
      <w:r>
        <w:rPr>
          <w:rFonts w:hint="eastAsia" w:eastAsia="宋体" w:cs="Times New Roman" w:asciiTheme="minorEastAsia" w:hAnsiTheme="minorEastAsia"/>
          <w:kern w:val="0"/>
          <w:sz w:val="24"/>
          <w:szCs w:val="24"/>
        </w:rPr>
        <w:t>。</w:t>
      </w:r>
    </w:p>
    <w:p>
      <w:pPr>
        <w:adjustRightInd w:val="0"/>
        <w:snapToGrid w:val="0"/>
        <w:spacing w:line="360" w:lineRule="auto"/>
        <w:ind w:firstLine="480" w:firstLineChars="200"/>
        <w:rPr>
          <w:rFonts w:ascii="宋体" w:hAnsi="宋体" w:eastAsia="宋体" w:cs="Times New Roman"/>
          <w:kern w:val="0"/>
          <w:sz w:val="24"/>
          <w:szCs w:val="24"/>
        </w:rPr>
      </w:pPr>
      <w:r>
        <w:rPr>
          <w:rFonts w:hint="eastAsia" w:ascii="宋体" w:hAnsi="宋体" w:eastAsia="宋体" w:cs="Times New Roman"/>
          <w:kern w:val="0"/>
          <w:sz w:val="24"/>
          <w:szCs w:val="24"/>
        </w:rPr>
        <w:t>2、非居住用地建设控制</w:t>
      </w:r>
    </w:p>
    <w:p>
      <w:pPr>
        <w:adjustRightInd w:val="0"/>
        <w:snapToGrid w:val="0"/>
        <w:spacing w:line="360" w:lineRule="auto"/>
        <w:ind w:firstLine="480" w:firstLineChars="200"/>
        <w:rPr>
          <w:rFonts w:ascii="宋体" w:hAnsi="宋体" w:eastAsia="宋体" w:cs="Times New Roman"/>
          <w:kern w:val="0"/>
          <w:sz w:val="24"/>
          <w:szCs w:val="24"/>
        </w:rPr>
      </w:pPr>
      <w:r>
        <w:rPr>
          <w:rFonts w:hint="eastAsia" w:ascii="宋体" w:hAnsi="宋体" w:eastAsia="宋体" w:cs="Times New Roman"/>
          <w:kern w:val="0"/>
          <w:sz w:val="24"/>
          <w:szCs w:val="24"/>
        </w:rPr>
        <w:t>行政办公、文化设施和体育用地规划控制指标结合方案合理性确定，按每100平方米用地面积配置不大于3平方米、且建筑面积不大于500平方米的服务设施的标准控制；</w:t>
      </w:r>
    </w:p>
    <w:p>
      <w:pPr>
        <w:adjustRightInd w:val="0"/>
        <w:snapToGrid w:val="0"/>
        <w:spacing w:line="360" w:lineRule="auto"/>
        <w:ind w:firstLine="480" w:firstLineChars="200"/>
        <w:rPr>
          <w:rFonts w:ascii="宋体" w:hAnsi="宋体" w:eastAsia="宋体" w:cs="Times New Roman"/>
          <w:kern w:val="0"/>
          <w:sz w:val="24"/>
          <w:szCs w:val="24"/>
        </w:rPr>
      </w:pPr>
      <w:r>
        <w:rPr>
          <w:rFonts w:hint="eastAsia" w:ascii="宋体" w:hAnsi="宋体" w:eastAsia="宋体" w:cs="Times New Roman"/>
          <w:kern w:val="0"/>
          <w:sz w:val="24"/>
          <w:szCs w:val="24"/>
        </w:rPr>
        <w:t>中小学用地的容积率应结合方案合理性确定，中学用地新建项目建筑密度不大于30%，小学用地新建项目建筑密度不大于35%，改扩建工程项目的建筑密度结合方案合理性确定。</w:t>
      </w:r>
    </w:p>
    <w:p>
      <w:pPr>
        <w:adjustRightInd w:val="0"/>
        <w:snapToGrid w:val="0"/>
        <w:spacing w:line="360" w:lineRule="auto"/>
        <w:ind w:firstLine="480" w:firstLineChars="200"/>
        <w:rPr>
          <w:rFonts w:ascii="宋体" w:hAnsi="宋体" w:eastAsia="宋体" w:cs="Times New Roman"/>
          <w:kern w:val="0"/>
          <w:sz w:val="24"/>
          <w:szCs w:val="24"/>
        </w:rPr>
      </w:pPr>
      <w:r>
        <w:rPr>
          <w:rFonts w:hint="eastAsia" w:ascii="宋体" w:hAnsi="宋体" w:eastAsia="宋体" w:cs="Times New Roman"/>
          <w:kern w:val="0"/>
          <w:sz w:val="24"/>
          <w:szCs w:val="24"/>
        </w:rPr>
        <w:t>新建幼儿园应独立占地</w:t>
      </w:r>
      <w:r>
        <w:rPr>
          <w:rFonts w:ascii="宋体" w:hAnsi="宋体" w:eastAsia="宋体" w:cs="Times New Roman"/>
          <w:kern w:val="0"/>
          <w:sz w:val="24"/>
          <w:szCs w:val="24"/>
        </w:rPr>
        <w:t>，绿地率≥30%，建筑密度≤30%，一般不超过3层，层高一般不超过3.9米</w:t>
      </w:r>
      <w:r>
        <w:rPr>
          <w:rFonts w:hint="eastAsia" w:ascii="宋体" w:hAnsi="宋体" w:eastAsia="宋体" w:cs="Times New Roman"/>
          <w:kern w:val="0"/>
          <w:sz w:val="24"/>
          <w:szCs w:val="24"/>
        </w:rPr>
        <w:t>；</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医疗卫生设施用地</w:t>
      </w:r>
      <w:r>
        <w:rPr>
          <w:rFonts w:hint="eastAsia" w:ascii="宋体" w:hAnsi="宋体" w:eastAsia="宋体" w:cs="Times New Roman"/>
          <w:kern w:val="0"/>
          <w:sz w:val="24"/>
          <w:szCs w:val="24"/>
        </w:rPr>
        <w:t>容积率原则上不大于1.5，建筑密度、绿地率等规划控制指标结合方案合理性确定。</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老年人社会福利用地容积率≤1.0，绿地率≥35%，建筑密度≤30%，建筑高度≤10米；</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商业用地容积率≤1.8，绿地率≥20%，建筑密度≤40%，建筑高度≤16米（≤4层）</w:t>
      </w:r>
      <w:r>
        <w:rPr>
          <w:rFonts w:hint="eastAsia" w:ascii="宋体" w:hAnsi="宋体" w:eastAsia="宋体" w:cs="Times New Roman"/>
          <w:kern w:val="0"/>
          <w:sz w:val="24"/>
          <w:szCs w:val="24"/>
        </w:rPr>
        <w:t>。</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（五）用地兼容</w:t>
      </w:r>
    </w:p>
    <w:p>
      <w:pPr>
        <w:adjustRightInd w:val="0"/>
        <w:snapToGrid w:val="0"/>
        <w:spacing w:line="360" w:lineRule="auto"/>
        <w:ind w:firstLine="480" w:firstLineChars="200"/>
        <w:rPr>
          <w:rFonts w:ascii="宋体" w:hAnsi="宋体" w:eastAsia="宋体" w:cs="Times New Roman"/>
          <w:kern w:val="0"/>
          <w:sz w:val="24"/>
          <w:szCs w:val="24"/>
        </w:rPr>
      </w:pPr>
      <w:r>
        <w:rPr>
          <w:rFonts w:hint="eastAsia" w:ascii="宋体" w:hAnsi="宋体" w:eastAsia="宋体" w:cs="Times New Roman"/>
          <w:kern w:val="0"/>
          <w:sz w:val="24"/>
          <w:szCs w:val="24"/>
        </w:rPr>
        <w:t>在开发过程中，为适应城镇发展的多种可能性，原则上允许有条件地变更某些地块原定的用地性质（第一使用性质），但必须符合《遂宁市城市规划管理技术规定》（修订）和《大英县城市规划管理技术规定》的相关规定。</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（六）其它建设控制</w:t>
      </w:r>
    </w:p>
    <w:p>
      <w:pPr>
        <w:adjustRightInd w:val="0"/>
        <w:snapToGrid w:val="0"/>
        <w:spacing w:line="360" w:lineRule="auto"/>
        <w:ind w:firstLine="480" w:firstLineChars="200"/>
        <w:rPr>
          <w:rFonts w:cs="Times New Roman" w:asciiTheme="minorEastAsia" w:hAnsiTheme="minorEastAsia"/>
          <w:kern w:val="0"/>
          <w:sz w:val="24"/>
          <w:szCs w:val="24"/>
        </w:rPr>
      </w:pPr>
      <w:r>
        <w:rPr>
          <w:rFonts w:hint="eastAsia" w:eastAsia="宋体" w:cs="Times New Roman" w:asciiTheme="minorEastAsia" w:hAnsiTheme="minorEastAsia"/>
          <w:kern w:val="0"/>
          <w:sz w:val="24"/>
          <w:szCs w:val="24"/>
        </w:rPr>
        <w:t>1、</w:t>
      </w:r>
      <w:r>
        <w:rPr>
          <w:rFonts w:ascii="宋体" w:hAnsi="宋体" w:eastAsia="宋体" w:cs="Times New Roman"/>
          <w:kern w:val="0"/>
          <w:sz w:val="24"/>
          <w:szCs w:val="24"/>
        </w:rPr>
        <w:t>配建车位控制</w:t>
      </w:r>
    </w:p>
    <w:p>
      <w:pPr>
        <w:adjustRightInd w:val="0"/>
        <w:snapToGrid w:val="0"/>
        <w:spacing w:line="360" w:lineRule="auto"/>
        <w:ind w:firstLine="480" w:firstLineChars="200"/>
        <w:rPr>
          <w:rFonts w:cs="Times New Roman" w:asciiTheme="minorEastAsia" w:hAnsiTheme="minorEastAsia"/>
          <w:kern w:val="0"/>
          <w:sz w:val="24"/>
          <w:szCs w:val="24"/>
        </w:rPr>
      </w:pPr>
      <w:r>
        <w:rPr>
          <w:rFonts w:ascii="宋体" w:hAnsi="宋体" w:eastAsia="宋体" w:cs="Times New Roman"/>
          <w:kern w:val="0"/>
          <w:sz w:val="24"/>
          <w:szCs w:val="24"/>
        </w:rPr>
        <w:t>地块内配建停车位标准按照</w:t>
      </w:r>
      <w:r>
        <w:rPr>
          <w:rFonts w:eastAsia="宋体" w:cs="Times New Roman" w:asciiTheme="minorEastAsia" w:hAnsiTheme="minorEastAsia"/>
          <w:kern w:val="0"/>
          <w:sz w:val="24"/>
          <w:szCs w:val="24"/>
        </w:rPr>
        <w:t>《大英县城市规划管理技术规定》表2.3.5停车场（库）配置标准执行。</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2、建筑退距控制</w:t>
      </w:r>
    </w:p>
    <w:p>
      <w:pPr>
        <w:adjustRightInd w:val="0"/>
        <w:snapToGrid w:val="0"/>
        <w:spacing w:line="360" w:lineRule="auto"/>
        <w:ind w:firstLine="480" w:firstLineChars="200"/>
        <w:rPr>
          <w:rFonts w:ascii="宋体" w:hAnsi="宋体" w:eastAsia="宋体" w:cs="Times New Roman"/>
          <w:kern w:val="0"/>
          <w:sz w:val="24"/>
          <w:szCs w:val="24"/>
        </w:rPr>
      </w:pPr>
      <w:r>
        <w:rPr>
          <w:rFonts w:hint="eastAsia" w:ascii="宋体" w:hAnsi="宋体" w:eastAsia="宋体" w:cs="Times New Roman"/>
          <w:kern w:val="0"/>
          <w:sz w:val="24"/>
          <w:szCs w:val="24"/>
        </w:rPr>
        <w:t>建筑退距按《</w:t>
      </w:r>
      <w:r>
        <w:rPr>
          <w:rFonts w:eastAsia="宋体" w:cs="Times New Roman" w:asciiTheme="minorEastAsia" w:hAnsiTheme="minorEastAsia"/>
          <w:kern w:val="0"/>
          <w:sz w:val="24"/>
          <w:szCs w:val="24"/>
        </w:rPr>
        <w:t>大英县城市规划管理技术规定</w:t>
      </w:r>
      <w:r>
        <w:rPr>
          <w:rFonts w:ascii="宋体" w:hAnsi="宋体" w:eastAsia="宋体" w:cs="Times New Roman"/>
          <w:kern w:val="0"/>
          <w:sz w:val="24"/>
          <w:szCs w:val="24"/>
        </w:rPr>
        <w:t>》中的有关规定执行。</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3、禁止开口路段</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道路开设机动车出入口时，出入口开口位置至道路交叉口距离必须保证：距主干道交叉口路沿石切点≥30米；距次干道交叉口路沿石切点≥20米；距支路交叉口路沿石切点≥10米。同时须符合城市交通管理部门有关规定和</w:t>
      </w:r>
      <w:r>
        <w:rPr>
          <w:rFonts w:hint="eastAsia" w:ascii="宋体" w:hAnsi="宋体" w:eastAsia="宋体" w:cs="Times New Roman"/>
          <w:kern w:val="0"/>
          <w:sz w:val="24"/>
          <w:szCs w:val="24"/>
        </w:rPr>
        <w:t>大英县</w:t>
      </w:r>
      <w:r>
        <w:rPr>
          <w:rFonts w:ascii="宋体" w:hAnsi="宋体" w:eastAsia="宋体" w:cs="Times New Roman"/>
          <w:kern w:val="0"/>
          <w:sz w:val="24"/>
          <w:szCs w:val="24"/>
        </w:rPr>
        <w:t>相关技术管理规定。</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详见表</w:t>
      </w:r>
      <w:r>
        <w:rPr>
          <w:rFonts w:hint="eastAsia" w:ascii="宋体" w:hAnsi="宋体" w:eastAsia="宋体" w:cs="Times New Roman"/>
          <w:kern w:val="0"/>
          <w:sz w:val="24"/>
          <w:szCs w:val="24"/>
        </w:rPr>
        <w:t>14</w:t>
      </w:r>
      <w:r>
        <w:rPr>
          <w:rFonts w:ascii="宋体" w:hAnsi="宋体" w:eastAsia="宋体" w:cs="Times New Roman"/>
          <w:kern w:val="0"/>
          <w:sz w:val="24"/>
          <w:szCs w:val="24"/>
        </w:rPr>
        <w:t>玉峰镇镇区</w:t>
      </w:r>
      <w:r>
        <w:rPr>
          <w:rFonts w:hint="eastAsia" w:ascii="宋体" w:hAnsi="宋体" w:eastAsia="宋体" w:cs="Times New Roman"/>
          <w:kern w:val="0"/>
          <w:sz w:val="24"/>
          <w:szCs w:val="24"/>
        </w:rPr>
        <w:t>地块</w:t>
      </w:r>
      <w:r>
        <w:rPr>
          <w:rFonts w:ascii="宋体" w:hAnsi="宋体" w:eastAsia="宋体" w:cs="Times New Roman"/>
          <w:kern w:val="0"/>
          <w:sz w:val="24"/>
          <w:szCs w:val="24"/>
        </w:rPr>
        <w:t>指标一览表</w:t>
      </w:r>
    </w:p>
    <w:p>
      <w:pPr>
        <w:adjustRightInd w:val="0"/>
        <w:snapToGrid w:val="0"/>
        <w:spacing w:line="360" w:lineRule="auto"/>
        <w:ind w:firstLine="482" w:firstLineChars="200"/>
        <w:rPr>
          <w:rFonts w:ascii="黑体" w:hAnsi="黑体" w:eastAsia="黑体" w:cs="Times New Roman"/>
          <w:b/>
          <w:kern w:val="0"/>
          <w:sz w:val="24"/>
          <w:szCs w:val="24"/>
        </w:rPr>
      </w:pPr>
      <w:r>
        <w:rPr>
          <w:rFonts w:hint="eastAsia" w:ascii="黑体" w:hAnsi="黑体" w:eastAsia="黑体" w:cs="Times New Roman"/>
          <w:b/>
          <w:kern w:val="0"/>
          <w:sz w:val="24"/>
          <w:szCs w:val="24"/>
        </w:rPr>
        <w:t>九、四线控制</w:t>
      </w:r>
    </w:p>
    <w:p>
      <w:pPr>
        <w:adjustRightInd w:val="0"/>
        <w:snapToGrid w:val="0"/>
        <w:spacing w:line="360" w:lineRule="auto"/>
        <w:ind w:firstLine="482" w:firstLineChars="200"/>
        <w:rPr>
          <w:rFonts w:ascii="宋体" w:hAnsi="宋体" w:eastAsia="宋体" w:cs="Times New Roman"/>
          <w:b/>
          <w:kern w:val="0"/>
          <w:sz w:val="24"/>
          <w:szCs w:val="24"/>
          <w:u w:val="single"/>
        </w:rPr>
      </w:pPr>
      <w:r>
        <w:rPr>
          <w:rFonts w:ascii="宋体" w:hAnsi="宋体" w:eastAsia="宋体" w:cs="Times New Roman"/>
          <w:b/>
          <w:kern w:val="0"/>
          <w:sz w:val="24"/>
          <w:szCs w:val="24"/>
          <w:u w:val="single"/>
        </w:rPr>
        <w:t>“四线”包括“绿线”、“黄线”、“蓝线”、“紫线”。镇区规划范围内涉及“绿线”、“蓝线”和“黄线”。</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（一）</w:t>
      </w:r>
      <w:r>
        <w:rPr>
          <w:rFonts w:eastAsia="宋体" w:cs="Times New Roman" w:asciiTheme="minorEastAsia" w:hAnsiTheme="minorEastAsia"/>
          <w:b/>
          <w:kern w:val="0"/>
          <w:sz w:val="24"/>
          <w:szCs w:val="24"/>
        </w:rPr>
        <w:t>绿线</w:t>
      </w:r>
    </w:p>
    <w:p>
      <w:pPr>
        <w:adjustRightInd w:val="0"/>
        <w:snapToGrid w:val="0"/>
        <w:spacing w:line="360" w:lineRule="auto"/>
        <w:ind w:firstLine="482" w:firstLineChars="200"/>
        <w:rPr>
          <w:rFonts w:ascii="宋体" w:hAnsi="宋体" w:eastAsia="宋体" w:cs="Times New Roman"/>
          <w:b/>
          <w:kern w:val="0"/>
          <w:sz w:val="24"/>
          <w:szCs w:val="24"/>
          <w:u w:val="single"/>
        </w:rPr>
      </w:pPr>
      <w:r>
        <w:rPr>
          <w:rFonts w:ascii="宋体" w:hAnsi="宋体" w:eastAsia="宋体" w:cs="Times New Roman"/>
          <w:b/>
          <w:kern w:val="0"/>
          <w:sz w:val="24"/>
          <w:szCs w:val="24"/>
          <w:u w:val="single"/>
        </w:rPr>
        <w:t>绿线包括城市公园绿地、防护绿地、广场用地等城市各类绿地范围的控制线。</w:t>
      </w:r>
      <w:r>
        <w:rPr>
          <w:rFonts w:hint="eastAsia" w:ascii="宋体" w:hAnsi="宋体" w:eastAsia="宋体" w:cs="Times New Roman"/>
          <w:b/>
          <w:kern w:val="0"/>
          <w:sz w:val="24"/>
          <w:szCs w:val="24"/>
          <w:u w:val="single"/>
        </w:rPr>
        <w:t>划定</w:t>
      </w:r>
      <w:r>
        <w:rPr>
          <w:rFonts w:ascii="宋体" w:hAnsi="宋体" w:eastAsia="宋体" w:cs="Times New Roman"/>
          <w:b/>
          <w:kern w:val="0"/>
          <w:sz w:val="24"/>
          <w:szCs w:val="24"/>
          <w:u w:val="single"/>
        </w:rPr>
        <w:t>幸福溪两侧的公园绿地为城市绿线范围，面积</w:t>
      </w:r>
      <w:r>
        <w:rPr>
          <w:rFonts w:hint="eastAsia" w:ascii="宋体" w:hAnsi="宋体" w:eastAsia="宋体" w:cs="Times New Roman"/>
          <w:b/>
          <w:kern w:val="0"/>
          <w:sz w:val="24"/>
          <w:szCs w:val="24"/>
          <w:u w:val="single"/>
        </w:rPr>
        <w:t>0.52</w:t>
      </w:r>
      <w:r>
        <w:rPr>
          <w:rFonts w:ascii="宋体" w:hAnsi="宋体" w:eastAsia="宋体" w:cs="Times New Roman"/>
          <w:b/>
          <w:kern w:val="0"/>
          <w:sz w:val="24"/>
          <w:szCs w:val="24"/>
          <w:u w:val="single"/>
        </w:rPr>
        <w:t>公顷。</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绿线范围内的公园绿地、防护绿地、广场用地、生产绿地、附属绿地和其他绿地，必须按照《城市用地分类与规划建设用地标准》、《公园设计规范》等标准，进行绿地建设。</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因特殊情况确需调整绿线的，应由县自然资源和规划行政主管部门会同县园林行政主管部门提出专题报告，经县人民政府审查同意后，由具备相应资质的规划编制</w:t>
      </w:r>
      <w:r>
        <w:rPr>
          <w:rFonts w:hint="eastAsia" w:ascii="宋体" w:hAnsi="宋体" w:eastAsia="宋体" w:cs="Times New Roman"/>
          <w:kern w:val="0"/>
          <w:sz w:val="24"/>
          <w:szCs w:val="24"/>
          <w:lang w:eastAsia="zh-CN"/>
        </w:rPr>
        <w:t>单位作出调整</w:t>
      </w:r>
      <w:r>
        <w:rPr>
          <w:rFonts w:ascii="宋体" w:hAnsi="宋体" w:eastAsia="宋体" w:cs="Times New Roman"/>
          <w:kern w:val="0"/>
          <w:sz w:val="24"/>
          <w:szCs w:val="24"/>
        </w:rPr>
        <w:t>方案，报原批准机关批准后实施。</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（二）</w:t>
      </w:r>
      <w:r>
        <w:rPr>
          <w:rFonts w:eastAsia="宋体" w:cs="Times New Roman" w:asciiTheme="minorEastAsia" w:hAnsiTheme="minorEastAsia"/>
          <w:b/>
          <w:kern w:val="0"/>
          <w:sz w:val="24"/>
          <w:szCs w:val="24"/>
        </w:rPr>
        <w:t>黄线</w:t>
      </w:r>
    </w:p>
    <w:p>
      <w:pPr>
        <w:adjustRightInd w:val="0"/>
        <w:snapToGrid w:val="0"/>
        <w:spacing w:line="360" w:lineRule="auto"/>
        <w:ind w:firstLine="482" w:firstLineChars="200"/>
        <w:rPr>
          <w:rFonts w:ascii="宋体" w:hAnsi="宋体" w:eastAsia="宋体" w:cs="Times New Roman"/>
          <w:b/>
          <w:kern w:val="0"/>
          <w:sz w:val="24"/>
          <w:szCs w:val="24"/>
          <w:u w:val="single"/>
        </w:rPr>
      </w:pPr>
      <w:r>
        <w:rPr>
          <w:rFonts w:ascii="宋体" w:hAnsi="宋体" w:eastAsia="宋体" w:cs="Times New Roman"/>
          <w:b/>
          <w:kern w:val="0"/>
          <w:sz w:val="24"/>
          <w:szCs w:val="24"/>
          <w:u w:val="single"/>
        </w:rPr>
        <w:t>黄线控制范围主要是给水厂、污水处理厂、消防设施用地以及通信用地。划定镇区南方客运站、给水厂、污水处理厂、垃圾收集站</w:t>
      </w:r>
      <w:r>
        <w:rPr>
          <w:rFonts w:hint="eastAsia" w:ascii="宋体" w:hAnsi="宋体" w:eastAsia="宋体" w:cs="Times New Roman"/>
          <w:b/>
          <w:kern w:val="0"/>
          <w:sz w:val="24"/>
          <w:szCs w:val="24"/>
          <w:u w:val="single"/>
        </w:rPr>
        <w:t>、</w:t>
      </w:r>
      <w:r>
        <w:rPr>
          <w:rFonts w:ascii="宋体" w:hAnsi="宋体" w:eastAsia="宋体" w:cs="Times New Roman"/>
          <w:b/>
          <w:kern w:val="0"/>
          <w:sz w:val="24"/>
          <w:szCs w:val="24"/>
          <w:u w:val="single"/>
        </w:rPr>
        <w:t>水工用地为城市黄线范围，面积</w:t>
      </w:r>
      <w:r>
        <w:rPr>
          <w:rFonts w:hint="eastAsia" w:ascii="宋体" w:hAnsi="宋体" w:eastAsia="宋体" w:cs="Times New Roman"/>
          <w:b/>
          <w:kern w:val="0"/>
          <w:sz w:val="24"/>
          <w:szCs w:val="24"/>
          <w:u w:val="single"/>
        </w:rPr>
        <w:t>1.72</w:t>
      </w:r>
      <w:r>
        <w:rPr>
          <w:rFonts w:ascii="宋体" w:hAnsi="宋体" w:eastAsia="宋体" w:cs="Times New Roman"/>
          <w:b/>
          <w:kern w:val="0"/>
          <w:sz w:val="24"/>
          <w:szCs w:val="24"/>
          <w:u w:val="single"/>
        </w:rPr>
        <w:t>公顷。</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在城市黄线范围内禁止进行下列活动：违反国土空间规划要求，进行建筑物、构筑物及其他设施的建设；违反国家有关技术标准和规范进行建设；未经批准，改装、迁移或拆毁原有城市基础设施；其他损坏城市基础设施或影响城市基础设施安全和正常运转的行为。</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在城市黄线内新建、改建、扩建各类建筑物、构筑物、道路、管线和其他工程设施，应当符合经批准的国土空间规划，并依法向建设主管部门（自然资源和规划行政主管部门）申请办理城市规划许可，并依据有关法律、法规办理相关手续。</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（三）</w:t>
      </w:r>
      <w:r>
        <w:rPr>
          <w:rFonts w:eastAsia="宋体" w:cs="Times New Roman" w:asciiTheme="minorEastAsia" w:hAnsiTheme="minorEastAsia"/>
          <w:b/>
          <w:kern w:val="0"/>
          <w:sz w:val="24"/>
          <w:szCs w:val="24"/>
        </w:rPr>
        <w:t>蓝线</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蓝线控制范围主要是</w:t>
      </w:r>
      <w:r>
        <w:rPr>
          <w:rFonts w:hint="eastAsia" w:ascii="宋体" w:hAnsi="宋体" w:eastAsia="宋体" w:cs="Times New Roman"/>
          <w:kern w:val="0"/>
          <w:sz w:val="24"/>
          <w:szCs w:val="24"/>
        </w:rPr>
        <w:t>幸福溪的自然水系。</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蓝线范围内，禁止违反城镇蓝线保护和控制要求的建设活动；</w:t>
      </w:r>
      <w:r>
        <w:rPr>
          <w:rFonts w:hint="eastAsia" w:ascii="宋体" w:hAnsi="宋体" w:eastAsia="宋体" w:cs="Times New Roman"/>
          <w:kern w:val="0"/>
          <w:sz w:val="24"/>
          <w:szCs w:val="24"/>
        </w:rPr>
        <w:t>禁止擅自填</w:t>
      </w:r>
      <w:r>
        <w:rPr>
          <w:rFonts w:ascii="宋体" w:hAnsi="宋体" w:eastAsia="宋体" w:cs="Times New Roman"/>
          <w:kern w:val="0"/>
          <w:sz w:val="24"/>
          <w:szCs w:val="24"/>
        </w:rPr>
        <w:t>埋、占用城镇蓝线内水域；禁止影响水系安全的爆破、采石、取土等活动；禁止擅自建设各类排污设施，向水域内排放污水。</w:t>
      </w:r>
    </w:p>
    <w:p>
      <w:pPr>
        <w:adjustRightInd w:val="0"/>
        <w:snapToGrid w:val="0"/>
        <w:spacing w:line="360" w:lineRule="auto"/>
        <w:ind w:firstLine="482" w:firstLineChars="200"/>
        <w:rPr>
          <w:rFonts w:ascii="黑体" w:hAnsi="黑体" w:eastAsia="黑体" w:cs="Times New Roman"/>
          <w:b/>
          <w:kern w:val="0"/>
          <w:sz w:val="24"/>
          <w:szCs w:val="24"/>
        </w:rPr>
      </w:pPr>
      <w:r>
        <w:rPr>
          <w:rFonts w:hint="eastAsia" w:ascii="黑体" w:hAnsi="黑体" w:eastAsia="黑体" w:cs="Times New Roman"/>
          <w:b/>
          <w:kern w:val="0"/>
          <w:sz w:val="24"/>
          <w:szCs w:val="24"/>
        </w:rPr>
        <w:t>十、镇区公服设施规划</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构建镇区“一个十分钟生活圈，三个五分钟生活圈”。</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（一）</w:t>
      </w:r>
      <w:r>
        <w:rPr>
          <w:rFonts w:eastAsia="宋体" w:cs="Times New Roman" w:asciiTheme="minorEastAsia" w:hAnsiTheme="minorEastAsia"/>
          <w:b/>
          <w:kern w:val="0"/>
          <w:sz w:val="24"/>
          <w:szCs w:val="24"/>
        </w:rPr>
        <w:t>机关团体</w:t>
      </w:r>
    </w:p>
    <w:p>
      <w:pPr>
        <w:adjustRightInd w:val="0"/>
        <w:snapToGrid w:val="0"/>
        <w:spacing w:line="360" w:lineRule="auto"/>
        <w:ind w:firstLine="482" w:firstLineChars="200"/>
        <w:rPr>
          <w:rFonts w:ascii="宋体" w:hAnsi="宋体" w:eastAsia="宋体" w:cs="Times New Roman"/>
          <w:b/>
          <w:kern w:val="0"/>
          <w:sz w:val="24"/>
          <w:szCs w:val="24"/>
          <w:u w:val="single"/>
        </w:rPr>
      </w:pPr>
      <w:r>
        <w:rPr>
          <w:rFonts w:ascii="宋体" w:hAnsi="宋体" w:eastAsia="宋体" w:cs="Times New Roman"/>
          <w:b/>
          <w:kern w:val="0"/>
          <w:sz w:val="24"/>
          <w:szCs w:val="24"/>
          <w:u w:val="single"/>
        </w:rPr>
        <w:t>保留现状镇政府、派出所</w:t>
      </w:r>
      <w:r>
        <w:rPr>
          <w:rFonts w:hint="eastAsia" w:ascii="宋体" w:hAnsi="宋体" w:eastAsia="宋体" w:cs="Times New Roman"/>
          <w:b/>
          <w:kern w:val="0"/>
          <w:sz w:val="24"/>
          <w:szCs w:val="24"/>
          <w:u w:val="single"/>
        </w:rPr>
        <w:t>、</w:t>
      </w:r>
      <w:r>
        <w:rPr>
          <w:rFonts w:ascii="宋体" w:hAnsi="宋体" w:eastAsia="宋体" w:cs="Times New Roman"/>
          <w:b/>
          <w:kern w:val="0"/>
          <w:sz w:val="24"/>
          <w:szCs w:val="24"/>
          <w:u w:val="single"/>
        </w:rPr>
        <w:t>邮政所</w:t>
      </w:r>
      <w:r>
        <w:rPr>
          <w:rFonts w:hint="eastAsia" w:ascii="宋体" w:hAnsi="宋体" w:eastAsia="宋体" w:cs="Times New Roman"/>
          <w:b/>
          <w:kern w:val="0"/>
          <w:sz w:val="24"/>
          <w:szCs w:val="24"/>
          <w:u w:val="single"/>
        </w:rPr>
        <w:t>、工商所、</w:t>
      </w:r>
      <w:r>
        <w:rPr>
          <w:rFonts w:ascii="宋体" w:hAnsi="宋体" w:eastAsia="宋体" w:cs="Times New Roman"/>
          <w:b/>
          <w:kern w:val="0"/>
          <w:sz w:val="24"/>
          <w:szCs w:val="24"/>
          <w:u w:val="single"/>
        </w:rPr>
        <w:t>幸福社区居委会，面积</w:t>
      </w:r>
      <w:r>
        <w:rPr>
          <w:rFonts w:hint="eastAsia" w:ascii="宋体" w:hAnsi="宋体" w:eastAsia="宋体" w:cs="Times New Roman"/>
          <w:b/>
          <w:kern w:val="0"/>
          <w:sz w:val="24"/>
          <w:szCs w:val="24"/>
          <w:u w:val="single"/>
        </w:rPr>
        <w:t>1.68</w:t>
      </w:r>
      <w:r>
        <w:rPr>
          <w:rFonts w:ascii="宋体" w:hAnsi="宋体" w:eastAsia="宋体" w:cs="Times New Roman"/>
          <w:b/>
          <w:kern w:val="0"/>
          <w:sz w:val="24"/>
          <w:szCs w:val="24"/>
          <w:u w:val="single"/>
        </w:rPr>
        <w:t>公顷；</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（二）文化用地</w:t>
      </w:r>
    </w:p>
    <w:p>
      <w:pPr>
        <w:adjustRightInd w:val="0"/>
        <w:snapToGrid w:val="0"/>
        <w:spacing w:line="360" w:lineRule="auto"/>
        <w:ind w:firstLine="482" w:firstLineChars="200"/>
        <w:rPr>
          <w:rFonts w:ascii="宋体" w:hAnsi="宋体" w:eastAsia="宋体" w:cs="Times New Roman"/>
          <w:b/>
          <w:kern w:val="0"/>
          <w:sz w:val="24"/>
          <w:szCs w:val="24"/>
          <w:u w:val="single"/>
        </w:rPr>
      </w:pPr>
      <w:r>
        <w:rPr>
          <w:rFonts w:ascii="宋体" w:hAnsi="宋体" w:eastAsia="宋体" w:cs="Times New Roman"/>
          <w:b/>
          <w:kern w:val="0"/>
          <w:sz w:val="24"/>
          <w:szCs w:val="24"/>
          <w:u w:val="single"/>
        </w:rPr>
        <w:t>保留现状文化站，面积</w:t>
      </w:r>
      <w:r>
        <w:rPr>
          <w:rFonts w:hint="eastAsia" w:ascii="宋体" w:hAnsi="宋体" w:eastAsia="宋体" w:cs="Times New Roman"/>
          <w:b/>
          <w:kern w:val="0"/>
          <w:sz w:val="24"/>
          <w:szCs w:val="24"/>
          <w:u w:val="single"/>
        </w:rPr>
        <w:t>0.29</w:t>
      </w:r>
      <w:r>
        <w:rPr>
          <w:rFonts w:ascii="宋体" w:hAnsi="宋体" w:eastAsia="宋体" w:cs="Times New Roman"/>
          <w:b/>
          <w:kern w:val="0"/>
          <w:sz w:val="24"/>
          <w:szCs w:val="24"/>
          <w:u w:val="single"/>
        </w:rPr>
        <w:t>公顷；</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（三）教育用地</w:t>
      </w:r>
    </w:p>
    <w:p>
      <w:pPr>
        <w:adjustRightInd w:val="0"/>
        <w:snapToGrid w:val="0"/>
        <w:spacing w:line="360" w:lineRule="auto"/>
        <w:ind w:firstLine="482" w:firstLineChars="200"/>
        <w:rPr>
          <w:rFonts w:ascii="宋体" w:hAnsi="宋体" w:eastAsia="宋体" w:cs="Times New Roman"/>
          <w:b/>
          <w:kern w:val="0"/>
          <w:sz w:val="24"/>
          <w:szCs w:val="24"/>
          <w:u w:val="single"/>
        </w:rPr>
      </w:pPr>
      <w:r>
        <w:rPr>
          <w:rFonts w:ascii="宋体" w:hAnsi="宋体" w:eastAsia="宋体" w:cs="Times New Roman"/>
          <w:b/>
          <w:kern w:val="0"/>
          <w:sz w:val="24"/>
          <w:szCs w:val="24"/>
          <w:u w:val="single"/>
        </w:rPr>
        <w:t>保留现状中、小学、幼儿园，面积</w:t>
      </w:r>
      <w:r>
        <w:rPr>
          <w:rFonts w:hint="eastAsia" w:ascii="宋体" w:hAnsi="宋体" w:eastAsia="宋体" w:cs="Times New Roman"/>
          <w:b/>
          <w:kern w:val="0"/>
          <w:sz w:val="24"/>
          <w:szCs w:val="24"/>
          <w:u w:val="single"/>
        </w:rPr>
        <w:t>2.96</w:t>
      </w:r>
      <w:r>
        <w:rPr>
          <w:rFonts w:ascii="宋体" w:hAnsi="宋体" w:eastAsia="宋体" w:cs="Times New Roman"/>
          <w:b/>
          <w:kern w:val="0"/>
          <w:sz w:val="24"/>
          <w:szCs w:val="24"/>
          <w:u w:val="single"/>
        </w:rPr>
        <w:t>公顷；</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（四）</w:t>
      </w:r>
      <w:r>
        <w:rPr>
          <w:rFonts w:eastAsia="宋体" w:cs="Times New Roman" w:asciiTheme="minorEastAsia" w:hAnsiTheme="minorEastAsia"/>
          <w:b/>
          <w:kern w:val="0"/>
          <w:sz w:val="24"/>
          <w:szCs w:val="24"/>
        </w:rPr>
        <w:t>医疗卫生</w:t>
      </w:r>
    </w:p>
    <w:p>
      <w:pPr>
        <w:adjustRightInd w:val="0"/>
        <w:snapToGrid w:val="0"/>
        <w:spacing w:line="360" w:lineRule="auto"/>
        <w:ind w:firstLine="482" w:firstLineChars="200"/>
        <w:rPr>
          <w:rFonts w:ascii="宋体" w:hAnsi="宋体" w:eastAsia="宋体" w:cs="Times New Roman"/>
          <w:b/>
          <w:kern w:val="0"/>
          <w:sz w:val="24"/>
          <w:szCs w:val="24"/>
          <w:u w:val="single"/>
        </w:rPr>
      </w:pPr>
      <w:r>
        <w:rPr>
          <w:rFonts w:ascii="宋体" w:hAnsi="宋体" w:eastAsia="宋体" w:cs="Times New Roman"/>
          <w:b/>
          <w:kern w:val="0"/>
          <w:sz w:val="24"/>
          <w:szCs w:val="24"/>
          <w:u w:val="single"/>
        </w:rPr>
        <w:t>保留现状计生站、卫生院，面积</w:t>
      </w:r>
      <w:r>
        <w:rPr>
          <w:rFonts w:hint="eastAsia" w:ascii="宋体" w:hAnsi="宋体" w:eastAsia="宋体" w:cs="Times New Roman"/>
          <w:b/>
          <w:kern w:val="0"/>
          <w:sz w:val="24"/>
          <w:szCs w:val="24"/>
          <w:u w:val="single"/>
        </w:rPr>
        <w:t>0.32</w:t>
      </w:r>
      <w:r>
        <w:rPr>
          <w:rFonts w:ascii="宋体" w:hAnsi="宋体" w:eastAsia="宋体" w:cs="Times New Roman"/>
          <w:b/>
          <w:kern w:val="0"/>
          <w:sz w:val="24"/>
          <w:szCs w:val="24"/>
          <w:u w:val="single"/>
        </w:rPr>
        <w:t>公顷；</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（五）社会福利用地</w:t>
      </w:r>
    </w:p>
    <w:p>
      <w:pPr>
        <w:adjustRightInd w:val="0"/>
        <w:snapToGrid w:val="0"/>
        <w:spacing w:line="360" w:lineRule="auto"/>
        <w:ind w:firstLine="482" w:firstLineChars="200"/>
        <w:rPr>
          <w:rFonts w:ascii="宋体" w:hAnsi="宋体" w:eastAsia="宋体" w:cs="Times New Roman"/>
          <w:b/>
          <w:kern w:val="0"/>
          <w:sz w:val="24"/>
          <w:szCs w:val="24"/>
          <w:u w:val="single"/>
        </w:rPr>
      </w:pPr>
      <w:r>
        <w:rPr>
          <w:rFonts w:hint="eastAsia" w:ascii="宋体" w:hAnsi="宋体" w:eastAsia="宋体" w:cs="Times New Roman"/>
          <w:b/>
          <w:kern w:val="0"/>
          <w:sz w:val="24"/>
          <w:szCs w:val="24"/>
          <w:u w:val="single"/>
        </w:rPr>
        <w:t>规划</w:t>
      </w:r>
      <w:r>
        <w:rPr>
          <w:rFonts w:ascii="宋体" w:hAnsi="宋体" w:eastAsia="宋体" w:cs="Times New Roman"/>
          <w:b/>
          <w:kern w:val="0"/>
          <w:sz w:val="24"/>
          <w:szCs w:val="24"/>
          <w:u w:val="single"/>
        </w:rPr>
        <w:t>新增一处敬老院</w:t>
      </w:r>
      <w:r>
        <w:rPr>
          <w:rFonts w:hint="eastAsia" w:ascii="宋体" w:hAnsi="宋体" w:eastAsia="宋体" w:cs="Times New Roman"/>
          <w:b/>
          <w:kern w:val="0"/>
          <w:sz w:val="24"/>
          <w:szCs w:val="24"/>
          <w:u w:val="single"/>
        </w:rPr>
        <w:t>，</w:t>
      </w:r>
      <w:r>
        <w:rPr>
          <w:rFonts w:ascii="宋体" w:hAnsi="宋体" w:eastAsia="宋体" w:cs="Times New Roman"/>
          <w:b/>
          <w:kern w:val="0"/>
          <w:sz w:val="24"/>
          <w:szCs w:val="24"/>
          <w:u w:val="single"/>
        </w:rPr>
        <w:t>面积</w:t>
      </w:r>
      <w:r>
        <w:rPr>
          <w:rFonts w:hint="eastAsia" w:ascii="宋体" w:hAnsi="宋体" w:eastAsia="宋体" w:cs="Times New Roman"/>
          <w:b/>
          <w:kern w:val="0"/>
          <w:sz w:val="24"/>
          <w:szCs w:val="24"/>
          <w:u w:val="single"/>
        </w:rPr>
        <w:t>0.31公顷。</w:t>
      </w:r>
    </w:p>
    <w:p>
      <w:pPr>
        <w:adjustRightInd w:val="0"/>
        <w:snapToGrid w:val="0"/>
        <w:spacing w:line="360" w:lineRule="auto"/>
        <w:ind w:firstLine="482" w:firstLineChars="200"/>
        <w:rPr>
          <w:rFonts w:ascii="黑体" w:hAnsi="黑体" w:eastAsia="黑体" w:cs="Times New Roman"/>
          <w:b/>
          <w:kern w:val="0"/>
          <w:sz w:val="24"/>
          <w:szCs w:val="24"/>
        </w:rPr>
      </w:pPr>
      <w:r>
        <w:rPr>
          <w:rFonts w:hint="eastAsia" w:ascii="黑体" w:hAnsi="黑体" w:eastAsia="黑体" w:cs="Times New Roman"/>
          <w:b/>
          <w:kern w:val="0"/>
          <w:sz w:val="24"/>
          <w:szCs w:val="24"/>
        </w:rPr>
        <w:t>十一、构建完善多维的交通体系</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玉峰镇</w:t>
      </w:r>
      <w:r>
        <w:rPr>
          <w:rFonts w:hint="eastAsia" w:ascii="宋体" w:hAnsi="宋体" w:eastAsia="宋体" w:cs="Times New Roman"/>
          <w:kern w:val="0"/>
          <w:sz w:val="24"/>
          <w:szCs w:val="24"/>
        </w:rPr>
        <w:t>建设</w:t>
      </w:r>
      <w:r>
        <w:rPr>
          <w:rFonts w:ascii="宋体" w:hAnsi="宋体" w:eastAsia="宋体" w:cs="Times New Roman"/>
          <w:kern w:val="0"/>
          <w:sz w:val="24"/>
          <w:szCs w:val="24"/>
        </w:rPr>
        <w:t>用地沿幸福溪呈带状发展，镇区道路以</w:t>
      </w:r>
      <w:r>
        <w:rPr>
          <w:rFonts w:hint="eastAsia" w:ascii="宋体" w:hAnsi="宋体" w:eastAsia="宋体" w:cs="Times New Roman"/>
          <w:kern w:val="0"/>
          <w:sz w:val="24"/>
          <w:szCs w:val="24"/>
        </w:rPr>
        <w:t>幸福路和交通街形成了</w:t>
      </w:r>
      <w:r>
        <w:rPr>
          <w:rFonts w:ascii="宋体" w:hAnsi="宋体" w:eastAsia="宋体" w:cs="Times New Roman"/>
          <w:kern w:val="0"/>
          <w:sz w:val="24"/>
          <w:szCs w:val="24"/>
        </w:rPr>
        <w:t>链式路网</w:t>
      </w:r>
      <w:r>
        <w:rPr>
          <w:rFonts w:hint="eastAsia" w:ascii="宋体" w:hAnsi="宋体" w:eastAsia="宋体" w:cs="Times New Roman"/>
          <w:kern w:val="0"/>
          <w:sz w:val="24"/>
          <w:szCs w:val="24"/>
        </w:rPr>
        <w:t>。</w:t>
      </w:r>
      <w:r>
        <w:rPr>
          <w:rFonts w:ascii="宋体" w:hAnsi="宋体" w:eastAsia="宋体" w:cs="Times New Roman"/>
          <w:kern w:val="0"/>
          <w:sz w:val="24"/>
          <w:szCs w:val="24"/>
        </w:rPr>
        <w:t>规划在现状道路为基础，增加路网密度，打通</w:t>
      </w:r>
      <w:r>
        <w:rPr>
          <w:rFonts w:hint="eastAsia" w:ascii="宋体" w:hAnsi="宋体" w:eastAsia="宋体" w:cs="Times New Roman"/>
          <w:kern w:val="0"/>
          <w:sz w:val="24"/>
          <w:szCs w:val="24"/>
        </w:rPr>
        <w:t>部分</w:t>
      </w:r>
      <w:r>
        <w:rPr>
          <w:rFonts w:ascii="宋体" w:hAnsi="宋体" w:eastAsia="宋体" w:cs="Times New Roman"/>
          <w:kern w:val="0"/>
          <w:sz w:val="24"/>
          <w:szCs w:val="24"/>
        </w:rPr>
        <w:t>断头路，增设部分支路，满足消防救援需求，依托优质生态资源构建滨河绿道体系，串联镇区核心功能。</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规划形成</w:t>
      </w:r>
      <w:r>
        <w:rPr>
          <w:rFonts w:hint="eastAsia" w:ascii="宋体" w:hAnsi="宋体" w:eastAsia="宋体" w:cs="Times New Roman"/>
          <w:kern w:val="0"/>
          <w:sz w:val="24"/>
          <w:szCs w:val="24"/>
        </w:rPr>
        <w:t>“</w:t>
      </w:r>
      <w:r>
        <w:rPr>
          <w:rFonts w:ascii="宋体" w:hAnsi="宋体" w:eastAsia="宋体" w:cs="Times New Roman"/>
          <w:kern w:val="0"/>
          <w:sz w:val="24"/>
          <w:szCs w:val="24"/>
        </w:rPr>
        <w:t>两横两纵”路网格局：结合现状道路，按照小街区、密路网规划城镇道路，形成两条横向主干门户通道</w:t>
      </w:r>
      <w:r>
        <w:rPr>
          <w:rFonts w:hint="eastAsia" w:ascii="宋体" w:hAnsi="宋体" w:eastAsia="宋体" w:cs="Times New Roman"/>
          <w:kern w:val="0"/>
          <w:sz w:val="24"/>
          <w:szCs w:val="24"/>
        </w:rPr>
        <w:t xml:space="preserve">（交通街和幸福路）。 </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规划取消位于玉峰小学北侧的客运站，减少外部交通对内部交通的干扰，规划启用镇区东部的南方客运站，借助客运站布局公共停车场，形成镇区的运输综合服务站。</w:t>
      </w:r>
    </w:p>
    <w:p>
      <w:pPr>
        <w:adjustRightInd w:val="0"/>
        <w:snapToGrid w:val="0"/>
        <w:spacing w:line="360" w:lineRule="auto"/>
        <w:ind w:firstLine="482" w:firstLineChars="200"/>
        <w:rPr>
          <w:rFonts w:ascii="黑体" w:hAnsi="黑体" w:eastAsia="黑体" w:cs="Times New Roman"/>
          <w:b/>
          <w:kern w:val="0"/>
          <w:sz w:val="24"/>
          <w:szCs w:val="24"/>
        </w:rPr>
      </w:pPr>
      <w:r>
        <w:rPr>
          <w:rFonts w:hint="eastAsia" w:ascii="黑体" w:hAnsi="黑体" w:eastAsia="黑体" w:cs="Times New Roman"/>
          <w:b/>
          <w:kern w:val="0"/>
          <w:sz w:val="24"/>
          <w:szCs w:val="24"/>
        </w:rPr>
        <w:t xml:space="preserve">十二、补足市政设施短板 </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（一）现状概况</w:t>
      </w:r>
    </w:p>
    <w:p>
      <w:pPr>
        <w:adjustRightInd w:val="0"/>
        <w:snapToGrid w:val="0"/>
        <w:spacing w:line="360" w:lineRule="auto"/>
        <w:ind w:firstLine="480" w:firstLineChars="200"/>
        <w:rPr>
          <w:rFonts w:ascii="宋体" w:hAnsi="宋体" w:eastAsia="宋体" w:cs="Times New Roman"/>
          <w:kern w:val="0"/>
          <w:sz w:val="24"/>
          <w:szCs w:val="24"/>
        </w:rPr>
      </w:pPr>
      <w:r>
        <w:rPr>
          <w:rFonts w:hint="eastAsia" w:ascii="宋体" w:hAnsi="宋体" w:eastAsia="宋体" w:cs="Times New Roman"/>
          <w:kern w:val="0"/>
          <w:sz w:val="24"/>
          <w:szCs w:val="24"/>
        </w:rPr>
        <w:t>1、给水现状</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镇区现状</w:t>
      </w:r>
      <w:r>
        <w:rPr>
          <w:rFonts w:hint="eastAsia" w:ascii="宋体" w:hAnsi="宋体" w:eastAsia="宋体" w:cs="Times New Roman"/>
          <w:kern w:val="0"/>
          <w:sz w:val="24"/>
          <w:szCs w:val="24"/>
        </w:rPr>
        <w:t>玉</w:t>
      </w:r>
      <w:r>
        <w:rPr>
          <w:rFonts w:ascii="宋体" w:hAnsi="宋体" w:eastAsia="宋体" w:cs="Times New Roman"/>
          <w:kern w:val="0"/>
          <w:sz w:val="24"/>
          <w:szCs w:val="24"/>
        </w:rPr>
        <w:t>印供水站供水规模为</w:t>
      </w:r>
      <w:r>
        <w:rPr>
          <w:rFonts w:hint="eastAsia" w:ascii="宋体" w:hAnsi="宋体" w:eastAsia="宋体" w:cs="Times New Roman"/>
          <w:kern w:val="0"/>
          <w:sz w:val="24"/>
          <w:szCs w:val="24"/>
        </w:rPr>
        <w:t>480立方米/天</w:t>
      </w:r>
      <w:r>
        <w:rPr>
          <w:rFonts w:ascii="宋体" w:hAnsi="宋体" w:eastAsia="宋体" w:cs="Times New Roman"/>
          <w:kern w:val="0"/>
          <w:sz w:val="24"/>
          <w:szCs w:val="24"/>
        </w:rPr>
        <w:t>，水源来自</w:t>
      </w:r>
      <w:r>
        <w:rPr>
          <w:rFonts w:hint="eastAsia" w:ascii="宋体" w:hAnsi="宋体" w:eastAsia="宋体" w:cs="Times New Roman"/>
          <w:kern w:val="0"/>
          <w:sz w:val="24"/>
          <w:szCs w:val="24"/>
        </w:rPr>
        <w:t>寸塘口水库</w:t>
      </w:r>
      <w:r>
        <w:rPr>
          <w:rFonts w:ascii="宋体" w:hAnsi="宋体" w:eastAsia="宋体" w:cs="Times New Roman"/>
          <w:kern w:val="0"/>
          <w:sz w:val="24"/>
          <w:szCs w:val="24"/>
        </w:rPr>
        <w:t>，基本能满足现有镇区生活用水需要。</w:t>
      </w:r>
    </w:p>
    <w:p>
      <w:pPr>
        <w:adjustRightInd w:val="0"/>
        <w:snapToGrid w:val="0"/>
        <w:spacing w:line="360" w:lineRule="auto"/>
        <w:ind w:firstLine="480" w:firstLineChars="200"/>
        <w:rPr>
          <w:rFonts w:ascii="宋体" w:hAnsi="宋体" w:eastAsia="宋体" w:cs="Times New Roman"/>
          <w:kern w:val="0"/>
          <w:sz w:val="24"/>
          <w:szCs w:val="24"/>
        </w:rPr>
      </w:pPr>
      <w:r>
        <w:rPr>
          <w:rFonts w:hint="eastAsia" w:ascii="宋体" w:hAnsi="宋体" w:eastAsia="宋体" w:cs="Times New Roman"/>
          <w:kern w:val="0"/>
          <w:sz w:val="24"/>
          <w:szCs w:val="24"/>
        </w:rPr>
        <w:t>2、排水现状</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镇区现有</w:t>
      </w:r>
      <w:r>
        <w:rPr>
          <w:rFonts w:hint="eastAsia" w:ascii="宋体" w:hAnsi="宋体" w:eastAsia="宋体" w:cs="Times New Roman"/>
          <w:kern w:val="0"/>
          <w:sz w:val="24"/>
          <w:szCs w:val="24"/>
        </w:rPr>
        <w:t>玉峰</w:t>
      </w:r>
      <w:r>
        <w:rPr>
          <w:rFonts w:ascii="宋体" w:hAnsi="宋体" w:eastAsia="宋体" w:cs="Times New Roman"/>
          <w:kern w:val="0"/>
          <w:sz w:val="24"/>
          <w:szCs w:val="24"/>
        </w:rPr>
        <w:t>污水处理厂，集中收集处理镇区以及近郊村庄生活污水。</w:t>
      </w:r>
    </w:p>
    <w:p>
      <w:pPr>
        <w:adjustRightInd w:val="0"/>
        <w:snapToGrid w:val="0"/>
        <w:spacing w:line="360" w:lineRule="auto"/>
        <w:ind w:firstLine="480" w:firstLineChars="200"/>
        <w:rPr>
          <w:rFonts w:ascii="宋体" w:hAnsi="宋体" w:eastAsia="宋体" w:cs="Times New Roman"/>
          <w:kern w:val="0"/>
          <w:sz w:val="24"/>
          <w:szCs w:val="24"/>
        </w:rPr>
      </w:pPr>
      <w:r>
        <w:rPr>
          <w:rFonts w:hint="eastAsia" w:ascii="宋体" w:hAnsi="宋体" w:eastAsia="宋体" w:cs="Times New Roman"/>
          <w:kern w:val="0"/>
          <w:sz w:val="24"/>
          <w:szCs w:val="24"/>
        </w:rPr>
        <w:t>3、电力现状</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镇区电源来</w:t>
      </w:r>
      <w:r>
        <w:rPr>
          <w:rFonts w:hint="eastAsia" w:ascii="宋体" w:hAnsi="宋体" w:eastAsia="宋体" w:cs="Times New Roman"/>
          <w:kern w:val="0"/>
          <w:sz w:val="24"/>
          <w:szCs w:val="24"/>
        </w:rPr>
        <w:t>35KV玉峰变电站</w:t>
      </w:r>
      <w:r>
        <w:rPr>
          <w:rFonts w:ascii="宋体" w:hAnsi="宋体" w:eastAsia="宋体" w:cs="Times New Roman"/>
          <w:kern w:val="0"/>
          <w:sz w:val="24"/>
          <w:szCs w:val="24"/>
        </w:rPr>
        <w:t>。</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（二）给水工程规划</w:t>
      </w:r>
    </w:p>
    <w:p>
      <w:pPr>
        <w:adjustRightInd w:val="0"/>
        <w:snapToGrid w:val="0"/>
        <w:spacing w:line="360" w:lineRule="auto"/>
        <w:ind w:firstLine="480" w:firstLineChars="200"/>
        <w:rPr>
          <w:rFonts w:ascii="宋体" w:hAnsi="宋体" w:eastAsia="宋体" w:cs="Times New Roman"/>
          <w:kern w:val="0"/>
          <w:sz w:val="24"/>
          <w:szCs w:val="24"/>
        </w:rPr>
      </w:pPr>
      <w:r>
        <w:rPr>
          <w:rFonts w:hint="eastAsia" w:ascii="宋体" w:hAnsi="宋体" w:eastAsia="宋体" w:cs="Times New Roman"/>
          <w:kern w:val="0"/>
          <w:sz w:val="24"/>
          <w:szCs w:val="24"/>
        </w:rPr>
        <w:t>1、用水量预测</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根据规划预测，</w:t>
      </w:r>
      <w:r>
        <w:rPr>
          <w:rFonts w:hint="eastAsia" w:ascii="宋体" w:hAnsi="宋体" w:eastAsia="宋体" w:cs="Times New Roman"/>
          <w:kern w:val="0"/>
          <w:sz w:val="24"/>
          <w:szCs w:val="24"/>
        </w:rPr>
        <w:t>玉峰镇</w:t>
      </w:r>
      <w:r>
        <w:rPr>
          <w:rFonts w:ascii="宋体" w:hAnsi="宋体" w:eastAsia="宋体" w:cs="Times New Roman"/>
          <w:kern w:val="0"/>
          <w:sz w:val="24"/>
          <w:szCs w:val="24"/>
        </w:rPr>
        <w:t>区远期规划常住人口为</w:t>
      </w:r>
      <w:r>
        <w:rPr>
          <w:rFonts w:hint="eastAsia" w:ascii="宋体" w:hAnsi="宋体" w:eastAsia="宋体" w:cs="Times New Roman"/>
          <w:kern w:val="0"/>
          <w:sz w:val="24"/>
          <w:szCs w:val="24"/>
        </w:rPr>
        <w:t>0.50</w:t>
      </w:r>
      <w:r>
        <w:rPr>
          <w:rFonts w:ascii="宋体" w:hAnsi="宋体" w:eastAsia="宋体" w:cs="Times New Roman"/>
          <w:kern w:val="0"/>
          <w:sz w:val="24"/>
          <w:szCs w:val="24"/>
        </w:rPr>
        <w:t>万人，综合用水量指标为</w:t>
      </w:r>
      <w:r>
        <w:rPr>
          <w:rFonts w:eastAsia="宋体" w:cs="Times New Roman" w:asciiTheme="minorEastAsia" w:hAnsiTheme="minorEastAsia"/>
          <w:kern w:val="0"/>
          <w:sz w:val="24"/>
          <w:szCs w:val="24"/>
        </w:rPr>
        <w:t>0.20吨/（人·日）</w:t>
      </w:r>
      <w:r>
        <w:rPr>
          <w:rFonts w:ascii="宋体" w:hAnsi="宋体" w:eastAsia="宋体" w:cs="Times New Roman"/>
          <w:kern w:val="0"/>
          <w:sz w:val="24"/>
          <w:szCs w:val="24"/>
        </w:rPr>
        <w:t>，则最高日用水量为</w:t>
      </w:r>
      <w:r>
        <w:rPr>
          <w:rFonts w:hint="eastAsia" w:ascii="宋体" w:hAnsi="宋体" w:eastAsia="宋体" w:cs="Times New Roman"/>
          <w:kern w:val="0"/>
          <w:sz w:val="24"/>
          <w:szCs w:val="24"/>
        </w:rPr>
        <w:t>0.1</w:t>
      </w:r>
      <w:r>
        <w:rPr>
          <w:rFonts w:ascii="宋体" w:hAnsi="宋体" w:eastAsia="宋体" w:cs="Times New Roman"/>
          <w:kern w:val="0"/>
          <w:sz w:val="24"/>
          <w:szCs w:val="24"/>
        </w:rPr>
        <w:t>万吨/日。</w:t>
      </w:r>
    </w:p>
    <w:p>
      <w:pPr>
        <w:adjustRightInd w:val="0"/>
        <w:snapToGrid w:val="0"/>
        <w:spacing w:line="360" w:lineRule="auto"/>
        <w:ind w:firstLine="480" w:firstLineChars="200"/>
        <w:rPr>
          <w:rFonts w:ascii="宋体" w:hAnsi="宋体" w:eastAsia="宋体" w:cs="Times New Roman"/>
          <w:kern w:val="0"/>
          <w:sz w:val="24"/>
          <w:szCs w:val="24"/>
        </w:rPr>
      </w:pPr>
      <w:r>
        <w:rPr>
          <w:rFonts w:hint="eastAsia" w:ascii="宋体" w:hAnsi="宋体" w:eastAsia="宋体" w:cs="Times New Roman"/>
          <w:kern w:val="0"/>
          <w:sz w:val="24"/>
          <w:szCs w:val="24"/>
        </w:rPr>
        <w:t>2、水厂及水源</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落实衔接县级国土空间总体规划和专项规划的要求，由</w:t>
      </w:r>
      <w:r>
        <w:rPr>
          <w:rFonts w:hint="eastAsia" w:ascii="宋体" w:hAnsi="宋体" w:eastAsia="宋体" w:cs="Times New Roman"/>
          <w:kern w:val="0"/>
          <w:sz w:val="24"/>
          <w:szCs w:val="24"/>
        </w:rPr>
        <w:t>寸塘口</w:t>
      </w:r>
      <w:r>
        <w:rPr>
          <w:rFonts w:ascii="宋体" w:hAnsi="宋体" w:eastAsia="宋体" w:cs="Times New Roman"/>
          <w:kern w:val="0"/>
          <w:sz w:val="24"/>
          <w:szCs w:val="24"/>
        </w:rPr>
        <w:t>水库作为</w:t>
      </w:r>
      <w:r>
        <w:rPr>
          <w:rFonts w:hint="eastAsia" w:ascii="宋体" w:hAnsi="宋体" w:eastAsia="宋体" w:cs="Times New Roman"/>
          <w:kern w:val="0"/>
          <w:sz w:val="24"/>
          <w:szCs w:val="24"/>
        </w:rPr>
        <w:t>玉峰镇镇</w:t>
      </w:r>
      <w:r>
        <w:rPr>
          <w:rFonts w:ascii="宋体" w:hAnsi="宋体" w:eastAsia="宋体" w:cs="Times New Roman"/>
          <w:kern w:val="0"/>
          <w:sz w:val="24"/>
          <w:szCs w:val="24"/>
        </w:rPr>
        <w:t>水源统一供水，现状</w:t>
      </w:r>
      <w:r>
        <w:rPr>
          <w:rFonts w:hint="eastAsia" w:ascii="宋体" w:hAnsi="宋体" w:eastAsia="宋体" w:cs="Times New Roman"/>
          <w:kern w:val="0"/>
          <w:sz w:val="24"/>
          <w:szCs w:val="24"/>
        </w:rPr>
        <w:t>玉</w:t>
      </w:r>
      <w:r>
        <w:rPr>
          <w:rFonts w:ascii="宋体" w:hAnsi="宋体" w:eastAsia="宋体" w:cs="Times New Roman"/>
          <w:kern w:val="0"/>
          <w:sz w:val="24"/>
          <w:szCs w:val="24"/>
        </w:rPr>
        <w:t>印供水站可以满足镇区远期供水要求</w:t>
      </w:r>
      <w:r>
        <w:rPr>
          <w:rFonts w:hint="eastAsia" w:ascii="宋体" w:hAnsi="宋体" w:eastAsia="宋体" w:cs="Times New Roman"/>
          <w:kern w:val="0"/>
          <w:sz w:val="24"/>
          <w:szCs w:val="24"/>
        </w:rPr>
        <w:t>，</w:t>
      </w:r>
      <w:r>
        <w:rPr>
          <w:rFonts w:ascii="宋体" w:hAnsi="宋体" w:eastAsia="宋体" w:cs="Times New Roman"/>
          <w:kern w:val="0"/>
          <w:sz w:val="24"/>
          <w:szCs w:val="24"/>
        </w:rPr>
        <w:t>不需要对供水站规模进行扩建</w:t>
      </w:r>
      <w:r>
        <w:rPr>
          <w:rFonts w:hint="eastAsia" w:ascii="宋体" w:hAnsi="宋体" w:eastAsia="宋体" w:cs="Times New Roman"/>
          <w:kern w:val="0"/>
          <w:sz w:val="24"/>
          <w:szCs w:val="24"/>
        </w:rPr>
        <w:t>，</w:t>
      </w:r>
      <w:r>
        <w:rPr>
          <w:rFonts w:ascii="宋体" w:hAnsi="宋体" w:eastAsia="宋体" w:cs="Times New Roman"/>
          <w:kern w:val="0"/>
          <w:sz w:val="24"/>
          <w:szCs w:val="24"/>
        </w:rPr>
        <w:t>但需要对其进行品质提升</w:t>
      </w:r>
      <w:r>
        <w:rPr>
          <w:rFonts w:hint="eastAsia" w:ascii="宋体" w:hAnsi="宋体" w:eastAsia="宋体" w:cs="Times New Roman"/>
          <w:kern w:val="0"/>
          <w:sz w:val="24"/>
          <w:szCs w:val="24"/>
        </w:rPr>
        <w:t>。</w:t>
      </w:r>
    </w:p>
    <w:p>
      <w:pPr>
        <w:adjustRightInd w:val="0"/>
        <w:snapToGrid w:val="0"/>
        <w:spacing w:line="360" w:lineRule="auto"/>
        <w:ind w:firstLine="480" w:firstLineChars="200"/>
        <w:rPr>
          <w:rFonts w:ascii="宋体" w:hAnsi="宋体" w:eastAsia="宋体" w:cs="Times New Roman"/>
          <w:kern w:val="0"/>
          <w:sz w:val="24"/>
          <w:szCs w:val="24"/>
        </w:rPr>
      </w:pPr>
      <w:r>
        <w:rPr>
          <w:rFonts w:hint="eastAsia" w:ascii="宋体" w:hAnsi="宋体" w:eastAsia="宋体" w:cs="Times New Roman"/>
          <w:kern w:val="0"/>
          <w:sz w:val="24"/>
          <w:szCs w:val="24"/>
        </w:rPr>
        <w:t>3、供水管网</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规划沿</w:t>
      </w:r>
      <w:r>
        <w:rPr>
          <w:rFonts w:hint="eastAsia" w:ascii="宋体" w:hAnsi="宋体" w:eastAsia="宋体" w:cs="Times New Roman"/>
          <w:kern w:val="0"/>
          <w:sz w:val="24"/>
          <w:szCs w:val="24"/>
        </w:rPr>
        <w:t>镇区</w:t>
      </w:r>
      <w:r>
        <w:rPr>
          <w:rFonts w:ascii="宋体" w:hAnsi="宋体" w:eastAsia="宋体" w:cs="Times New Roman"/>
          <w:kern w:val="0"/>
          <w:sz w:val="24"/>
          <w:szCs w:val="24"/>
        </w:rPr>
        <w:t>道路敷设</w:t>
      </w:r>
      <w:r>
        <w:rPr>
          <w:rFonts w:hint="eastAsia" w:ascii="宋体" w:hAnsi="宋体" w:eastAsia="宋体" w:cs="Times New Roman"/>
          <w:kern w:val="0"/>
          <w:sz w:val="24"/>
          <w:szCs w:val="24"/>
        </w:rPr>
        <w:t>DN200-DN300给水管网</w:t>
      </w:r>
      <w:r>
        <w:rPr>
          <w:rFonts w:ascii="宋体" w:hAnsi="宋体" w:eastAsia="宋体" w:cs="Times New Roman"/>
          <w:kern w:val="0"/>
          <w:sz w:val="24"/>
          <w:szCs w:val="24"/>
        </w:rPr>
        <w:t>，形成“环状+放射线”的给水管网布局</w:t>
      </w:r>
      <w:r>
        <w:rPr>
          <w:rFonts w:hint="eastAsia" w:ascii="宋体" w:hAnsi="宋体" w:eastAsia="宋体" w:cs="Times New Roman"/>
          <w:kern w:val="0"/>
          <w:sz w:val="24"/>
          <w:szCs w:val="24"/>
        </w:rPr>
        <w:t>，</w:t>
      </w:r>
      <w:r>
        <w:rPr>
          <w:rFonts w:ascii="宋体" w:hAnsi="宋体" w:eastAsia="宋体" w:cs="Times New Roman"/>
          <w:kern w:val="0"/>
          <w:sz w:val="24"/>
          <w:szCs w:val="24"/>
        </w:rPr>
        <w:t>形成“</w:t>
      </w:r>
      <w:r>
        <w:rPr>
          <w:rFonts w:hint="eastAsia" w:ascii="宋体" w:hAnsi="宋体" w:eastAsia="宋体" w:cs="Times New Roman"/>
          <w:kern w:val="0"/>
          <w:sz w:val="24"/>
          <w:szCs w:val="24"/>
        </w:rPr>
        <w:t>两横</w:t>
      </w:r>
      <w:r>
        <w:rPr>
          <w:rFonts w:ascii="宋体" w:hAnsi="宋体" w:eastAsia="宋体" w:cs="Times New Roman"/>
          <w:kern w:val="0"/>
          <w:sz w:val="24"/>
          <w:szCs w:val="24"/>
        </w:rPr>
        <w:t>、</w:t>
      </w:r>
      <w:r>
        <w:rPr>
          <w:rFonts w:hint="eastAsia" w:ascii="宋体" w:hAnsi="宋体" w:eastAsia="宋体" w:cs="Times New Roman"/>
          <w:kern w:val="0"/>
          <w:sz w:val="24"/>
          <w:szCs w:val="24"/>
        </w:rPr>
        <w:t>两</w:t>
      </w:r>
      <w:r>
        <w:rPr>
          <w:rFonts w:ascii="宋体" w:hAnsi="宋体" w:eastAsia="宋体" w:cs="Times New Roman"/>
          <w:kern w:val="0"/>
          <w:sz w:val="24"/>
          <w:szCs w:val="24"/>
        </w:rPr>
        <w:t>纵”的给水环状管网，主干给水管网互联互通。在现状基础上完善规划范围供水管网，结合用地布局调整和道路改造，改造老旧管网，提高供水管网安全性，并通过引入现代化管理技术，全面降低管网漏损。</w:t>
      </w:r>
    </w:p>
    <w:p>
      <w:pPr>
        <w:adjustRightInd w:val="0"/>
        <w:snapToGrid w:val="0"/>
        <w:spacing w:line="360" w:lineRule="auto"/>
        <w:ind w:firstLine="480" w:firstLineChars="200"/>
        <w:rPr>
          <w:rFonts w:ascii="宋体" w:hAnsi="宋体" w:eastAsia="宋体" w:cs="Times New Roman"/>
          <w:kern w:val="0"/>
          <w:sz w:val="24"/>
          <w:szCs w:val="24"/>
        </w:rPr>
      </w:pPr>
      <w:r>
        <w:rPr>
          <w:rFonts w:hint="eastAsia" w:ascii="宋体" w:hAnsi="宋体" w:eastAsia="宋体" w:cs="Times New Roman"/>
          <w:kern w:val="0"/>
          <w:sz w:val="24"/>
          <w:szCs w:val="24"/>
        </w:rPr>
        <w:t>4、消防用水</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镇区消防水量按火灾同时发生次数1次，1小时延时，一次灭火消防流量为20升/秒考虑。市政给水管沿线按规定间距设置消火栓，消火栓间距不应大于120</w:t>
      </w:r>
      <w:r>
        <w:rPr>
          <w:rFonts w:hint="eastAsia" w:ascii="宋体" w:hAnsi="宋体" w:eastAsia="宋体" w:cs="Times New Roman"/>
          <w:kern w:val="0"/>
          <w:sz w:val="24"/>
          <w:szCs w:val="24"/>
        </w:rPr>
        <w:t>米</w:t>
      </w:r>
      <w:r>
        <w:rPr>
          <w:rFonts w:ascii="宋体" w:hAnsi="宋体" w:eastAsia="宋体" w:cs="Times New Roman"/>
          <w:kern w:val="0"/>
          <w:sz w:val="24"/>
          <w:szCs w:val="24"/>
        </w:rPr>
        <w:t>，保护半径不超过150</w:t>
      </w:r>
      <w:r>
        <w:rPr>
          <w:rFonts w:hint="eastAsia" w:ascii="宋体" w:hAnsi="宋体" w:eastAsia="宋体" w:cs="Times New Roman"/>
          <w:kern w:val="0"/>
          <w:sz w:val="24"/>
          <w:szCs w:val="24"/>
        </w:rPr>
        <w:t>米</w:t>
      </w:r>
      <w:r>
        <w:rPr>
          <w:rFonts w:ascii="宋体" w:hAnsi="宋体" w:eastAsia="宋体" w:cs="Times New Roman"/>
          <w:kern w:val="0"/>
          <w:sz w:val="24"/>
          <w:szCs w:val="24"/>
        </w:rPr>
        <w:t>，并在道路交叉口保证有一处消火栓。</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（三）排水工程规划</w:t>
      </w:r>
    </w:p>
    <w:p>
      <w:pPr>
        <w:adjustRightInd w:val="0"/>
        <w:snapToGrid w:val="0"/>
        <w:spacing w:line="360" w:lineRule="auto"/>
        <w:ind w:firstLine="480" w:firstLineChars="200"/>
        <w:rPr>
          <w:rFonts w:ascii="宋体" w:hAnsi="宋体" w:eastAsia="宋体" w:cs="Times New Roman"/>
          <w:kern w:val="0"/>
          <w:sz w:val="24"/>
          <w:szCs w:val="24"/>
        </w:rPr>
      </w:pPr>
      <w:r>
        <w:rPr>
          <w:rFonts w:hint="eastAsia" w:ascii="宋体" w:hAnsi="宋体" w:eastAsia="宋体" w:cs="Times New Roman"/>
          <w:kern w:val="0"/>
          <w:sz w:val="24"/>
          <w:szCs w:val="24"/>
        </w:rPr>
        <w:t>1、排水体制</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规划镇区采用雨、污分流制。</w:t>
      </w:r>
    </w:p>
    <w:p>
      <w:pPr>
        <w:adjustRightInd w:val="0"/>
        <w:snapToGrid w:val="0"/>
        <w:spacing w:line="360" w:lineRule="auto"/>
        <w:ind w:firstLine="480" w:firstLineChars="200"/>
        <w:rPr>
          <w:rFonts w:ascii="宋体" w:hAnsi="宋体" w:eastAsia="宋体" w:cs="Times New Roman"/>
          <w:kern w:val="0"/>
          <w:sz w:val="24"/>
          <w:szCs w:val="24"/>
        </w:rPr>
      </w:pPr>
      <w:r>
        <w:rPr>
          <w:rFonts w:hint="eastAsia" w:ascii="宋体" w:hAnsi="宋体" w:eastAsia="宋体" w:cs="Times New Roman"/>
          <w:kern w:val="0"/>
          <w:sz w:val="24"/>
          <w:szCs w:val="24"/>
        </w:rPr>
        <w:t>2、雨水工程</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保留原有路线。规划管径DN1000</w:t>
      </w:r>
      <w:r>
        <w:rPr>
          <w:rFonts w:hint="eastAsia" w:ascii="宋体" w:hAnsi="宋体" w:eastAsia="宋体" w:cs="Times New Roman"/>
          <w:kern w:val="0"/>
          <w:sz w:val="24"/>
          <w:szCs w:val="24"/>
        </w:rPr>
        <w:t>沿交通街东（南方客运站）敷设</w:t>
      </w:r>
      <w:r>
        <w:rPr>
          <w:rFonts w:ascii="宋体" w:hAnsi="宋体" w:eastAsia="宋体" w:cs="Times New Roman"/>
          <w:kern w:val="0"/>
          <w:sz w:val="24"/>
          <w:szCs w:val="24"/>
        </w:rPr>
        <w:t>。规划管径DN800</w:t>
      </w:r>
      <w:r>
        <w:rPr>
          <w:rFonts w:hint="eastAsia" w:ascii="宋体" w:hAnsi="宋体" w:eastAsia="宋体" w:cs="Times New Roman"/>
          <w:kern w:val="0"/>
          <w:sz w:val="24"/>
          <w:szCs w:val="24"/>
        </w:rPr>
        <w:t>沿</w:t>
      </w:r>
      <w:r>
        <w:rPr>
          <w:rFonts w:ascii="宋体" w:hAnsi="宋体" w:eastAsia="宋体" w:cs="Times New Roman"/>
          <w:kern w:val="0"/>
          <w:sz w:val="24"/>
          <w:szCs w:val="24"/>
        </w:rPr>
        <w:t>交通路敷设。规划管径DN600</w:t>
      </w:r>
      <w:r>
        <w:rPr>
          <w:rFonts w:hint="eastAsia" w:ascii="宋体" w:hAnsi="宋体" w:eastAsia="宋体" w:cs="Times New Roman"/>
          <w:kern w:val="0"/>
          <w:sz w:val="24"/>
          <w:szCs w:val="24"/>
        </w:rPr>
        <w:t>沿</w:t>
      </w:r>
      <w:r>
        <w:rPr>
          <w:rFonts w:ascii="宋体" w:hAnsi="宋体" w:eastAsia="宋体" w:cs="Times New Roman"/>
          <w:kern w:val="0"/>
          <w:sz w:val="24"/>
          <w:szCs w:val="24"/>
        </w:rPr>
        <w:t>商贸街</w:t>
      </w:r>
      <w:r>
        <w:rPr>
          <w:rFonts w:hint="eastAsia" w:ascii="宋体" w:hAnsi="宋体" w:eastAsia="宋体" w:cs="Times New Roman"/>
          <w:kern w:val="0"/>
          <w:sz w:val="24"/>
          <w:szCs w:val="24"/>
        </w:rPr>
        <w:t>、</w:t>
      </w:r>
      <w:r>
        <w:rPr>
          <w:rFonts w:ascii="宋体" w:hAnsi="宋体" w:eastAsia="宋体" w:cs="Times New Roman"/>
          <w:kern w:val="0"/>
          <w:sz w:val="24"/>
          <w:szCs w:val="24"/>
        </w:rPr>
        <w:t>交通街西敷设。规划管径DN300</w:t>
      </w:r>
      <w:r>
        <w:rPr>
          <w:rFonts w:hint="eastAsia" w:ascii="宋体" w:hAnsi="宋体" w:eastAsia="宋体" w:cs="Times New Roman"/>
          <w:kern w:val="0"/>
          <w:sz w:val="24"/>
          <w:szCs w:val="24"/>
        </w:rPr>
        <w:t>沿</w:t>
      </w:r>
      <w:r>
        <w:rPr>
          <w:rFonts w:ascii="宋体" w:hAnsi="宋体" w:eastAsia="宋体" w:cs="Times New Roman"/>
          <w:kern w:val="0"/>
          <w:sz w:val="24"/>
          <w:szCs w:val="24"/>
        </w:rPr>
        <w:t>商贸街敷设。沿新建道路铺设雨水管道，并在原有的管道基础上对雨水管网进行更新设计</w:t>
      </w:r>
      <w:r>
        <w:rPr>
          <w:rFonts w:hint="eastAsia" w:ascii="宋体" w:hAnsi="宋体" w:eastAsia="宋体" w:cs="Times New Roman"/>
          <w:kern w:val="0"/>
          <w:sz w:val="24"/>
          <w:szCs w:val="24"/>
        </w:rPr>
        <w:t>。</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本着就近排放的原则重新规划雨水排水口，由原有的2个雨水排水口增加至4个，覆盖镇区所有地方。</w:t>
      </w:r>
    </w:p>
    <w:p>
      <w:pPr>
        <w:adjustRightInd w:val="0"/>
        <w:snapToGrid w:val="0"/>
        <w:spacing w:line="360" w:lineRule="auto"/>
        <w:ind w:firstLine="480" w:firstLineChars="200"/>
        <w:rPr>
          <w:rFonts w:ascii="宋体" w:hAnsi="宋体" w:eastAsia="宋体" w:cs="Times New Roman"/>
          <w:kern w:val="0"/>
          <w:sz w:val="24"/>
          <w:szCs w:val="24"/>
        </w:rPr>
      </w:pPr>
      <w:r>
        <w:rPr>
          <w:rFonts w:hint="eastAsia" w:ascii="宋体" w:hAnsi="宋体" w:eastAsia="宋体" w:cs="Times New Roman"/>
          <w:kern w:val="0"/>
          <w:sz w:val="24"/>
          <w:szCs w:val="24"/>
        </w:rPr>
        <w:t>3、污水工程</w:t>
      </w:r>
    </w:p>
    <w:p>
      <w:pPr>
        <w:adjustRightInd w:val="0"/>
        <w:snapToGrid w:val="0"/>
        <w:spacing w:line="360" w:lineRule="auto"/>
        <w:ind w:firstLine="480" w:firstLineChars="200"/>
        <w:rPr>
          <w:rFonts w:ascii="宋体" w:hAnsi="宋体" w:eastAsia="宋体" w:cs="Times New Roman"/>
          <w:b/>
          <w:kern w:val="0"/>
          <w:sz w:val="24"/>
          <w:szCs w:val="24"/>
          <w:u w:val="single"/>
        </w:rPr>
      </w:pPr>
      <w:r>
        <w:rPr>
          <w:rFonts w:ascii="宋体" w:hAnsi="宋体" w:eastAsia="宋体" w:cs="Times New Roman"/>
          <w:kern w:val="0"/>
          <w:sz w:val="24"/>
          <w:szCs w:val="24"/>
        </w:rPr>
        <w:t>规划镇区综合生活污水排放系数取</w:t>
      </w:r>
      <w:r>
        <w:rPr>
          <w:rFonts w:hint="eastAsia" w:ascii="宋体" w:hAnsi="宋体" w:eastAsia="宋体" w:cs="Times New Roman"/>
          <w:kern w:val="0"/>
          <w:sz w:val="24"/>
          <w:szCs w:val="24"/>
        </w:rPr>
        <w:t>0.80</w:t>
      </w:r>
      <w:r>
        <w:rPr>
          <w:rFonts w:ascii="宋体" w:hAnsi="宋体" w:eastAsia="宋体" w:cs="Times New Roman"/>
          <w:kern w:val="0"/>
          <w:sz w:val="24"/>
          <w:szCs w:val="24"/>
        </w:rPr>
        <w:t>，污水处理率取100%，镇区远期均日污水量约为</w:t>
      </w:r>
      <w:r>
        <w:rPr>
          <w:rFonts w:hint="eastAsia" w:ascii="宋体" w:hAnsi="宋体" w:eastAsia="宋体" w:cs="Times New Roman"/>
          <w:kern w:val="0"/>
          <w:sz w:val="24"/>
          <w:szCs w:val="24"/>
        </w:rPr>
        <w:t>0.08</w:t>
      </w:r>
      <w:r>
        <w:rPr>
          <w:rFonts w:ascii="宋体" w:hAnsi="宋体" w:eastAsia="宋体" w:cs="Times New Roman"/>
          <w:kern w:val="0"/>
          <w:sz w:val="24"/>
          <w:szCs w:val="24"/>
        </w:rPr>
        <w:t>万吨/日。规划对</w:t>
      </w:r>
      <w:r>
        <w:rPr>
          <w:rFonts w:hint="eastAsia" w:ascii="宋体" w:hAnsi="宋体" w:eastAsia="宋体" w:cs="Times New Roman"/>
          <w:kern w:val="0"/>
          <w:sz w:val="24"/>
          <w:szCs w:val="24"/>
        </w:rPr>
        <w:t>玉峰镇</w:t>
      </w:r>
      <w:r>
        <w:rPr>
          <w:rFonts w:ascii="宋体" w:hAnsi="宋体" w:eastAsia="宋体" w:cs="Times New Roman"/>
          <w:kern w:val="0"/>
          <w:sz w:val="24"/>
          <w:szCs w:val="24"/>
        </w:rPr>
        <w:t>污水处理厂进行</w:t>
      </w:r>
      <w:r>
        <w:rPr>
          <w:rFonts w:hint="eastAsia" w:ascii="宋体" w:hAnsi="宋体" w:eastAsia="宋体" w:cs="Times New Roman"/>
          <w:kern w:val="0"/>
          <w:sz w:val="24"/>
          <w:szCs w:val="24"/>
        </w:rPr>
        <w:t>提质增效</w:t>
      </w:r>
      <w:r>
        <w:rPr>
          <w:rFonts w:ascii="宋体" w:hAnsi="宋体" w:eastAsia="宋体" w:cs="Times New Roman"/>
          <w:kern w:val="0"/>
          <w:sz w:val="24"/>
          <w:szCs w:val="24"/>
        </w:rPr>
        <w:t>，处理规模</w:t>
      </w:r>
      <w:r>
        <w:rPr>
          <w:rFonts w:hint="eastAsia" w:ascii="宋体" w:hAnsi="宋体" w:eastAsia="宋体" w:cs="Times New Roman"/>
          <w:kern w:val="0"/>
          <w:sz w:val="24"/>
          <w:szCs w:val="24"/>
        </w:rPr>
        <w:t>提升</w:t>
      </w:r>
      <w:r>
        <w:rPr>
          <w:rFonts w:ascii="宋体" w:hAnsi="宋体" w:eastAsia="宋体" w:cs="Times New Roman"/>
          <w:kern w:val="0"/>
          <w:sz w:val="24"/>
          <w:szCs w:val="24"/>
        </w:rPr>
        <w:t>至</w:t>
      </w:r>
      <w:r>
        <w:rPr>
          <w:rFonts w:hint="eastAsia" w:ascii="宋体" w:hAnsi="宋体" w:eastAsia="宋体" w:cs="Times New Roman"/>
          <w:kern w:val="0"/>
          <w:sz w:val="24"/>
          <w:szCs w:val="24"/>
        </w:rPr>
        <w:t>800</w:t>
      </w:r>
      <w:r>
        <w:rPr>
          <w:rFonts w:ascii="宋体" w:hAnsi="宋体" w:eastAsia="宋体" w:cs="Times New Roman"/>
          <w:kern w:val="0"/>
          <w:sz w:val="24"/>
          <w:szCs w:val="24"/>
        </w:rPr>
        <w:t>吨/日</w:t>
      </w:r>
      <w:r>
        <w:rPr>
          <w:rFonts w:hint="eastAsia" w:ascii="宋体" w:hAnsi="宋体" w:eastAsia="宋体" w:cs="Times New Roman"/>
          <w:kern w:val="0"/>
          <w:sz w:val="24"/>
          <w:szCs w:val="24"/>
        </w:rPr>
        <w:t>。</w:t>
      </w:r>
      <w:r>
        <w:rPr>
          <w:rFonts w:ascii="宋体" w:hAnsi="宋体" w:eastAsia="宋体" w:cs="Times New Roman"/>
          <w:b/>
          <w:kern w:val="0"/>
          <w:sz w:val="24"/>
          <w:szCs w:val="24"/>
          <w:u w:val="single"/>
        </w:rPr>
        <w:t>综合生活污水和工业废水排入城镇污水系统的水质应符合《污水排入城镇下水道水质标准</w:t>
      </w:r>
      <w:r>
        <w:rPr>
          <w:rFonts w:hint="eastAsia" w:ascii="宋体" w:hAnsi="宋体" w:eastAsia="宋体" w:cs="Times New Roman"/>
          <w:b/>
          <w:kern w:val="0"/>
          <w:sz w:val="24"/>
          <w:szCs w:val="24"/>
          <w:u w:val="single"/>
        </w:rPr>
        <w:t>（</w:t>
      </w:r>
      <w:r>
        <w:rPr>
          <w:rFonts w:ascii="宋体" w:hAnsi="宋体" w:eastAsia="宋体" w:cs="Times New Roman"/>
          <w:b/>
          <w:kern w:val="0"/>
          <w:sz w:val="24"/>
          <w:szCs w:val="24"/>
          <w:u w:val="single"/>
        </w:rPr>
        <w:t>GB/</w:t>
      </w:r>
      <w:r>
        <w:rPr>
          <w:rFonts w:hint="eastAsia" w:ascii="宋体" w:hAnsi="宋体" w:eastAsia="宋体" w:cs="Times New Roman"/>
          <w:b/>
          <w:kern w:val="0"/>
          <w:sz w:val="24"/>
          <w:szCs w:val="24"/>
          <w:u w:val="single"/>
        </w:rPr>
        <w:t>T</w:t>
      </w:r>
      <w:r>
        <w:rPr>
          <w:rFonts w:ascii="宋体" w:hAnsi="宋体" w:eastAsia="宋体" w:cs="Times New Roman"/>
          <w:b/>
          <w:kern w:val="0"/>
          <w:sz w:val="24"/>
          <w:szCs w:val="24"/>
          <w:u w:val="single"/>
        </w:rPr>
        <w:t>31962-2015</w:t>
      </w:r>
      <w:r>
        <w:rPr>
          <w:rFonts w:hint="eastAsia" w:ascii="宋体" w:hAnsi="宋体" w:eastAsia="宋体" w:cs="Times New Roman"/>
          <w:b/>
          <w:kern w:val="0"/>
          <w:sz w:val="24"/>
          <w:szCs w:val="24"/>
          <w:u w:val="single"/>
        </w:rPr>
        <w:t>）</w:t>
      </w:r>
      <w:r>
        <w:rPr>
          <w:rFonts w:ascii="宋体" w:hAnsi="宋体" w:eastAsia="宋体" w:cs="Times New Roman"/>
          <w:b/>
          <w:kern w:val="0"/>
          <w:sz w:val="24"/>
          <w:szCs w:val="24"/>
          <w:u w:val="single"/>
        </w:rPr>
        <w:t>》的要求</w:t>
      </w:r>
      <w:r>
        <w:rPr>
          <w:rFonts w:hint="eastAsia" w:ascii="宋体" w:hAnsi="宋体" w:eastAsia="宋体" w:cs="Times New Roman"/>
          <w:b/>
          <w:kern w:val="0"/>
          <w:sz w:val="24"/>
          <w:szCs w:val="24"/>
          <w:u w:val="single"/>
        </w:rPr>
        <w:t>，污水处理站处理后排放标准不低于《城镇污水处理厂污染物排放标准》中的一级</w:t>
      </w:r>
      <w:r>
        <w:rPr>
          <w:rFonts w:ascii="宋体" w:hAnsi="宋体" w:eastAsia="宋体" w:cs="Times New Roman"/>
          <w:b/>
          <w:kern w:val="0"/>
          <w:sz w:val="24"/>
          <w:szCs w:val="24"/>
          <w:u w:val="single"/>
        </w:rPr>
        <w:t xml:space="preserve">A </w:t>
      </w:r>
      <w:r>
        <w:rPr>
          <w:rFonts w:hint="eastAsia" w:ascii="宋体" w:hAnsi="宋体" w:eastAsia="宋体" w:cs="Times New Roman"/>
          <w:b/>
          <w:kern w:val="0"/>
          <w:sz w:val="24"/>
          <w:szCs w:val="24"/>
          <w:u w:val="single"/>
        </w:rPr>
        <w:t>标准</w:t>
      </w:r>
      <w:r>
        <w:rPr>
          <w:rFonts w:ascii="宋体" w:hAnsi="宋体" w:eastAsia="宋体" w:cs="Times New Roman"/>
          <w:b/>
          <w:kern w:val="0"/>
          <w:sz w:val="24"/>
          <w:szCs w:val="24"/>
          <w:u w:val="single"/>
        </w:rPr>
        <w:t>，并满足水环境功能区划对受纳水体环境质量的控制要求。</w:t>
      </w:r>
    </w:p>
    <w:p>
      <w:pPr>
        <w:adjustRightInd w:val="0"/>
        <w:snapToGrid w:val="0"/>
        <w:spacing w:line="360" w:lineRule="auto"/>
        <w:ind w:firstLine="480" w:firstLineChars="200"/>
        <w:rPr>
          <w:rFonts w:ascii="宋体" w:hAnsi="宋体" w:eastAsia="宋体" w:cs="Times New Roman"/>
          <w:kern w:val="0"/>
          <w:sz w:val="24"/>
          <w:szCs w:val="24"/>
        </w:rPr>
      </w:pPr>
      <w:r>
        <w:rPr>
          <w:rFonts w:hint="eastAsia" w:ascii="宋体" w:hAnsi="宋体" w:eastAsia="宋体" w:cs="Times New Roman"/>
          <w:kern w:val="0"/>
          <w:sz w:val="24"/>
          <w:szCs w:val="24"/>
        </w:rPr>
        <w:t>4、污水管网规划</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保留原有</w:t>
      </w:r>
      <w:r>
        <w:rPr>
          <w:rFonts w:hint="eastAsia" w:ascii="宋体" w:hAnsi="宋体" w:eastAsia="宋体" w:cs="Times New Roman"/>
          <w:kern w:val="0"/>
          <w:sz w:val="24"/>
          <w:szCs w:val="24"/>
        </w:rPr>
        <w:t>污水</w:t>
      </w:r>
      <w:r>
        <w:rPr>
          <w:rFonts w:ascii="宋体" w:hAnsi="宋体" w:eastAsia="宋体" w:cs="Times New Roman"/>
          <w:kern w:val="0"/>
          <w:sz w:val="24"/>
          <w:szCs w:val="24"/>
        </w:rPr>
        <w:t>管网。规划管径DN</w:t>
      </w:r>
      <w:r>
        <w:rPr>
          <w:rFonts w:hint="eastAsia" w:ascii="宋体" w:hAnsi="宋体" w:eastAsia="宋体" w:cs="Times New Roman"/>
          <w:kern w:val="0"/>
          <w:sz w:val="24"/>
          <w:szCs w:val="24"/>
        </w:rPr>
        <w:t>5</w:t>
      </w:r>
      <w:r>
        <w:rPr>
          <w:rFonts w:ascii="宋体" w:hAnsi="宋体" w:eastAsia="宋体" w:cs="Times New Roman"/>
          <w:kern w:val="0"/>
          <w:sz w:val="24"/>
          <w:szCs w:val="24"/>
        </w:rPr>
        <w:t>00</w:t>
      </w:r>
      <w:r>
        <w:rPr>
          <w:rFonts w:hint="eastAsia" w:ascii="宋体" w:hAnsi="宋体" w:eastAsia="宋体" w:cs="Times New Roman"/>
          <w:kern w:val="0"/>
          <w:sz w:val="24"/>
          <w:szCs w:val="24"/>
        </w:rPr>
        <w:t>沿交通街敷设，</w:t>
      </w:r>
      <w:r>
        <w:rPr>
          <w:rFonts w:ascii="宋体" w:hAnsi="宋体" w:eastAsia="宋体" w:cs="Times New Roman"/>
          <w:kern w:val="0"/>
          <w:sz w:val="24"/>
          <w:szCs w:val="24"/>
        </w:rPr>
        <w:t>规划管径DN400</w:t>
      </w:r>
      <w:r>
        <w:rPr>
          <w:rFonts w:hint="eastAsia" w:ascii="宋体" w:hAnsi="宋体" w:eastAsia="宋体" w:cs="Times New Roman"/>
          <w:kern w:val="0"/>
          <w:sz w:val="24"/>
          <w:szCs w:val="24"/>
        </w:rPr>
        <w:t>沿交通路、商贸街、蓬乐路</w:t>
      </w:r>
      <w:r>
        <w:rPr>
          <w:rFonts w:ascii="宋体" w:hAnsi="宋体" w:eastAsia="宋体" w:cs="Times New Roman"/>
          <w:kern w:val="0"/>
          <w:sz w:val="24"/>
          <w:szCs w:val="24"/>
        </w:rPr>
        <w:t>敷设。新建的污水管道沿道路敷设，新建的污水管道沿道路敷设，共新建六条支管。新规划的污水管网覆盖镇区内所有居民，全镇所有生活污水由玉峰镇污水处理厂进行处理。</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（四）电力工程规划</w:t>
      </w:r>
    </w:p>
    <w:p>
      <w:pPr>
        <w:adjustRightInd w:val="0"/>
        <w:snapToGrid w:val="0"/>
        <w:spacing w:line="360" w:lineRule="auto"/>
        <w:ind w:firstLine="480" w:firstLineChars="200"/>
        <w:rPr>
          <w:rFonts w:ascii="宋体" w:hAnsi="宋体" w:eastAsia="宋体" w:cs="Times New Roman"/>
          <w:kern w:val="0"/>
          <w:sz w:val="24"/>
          <w:szCs w:val="24"/>
        </w:rPr>
      </w:pPr>
      <w:r>
        <w:rPr>
          <w:rFonts w:hint="eastAsia" w:ascii="宋体" w:hAnsi="宋体" w:eastAsia="宋体" w:cs="Times New Roman"/>
          <w:kern w:val="0"/>
          <w:sz w:val="24"/>
          <w:szCs w:val="24"/>
        </w:rPr>
        <w:t>1、电力负荷预算</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根据规划用地性质，采用分类用地负荷密度法预测本规划区用电负荷，用电指标及负荷预测结果详见下表：</w:t>
      </w:r>
    </w:p>
    <w:tbl>
      <w:tblPr>
        <w:tblStyle w:val="16"/>
        <w:tblW w:w="5000" w:type="pct"/>
        <w:tblInd w:w="0" w:type="dxa"/>
        <w:tblLayout w:type="autofit"/>
        <w:tblCellMar>
          <w:top w:w="0" w:type="dxa"/>
          <w:left w:w="108" w:type="dxa"/>
          <w:bottom w:w="0" w:type="dxa"/>
          <w:right w:w="108" w:type="dxa"/>
        </w:tblCellMar>
      </w:tblPr>
      <w:tblGrid>
        <w:gridCol w:w="1245"/>
        <w:gridCol w:w="3247"/>
        <w:gridCol w:w="1244"/>
        <w:gridCol w:w="1542"/>
        <w:gridCol w:w="1244"/>
      </w:tblGrid>
      <w:tr>
        <w:tblPrEx>
          <w:tblCellMar>
            <w:top w:w="0" w:type="dxa"/>
            <w:left w:w="108" w:type="dxa"/>
            <w:bottom w:w="0" w:type="dxa"/>
            <w:right w:w="108" w:type="dxa"/>
          </w:tblCellMar>
        </w:tblPrEx>
        <w:trPr>
          <w:trHeight w:val="540" w:hRule="atLeast"/>
        </w:trPr>
        <w:tc>
          <w:tcPr>
            <w:tcW w:w="73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序号</w:t>
            </w:r>
          </w:p>
        </w:tc>
        <w:tc>
          <w:tcPr>
            <w:tcW w:w="1905"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用地名称</w:t>
            </w:r>
          </w:p>
        </w:tc>
        <w:tc>
          <w:tcPr>
            <w:tcW w:w="730"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规划面积</w:t>
            </w:r>
            <w:r>
              <w:rPr>
                <w:rFonts w:hint="eastAsia" w:cs="宋体" w:asciiTheme="minorEastAsia" w:hAnsiTheme="minorEastAsia"/>
                <w:color w:val="000000"/>
                <w:kern w:val="0"/>
                <w:szCs w:val="21"/>
              </w:rPr>
              <w:br w:type="textWrapping"/>
            </w:r>
            <w:r>
              <w:rPr>
                <w:rFonts w:hint="eastAsia" w:cs="宋体" w:asciiTheme="minorEastAsia" w:hAnsiTheme="minorEastAsia"/>
                <w:color w:val="000000"/>
                <w:kern w:val="0"/>
                <w:szCs w:val="21"/>
              </w:rPr>
              <w:t>（ha）</w:t>
            </w:r>
          </w:p>
        </w:tc>
        <w:tc>
          <w:tcPr>
            <w:tcW w:w="905"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用电指标</w:t>
            </w:r>
            <w:r>
              <w:rPr>
                <w:rFonts w:hint="eastAsia" w:cs="宋体" w:asciiTheme="minorEastAsia" w:hAnsiTheme="minorEastAsia"/>
                <w:color w:val="000000"/>
                <w:kern w:val="0"/>
                <w:szCs w:val="21"/>
              </w:rPr>
              <w:br w:type="textWrapping"/>
            </w:r>
            <w:r>
              <w:rPr>
                <w:rFonts w:hint="eastAsia" w:cs="宋体" w:asciiTheme="minorEastAsia" w:hAnsiTheme="minorEastAsia"/>
                <w:color w:val="000000"/>
                <w:kern w:val="0"/>
                <w:szCs w:val="21"/>
              </w:rPr>
              <w:t>（KW/ha）</w:t>
            </w:r>
          </w:p>
        </w:tc>
        <w:tc>
          <w:tcPr>
            <w:tcW w:w="730"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用电负荷</w:t>
            </w:r>
            <w:r>
              <w:rPr>
                <w:rFonts w:hint="eastAsia" w:cs="宋体" w:asciiTheme="minorEastAsia" w:hAnsiTheme="minorEastAsia"/>
                <w:color w:val="000000"/>
                <w:kern w:val="0"/>
                <w:szCs w:val="21"/>
              </w:rPr>
              <w:br w:type="textWrapping"/>
            </w:r>
            <w:r>
              <w:rPr>
                <w:rFonts w:hint="eastAsia" w:cs="宋体" w:asciiTheme="minorEastAsia" w:hAnsiTheme="minorEastAsia"/>
                <w:color w:val="000000"/>
                <w:kern w:val="0"/>
                <w:szCs w:val="21"/>
              </w:rPr>
              <w:t>（KW）</w:t>
            </w:r>
          </w:p>
        </w:tc>
      </w:tr>
      <w:tr>
        <w:tblPrEx>
          <w:tblCellMar>
            <w:top w:w="0" w:type="dxa"/>
            <w:left w:w="108" w:type="dxa"/>
            <w:bottom w:w="0" w:type="dxa"/>
            <w:right w:w="108" w:type="dxa"/>
          </w:tblCellMar>
        </w:tblPrEx>
        <w:trPr>
          <w:trHeight w:val="270" w:hRule="atLeast"/>
        </w:trPr>
        <w:tc>
          <w:tcPr>
            <w:tcW w:w="730"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w:t>
            </w:r>
          </w:p>
        </w:tc>
        <w:tc>
          <w:tcPr>
            <w:tcW w:w="1905"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居住用地</w:t>
            </w:r>
          </w:p>
        </w:tc>
        <w:tc>
          <w:tcPr>
            <w:tcW w:w="73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20.13</w:t>
            </w:r>
          </w:p>
        </w:tc>
        <w:tc>
          <w:tcPr>
            <w:tcW w:w="905"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250</w:t>
            </w:r>
          </w:p>
        </w:tc>
        <w:tc>
          <w:tcPr>
            <w:tcW w:w="730" w:type="pct"/>
            <w:tcBorders>
              <w:top w:val="nil"/>
              <w:left w:val="nil"/>
              <w:bottom w:val="single" w:color="auto" w:sz="4" w:space="0"/>
              <w:right w:val="single" w:color="auto" w:sz="4" w:space="0"/>
            </w:tcBorders>
            <w:shd w:val="clear" w:color="auto" w:fill="auto"/>
            <w:noWrap/>
            <w:vAlign w:val="center"/>
          </w:tcPr>
          <w:p>
            <w:pPr>
              <w:jc w:val="center"/>
              <w:rPr>
                <w:rFonts w:cs="宋体" w:asciiTheme="minorEastAsia" w:hAnsiTheme="minorEastAsia"/>
                <w:color w:val="000000"/>
                <w:kern w:val="0"/>
                <w:szCs w:val="21"/>
              </w:rPr>
            </w:pPr>
            <w:r>
              <w:rPr>
                <w:rFonts w:cs="宋体" w:asciiTheme="minorEastAsia" w:hAnsiTheme="minorEastAsia"/>
                <w:color w:val="000000"/>
                <w:kern w:val="0"/>
                <w:szCs w:val="21"/>
              </w:rPr>
              <w:t>5032.5</w:t>
            </w:r>
          </w:p>
        </w:tc>
      </w:tr>
      <w:tr>
        <w:tblPrEx>
          <w:tblCellMar>
            <w:top w:w="0" w:type="dxa"/>
            <w:left w:w="108" w:type="dxa"/>
            <w:bottom w:w="0" w:type="dxa"/>
            <w:right w:w="108" w:type="dxa"/>
          </w:tblCellMar>
        </w:tblPrEx>
        <w:trPr>
          <w:trHeight w:val="270" w:hRule="atLeast"/>
        </w:trPr>
        <w:tc>
          <w:tcPr>
            <w:tcW w:w="730"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w:t>
            </w:r>
          </w:p>
        </w:tc>
        <w:tc>
          <w:tcPr>
            <w:tcW w:w="1905"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公共管理与公共服务用地</w:t>
            </w:r>
          </w:p>
        </w:tc>
        <w:tc>
          <w:tcPr>
            <w:tcW w:w="73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1.85</w:t>
            </w:r>
          </w:p>
        </w:tc>
        <w:tc>
          <w:tcPr>
            <w:tcW w:w="905"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300</w:t>
            </w:r>
          </w:p>
        </w:tc>
        <w:tc>
          <w:tcPr>
            <w:tcW w:w="730" w:type="pct"/>
            <w:tcBorders>
              <w:top w:val="nil"/>
              <w:left w:val="nil"/>
              <w:bottom w:val="single" w:color="auto" w:sz="4" w:space="0"/>
              <w:right w:val="single" w:color="auto" w:sz="4" w:space="0"/>
            </w:tcBorders>
            <w:shd w:val="clear" w:color="auto" w:fill="auto"/>
            <w:noWrap/>
            <w:vAlign w:val="center"/>
          </w:tcPr>
          <w:p>
            <w:pPr>
              <w:jc w:val="center"/>
              <w:rPr>
                <w:rFonts w:cs="宋体" w:asciiTheme="minorEastAsia" w:hAnsiTheme="minorEastAsia"/>
                <w:color w:val="000000"/>
                <w:kern w:val="0"/>
                <w:szCs w:val="21"/>
              </w:rPr>
            </w:pPr>
            <w:r>
              <w:rPr>
                <w:rFonts w:cs="宋体" w:asciiTheme="minorEastAsia" w:hAnsiTheme="minorEastAsia"/>
                <w:color w:val="000000"/>
                <w:kern w:val="0"/>
                <w:szCs w:val="21"/>
              </w:rPr>
              <w:t>555</w:t>
            </w:r>
          </w:p>
        </w:tc>
      </w:tr>
      <w:tr>
        <w:tblPrEx>
          <w:tblCellMar>
            <w:top w:w="0" w:type="dxa"/>
            <w:left w:w="108" w:type="dxa"/>
            <w:bottom w:w="0" w:type="dxa"/>
            <w:right w:w="108" w:type="dxa"/>
          </w:tblCellMar>
        </w:tblPrEx>
        <w:trPr>
          <w:trHeight w:val="270" w:hRule="atLeast"/>
        </w:trPr>
        <w:tc>
          <w:tcPr>
            <w:tcW w:w="730"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3</w:t>
            </w:r>
          </w:p>
        </w:tc>
        <w:tc>
          <w:tcPr>
            <w:tcW w:w="1905"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商业服务业用地</w:t>
            </w:r>
          </w:p>
        </w:tc>
        <w:tc>
          <w:tcPr>
            <w:tcW w:w="73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2.95</w:t>
            </w:r>
          </w:p>
        </w:tc>
        <w:tc>
          <w:tcPr>
            <w:tcW w:w="905"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800</w:t>
            </w:r>
          </w:p>
        </w:tc>
        <w:tc>
          <w:tcPr>
            <w:tcW w:w="730" w:type="pct"/>
            <w:tcBorders>
              <w:top w:val="nil"/>
              <w:left w:val="nil"/>
              <w:bottom w:val="single" w:color="auto" w:sz="4" w:space="0"/>
              <w:right w:val="single" w:color="auto" w:sz="4" w:space="0"/>
            </w:tcBorders>
            <w:shd w:val="clear" w:color="auto" w:fill="auto"/>
            <w:noWrap/>
            <w:vAlign w:val="center"/>
          </w:tcPr>
          <w:p>
            <w:pPr>
              <w:jc w:val="center"/>
              <w:rPr>
                <w:rFonts w:cs="宋体" w:asciiTheme="minorEastAsia" w:hAnsiTheme="minorEastAsia"/>
                <w:color w:val="000000"/>
                <w:kern w:val="0"/>
                <w:szCs w:val="21"/>
              </w:rPr>
            </w:pPr>
            <w:r>
              <w:rPr>
                <w:rFonts w:cs="宋体" w:asciiTheme="minorEastAsia" w:hAnsiTheme="minorEastAsia"/>
                <w:color w:val="000000"/>
                <w:kern w:val="0"/>
                <w:szCs w:val="21"/>
              </w:rPr>
              <w:t>2360</w:t>
            </w:r>
          </w:p>
        </w:tc>
      </w:tr>
      <w:tr>
        <w:tblPrEx>
          <w:tblCellMar>
            <w:top w:w="0" w:type="dxa"/>
            <w:left w:w="108" w:type="dxa"/>
            <w:bottom w:w="0" w:type="dxa"/>
            <w:right w:w="108" w:type="dxa"/>
          </w:tblCellMar>
        </w:tblPrEx>
        <w:trPr>
          <w:trHeight w:val="270" w:hRule="atLeast"/>
        </w:trPr>
        <w:tc>
          <w:tcPr>
            <w:tcW w:w="730"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4</w:t>
            </w:r>
          </w:p>
        </w:tc>
        <w:tc>
          <w:tcPr>
            <w:tcW w:w="1905"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交通运输用地</w:t>
            </w:r>
          </w:p>
        </w:tc>
        <w:tc>
          <w:tcPr>
            <w:tcW w:w="73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8.37</w:t>
            </w:r>
          </w:p>
        </w:tc>
        <w:tc>
          <w:tcPr>
            <w:tcW w:w="905"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20</w:t>
            </w:r>
          </w:p>
        </w:tc>
        <w:tc>
          <w:tcPr>
            <w:tcW w:w="730" w:type="pct"/>
            <w:tcBorders>
              <w:top w:val="nil"/>
              <w:left w:val="nil"/>
              <w:bottom w:val="single" w:color="auto" w:sz="4" w:space="0"/>
              <w:right w:val="single" w:color="auto" w:sz="4" w:space="0"/>
            </w:tcBorders>
            <w:shd w:val="clear" w:color="auto" w:fill="auto"/>
            <w:noWrap/>
            <w:vAlign w:val="center"/>
          </w:tcPr>
          <w:p>
            <w:pPr>
              <w:jc w:val="center"/>
              <w:rPr>
                <w:rFonts w:cs="宋体" w:asciiTheme="minorEastAsia" w:hAnsiTheme="minorEastAsia"/>
                <w:color w:val="000000"/>
                <w:kern w:val="0"/>
                <w:szCs w:val="21"/>
              </w:rPr>
            </w:pPr>
            <w:r>
              <w:rPr>
                <w:rFonts w:cs="宋体" w:asciiTheme="minorEastAsia" w:hAnsiTheme="minorEastAsia"/>
                <w:color w:val="000000"/>
                <w:kern w:val="0"/>
                <w:szCs w:val="21"/>
              </w:rPr>
              <w:t>167.4</w:t>
            </w:r>
          </w:p>
        </w:tc>
      </w:tr>
      <w:tr>
        <w:tblPrEx>
          <w:tblCellMar>
            <w:top w:w="0" w:type="dxa"/>
            <w:left w:w="108" w:type="dxa"/>
            <w:bottom w:w="0" w:type="dxa"/>
            <w:right w:w="108" w:type="dxa"/>
          </w:tblCellMar>
        </w:tblPrEx>
        <w:trPr>
          <w:trHeight w:val="270" w:hRule="atLeast"/>
        </w:trPr>
        <w:tc>
          <w:tcPr>
            <w:tcW w:w="730"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5</w:t>
            </w:r>
          </w:p>
        </w:tc>
        <w:tc>
          <w:tcPr>
            <w:tcW w:w="1905"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仓储用地</w:t>
            </w:r>
          </w:p>
        </w:tc>
        <w:tc>
          <w:tcPr>
            <w:tcW w:w="73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1.47</w:t>
            </w:r>
          </w:p>
        </w:tc>
        <w:tc>
          <w:tcPr>
            <w:tcW w:w="905"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30</w:t>
            </w:r>
          </w:p>
        </w:tc>
        <w:tc>
          <w:tcPr>
            <w:tcW w:w="730" w:type="pct"/>
            <w:tcBorders>
              <w:top w:val="nil"/>
              <w:left w:val="nil"/>
              <w:bottom w:val="single" w:color="auto" w:sz="4" w:space="0"/>
              <w:right w:val="single" w:color="auto" w:sz="4" w:space="0"/>
            </w:tcBorders>
            <w:shd w:val="clear" w:color="auto" w:fill="auto"/>
            <w:noWrap/>
            <w:vAlign w:val="center"/>
          </w:tcPr>
          <w:p>
            <w:pPr>
              <w:jc w:val="center"/>
              <w:rPr>
                <w:rFonts w:cs="宋体" w:asciiTheme="minorEastAsia" w:hAnsiTheme="minorEastAsia"/>
                <w:color w:val="000000"/>
                <w:kern w:val="0"/>
                <w:szCs w:val="21"/>
              </w:rPr>
            </w:pPr>
            <w:r>
              <w:rPr>
                <w:rFonts w:cs="宋体" w:asciiTheme="minorEastAsia" w:hAnsiTheme="minorEastAsia"/>
                <w:color w:val="000000"/>
                <w:kern w:val="0"/>
                <w:szCs w:val="21"/>
              </w:rPr>
              <w:t>44.1</w:t>
            </w:r>
          </w:p>
        </w:tc>
      </w:tr>
      <w:tr>
        <w:tblPrEx>
          <w:tblCellMar>
            <w:top w:w="0" w:type="dxa"/>
            <w:left w:w="108" w:type="dxa"/>
            <w:bottom w:w="0" w:type="dxa"/>
            <w:right w:w="108" w:type="dxa"/>
          </w:tblCellMar>
        </w:tblPrEx>
        <w:trPr>
          <w:trHeight w:val="270" w:hRule="atLeast"/>
        </w:trPr>
        <w:tc>
          <w:tcPr>
            <w:tcW w:w="730"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6</w:t>
            </w:r>
          </w:p>
        </w:tc>
        <w:tc>
          <w:tcPr>
            <w:tcW w:w="1905"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公用设施用地</w:t>
            </w:r>
          </w:p>
        </w:tc>
        <w:tc>
          <w:tcPr>
            <w:tcW w:w="73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0.89</w:t>
            </w:r>
          </w:p>
        </w:tc>
        <w:tc>
          <w:tcPr>
            <w:tcW w:w="905"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200</w:t>
            </w:r>
          </w:p>
        </w:tc>
        <w:tc>
          <w:tcPr>
            <w:tcW w:w="730" w:type="pct"/>
            <w:tcBorders>
              <w:top w:val="nil"/>
              <w:left w:val="nil"/>
              <w:bottom w:val="single" w:color="auto" w:sz="4" w:space="0"/>
              <w:right w:val="single" w:color="auto" w:sz="4" w:space="0"/>
            </w:tcBorders>
            <w:shd w:val="clear" w:color="auto" w:fill="auto"/>
            <w:noWrap/>
            <w:vAlign w:val="center"/>
          </w:tcPr>
          <w:p>
            <w:pPr>
              <w:jc w:val="center"/>
              <w:rPr>
                <w:rFonts w:cs="宋体" w:asciiTheme="minorEastAsia" w:hAnsiTheme="minorEastAsia"/>
                <w:color w:val="000000"/>
                <w:kern w:val="0"/>
                <w:szCs w:val="21"/>
              </w:rPr>
            </w:pPr>
            <w:r>
              <w:rPr>
                <w:rFonts w:cs="宋体" w:asciiTheme="minorEastAsia" w:hAnsiTheme="minorEastAsia"/>
                <w:color w:val="000000"/>
                <w:kern w:val="0"/>
                <w:szCs w:val="21"/>
              </w:rPr>
              <w:t>178</w:t>
            </w:r>
          </w:p>
        </w:tc>
      </w:tr>
      <w:tr>
        <w:tblPrEx>
          <w:tblCellMar>
            <w:top w:w="0" w:type="dxa"/>
            <w:left w:w="108" w:type="dxa"/>
            <w:bottom w:w="0" w:type="dxa"/>
            <w:right w:w="108" w:type="dxa"/>
          </w:tblCellMar>
        </w:tblPrEx>
        <w:trPr>
          <w:trHeight w:val="270" w:hRule="atLeast"/>
        </w:trPr>
        <w:tc>
          <w:tcPr>
            <w:tcW w:w="730"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7</w:t>
            </w:r>
          </w:p>
        </w:tc>
        <w:tc>
          <w:tcPr>
            <w:tcW w:w="1905"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绿地与开敞空间用地</w:t>
            </w:r>
          </w:p>
        </w:tc>
        <w:tc>
          <w:tcPr>
            <w:tcW w:w="73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0.52</w:t>
            </w:r>
          </w:p>
        </w:tc>
        <w:tc>
          <w:tcPr>
            <w:tcW w:w="905"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10</w:t>
            </w:r>
          </w:p>
        </w:tc>
        <w:tc>
          <w:tcPr>
            <w:tcW w:w="730" w:type="pct"/>
            <w:tcBorders>
              <w:top w:val="nil"/>
              <w:left w:val="nil"/>
              <w:bottom w:val="single" w:color="auto" w:sz="4" w:space="0"/>
              <w:right w:val="single" w:color="auto" w:sz="4" w:space="0"/>
            </w:tcBorders>
            <w:shd w:val="clear" w:color="auto" w:fill="auto"/>
            <w:noWrap/>
            <w:vAlign w:val="center"/>
          </w:tcPr>
          <w:p>
            <w:pPr>
              <w:jc w:val="center"/>
              <w:rPr>
                <w:rFonts w:cs="宋体" w:asciiTheme="minorEastAsia" w:hAnsiTheme="minorEastAsia"/>
                <w:color w:val="000000"/>
                <w:kern w:val="0"/>
                <w:szCs w:val="21"/>
              </w:rPr>
            </w:pPr>
            <w:r>
              <w:rPr>
                <w:rFonts w:cs="宋体" w:asciiTheme="minorEastAsia" w:hAnsiTheme="minorEastAsia"/>
                <w:color w:val="000000"/>
                <w:kern w:val="0"/>
                <w:szCs w:val="21"/>
              </w:rPr>
              <w:t>5.2</w:t>
            </w:r>
          </w:p>
        </w:tc>
      </w:tr>
      <w:tr>
        <w:tblPrEx>
          <w:tblCellMar>
            <w:top w:w="0" w:type="dxa"/>
            <w:left w:w="108" w:type="dxa"/>
            <w:bottom w:w="0" w:type="dxa"/>
            <w:right w:w="108" w:type="dxa"/>
          </w:tblCellMar>
        </w:tblPrEx>
        <w:trPr>
          <w:trHeight w:val="270" w:hRule="atLeast"/>
        </w:trPr>
        <w:tc>
          <w:tcPr>
            <w:tcW w:w="4270" w:type="pct"/>
            <w:gridSpan w:val="4"/>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合计</w:t>
            </w:r>
          </w:p>
        </w:tc>
        <w:tc>
          <w:tcPr>
            <w:tcW w:w="730" w:type="pct"/>
            <w:tcBorders>
              <w:top w:val="nil"/>
              <w:left w:val="nil"/>
              <w:bottom w:val="single" w:color="auto" w:sz="4" w:space="0"/>
              <w:right w:val="single" w:color="auto" w:sz="4" w:space="0"/>
            </w:tcBorders>
            <w:shd w:val="clear" w:color="auto" w:fill="auto"/>
            <w:noWrap/>
            <w:vAlign w:val="center"/>
          </w:tcPr>
          <w:p>
            <w:pPr>
              <w:jc w:val="center"/>
              <w:rPr>
                <w:rFonts w:cs="宋体" w:asciiTheme="minorEastAsia" w:hAnsiTheme="minorEastAsia"/>
                <w:color w:val="000000"/>
                <w:kern w:val="0"/>
                <w:szCs w:val="21"/>
              </w:rPr>
            </w:pPr>
            <w:r>
              <w:rPr>
                <w:rFonts w:cs="宋体" w:asciiTheme="minorEastAsia" w:hAnsiTheme="minorEastAsia"/>
                <w:color w:val="000000"/>
                <w:kern w:val="0"/>
                <w:szCs w:val="21"/>
              </w:rPr>
              <w:t>8342.2</w:t>
            </w:r>
          </w:p>
        </w:tc>
      </w:tr>
    </w:tbl>
    <w:p>
      <w:pPr>
        <w:adjustRightInd w:val="0"/>
        <w:snapToGrid w:val="0"/>
        <w:spacing w:beforeLines="50"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负荷同时率取0.7，计算出总用电量为5839.54千瓦。</w:t>
      </w:r>
    </w:p>
    <w:p>
      <w:pPr>
        <w:adjustRightInd w:val="0"/>
        <w:snapToGrid w:val="0"/>
        <w:spacing w:line="360" w:lineRule="auto"/>
        <w:ind w:firstLine="480" w:firstLineChars="200"/>
        <w:rPr>
          <w:rFonts w:ascii="宋体" w:hAnsi="宋体" w:eastAsia="宋体" w:cs="Times New Roman"/>
          <w:kern w:val="0"/>
          <w:sz w:val="24"/>
          <w:szCs w:val="24"/>
        </w:rPr>
      </w:pPr>
      <w:r>
        <w:rPr>
          <w:rFonts w:hint="eastAsia" w:ascii="宋体" w:hAnsi="宋体" w:eastAsia="宋体" w:cs="Times New Roman"/>
          <w:kern w:val="0"/>
          <w:sz w:val="24"/>
          <w:szCs w:val="24"/>
        </w:rPr>
        <w:t>2、电力工程</w:t>
      </w:r>
    </w:p>
    <w:p>
      <w:pPr>
        <w:adjustRightInd w:val="0"/>
        <w:snapToGrid w:val="0"/>
        <w:spacing w:line="360" w:lineRule="auto"/>
        <w:ind w:firstLine="480" w:firstLineChars="200"/>
        <w:rPr>
          <w:rFonts w:ascii="宋体" w:hAnsi="宋体" w:eastAsia="宋体" w:cs="Times New Roman"/>
          <w:kern w:val="0"/>
          <w:sz w:val="24"/>
          <w:szCs w:val="24"/>
        </w:rPr>
      </w:pPr>
      <w:r>
        <w:rPr>
          <w:rFonts w:hint="eastAsia" w:ascii="宋体" w:hAnsi="宋体" w:eastAsia="宋体" w:cs="Times New Roman"/>
          <w:kern w:val="0"/>
          <w:sz w:val="24"/>
          <w:szCs w:val="24"/>
        </w:rPr>
        <w:t>保留现状玉峰35KV变电站，</w:t>
      </w:r>
      <w:r>
        <w:rPr>
          <w:rFonts w:ascii="宋体" w:hAnsi="宋体" w:eastAsia="宋体" w:cs="Times New Roman"/>
          <w:kern w:val="0"/>
          <w:sz w:val="24"/>
          <w:szCs w:val="24"/>
        </w:rPr>
        <w:t>规划10</w:t>
      </w:r>
      <w:r>
        <w:rPr>
          <w:rFonts w:hint="eastAsia" w:ascii="宋体" w:hAnsi="宋体" w:eastAsia="宋体" w:cs="Times New Roman"/>
          <w:kern w:val="0"/>
          <w:sz w:val="24"/>
          <w:szCs w:val="24"/>
        </w:rPr>
        <w:t>KV</w:t>
      </w:r>
      <w:r>
        <w:rPr>
          <w:rFonts w:ascii="宋体" w:hAnsi="宋体" w:eastAsia="宋体" w:cs="Times New Roman"/>
          <w:kern w:val="0"/>
          <w:sz w:val="24"/>
          <w:szCs w:val="24"/>
        </w:rPr>
        <w:t>中压配电网沿城镇道路布局形成环形网络，远期采用电力浅沟方式敷设</w:t>
      </w:r>
      <w:r>
        <w:rPr>
          <w:rFonts w:hint="eastAsia" w:ascii="宋体" w:hAnsi="宋体" w:eastAsia="宋体" w:cs="Times New Roman"/>
          <w:kern w:val="0"/>
          <w:sz w:val="24"/>
          <w:szCs w:val="24"/>
        </w:rPr>
        <w:t>，规划</w:t>
      </w:r>
      <w:r>
        <w:rPr>
          <w:rFonts w:ascii="宋体" w:hAnsi="宋体" w:eastAsia="宋体" w:cs="Times New Roman"/>
          <w:kern w:val="0"/>
          <w:sz w:val="24"/>
          <w:szCs w:val="24"/>
        </w:rPr>
        <w:t>低压电网采用放射与树枝状结合的形式。</w:t>
      </w:r>
    </w:p>
    <w:p>
      <w:pPr>
        <w:adjustRightInd w:val="0"/>
        <w:snapToGrid w:val="0"/>
        <w:spacing w:line="360" w:lineRule="auto"/>
        <w:ind w:firstLine="480" w:firstLineChars="200"/>
        <w:rPr>
          <w:rFonts w:ascii="宋体" w:hAnsi="宋体" w:eastAsia="宋体" w:cs="Times New Roman"/>
          <w:b/>
          <w:kern w:val="0"/>
          <w:sz w:val="24"/>
          <w:szCs w:val="24"/>
          <w:u w:val="single"/>
        </w:rPr>
      </w:pPr>
      <w:r>
        <w:rPr>
          <w:rFonts w:hint="eastAsia" w:ascii="宋体" w:hAnsi="宋体" w:eastAsia="宋体" w:cs="Times New Roman"/>
          <w:kern w:val="0"/>
          <w:sz w:val="24"/>
          <w:szCs w:val="24"/>
        </w:rPr>
        <w:t>保护、控制现状及规划高压线走廊（含防护隔离带），对于保留的现状架空电力线路及杆塔位，以实测坐标控制，规划及调整架空电力线路及杆塔位按规划预留走廊进行控制，</w:t>
      </w:r>
      <w:r>
        <w:rPr>
          <w:rFonts w:ascii="宋体" w:hAnsi="宋体" w:eastAsia="宋体" w:cs="Times New Roman"/>
          <w:b/>
          <w:kern w:val="0"/>
          <w:sz w:val="24"/>
          <w:szCs w:val="24"/>
          <w:u w:val="single"/>
        </w:rPr>
        <w:t xml:space="preserve">35kV </w:t>
      </w:r>
      <w:r>
        <w:rPr>
          <w:rFonts w:hint="eastAsia" w:ascii="宋体" w:hAnsi="宋体" w:eastAsia="宋体" w:cs="Times New Roman"/>
          <w:b/>
          <w:kern w:val="0"/>
          <w:sz w:val="24"/>
          <w:szCs w:val="24"/>
          <w:u w:val="single"/>
        </w:rPr>
        <w:t>高压架空单回电力线走廊宽度控制为</w:t>
      </w:r>
      <w:r>
        <w:rPr>
          <w:rFonts w:ascii="宋体" w:hAnsi="宋体" w:eastAsia="宋体" w:cs="Times New Roman"/>
          <w:b/>
          <w:kern w:val="0"/>
          <w:sz w:val="24"/>
          <w:szCs w:val="24"/>
          <w:u w:val="single"/>
        </w:rPr>
        <w:t xml:space="preserve">20 </w:t>
      </w:r>
      <w:r>
        <w:rPr>
          <w:rFonts w:hint="eastAsia" w:ascii="宋体" w:hAnsi="宋体" w:eastAsia="宋体" w:cs="Times New Roman"/>
          <w:b/>
          <w:kern w:val="0"/>
          <w:sz w:val="24"/>
          <w:szCs w:val="24"/>
          <w:u w:val="single"/>
        </w:rPr>
        <w:t>米，同时应符合《城市电力规划规范》等相关国家法律法规和标准规范的要求。</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（五）通讯工程规划</w:t>
      </w:r>
    </w:p>
    <w:p>
      <w:pPr>
        <w:adjustRightInd w:val="0"/>
        <w:snapToGrid w:val="0"/>
        <w:spacing w:line="360" w:lineRule="auto"/>
        <w:ind w:firstLine="480" w:firstLineChars="200"/>
        <w:rPr>
          <w:rFonts w:ascii="宋体" w:hAnsi="宋体" w:eastAsia="宋体" w:cs="Times New Roman"/>
          <w:kern w:val="0"/>
          <w:sz w:val="24"/>
          <w:szCs w:val="24"/>
        </w:rPr>
      </w:pPr>
      <w:r>
        <w:rPr>
          <w:rFonts w:hint="eastAsia" w:ascii="宋体" w:hAnsi="宋体" w:eastAsia="宋体" w:cs="Times New Roman"/>
          <w:kern w:val="0"/>
          <w:sz w:val="24"/>
          <w:szCs w:val="24"/>
        </w:rPr>
        <w:t>1、市话用户预测</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固定电话普及率指标取</w:t>
      </w:r>
      <w:r>
        <w:rPr>
          <w:rFonts w:hint="eastAsia" w:ascii="宋体" w:hAnsi="宋体" w:eastAsia="宋体" w:cs="Times New Roman"/>
          <w:kern w:val="0"/>
          <w:sz w:val="24"/>
          <w:szCs w:val="24"/>
        </w:rPr>
        <w:t>60</w:t>
      </w:r>
      <w:r>
        <w:rPr>
          <w:rFonts w:ascii="宋体" w:hAnsi="宋体" w:eastAsia="宋体" w:cs="Times New Roman"/>
          <w:kern w:val="0"/>
          <w:sz w:val="24"/>
          <w:szCs w:val="24"/>
        </w:rPr>
        <w:t>部/百人，移动电话普及率指标取</w:t>
      </w:r>
      <w:r>
        <w:rPr>
          <w:rFonts w:hint="eastAsia" w:ascii="宋体" w:hAnsi="宋体" w:eastAsia="宋体" w:cs="Times New Roman"/>
          <w:kern w:val="0"/>
          <w:sz w:val="24"/>
          <w:szCs w:val="24"/>
        </w:rPr>
        <w:t>130</w:t>
      </w:r>
      <w:r>
        <w:rPr>
          <w:rFonts w:ascii="宋体" w:hAnsi="宋体" w:eastAsia="宋体" w:cs="Times New Roman"/>
          <w:kern w:val="0"/>
          <w:sz w:val="24"/>
          <w:szCs w:val="24"/>
        </w:rPr>
        <w:t>部/百人。</w:t>
      </w:r>
    </w:p>
    <w:p>
      <w:pPr>
        <w:adjustRightInd w:val="0"/>
        <w:snapToGrid w:val="0"/>
        <w:spacing w:line="360" w:lineRule="auto"/>
        <w:ind w:firstLine="480" w:firstLineChars="200"/>
        <w:rPr>
          <w:rFonts w:ascii="宋体" w:hAnsi="宋体" w:eastAsia="宋体" w:cs="Times New Roman"/>
          <w:kern w:val="0"/>
          <w:sz w:val="24"/>
          <w:szCs w:val="24"/>
        </w:rPr>
      </w:pPr>
      <w:r>
        <w:rPr>
          <w:rFonts w:hint="eastAsia" w:ascii="宋体" w:hAnsi="宋体" w:eastAsia="宋体" w:cs="Times New Roman"/>
          <w:kern w:val="0"/>
          <w:sz w:val="24"/>
          <w:szCs w:val="24"/>
        </w:rPr>
        <w:t>2、通信网络系统规划</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保留现状1处邮政所，规划配套完善相应功能。通信管网根据</w:t>
      </w:r>
      <w:r>
        <w:rPr>
          <w:rFonts w:hint="eastAsia" w:ascii="宋体" w:hAnsi="宋体" w:eastAsia="宋体" w:cs="Times New Roman"/>
          <w:kern w:val="0"/>
          <w:sz w:val="24"/>
          <w:szCs w:val="24"/>
        </w:rPr>
        <w:t>镇区</w:t>
      </w:r>
      <w:r>
        <w:rPr>
          <w:rFonts w:ascii="宋体" w:hAnsi="宋体" w:eastAsia="宋体" w:cs="Times New Roman"/>
          <w:kern w:val="0"/>
          <w:sz w:val="24"/>
          <w:szCs w:val="24"/>
        </w:rPr>
        <w:t>终期容量进行设计，管孔数量应满足各类通讯业务（电话、数据通信、有线电视等）的要求。规划主干管为9孔，支管为6孔。镇区主干通信管道可采用电缆穿PVC波纹管埋地敷设，配线光缆宜采用直埋敷设。</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（六）燃气工程规划</w:t>
      </w:r>
    </w:p>
    <w:p>
      <w:pPr>
        <w:adjustRightInd w:val="0"/>
        <w:snapToGrid w:val="0"/>
        <w:spacing w:line="360" w:lineRule="auto"/>
        <w:ind w:firstLine="480" w:firstLineChars="200"/>
        <w:rPr>
          <w:rFonts w:ascii="宋体" w:hAnsi="宋体" w:eastAsia="宋体" w:cs="Times New Roman"/>
          <w:kern w:val="0"/>
          <w:sz w:val="24"/>
          <w:szCs w:val="24"/>
        </w:rPr>
      </w:pPr>
      <w:r>
        <w:rPr>
          <w:rFonts w:hint="eastAsia" w:ascii="宋体" w:hAnsi="宋体" w:eastAsia="宋体" w:cs="Times New Roman"/>
          <w:kern w:val="0"/>
          <w:sz w:val="24"/>
          <w:szCs w:val="24"/>
        </w:rPr>
        <w:t>1、燃气需求量预测</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镇区远期规划常住人口为</w:t>
      </w:r>
      <w:r>
        <w:rPr>
          <w:rFonts w:hint="eastAsia" w:ascii="宋体" w:hAnsi="宋体" w:eastAsia="宋体" w:cs="Times New Roman"/>
          <w:kern w:val="0"/>
          <w:sz w:val="24"/>
          <w:szCs w:val="24"/>
        </w:rPr>
        <w:t>0.5</w:t>
      </w:r>
      <w:r>
        <w:rPr>
          <w:rFonts w:ascii="宋体" w:hAnsi="宋体" w:eastAsia="宋体" w:cs="Times New Roman"/>
          <w:kern w:val="0"/>
          <w:sz w:val="24"/>
          <w:szCs w:val="24"/>
        </w:rPr>
        <w:t>万人，规划镇区天然气气化率达到100%，居民用气量指标为</w:t>
      </w:r>
      <w:r>
        <w:rPr>
          <w:rFonts w:hint="eastAsia" w:ascii="宋体" w:hAnsi="宋体" w:eastAsia="宋体" w:cs="Times New Roman"/>
          <w:kern w:val="0"/>
          <w:sz w:val="24"/>
          <w:szCs w:val="24"/>
        </w:rPr>
        <w:t>0.35立方米</w:t>
      </w:r>
      <w:r>
        <w:rPr>
          <w:rFonts w:ascii="宋体" w:hAnsi="宋体" w:eastAsia="宋体" w:cs="Times New Roman"/>
          <w:kern w:val="0"/>
          <w:sz w:val="24"/>
          <w:szCs w:val="24"/>
        </w:rPr>
        <w:t>/人·</w:t>
      </w:r>
      <w:r>
        <w:rPr>
          <w:rFonts w:hint="eastAsia" w:ascii="宋体" w:hAnsi="宋体" w:eastAsia="宋体" w:cs="Times New Roman"/>
          <w:kern w:val="0"/>
          <w:sz w:val="24"/>
          <w:szCs w:val="24"/>
        </w:rPr>
        <w:t>天，</w:t>
      </w:r>
      <w:r>
        <w:rPr>
          <w:rFonts w:ascii="宋体" w:hAnsi="宋体" w:eastAsia="宋体" w:cs="Times New Roman"/>
          <w:kern w:val="0"/>
          <w:sz w:val="24"/>
          <w:szCs w:val="24"/>
        </w:rPr>
        <w:t>综合预测</w:t>
      </w:r>
      <w:r>
        <w:rPr>
          <w:rFonts w:hint="eastAsia" w:ascii="宋体" w:hAnsi="宋体" w:eastAsia="宋体" w:cs="Times New Roman"/>
          <w:kern w:val="0"/>
          <w:sz w:val="24"/>
          <w:szCs w:val="24"/>
        </w:rPr>
        <w:t>玉峰镇</w:t>
      </w:r>
      <w:r>
        <w:rPr>
          <w:rFonts w:ascii="宋体" w:hAnsi="宋体" w:eastAsia="宋体" w:cs="Times New Roman"/>
          <w:kern w:val="0"/>
          <w:sz w:val="24"/>
          <w:szCs w:val="24"/>
        </w:rPr>
        <w:t>燃气使用规模总计</w:t>
      </w:r>
      <w:r>
        <w:rPr>
          <w:rFonts w:hint="eastAsia" w:ascii="宋体" w:hAnsi="宋体" w:eastAsia="宋体" w:cs="Times New Roman"/>
          <w:kern w:val="0"/>
          <w:sz w:val="24"/>
          <w:szCs w:val="24"/>
        </w:rPr>
        <w:t>0.18</w:t>
      </w:r>
      <w:r>
        <w:rPr>
          <w:rFonts w:ascii="宋体" w:hAnsi="宋体" w:eastAsia="宋体" w:cs="Times New Roman"/>
          <w:kern w:val="0"/>
          <w:sz w:val="24"/>
          <w:szCs w:val="24"/>
        </w:rPr>
        <w:t>万</w:t>
      </w:r>
      <w:r>
        <w:rPr>
          <w:rFonts w:hint="eastAsia" w:ascii="宋体" w:hAnsi="宋体" w:eastAsia="宋体" w:cs="Times New Roman"/>
          <w:kern w:val="0"/>
          <w:sz w:val="24"/>
          <w:szCs w:val="24"/>
        </w:rPr>
        <w:t>立方米</w:t>
      </w:r>
      <w:r>
        <w:rPr>
          <w:rFonts w:ascii="宋体" w:hAnsi="宋体" w:eastAsia="宋体" w:cs="Times New Roman"/>
          <w:kern w:val="0"/>
          <w:sz w:val="24"/>
          <w:szCs w:val="24"/>
        </w:rPr>
        <w:t>/</w:t>
      </w:r>
      <w:r>
        <w:rPr>
          <w:rFonts w:hint="eastAsia" w:ascii="宋体" w:hAnsi="宋体" w:eastAsia="宋体" w:cs="Times New Roman"/>
          <w:kern w:val="0"/>
          <w:sz w:val="24"/>
          <w:szCs w:val="24"/>
        </w:rPr>
        <w:t>天</w:t>
      </w:r>
      <w:r>
        <w:rPr>
          <w:rFonts w:ascii="宋体" w:hAnsi="宋体" w:eastAsia="宋体" w:cs="Times New Roman"/>
          <w:kern w:val="0"/>
          <w:sz w:val="24"/>
          <w:szCs w:val="24"/>
        </w:rPr>
        <w:t>。</w:t>
      </w:r>
    </w:p>
    <w:p>
      <w:pPr>
        <w:adjustRightInd w:val="0"/>
        <w:snapToGrid w:val="0"/>
        <w:spacing w:line="360" w:lineRule="auto"/>
        <w:ind w:firstLine="480" w:firstLineChars="200"/>
        <w:rPr>
          <w:rFonts w:ascii="宋体" w:hAnsi="宋体" w:eastAsia="宋体" w:cs="Times New Roman"/>
          <w:kern w:val="0"/>
          <w:sz w:val="24"/>
          <w:szCs w:val="24"/>
        </w:rPr>
      </w:pPr>
      <w:r>
        <w:rPr>
          <w:rFonts w:hint="eastAsia" w:ascii="宋体" w:hAnsi="宋体" w:eastAsia="宋体" w:cs="Times New Roman"/>
          <w:kern w:val="0"/>
          <w:sz w:val="24"/>
          <w:szCs w:val="24"/>
        </w:rPr>
        <w:t>2、气源规划</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燃气气源由中压输气管线从</w:t>
      </w:r>
      <w:r>
        <w:rPr>
          <w:rFonts w:hint="eastAsia" w:ascii="宋体" w:hAnsi="宋体" w:eastAsia="宋体" w:cs="Times New Roman"/>
          <w:kern w:val="0"/>
          <w:sz w:val="24"/>
          <w:szCs w:val="24"/>
        </w:rPr>
        <w:t>大英</w:t>
      </w:r>
      <w:r>
        <w:rPr>
          <w:rFonts w:ascii="宋体" w:hAnsi="宋体" w:eastAsia="宋体" w:cs="Times New Roman"/>
          <w:kern w:val="0"/>
          <w:sz w:val="24"/>
          <w:szCs w:val="24"/>
        </w:rPr>
        <w:t>县玉象燃气公司引入。</w:t>
      </w:r>
    </w:p>
    <w:p>
      <w:pPr>
        <w:adjustRightInd w:val="0"/>
        <w:snapToGrid w:val="0"/>
        <w:spacing w:line="360" w:lineRule="auto"/>
        <w:ind w:firstLine="480" w:firstLineChars="200"/>
        <w:rPr>
          <w:rFonts w:ascii="宋体" w:hAnsi="宋体" w:eastAsia="宋体" w:cs="Times New Roman"/>
          <w:kern w:val="0"/>
          <w:sz w:val="24"/>
          <w:szCs w:val="24"/>
        </w:rPr>
      </w:pPr>
      <w:r>
        <w:rPr>
          <w:rFonts w:hint="eastAsia" w:ascii="宋体" w:hAnsi="宋体" w:eastAsia="宋体" w:cs="Times New Roman"/>
          <w:kern w:val="0"/>
          <w:sz w:val="24"/>
          <w:szCs w:val="24"/>
        </w:rPr>
        <w:t>3、管网系统</w:t>
      </w:r>
    </w:p>
    <w:p>
      <w:pPr>
        <w:adjustRightInd w:val="0"/>
        <w:snapToGrid w:val="0"/>
        <w:spacing w:line="360" w:lineRule="auto"/>
        <w:ind w:firstLine="480" w:firstLineChars="200"/>
        <w:rPr>
          <w:rFonts w:ascii="宋体" w:hAnsi="宋体" w:eastAsia="宋体" w:cs="Times New Roman"/>
          <w:b/>
          <w:kern w:val="0"/>
          <w:sz w:val="24"/>
          <w:szCs w:val="24"/>
          <w:u w:val="single"/>
        </w:rPr>
      </w:pPr>
      <w:r>
        <w:rPr>
          <w:rFonts w:ascii="宋体" w:hAnsi="宋体" w:eastAsia="宋体" w:cs="Times New Roman"/>
          <w:kern w:val="0"/>
          <w:sz w:val="24"/>
          <w:szCs w:val="24"/>
        </w:rPr>
        <w:t>考虑</w:t>
      </w:r>
      <w:r>
        <w:rPr>
          <w:rFonts w:hint="eastAsia" w:ascii="宋体" w:hAnsi="宋体" w:eastAsia="宋体" w:cs="Times New Roman"/>
          <w:kern w:val="0"/>
          <w:sz w:val="24"/>
          <w:szCs w:val="24"/>
        </w:rPr>
        <w:t>镇区</w:t>
      </w:r>
      <w:r>
        <w:rPr>
          <w:rFonts w:ascii="宋体" w:hAnsi="宋体" w:eastAsia="宋体" w:cs="Times New Roman"/>
          <w:kern w:val="0"/>
          <w:sz w:val="24"/>
          <w:szCs w:val="24"/>
        </w:rPr>
        <w:t>人口规模的不确定性，并结合现状管道压力状况，</w:t>
      </w:r>
      <w:r>
        <w:rPr>
          <w:rFonts w:hint="eastAsia" w:ascii="宋体" w:hAnsi="宋体" w:eastAsia="宋体" w:cs="Times New Roman"/>
          <w:kern w:val="0"/>
          <w:sz w:val="24"/>
          <w:szCs w:val="24"/>
        </w:rPr>
        <w:t>规划</w:t>
      </w:r>
      <w:r>
        <w:rPr>
          <w:rFonts w:ascii="宋体" w:hAnsi="宋体" w:eastAsia="宋体" w:cs="Times New Roman"/>
          <w:kern w:val="0"/>
          <w:sz w:val="24"/>
          <w:szCs w:val="24"/>
        </w:rPr>
        <w:t>天然气管网采用中压一级系统，出站压力为0.2Mpa。</w:t>
      </w:r>
      <w:r>
        <w:rPr>
          <w:rFonts w:hint="eastAsia" w:ascii="宋体" w:hAnsi="宋体" w:eastAsia="宋体" w:cs="Times New Roman"/>
          <w:kern w:val="0"/>
          <w:sz w:val="24"/>
          <w:szCs w:val="24"/>
        </w:rPr>
        <w:t>规划</w:t>
      </w:r>
      <w:r>
        <w:rPr>
          <w:rFonts w:ascii="宋体" w:hAnsi="宋体" w:eastAsia="宋体" w:cs="Times New Roman"/>
          <w:kern w:val="0"/>
          <w:sz w:val="24"/>
          <w:szCs w:val="24"/>
        </w:rPr>
        <w:t>保留现状燃气主管和支管</w:t>
      </w:r>
      <w:r>
        <w:rPr>
          <w:rFonts w:hint="eastAsia" w:ascii="宋体" w:hAnsi="宋体" w:eastAsia="宋体" w:cs="Times New Roman"/>
          <w:kern w:val="0"/>
          <w:sz w:val="24"/>
          <w:szCs w:val="24"/>
        </w:rPr>
        <w:t>，在</w:t>
      </w:r>
      <w:r>
        <w:rPr>
          <w:rFonts w:ascii="宋体" w:hAnsi="宋体" w:eastAsia="宋体" w:cs="Times New Roman"/>
          <w:kern w:val="0"/>
          <w:sz w:val="24"/>
          <w:szCs w:val="24"/>
        </w:rPr>
        <w:t>南方客运站北侧新增DN76燃气管网</w:t>
      </w:r>
      <w:r>
        <w:rPr>
          <w:rFonts w:hint="eastAsia" w:ascii="宋体" w:hAnsi="宋体" w:eastAsia="宋体" w:cs="Times New Roman"/>
          <w:kern w:val="0"/>
          <w:sz w:val="24"/>
          <w:szCs w:val="24"/>
        </w:rPr>
        <w:t>，沿蓬乐路新增</w:t>
      </w:r>
      <w:r>
        <w:rPr>
          <w:rFonts w:ascii="宋体" w:hAnsi="宋体" w:eastAsia="宋体" w:cs="Times New Roman"/>
          <w:kern w:val="0"/>
          <w:sz w:val="24"/>
          <w:szCs w:val="24"/>
        </w:rPr>
        <w:t>DN</w:t>
      </w:r>
      <w:r>
        <w:rPr>
          <w:rFonts w:hint="eastAsia" w:ascii="宋体" w:hAnsi="宋体" w:eastAsia="宋体" w:cs="Times New Roman"/>
          <w:kern w:val="0"/>
          <w:sz w:val="24"/>
          <w:szCs w:val="24"/>
        </w:rPr>
        <w:t>50</w:t>
      </w:r>
      <w:r>
        <w:rPr>
          <w:rFonts w:ascii="宋体" w:hAnsi="宋体" w:eastAsia="宋体" w:cs="Times New Roman"/>
          <w:kern w:val="0"/>
          <w:sz w:val="24"/>
          <w:szCs w:val="24"/>
        </w:rPr>
        <w:t>燃气管网</w:t>
      </w:r>
      <w:r>
        <w:rPr>
          <w:rFonts w:hint="eastAsia" w:ascii="宋体" w:hAnsi="宋体" w:eastAsia="宋体" w:cs="Times New Roman"/>
          <w:kern w:val="0"/>
          <w:sz w:val="24"/>
          <w:szCs w:val="24"/>
        </w:rPr>
        <w:t>。</w:t>
      </w:r>
      <w:r>
        <w:rPr>
          <w:rFonts w:hint="eastAsia" w:ascii="宋体" w:hAnsi="宋体" w:eastAsia="宋体" w:cs="Times New Roman"/>
          <w:b/>
          <w:kern w:val="0"/>
          <w:sz w:val="24"/>
          <w:szCs w:val="24"/>
          <w:u w:val="single"/>
        </w:rPr>
        <w:t>输气管线安全防护距离应满足《城镇燃气设计规范》、《输气管道工程设计规范》等相关国家法律法规和标准规范的要求。</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（七）环卫工程规划</w:t>
      </w:r>
    </w:p>
    <w:p>
      <w:pPr>
        <w:adjustRightInd w:val="0"/>
        <w:snapToGrid w:val="0"/>
        <w:spacing w:line="360" w:lineRule="auto"/>
        <w:ind w:firstLine="480" w:firstLineChars="200"/>
        <w:rPr>
          <w:rFonts w:ascii="宋体" w:hAnsi="宋体" w:eastAsia="宋体" w:cs="Times New Roman"/>
          <w:kern w:val="0"/>
          <w:sz w:val="24"/>
          <w:szCs w:val="24"/>
        </w:rPr>
      </w:pPr>
      <w:r>
        <w:rPr>
          <w:rFonts w:hint="eastAsia" w:ascii="宋体" w:hAnsi="宋体" w:eastAsia="宋体" w:cs="Times New Roman"/>
          <w:kern w:val="0"/>
          <w:sz w:val="24"/>
          <w:szCs w:val="24"/>
        </w:rPr>
        <w:t>1、规划目标</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积极推广垃圾分类收集、分类清运和分类处理，建立“收集点－压缩转运站－填埋场”的收运和处置模式，逐步实现清洁作业和垃圾收运机械化。生活垃圾收运做到日产日清，远期实现生活垃圾处理无害化、减量化、资源化。</w:t>
      </w:r>
    </w:p>
    <w:p>
      <w:pPr>
        <w:adjustRightInd w:val="0"/>
        <w:snapToGrid w:val="0"/>
        <w:spacing w:line="360" w:lineRule="auto"/>
        <w:ind w:firstLine="480" w:firstLineChars="200"/>
        <w:rPr>
          <w:rFonts w:ascii="宋体" w:hAnsi="宋体" w:eastAsia="宋体" w:cs="Times New Roman"/>
          <w:kern w:val="0"/>
          <w:sz w:val="24"/>
          <w:szCs w:val="24"/>
        </w:rPr>
      </w:pPr>
      <w:r>
        <w:rPr>
          <w:rFonts w:hint="eastAsia" w:ascii="宋体" w:hAnsi="宋体" w:eastAsia="宋体" w:cs="Times New Roman"/>
          <w:kern w:val="0"/>
          <w:sz w:val="24"/>
          <w:szCs w:val="24"/>
        </w:rPr>
        <w:t>2、生活垃圾量预测</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规划镇区人均垃圾产生量取1.0千克/</w:t>
      </w:r>
      <w:r>
        <w:rPr>
          <w:rFonts w:hint="eastAsia" w:ascii="宋体" w:hAnsi="宋体" w:eastAsia="宋体" w:cs="Times New Roman"/>
          <w:kern w:val="0"/>
          <w:sz w:val="24"/>
          <w:szCs w:val="24"/>
        </w:rPr>
        <w:t>天</w:t>
      </w:r>
      <w:r>
        <w:rPr>
          <w:rFonts w:ascii="宋体" w:hAnsi="宋体" w:eastAsia="宋体" w:cs="Times New Roman"/>
          <w:kern w:val="0"/>
          <w:sz w:val="24"/>
          <w:szCs w:val="24"/>
        </w:rPr>
        <w:t>，则规划远期生活垃圾日产量</w:t>
      </w:r>
      <w:r>
        <w:rPr>
          <w:rFonts w:hint="eastAsia" w:ascii="宋体" w:hAnsi="宋体" w:eastAsia="宋体" w:cs="Times New Roman"/>
          <w:kern w:val="0"/>
          <w:sz w:val="24"/>
          <w:szCs w:val="24"/>
        </w:rPr>
        <w:t>0.5万千克/</w:t>
      </w:r>
      <w:r>
        <w:rPr>
          <w:rFonts w:ascii="宋体" w:hAnsi="宋体" w:eastAsia="宋体" w:cs="Times New Roman"/>
          <w:kern w:val="0"/>
          <w:sz w:val="24"/>
          <w:szCs w:val="24"/>
        </w:rPr>
        <w:t>日，有效收集率达到100</w:t>
      </w:r>
      <w:r>
        <w:rPr>
          <w:rFonts w:hint="eastAsia" w:ascii="宋体" w:hAnsi="宋体" w:eastAsia="宋体" w:cs="Times New Roman"/>
          <w:kern w:val="0"/>
          <w:sz w:val="24"/>
          <w:szCs w:val="24"/>
        </w:rPr>
        <w:t>%。</w:t>
      </w:r>
    </w:p>
    <w:p>
      <w:pPr>
        <w:adjustRightInd w:val="0"/>
        <w:snapToGrid w:val="0"/>
        <w:spacing w:line="360" w:lineRule="auto"/>
        <w:ind w:firstLine="480" w:firstLineChars="200"/>
        <w:rPr>
          <w:rFonts w:ascii="宋体" w:hAnsi="宋体" w:eastAsia="宋体" w:cs="Times New Roman"/>
          <w:kern w:val="0"/>
          <w:sz w:val="24"/>
          <w:szCs w:val="24"/>
        </w:rPr>
      </w:pPr>
      <w:r>
        <w:rPr>
          <w:rFonts w:hint="eastAsia" w:ascii="宋体" w:hAnsi="宋体" w:eastAsia="宋体" w:cs="Times New Roman"/>
          <w:kern w:val="0"/>
          <w:sz w:val="24"/>
          <w:szCs w:val="24"/>
        </w:rPr>
        <w:t>3、环境卫生工程规划</w:t>
      </w:r>
    </w:p>
    <w:p>
      <w:pPr>
        <w:adjustRightInd w:val="0"/>
        <w:snapToGrid w:val="0"/>
        <w:spacing w:line="360" w:lineRule="auto"/>
        <w:ind w:firstLine="480" w:firstLineChars="200"/>
        <w:rPr>
          <w:rFonts w:ascii="宋体" w:hAnsi="宋体" w:eastAsia="宋体" w:cs="Times New Roman"/>
          <w:b/>
          <w:kern w:val="0"/>
          <w:sz w:val="24"/>
          <w:szCs w:val="24"/>
          <w:u w:val="single"/>
        </w:rPr>
      </w:pPr>
      <w:r>
        <w:rPr>
          <w:rFonts w:ascii="宋体" w:hAnsi="宋体" w:eastAsia="宋体" w:cs="Times New Roman"/>
          <w:kern w:val="0"/>
          <w:sz w:val="24"/>
          <w:szCs w:val="24"/>
        </w:rPr>
        <w:t>实施城乡垃圾清运一体化模式，由第三方（遂宁川能环卫公司）清运模式。村收集、镇转运，统一由三方公司打包运至射洪发电厂进行焚烧发电。</w:t>
      </w:r>
      <w:r>
        <w:rPr>
          <w:rFonts w:hint="eastAsia" w:ascii="宋体" w:hAnsi="宋体" w:eastAsia="宋体" w:cs="Times New Roman"/>
          <w:b/>
          <w:kern w:val="0"/>
          <w:sz w:val="24"/>
          <w:szCs w:val="24"/>
          <w:u w:val="single"/>
        </w:rPr>
        <w:t>医疗垃圾、危险废弃物必须单独收集、运输和处理，大英县无法自行处理处置的医疗垃圾、危险废弃物集中运至成都市医疗废物和危险固废处置中心进行处理处置。</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规划范围内优化1处现状垃圾转运站，转运全镇的垃圾。保留现状的垃圾收集点12处，新增垃圾收集点3处，按300米服务半径已全域覆盖。公共厕所的服务半径根据地段和人口而定，繁华街道间距为300-500米，一般街道为750-1000米，新建居民区以300-500米为半径，也可以地域面积计算，每平方公里不少于3处。共新增公共厕所</w:t>
      </w:r>
      <w:r>
        <w:rPr>
          <w:rFonts w:hint="eastAsia" w:ascii="宋体" w:hAnsi="宋体" w:eastAsia="宋体" w:cs="Times New Roman"/>
          <w:kern w:val="0"/>
          <w:sz w:val="24"/>
          <w:szCs w:val="24"/>
        </w:rPr>
        <w:t>2</w:t>
      </w:r>
      <w:r>
        <w:rPr>
          <w:rFonts w:ascii="宋体" w:hAnsi="宋体" w:eastAsia="宋体" w:cs="Times New Roman"/>
          <w:kern w:val="0"/>
          <w:sz w:val="24"/>
          <w:szCs w:val="24"/>
        </w:rPr>
        <w:t>处以提高镇区公厕服务质量。</w:t>
      </w:r>
    </w:p>
    <w:p>
      <w:pPr>
        <w:adjustRightInd w:val="0"/>
        <w:snapToGrid w:val="0"/>
        <w:spacing w:line="360" w:lineRule="auto"/>
        <w:ind w:firstLine="482" w:firstLineChars="200"/>
        <w:rPr>
          <w:rFonts w:ascii="黑体" w:hAnsi="黑体" w:eastAsia="黑体" w:cs="Times New Roman"/>
          <w:b/>
          <w:kern w:val="0"/>
          <w:sz w:val="24"/>
          <w:szCs w:val="24"/>
        </w:rPr>
      </w:pPr>
      <w:r>
        <w:rPr>
          <w:rFonts w:hint="eastAsia" w:ascii="黑体" w:hAnsi="黑体" w:eastAsia="黑体" w:cs="Times New Roman"/>
          <w:b/>
          <w:kern w:val="0"/>
          <w:sz w:val="24"/>
          <w:szCs w:val="24"/>
        </w:rPr>
        <w:t>十三、完善综合防灾体系，提升应急救援水平</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（一）</w:t>
      </w:r>
      <w:r>
        <w:rPr>
          <w:rFonts w:eastAsia="宋体" w:cs="Times New Roman" w:asciiTheme="minorEastAsia" w:hAnsiTheme="minorEastAsia"/>
          <w:b/>
          <w:kern w:val="0"/>
          <w:sz w:val="24"/>
          <w:szCs w:val="24"/>
        </w:rPr>
        <w:t>防洪规划</w:t>
      </w:r>
    </w:p>
    <w:p>
      <w:pPr>
        <w:adjustRightInd w:val="0"/>
        <w:snapToGrid w:val="0"/>
        <w:spacing w:line="360" w:lineRule="auto"/>
        <w:ind w:firstLine="482" w:firstLineChars="200"/>
        <w:rPr>
          <w:rFonts w:ascii="宋体" w:hAnsi="宋体" w:eastAsia="宋体" w:cs="Times New Roman"/>
          <w:b/>
          <w:kern w:val="0"/>
          <w:sz w:val="24"/>
          <w:szCs w:val="24"/>
          <w:u w:val="single"/>
        </w:rPr>
      </w:pPr>
      <w:r>
        <w:rPr>
          <w:rFonts w:ascii="宋体" w:hAnsi="宋体" w:eastAsia="宋体" w:cs="Times New Roman"/>
          <w:b/>
          <w:kern w:val="0"/>
          <w:sz w:val="24"/>
          <w:szCs w:val="24"/>
          <w:u w:val="single"/>
        </w:rPr>
        <w:t>根据现行《防洪标准》（GB50201-2014）及</w:t>
      </w:r>
      <w:r>
        <w:rPr>
          <w:rFonts w:hint="eastAsia" w:ascii="宋体" w:hAnsi="宋体" w:eastAsia="宋体" w:cs="Times New Roman"/>
          <w:b/>
          <w:kern w:val="0"/>
          <w:sz w:val="24"/>
          <w:szCs w:val="24"/>
          <w:u w:val="single"/>
        </w:rPr>
        <w:t>《</w:t>
      </w:r>
      <w:r>
        <w:rPr>
          <w:rFonts w:ascii="宋体" w:hAnsi="宋体" w:eastAsia="宋体" w:cs="Times New Roman"/>
          <w:b/>
          <w:kern w:val="0"/>
          <w:sz w:val="24"/>
          <w:szCs w:val="24"/>
          <w:u w:val="single"/>
        </w:rPr>
        <w:t>城市防洪工程设计规范</w:t>
      </w:r>
      <w:r>
        <w:rPr>
          <w:rFonts w:hint="eastAsia" w:ascii="宋体" w:hAnsi="宋体" w:eastAsia="宋体" w:cs="Times New Roman"/>
          <w:b/>
          <w:kern w:val="0"/>
          <w:sz w:val="24"/>
          <w:szCs w:val="24"/>
          <w:u w:val="single"/>
        </w:rPr>
        <w:t>》</w:t>
      </w:r>
      <w:r>
        <w:rPr>
          <w:rFonts w:ascii="宋体" w:hAnsi="宋体" w:eastAsia="宋体" w:cs="Times New Roman"/>
          <w:b/>
          <w:kern w:val="0"/>
          <w:sz w:val="24"/>
          <w:szCs w:val="24"/>
          <w:u w:val="single"/>
        </w:rPr>
        <w:t>（GB/T50850－2012）的规定，区的主要河流为</w:t>
      </w:r>
      <w:r>
        <w:rPr>
          <w:rFonts w:hint="eastAsia" w:ascii="宋体" w:hAnsi="宋体" w:eastAsia="宋体" w:cs="Times New Roman"/>
          <w:b/>
          <w:kern w:val="0"/>
          <w:sz w:val="24"/>
          <w:szCs w:val="24"/>
          <w:u w:val="single"/>
        </w:rPr>
        <w:t>幸福溪，按照</w:t>
      </w:r>
      <w:r>
        <w:rPr>
          <w:rFonts w:ascii="宋体" w:hAnsi="宋体" w:eastAsia="宋体" w:cs="Times New Roman"/>
          <w:b/>
          <w:kern w:val="0"/>
          <w:sz w:val="24"/>
          <w:szCs w:val="24"/>
          <w:u w:val="single"/>
        </w:rPr>
        <w:t>10年一遇洪水标准设防</w:t>
      </w:r>
      <w:r>
        <w:rPr>
          <w:rFonts w:hint="eastAsia" w:ascii="宋体" w:hAnsi="宋体" w:eastAsia="宋体" w:cs="Times New Roman"/>
          <w:b/>
          <w:kern w:val="0"/>
          <w:sz w:val="24"/>
          <w:szCs w:val="24"/>
          <w:u w:val="single"/>
        </w:rPr>
        <w:t>。</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（二）</w:t>
      </w:r>
      <w:r>
        <w:rPr>
          <w:rFonts w:eastAsia="宋体" w:cs="Times New Roman" w:asciiTheme="minorEastAsia" w:hAnsiTheme="minorEastAsia"/>
          <w:b/>
          <w:kern w:val="0"/>
          <w:sz w:val="24"/>
          <w:szCs w:val="24"/>
        </w:rPr>
        <w:t>消防规划</w:t>
      </w:r>
    </w:p>
    <w:p>
      <w:pPr>
        <w:adjustRightInd w:val="0"/>
        <w:snapToGrid w:val="0"/>
        <w:spacing w:line="360" w:lineRule="auto"/>
        <w:ind w:firstLine="480" w:firstLineChars="200"/>
        <w:rPr>
          <w:rFonts w:ascii="宋体" w:hAnsi="宋体" w:eastAsia="宋体" w:cs="Times New Roman"/>
          <w:b/>
          <w:kern w:val="0"/>
          <w:sz w:val="24"/>
          <w:szCs w:val="24"/>
          <w:u w:val="single"/>
        </w:rPr>
      </w:pPr>
      <w:r>
        <w:rPr>
          <w:rFonts w:ascii="宋体" w:hAnsi="宋体" w:eastAsia="宋体" w:cs="Times New Roman"/>
          <w:kern w:val="0"/>
          <w:sz w:val="24"/>
          <w:szCs w:val="24"/>
        </w:rPr>
        <w:t>规划结合现状派出所规划一处乡镇志愿消防队，负责全镇的消防救援工作，结合</w:t>
      </w:r>
      <w:r>
        <w:rPr>
          <w:rFonts w:hint="eastAsia" w:ascii="宋体" w:hAnsi="宋体" w:eastAsia="宋体" w:cs="Times New Roman"/>
          <w:kern w:val="0"/>
          <w:sz w:val="24"/>
          <w:szCs w:val="24"/>
        </w:rPr>
        <w:t>玉峰</w:t>
      </w:r>
      <w:r>
        <w:rPr>
          <w:rFonts w:ascii="宋体" w:hAnsi="宋体" w:eastAsia="宋体" w:cs="Times New Roman"/>
          <w:kern w:val="0"/>
          <w:sz w:val="24"/>
          <w:szCs w:val="24"/>
        </w:rPr>
        <w:t>镇政府和</w:t>
      </w:r>
      <w:r>
        <w:rPr>
          <w:rFonts w:hint="eastAsia" w:ascii="宋体" w:hAnsi="宋体" w:eastAsia="宋体" w:cs="Times New Roman"/>
          <w:kern w:val="0"/>
          <w:sz w:val="24"/>
          <w:szCs w:val="24"/>
        </w:rPr>
        <w:t>玉峰</w:t>
      </w:r>
      <w:r>
        <w:rPr>
          <w:rFonts w:ascii="宋体" w:hAnsi="宋体" w:eastAsia="宋体" w:cs="Times New Roman"/>
          <w:kern w:val="0"/>
          <w:sz w:val="24"/>
          <w:szCs w:val="24"/>
        </w:rPr>
        <w:t>卫生院设置应急救援指挥中心和防灾救护中心。将镇区</w:t>
      </w:r>
      <w:r>
        <w:rPr>
          <w:rFonts w:hint="eastAsia" w:ascii="宋体" w:hAnsi="宋体" w:eastAsia="宋体" w:cs="Times New Roman"/>
          <w:kern w:val="0"/>
          <w:sz w:val="24"/>
          <w:szCs w:val="24"/>
        </w:rPr>
        <w:t>幸福路、蓬乐路、交通街</w:t>
      </w:r>
      <w:r>
        <w:rPr>
          <w:rFonts w:ascii="宋体" w:hAnsi="宋体" w:eastAsia="宋体" w:cs="Times New Roman"/>
          <w:kern w:val="0"/>
          <w:sz w:val="24"/>
          <w:szCs w:val="24"/>
        </w:rPr>
        <w:t>作为避难疏散通道，明确标示标牌。结合镇区规划绿地、广场和小学，设置固定避难场所</w:t>
      </w:r>
      <w:r>
        <w:rPr>
          <w:rFonts w:hint="eastAsia" w:ascii="宋体" w:hAnsi="宋体" w:eastAsia="宋体" w:cs="Times New Roman"/>
          <w:kern w:val="0"/>
          <w:sz w:val="24"/>
          <w:szCs w:val="24"/>
        </w:rPr>
        <w:t>2</w:t>
      </w:r>
      <w:r>
        <w:rPr>
          <w:rFonts w:ascii="宋体" w:hAnsi="宋体" w:eastAsia="宋体" w:cs="Times New Roman"/>
          <w:kern w:val="0"/>
          <w:sz w:val="24"/>
          <w:szCs w:val="24"/>
        </w:rPr>
        <w:t>处，临时避难场所2处。</w:t>
      </w:r>
      <w:r>
        <w:rPr>
          <w:rFonts w:ascii="宋体" w:hAnsi="宋体" w:eastAsia="宋体" w:cs="Times New Roman"/>
          <w:b/>
          <w:kern w:val="0"/>
          <w:sz w:val="24"/>
          <w:szCs w:val="24"/>
          <w:u w:val="single"/>
        </w:rPr>
        <w:t>消防通道按照通道之间的中心线间距不大于160</w:t>
      </w:r>
      <w:r>
        <w:rPr>
          <w:rFonts w:hint="eastAsia" w:ascii="宋体" w:hAnsi="宋体" w:eastAsia="宋体" w:cs="Times New Roman"/>
          <w:b/>
          <w:kern w:val="0"/>
          <w:sz w:val="24"/>
          <w:szCs w:val="24"/>
          <w:u w:val="single"/>
        </w:rPr>
        <w:t>米</w:t>
      </w:r>
      <w:r>
        <w:rPr>
          <w:rFonts w:ascii="宋体" w:hAnsi="宋体" w:eastAsia="宋体" w:cs="Times New Roman"/>
          <w:b/>
          <w:kern w:val="0"/>
          <w:sz w:val="24"/>
          <w:szCs w:val="24"/>
          <w:u w:val="single"/>
        </w:rPr>
        <w:t>进行设置，消防车通道的净宽度和净空高度均不应小于4</w:t>
      </w:r>
      <w:r>
        <w:rPr>
          <w:rFonts w:hint="eastAsia" w:ascii="宋体" w:hAnsi="宋体" w:eastAsia="宋体" w:cs="Times New Roman"/>
          <w:b/>
          <w:kern w:val="0"/>
          <w:sz w:val="24"/>
          <w:szCs w:val="24"/>
          <w:u w:val="single"/>
        </w:rPr>
        <w:t>米</w:t>
      </w:r>
      <w:r>
        <w:rPr>
          <w:rFonts w:ascii="宋体" w:hAnsi="宋体" w:eastAsia="宋体" w:cs="Times New Roman"/>
          <w:b/>
          <w:kern w:val="0"/>
          <w:sz w:val="24"/>
          <w:szCs w:val="24"/>
          <w:u w:val="single"/>
        </w:rPr>
        <w:t>，与建筑外墙宜大于5</w:t>
      </w:r>
      <w:r>
        <w:rPr>
          <w:rFonts w:hint="eastAsia" w:ascii="宋体" w:hAnsi="宋体" w:eastAsia="宋体" w:cs="Times New Roman"/>
          <w:b/>
          <w:kern w:val="0"/>
          <w:sz w:val="24"/>
          <w:szCs w:val="24"/>
          <w:u w:val="single"/>
        </w:rPr>
        <w:t>米</w:t>
      </w:r>
      <w:r>
        <w:rPr>
          <w:rFonts w:ascii="宋体" w:hAnsi="宋体" w:eastAsia="宋体" w:cs="Times New Roman"/>
          <w:b/>
          <w:kern w:val="0"/>
          <w:sz w:val="24"/>
          <w:szCs w:val="24"/>
          <w:u w:val="single"/>
        </w:rPr>
        <w:t>。</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（三）</w:t>
      </w:r>
      <w:r>
        <w:rPr>
          <w:rFonts w:eastAsia="宋体" w:cs="Times New Roman" w:asciiTheme="minorEastAsia" w:hAnsiTheme="minorEastAsia"/>
          <w:b/>
          <w:kern w:val="0"/>
          <w:sz w:val="24"/>
          <w:szCs w:val="24"/>
        </w:rPr>
        <w:t>抗震减灾规划</w:t>
      </w:r>
    </w:p>
    <w:p>
      <w:pPr>
        <w:adjustRightInd w:val="0"/>
        <w:snapToGrid w:val="0"/>
        <w:spacing w:line="360" w:lineRule="auto"/>
        <w:ind w:firstLine="482" w:firstLineChars="200"/>
        <w:rPr>
          <w:rFonts w:ascii="宋体" w:hAnsi="宋体" w:eastAsia="宋体" w:cs="Times New Roman"/>
          <w:b/>
          <w:kern w:val="0"/>
          <w:sz w:val="24"/>
          <w:szCs w:val="24"/>
          <w:u w:val="single"/>
        </w:rPr>
      </w:pPr>
      <w:r>
        <w:rPr>
          <w:rFonts w:ascii="宋体" w:hAnsi="宋体" w:eastAsia="宋体" w:cs="Times New Roman"/>
          <w:b/>
          <w:kern w:val="0"/>
          <w:sz w:val="24"/>
          <w:szCs w:val="24"/>
          <w:u w:val="single"/>
        </w:rPr>
        <w:t>根据《中国地震动参数区划图》(GB18306-20015)，镇区位于地震动峰值加速度0.05g分区、反应谱特征周期0.35s分区，抗震设防烈度为</w:t>
      </w:r>
      <w:r>
        <w:rPr>
          <w:rFonts w:hint="eastAsia" w:ascii="宋体" w:hAnsi="宋体" w:eastAsia="宋体" w:cs="Times New Roman"/>
          <w:b/>
          <w:kern w:val="0"/>
          <w:sz w:val="24"/>
          <w:szCs w:val="24"/>
          <w:u w:val="single"/>
        </w:rPr>
        <w:t>Ⅵ</w:t>
      </w:r>
      <w:r>
        <w:rPr>
          <w:rFonts w:ascii="宋体" w:hAnsi="宋体" w:eastAsia="宋体" w:cs="Times New Roman"/>
          <w:b/>
          <w:kern w:val="0"/>
          <w:sz w:val="24"/>
          <w:szCs w:val="24"/>
          <w:u w:val="single"/>
        </w:rPr>
        <w:t>度。严格控制新建、改建、扩建</w:t>
      </w:r>
      <w:r>
        <w:rPr>
          <w:rFonts w:hint="eastAsia" w:ascii="宋体" w:hAnsi="宋体" w:eastAsia="宋体" w:cs="Times New Roman"/>
          <w:b/>
          <w:kern w:val="0"/>
          <w:sz w:val="24"/>
          <w:szCs w:val="24"/>
          <w:u w:val="single"/>
        </w:rPr>
        <w:t>（构）</w:t>
      </w:r>
      <w:r>
        <w:rPr>
          <w:rFonts w:ascii="宋体" w:hAnsi="宋体" w:eastAsia="宋体" w:cs="Times New Roman"/>
          <w:b/>
          <w:kern w:val="0"/>
          <w:sz w:val="24"/>
          <w:szCs w:val="24"/>
          <w:u w:val="single"/>
        </w:rPr>
        <w:t>筑物防震等级，一般民用建筑按6 度设防，重要工程、城市生命线工程结构基础按7 度设防。重大工程和可能发生次生灾害的工程，必须进行地震安全性评价，并根据地震安全性评价的结果，确定抗震设防要求，进行抗震设防。</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（四）地质灾害防治规划</w:t>
      </w:r>
    </w:p>
    <w:p>
      <w:pPr>
        <w:adjustRightInd w:val="0"/>
        <w:snapToGrid w:val="0"/>
        <w:spacing w:line="360" w:lineRule="auto"/>
        <w:ind w:firstLine="480" w:firstLineChars="200"/>
        <w:rPr>
          <w:sz w:val="32"/>
          <w:szCs w:val="32"/>
        </w:rPr>
      </w:pPr>
      <w:r>
        <w:rPr>
          <w:rFonts w:ascii="宋体" w:hAnsi="宋体" w:eastAsia="宋体" w:cs="Times New Roman"/>
          <w:kern w:val="0"/>
          <w:sz w:val="24"/>
          <w:szCs w:val="24"/>
        </w:rPr>
        <w:t>规划应根据《地质灾害防治条例》、《地质灾害防治管理办法》、《县（市）地质灾害调查与区划基本要求》的精神和要求尽快编制相符的工程地质勘查报告，并作地质灾害评估。如遇规划结论与地勘结论有矛盾之处，下一步建筑设计报建应以详勘为依据，若出现地质勘察认定不宜建设情况，应以地质勘察结论为依据审查建设方案，并适时论证调整规划</w:t>
      </w:r>
      <w:r>
        <w:rPr>
          <w:sz w:val="32"/>
          <w:szCs w:val="32"/>
        </w:rPr>
        <w:t>。</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镇区应完善预警联动和信息共享机制，确保第一时间将防灾信息、防灾措施和防灾要求传递到各村社负责人、地质灾害隐患点监测责任人、监测人和危险区内的群众。</w:t>
      </w:r>
    </w:p>
    <w:p>
      <w:pPr>
        <w:adjustRightInd w:val="0"/>
        <w:snapToGrid w:val="0"/>
        <w:spacing w:line="360" w:lineRule="auto"/>
        <w:ind w:firstLine="482" w:firstLineChars="200"/>
        <w:rPr>
          <w:rFonts w:ascii="黑体" w:hAnsi="黑体" w:eastAsia="黑体" w:cs="Times New Roman"/>
          <w:b/>
          <w:kern w:val="0"/>
          <w:sz w:val="24"/>
          <w:szCs w:val="24"/>
        </w:rPr>
      </w:pPr>
      <w:r>
        <w:rPr>
          <w:rFonts w:hint="eastAsia" w:ascii="黑体" w:hAnsi="黑体" w:eastAsia="黑体" w:cs="Times New Roman"/>
          <w:b/>
          <w:kern w:val="0"/>
          <w:sz w:val="24"/>
          <w:szCs w:val="24"/>
        </w:rPr>
        <w:t>十四、风貌管控</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把城市设计的理念贯穿于镇区风貌控制中来，结合自然山水格局和地域人文特征，对玉峰镇区的空间形态和风貌特色等内容进行整体研究。确定风貌塑造上以</w:t>
      </w:r>
      <w:r>
        <w:rPr>
          <w:rFonts w:hint="eastAsia" w:ascii="宋体" w:hAnsi="宋体" w:eastAsia="宋体" w:cs="Times New Roman"/>
          <w:kern w:val="0"/>
          <w:sz w:val="24"/>
          <w:szCs w:val="24"/>
        </w:rPr>
        <w:t>丘陵</w:t>
      </w:r>
      <w:r>
        <w:rPr>
          <w:rFonts w:ascii="宋体" w:hAnsi="宋体" w:eastAsia="宋体" w:cs="Times New Roman"/>
          <w:kern w:val="0"/>
          <w:sz w:val="24"/>
          <w:szCs w:val="24"/>
        </w:rPr>
        <w:t>川中民居为主基调。</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（一）风貌结构</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构建镇区“一轴一带三区”的传统川中民居风貌格局。</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一轴：沿交通街形成的田园风情文化轴；</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一带：沿幸福溪形成的生态景观廊道；</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三区：田园生活风貌区、川中传统风貌区和川中现代风貌区。</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（二）</w:t>
      </w:r>
      <w:r>
        <w:rPr>
          <w:rFonts w:eastAsia="宋体" w:cs="Times New Roman" w:asciiTheme="minorEastAsia" w:hAnsiTheme="minorEastAsia"/>
          <w:b/>
          <w:kern w:val="0"/>
          <w:sz w:val="24"/>
          <w:szCs w:val="24"/>
        </w:rPr>
        <w:t>建筑风貌管控</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1、建筑屋顶</w:t>
      </w:r>
    </w:p>
    <w:p>
      <w:pPr>
        <w:adjustRightInd w:val="0"/>
        <w:snapToGrid w:val="0"/>
        <w:spacing w:line="360" w:lineRule="auto"/>
        <w:ind w:firstLine="480" w:firstLineChars="200"/>
        <w:rPr>
          <w:rFonts w:ascii="宋体" w:hAnsi="宋体" w:eastAsia="宋体" w:cs="Times New Roman"/>
          <w:kern w:val="0"/>
          <w:sz w:val="24"/>
          <w:szCs w:val="24"/>
        </w:rPr>
      </w:pPr>
      <w:r>
        <w:rPr>
          <w:rFonts w:hint="eastAsia" w:ascii="宋体" w:hAnsi="宋体" w:eastAsia="宋体" w:cs="Times New Roman"/>
          <w:kern w:val="0"/>
          <w:sz w:val="24"/>
          <w:szCs w:val="24"/>
        </w:rPr>
        <w:t>全部采用坡屋</w:t>
      </w:r>
      <w:r>
        <w:rPr>
          <w:rFonts w:ascii="宋体" w:hAnsi="宋体" w:eastAsia="宋体" w:cs="Times New Roman"/>
          <w:kern w:val="0"/>
          <w:sz w:val="24"/>
          <w:szCs w:val="24"/>
        </w:rPr>
        <w:t>顶</w:t>
      </w:r>
      <w:r>
        <w:rPr>
          <w:rFonts w:hint="eastAsia" w:ascii="宋体" w:hAnsi="宋体" w:eastAsia="宋体" w:cs="Times New Roman"/>
          <w:kern w:val="0"/>
          <w:sz w:val="24"/>
          <w:szCs w:val="24"/>
        </w:rPr>
        <w:t>形式。</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2</w:t>
      </w:r>
      <w:r>
        <w:rPr>
          <w:rFonts w:hint="eastAsia" w:ascii="宋体" w:hAnsi="宋体" w:eastAsia="宋体" w:cs="Times New Roman"/>
          <w:kern w:val="0"/>
          <w:sz w:val="24"/>
          <w:szCs w:val="24"/>
        </w:rPr>
        <w:t>、建筑色彩</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以黑、白、灰为基调，单体建筑色彩不宜超过三种。</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3</w:t>
      </w:r>
      <w:r>
        <w:rPr>
          <w:rFonts w:hint="eastAsia" w:ascii="宋体" w:hAnsi="宋体" w:eastAsia="宋体" w:cs="Times New Roman"/>
          <w:kern w:val="0"/>
          <w:sz w:val="24"/>
          <w:szCs w:val="24"/>
        </w:rPr>
        <w:t>、建筑体量</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严禁出现庞大、横长或矮胖的形体，单体建筑连续长度不宜超过25</w:t>
      </w:r>
      <w:r>
        <w:rPr>
          <w:rFonts w:hint="eastAsia" w:ascii="宋体" w:hAnsi="宋体" w:eastAsia="宋体" w:cs="Times New Roman"/>
          <w:kern w:val="0"/>
          <w:sz w:val="24"/>
          <w:szCs w:val="24"/>
        </w:rPr>
        <w:t>米。</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4</w:t>
      </w:r>
      <w:r>
        <w:rPr>
          <w:rFonts w:hint="eastAsia" w:ascii="宋体" w:hAnsi="宋体" w:eastAsia="宋体" w:cs="Times New Roman"/>
          <w:kern w:val="0"/>
          <w:sz w:val="24"/>
          <w:szCs w:val="24"/>
        </w:rPr>
        <w:t>、建筑立面</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在墙身的处理上不应大面积的使用光面墙砖、防腐木和不耐脏、不耐久的低档涂料，不应设置金属卷帘门、防盗栏和雨棚。</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5、建筑屋顶材质</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禁止使用颜色艳丽平板彩钢板屋顶。</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6、墙裙材质</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采用青砖、仿石砖墙裙。</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7、建筑装饰</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室外空调外机、电控箱、管道统一设计遮蔽措施，采用与风貌相协调的材质颜色。</w:t>
      </w:r>
    </w:p>
    <w:p>
      <w:pPr>
        <w:adjustRightInd w:val="0"/>
        <w:snapToGrid w:val="0"/>
        <w:spacing w:line="360" w:lineRule="auto"/>
        <w:ind w:firstLine="482" w:firstLineChars="200"/>
        <w:rPr>
          <w:rFonts w:ascii="黑体" w:hAnsi="黑体" w:eastAsia="黑体" w:cs="Times New Roman"/>
          <w:b/>
          <w:kern w:val="0"/>
          <w:sz w:val="24"/>
          <w:szCs w:val="24"/>
        </w:rPr>
      </w:pPr>
      <w:r>
        <w:rPr>
          <w:rFonts w:hint="eastAsia" w:ascii="黑体" w:hAnsi="黑体" w:eastAsia="黑体" w:cs="Times New Roman"/>
          <w:b/>
          <w:kern w:val="0"/>
          <w:sz w:val="24"/>
          <w:szCs w:val="24"/>
        </w:rPr>
        <w:t>十五、镇区宅基地管控</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（一）城镇开发边界内自建房控制</w:t>
      </w:r>
    </w:p>
    <w:p>
      <w:pPr>
        <w:adjustRightInd w:val="0"/>
        <w:snapToGrid w:val="0"/>
        <w:spacing w:line="360" w:lineRule="auto"/>
        <w:ind w:firstLine="482" w:firstLineChars="200"/>
        <w:rPr>
          <w:rFonts w:ascii="宋体" w:hAnsi="宋体" w:eastAsia="宋体" w:cs="Times New Roman"/>
          <w:b/>
          <w:kern w:val="0"/>
          <w:sz w:val="24"/>
          <w:szCs w:val="24"/>
          <w:u w:val="single"/>
        </w:rPr>
      </w:pPr>
      <w:r>
        <w:rPr>
          <w:rFonts w:hint="eastAsia" w:ascii="宋体" w:hAnsi="宋体" w:eastAsia="宋体" w:cs="Times New Roman"/>
          <w:b/>
          <w:kern w:val="0"/>
          <w:sz w:val="24"/>
          <w:szCs w:val="24"/>
          <w:u w:val="single"/>
        </w:rPr>
        <w:t>中心场镇开发边界内的自建房项目须经房屋鉴定机构鉴定确认属于D级危房（申请时提供鉴定报告），又无其他居所，且未纳入棚户区规划，也不能纳入易地提前安置的，则按原址原面积原高度的原则予以审批。开发边界内自建房总建筑层数不宜超过3层（含3层），建筑高度不宜超过12米。</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（二）宅基地面积控制</w:t>
      </w:r>
    </w:p>
    <w:p>
      <w:pPr>
        <w:adjustRightInd w:val="0"/>
        <w:snapToGrid w:val="0"/>
        <w:spacing w:line="360" w:lineRule="auto"/>
        <w:ind w:firstLine="482" w:firstLineChars="200"/>
        <w:rPr>
          <w:rFonts w:ascii="宋体" w:hAnsi="宋体" w:eastAsia="宋体" w:cs="Times New Roman"/>
          <w:b/>
          <w:kern w:val="0"/>
          <w:sz w:val="24"/>
          <w:szCs w:val="24"/>
          <w:u w:val="single"/>
        </w:rPr>
      </w:pPr>
      <w:r>
        <w:rPr>
          <w:rFonts w:hint="eastAsia" w:ascii="宋体" w:hAnsi="宋体" w:eastAsia="宋体" w:cs="Times New Roman"/>
          <w:b/>
          <w:kern w:val="0"/>
          <w:sz w:val="24"/>
          <w:szCs w:val="24"/>
          <w:u w:val="single"/>
        </w:rPr>
        <w:t>在中心场镇开发边界内使用集体建设用地进行自建房建设的，必须坚持“一户一宅”原则，户宅基地面积标准分3人户及以下、4人户、5人户及以上类别，宅基地面积分别控制在90、100、125平方米以内。</w:t>
      </w:r>
    </w:p>
    <w:p>
      <w:pPr>
        <w:adjustRightInd w:val="0"/>
        <w:snapToGrid w:val="0"/>
        <w:spacing w:line="360" w:lineRule="auto"/>
        <w:ind w:firstLine="482" w:firstLineChars="200"/>
        <w:rPr>
          <w:rFonts w:eastAsia="宋体" w:cs="Times New Roman" w:asciiTheme="minorEastAsia" w:hAnsiTheme="minorEastAsia"/>
          <w:b/>
          <w:kern w:val="0"/>
          <w:sz w:val="24"/>
          <w:szCs w:val="24"/>
        </w:rPr>
      </w:pPr>
      <w:r>
        <w:rPr>
          <w:rFonts w:hint="eastAsia" w:eastAsia="宋体" w:cs="Times New Roman" w:asciiTheme="minorEastAsia" w:hAnsiTheme="minorEastAsia"/>
          <w:b/>
          <w:kern w:val="0"/>
          <w:sz w:val="24"/>
          <w:szCs w:val="24"/>
        </w:rPr>
        <w:t>（三）户型选择</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在中心场镇开发边界内使用集体建设用地进行自建房建设的，户型选择建议按照《遂宁市美丽乡村风貌导则及民居设计图集》（2023.01）建筑图集内容P82-91执行，应避免选择山墙开窗的户型。</w:t>
      </w:r>
    </w:p>
    <w:p>
      <w:pPr>
        <w:adjustRightInd w:val="0"/>
        <w:snapToGrid w:val="0"/>
        <w:spacing w:line="360" w:lineRule="auto"/>
        <w:ind w:firstLine="480" w:firstLineChars="200"/>
        <w:rPr>
          <w:rFonts w:eastAsia="宋体" w:cs="Times New Roman" w:asciiTheme="minorEastAsia" w:hAnsiTheme="minorEastAsia"/>
          <w:kern w:val="0"/>
          <w:sz w:val="24"/>
          <w:szCs w:val="24"/>
        </w:rPr>
      </w:pPr>
      <w:r>
        <w:rPr>
          <w:rFonts w:hint="eastAsia" w:eastAsia="宋体" w:cs="Times New Roman" w:asciiTheme="minorEastAsia" w:hAnsiTheme="minorEastAsia"/>
          <w:kern w:val="0"/>
          <w:sz w:val="24"/>
          <w:szCs w:val="24"/>
        </w:rPr>
        <w:t>其他具体管理办法参照《大英县城市开发边界线和中心场镇规划区内自建房建设管理办法》执行。</w:t>
      </w:r>
    </w:p>
    <w:p>
      <w:pPr>
        <w:pStyle w:val="31"/>
        <w:numPr>
          <w:ilvl w:val="0"/>
          <w:numId w:val="1"/>
        </w:numPr>
        <w:spacing w:beforeLines="50" w:afterLines="50"/>
        <w:ind w:left="420"/>
        <w:rPr>
          <w:rFonts w:hAnsi="黑体"/>
        </w:rPr>
      </w:pPr>
      <w:bookmarkStart w:id="31" w:name="_Toc166772180"/>
      <w:r>
        <w:rPr>
          <w:rFonts w:hint="eastAsia" w:hAnsi="黑体"/>
        </w:rPr>
        <w:t>实施保障</w:t>
      </w:r>
      <w:bookmarkEnd w:id="31"/>
    </w:p>
    <w:p>
      <w:pPr>
        <w:pStyle w:val="36"/>
        <w:numPr>
          <w:ilvl w:val="0"/>
          <w:numId w:val="7"/>
        </w:numPr>
        <w:spacing w:beforeLines="50" w:afterLines="50"/>
        <w:ind w:left="420" w:firstLineChars="0"/>
        <w:jc w:val="center"/>
        <w:rPr>
          <w:rFonts w:ascii="黑体" w:hAnsi="黑体" w:eastAsia="黑体"/>
          <w:b w:val="0"/>
          <w:kern w:val="2"/>
        </w:rPr>
      </w:pPr>
      <w:bookmarkStart w:id="32" w:name="_Toc166772181"/>
      <w:r>
        <w:rPr>
          <w:rFonts w:hint="eastAsia" w:ascii="黑体" w:hAnsi="黑体" w:eastAsia="黑体"/>
          <w:b w:val="0"/>
          <w:kern w:val="2"/>
        </w:rPr>
        <w:t>组织保障</w:t>
      </w:r>
      <w:bookmarkEnd w:id="32"/>
    </w:p>
    <w:p>
      <w:pPr>
        <w:adjustRightInd w:val="0"/>
        <w:snapToGrid w:val="0"/>
        <w:spacing w:line="360" w:lineRule="auto"/>
        <w:ind w:firstLine="480" w:firstLineChars="200"/>
        <w:rPr>
          <w:rFonts w:ascii="宋体" w:hAnsi="宋体" w:eastAsia="宋体" w:cs="Times New Roman"/>
          <w:kern w:val="0"/>
          <w:sz w:val="24"/>
          <w:szCs w:val="24"/>
        </w:rPr>
      </w:pPr>
      <w:r>
        <w:rPr>
          <w:rFonts w:hint="eastAsia" w:ascii="宋体" w:hAnsi="宋体" w:eastAsia="宋体" w:cs="Times New Roman"/>
          <w:kern w:val="0"/>
          <w:sz w:val="24"/>
          <w:szCs w:val="24"/>
        </w:rPr>
        <w:t>由大英县人民政府与河边镇、象山镇、玉峰镇人民政府共同规划实施，按片区建立政府负责、部门协调、公众参与、上下联动的工作机制，制定推进规划的实施措施，按照项目计划制定年度工作安排，监督检查各年度工作的推进执行情况。完善规划决策</w:t>
      </w:r>
      <w:r>
        <w:rPr>
          <w:rFonts w:hint="eastAsia" w:ascii="宋体" w:hAnsi="宋体" w:eastAsia="宋体" w:cs="Times New Roman"/>
          <w:kern w:val="0"/>
          <w:sz w:val="24"/>
          <w:szCs w:val="24"/>
          <w:lang w:val="en-US" w:eastAsia="zh-CN"/>
        </w:rPr>
        <w:t>体制</w:t>
      </w:r>
      <w:r>
        <w:rPr>
          <w:rFonts w:hint="eastAsia" w:ascii="宋体" w:hAnsi="宋体" w:eastAsia="宋体" w:cs="Times New Roman"/>
          <w:kern w:val="0"/>
          <w:sz w:val="24"/>
          <w:szCs w:val="24"/>
        </w:rPr>
        <w:t>和制度，建立重大问题的政策研究机制和专家论证制度，以及重大建设项目公示与听证制度，提高决策的科学性。健全乡村建设规划许可管理制度，按照先规划、后许可、再建设的原则，优化审批流程，简化管理措施，强化规划权威，确保建设符合规划不走样。充实规划管理力量，推行乡村规划师制度。</w:t>
      </w:r>
    </w:p>
    <w:p>
      <w:pPr>
        <w:pStyle w:val="36"/>
        <w:numPr>
          <w:ilvl w:val="0"/>
          <w:numId w:val="7"/>
        </w:numPr>
        <w:spacing w:beforeLines="50" w:afterLines="50"/>
        <w:ind w:left="420" w:firstLineChars="0"/>
        <w:jc w:val="center"/>
        <w:rPr>
          <w:rFonts w:ascii="黑体" w:hAnsi="黑体" w:eastAsia="黑体"/>
          <w:b w:val="0"/>
          <w:kern w:val="2"/>
        </w:rPr>
      </w:pPr>
      <w:bookmarkStart w:id="33" w:name="_Toc166772182"/>
      <w:r>
        <w:rPr>
          <w:rFonts w:hint="eastAsia" w:ascii="黑体" w:hAnsi="黑体" w:eastAsia="黑体"/>
          <w:b w:val="0"/>
          <w:kern w:val="2"/>
        </w:rPr>
        <w:t>实施计划</w:t>
      </w:r>
      <w:bookmarkEnd w:id="33"/>
    </w:p>
    <w:p>
      <w:pPr>
        <w:adjustRightInd w:val="0"/>
        <w:snapToGrid w:val="0"/>
        <w:spacing w:line="360" w:lineRule="auto"/>
        <w:ind w:firstLine="482" w:firstLineChars="200"/>
        <w:rPr>
          <w:rFonts w:ascii="黑体" w:hAnsi="黑体" w:eastAsia="黑体" w:cs="Times New Roman"/>
          <w:b/>
          <w:kern w:val="0"/>
          <w:sz w:val="24"/>
          <w:szCs w:val="24"/>
        </w:rPr>
      </w:pPr>
      <w:r>
        <w:rPr>
          <w:rFonts w:hint="eastAsia" w:ascii="黑体" w:hAnsi="黑体" w:eastAsia="黑体" w:cs="Times New Roman"/>
          <w:b/>
          <w:kern w:val="0"/>
          <w:sz w:val="24"/>
          <w:szCs w:val="24"/>
        </w:rPr>
        <w:t>一、片区近期建设规划</w:t>
      </w:r>
    </w:p>
    <w:p>
      <w:pPr>
        <w:adjustRightInd w:val="0"/>
        <w:snapToGrid w:val="0"/>
        <w:spacing w:line="360" w:lineRule="auto"/>
        <w:ind w:firstLine="480" w:firstLineChars="200"/>
        <w:rPr>
          <w:rFonts w:ascii="宋体" w:hAnsi="宋体" w:eastAsia="宋体" w:cs="Times New Roman"/>
          <w:kern w:val="0"/>
          <w:sz w:val="24"/>
          <w:szCs w:val="24"/>
        </w:rPr>
      </w:pPr>
      <w:r>
        <w:rPr>
          <w:rFonts w:hint="eastAsia" w:ascii="宋体" w:hAnsi="宋体" w:eastAsia="宋体" w:cs="Times New Roman"/>
          <w:kern w:val="0"/>
          <w:sz w:val="24"/>
          <w:szCs w:val="24"/>
        </w:rPr>
        <w:t>规划近期主要围绕交通设施、产业发展、公服服务、市政设施、水利设施等主要任务，强化片区为农服务能力。重点建设粮油园区、智水农事服务中心、玉峰、河边的粮油烘干、冷藏保鲜、储存中心，河边镇物流集散中心以及玉峰镇斗笠片区乡村振兴项目和象山镇凤阳村农耕产业园等</w:t>
      </w:r>
      <w:r>
        <w:rPr>
          <w:rFonts w:hint="eastAsia" w:ascii="宋体" w:hAnsi="宋体" w:eastAsia="宋体" w:cs="Times New Roman"/>
          <w:kern w:val="0"/>
          <w:sz w:val="24"/>
          <w:szCs w:val="24"/>
          <w:lang w:eastAsia="zh-CN"/>
        </w:rPr>
        <w:t>一二三产业融合</w:t>
      </w:r>
      <w:r>
        <w:rPr>
          <w:rFonts w:hint="eastAsia" w:ascii="宋体" w:hAnsi="宋体" w:eastAsia="宋体" w:cs="Times New Roman"/>
          <w:kern w:val="0"/>
          <w:sz w:val="24"/>
          <w:szCs w:val="24"/>
        </w:rPr>
        <w:t>发展项目。统筹推进全域土地综合整治，协调开展农村居民点建设，实施区域交通基础设施建设。其中，交通设施类18项、产业服务类28项、公共服务类11项、市政设施类9项、水利设施类12项。</w:t>
      </w:r>
    </w:p>
    <w:p>
      <w:pPr>
        <w:adjustRightInd w:val="0"/>
        <w:snapToGrid w:val="0"/>
        <w:spacing w:line="360" w:lineRule="auto"/>
        <w:ind w:firstLine="482" w:firstLineChars="200"/>
        <w:rPr>
          <w:rFonts w:ascii="黑体" w:hAnsi="黑体" w:eastAsia="黑体" w:cs="Times New Roman"/>
          <w:b/>
          <w:kern w:val="0"/>
          <w:sz w:val="24"/>
          <w:szCs w:val="24"/>
        </w:rPr>
      </w:pPr>
      <w:r>
        <w:rPr>
          <w:rFonts w:hint="eastAsia" w:ascii="黑体" w:hAnsi="黑体" w:eastAsia="黑体" w:cs="Times New Roman"/>
          <w:b/>
          <w:kern w:val="0"/>
          <w:sz w:val="24"/>
          <w:szCs w:val="24"/>
        </w:rPr>
        <w:t>二、镇区近期建设规划</w:t>
      </w:r>
    </w:p>
    <w:p>
      <w:pPr>
        <w:adjustRightInd w:val="0"/>
        <w:snapToGrid w:val="0"/>
        <w:spacing w:line="360" w:lineRule="auto"/>
        <w:ind w:firstLine="480" w:firstLineChars="200"/>
        <w:rPr>
          <w:rFonts w:ascii="宋体" w:hAnsi="宋体" w:eastAsia="宋体" w:cs="Times New Roman"/>
          <w:kern w:val="0"/>
          <w:sz w:val="24"/>
          <w:szCs w:val="24"/>
        </w:rPr>
      </w:pPr>
      <w:r>
        <w:rPr>
          <w:rFonts w:hint="eastAsia" w:ascii="宋体" w:hAnsi="宋体" w:eastAsia="宋体" w:cs="Times New Roman"/>
          <w:kern w:val="0"/>
          <w:sz w:val="24"/>
          <w:szCs w:val="24"/>
        </w:rPr>
        <w:t>根据各镇发展实际，规划城镇近期建设项目主要针对政府主导性建设项目而制订，分为公共服务、商贸服务、环境改善、基础设施、产业发展等五大方面，并按类别、项目名称、数量、规模、建设方式等，建立项目库。</w:t>
      </w:r>
    </w:p>
    <w:p>
      <w:pPr>
        <w:adjustRightInd w:val="0"/>
        <w:snapToGrid w:val="0"/>
        <w:spacing w:line="360" w:lineRule="auto"/>
        <w:ind w:firstLine="480" w:firstLineChars="200"/>
        <w:rPr>
          <w:rFonts w:ascii="宋体" w:hAnsi="宋体" w:eastAsia="宋体" w:cs="Times New Roman"/>
          <w:kern w:val="0"/>
          <w:sz w:val="24"/>
          <w:szCs w:val="24"/>
        </w:rPr>
      </w:pPr>
      <w:r>
        <w:rPr>
          <w:rFonts w:hint="eastAsia" w:ascii="宋体" w:hAnsi="宋体" w:eastAsia="宋体" w:cs="Times New Roman"/>
          <w:kern w:val="0"/>
          <w:sz w:val="24"/>
          <w:szCs w:val="24"/>
        </w:rPr>
        <w:t>详见附表15片区</w:t>
      </w:r>
      <w:r>
        <w:rPr>
          <w:rFonts w:ascii="宋体" w:hAnsi="宋体" w:eastAsia="宋体" w:cs="Times New Roman"/>
          <w:kern w:val="0"/>
          <w:sz w:val="24"/>
          <w:szCs w:val="24"/>
        </w:rPr>
        <w:t>近期建设项目一览表</w:t>
      </w:r>
      <w:r>
        <w:rPr>
          <w:rFonts w:hint="eastAsia" w:ascii="宋体" w:hAnsi="宋体" w:eastAsia="宋体" w:cs="Times New Roman"/>
          <w:kern w:val="0"/>
          <w:sz w:val="24"/>
          <w:szCs w:val="24"/>
        </w:rPr>
        <w:t>。</w:t>
      </w:r>
    </w:p>
    <w:p>
      <w:pPr>
        <w:adjustRightInd w:val="0"/>
        <w:snapToGrid w:val="0"/>
        <w:spacing w:line="360" w:lineRule="auto"/>
        <w:ind w:firstLine="480" w:firstLineChars="200"/>
        <w:rPr>
          <w:rFonts w:ascii="宋体" w:hAnsi="宋体" w:eastAsia="宋体" w:cs="Times New Roman"/>
          <w:kern w:val="0"/>
          <w:sz w:val="24"/>
          <w:szCs w:val="24"/>
        </w:rPr>
      </w:pPr>
    </w:p>
    <w:p>
      <w:pPr>
        <w:pStyle w:val="36"/>
        <w:numPr>
          <w:ilvl w:val="0"/>
          <w:numId w:val="7"/>
        </w:numPr>
        <w:spacing w:beforeLines="50" w:afterLines="50"/>
        <w:ind w:left="420" w:firstLineChars="0"/>
        <w:jc w:val="center"/>
        <w:rPr>
          <w:rFonts w:ascii="黑体" w:hAnsi="黑体" w:eastAsia="黑体"/>
          <w:b w:val="0"/>
          <w:kern w:val="2"/>
        </w:rPr>
      </w:pPr>
      <w:bookmarkStart w:id="34" w:name="_Toc166772183"/>
      <w:r>
        <w:rPr>
          <w:rFonts w:hint="eastAsia" w:ascii="黑体" w:hAnsi="黑体" w:eastAsia="黑体"/>
          <w:b w:val="0"/>
          <w:kern w:val="2"/>
        </w:rPr>
        <w:t>政策配套</w:t>
      </w:r>
      <w:bookmarkEnd w:id="34"/>
    </w:p>
    <w:p>
      <w:pPr>
        <w:adjustRightInd w:val="0"/>
        <w:snapToGrid w:val="0"/>
        <w:spacing w:line="360" w:lineRule="auto"/>
        <w:ind w:firstLine="482" w:firstLineChars="200"/>
        <w:rPr>
          <w:rFonts w:ascii="黑体" w:hAnsi="黑体" w:eastAsia="黑体" w:cs="Times New Roman"/>
          <w:b/>
          <w:kern w:val="0"/>
          <w:sz w:val="24"/>
          <w:szCs w:val="24"/>
        </w:rPr>
      </w:pPr>
      <w:r>
        <w:rPr>
          <w:rFonts w:hint="eastAsia" w:ascii="黑体" w:hAnsi="黑体" w:eastAsia="黑体" w:cs="Times New Roman"/>
          <w:b/>
          <w:kern w:val="0"/>
          <w:sz w:val="24"/>
          <w:szCs w:val="24"/>
        </w:rPr>
        <w:t>一、建立乡村振兴“上下”两机制</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自上而下，县级层面成立一体化管理领导小组。由县级政府下设片区办公室，与片区所在乡镇共同成立片区领导小组，由县政府主要领导任组长，建立以党政领导负责制为核心的责任体系。统筹协调、联合推进片区规划建设、项目实施，形成发展合力。</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以村级片区为单位优化基层治理，建立“镇级片区-乡镇-村级片区-</w:t>
      </w:r>
      <w:r>
        <w:rPr>
          <w:rFonts w:hint="eastAsia" w:ascii="宋体" w:hAnsi="宋体" w:eastAsia="宋体" w:cs="Times New Roman"/>
          <w:kern w:val="0"/>
          <w:sz w:val="24"/>
          <w:szCs w:val="24"/>
        </w:rPr>
        <w:t>村</w:t>
      </w:r>
      <w:r>
        <w:rPr>
          <w:rFonts w:ascii="宋体" w:hAnsi="宋体" w:eastAsia="宋体" w:cs="Times New Roman"/>
          <w:kern w:val="0"/>
          <w:sz w:val="24"/>
          <w:szCs w:val="24"/>
        </w:rPr>
        <w:t>-村组”五级新型集体经济组织，以政策激励集体经济壮大，以村支书、“五老七贤”等威望长者为沟通媒介，发挥村集体和村民在乡村规划和建设中的主体作用，推广乡贤、能人引领、跨村帮帮队等模式，协调村民委员会、集体经济组织、社会组织等共同参与小区治理，不断提升乡村基层治理水平。</w:t>
      </w:r>
    </w:p>
    <w:p>
      <w:pPr>
        <w:adjustRightInd w:val="0"/>
        <w:snapToGrid w:val="0"/>
        <w:spacing w:line="360" w:lineRule="auto"/>
        <w:ind w:firstLine="482" w:firstLineChars="200"/>
        <w:rPr>
          <w:rFonts w:ascii="黑体" w:hAnsi="黑体" w:eastAsia="黑体" w:cs="Times New Roman"/>
          <w:b/>
          <w:kern w:val="0"/>
          <w:sz w:val="24"/>
          <w:szCs w:val="24"/>
        </w:rPr>
      </w:pPr>
      <w:r>
        <w:rPr>
          <w:rFonts w:hint="eastAsia" w:ascii="黑体" w:hAnsi="黑体" w:eastAsia="黑体" w:cs="Times New Roman"/>
          <w:b/>
          <w:kern w:val="0"/>
          <w:sz w:val="24"/>
          <w:szCs w:val="24"/>
        </w:rPr>
        <w:t>二、引导人才下乡，推动乡村人才振兴</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建立健全人才流向乡村的机制，清除资本及劳动力进入农村的限制。建立乡村规划师、乡村</w:t>
      </w:r>
      <w:r>
        <w:rPr>
          <w:rFonts w:hint="eastAsia" w:ascii="宋体" w:hAnsi="宋体" w:eastAsia="宋体" w:cs="Times New Roman"/>
          <w:kern w:val="0"/>
          <w:sz w:val="24"/>
          <w:szCs w:val="24"/>
        </w:rPr>
        <w:t>建筑</w:t>
      </w:r>
      <w:r>
        <w:rPr>
          <w:rFonts w:ascii="宋体" w:hAnsi="宋体" w:eastAsia="宋体" w:cs="Times New Roman"/>
          <w:kern w:val="0"/>
          <w:sz w:val="24"/>
          <w:szCs w:val="24"/>
        </w:rPr>
        <w:t>师等专业人才统筹制度，设立奖励基金、创业基金，服务“绿色通道”，培育新型职业农民、挖掘培养乡村本土人才、引导返乡下乡创新创业人才。给予土地新的使用权者以成员身份，保证土地经营者及时获得成员权资格，保障经营者的收益权。</w:t>
      </w:r>
    </w:p>
    <w:p>
      <w:pPr>
        <w:adjustRightInd w:val="0"/>
        <w:snapToGrid w:val="0"/>
        <w:spacing w:line="360" w:lineRule="auto"/>
        <w:ind w:firstLine="482" w:firstLineChars="200"/>
        <w:rPr>
          <w:rFonts w:ascii="黑体" w:hAnsi="黑体" w:eastAsia="黑体" w:cs="Times New Roman"/>
          <w:b/>
          <w:kern w:val="0"/>
          <w:sz w:val="24"/>
          <w:szCs w:val="24"/>
        </w:rPr>
      </w:pPr>
      <w:r>
        <w:rPr>
          <w:rFonts w:hint="eastAsia" w:ascii="黑体" w:hAnsi="黑体" w:eastAsia="黑体" w:cs="Times New Roman"/>
          <w:b/>
          <w:kern w:val="0"/>
          <w:sz w:val="24"/>
          <w:szCs w:val="24"/>
        </w:rPr>
        <w:t>三、加强农业支撑，推动乡村产业振兴</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推动耕地地力保护和粮食适度规模经营。将原农资综合补贴、种粮农民直接补贴和清算后的农作物良种补贴，用于耕地地力保护。建立农业绿色循环低碳生产制度，推广种养结合的循环经济运行模式。建立健全乡村发展投融资机制。明确各级政府财政投入和增长的比例，建立财政支农资金稳步增长的机制。预留乡村新产业新业态建设指标。</w:t>
      </w:r>
      <w:r>
        <w:rPr>
          <w:rFonts w:hint="eastAsia" w:ascii="宋体" w:hAnsi="宋体" w:eastAsia="宋体" w:cs="Times New Roman"/>
          <w:kern w:val="0"/>
          <w:sz w:val="24"/>
          <w:szCs w:val="24"/>
        </w:rPr>
        <w:t>安排不少于</w:t>
      </w:r>
      <w:r>
        <w:rPr>
          <w:rFonts w:ascii="宋体" w:hAnsi="宋体" w:eastAsia="宋体" w:cs="Times New Roman"/>
          <w:kern w:val="0"/>
          <w:sz w:val="24"/>
          <w:szCs w:val="24"/>
        </w:rPr>
        <w:t>10%的建设用地规划指标用以保障乡村产业发展。</w:t>
      </w:r>
    </w:p>
    <w:p>
      <w:pPr>
        <w:adjustRightInd w:val="0"/>
        <w:snapToGrid w:val="0"/>
        <w:spacing w:line="360" w:lineRule="auto"/>
        <w:ind w:firstLine="482" w:firstLineChars="200"/>
        <w:rPr>
          <w:rFonts w:ascii="黑体" w:hAnsi="黑体" w:eastAsia="黑体" w:cs="Times New Roman"/>
          <w:b/>
          <w:kern w:val="0"/>
          <w:sz w:val="24"/>
          <w:szCs w:val="24"/>
        </w:rPr>
      </w:pPr>
      <w:r>
        <w:rPr>
          <w:rFonts w:hint="eastAsia" w:ascii="黑体" w:hAnsi="黑体" w:eastAsia="黑体" w:cs="Times New Roman"/>
          <w:b/>
          <w:kern w:val="0"/>
          <w:sz w:val="24"/>
          <w:szCs w:val="24"/>
        </w:rPr>
        <w:t>四、深化产权改革，畅通资源要素流动</w:t>
      </w:r>
    </w:p>
    <w:p>
      <w:pPr>
        <w:adjustRightInd w:val="0"/>
        <w:snapToGrid w:val="0"/>
        <w:spacing w:line="360" w:lineRule="auto"/>
        <w:ind w:firstLine="480" w:firstLineChars="200"/>
        <w:rPr>
          <w:rFonts w:ascii="宋体" w:hAnsi="宋体" w:eastAsia="宋体" w:cs="Times New Roman"/>
          <w:kern w:val="0"/>
          <w:sz w:val="24"/>
          <w:szCs w:val="24"/>
        </w:rPr>
      </w:pPr>
      <w:r>
        <w:rPr>
          <w:rFonts w:ascii="宋体" w:hAnsi="宋体" w:eastAsia="宋体" w:cs="Times New Roman"/>
          <w:kern w:val="0"/>
          <w:sz w:val="24"/>
          <w:szCs w:val="24"/>
        </w:rPr>
        <w:t>健全农村土地产权流转市场体系，探索集体经营性建设用地和农村宅基地资产化的多种实现形式。探索土地股份化试点，支撑农业规模化发展。引导形成规范的宅基地自愿有偿退出机制，保证退地农民的利益，支持节余建设用地</w:t>
      </w:r>
      <w:r>
        <w:rPr>
          <w:rFonts w:hint="eastAsia" w:ascii="宋体" w:hAnsi="宋体" w:eastAsia="宋体" w:cs="Times New Roman"/>
          <w:kern w:val="0"/>
          <w:sz w:val="24"/>
          <w:szCs w:val="24"/>
          <w:lang w:val="en-US" w:eastAsia="zh-CN"/>
        </w:rPr>
        <w:t>指定</w:t>
      </w:r>
      <w:r>
        <w:rPr>
          <w:rFonts w:ascii="宋体" w:hAnsi="宋体" w:eastAsia="宋体" w:cs="Times New Roman"/>
          <w:kern w:val="0"/>
          <w:sz w:val="24"/>
          <w:szCs w:val="24"/>
        </w:rPr>
        <w:t>区域流转。</w:t>
      </w:r>
    </w:p>
    <w:p>
      <w:pPr>
        <w:pStyle w:val="36"/>
        <w:numPr>
          <w:ilvl w:val="0"/>
          <w:numId w:val="7"/>
        </w:numPr>
        <w:spacing w:beforeLines="50" w:afterLines="50"/>
        <w:ind w:left="420" w:firstLineChars="0"/>
        <w:jc w:val="center"/>
        <w:rPr>
          <w:rFonts w:ascii="黑体" w:hAnsi="黑体" w:eastAsia="黑体"/>
          <w:b w:val="0"/>
          <w:kern w:val="2"/>
        </w:rPr>
      </w:pPr>
      <w:bookmarkStart w:id="35" w:name="_Toc166772184"/>
      <w:r>
        <w:rPr>
          <w:rFonts w:hint="eastAsia" w:ascii="黑体" w:hAnsi="黑体" w:eastAsia="黑体"/>
          <w:b w:val="0"/>
          <w:kern w:val="2"/>
        </w:rPr>
        <w:t>监督评估</w:t>
      </w:r>
      <w:bookmarkEnd w:id="35"/>
    </w:p>
    <w:p>
      <w:pPr>
        <w:adjustRightInd w:val="0"/>
        <w:snapToGrid w:val="0"/>
        <w:spacing w:line="360" w:lineRule="auto"/>
        <w:ind w:firstLine="480" w:firstLineChars="200"/>
        <w:rPr>
          <w:rFonts w:ascii="宋体" w:hAnsi="宋体" w:eastAsia="宋体" w:cs="Times New Roman"/>
          <w:kern w:val="0"/>
          <w:sz w:val="24"/>
          <w:szCs w:val="24"/>
        </w:rPr>
      </w:pPr>
      <w:r>
        <w:rPr>
          <w:rFonts w:hint="eastAsia" w:ascii="宋体" w:hAnsi="宋体" w:eastAsia="宋体" w:cs="Times New Roman"/>
          <w:kern w:val="0"/>
          <w:sz w:val="24"/>
          <w:szCs w:val="24"/>
        </w:rPr>
        <w:t>完善公众参与制度，建立贯穿规划编制、实施、监督及乡村治理全过程的公众参与机制。</w:t>
      </w:r>
    </w:p>
    <w:p>
      <w:pPr>
        <w:adjustRightInd w:val="0"/>
        <w:snapToGrid w:val="0"/>
        <w:spacing w:line="360" w:lineRule="auto"/>
        <w:ind w:firstLine="480" w:firstLineChars="200"/>
        <w:rPr>
          <w:rFonts w:ascii="宋体" w:hAnsi="宋体" w:eastAsia="宋体" w:cs="Times New Roman"/>
          <w:kern w:val="0"/>
          <w:sz w:val="24"/>
          <w:szCs w:val="24"/>
        </w:rPr>
      </w:pPr>
      <w:r>
        <w:rPr>
          <w:rFonts w:hint="eastAsia" w:ascii="宋体" w:hAnsi="宋体" w:eastAsia="宋体" w:cs="Times New Roman"/>
          <w:kern w:val="0"/>
          <w:sz w:val="24"/>
          <w:szCs w:val="24"/>
        </w:rPr>
        <w:t>建立并用好国土空间规划“一张图”实施监督信息系统，数据库汇入上级国土空间基础信息平台和“一张图”实施监督信息系统。</w:t>
      </w:r>
    </w:p>
    <w:p>
      <w:pPr>
        <w:adjustRightInd w:val="0"/>
        <w:snapToGrid w:val="0"/>
        <w:spacing w:line="360" w:lineRule="auto"/>
        <w:ind w:firstLine="480" w:firstLineChars="200"/>
        <w:rPr>
          <w:rFonts w:ascii="宋体" w:hAnsi="宋体" w:eastAsia="宋体" w:cs="Times New Roman"/>
          <w:kern w:val="0"/>
          <w:sz w:val="24"/>
          <w:szCs w:val="24"/>
        </w:rPr>
      </w:pPr>
      <w:r>
        <w:rPr>
          <w:rFonts w:hint="eastAsia" w:ascii="宋体" w:hAnsi="宋体" w:eastAsia="宋体" w:cs="Times New Roman"/>
          <w:kern w:val="0"/>
          <w:sz w:val="24"/>
          <w:szCs w:val="24"/>
        </w:rPr>
        <w:t>完善规划实施动态监测、评估、预警、考核机制，将国土空间规划执行情况纳入自然资源执法督查内容，建立规划实施考核制度，实行规划实施考核结果与实施主体责任、绩效挂钩的考核机制。</w:t>
      </w:r>
    </w:p>
    <w:p>
      <w:pPr>
        <w:adjustRightInd w:val="0"/>
        <w:snapToGrid w:val="0"/>
        <w:spacing w:line="360" w:lineRule="auto"/>
        <w:ind w:firstLine="480" w:firstLineChars="200"/>
        <w:rPr>
          <w:rFonts w:ascii="宋体" w:hAnsi="宋体" w:eastAsia="宋体" w:cs="Times New Roman"/>
          <w:kern w:val="0"/>
          <w:sz w:val="24"/>
          <w:szCs w:val="24"/>
        </w:rPr>
      </w:pPr>
    </w:p>
    <w:p>
      <w:pPr>
        <w:adjustRightInd w:val="0"/>
        <w:snapToGrid w:val="0"/>
        <w:spacing w:line="360" w:lineRule="auto"/>
        <w:ind w:firstLine="480" w:firstLineChars="200"/>
        <w:rPr>
          <w:rFonts w:ascii="宋体" w:hAnsi="宋体" w:eastAsia="宋体" w:cs="Times New Roman"/>
          <w:kern w:val="0"/>
          <w:sz w:val="24"/>
          <w:szCs w:val="24"/>
        </w:rPr>
      </w:pPr>
    </w:p>
    <w:p>
      <w:pPr>
        <w:adjustRightInd w:val="0"/>
        <w:snapToGrid w:val="0"/>
        <w:spacing w:line="360" w:lineRule="auto"/>
        <w:ind w:firstLine="480" w:firstLineChars="200"/>
        <w:rPr>
          <w:rFonts w:ascii="宋体" w:hAnsi="宋体" w:eastAsia="宋体" w:cs="Times New Roman"/>
          <w:kern w:val="0"/>
          <w:sz w:val="24"/>
          <w:szCs w:val="24"/>
        </w:rPr>
      </w:pPr>
    </w:p>
    <w:p>
      <w:pPr>
        <w:adjustRightInd w:val="0"/>
        <w:snapToGrid w:val="0"/>
        <w:spacing w:line="360" w:lineRule="auto"/>
        <w:ind w:firstLine="480" w:firstLineChars="200"/>
        <w:rPr>
          <w:rFonts w:ascii="宋体" w:hAnsi="宋体" w:eastAsia="宋体" w:cs="Times New Roman"/>
          <w:kern w:val="0"/>
          <w:sz w:val="24"/>
          <w:szCs w:val="24"/>
        </w:rPr>
      </w:pPr>
    </w:p>
    <w:p>
      <w:pPr>
        <w:adjustRightInd w:val="0"/>
        <w:snapToGrid w:val="0"/>
        <w:spacing w:line="360" w:lineRule="auto"/>
        <w:ind w:firstLine="480" w:firstLineChars="200"/>
        <w:rPr>
          <w:rFonts w:eastAsia="宋体" w:cs="Times New Roman" w:asciiTheme="minorEastAsia" w:hAnsiTheme="minorEastAsia"/>
          <w:kern w:val="0"/>
          <w:sz w:val="24"/>
          <w:szCs w:val="24"/>
        </w:rPr>
        <w:sectPr>
          <w:headerReference r:id="rId9" w:type="default"/>
          <w:pgSz w:w="11906" w:h="16838"/>
          <w:pgMar w:top="1440" w:right="1800" w:bottom="1440" w:left="1800" w:header="851" w:footer="992" w:gutter="0"/>
          <w:pgNumType w:start="1" w:chapStyle="1"/>
          <w:cols w:space="425" w:num="1"/>
          <w:docGrid w:type="lines" w:linePitch="312" w:charSpace="0"/>
        </w:sectPr>
      </w:pPr>
    </w:p>
    <w:p>
      <w:pPr>
        <w:pStyle w:val="31"/>
        <w:spacing w:beforeLines="50" w:afterLines="50"/>
        <w:jc w:val="left"/>
        <w:rPr>
          <w:rFonts w:ascii="Times New Roman"/>
        </w:rPr>
      </w:pPr>
      <w:bookmarkStart w:id="36" w:name="_Toc166772185"/>
      <w:r>
        <w:rPr>
          <w:rFonts w:hint="eastAsia" w:eastAsia="宋体" w:asciiTheme="minorEastAsia" w:hAnsiTheme="minorEastAsia"/>
          <w:b w:val="0"/>
          <w:sz w:val="24"/>
          <w:szCs w:val="24"/>
        </w:rPr>
        <w:t>表</w:t>
      </w:r>
      <w:r>
        <w:rPr>
          <w:rFonts w:eastAsia="宋体" w:asciiTheme="minorEastAsia" w:hAnsiTheme="minorEastAsia"/>
          <w:b w:val="0"/>
          <w:sz w:val="24"/>
          <w:szCs w:val="24"/>
        </w:rPr>
        <w:t>1 片区国土空间保护利用现状表</w:t>
      </w:r>
      <w:bookmarkEnd w:id="36"/>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59"/>
        <w:gridCol w:w="4305"/>
        <w:gridCol w:w="2769"/>
        <w:gridCol w:w="19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57" w:type="pct"/>
            <w:vMerge w:val="restar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一级类</w:t>
            </w:r>
          </w:p>
        </w:tc>
        <w:tc>
          <w:tcPr>
            <w:tcW w:w="1600" w:type="pct"/>
            <w:vMerge w:val="restar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二级类</w:t>
            </w:r>
          </w:p>
        </w:tc>
        <w:tc>
          <w:tcPr>
            <w:tcW w:w="1743" w:type="pct"/>
            <w:gridSpan w:val="2"/>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规划基期年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57" w:type="pct"/>
            <w:vMerge w:val="continue"/>
            <w:vAlign w:val="center"/>
          </w:tcPr>
          <w:p>
            <w:pPr>
              <w:widowControl/>
              <w:jc w:val="center"/>
              <w:rPr>
                <w:rFonts w:cs="宋体" w:asciiTheme="minorEastAsia" w:hAnsiTheme="minorEastAsia"/>
                <w:kern w:val="0"/>
                <w:szCs w:val="21"/>
              </w:rPr>
            </w:pPr>
          </w:p>
        </w:tc>
        <w:tc>
          <w:tcPr>
            <w:tcW w:w="1600" w:type="pct"/>
            <w:vMerge w:val="continue"/>
            <w:vAlign w:val="center"/>
          </w:tcPr>
          <w:p>
            <w:pPr>
              <w:widowControl/>
              <w:jc w:val="center"/>
              <w:rPr>
                <w:rFonts w:cs="宋体" w:asciiTheme="minorEastAsia" w:hAnsiTheme="minorEastAsia"/>
                <w:kern w:val="0"/>
                <w:szCs w:val="21"/>
              </w:rPr>
            </w:pPr>
          </w:p>
        </w:tc>
        <w:tc>
          <w:tcPr>
            <w:tcW w:w="1029" w:type="pc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面积（公顷）</w:t>
            </w:r>
          </w:p>
        </w:tc>
        <w:tc>
          <w:tcPr>
            <w:tcW w:w="714" w:type="pct"/>
            <w:shd w:val="clear" w:color="auto" w:fill="auto"/>
            <w:vAlign w:val="center"/>
          </w:tcPr>
          <w:p>
            <w:pPr>
              <w:widowControl/>
              <w:jc w:val="center"/>
              <w:rPr>
                <w:rFonts w:cs="宋体" w:asciiTheme="minorEastAsia" w:hAnsiTheme="minorEastAsia"/>
                <w:kern w:val="0"/>
                <w:szCs w:val="21"/>
              </w:rPr>
            </w:pPr>
            <w:r>
              <w:rPr>
                <w:rFonts w:hint="eastAsia" w:eastAsia="宋体" w:cs="宋体" w:asciiTheme="minorEastAsia" w:hAnsiTheme="minorEastAsia"/>
                <w:kern w:val="0"/>
                <w:szCs w:val="21"/>
              </w:rPr>
              <w:t>比例（</w:t>
            </w:r>
            <w:r>
              <w:rPr>
                <w:rFonts w:eastAsia="宋体" w:cs="宋体" w:asciiTheme="minorEastAsia" w:hAnsiTheme="minorEastAsia"/>
                <w:kern w:val="0"/>
                <w:szCs w:val="21"/>
              </w:rPr>
              <w:t>%</w:t>
            </w:r>
            <w:r>
              <w:rPr>
                <w:rFonts w:hint="eastAsia" w:eastAsia="宋体" w:cs="宋体" w:asciiTheme="minorEastAsia" w:hAnsiTheme="minorEastAsia"/>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57" w:type="pct"/>
            <w:vMerge w:val="restart"/>
            <w:shd w:val="clear" w:color="auto" w:fill="auto"/>
            <w:vAlign w:val="center"/>
          </w:tcPr>
          <w:p>
            <w:pPr>
              <w:widowControl/>
              <w:jc w:val="center"/>
              <w:rPr>
                <w:rFonts w:cs="宋体" w:asciiTheme="minorEastAsia" w:hAnsiTheme="minorEastAsia"/>
                <w:kern w:val="0"/>
                <w:szCs w:val="21"/>
              </w:rPr>
            </w:pPr>
            <w:r>
              <w:rPr>
                <w:rFonts w:hint="eastAsia" w:eastAsia="宋体" w:cs="宋体" w:asciiTheme="minorEastAsia" w:hAnsiTheme="minorEastAsia"/>
                <w:kern w:val="0"/>
                <w:szCs w:val="21"/>
              </w:rPr>
              <w:t>耕地</w:t>
            </w:r>
          </w:p>
        </w:tc>
        <w:tc>
          <w:tcPr>
            <w:tcW w:w="1600" w:type="pct"/>
            <w:shd w:val="clear" w:color="auto" w:fill="auto"/>
            <w:noWrap/>
            <w:vAlign w:val="center"/>
          </w:tcPr>
          <w:p>
            <w:pPr>
              <w:widowControl/>
              <w:jc w:val="center"/>
              <w:rPr>
                <w:rFonts w:cs="宋体" w:asciiTheme="minorEastAsia" w:hAnsiTheme="minorEastAsia"/>
                <w:kern w:val="0"/>
                <w:szCs w:val="21"/>
              </w:rPr>
            </w:pPr>
            <w:r>
              <w:rPr>
                <w:rFonts w:hint="eastAsia" w:eastAsia="宋体" w:cs="宋体" w:asciiTheme="minorEastAsia" w:hAnsiTheme="minorEastAsia"/>
                <w:kern w:val="0"/>
                <w:szCs w:val="21"/>
              </w:rPr>
              <w:t>水田</w:t>
            </w:r>
          </w:p>
        </w:tc>
        <w:tc>
          <w:tcPr>
            <w:tcW w:w="1029" w:type="pc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3026.31</w:t>
            </w:r>
          </w:p>
        </w:tc>
        <w:tc>
          <w:tcPr>
            <w:tcW w:w="714" w:type="pc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13.22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57" w:type="pct"/>
            <w:vMerge w:val="continue"/>
            <w:vAlign w:val="center"/>
          </w:tcPr>
          <w:p>
            <w:pPr>
              <w:widowControl/>
              <w:jc w:val="center"/>
              <w:rPr>
                <w:rFonts w:cs="宋体" w:asciiTheme="minorEastAsia" w:hAnsiTheme="minorEastAsia"/>
                <w:kern w:val="0"/>
                <w:szCs w:val="21"/>
              </w:rPr>
            </w:pPr>
          </w:p>
        </w:tc>
        <w:tc>
          <w:tcPr>
            <w:tcW w:w="1600" w:type="pc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水浇地</w:t>
            </w:r>
          </w:p>
        </w:tc>
        <w:tc>
          <w:tcPr>
            <w:tcW w:w="1029" w:type="pc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13.67</w:t>
            </w:r>
          </w:p>
        </w:tc>
        <w:tc>
          <w:tcPr>
            <w:tcW w:w="714" w:type="pc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57" w:type="pct"/>
            <w:vMerge w:val="continue"/>
            <w:vAlign w:val="center"/>
          </w:tcPr>
          <w:p>
            <w:pPr>
              <w:widowControl/>
              <w:jc w:val="center"/>
              <w:rPr>
                <w:rFonts w:cs="宋体" w:asciiTheme="minorEastAsia" w:hAnsiTheme="minorEastAsia"/>
                <w:kern w:val="0"/>
                <w:szCs w:val="21"/>
              </w:rPr>
            </w:pPr>
          </w:p>
        </w:tc>
        <w:tc>
          <w:tcPr>
            <w:tcW w:w="1600" w:type="pct"/>
            <w:shd w:val="clear" w:color="auto" w:fill="auto"/>
            <w:noWrap/>
            <w:vAlign w:val="center"/>
          </w:tcPr>
          <w:p>
            <w:pPr>
              <w:widowControl/>
              <w:jc w:val="center"/>
              <w:rPr>
                <w:rFonts w:cs="宋体" w:asciiTheme="minorEastAsia" w:hAnsiTheme="minorEastAsia"/>
                <w:kern w:val="0"/>
                <w:szCs w:val="21"/>
              </w:rPr>
            </w:pPr>
            <w:r>
              <w:rPr>
                <w:rFonts w:hint="eastAsia" w:eastAsia="宋体" w:cs="宋体" w:asciiTheme="minorEastAsia" w:hAnsiTheme="minorEastAsia"/>
                <w:kern w:val="0"/>
                <w:szCs w:val="21"/>
              </w:rPr>
              <w:t>旱地</w:t>
            </w:r>
          </w:p>
        </w:tc>
        <w:tc>
          <w:tcPr>
            <w:tcW w:w="1029" w:type="pc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7939.86</w:t>
            </w:r>
          </w:p>
        </w:tc>
        <w:tc>
          <w:tcPr>
            <w:tcW w:w="714" w:type="pc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34.69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57" w:type="pct"/>
            <w:vMerge w:val="restart"/>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园地</w:t>
            </w:r>
          </w:p>
        </w:tc>
        <w:tc>
          <w:tcPr>
            <w:tcW w:w="1600" w:type="pc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果园</w:t>
            </w:r>
          </w:p>
        </w:tc>
        <w:tc>
          <w:tcPr>
            <w:tcW w:w="1029" w:type="pc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476.85</w:t>
            </w:r>
          </w:p>
        </w:tc>
        <w:tc>
          <w:tcPr>
            <w:tcW w:w="714" w:type="pc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57" w:type="pct"/>
            <w:vMerge w:val="continue"/>
            <w:vAlign w:val="center"/>
          </w:tcPr>
          <w:p>
            <w:pPr>
              <w:widowControl/>
              <w:jc w:val="center"/>
              <w:rPr>
                <w:rFonts w:cs="宋体" w:asciiTheme="minorEastAsia" w:hAnsiTheme="minorEastAsia"/>
                <w:kern w:val="0"/>
                <w:szCs w:val="21"/>
              </w:rPr>
            </w:pPr>
          </w:p>
        </w:tc>
        <w:tc>
          <w:tcPr>
            <w:tcW w:w="1600" w:type="pc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其他园地</w:t>
            </w:r>
          </w:p>
        </w:tc>
        <w:tc>
          <w:tcPr>
            <w:tcW w:w="1029" w:type="pc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242.25</w:t>
            </w:r>
          </w:p>
        </w:tc>
        <w:tc>
          <w:tcPr>
            <w:tcW w:w="714" w:type="pc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57" w:type="pct"/>
            <w:vMerge w:val="restart"/>
            <w:shd w:val="clear" w:color="auto" w:fill="auto"/>
            <w:vAlign w:val="center"/>
          </w:tcPr>
          <w:p>
            <w:pPr>
              <w:widowControl/>
              <w:jc w:val="center"/>
              <w:rPr>
                <w:rFonts w:cs="宋体" w:asciiTheme="minorEastAsia" w:hAnsiTheme="minorEastAsia"/>
                <w:kern w:val="0"/>
                <w:szCs w:val="21"/>
              </w:rPr>
            </w:pPr>
            <w:r>
              <w:rPr>
                <w:rFonts w:hint="eastAsia" w:eastAsia="宋体" w:cs="宋体" w:asciiTheme="minorEastAsia" w:hAnsiTheme="minorEastAsia"/>
                <w:kern w:val="0"/>
                <w:szCs w:val="21"/>
              </w:rPr>
              <w:t>林地</w:t>
            </w:r>
          </w:p>
        </w:tc>
        <w:tc>
          <w:tcPr>
            <w:tcW w:w="1600" w:type="pc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乔木林地</w:t>
            </w:r>
          </w:p>
        </w:tc>
        <w:tc>
          <w:tcPr>
            <w:tcW w:w="1029" w:type="pc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4778.58</w:t>
            </w:r>
          </w:p>
        </w:tc>
        <w:tc>
          <w:tcPr>
            <w:tcW w:w="714" w:type="pc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20.88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57" w:type="pct"/>
            <w:vMerge w:val="continue"/>
            <w:vAlign w:val="center"/>
          </w:tcPr>
          <w:p>
            <w:pPr>
              <w:widowControl/>
              <w:jc w:val="center"/>
              <w:rPr>
                <w:rFonts w:cs="宋体" w:asciiTheme="minorEastAsia" w:hAnsiTheme="minorEastAsia"/>
                <w:kern w:val="0"/>
                <w:szCs w:val="21"/>
              </w:rPr>
            </w:pPr>
          </w:p>
        </w:tc>
        <w:tc>
          <w:tcPr>
            <w:tcW w:w="1600" w:type="pct"/>
            <w:shd w:val="clear" w:color="auto" w:fill="auto"/>
            <w:noWrap/>
            <w:vAlign w:val="center"/>
          </w:tcPr>
          <w:p>
            <w:pPr>
              <w:widowControl/>
              <w:jc w:val="center"/>
              <w:rPr>
                <w:rFonts w:cs="宋体" w:asciiTheme="minorEastAsia" w:hAnsiTheme="minorEastAsia"/>
                <w:kern w:val="0"/>
                <w:szCs w:val="21"/>
              </w:rPr>
            </w:pPr>
            <w:r>
              <w:rPr>
                <w:rFonts w:hint="eastAsia" w:eastAsia="宋体" w:cs="宋体" w:asciiTheme="minorEastAsia" w:hAnsiTheme="minorEastAsia"/>
                <w:kern w:val="0"/>
                <w:szCs w:val="21"/>
              </w:rPr>
              <w:t>竹林地</w:t>
            </w:r>
          </w:p>
        </w:tc>
        <w:tc>
          <w:tcPr>
            <w:tcW w:w="1029" w:type="pc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396.71</w:t>
            </w:r>
          </w:p>
        </w:tc>
        <w:tc>
          <w:tcPr>
            <w:tcW w:w="714" w:type="pc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1.73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57" w:type="pct"/>
            <w:vMerge w:val="continue"/>
            <w:vAlign w:val="center"/>
          </w:tcPr>
          <w:p>
            <w:pPr>
              <w:widowControl/>
              <w:jc w:val="center"/>
              <w:rPr>
                <w:rFonts w:cs="宋体" w:asciiTheme="minorEastAsia" w:hAnsiTheme="minorEastAsia"/>
                <w:kern w:val="0"/>
                <w:szCs w:val="21"/>
              </w:rPr>
            </w:pPr>
          </w:p>
        </w:tc>
        <w:tc>
          <w:tcPr>
            <w:tcW w:w="1600" w:type="pct"/>
            <w:shd w:val="clear" w:color="auto" w:fill="auto"/>
            <w:noWrap/>
            <w:vAlign w:val="center"/>
          </w:tcPr>
          <w:p>
            <w:pPr>
              <w:widowControl/>
              <w:jc w:val="center"/>
              <w:rPr>
                <w:rFonts w:cs="宋体" w:asciiTheme="minorEastAsia" w:hAnsiTheme="minorEastAsia"/>
                <w:kern w:val="0"/>
                <w:szCs w:val="21"/>
              </w:rPr>
            </w:pPr>
            <w:r>
              <w:rPr>
                <w:rFonts w:hint="eastAsia" w:eastAsia="宋体" w:cs="宋体" w:asciiTheme="minorEastAsia" w:hAnsiTheme="minorEastAsia"/>
                <w:kern w:val="0"/>
                <w:szCs w:val="21"/>
              </w:rPr>
              <w:t>灌木林地</w:t>
            </w:r>
          </w:p>
        </w:tc>
        <w:tc>
          <w:tcPr>
            <w:tcW w:w="1029" w:type="pc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679.15</w:t>
            </w:r>
          </w:p>
        </w:tc>
        <w:tc>
          <w:tcPr>
            <w:tcW w:w="714" w:type="pc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2.97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57" w:type="pct"/>
            <w:vMerge w:val="continue"/>
            <w:vAlign w:val="center"/>
          </w:tcPr>
          <w:p>
            <w:pPr>
              <w:widowControl/>
              <w:jc w:val="center"/>
              <w:rPr>
                <w:rFonts w:cs="宋体" w:asciiTheme="minorEastAsia" w:hAnsiTheme="minorEastAsia"/>
                <w:kern w:val="0"/>
                <w:szCs w:val="21"/>
              </w:rPr>
            </w:pPr>
          </w:p>
        </w:tc>
        <w:tc>
          <w:tcPr>
            <w:tcW w:w="1600" w:type="pct"/>
            <w:shd w:val="clear" w:color="auto" w:fill="auto"/>
            <w:noWrap/>
            <w:vAlign w:val="center"/>
          </w:tcPr>
          <w:p>
            <w:pPr>
              <w:widowControl/>
              <w:jc w:val="center"/>
              <w:rPr>
                <w:rFonts w:cs="宋体" w:asciiTheme="minorEastAsia" w:hAnsiTheme="minorEastAsia"/>
                <w:kern w:val="0"/>
                <w:szCs w:val="21"/>
              </w:rPr>
            </w:pPr>
            <w:r>
              <w:rPr>
                <w:rFonts w:hint="eastAsia" w:eastAsia="宋体" w:cs="宋体" w:asciiTheme="minorEastAsia" w:hAnsiTheme="minorEastAsia"/>
                <w:kern w:val="0"/>
                <w:szCs w:val="21"/>
              </w:rPr>
              <w:t>其他林地</w:t>
            </w:r>
          </w:p>
        </w:tc>
        <w:tc>
          <w:tcPr>
            <w:tcW w:w="1029" w:type="pc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163.83</w:t>
            </w:r>
          </w:p>
        </w:tc>
        <w:tc>
          <w:tcPr>
            <w:tcW w:w="714" w:type="pc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0.72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57" w:type="pct"/>
            <w:shd w:val="clear" w:color="auto" w:fill="auto"/>
            <w:vAlign w:val="center"/>
          </w:tcPr>
          <w:p>
            <w:pPr>
              <w:widowControl/>
              <w:jc w:val="center"/>
              <w:rPr>
                <w:rFonts w:cs="宋体" w:asciiTheme="minorEastAsia" w:hAnsiTheme="minorEastAsia"/>
                <w:kern w:val="0"/>
                <w:szCs w:val="21"/>
              </w:rPr>
            </w:pPr>
            <w:r>
              <w:rPr>
                <w:rFonts w:hint="eastAsia" w:eastAsia="宋体" w:cs="宋体" w:asciiTheme="minorEastAsia" w:hAnsiTheme="minorEastAsia"/>
                <w:kern w:val="0"/>
                <w:szCs w:val="21"/>
              </w:rPr>
              <w:t>草地</w:t>
            </w:r>
          </w:p>
        </w:tc>
        <w:tc>
          <w:tcPr>
            <w:tcW w:w="1600" w:type="pct"/>
            <w:shd w:val="clear" w:color="auto" w:fill="auto"/>
            <w:noWrap/>
            <w:vAlign w:val="center"/>
          </w:tcPr>
          <w:p>
            <w:pPr>
              <w:widowControl/>
              <w:jc w:val="center"/>
              <w:rPr>
                <w:rFonts w:cs="宋体" w:asciiTheme="minorEastAsia" w:hAnsiTheme="minorEastAsia"/>
                <w:kern w:val="0"/>
                <w:szCs w:val="21"/>
              </w:rPr>
            </w:pPr>
            <w:r>
              <w:rPr>
                <w:rFonts w:hint="eastAsia" w:eastAsia="宋体" w:cs="宋体" w:asciiTheme="minorEastAsia" w:hAnsiTheme="minorEastAsia"/>
                <w:kern w:val="0"/>
                <w:szCs w:val="21"/>
              </w:rPr>
              <w:t>其他草地</w:t>
            </w:r>
          </w:p>
        </w:tc>
        <w:tc>
          <w:tcPr>
            <w:tcW w:w="1029" w:type="pc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11.77</w:t>
            </w:r>
          </w:p>
        </w:tc>
        <w:tc>
          <w:tcPr>
            <w:tcW w:w="714" w:type="pc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57" w:type="pct"/>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湿地</w:t>
            </w:r>
          </w:p>
        </w:tc>
        <w:tc>
          <w:tcPr>
            <w:tcW w:w="1600" w:type="pc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内陆滩涂</w:t>
            </w:r>
          </w:p>
        </w:tc>
        <w:tc>
          <w:tcPr>
            <w:tcW w:w="1029" w:type="pc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6.66</w:t>
            </w:r>
          </w:p>
        </w:tc>
        <w:tc>
          <w:tcPr>
            <w:tcW w:w="714" w:type="pc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57" w:type="pct"/>
            <w:vMerge w:val="restart"/>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农业设施建设用地</w:t>
            </w:r>
          </w:p>
        </w:tc>
        <w:tc>
          <w:tcPr>
            <w:tcW w:w="1600" w:type="pc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乡村道路用地</w:t>
            </w:r>
          </w:p>
        </w:tc>
        <w:tc>
          <w:tcPr>
            <w:tcW w:w="1029" w:type="pc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324.30</w:t>
            </w:r>
          </w:p>
        </w:tc>
        <w:tc>
          <w:tcPr>
            <w:tcW w:w="714" w:type="pc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57" w:type="pct"/>
            <w:vMerge w:val="continue"/>
            <w:vAlign w:val="center"/>
          </w:tcPr>
          <w:p>
            <w:pPr>
              <w:widowControl/>
              <w:jc w:val="center"/>
              <w:rPr>
                <w:rFonts w:cs="宋体" w:asciiTheme="minorEastAsia" w:hAnsiTheme="minorEastAsia"/>
                <w:kern w:val="0"/>
                <w:szCs w:val="21"/>
              </w:rPr>
            </w:pPr>
          </w:p>
        </w:tc>
        <w:tc>
          <w:tcPr>
            <w:tcW w:w="1600" w:type="pc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畜禽养殖设施建设用地</w:t>
            </w:r>
          </w:p>
        </w:tc>
        <w:tc>
          <w:tcPr>
            <w:tcW w:w="1029" w:type="pc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35.23</w:t>
            </w:r>
          </w:p>
        </w:tc>
        <w:tc>
          <w:tcPr>
            <w:tcW w:w="714" w:type="pc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57" w:type="pct"/>
            <w:vMerge w:val="restart"/>
            <w:shd w:val="clear" w:color="auto" w:fill="auto"/>
            <w:vAlign w:val="center"/>
          </w:tcPr>
          <w:p>
            <w:pPr>
              <w:widowControl/>
              <w:jc w:val="center"/>
              <w:rPr>
                <w:rFonts w:cs="宋体" w:asciiTheme="minorEastAsia" w:hAnsiTheme="minorEastAsia"/>
                <w:kern w:val="0"/>
                <w:szCs w:val="21"/>
              </w:rPr>
            </w:pPr>
            <w:r>
              <w:rPr>
                <w:rFonts w:hint="eastAsia" w:eastAsia="宋体" w:cs="宋体" w:asciiTheme="minorEastAsia" w:hAnsiTheme="minorEastAsia"/>
                <w:kern w:val="0"/>
                <w:szCs w:val="21"/>
              </w:rPr>
              <w:t>居住用地</w:t>
            </w:r>
          </w:p>
        </w:tc>
        <w:tc>
          <w:tcPr>
            <w:tcW w:w="1600" w:type="pc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城镇住宅用地</w:t>
            </w:r>
          </w:p>
        </w:tc>
        <w:tc>
          <w:tcPr>
            <w:tcW w:w="1029" w:type="pc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66.96</w:t>
            </w:r>
          </w:p>
        </w:tc>
        <w:tc>
          <w:tcPr>
            <w:tcW w:w="714" w:type="pc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57" w:type="pct"/>
            <w:vMerge w:val="continue"/>
            <w:vAlign w:val="center"/>
          </w:tcPr>
          <w:p>
            <w:pPr>
              <w:widowControl/>
              <w:jc w:val="center"/>
              <w:rPr>
                <w:rFonts w:cs="宋体" w:asciiTheme="minorEastAsia" w:hAnsiTheme="minorEastAsia"/>
                <w:kern w:val="0"/>
                <w:szCs w:val="21"/>
              </w:rPr>
            </w:pPr>
          </w:p>
        </w:tc>
        <w:tc>
          <w:tcPr>
            <w:tcW w:w="1600" w:type="pc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农村宅基地</w:t>
            </w:r>
          </w:p>
        </w:tc>
        <w:tc>
          <w:tcPr>
            <w:tcW w:w="1029" w:type="pc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1885.64</w:t>
            </w:r>
          </w:p>
        </w:tc>
        <w:tc>
          <w:tcPr>
            <w:tcW w:w="714" w:type="pc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8.24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57" w:type="pct"/>
            <w:vMerge w:val="continue"/>
            <w:vAlign w:val="center"/>
          </w:tcPr>
          <w:p>
            <w:pPr>
              <w:widowControl/>
              <w:jc w:val="center"/>
              <w:rPr>
                <w:rFonts w:cs="宋体" w:asciiTheme="minorEastAsia" w:hAnsiTheme="minorEastAsia"/>
                <w:kern w:val="0"/>
                <w:szCs w:val="21"/>
              </w:rPr>
            </w:pPr>
          </w:p>
        </w:tc>
        <w:tc>
          <w:tcPr>
            <w:tcW w:w="1600" w:type="pc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农村</w:t>
            </w:r>
            <w:r>
              <w:rPr>
                <w:rFonts w:hint="eastAsia" w:eastAsia="宋体" w:cs="宋体" w:asciiTheme="minorEastAsia" w:hAnsiTheme="minorEastAsia"/>
                <w:kern w:val="0"/>
                <w:szCs w:val="21"/>
              </w:rPr>
              <w:t>社区</w:t>
            </w:r>
            <w:r>
              <w:rPr>
                <w:rFonts w:eastAsia="宋体" w:cs="宋体" w:asciiTheme="minorEastAsia" w:hAnsiTheme="minorEastAsia"/>
                <w:kern w:val="0"/>
                <w:szCs w:val="21"/>
              </w:rPr>
              <w:t>服务设施用地</w:t>
            </w:r>
          </w:p>
        </w:tc>
        <w:tc>
          <w:tcPr>
            <w:tcW w:w="1029" w:type="pc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5.70</w:t>
            </w:r>
          </w:p>
        </w:tc>
        <w:tc>
          <w:tcPr>
            <w:tcW w:w="714" w:type="pc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57" w:type="pct"/>
            <w:vMerge w:val="restart"/>
            <w:shd w:val="clear" w:color="auto" w:fill="auto"/>
            <w:vAlign w:val="center"/>
          </w:tcPr>
          <w:p>
            <w:pPr>
              <w:widowControl/>
              <w:jc w:val="center"/>
              <w:rPr>
                <w:rFonts w:cs="宋体" w:asciiTheme="minorEastAsia" w:hAnsiTheme="minorEastAsia"/>
                <w:kern w:val="0"/>
                <w:szCs w:val="21"/>
              </w:rPr>
            </w:pPr>
            <w:r>
              <w:rPr>
                <w:rFonts w:hint="eastAsia" w:eastAsia="宋体" w:cs="宋体" w:asciiTheme="minorEastAsia" w:hAnsiTheme="minorEastAsia"/>
                <w:kern w:val="0"/>
                <w:szCs w:val="21"/>
              </w:rPr>
              <w:t>公共管理</w:t>
            </w:r>
            <w:r>
              <w:rPr>
                <w:rFonts w:eastAsia="宋体" w:cs="宋体" w:asciiTheme="minorEastAsia" w:hAnsiTheme="minorEastAsia"/>
                <w:kern w:val="0"/>
                <w:szCs w:val="21"/>
              </w:rPr>
              <w:t>与公共服务用地</w:t>
            </w:r>
          </w:p>
        </w:tc>
        <w:tc>
          <w:tcPr>
            <w:tcW w:w="1600" w:type="pc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机关团体用地</w:t>
            </w:r>
          </w:p>
        </w:tc>
        <w:tc>
          <w:tcPr>
            <w:tcW w:w="1029" w:type="pc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11.59</w:t>
            </w:r>
          </w:p>
        </w:tc>
        <w:tc>
          <w:tcPr>
            <w:tcW w:w="714" w:type="pc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57" w:type="pct"/>
            <w:vMerge w:val="continue"/>
            <w:vAlign w:val="center"/>
          </w:tcPr>
          <w:p>
            <w:pPr>
              <w:widowControl/>
              <w:jc w:val="center"/>
              <w:rPr>
                <w:rFonts w:cs="宋体" w:asciiTheme="minorEastAsia" w:hAnsiTheme="minorEastAsia"/>
                <w:kern w:val="0"/>
                <w:szCs w:val="21"/>
              </w:rPr>
            </w:pPr>
          </w:p>
        </w:tc>
        <w:tc>
          <w:tcPr>
            <w:tcW w:w="1600" w:type="pct"/>
            <w:shd w:val="clear" w:color="auto" w:fill="auto"/>
            <w:noWrap/>
            <w:vAlign w:val="center"/>
          </w:tcPr>
          <w:p>
            <w:pPr>
              <w:widowControl/>
              <w:jc w:val="center"/>
              <w:rPr>
                <w:rFonts w:cs="宋体" w:asciiTheme="minorEastAsia" w:hAnsiTheme="minorEastAsia"/>
                <w:kern w:val="0"/>
                <w:szCs w:val="21"/>
              </w:rPr>
            </w:pPr>
            <w:r>
              <w:rPr>
                <w:rFonts w:hint="eastAsia" w:eastAsia="宋体" w:cs="宋体" w:asciiTheme="minorEastAsia" w:hAnsiTheme="minorEastAsia"/>
                <w:kern w:val="0"/>
                <w:szCs w:val="21"/>
              </w:rPr>
              <w:t>教育用地</w:t>
            </w:r>
          </w:p>
        </w:tc>
        <w:tc>
          <w:tcPr>
            <w:tcW w:w="1029" w:type="pc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20.94</w:t>
            </w:r>
          </w:p>
        </w:tc>
        <w:tc>
          <w:tcPr>
            <w:tcW w:w="714" w:type="pc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57" w:type="pct"/>
            <w:vMerge w:val="continue"/>
            <w:vAlign w:val="center"/>
          </w:tcPr>
          <w:p>
            <w:pPr>
              <w:widowControl/>
              <w:jc w:val="center"/>
              <w:rPr>
                <w:rFonts w:cs="宋体" w:asciiTheme="minorEastAsia" w:hAnsiTheme="minorEastAsia"/>
                <w:kern w:val="0"/>
                <w:szCs w:val="21"/>
              </w:rPr>
            </w:pPr>
          </w:p>
        </w:tc>
        <w:tc>
          <w:tcPr>
            <w:tcW w:w="1600" w:type="pct"/>
            <w:shd w:val="clear" w:color="auto" w:fill="auto"/>
            <w:noWrap/>
            <w:vAlign w:val="center"/>
          </w:tcPr>
          <w:p>
            <w:pPr>
              <w:widowControl/>
              <w:jc w:val="center"/>
              <w:rPr>
                <w:rFonts w:cs="宋体" w:asciiTheme="minorEastAsia" w:hAnsiTheme="minorEastAsia"/>
                <w:kern w:val="0"/>
                <w:szCs w:val="21"/>
              </w:rPr>
            </w:pPr>
            <w:r>
              <w:rPr>
                <w:rFonts w:hint="eastAsia" w:eastAsia="宋体" w:cs="宋体" w:asciiTheme="minorEastAsia" w:hAnsiTheme="minorEastAsia"/>
                <w:kern w:val="0"/>
                <w:szCs w:val="21"/>
              </w:rPr>
              <w:t>体育用地</w:t>
            </w:r>
          </w:p>
        </w:tc>
        <w:tc>
          <w:tcPr>
            <w:tcW w:w="1029" w:type="pc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2.36</w:t>
            </w:r>
          </w:p>
        </w:tc>
        <w:tc>
          <w:tcPr>
            <w:tcW w:w="714" w:type="pc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57" w:type="pct"/>
            <w:vMerge w:val="continue"/>
            <w:vAlign w:val="center"/>
          </w:tcPr>
          <w:p>
            <w:pPr>
              <w:widowControl/>
              <w:jc w:val="center"/>
              <w:rPr>
                <w:rFonts w:cs="宋体" w:asciiTheme="minorEastAsia" w:hAnsiTheme="minorEastAsia"/>
                <w:kern w:val="0"/>
                <w:szCs w:val="21"/>
              </w:rPr>
            </w:pPr>
          </w:p>
        </w:tc>
        <w:tc>
          <w:tcPr>
            <w:tcW w:w="1600" w:type="pc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社会福利用地</w:t>
            </w:r>
          </w:p>
        </w:tc>
        <w:tc>
          <w:tcPr>
            <w:tcW w:w="1029" w:type="pc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1.93</w:t>
            </w:r>
          </w:p>
        </w:tc>
        <w:tc>
          <w:tcPr>
            <w:tcW w:w="714" w:type="pc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57" w:type="pct"/>
            <w:vMerge w:val="restart"/>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商业服务业用地</w:t>
            </w:r>
          </w:p>
        </w:tc>
        <w:tc>
          <w:tcPr>
            <w:tcW w:w="1600" w:type="pc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商业用地</w:t>
            </w:r>
          </w:p>
        </w:tc>
        <w:tc>
          <w:tcPr>
            <w:tcW w:w="1029" w:type="pc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3.10</w:t>
            </w:r>
          </w:p>
        </w:tc>
        <w:tc>
          <w:tcPr>
            <w:tcW w:w="714" w:type="pc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57" w:type="pct"/>
            <w:vMerge w:val="continue"/>
            <w:vAlign w:val="center"/>
          </w:tcPr>
          <w:p>
            <w:pPr>
              <w:widowControl/>
              <w:jc w:val="center"/>
              <w:rPr>
                <w:rFonts w:cs="宋体" w:asciiTheme="minorEastAsia" w:hAnsiTheme="minorEastAsia"/>
                <w:kern w:val="0"/>
                <w:szCs w:val="21"/>
              </w:rPr>
            </w:pPr>
          </w:p>
        </w:tc>
        <w:tc>
          <w:tcPr>
            <w:tcW w:w="1600" w:type="pc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商务金融用地</w:t>
            </w:r>
          </w:p>
        </w:tc>
        <w:tc>
          <w:tcPr>
            <w:tcW w:w="1029" w:type="pc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0.19</w:t>
            </w:r>
          </w:p>
        </w:tc>
        <w:tc>
          <w:tcPr>
            <w:tcW w:w="714" w:type="pc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57" w:type="pct"/>
            <w:vMerge w:val="continue"/>
            <w:vAlign w:val="center"/>
          </w:tcPr>
          <w:p>
            <w:pPr>
              <w:widowControl/>
              <w:jc w:val="center"/>
              <w:rPr>
                <w:rFonts w:cs="宋体" w:asciiTheme="minorEastAsia" w:hAnsiTheme="minorEastAsia"/>
                <w:kern w:val="0"/>
                <w:szCs w:val="21"/>
              </w:rPr>
            </w:pPr>
          </w:p>
        </w:tc>
        <w:tc>
          <w:tcPr>
            <w:tcW w:w="1600" w:type="pc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其他商业服务业用地</w:t>
            </w:r>
          </w:p>
        </w:tc>
        <w:tc>
          <w:tcPr>
            <w:tcW w:w="1029" w:type="pc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0.27</w:t>
            </w:r>
          </w:p>
        </w:tc>
        <w:tc>
          <w:tcPr>
            <w:tcW w:w="714" w:type="pc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57" w:type="pct"/>
            <w:vMerge w:val="restart"/>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工矿用地</w:t>
            </w:r>
          </w:p>
        </w:tc>
        <w:tc>
          <w:tcPr>
            <w:tcW w:w="1600" w:type="pc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工业用地</w:t>
            </w:r>
          </w:p>
        </w:tc>
        <w:tc>
          <w:tcPr>
            <w:tcW w:w="1029" w:type="pc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6.78</w:t>
            </w:r>
          </w:p>
        </w:tc>
        <w:tc>
          <w:tcPr>
            <w:tcW w:w="714" w:type="pc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57" w:type="pct"/>
            <w:vMerge w:val="continue"/>
            <w:vAlign w:val="center"/>
          </w:tcPr>
          <w:p>
            <w:pPr>
              <w:widowControl/>
              <w:jc w:val="center"/>
              <w:rPr>
                <w:rFonts w:cs="宋体" w:asciiTheme="minorEastAsia" w:hAnsiTheme="minorEastAsia"/>
                <w:kern w:val="0"/>
                <w:szCs w:val="21"/>
              </w:rPr>
            </w:pPr>
          </w:p>
        </w:tc>
        <w:tc>
          <w:tcPr>
            <w:tcW w:w="1600" w:type="pc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采矿用地</w:t>
            </w:r>
          </w:p>
        </w:tc>
        <w:tc>
          <w:tcPr>
            <w:tcW w:w="1029" w:type="pc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7.10</w:t>
            </w:r>
          </w:p>
        </w:tc>
        <w:tc>
          <w:tcPr>
            <w:tcW w:w="714" w:type="pc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57" w:type="pct"/>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仓储用地</w:t>
            </w:r>
          </w:p>
        </w:tc>
        <w:tc>
          <w:tcPr>
            <w:tcW w:w="1600" w:type="pc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物流仓储用地</w:t>
            </w:r>
          </w:p>
        </w:tc>
        <w:tc>
          <w:tcPr>
            <w:tcW w:w="1029" w:type="pc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6.56</w:t>
            </w:r>
          </w:p>
        </w:tc>
        <w:tc>
          <w:tcPr>
            <w:tcW w:w="714" w:type="pc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57" w:type="pct"/>
            <w:vMerge w:val="restart"/>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交通运输用地</w:t>
            </w:r>
          </w:p>
        </w:tc>
        <w:tc>
          <w:tcPr>
            <w:tcW w:w="1600" w:type="pc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铁路用地</w:t>
            </w:r>
          </w:p>
        </w:tc>
        <w:tc>
          <w:tcPr>
            <w:tcW w:w="1029" w:type="pc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33.66</w:t>
            </w:r>
          </w:p>
        </w:tc>
        <w:tc>
          <w:tcPr>
            <w:tcW w:w="714" w:type="pc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57" w:type="pct"/>
            <w:vMerge w:val="continue"/>
            <w:vAlign w:val="center"/>
          </w:tcPr>
          <w:p>
            <w:pPr>
              <w:widowControl/>
              <w:jc w:val="center"/>
              <w:rPr>
                <w:rFonts w:cs="宋体" w:asciiTheme="minorEastAsia" w:hAnsiTheme="minorEastAsia"/>
                <w:kern w:val="0"/>
                <w:szCs w:val="21"/>
              </w:rPr>
            </w:pPr>
          </w:p>
        </w:tc>
        <w:tc>
          <w:tcPr>
            <w:tcW w:w="1600" w:type="pct"/>
            <w:shd w:val="clear" w:color="auto" w:fill="auto"/>
            <w:noWrap/>
            <w:vAlign w:val="center"/>
          </w:tcPr>
          <w:p>
            <w:pPr>
              <w:widowControl/>
              <w:jc w:val="center"/>
              <w:rPr>
                <w:rFonts w:cs="宋体" w:asciiTheme="minorEastAsia" w:hAnsiTheme="minorEastAsia"/>
                <w:kern w:val="0"/>
                <w:szCs w:val="21"/>
              </w:rPr>
            </w:pPr>
            <w:r>
              <w:rPr>
                <w:rFonts w:hint="eastAsia" w:eastAsia="宋体" w:cs="宋体" w:asciiTheme="minorEastAsia" w:hAnsiTheme="minorEastAsia"/>
                <w:kern w:val="0"/>
                <w:szCs w:val="21"/>
              </w:rPr>
              <w:t>公路用地</w:t>
            </w:r>
          </w:p>
        </w:tc>
        <w:tc>
          <w:tcPr>
            <w:tcW w:w="1029" w:type="pc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119.37</w:t>
            </w:r>
          </w:p>
        </w:tc>
        <w:tc>
          <w:tcPr>
            <w:tcW w:w="714" w:type="pc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0.52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1657" w:type="pct"/>
            <w:vMerge w:val="continue"/>
            <w:vAlign w:val="center"/>
          </w:tcPr>
          <w:p>
            <w:pPr>
              <w:widowControl/>
              <w:jc w:val="center"/>
              <w:rPr>
                <w:rFonts w:cs="宋体" w:asciiTheme="minorEastAsia" w:hAnsiTheme="minorEastAsia"/>
                <w:kern w:val="0"/>
                <w:szCs w:val="21"/>
              </w:rPr>
            </w:pPr>
          </w:p>
        </w:tc>
        <w:tc>
          <w:tcPr>
            <w:tcW w:w="1600" w:type="pc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城镇道路用地</w:t>
            </w:r>
          </w:p>
        </w:tc>
        <w:tc>
          <w:tcPr>
            <w:tcW w:w="1029" w:type="pc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9.81</w:t>
            </w:r>
          </w:p>
        </w:tc>
        <w:tc>
          <w:tcPr>
            <w:tcW w:w="714" w:type="pc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57" w:type="pct"/>
            <w:vMerge w:val="continue"/>
            <w:vAlign w:val="center"/>
          </w:tcPr>
          <w:p>
            <w:pPr>
              <w:widowControl/>
              <w:jc w:val="center"/>
              <w:rPr>
                <w:rFonts w:cs="宋体" w:asciiTheme="minorEastAsia" w:hAnsiTheme="minorEastAsia"/>
                <w:kern w:val="0"/>
                <w:szCs w:val="21"/>
              </w:rPr>
            </w:pPr>
          </w:p>
        </w:tc>
        <w:tc>
          <w:tcPr>
            <w:tcW w:w="1600" w:type="pc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交通场站用地</w:t>
            </w:r>
          </w:p>
        </w:tc>
        <w:tc>
          <w:tcPr>
            <w:tcW w:w="1029" w:type="pc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1.43</w:t>
            </w:r>
          </w:p>
        </w:tc>
        <w:tc>
          <w:tcPr>
            <w:tcW w:w="714" w:type="pc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57" w:type="pct"/>
            <w:vMerge w:val="continue"/>
            <w:vAlign w:val="center"/>
          </w:tcPr>
          <w:p>
            <w:pPr>
              <w:widowControl/>
              <w:jc w:val="center"/>
              <w:rPr>
                <w:rFonts w:cs="宋体" w:asciiTheme="minorEastAsia" w:hAnsiTheme="minorEastAsia"/>
                <w:kern w:val="0"/>
                <w:szCs w:val="21"/>
              </w:rPr>
            </w:pPr>
          </w:p>
        </w:tc>
        <w:tc>
          <w:tcPr>
            <w:tcW w:w="1600" w:type="pc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其他交通设施用地</w:t>
            </w:r>
          </w:p>
        </w:tc>
        <w:tc>
          <w:tcPr>
            <w:tcW w:w="1029" w:type="pc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4.72</w:t>
            </w:r>
          </w:p>
        </w:tc>
        <w:tc>
          <w:tcPr>
            <w:tcW w:w="714" w:type="pc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57" w:type="pct"/>
            <w:vMerge w:val="restart"/>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公用设施用地</w:t>
            </w:r>
          </w:p>
        </w:tc>
        <w:tc>
          <w:tcPr>
            <w:tcW w:w="1600" w:type="pct"/>
            <w:shd w:val="clear" w:color="auto" w:fill="auto"/>
            <w:noWrap/>
            <w:vAlign w:val="center"/>
          </w:tcPr>
          <w:p>
            <w:pPr>
              <w:widowControl/>
              <w:jc w:val="center"/>
              <w:rPr>
                <w:rFonts w:cs="宋体" w:asciiTheme="minorEastAsia" w:hAnsiTheme="minorEastAsia"/>
                <w:kern w:val="0"/>
                <w:szCs w:val="21"/>
              </w:rPr>
            </w:pPr>
            <w:r>
              <w:rPr>
                <w:rFonts w:hint="eastAsia" w:eastAsia="宋体" w:cs="宋体" w:asciiTheme="minorEastAsia" w:hAnsiTheme="minorEastAsia"/>
                <w:kern w:val="0"/>
                <w:szCs w:val="21"/>
              </w:rPr>
              <w:t>供水用地</w:t>
            </w:r>
          </w:p>
        </w:tc>
        <w:tc>
          <w:tcPr>
            <w:tcW w:w="1029" w:type="pc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0.88</w:t>
            </w:r>
          </w:p>
        </w:tc>
        <w:tc>
          <w:tcPr>
            <w:tcW w:w="714" w:type="pc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57" w:type="pct"/>
            <w:vMerge w:val="continue"/>
            <w:vAlign w:val="center"/>
          </w:tcPr>
          <w:p>
            <w:pPr>
              <w:widowControl/>
              <w:jc w:val="center"/>
              <w:rPr>
                <w:rFonts w:cs="宋体" w:asciiTheme="minorEastAsia" w:hAnsiTheme="minorEastAsia"/>
                <w:kern w:val="0"/>
                <w:szCs w:val="21"/>
              </w:rPr>
            </w:pPr>
          </w:p>
        </w:tc>
        <w:tc>
          <w:tcPr>
            <w:tcW w:w="1600" w:type="pct"/>
            <w:shd w:val="clear" w:color="auto" w:fill="auto"/>
            <w:noWrap/>
            <w:vAlign w:val="center"/>
          </w:tcPr>
          <w:p>
            <w:pPr>
              <w:widowControl/>
              <w:jc w:val="center"/>
              <w:rPr>
                <w:rFonts w:cs="宋体" w:asciiTheme="minorEastAsia" w:hAnsiTheme="minorEastAsia"/>
                <w:kern w:val="0"/>
                <w:szCs w:val="21"/>
              </w:rPr>
            </w:pPr>
            <w:r>
              <w:rPr>
                <w:rFonts w:hint="eastAsia" w:eastAsia="宋体" w:cs="宋体" w:asciiTheme="minorEastAsia" w:hAnsiTheme="minorEastAsia"/>
                <w:kern w:val="0"/>
                <w:szCs w:val="21"/>
              </w:rPr>
              <w:t>排水用地</w:t>
            </w:r>
          </w:p>
        </w:tc>
        <w:tc>
          <w:tcPr>
            <w:tcW w:w="1029" w:type="pc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2.53</w:t>
            </w:r>
          </w:p>
        </w:tc>
        <w:tc>
          <w:tcPr>
            <w:tcW w:w="714" w:type="pc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57" w:type="pct"/>
            <w:vMerge w:val="continue"/>
            <w:vAlign w:val="center"/>
          </w:tcPr>
          <w:p>
            <w:pPr>
              <w:widowControl/>
              <w:jc w:val="center"/>
              <w:rPr>
                <w:rFonts w:cs="宋体" w:asciiTheme="minorEastAsia" w:hAnsiTheme="minorEastAsia"/>
                <w:kern w:val="0"/>
                <w:szCs w:val="21"/>
              </w:rPr>
            </w:pPr>
          </w:p>
        </w:tc>
        <w:tc>
          <w:tcPr>
            <w:tcW w:w="1600" w:type="pc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供电用地</w:t>
            </w:r>
          </w:p>
        </w:tc>
        <w:tc>
          <w:tcPr>
            <w:tcW w:w="1029" w:type="pc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1.11</w:t>
            </w:r>
          </w:p>
        </w:tc>
        <w:tc>
          <w:tcPr>
            <w:tcW w:w="714" w:type="pc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57" w:type="pct"/>
            <w:vMerge w:val="continue"/>
            <w:vAlign w:val="center"/>
          </w:tcPr>
          <w:p>
            <w:pPr>
              <w:widowControl/>
              <w:jc w:val="center"/>
              <w:rPr>
                <w:rFonts w:cs="宋体" w:asciiTheme="minorEastAsia" w:hAnsiTheme="minorEastAsia"/>
                <w:kern w:val="0"/>
                <w:szCs w:val="21"/>
              </w:rPr>
            </w:pPr>
          </w:p>
        </w:tc>
        <w:tc>
          <w:tcPr>
            <w:tcW w:w="1600" w:type="pct"/>
            <w:shd w:val="clear" w:color="auto" w:fill="auto"/>
            <w:noWrap/>
            <w:vAlign w:val="center"/>
          </w:tcPr>
          <w:p>
            <w:pPr>
              <w:widowControl/>
              <w:jc w:val="center"/>
              <w:rPr>
                <w:rFonts w:cs="宋体" w:asciiTheme="minorEastAsia" w:hAnsiTheme="minorEastAsia"/>
                <w:kern w:val="0"/>
                <w:szCs w:val="21"/>
              </w:rPr>
            </w:pPr>
            <w:r>
              <w:rPr>
                <w:rFonts w:hint="eastAsia" w:eastAsia="宋体" w:cs="宋体" w:asciiTheme="minorEastAsia" w:hAnsiTheme="minorEastAsia"/>
                <w:kern w:val="0"/>
                <w:szCs w:val="21"/>
              </w:rPr>
              <w:t>通信用地</w:t>
            </w:r>
          </w:p>
        </w:tc>
        <w:tc>
          <w:tcPr>
            <w:tcW w:w="1029" w:type="pc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0.63</w:t>
            </w:r>
          </w:p>
        </w:tc>
        <w:tc>
          <w:tcPr>
            <w:tcW w:w="714" w:type="pc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57" w:type="pct"/>
            <w:vMerge w:val="continue"/>
            <w:vAlign w:val="center"/>
          </w:tcPr>
          <w:p>
            <w:pPr>
              <w:widowControl/>
              <w:jc w:val="center"/>
              <w:rPr>
                <w:rFonts w:cs="宋体" w:asciiTheme="minorEastAsia" w:hAnsiTheme="minorEastAsia"/>
                <w:kern w:val="0"/>
                <w:szCs w:val="21"/>
              </w:rPr>
            </w:pPr>
          </w:p>
        </w:tc>
        <w:tc>
          <w:tcPr>
            <w:tcW w:w="1600" w:type="pc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邮政用地</w:t>
            </w:r>
          </w:p>
        </w:tc>
        <w:tc>
          <w:tcPr>
            <w:tcW w:w="1029" w:type="pc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0.15</w:t>
            </w:r>
          </w:p>
        </w:tc>
        <w:tc>
          <w:tcPr>
            <w:tcW w:w="714" w:type="pc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57" w:type="pct"/>
            <w:vMerge w:val="continue"/>
            <w:vAlign w:val="center"/>
          </w:tcPr>
          <w:p>
            <w:pPr>
              <w:widowControl/>
              <w:jc w:val="center"/>
              <w:rPr>
                <w:rFonts w:cs="宋体" w:asciiTheme="minorEastAsia" w:hAnsiTheme="minorEastAsia"/>
                <w:kern w:val="0"/>
                <w:szCs w:val="21"/>
              </w:rPr>
            </w:pPr>
          </w:p>
        </w:tc>
        <w:tc>
          <w:tcPr>
            <w:tcW w:w="1600" w:type="pc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广播电视设施用地</w:t>
            </w:r>
          </w:p>
        </w:tc>
        <w:tc>
          <w:tcPr>
            <w:tcW w:w="1029" w:type="pc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0.01</w:t>
            </w:r>
          </w:p>
        </w:tc>
        <w:tc>
          <w:tcPr>
            <w:tcW w:w="714" w:type="pc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57" w:type="pct"/>
            <w:vMerge w:val="continue"/>
            <w:vAlign w:val="center"/>
          </w:tcPr>
          <w:p>
            <w:pPr>
              <w:widowControl/>
              <w:jc w:val="center"/>
              <w:rPr>
                <w:rFonts w:cs="宋体" w:asciiTheme="minorEastAsia" w:hAnsiTheme="minorEastAsia"/>
                <w:kern w:val="0"/>
                <w:szCs w:val="21"/>
              </w:rPr>
            </w:pPr>
          </w:p>
        </w:tc>
        <w:tc>
          <w:tcPr>
            <w:tcW w:w="1600" w:type="pc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环卫用地</w:t>
            </w:r>
          </w:p>
        </w:tc>
        <w:tc>
          <w:tcPr>
            <w:tcW w:w="1029" w:type="pc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0.02</w:t>
            </w:r>
          </w:p>
        </w:tc>
        <w:tc>
          <w:tcPr>
            <w:tcW w:w="714" w:type="pc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57" w:type="pct"/>
            <w:vMerge w:val="continue"/>
            <w:vAlign w:val="center"/>
          </w:tcPr>
          <w:p>
            <w:pPr>
              <w:widowControl/>
              <w:jc w:val="center"/>
              <w:rPr>
                <w:rFonts w:cs="宋体" w:asciiTheme="minorEastAsia" w:hAnsiTheme="minorEastAsia"/>
                <w:kern w:val="0"/>
                <w:szCs w:val="21"/>
              </w:rPr>
            </w:pPr>
          </w:p>
        </w:tc>
        <w:tc>
          <w:tcPr>
            <w:tcW w:w="1600" w:type="pct"/>
            <w:shd w:val="clear" w:color="auto" w:fill="auto"/>
            <w:noWrap/>
            <w:vAlign w:val="center"/>
          </w:tcPr>
          <w:p>
            <w:pPr>
              <w:widowControl/>
              <w:jc w:val="center"/>
              <w:rPr>
                <w:rFonts w:cs="宋体" w:asciiTheme="minorEastAsia" w:hAnsiTheme="minorEastAsia"/>
                <w:kern w:val="0"/>
                <w:szCs w:val="21"/>
              </w:rPr>
            </w:pPr>
            <w:r>
              <w:rPr>
                <w:rFonts w:hint="eastAsia" w:eastAsia="宋体" w:cs="宋体" w:asciiTheme="minorEastAsia" w:hAnsiTheme="minorEastAsia"/>
                <w:kern w:val="0"/>
                <w:szCs w:val="21"/>
              </w:rPr>
              <w:t>消防用地</w:t>
            </w:r>
          </w:p>
        </w:tc>
        <w:tc>
          <w:tcPr>
            <w:tcW w:w="1029" w:type="pc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0.40</w:t>
            </w:r>
          </w:p>
        </w:tc>
        <w:tc>
          <w:tcPr>
            <w:tcW w:w="714" w:type="pc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57" w:type="pct"/>
            <w:vMerge w:val="continue"/>
            <w:vAlign w:val="center"/>
          </w:tcPr>
          <w:p>
            <w:pPr>
              <w:widowControl/>
              <w:jc w:val="center"/>
              <w:rPr>
                <w:rFonts w:cs="宋体" w:asciiTheme="minorEastAsia" w:hAnsiTheme="minorEastAsia"/>
                <w:kern w:val="0"/>
                <w:szCs w:val="21"/>
              </w:rPr>
            </w:pPr>
          </w:p>
        </w:tc>
        <w:tc>
          <w:tcPr>
            <w:tcW w:w="1600" w:type="pc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水工设施用地</w:t>
            </w:r>
          </w:p>
        </w:tc>
        <w:tc>
          <w:tcPr>
            <w:tcW w:w="1029" w:type="pc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20.39</w:t>
            </w:r>
          </w:p>
        </w:tc>
        <w:tc>
          <w:tcPr>
            <w:tcW w:w="714" w:type="pc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57" w:type="pct"/>
            <w:vMerge w:val="continue"/>
            <w:vAlign w:val="center"/>
          </w:tcPr>
          <w:p>
            <w:pPr>
              <w:widowControl/>
              <w:jc w:val="center"/>
              <w:rPr>
                <w:rFonts w:cs="宋体" w:asciiTheme="minorEastAsia" w:hAnsiTheme="minorEastAsia"/>
                <w:kern w:val="0"/>
                <w:szCs w:val="21"/>
              </w:rPr>
            </w:pPr>
          </w:p>
        </w:tc>
        <w:tc>
          <w:tcPr>
            <w:tcW w:w="1600" w:type="pc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其他公用设施用地</w:t>
            </w:r>
          </w:p>
        </w:tc>
        <w:tc>
          <w:tcPr>
            <w:tcW w:w="1029" w:type="pc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0.77</w:t>
            </w:r>
          </w:p>
        </w:tc>
        <w:tc>
          <w:tcPr>
            <w:tcW w:w="714" w:type="pc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57" w:type="pct"/>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绿地与开敞空间用地</w:t>
            </w:r>
          </w:p>
        </w:tc>
        <w:tc>
          <w:tcPr>
            <w:tcW w:w="1600" w:type="pct"/>
            <w:shd w:val="clear" w:color="000000" w:fill="FFFFFF"/>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广场用地</w:t>
            </w:r>
          </w:p>
        </w:tc>
        <w:tc>
          <w:tcPr>
            <w:tcW w:w="1029" w:type="pc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0.13</w:t>
            </w:r>
          </w:p>
        </w:tc>
        <w:tc>
          <w:tcPr>
            <w:tcW w:w="714" w:type="pc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57" w:type="pct"/>
            <w:vMerge w:val="restart"/>
            <w:shd w:val="clear" w:color="000000" w:fill="FFFFFF"/>
            <w:vAlign w:val="center"/>
          </w:tcPr>
          <w:p>
            <w:pPr>
              <w:widowControl/>
              <w:jc w:val="center"/>
              <w:rPr>
                <w:rFonts w:cs="宋体" w:asciiTheme="minorEastAsia" w:hAnsiTheme="minorEastAsia"/>
                <w:kern w:val="0"/>
                <w:szCs w:val="21"/>
              </w:rPr>
            </w:pPr>
            <w:r>
              <w:rPr>
                <w:rFonts w:hint="eastAsia" w:eastAsia="宋体" w:cs="宋体" w:asciiTheme="minorEastAsia" w:hAnsiTheme="minorEastAsia"/>
                <w:kern w:val="0"/>
                <w:szCs w:val="21"/>
              </w:rPr>
              <w:t>特殊用地</w:t>
            </w:r>
          </w:p>
        </w:tc>
        <w:tc>
          <w:tcPr>
            <w:tcW w:w="1600" w:type="pct"/>
            <w:shd w:val="clear" w:color="000000" w:fill="FFFFFF"/>
            <w:noWrap/>
            <w:vAlign w:val="center"/>
          </w:tcPr>
          <w:p>
            <w:pPr>
              <w:widowControl/>
              <w:jc w:val="center"/>
              <w:rPr>
                <w:rFonts w:cs="宋体" w:asciiTheme="minorEastAsia" w:hAnsiTheme="minorEastAsia"/>
                <w:kern w:val="0"/>
                <w:szCs w:val="21"/>
              </w:rPr>
            </w:pPr>
            <w:r>
              <w:rPr>
                <w:rFonts w:hint="eastAsia" w:eastAsia="宋体" w:cs="宋体" w:asciiTheme="minorEastAsia" w:hAnsiTheme="minorEastAsia"/>
                <w:kern w:val="0"/>
                <w:szCs w:val="21"/>
              </w:rPr>
              <w:t>宗教用地</w:t>
            </w:r>
          </w:p>
        </w:tc>
        <w:tc>
          <w:tcPr>
            <w:tcW w:w="1029" w:type="pc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0.46</w:t>
            </w:r>
          </w:p>
        </w:tc>
        <w:tc>
          <w:tcPr>
            <w:tcW w:w="714" w:type="pc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57" w:type="pct"/>
            <w:vMerge w:val="continue"/>
            <w:vAlign w:val="center"/>
          </w:tcPr>
          <w:p>
            <w:pPr>
              <w:widowControl/>
              <w:jc w:val="center"/>
              <w:rPr>
                <w:rFonts w:cs="宋体" w:asciiTheme="minorEastAsia" w:hAnsiTheme="minorEastAsia"/>
                <w:kern w:val="0"/>
                <w:szCs w:val="21"/>
              </w:rPr>
            </w:pPr>
          </w:p>
        </w:tc>
        <w:tc>
          <w:tcPr>
            <w:tcW w:w="1600" w:type="pct"/>
            <w:shd w:val="clear" w:color="000000" w:fill="FFFFFF"/>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文物古迹用地</w:t>
            </w:r>
          </w:p>
        </w:tc>
        <w:tc>
          <w:tcPr>
            <w:tcW w:w="1029" w:type="pc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11.70</w:t>
            </w:r>
          </w:p>
        </w:tc>
        <w:tc>
          <w:tcPr>
            <w:tcW w:w="714" w:type="pc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57" w:type="pct"/>
            <w:vMerge w:val="restart"/>
            <w:shd w:val="clear" w:color="000000" w:fill="FFFFFF"/>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陆地水域</w:t>
            </w:r>
          </w:p>
        </w:tc>
        <w:tc>
          <w:tcPr>
            <w:tcW w:w="1600" w:type="pct"/>
            <w:shd w:val="clear" w:color="000000" w:fill="FFFFFF"/>
            <w:noWrap/>
            <w:vAlign w:val="center"/>
          </w:tcPr>
          <w:p>
            <w:pPr>
              <w:widowControl/>
              <w:jc w:val="center"/>
              <w:rPr>
                <w:rFonts w:cs="宋体" w:asciiTheme="minorEastAsia" w:hAnsiTheme="minorEastAsia"/>
                <w:kern w:val="0"/>
                <w:szCs w:val="21"/>
              </w:rPr>
            </w:pPr>
            <w:r>
              <w:rPr>
                <w:rFonts w:hint="eastAsia" w:eastAsia="宋体" w:cs="宋体" w:asciiTheme="minorEastAsia" w:hAnsiTheme="minorEastAsia"/>
                <w:kern w:val="0"/>
                <w:szCs w:val="21"/>
              </w:rPr>
              <w:t>河流水面</w:t>
            </w:r>
          </w:p>
        </w:tc>
        <w:tc>
          <w:tcPr>
            <w:tcW w:w="1029" w:type="pc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280.30</w:t>
            </w:r>
          </w:p>
        </w:tc>
        <w:tc>
          <w:tcPr>
            <w:tcW w:w="714" w:type="pc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57" w:type="pct"/>
            <w:vMerge w:val="continue"/>
            <w:vAlign w:val="center"/>
          </w:tcPr>
          <w:p>
            <w:pPr>
              <w:widowControl/>
              <w:jc w:val="center"/>
              <w:rPr>
                <w:rFonts w:cs="宋体" w:asciiTheme="minorEastAsia" w:hAnsiTheme="minorEastAsia"/>
                <w:kern w:val="0"/>
                <w:szCs w:val="21"/>
              </w:rPr>
            </w:pPr>
          </w:p>
        </w:tc>
        <w:tc>
          <w:tcPr>
            <w:tcW w:w="1600" w:type="pct"/>
            <w:shd w:val="clear" w:color="000000" w:fill="FFFFFF"/>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水库水面</w:t>
            </w:r>
          </w:p>
        </w:tc>
        <w:tc>
          <w:tcPr>
            <w:tcW w:w="1029" w:type="pc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255.52</w:t>
            </w:r>
          </w:p>
        </w:tc>
        <w:tc>
          <w:tcPr>
            <w:tcW w:w="714" w:type="pc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57" w:type="pct"/>
            <w:vMerge w:val="continue"/>
            <w:vAlign w:val="center"/>
          </w:tcPr>
          <w:p>
            <w:pPr>
              <w:widowControl/>
              <w:jc w:val="center"/>
              <w:rPr>
                <w:rFonts w:cs="宋体" w:asciiTheme="minorEastAsia" w:hAnsiTheme="minorEastAsia"/>
                <w:kern w:val="0"/>
                <w:szCs w:val="21"/>
              </w:rPr>
            </w:pPr>
          </w:p>
        </w:tc>
        <w:tc>
          <w:tcPr>
            <w:tcW w:w="1600" w:type="pct"/>
            <w:shd w:val="clear" w:color="000000" w:fill="FFFFFF"/>
            <w:noWrap/>
            <w:vAlign w:val="center"/>
          </w:tcPr>
          <w:p>
            <w:pPr>
              <w:widowControl/>
              <w:jc w:val="center"/>
              <w:rPr>
                <w:rFonts w:cs="宋体" w:asciiTheme="minorEastAsia" w:hAnsiTheme="minorEastAsia"/>
                <w:kern w:val="0"/>
                <w:szCs w:val="21"/>
              </w:rPr>
            </w:pPr>
            <w:r>
              <w:rPr>
                <w:rFonts w:hint="eastAsia" w:eastAsia="宋体" w:cs="宋体" w:asciiTheme="minorEastAsia" w:hAnsiTheme="minorEastAsia"/>
                <w:kern w:val="0"/>
                <w:szCs w:val="21"/>
              </w:rPr>
              <w:t>坑塘水面</w:t>
            </w:r>
          </w:p>
        </w:tc>
        <w:tc>
          <w:tcPr>
            <w:tcW w:w="1029" w:type="pc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471.24</w:t>
            </w:r>
          </w:p>
        </w:tc>
        <w:tc>
          <w:tcPr>
            <w:tcW w:w="714" w:type="pc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57" w:type="pct"/>
            <w:vMerge w:val="continue"/>
            <w:vAlign w:val="center"/>
          </w:tcPr>
          <w:p>
            <w:pPr>
              <w:widowControl/>
              <w:jc w:val="center"/>
              <w:rPr>
                <w:rFonts w:cs="宋体" w:asciiTheme="minorEastAsia" w:hAnsiTheme="minorEastAsia"/>
                <w:kern w:val="0"/>
                <w:szCs w:val="21"/>
              </w:rPr>
            </w:pPr>
          </w:p>
        </w:tc>
        <w:tc>
          <w:tcPr>
            <w:tcW w:w="1600" w:type="pct"/>
            <w:shd w:val="clear" w:color="000000" w:fill="FFFFFF"/>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沟渠</w:t>
            </w:r>
          </w:p>
        </w:tc>
        <w:tc>
          <w:tcPr>
            <w:tcW w:w="1029" w:type="pc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51.64</w:t>
            </w:r>
          </w:p>
        </w:tc>
        <w:tc>
          <w:tcPr>
            <w:tcW w:w="714" w:type="pc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57" w:type="pct"/>
            <w:shd w:val="clear" w:color="000000" w:fill="FFFFFF"/>
            <w:vAlign w:val="center"/>
          </w:tcPr>
          <w:p>
            <w:pPr>
              <w:widowControl/>
              <w:jc w:val="center"/>
              <w:rPr>
                <w:rFonts w:cs="宋体" w:asciiTheme="minorEastAsia" w:hAnsiTheme="minorEastAsia"/>
                <w:kern w:val="0"/>
                <w:szCs w:val="21"/>
              </w:rPr>
            </w:pPr>
            <w:r>
              <w:rPr>
                <w:rFonts w:hint="eastAsia" w:eastAsia="宋体" w:cs="宋体" w:asciiTheme="minorEastAsia" w:hAnsiTheme="minorEastAsia"/>
                <w:kern w:val="0"/>
                <w:szCs w:val="21"/>
              </w:rPr>
              <w:t>其他土地</w:t>
            </w:r>
          </w:p>
        </w:tc>
        <w:tc>
          <w:tcPr>
            <w:tcW w:w="1600" w:type="pct"/>
            <w:shd w:val="clear" w:color="000000" w:fill="FFFFFF"/>
            <w:noWrap/>
            <w:vAlign w:val="center"/>
          </w:tcPr>
          <w:p>
            <w:pPr>
              <w:widowControl/>
              <w:jc w:val="center"/>
              <w:rPr>
                <w:rFonts w:cs="宋体" w:asciiTheme="minorEastAsia" w:hAnsiTheme="minorEastAsia"/>
                <w:kern w:val="0"/>
                <w:szCs w:val="21"/>
              </w:rPr>
            </w:pPr>
            <w:r>
              <w:rPr>
                <w:rFonts w:hint="eastAsia" w:eastAsia="宋体" w:cs="宋体" w:asciiTheme="minorEastAsia" w:hAnsiTheme="minorEastAsia"/>
                <w:kern w:val="0"/>
                <w:szCs w:val="21"/>
              </w:rPr>
              <w:t>田坎</w:t>
            </w:r>
          </w:p>
        </w:tc>
        <w:tc>
          <w:tcPr>
            <w:tcW w:w="1029" w:type="pc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1505.76</w:t>
            </w:r>
          </w:p>
        </w:tc>
        <w:tc>
          <w:tcPr>
            <w:tcW w:w="714" w:type="pc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6.58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257" w:type="pct"/>
            <w:gridSpan w:val="2"/>
            <w:shd w:val="clear" w:color="000000" w:fill="FFFFFF"/>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合计</w:t>
            </w:r>
          </w:p>
        </w:tc>
        <w:tc>
          <w:tcPr>
            <w:tcW w:w="1029" w:type="pc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22886.95</w:t>
            </w:r>
          </w:p>
        </w:tc>
        <w:tc>
          <w:tcPr>
            <w:tcW w:w="714" w:type="pct"/>
            <w:shd w:val="clear" w:color="auto" w:fill="auto"/>
            <w:noWrap/>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100.00</w:t>
            </w:r>
          </w:p>
        </w:tc>
      </w:tr>
    </w:tbl>
    <w:p>
      <w:pPr>
        <w:pStyle w:val="31"/>
        <w:spacing w:beforeLines="50" w:afterLines="50"/>
        <w:jc w:val="left"/>
        <w:rPr>
          <w:rFonts w:eastAsia="宋体" w:asciiTheme="minorEastAsia" w:hAnsiTheme="minorEastAsia"/>
          <w:b w:val="0"/>
          <w:sz w:val="24"/>
          <w:szCs w:val="24"/>
        </w:rPr>
      </w:pPr>
    </w:p>
    <w:p>
      <w:pPr>
        <w:pStyle w:val="31"/>
        <w:spacing w:beforeLines="50" w:afterLines="50"/>
        <w:jc w:val="left"/>
        <w:rPr>
          <w:rFonts w:asciiTheme="minorEastAsia" w:hAnsiTheme="minorEastAsia" w:eastAsiaTheme="minorEastAsia"/>
          <w:b w:val="0"/>
          <w:sz w:val="24"/>
          <w:szCs w:val="24"/>
        </w:rPr>
      </w:pPr>
      <w:bookmarkStart w:id="37" w:name="_Toc166772186"/>
      <w:r>
        <w:rPr>
          <w:rFonts w:hint="eastAsia" w:eastAsia="宋体" w:asciiTheme="minorEastAsia" w:hAnsiTheme="minorEastAsia"/>
          <w:b w:val="0"/>
          <w:sz w:val="24"/>
          <w:szCs w:val="24"/>
        </w:rPr>
        <w:t>表</w:t>
      </w:r>
      <w:r>
        <w:rPr>
          <w:rFonts w:eastAsia="宋体" w:asciiTheme="minorEastAsia" w:hAnsiTheme="minorEastAsia"/>
          <w:b w:val="0"/>
          <w:sz w:val="24"/>
          <w:szCs w:val="24"/>
        </w:rPr>
        <w:t>2片区规划指标</w:t>
      </w:r>
      <w:r>
        <w:rPr>
          <w:rFonts w:hint="eastAsia" w:eastAsia="宋体" w:asciiTheme="minorEastAsia" w:hAnsiTheme="minorEastAsia"/>
          <w:b w:val="0"/>
          <w:sz w:val="24"/>
          <w:szCs w:val="24"/>
        </w:rPr>
        <w:t>体系表</w:t>
      </w:r>
      <w:bookmarkEnd w:id="37"/>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3"/>
        <w:gridCol w:w="3132"/>
        <w:gridCol w:w="1569"/>
        <w:gridCol w:w="1566"/>
        <w:gridCol w:w="1792"/>
        <w:gridCol w:w="1789"/>
        <w:gridCol w:w="1477"/>
        <w:gridCol w:w="1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13" w:type="pct"/>
            <w:vMerge w:val="restart"/>
            <w:shd w:val="clear" w:color="auto" w:fill="auto"/>
            <w:vAlign w:val="center"/>
          </w:tcPr>
          <w:p>
            <w:pPr>
              <w:widowControl/>
              <w:jc w:val="center"/>
              <w:rPr>
                <w:rFonts w:cs="宋体" w:asciiTheme="minorEastAsia" w:hAnsiTheme="minorEastAsia"/>
                <w:bCs/>
                <w:kern w:val="0"/>
                <w:szCs w:val="21"/>
              </w:rPr>
            </w:pPr>
            <w:r>
              <w:rPr>
                <w:rFonts w:eastAsia="宋体" w:cs="宋体" w:asciiTheme="minorEastAsia" w:hAnsiTheme="minorEastAsia"/>
                <w:bCs/>
                <w:kern w:val="0"/>
                <w:szCs w:val="21"/>
              </w:rPr>
              <w:t>序号</w:t>
            </w:r>
          </w:p>
        </w:tc>
        <w:tc>
          <w:tcPr>
            <w:tcW w:w="1164" w:type="pct"/>
            <w:vMerge w:val="restart"/>
            <w:shd w:val="clear" w:color="auto" w:fill="auto"/>
            <w:vAlign w:val="center"/>
          </w:tcPr>
          <w:p>
            <w:pPr>
              <w:widowControl/>
              <w:jc w:val="center"/>
              <w:rPr>
                <w:rFonts w:cs="宋体" w:asciiTheme="minorEastAsia" w:hAnsiTheme="minorEastAsia"/>
                <w:bCs/>
                <w:kern w:val="0"/>
                <w:szCs w:val="21"/>
              </w:rPr>
            </w:pPr>
            <w:r>
              <w:rPr>
                <w:rFonts w:eastAsia="宋体" w:cs="宋体" w:asciiTheme="minorEastAsia" w:hAnsiTheme="minorEastAsia"/>
                <w:bCs/>
                <w:kern w:val="0"/>
                <w:szCs w:val="21"/>
              </w:rPr>
              <w:t>指标名称</w:t>
            </w:r>
          </w:p>
        </w:tc>
        <w:tc>
          <w:tcPr>
            <w:tcW w:w="583" w:type="pct"/>
            <w:vMerge w:val="restart"/>
            <w:shd w:val="clear" w:color="auto" w:fill="auto"/>
            <w:vAlign w:val="center"/>
          </w:tcPr>
          <w:p>
            <w:pPr>
              <w:widowControl/>
              <w:jc w:val="center"/>
              <w:rPr>
                <w:rFonts w:cs="宋体" w:asciiTheme="minorEastAsia" w:hAnsiTheme="minorEastAsia"/>
                <w:bCs/>
                <w:kern w:val="0"/>
                <w:szCs w:val="21"/>
              </w:rPr>
            </w:pPr>
            <w:r>
              <w:rPr>
                <w:rFonts w:eastAsia="宋体" w:cs="宋体" w:asciiTheme="minorEastAsia" w:hAnsiTheme="minorEastAsia"/>
                <w:bCs/>
                <w:kern w:val="0"/>
                <w:szCs w:val="21"/>
              </w:rPr>
              <w:t>单位</w:t>
            </w:r>
          </w:p>
        </w:tc>
        <w:tc>
          <w:tcPr>
            <w:tcW w:w="582" w:type="pct"/>
            <w:vMerge w:val="restart"/>
            <w:shd w:val="clear" w:color="auto" w:fill="auto"/>
            <w:vAlign w:val="center"/>
          </w:tcPr>
          <w:p>
            <w:pPr>
              <w:widowControl/>
              <w:jc w:val="center"/>
              <w:rPr>
                <w:rFonts w:cs="宋体" w:asciiTheme="minorEastAsia" w:hAnsiTheme="minorEastAsia"/>
                <w:bCs/>
                <w:kern w:val="0"/>
                <w:szCs w:val="21"/>
              </w:rPr>
            </w:pPr>
            <w:r>
              <w:rPr>
                <w:rFonts w:eastAsia="宋体" w:cs="宋体" w:asciiTheme="minorEastAsia" w:hAnsiTheme="minorEastAsia"/>
                <w:bCs/>
                <w:kern w:val="0"/>
                <w:szCs w:val="21"/>
              </w:rPr>
              <w:t>规划</w:t>
            </w:r>
          </w:p>
          <w:p>
            <w:pPr>
              <w:widowControl/>
              <w:jc w:val="center"/>
              <w:rPr>
                <w:rFonts w:cs="宋体" w:asciiTheme="minorEastAsia" w:hAnsiTheme="minorEastAsia"/>
                <w:bCs/>
                <w:kern w:val="0"/>
                <w:szCs w:val="21"/>
              </w:rPr>
            </w:pPr>
            <w:r>
              <w:rPr>
                <w:rFonts w:hint="eastAsia" w:eastAsia="宋体" w:cs="宋体" w:asciiTheme="minorEastAsia" w:hAnsiTheme="minorEastAsia"/>
                <w:bCs/>
                <w:kern w:val="0"/>
                <w:szCs w:val="21"/>
              </w:rPr>
              <w:t>基期年</w:t>
            </w:r>
          </w:p>
        </w:tc>
        <w:tc>
          <w:tcPr>
            <w:tcW w:w="666" w:type="pct"/>
            <w:vMerge w:val="restart"/>
            <w:shd w:val="clear" w:color="auto" w:fill="auto"/>
            <w:vAlign w:val="center"/>
          </w:tcPr>
          <w:p>
            <w:pPr>
              <w:widowControl/>
              <w:jc w:val="center"/>
              <w:rPr>
                <w:rFonts w:cs="宋体" w:asciiTheme="minorEastAsia" w:hAnsiTheme="minorEastAsia"/>
                <w:bCs/>
                <w:kern w:val="0"/>
                <w:szCs w:val="21"/>
              </w:rPr>
            </w:pPr>
            <w:r>
              <w:rPr>
                <w:rFonts w:eastAsia="宋体" w:cs="宋体" w:asciiTheme="minorEastAsia" w:hAnsiTheme="minorEastAsia"/>
                <w:bCs/>
                <w:kern w:val="0"/>
                <w:szCs w:val="21"/>
              </w:rPr>
              <w:t>规划</w:t>
            </w:r>
          </w:p>
          <w:p>
            <w:pPr>
              <w:widowControl/>
              <w:jc w:val="center"/>
              <w:rPr>
                <w:rFonts w:cs="宋体" w:asciiTheme="minorEastAsia" w:hAnsiTheme="minorEastAsia"/>
                <w:bCs/>
                <w:kern w:val="0"/>
                <w:szCs w:val="21"/>
              </w:rPr>
            </w:pPr>
            <w:r>
              <w:rPr>
                <w:rFonts w:hint="eastAsia" w:eastAsia="宋体" w:cs="宋体" w:asciiTheme="minorEastAsia" w:hAnsiTheme="minorEastAsia"/>
                <w:bCs/>
                <w:kern w:val="0"/>
                <w:szCs w:val="21"/>
              </w:rPr>
              <w:t>近期年</w:t>
            </w:r>
          </w:p>
        </w:tc>
        <w:tc>
          <w:tcPr>
            <w:tcW w:w="665" w:type="pct"/>
            <w:vMerge w:val="restart"/>
            <w:shd w:val="clear" w:color="auto" w:fill="auto"/>
            <w:vAlign w:val="center"/>
          </w:tcPr>
          <w:p>
            <w:pPr>
              <w:widowControl/>
              <w:jc w:val="center"/>
              <w:rPr>
                <w:rFonts w:cs="宋体" w:asciiTheme="minorEastAsia" w:hAnsiTheme="minorEastAsia"/>
                <w:bCs/>
                <w:kern w:val="0"/>
                <w:szCs w:val="21"/>
              </w:rPr>
            </w:pPr>
            <w:r>
              <w:rPr>
                <w:rFonts w:eastAsia="宋体" w:cs="宋体" w:asciiTheme="minorEastAsia" w:hAnsiTheme="minorEastAsia"/>
                <w:bCs/>
                <w:kern w:val="0"/>
                <w:szCs w:val="21"/>
              </w:rPr>
              <w:t>规划</w:t>
            </w:r>
          </w:p>
          <w:p>
            <w:pPr>
              <w:widowControl/>
              <w:jc w:val="center"/>
              <w:rPr>
                <w:rFonts w:cs="宋体" w:asciiTheme="minorEastAsia" w:hAnsiTheme="minorEastAsia"/>
                <w:bCs/>
                <w:kern w:val="0"/>
                <w:szCs w:val="21"/>
              </w:rPr>
            </w:pPr>
            <w:r>
              <w:rPr>
                <w:rFonts w:eastAsia="宋体" w:cs="宋体" w:asciiTheme="minorEastAsia" w:hAnsiTheme="minorEastAsia"/>
                <w:bCs/>
                <w:kern w:val="0"/>
                <w:szCs w:val="21"/>
              </w:rPr>
              <w:t>目标年</w:t>
            </w:r>
          </w:p>
        </w:tc>
        <w:tc>
          <w:tcPr>
            <w:tcW w:w="549" w:type="pct"/>
            <w:vMerge w:val="restart"/>
            <w:shd w:val="clear" w:color="auto" w:fill="auto"/>
            <w:vAlign w:val="center"/>
          </w:tcPr>
          <w:p>
            <w:pPr>
              <w:widowControl/>
              <w:jc w:val="center"/>
              <w:rPr>
                <w:rFonts w:cs="宋体" w:asciiTheme="minorEastAsia" w:hAnsiTheme="minorEastAsia"/>
                <w:bCs/>
                <w:kern w:val="0"/>
                <w:szCs w:val="21"/>
              </w:rPr>
            </w:pPr>
            <w:r>
              <w:rPr>
                <w:rFonts w:eastAsia="宋体" w:cs="宋体" w:asciiTheme="minorEastAsia" w:hAnsiTheme="minorEastAsia"/>
                <w:bCs/>
                <w:kern w:val="0"/>
                <w:szCs w:val="21"/>
              </w:rPr>
              <w:t>指标</w:t>
            </w:r>
          </w:p>
          <w:p>
            <w:pPr>
              <w:widowControl/>
              <w:jc w:val="center"/>
              <w:rPr>
                <w:rFonts w:cs="宋体" w:asciiTheme="minorEastAsia" w:hAnsiTheme="minorEastAsia"/>
                <w:bCs/>
                <w:kern w:val="0"/>
                <w:szCs w:val="21"/>
              </w:rPr>
            </w:pPr>
            <w:r>
              <w:rPr>
                <w:rFonts w:eastAsia="宋体" w:cs="宋体" w:asciiTheme="minorEastAsia" w:hAnsiTheme="minorEastAsia"/>
                <w:bCs/>
                <w:kern w:val="0"/>
                <w:szCs w:val="21"/>
              </w:rPr>
              <w:t>属性</w:t>
            </w:r>
          </w:p>
        </w:tc>
        <w:tc>
          <w:tcPr>
            <w:tcW w:w="478" w:type="pct"/>
            <w:vMerge w:val="restart"/>
            <w:shd w:val="clear" w:color="auto" w:fill="auto"/>
            <w:vAlign w:val="center"/>
          </w:tcPr>
          <w:p>
            <w:pPr>
              <w:widowControl/>
              <w:jc w:val="center"/>
              <w:rPr>
                <w:rFonts w:cs="宋体" w:asciiTheme="minorEastAsia" w:hAnsiTheme="minorEastAsia"/>
                <w:bCs/>
                <w:kern w:val="0"/>
                <w:szCs w:val="21"/>
              </w:rPr>
            </w:pPr>
            <w:r>
              <w:rPr>
                <w:rFonts w:eastAsia="宋体" w:cs="宋体" w:asciiTheme="minorEastAsia" w:hAnsiTheme="minorEastAsia"/>
                <w:bCs/>
                <w:kern w:val="0"/>
                <w:szCs w:val="21"/>
              </w:rPr>
              <w:t>指标层级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13" w:type="pct"/>
            <w:vMerge w:val="continue"/>
            <w:vAlign w:val="center"/>
          </w:tcPr>
          <w:p>
            <w:pPr>
              <w:widowControl/>
              <w:jc w:val="center"/>
              <w:rPr>
                <w:rFonts w:cs="宋体" w:asciiTheme="minorEastAsia" w:hAnsiTheme="minorEastAsia"/>
                <w:bCs/>
                <w:kern w:val="0"/>
                <w:szCs w:val="21"/>
              </w:rPr>
            </w:pPr>
          </w:p>
        </w:tc>
        <w:tc>
          <w:tcPr>
            <w:tcW w:w="1164" w:type="pct"/>
            <w:vMerge w:val="continue"/>
            <w:vAlign w:val="center"/>
          </w:tcPr>
          <w:p>
            <w:pPr>
              <w:widowControl/>
              <w:jc w:val="center"/>
              <w:rPr>
                <w:rFonts w:cs="宋体" w:asciiTheme="minorEastAsia" w:hAnsiTheme="minorEastAsia"/>
                <w:bCs/>
                <w:kern w:val="0"/>
                <w:szCs w:val="21"/>
              </w:rPr>
            </w:pPr>
          </w:p>
        </w:tc>
        <w:tc>
          <w:tcPr>
            <w:tcW w:w="583" w:type="pct"/>
            <w:vMerge w:val="continue"/>
            <w:vAlign w:val="center"/>
          </w:tcPr>
          <w:p>
            <w:pPr>
              <w:widowControl/>
              <w:jc w:val="center"/>
              <w:rPr>
                <w:rFonts w:cs="宋体" w:asciiTheme="minorEastAsia" w:hAnsiTheme="minorEastAsia"/>
                <w:bCs/>
                <w:kern w:val="0"/>
                <w:szCs w:val="21"/>
              </w:rPr>
            </w:pPr>
          </w:p>
        </w:tc>
        <w:tc>
          <w:tcPr>
            <w:tcW w:w="582" w:type="pct"/>
            <w:vMerge w:val="continue"/>
            <w:vAlign w:val="center"/>
          </w:tcPr>
          <w:p>
            <w:pPr>
              <w:widowControl/>
              <w:jc w:val="center"/>
              <w:rPr>
                <w:rFonts w:cs="宋体" w:asciiTheme="minorEastAsia" w:hAnsiTheme="minorEastAsia"/>
                <w:bCs/>
                <w:kern w:val="0"/>
                <w:szCs w:val="21"/>
              </w:rPr>
            </w:pPr>
          </w:p>
        </w:tc>
        <w:tc>
          <w:tcPr>
            <w:tcW w:w="666" w:type="pct"/>
            <w:vMerge w:val="continue"/>
            <w:vAlign w:val="center"/>
          </w:tcPr>
          <w:p>
            <w:pPr>
              <w:widowControl/>
              <w:jc w:val="center"/>
              <w:rPr>
                <w:rFonts w:cs="宋体" w:asciiTheme="minorEastAsia" w:hAnsiTheme="minorEastAsia"/>
                <w:bCs/>
                <w:kern w:val="0"/>
                <w:szCs w:val="21"/>
              </w:rPr>
            </w:pPr>
          </w:p>
        </w:tc>
        <w:tc>
          <w:tcPr>
            <w:tcW w:w="665" w:type="pct"/>
            <w:vMerge w:val="continue"/>
            <w:vAlign w:val="center"/>
          </w:tcPr>
          <w:p>
            <w:pPr>
              <w:widowControl/>
              <w:jc w:val="center"/>
              <w:rPr>
                <w:rFonts w:cs="宋体" w:asciiTheme="minorEastAsia" w:hAnsiTheme="minorEastAsia"/>
                <w:bCs/>
                <w:kern w:val="0"/>
                <w:szCs w:val="21"/>
              </w:rPr>
            </w:pPr>
          </w:p>
        </w:tc>
        <w:tc>
          <w:tcPr>
            <w:tcW w:w="549" w:type="pct"/>
            <w:vMerge w:val="continue"/>
            <w:vAlign w:val="center"/>
          </w:tcPr>
          <w:p>
            <w:pPr>
              <w:widowControl/>
              <w:jc w:val="center"/>
              <w:rPr>
                <w:rFonts w:cs="宋体" w:asciiTheme="minorEastAsia" w:hAnsiTheme="minorEastAsia"/>
                <w:bCs/>
                <w:kern w:val="0"/>
                <w:szCs w:val="21"/>
              </w:rPr>
            </w:pPr>
          </w:p>
        </w:tc>
        <w:tc>
          <w:tcPr>
            <w:tcW w:w="478" w:type="pct"/>
            <w:vMerge w:val="continue"/>
            <w:vAlign w:val="center"/>
          </w:tcPr>
          <w:p>
            <w:pPr>
              <w:widowControl/>
              <w:jc w:val="center"/>
              <w:rPr>
                <w:rFonts w:cs="宋体" w:asciiTheme="minorEastAsia" w:hAnsiTheme="minorEastAsia"/>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13" w:type="pct"/>
            <w:shd w:val="clear" w:color="auto" w:fill="auto"/>
            <w:vAlign w:val="center"/>
          </w:tcPr>
          <w:p>
            <w:pPr>
              <w:widowControl/>
              <w:jc w:val="center"/>
              <w:rPr>
                <w:rFonts w:cs="宋体" w:asciiTheme="minorEastAsia" w:hAnsiTheme="minorEastAsia"/>
                <w:bCs/>
                <w:kern w:val="0"/>
                <w:szCs w:val="21"/>
              </w:rPr>
            </w:pPr>
            <w:r>
              <w:rPr>
                <w:rFonts w:eastAsia="宋体" w:cs="宋体" w:asciiTheme="minorEastAsia" w:hAnsiTheme="minorEastAsia"/>
                <w:bCs/>
                <w:kern w:val="0"/>
                <w:szCs w:val="21"/>
              </w:rPr>
              <w:t>1</w:t>
            </w:r>
          </w:p>
        </w:tc>
        <w:tc>
          <w:tcPr>
            <w:tcW w:w="1164" w:type="pct"/>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永久基本农田保护面积</w:t>
            </w:r>
          </w:p>
        </w:tc>
        <w:tc>
          <w:tcPr>
            <w:tcW w:w="583" w:type="pct"/>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公顷</w:t>
            </w:r>
          </w:p>
        </w:tc>
        <w:tc>
          <w:tcPr>
            <w:tcW w:w="582" w:type="pct"/>
            <w:shd w:val="clear" w:color="auto" w:fill="auto"/>
            <w:vAlign w:val="center"/>
          </w:tcPr>
          <w:p>
            <w:pPr>
              <w:widowControl/>
              <w:jc w:val="center"/>
              <w:rPr>
                <w:rFonts w:eastAsia="宋体" w:cs="宋体" w:asciiTheme="minorEastAsia" w:hAnsiTheme="minorEastAsia"/>
                <w:bCs/>
                <w:kern w:val="0"/>
                <w:szCs w:val="21"/>
              </w:rPr>
            </w:pPr>
            <w:r>
              <w:rPr>
                <w:rFonts w:hint="eastAsia" w:eastAsia="宋体" w:cs="宋体" w:asciiTheme="minorEastAsia" w:hAnsiTheme="minorEastAsia"/>
                <w:bCs/>
                <w:kern w:val="0"/>
                <w:szCs w:val="21"/>
              </w:rPr>
              <w:t>10389.6</w:t>
            </w:r>
          </w:p>
        </w:tc>
        <w:tc>
          <w:tcPr>
            <w:tcW w:w="666" w:type="pct"/>
            <w:shd w:val="clear" w:color="auto" w:fill="auto"/>
            <w:vAlign w:val="center"/>
          </w:tcPr>
          <w:p>
            <w:pPr>
              <w:widowControl/>
              <w:jc w:val="center"/>
              <w:rPr>
                <w:rFonts w:cs="宋体" w:asciiTheme="minorEastAsia" w:hAnsiTheme="minorEastAsia"/>
                <w:kern w:val="0"/>
                <w:szCs w:val="21"/>
              </w:rPr>
            </w:pPr>
            <w:r>
              <w:rPr>
                <w:rFonts w:hint="eastAsia" w:eastAsia="宋体" w:cs="宋体" w:asciiTheme="minorEastAsia" w:hAnsiTheme="minorEastAsia"/>
                <w:bCs/>
                <w:kern w:val="0"/>
                <w:szCs w:val="21"/>
              </w:rPr>
              <w:t>10389.6</w:t>
            </w:r>
          </w:p>
        </w:tc>
        <w:tc>
          <w:tcPr>
            <w:tcW w:w="665" w:type="pct"/>
            <w:shd w:val="clear" w:color="auto" w:fill="auto"/>
            <w:vAlign w:val="center"/>
          </w:tcPr>
          <w:p>
            <w:pPr>
              <w:widowControl/>
              <w:jc w:val="center"/>
              <w:rPr>
                <w:rFonts w:cs="宋体" w:asciiTheme="minorEastAsia" w:hAnsiTheme="minorEastAsia"/>
                <w:kern w:val="0"/>
                <w:szCs w:val="21"/>
              </w:rPr>
            </w:pPr>
            <w:r>
              <w:rPr>
                <w:rFonts w:hint="eastAsia" w:eastAsia="宋体" w:cs="宋体" w:asciiTheme="minorEastAsia" w:hAnsiTheme="minorEastAsia"/>
                <w:bCs/>
                <w:kern w:val="0"/>
                <w:szCs w:val="21"/>
              </w:rPr>
              <w:t>10389.6</w:t>
            </w:r>
          </w:p>
        </w:tc>
        <w:tc>
          <w:tcPr>
            <w:tcW w:w="549" w:type="pct"/>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约束性</w:t>
            </w:r>
          </w:p>
        </w:tc>
        <w:tc>
          <w:tcPr>
            <w:tcW w:w="478" w:type="pct"/>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片区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13" w:type="pct"/>
            <w:shd w:val="clear" w:color="auto" w:fill="auto"/>
            <w:vAlign w:val="center"/>
          </w:tcPr>
          <w:p>
            <w:pPr>
              <w:widowControl/>
              <w:jc w:val="center"/>
              <w:rPr>
                <w:rFonts w:cs="宋体" w:asciiTheme="minorEastAsia" w:hAnsiTheme="minorEastAsia"/>
                <w:bCs/>
                <w:kern w:val="0"/>
                <w:szCs w:val="21"/>
              </w:rPr>
            </w:pPr>
            <w:r>
              <w:rPr>
                <w:rFonts w:eastAsia="宋体" w:cs="宋体" w:asciiTheme="minorEastAsia" w:hAnsiTheme="minorEastAsia"/>
                <w:bCs/>
                <w:kern w:val="0"/>
                <w:szCs w:val="21"/>
              </w:rPr>
              <w:t>2</w:t>
            </w:r>
          </w:p>
        </w:tc>
        <w:tc>
          <w:tcPr>
            <w:tcW w:w="1164" w:type="pct"/>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生态保护红线面积</w:t>
            </w:r>
          </w:p>
        </w:tc>
        <w:tc>
          <w:tcPr>
            <w:tcW w:w="583" w:type="pct"/>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公顷</w:t>
            </w:r>
          </w:p>
        </w:tc>
        <w:tc>
          <w:tcPr>
            <w:tcW w:w="582" w:type="pct"/>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1.85</w:t>
            </w:r>
          </w:p>
        </w:tc>
        <w:tc>
          <w:tcPr>
            <w:tcW w:w="666" w:type="pct"/>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1.85</w:t>
            </w:r>
          </w:p>
        </w:tc>
        <w:tc>
          <w:tcPr>
            <w:tcW w:w="665" w:type="pct"/>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1.85</w:t>
            </w:r>
          </w:p>
        </w:tc>
        <w:tc>
          <w:tcPr>
            <w:tcW w:w="549" w:type="pct"/>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约束性</w:t>
            </w:r>
          </w:p>
        </w:tc>
        <w:tc>
          <w:tcPr>
            <w:tcW w:w="478" w:type="pct"/>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片区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13" w:type="pct"/>
            <w:shd w:val="clear" w:color="auto" w:fill="auto"/>
            <w:vAlign w:val="center"/>
          </w:tcPr>
          <w:p>
            <w:pPr>
              <w:widowControl/>
              <w:jc w:val="center"/>
              <w:rPr>
                <w:rFonts w:cs="宋体" w:asciiTheme="minorEastAsia" w:hAnsiTheme="minorEastAsia"/>
                <w:bCs/>
                <w:kern w:val="0"/>
                <w:szCs w:val="21"/>
              </w:rPr>
            </w:pPr>
            <w:r>
              <w:rPr>
                <w:rFonts w:eastAsia="宋体" w:cs="宋体" w:asciiTheme="minorEastAsia" w:hAnsiTheme="minorEastAsia"/>
                <w:bCs/>
                <w:kern w:val="0"/>
                <w:szCs w:val="21"/>
              </w:rPr>
              <w:t>3</w:t>
            </w:r>
          </w:p>
        </w:tc>
        <w:tc>
          <w:tcPr>
            <w:tcW w:w="1164" w:type="pct"/>
            <w:shd w:val="clear" w:color="auto" w:fill="auto"/>
            <w:vAlign w:val="center"/>
          </w:tcPr>
          <w:p>
            <w:pPr>
              <w:widowControl/>
              <w:jc w:val="center"/>
              <w:rPr>
                <w:rFonts w:cs="宋体" w:asciiTheme="minorEastAsia" w:hAnsiTheme="minorEastAsia"/>
                <w:kern w:val="0"/>
                <w:szCs w:val="21"/>
              </w:rPr>
            </w:pPr>
            <w:r>
              <w:rPr>
                <w:rFonts w:hint="eastAsia" w:eastAsia="宋体" w:cs="宋体" w:asciiTheme="minorEastAsia" w:hAnsiTheme="minorEastAsia"/>
                <w:kern w:val="0"/>
                <w:szCs w:val="21"/>
              </w:rPr>
              <w:t>耕地保有量</w:t>
            </w:r>
          </w:p>
        </w:tc>
        <w:tc>
          <w:tcPr>
            <w:tcW w:w="583" w:type="pct"/>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公顷</w:t>
            </w:r>
          </w:p>
        </w:tc>
        <w:tc>
          <w:tcPr>
            <w:tcW w:w="582" w:type="pct"/>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10797.84</w:t>
            </w:r>
          </w:p>
        </w:tc>
        <w:tc>
          <w:tcPr>
            <w:tcW w:w="666" w:type="pct"/>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11034.52</w:t>
            </w:r>
          </w:p>
        </w:tc>
        <w:tc>
          <w:tcPr>
            <w:tcW w:w="665" w:type="pct"/>
            <w:shd w:val="clear" w:color="auto" w:fill="auto"/>
            <w:vAlign w:val="center"/>
          </w:tcPr>
          <w:p>
            <w:pPr>
              <w:widowControl/>
              <w:jc w:val="center"/>
              <w:rPr>
                <w:rFonts w:cs="宋体" w:asciiTheme="minorEastAsia" w:hAnsiTheme="minorEastAsia"/>
                <w:kern w:val="0"/>
                <w:szCs w:val="21"/>
              </w:rPr>
            </w:pPr>
            <w:r>
              <w:rPr>
                <w:rFonts w:hint="eastAsia" w:eastAsia="宋体" w:cs="宋体" w:asciiTheme="minorEastAsia" w:hAnsiTheme="minorEastAsia"/>
                <w:kern w:val="0"/>
                <w:szCs w:val="21"/>
              </w:rPr>
              <w:t>11394.07</w:t>
            </w:r>
          </w:p>
        </w:tc>
        <w:tc>
          <w:tcPr>
            <w:tcW w:w="549" w:type="pct"/>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约束性</w:t>
            </w:r>
          </w:p>
        </w:tc>
        <w:tc>
          <w:tcPr>
            <w:tcW w:w="478" w:type="pct"/>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片区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13" w:type="pct"/>
            <w:shd w:val="clear" w:color="auto" w:fill="auto"/>
            <w:vAlign w:val="center"/>
          </w:tcPr>
          <w:p>
            <w:pPr>
              <w:widowControl/>
              <w:jc w:val="center"/>
              <w:rPr>
                <w:rFonts w:cs="宋体" w:asciiTheme="minorEastAsia" w:hAnsiTheme="minorEastAsia"/>
                <w:bCs/>
                <w:kern w:val="0"/>
                <w:szCs w:val="21"/>
              </w:rPr>
            </w:pPr>
            <w:r>
              <w:rPr>
                <w:rFonts w:eastAsia="宋体" w:cs="宋体" w:asciiTheme="minorEastAsia" w:hAnsiTheme="minorEastAsia"/>
                <w:bCs/>
                <w:kern w:val="0"/>
                <w:szCs w:val="21"/>
              </w:rPr>
              <w:t>4</w:t>
            </w:r>
          </w:p>
        </w:tc>
        <w:tc>
          <w:tcPr>
            <w:tcW w:w="1164" w:type="pct"/>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建设用地总面积</w:t>
            </w:r>
          </w:p>
        </w:tc>
        <w:tc>
          <w:tcPr>
            <w:tcW w:w="583" w:type="pct"/>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公顷</w:t>
            </w:r>
          </w:p>
        </w:tc>
        <w:tc>
          <w:tcPr>
            <w:tcW w:w="582" w:type="pct"/>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2227.33</w:t>
            </w:r>
          </w:p>
        </w:tc>
        <w:tc>
          <w:tcPr>
            <w:tcW w:w="666" w:type="pct"/>
            <w:shd w:val="clear" w:color="auto" w:fill="auto"/>
            <w:vAlign w:val="center"/>
          </w:tcPr>
          <w:p>
            <w:pPr>
              <w:widowControl/>
              <w:jc w:val="center"/>
              <w:rPr>
                <w:rFonts w:cs="宋体" w:asciiTheme="minorEastAsia" w:hAnsiTheme="minorEastAsia"/>
                <w:kern w:val="0"/>
                <w:szCs w:val="21"/>
              </w:rPr>
            </w:pPr>
            <w:r>
              <w:rPr>
                <w:rFonts w:hint="eastAsia" w:eastAsia="宋体" w:cs="宋体" w:asciiTheme="minorEastAsia" w:hAnsiTheme="minorEastAsia"/>
                <w:kern w:val="0"/>
                <w:szCs w:val="21"/>
              </w:rPr>
              <w:t>—</w:t>
            </w:r>
          </w:p>
        </w:tc>
        <w:tc>
          <w:tcPr>
            <w:tcW w:w="665" w:type="pct"/>
            <w:shd w:val="clear" w:color="auto" w:fill="auto"/>
            <w:vAlign w:val="center"/>
          </w:tcPr>
          <w:p>
            <w:pPr>
              <w:widowControl/>
              <w:jc w:val="center"/>
              <w:rPr>
                <w:rFonts w:cs="宋体" w:asciiTheme="minorEastAsia" w:hAnsiTheme="minorEastAsia"/>
                <w:kern w:val="0"/>
                <w:szCs w:val="21"/>
              </w:rPr>
            </w:pPr>
            <w:r>
              <w:rPr>
                <w:rFonts w:hint="eastAsia" w:eastAsia="宋体" w:cs="宋体" w:asciiTheme="minorEastAsia" w:hAnsiTheme="minorEastAsia"/>
                <w:kern w:val="0"/>
                <w:szCs w:val="21"/>
              </w:rPr>
              <w:t>2306.98</w:t>
            </w:r>
          </w:p>
        </w:tc>
        <w:tc>
          <w:tcPr>
            <w:tcW w:w="549" w:type="pct"/>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约束性</w:t>
            </w:r>
          </w:p>
        </w:tc>
        <w:tc>
          <w:tcPr>
            <w:tcW w:w="478" w:type="pct"/>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片区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13" w:type="pct"/>
            <w:shd w:val="clear" w:color="auto" w:fill="auto"/>
            <w:vAlign w:val="center"/>
          </w:tcPr>
          <w:p>
            <w:pPr>
              <w:widowControl/>
              <w:jc w:val="center"/>
              <w:rPr>
                <w:rFonts w:cs="宋体" w:asciiTheme="minorEastAsia" w:hAnsiTheme="minorEastAsia"/>
                <w:bCs/>
                <w:kern w:val="0"/>
                <w:szCs w:val="21"/>
              </w:rPr>
            </w:pPr>
            <w:r>
              <w:rPr>
                <w:rFonts w:eastAsia="宋体" w:cs="宋体" w:asciiTheme="minorEastAsia" w:hAnsiTheme="minorEastAsia"/>
                <w:bCs/>
                <w:kern w:val="0"/>
                <w:szCs w:val="21"/>
              </w:rPr>
              <w:t>5</w:t>
            </w:r>
          </w:p>
        </w:tc>
        <w:tc>
          <w:tcPr>
            <w:tcW w:w="1164" w:type="pct"/>
            <w:shd w:val="clear" w:color="auto" w:fill="auto"/>
            <w:vAlign w:val="center"/>
          </w:tcPr>
          <w:p>
            <w:pPr>
              <w:widowControl/>
              <w:jc w:val="center"/>
              <w:rPr>
                <w:rFonts w:cs="宋体" w:asciiTheme="minorEastAsia" w:hAnsiTheme="minorEastAsia"/>
                <w:kern w:val="0"/>
                <w:szCs w:val="21"/>
              </w:rPr>
            </w:pPr>
            <w:r>
              <w:rPr>
                <w:rFonts w:hint="eastAsia" w:eastAsia="宋体" w:cs="宋体" w:asciiTheme="minorEastAsia" w:hAnsiTheme="minorEastAsia"/>
                <w:kern w:val="0"/>
                <w:szCs w:val="21"/>
              </w:rPr>
              <w:t>林地保有量</w:t>
            </w:r>
          </w:p>
        </w:tc>
        <w:tc>
          <w:tcPr>
            <w:tcW w:w="583" w:type="pct"/>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公顷</w:t>
            </w:r>
          </w:p>
        </w:tc>
        <w:tc>
          <w:tcPr>
            <w:tcW w:w="582" w:type="pct"/>
            <w:shd w:val="clear" w:color="auto" w:fill="auto"/>
            <w:vAlign w:val="center"/>
          </w:tcPr>
          <w:p>
            <w:pPr>
              <w:widowControl/>
              <w:jc w:val="center"/>
              <w:rPr>
                <w:rFonts w:eastAsia="宋体" w:cs="宋体" w:asciiTheme="minorEastAsia" w:hAnsiTheme="minorEastAsia"/>
                <w:bCs/>
                <w:kern w:val="0"/>
                <w:szCs w:val="21"/>
              </w:rPr>
            </w:pPr>
            <w:r>
              <w:rPr>
                <w:rFonts w:hint="eastAsia" w:eastAsia="宋体" w:cs="宋体" w:asciiTheme="minorEastAsia" w:hAnsiTheme="minorEastAsia"/>
                <w:bCs/>
                <w:kern w:val="0"/>
                <w:szCs w:val="21"/>
              </w:rPr>
              <w:t>6018.27</w:t>
            </w:r>
          </w:p>
        </w:tc>
        <w:tc>
          <w:tcPr>
            <w:tcW w:w="666" w:type="pct"/>
            <w:shd w:val="clear" w:color="auto" w:fill="auto"/>
            <w:vAlign w:val="center"/>
          </w:tcPr>
          <w:p>
            <w:pPr>
              <w:widowControl/>
              <w:jc w:val="center"/>
              <w:rPr>
                <w:rFonts w:eastAsia="宋体" w:cs="宋体" w:asciiTheme="minorEastAsia" w:hAnsiTheme="minorEastAsia"/>
                <w:bCs/>
                <w:kern w:val="0"/>
                <w:szCs w:val="21"/>
              </w:rPr>
            </w:pPr>
            <w:r>
              <w:rPr>
                <w:rFonts w:hint="eastAsia" w:eastAsia="宋体" w:cs="宋体" w:asciiTheme="minorEastAsia" w:hAnsiTheme="minorEastAsia"/>
                <w:bCs/>
                <w:kern w:val="0"/>
                <w:szCs w:val="21"/>
              </w:rPr>
              <w:t>6002.35</w:t>
            </w:r>
          </w:p>
        </w:tc>
        <w:tc>
          <w:tcPr>
            <w:tcW w:w="665" w:type="pct"/>
            <w:shd w:val="clear" w:color="auto" w:fill="auto"/>
            <w:vAlign w:val="center"/>
          </w:tcPr>
          <w:p>
            <w:pPr>
              <w:widowControl/>
              <w:jc w:val="center"/>
              <w:rPr>
                <w:rFonts w:eastAsia="宋体" w:cs="宋体" w:asciiTheme="minorEastAsia" w:hAnsiTheme="minorEastAsia"/>
                <w:bCs/>
                <w:kern w:val="0"/>
                <w:szCs w:val="21"/>
              </w:rPr>
            </w:pPr>
            <w:r>
              <w:rPr>
                <w:rFonts w:hint="eastAsia" w:eastAsia="宋体" w:cs="宋体" w:asciiTheme="minorEastAsia" w:hAnsiTheme="minorEastAsia"/>
                <w:bCs/>
                <w:kern w:val="0"/>
                <w:szCs w:val="21"/>
              </w:rPr>
              <w:t>5571.66</w:t>
            </w:r>
          </w:p>
        </w:tc>
        <w:tc>
          <w:tcPr>
            <w:tcW w:w="549" w:type="pct"/>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约束性</w:t>
            </w:r>
          </w:p>
        </w:tc>
        <w:tc>
          <w:tcPr>
            <w:tcW w:w="478" w:type="pct"/>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片区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13" w:type="pct"/>
            <w:shd w:val="clear" w:color="auto" w:fill="auto"/>
            <w:vAlign w:val="center"/>
          </w:tcPr>
          <w:p>
            <w:pPr>
              <w:widowControl/>
              <w:jc w:val="center"/>
              <w:rPr>
                <w:rFonts w:cs="宋体" w:asciiTheme="minorEastAsia" w:hAnsiTheme="minorEastAsia"/>
                <w:bCs/>
                <w:kern w:val="0"/>
                <w:szCs w:val="21"/>
              </w:rPr>
            </w:pPr>
            <w:r>
              <w:rPr>
                <w:rFonts w:eastAsia="宋体" w:cs="宋体" w:asciiTheme="minorEastAsia" w:hAnsiTheme="minorEastAsia"/>
                <w:bCs/>
                <w:kern w:val="0"/>
                <w:szCs w:val="21"/>
              </w:rPr>
              <w:t>6</w:t>
            </w:r>
          </w:p>
        </w:tc>
        <w:tc>
          <w:tcPr>
            <w:tcW w:w="1164" w:type="pct"/>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湿地面积</w:t>
            </w:r>
          </w:p>
        </w:tc>
        <w:tc>
          <w:tcPr>
            <w:tcW w:w="583" w:type="pct"/>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公顷</w:t>
            </w:r>
          </w:p>
        </w:tc>
        <w:tc>
          <w:tcPr>
            <w:tcW w:w="582" w:type="pct"/>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6.66</w:t>
            </w:r>
          </w:p>
        </w:tc>
        <w:tc>
          <w:tcPr>
            <w:tcW w:w="666" w:type="pct"/>
            <w:shd w:val="clear" w:color="auto" w:fill="auto"/>
            <w:vAlign w:val="center"/>
          </w:tcPr>
          <w:p>
            <w:pPr>
              <w:widowControl/>
              <w:jc w:val="center"/>
              <w:rPr>
                <w:rFonts w:cs="宋体" w:asciiTheme="minorEastAsia" w:hAnsiTheme="minorEastAsia"/>
                <w:kern w:val="0"/>
                <w:szCs w:val="21"/>
              </w:rPr>
            </w:pPr>
            <w:r>
              <w:rPr>
                <w:rFonts w:hint="eastAsia" w:eastAsia="宋体" w:cs="宋体" w:asciiTheme="minorEastAsia" w:hAnsiTheme="minorEastAsia"/>
                <w:kern w:val="0"/>
                <w:szCs w:val="21"/>
              </w:rPr>
              <w:t>6.61</w:t>
            </w:r>
          </w:p>
        </w:tc>
        <w:tc>
          <w:tcPr>
            <w:tcW w:w="665" w:type="pct"/>
            <w:shd w:val="clear" w:color="auto" w:fill="auto"/>
            <w:vAlign w:val="center"/>
          </w:tcPr>
          <w:p>
            <w:pPr>
              <w:widowControl/>
              <w:jc w:val="center"/>
              <w:rPr>
                <w:rFonts w:cs="宋体" w:asciiTheme="minorEastAsia" w:hAnsiTheme="minorEastAsia"/>
                <w:kern w:val="0"/>
                <w:szCs w:val="21"/>
              </w:rPr>
            </w:pPr>
            <w:r>
              <w:rPr>
                <w:rFonts w:hint="eastAsia" w:eastAsia="宋体" w:cs="宋体" w:asciiTheme="minorEastAsia" w:hAnsiTheme="minorEastAsia"/>
                <w:kern w:val="0"/>
                <w:szCs w:val="21"/>
              </w:rPr>
              <w:t>6.61</w:t>
            </w:r>
          </w:p>
        </w:tc>
        <w:tc>
          <w:tcPr>
            <w:tcW w:w="549" w:type="pct"/>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约束性</w:t>
            </w:r>
          </w:p>
        </w:tc>
        <w:tc>
          <w:tcPr>
            <w:tcW w:w="478" w:type="pct"/>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片区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13" w:type="pct"/>
            <w:shd w:val="clear" w:color="auto" w:fill="auto"/>
            <w:vAlign w:val="center"/>
          </w:tcPr>
          <w:p>
            <w:pPr>
              <w:widowControl/>
              <w:jc w:val="center"/>
              <w:rPr>
                <w:rFonts w:cs="宋体" w:asciiTheme="minorEastAsia" w:hAnsiTheme="minorEastAsia"/>
                <w:bCs/>
                <w:kern w:val="0"/>
                <w:szCs w:val="21"/>
              </w:rPr>
            </w:pPr>
            <w:r>
              <w:rPr>
                <w:rFonts w:eastAsia="宋体" w:cs="宋体" w:asciiTheme="minorEastAsia" w:hAnsiTheme="minorEastAsia"/>
                <w:bCs/>
                <w:kern w:val="0"/>
                <w:szCs w:val="21"/>
              </w:rPr>
              <w:t>7</w:t>
            </w:r>
          </w:p>
        </w:tc>
        <w:tc>
          <w:tcPr>
            <w:tcW w:w="1164" w:type="pct"/>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每千名老年人养老床位数</w:t>
            </w:r>
          </w:p>
        </w:tc>
        <w:tc>
          <w:tcPr>
            <w:tcW w:w="583" w:type="pct"/>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张</w:t>
            </w:r>
          </w:p>
        </w:tc>
        <w:tc>
          <w:tcPr>
            <w:tcW w:w="582" w:type="pct"/>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w:t>
            </w:r>
          </w:p>
        </w:tc>
        <w:tc>
          <w:tcPr>
            <w:tcW w:w="666" w:type="pct"/>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w:t>
            </w:r>
          </w:p>
        </w:tc>
        <w:tc>
          <w:tcPr>
            <w:tcW w:w="665" w:type="pct"/>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w:t>
            </w:r>
          </w:p>
        </w:tc>
        <w:tc>
          <w:tcPr>
            <w:tcW w:w="549" w:type="pct"/>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预期性</w:t>
            </w:r>
          </w:p>
        </w:tc>
        <w:tc>
          <w:tcPr>
            <w:tcW w:w="478" w:type="pct"/>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片区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13" w:type="pct"/>
            <w:shd w:val="clear" w:color="auto" w:fill="auto"/>
            <w:vAlign w:val="center"/>
          </w:tcPr>
          <w:p>
            <w:pPr>
              <w:widowControl/>
              <w:jc w:val="center"/>
              <w:rPr>
                <w:rFonts w:cs="宋体" w:asciiTheme="minorEastAsia" w:hAnsiTheme="minorEastAsia"/>
                <w:bCs/>
                <w:kern w:val="0"/>
                <w:szCs w:val="21"/>
              </w:rPr>
            </w:pPr>
            <w:r>
              <w:rPr>
                <w:rFonts w:eastAsia="宋体" w:cs="宋体" w:asciiTheme="minorEastAsia" w:hAnsiTheme="minorEastAsia"/>
                <w:bCs/>
                <w:kern w:val="0"/>
                <w:szCs w:val="21"/>
              </w:rPr>
              <w:t>8</w:t>
            </w:r>
          </w:p>
        </w:tc>
        <w:tc>
          <w:tcPr>
            <w:tcW w:w="1164" w:type="pct"/>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每千人医疗卫生机构床位数</w:t>
            </w:r>
          </w:p>
        </w:tc>
        <w:tc>
          <w:tcPr>
            <w:tcW w:w="583" w:type="pct"/>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张</w:t>
            </w:r>
          </w:p>
        </w:tc>
        <w:tc>
          <w:tcPr>
            <w:tcW w:w="582" w:type="pct"/>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w:t>
            </w:r>
          </w:p>
        </w:tc>
        <w:tc>
          <w:tcPr>
            <w:tcW w:w="666" w:type="pct"/>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w:t>
            </w:r>
          </w:p>
        </w:tc>
        <w:tc>
          <w:tcPr>
            <w:tcW w:w="665" w:type="pct"/>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w:t>
            </w:r>
          </w:p>
        </w:tc>
        <w:tc>
          <w:tcPr>
            <w:tcW w:w="549" w:type="pct"/>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预期性</w:t>
            </w:r>
          </w:p>
        </w:tc>
        <w:tc>
          <w:tcPr>
            <w:tcW w:w="478" w:type="pct"/>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片区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13" w:type="pct"/>
            <w:shd w:val="clear" w:color="auto" w:fill="auto"/>
            <w:vAlign w:val="center"/>
          </w:tcPr>
          <w:p>
            <w:pPr>
              <w:widowControl/>
              <w:jc w:val="center"/>
              <w:rPr>
                <w:rFonts w:cs="宋体" w:asciiTheme="minorEastAsia" w:hAnsiTheme="minorEastAsia"/>
                <w:bCs/>
                <w:kern w:val="0"/>
                <w:szCs w:val="21"/>
              </w:rPr>
            </w:pPr>
            <w:r>
              <w:rPr>
                <w:rFonts w:eastAsia="宋体" w:cs="宋体" w:asciiTheme="minorEastAsia" w:hAnsiTheme="minorEastAsia"/>
                <w:bCs/>
                <w:kern w:val="0"/>
                <w:szCs w:val="21"/>
              </w:rPr>
              <w:t>9</w:t>
            </w:r>
          </w:p>
        </w:tc>
        <w:tc>
          <w:tcPr>
            <w:tcW w:w="1164" w:type="pct"/>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农村生活垃圾处理率</w:t>
            </w:r>
          </w:p>
        </w:tc>
        <w:tc>
          <w:tcPr>
            <w:tcW w:w="583" w:type="pct"/>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w:t>
            </w:r>
          </w:p>
        </w:tc>
        <w:tc>
          <w:tcPr>
            <w:tcW w:w="582" w:type="pct"/>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40%</w:t>
            </w:r>
          </w:p>
        </w:tc>
        <w:tc>
          <w:tcPr>
            <w:tcW w:w="666" w:type="pct"/>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75%</w:t>
            </w:r>
          </w:p>
        </w:tc>
        <w:tc>
          <w:tcPr>
            <w:tcW w:w="665" w:type="pct"/>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95%</w:t>
            </w:r>
          </w:p>
        </w:tc>
        <w:tc>
          <w:tcPr>
            <w:tcW w:w="549" w:type="pct"/>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预期性</w:t>
            </w:r>
          </w:p>
        </w:tc>
        <w:tc>
          <w:tcPr>
            <w:tcW w:w="478" w:type="pct"/>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片区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13" w:type="pct"/>
            <w:shd w:val="clear" w:color="auto" w:fill="auto"/>
            <w:vAlign w:val="center"/>
          </w:tcPr>
          <w:p>
            <w:pPr>
              <w:widowControl/>
              <w:jc w:val="center"/>
              <w:rPr>
                <w:rFonts w:cs="宋体" w:asciiTheme="minorEastAsia" w:hAnsiTheme="minorEastAsia"/>
                <w:bCs/>
                <w:kern w:val="0"/>
                <w:szCs w:val="21"/>
              </w:rPr>
            </w:pPr>
            <w:r>
              <w:rPr>
                <w:rFonts w:eastAsia="宋体" w:cs="宋体" w:asciiTheme="minorEastAsia" w:hAnsiTheme="minorEastAsia"/>
                <w:bCs/>
                <w:kern w:val="0"/>
                <w:szCs w:val="21"/>
              </w:rPr>
              <w:t>10</w:t>
            </w:r>
          </w:p>
        </w:tc>
        <w:tc>
          <w:tcPr>
            <w:tcW w:w="1164" w:type="pct"/>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农村自来水普及率</w:t>
            </w:r>
          </w:p>
        </w:tc>
        <w:tc>
          <w:tcPr>
            <w:tcW w:w="583" w:type="pct"/>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w:t>
            </w:r>
          </w:p>
        </w:tc>
        <w:tc>
          <w:tcPr>
            <w:tcW w:w="582" w:type="pct"/>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w:t>
            </w:r>
          </w:p>
        </w:tc>
        <w:tc>
          <w:tcPr>
            <w:tcW w:w="666" w:type="pct"/>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w:t>
            </w:r>
          </w:p>
        </w:tc>
        <w:tc>
          <w:tcPr>
            <w:tcW w:w="665" w:type="pct"/>
            <w:shd w:val="clear" w:color="auto" w:fill="auto"/>
            <w:vAlign w:val="center"/>
          </w:tcPr>
          <w:p>
            <w:pPr>
              <w:widowControl/>
              <w:jc w:val="center"/>
              <w:rPr>
                <w:rFonts w:cs="宋体" w:asciiTheme="minorEastAsia" w:hAnsiTheme="minorEastAsia"/>
                <w:kern w:val="0"/>
                <w:szCs w:val="21"/>
              </w:rPr>
            </w:pPr>
            <w:r>
              <w:rPr>
                <w:rFonts w:hint="eastAsia" w:eastAsia="宋体" w:cs="宋体" w:asciiTheme="minorEastAsia" w:hAnsiTheme="minorEastAsia"/>
                <w:kern w:val="0"/>
                <w:szCs w:val="21"/>
              </w:rPr>
              <w:t>90</w:t>
            </w:r>
            <w:r>
              <w:rPr>
                <w:rFonts w:eastAsia="宋体" w:cs="宋体" w:asciiTheme="minorEastAsia" w:hAnsiTheme="minorEastAsia"/>
                <w:kern w:val="0"/>
                <w:szCs w:val="21"/>
              </w:rPr>
              <w:t>%</w:t>
            </w:r>
          </w:p>
        </w:tc>
        <w:tc>
          <w:tcPr>
            <w:tcW w:w="549" w:type="pct"/>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预期性</w:t>
            </w:r>
          </w:p>
        </w:tc>
        <w:tc>
          <w:tcPr>
            <w:tcW w:w="478" w:type="pct"/>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片区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13" w:type="pct"/>
            <w:shd w:val="clear" w:color="auto" w:fill="auto"/>
            <w:vAlign w:val="center"/>
          </w:tcPr>
          <w:p>
            <w:pPr>
              <w:widowControl/>
              <w:jc w:val="center"/>
              <w:rPr>
                <w:rFonts w:cs="宋体" w:asciiTheme="minorEastAsia" w:hAnsiTheme="minorEastAsia"/>
                <w:bCs/>
                <w:kern w:val="0"/>
                <w:szCs w:val="21"/>
              </w:rPr>
            </w:pPr>
            <w:r>
              <w:rPr>
                <w:rFonts w:eastAsia="宋体" w:cs="宋体" w:asciiTheme="minorEastAsia" w:hAnsiTheme="minorEastAsia"/>
                <w:bCs/>
                <w:kern w:val="0"/>
                <w:szCs w:val="21"/>
              </w:rPr>
              <w:t>11</w:t>
            </w:r>
          </w:p>
        </w:tc>
        <w:tc>
          <w:tcPr>
            <w:tcW w:w="1164" w:type="pct"/>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农村污水处理率</w:t>
            </w:r>
          </w:p>
        </w:tc>
        <w:tc>
          <w:tcPr>
            <w:tcW w:w="583" w:type="pct"/>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w:t>
            </w:r>
          </w:p>
        </w:tc>
        <w:tc>
          <w:tcPr>
            <w:tcW w:w="582" w:type="pct"/>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w:t>
            </w:r>
          </w:p>
        </w:tc>
        <w:tc>
          <w:tcPr>
            <w:tcW w:w="666" w:type="pct"/>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w:t>
            </w:r>
          </w:p>
        </w:tc>
        <w:tc>
          <w:tcPr>
            <w:tcW w:w="665" w:type="pct"/>
            <w:shd w:val="clear" w:color="auto" w:fill="auto"/>
            <w:vAlign w:val="center"/>
          </w:tcPr>
          <w:p>
            <w:pPr>
              <w:widowControl/>
              <w:jc w:val="center"/>
              <w:rPr>
                <w:rFonts w:cs="宋体" w:asciiTheme="minorEastAsia" w:hAnsiTheme="minorEastAsia"/>
                <w:kern w:val="0"/>
                <w:szCs w:val="21"/>
              </w:rPr>
            </w:pPr>
            <w:r>
              <w:rPr>
                <w:rFonts w:hint="eastAsia" w:eastAsia="宋体" w:cs="宋体" w:asciiTheme="minorEastAsia" w:hAnsiTheme="minorEastAsia"/>
                <w:kern w:val="0"/>
                <w:szCs w:val="21"/>
              </w:rPr>
              <w:t>90</w:t>
            </w:r>
            <w:r>
              <w:rPr>
                <w:rFonts w:eastAsia="宋体" w:cs="宋体" w:asciiTheme="minorEastAsia" w:hAnsiTheme="minorEastAsia"/>
                <w:kern w:val="0"/>
                <w:szCs w:val="21"/>
              </w:rPr>
              <w:t>%</w:t>
            </w:r>
          </w:p>
        </w:tc>
        <w:tc>
          <w:tcPr>
            <w:tcW w:w="549" w:type="pct"/>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预期性</w:t>
            </w:r>
          </w:p>
        </w:tc>
        <w:tc>
          <w:tcPr>
            <w:tcW w:w="478" w:type="pct"/>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片区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13" w:type="pct"/>
            <w:shd w:val="clear" w:color="auto" w:fill="auto"/>
            <w:vAlign w:val="center"/>
          </w:tcPr>
          <w:p>
            <w:pPr>
              <w:widowControl/>
              <w:jc w:val="center"/>
              <w:rPr>
                <w:rFonts w:cs="宋体" w:asciiTheme="minorEastAsia" w:hAnsiTheme="minorEastAsia"/>
                <w:bCs/>
                <w:kern w:val="0"/>
                <w:szCs w:val="21"/>
              </w:rPr>
            </w:pPr>
            <w:r>
              <w:rPr>
                <w:rFonts w:eastAsia="宋体" w:cs="宋体" w:asciiTheme="minorEastAsia" w:hAnsiTheme="minorEastAsia"/>
                <w:bCs/>
                <w:kern w:val="0"/>
                <w:szCs w:val="21"/>
              </w:rPr>
              <w:t>12</w:t>
            </w:r>
          </w:p>
        </w:tc>
        <w:tc>
          <w:tcPr>
            <w:tcW w:w="1164" w:type="pct"/>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行政村等级道路通达率</w:t>
            </w:r>
          </w:p>
        </w:tc>
        <w:tc>
          <w:tcPr>
            <w:tcW w:w="583" w:type="pct"/>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w:t>
            </w:r>
          </w:p>
        </w:tc>
        <w:tc>
          <w:tcPr>
            <w:tcW w:w="582" w:type="pct"/>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85%</w:t>
            </w:r>
          </w:p>
        </w:tc>
        <w:tc>
          <w:tcPr>
            <w:tcW w:w="666" w:type="pct"/>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95%</w:t>
            </w:r>
          </w:p>
        </w:tc>
        <w:tc>
          <w:tcPr>
            <w:tcW w:w="665" w:type="pct"/>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100%</w:t>
            </w:r>
          </w:p>
        </w:tc>
        <w:tc>
          <w:tcPr>
            <w:tcW w:w="549" w:type="pct"/>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预期性</w:t>
            </w:r>
          </w:p>
        </w:tc>
        <w:tc>
          <w:tcPr>
            <w:tcW w:w="478" w:type="pct"/>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片区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313" w:type="pct"/>
            <w:shd w:val="clear" w:color="auto" w:fill="auto"/>
            <w:vAlign w:val="center"/>
          </w:tcPr>
          <w:p>
            <w:pPr>
              <w:widowControl/>
              <w:jc w:val="center"/>
              <w:rPr>
                <w:rFonts w:cs="宋体" w:asciiTheme="minorEastAsia" w:hAnsiTheme="minorEastAsia"/>
                <w:bCs/>
                <w:kern w:val="0"/>
                <w:szCs w:val="21"/>
              </w:rPr>
            </w:pPr>
            <w:r>
              <w:rPr>
                <w:rFonts w:eastAsia="宋体" w:cs="宋体" w:asciiTheme="minorEastAsia" w:hAnsiTheme="minorEastAsia"/>
                <w:bCs/>
                <w:kern w:val="0"/>
                <w:szCs w:val="21"/>
              </w:rPr>
              <w:t>13</w:t>
            </w:r>
          </w:p>
        </w:tc>
        <w:tc>
          <w:tcPr>
            <w:tcW w:w="1164" w:type="pct"/>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常住人口规模</w:t>
            </w:r>
          </w:p>
        </w:tc>
        <w:tc>
          <w:tcPr>
            <w:tcW w:w="583" w:type="pct"/>
            <w:shd w:val="clear" w:color="auto" w:fill="auto"/>
            <w:vAlign w:val="center"/>
          </w:tcPr>
          <w:p>
            <w:pPr>
              <w:widowControl/>
              <w:jc w:val="center"/>
              <w:rPr>
                <w:rFonts w:cs="宋体" w:asciiTheme="minorEastAsia" w:hAnsiTheme="minorEastAsia"/>
                <w:kern w:val="0"/>
                <w:szCs w:val="21"/>
              </w:rPr>
            </w:pPr>
            <w:r>
              <w:rPr>
                <w:rFonts w:hint="eastAsia" w:eastAsia="宋体" w:cs="宋体" w:asciiTheme="minorEastAsia" w:hAnsiTheme="minorEastAsia"/>
                <w:kern w:val="0"/>
                <w:szCs w:val="21"/>
              </w:rPr>
              <w:t>万人</w:t>
            </w:r>
          </w:p>
        </w:tc>
        <w:tc>
          <w:tcPr>
            <w:tcW w:w="582" w:type="pct"/>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7.92</w:t>
            </w:r>
          </w:p>
        </w:tc>
        <w:tc>
          <w:tcPr>
            <w:tcW w:w="666" w:type="pct"/>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7.40</w:t>
            </w:r>
          </w:p>
        </w:tc>
        <w:tc>
          <w:tcPr>
            <w:tcW w:w="665" w:type="pct"/>
            <w:shd w:val="clear" w:color="auto" w:fill="auto"/>
            <w:vAlign w:val="center"/>
          </w:tcPr>
          <w:p>
            <w:pPr>
              <w:widowControl/>
              <w:jc w:val="center"/>
              <w:rPr>
                <w:rFonts w:cs="宋体" w:asciiTheme="minorEastAsia" w:hAnsiTheme="minorEastAsia"/>
                <w:kern w:val="0"/>
                <w:szCs w:val="21"/>
              </w:rPr>
            </w:pPr>
            <w:r>
              <w:rPr>
                <w:rFonts w:hint="eastAsia" w:eastAsia="宋体" w:cs="宋体" w:asciiTheme="minorEastAsia" w:hAnsiTheme="minorEastAsia"/>
                <w:kern w:val="0"/>
                <w:szCs w:val="21"/>
              </w:rPr>
              <w:t>6.69</w:t>
            </w:r>
          </w:p>
        </w:tc>
        <w:tc>
          <w:tcPr>
            <w:tcW w:w="549" w:type="pct"/>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预期性</w:t>
            </w:r>
          </w:p>
        </w:tc>
        <w:tc>
          <w:tcPr>
            <w:tcW w:w="478" w:type="pct"/>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片区/镇区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13" w:type="pct"/>
            <w:shd w:val="clear" w:color="auto" w:fill="auto"/>
            <w:vAlign w:val="center"/>
          </w:tcPr>
          <w:p>
            <w:pPr>
              <w:widowControl/>
              <w:jc w:val="center"/>
              <w:rPr>
                <w:rFonts w:cs="宋体" w:asciiTheme="minorEastAsia" w:hAnsiTheme="minorEastAsia"/>
                <w:bCs/>
                <w:kern w:val="0"/>
                <w:szCs w:val="21"/>
              </w:rPr>
            </w:pPr>
            <w:r>
              <w:rPr>
                <w:rFonts w:eastAsia="宋体" w:cs="宋体" w:asciiTheme="minorEastAsia" w:hAnsiTheme="minorEastAsia"/>
                <w:bCs/>
                <w:kern w:val="0"/>
                <w:szCs w:val="21"/>
              </w:rPr>
              <w:t>14</w:t>
            </w:r>
          </w:p>
        </w:tc>
        <w:tc>
          <w:tcPr>
            <w:tcW w:w="1164" w:type="pct"/>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人均城镇建设用地面积</w:t>
            </w:r>
          </w:p>
        </w:tc>
        <w:tc>
          <w:tcPr>
            <w:tcW w:w="583" w:type="pct"/>
            <w:shd w:val="clear" w:color="auto" w:fill="auto"/>
            <w:vAlign w:val="center"/>
          </w:tcPr>
          <w:p>
            <w:pPr>
              <w:widowControl/>
              <w:jc w:val="center"/>
              <w:rPr>
                <w:rFonts w:cs="宋体" w:asciiTheme="minorEastAsia" w:hAnsiTheme="minorEastAsia"/>
                <w:kern w:val="0"/>
                <w:szCs w:val="21"/>
              </w:rPr>
            </w:pPr>
            <w:r>
              <w:rPr>
                <w:rFonts w:hint="eastAsia" w:eastAsia="宋体" w:cs="宋体" w:asciiTheme="minorEastAsia" w:hAnsiTheme="minorEastAsia"/>
                <w:kern w:val="0"/>
                <w:szCs w:val="21"/>
              </w:rPr>
              <w:t>平方米</w:t>
            </w:r>
          </w:p>
        </w:tc>
        <w:tc>
          <w:tcPr>
            <w:tcW w:w="582" w:type="pct"/>
            <w:shd w:val="clear" w:color="auto" w:fill="auto"/>
            <w:vAlign w:val="center"/>
          </w:tcPr>
          <w:p>
            <w:pPr>
              <w:widowControl/>
              <w:jc w:val="center"/>
              <w:rPr>
                <w:rFonts w:cs="宋体" w:asciiTheme="minorEastAsia" w:hAnsiTheme="minorEastAsia"/>
                <w:kern w:val="0"/>
                <w:szCs w:val="21"/>
              </w:rPr>
            </w:pPr>
            <w:r>
              <w:rPr>
                <w:rFonts w:hint="eastAsia" w:eastAsia="宋体" w:cs="宋体" w:asciiTheme="minorEastAsia" w:hAnsiTheme="minorEastAsia"/>
                <w:kern w:val="0"/>
                <w:szCs w:val="21"/>
              </w:rPr>
              <w:t>193.28</w:t>
            </w:r>
          </w:p>
        </w:tc>
        <w:tc>
          <w:tcPr>
            <w:tcW w:w="666" w:type="pct"/>
            <w:shd w:val="clear" w:color="auto" w:fill="auto"/>
            <w:vAlign w:val="center"/>
          </w:tcPr>
          <w:p>
            <w:pPr>
              <w:widowControl/>
              <w:jc w:val="center"/>
              <w:rPr>
                <w:rFonts w:cs="宋体" w:asciiTheme="minorEastAsia" w:hAnsiTheme="minorEastAsia"/>
                <w:kern w:val="0"/>
                <w:szCs w:val="21"/>
              </w:rPr>
            </w:pPr>
            <w:r>
              <w:rPr>
                <w:rFonts w:hint="eastAsia" w:eastAsia="宋体" w:cs="宋体" w:asciiTheme="minorEastAsia" w:hAnsiTheme="minorEastAsia"/>
                <w:kern w:val="0"/>
                <w:szCs w:val="21"/>
              </w:rPr>
              <w:t>160.75</w:t>
            </w:r>
          </w:p>
        </w:tc>
        <w:tc>
          <w:tcPr>
            <w:tcW w:w="665" w:type="pct"/>
            <w:shd w:val="clear" w:color="auto" w:fill="auto"/>
            <w:vAlign w:val="center"/>
          </w:tcPr>
          <w:p>
            <w:pPr>
              <w:widowControl/>
              <w:jc w:val="center"/>
              <w:rPr>
                <w:rFonts w:cs="宋体" w:asciiTheme="minorEastAsia" w:hAnsiTheme="minorEastAsia"/>
                <w:kern w:val="0"/>
                <w:szCs w:val="21"/>
              </w:rPr>
            </w:pPr>
            <w:r>
              <w:rPr>
                <w:rFonts w:hint="eastAsia" w:eastAsia="宋体" w:cs="宋体" w:asciiTheme="minorEastAsia" w:hAnsiTheme="minorEastAsia"/>
                <w:kern w:val="0"/>
                <w:szCs w:val="21"/>
              </w:rPr>
              <w:t>97.98</w:t>
            </w:r>
          </w:p>
        </w:tc>
        <w:tc>
          <w:tcPr>
            <w:tcW w:w="549" w:type="pct"/>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预期性</w:t>
            </w:r>
          </w:p>
        </w:tc>
        <w:tc>
          <w:tcPr>
            <w:tcW w:w="478" w:type="pct"/>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镇区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313" w:type="pct"/>
            <w:shd w:val="clear" w:color="auto" w:fill="auto"/>
            <w:vAlign w:val="center"/>
          </w:tcPr>
          <w:p>
            <w:pPr>
              <w:widowControl/>
              <w:jc w:val="center"/>
              <w:rPr>
                <w:rFonts w:cs="宋体" w:asciiTheme="minorEastAsia" w:hAnsiTheme="minorEastAsia"/>
                <w:bCs/>
                <w:kern w:val="0"/>
                <w:szCs w:val="21"/>
              </w:rPr>
            </w:pPr>
            <w:r>
              <w:rPr>
                <w:rFonts w:eastAsia="宋体" w:cs="宋体" w:asciiTheme="minorEastAsia" w:hAnsiTheme="minorEastAsia"/>
                <w:bCs/>
                <w:kern w:val="0"/>
                <w:szCs w:val="21"/>
              </w:rPr>
              <w:t>15</w:t>
            </w:r>
          </w:p>
        </w:tc>
        <w:tc>
          <w:tcPr>
            <w:tcW w:w="1164" w:type="pct"/>
            <w:shd w:val="clear" w:color="auto" w:fill="auto"/>
            <w:vAlign w:val="center"/>
          </w:tcPr>
          <w:p>
            <w:pPr>
              <w:widowControl/>
              <w:jc w:val="center"/>
              <w:rPr>
                <w:rFonts w:cs="宋体" w:asciiTheme="minorEastAsia" w:hAnsiTheme="minorEastAsia"/>
                <w:kern w:val="0"/>
                <w:szCs w:val="21"/>
              </w:rPr>
            </w:pPr>
            <w:r>
              <w:rPr>
                <w:rFonts w:hint="eastAsia" w:eastAsia="宋体" w:cs="宋体" w:asciiTheme="minorEastAsia" w:hAnsiTheme="minorEastAsia"/>
                <w:kern w:val="0"/>
                <w:szCs w:val="21"/>
              </w:rPr>
              <w:t>道路网密度</w:t>
            </w:r>
          </w:p>
        </w:tc>
        <w:tc>
          <w:tcPr>
            <w:tcW w:w="583" w:type="pct"/>
            <w:shd w:val="clear" w:color="auto" w:fill="auto"/>
            <w:vAlign w:val="center"/>
          </w:tcPr>
          <w:p>
            <w:pPr>
              <w:widowControl/>
              <w:jc w:val="center"/>
              <w:rPr>
                <w:rFonts w:cs="宋体" w:asciiTheme="minorEastAsia" w:hAnsiTheme="minorEastAsia"/>
                <w:kern w:val="0"/>
                <w:szCs w:val="21"/>
              </w:rPr>
            </w:pPr>
            <w:r>
              <w:rPr>
                <w:rFonts w:hint="eastAsia" w:eastAsia="宋体" w:cs="宋体" w:asciiTheme="minorEastAsia" w:hAnsiTheme="minorEastAsia"/>
                <w:kern w:val="0"/>
                <w:szCs w:val="21"/>
              </w:rPr>
              <w:t>千米</w:t>
            </w:r>
            <w:r>
              <w:rPr>
                <w:rFonts w:eastAsia="宋体" w:cs="宋体" w:asciiTheme="minorEastAsia" w:hAnsiTheme="minorEastAsia"/>
                <w:kern w:val="0"/>
                <w:szCs w:val="21"/>
              </w:rPr>
              <w:t>/</w:t>
            </w:r>
            <w:r>
              <w:rPr>
                <w:rFonts w:hint="eastAsia" w:eastAsia="宋体" w:cs="宋体" w:asciiTheme="minorEastAsia" w:hAnsiTheme="minorEastAsia"/>
                <w:kern w:val="0"/>
                <w:szCs w:val="21"/>
              </w:rPr>
              <w:t>平方公里</w:t>
            </w:r>
          </w:p>
        </w:tc>
        <w:tc>
          <w:tcPr>
            <w:tcW w:w="582" w:type="pct"/>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5.5</w:t>
            </w:r>
          </w:p>
        </w:tc>
        <w:tc>
          <w:tcPr>
            <w:tcW w:w="666" w:type="pct"/>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6.8</w:t>
            </w:r>
          </w:p>
        </w:tc>
        <w:tc>
          <w:tcPr>
            <w:tcW w:w="665" w:type="pct"/>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8.0</w:t>
            </w:r>
          </w:p>
        </w:tc>
        <w:tc>
          <w:tcPr>
            <w:tcW w:w="549" w:type="pct"/>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预期性</w:t>
            </w:r>
          </w:p>
        </w:tc>
        <w:tc>
          <w:tcPr>
            <w:tcW w:w="478" w:type="pct"/>
            <w:shd w:val="clear" w:color="auto" w:fill="auto"/>
            <w:vAlign w:val="center"/>
          </w:tcPr>
          <w:p>
            <w:pPr>
              <w:widowControl/>
              <w:jc w:val="center"/>
              <w:rPr>
                <w:rFonts w:cs="宋体" w:asciiTheme="minorEastAsia" w:hAnsiTheme="minorEastAsia"/>
                <w:kern w:val="0"/>
                <w:szCs w:val="21"/>
              </w:rPr>
            </w:pPr>
            <w:r>
              <w:rPr>
                <w:rFonts w:eastAsia="宋体" w:cs="宋体" w:asciiTheme="minorEastAsia" w:hAnsiTheme="minorEastAsia"/>
                <w:kern w:val="0"/>
                <w:szCs w:val="21"/>
              </w:rPr>
              <w:t>镇区</w:t>
            </w:r>
          </w:p>
        </w:tc>
      </w:tr>
    </w:tbl>
    <w:p>
      <w:pPr>
        <w:pStyle w:val="31"/>
        <w:spacing w:beforeLines="50" w:afterLines="50"/>
        <w:jc w:val="left"/>
        <w:rPr>
          <w:rFonts w:eastAsia="宋体" w:asciiTheme="minorEastAsia" w:hAnsiTheme="minorEastAsia"/>
          <w:b w:val="0"/>
          <w:sz w:val="24"/>
          <w:szCs w:val="24"/>
        </w:rPr>
      </w:pPr>
      <w:bookmarkStart w:id="38" w:name="_Toc166772187"/>
      <w:r>
        <w:rPr>
          <w:rFonts w:hint="eastAsia" w:eastAsia="宋体" w:asciiTheme="minorEastAsia" w:hAnsiTheme="minorEastAsia"/>
          <w:b w:val="0"/>
          <w:sz w:val="24"/>
          <w:szCs w:val="24"/>
        </w:rPr>
        <w:t>表</w:t>
      </w:r>
      <w:r>
        <w:rPr>
          <w:rFonts w:eastAsia="宋体" w:asciiTheme="minorEastAsia" w:hAnsiTheme="minorEastAsia"/>
          <w:b w:val="0"/>
          <w:sz w:val="24"/>
          <w:szCs w:val="24"/>
        </w:rPr>
        <w:t>3片区国土空间用途结构调</w:t>
      </w:r>
      <w:r>
        <w:rPr>
          <w:rFonts w:hint="eastAsia" w:eastAsia="宋体" w:asciiTheme="minorEastAsia" w:hAnsiTheme="minorEastAsia"/>
          <w:b w:val="0"/>
          <w:sz w:val="24"/>
          <w:szCs w:val="24"/>
        </w:rPr>
        <w:t>整表</w:t>
      </w:r>
      <w:bookmarkEnd w:id="38"/>
    </w:p>
    <w:tbl>
      <w:tblPr>
        <w:tblStyle w:val="16"/>
        <w:tblW w:w="5000" w:type="pct"/>
        <w:tblInd w:w="0" w:type="dxa"/>
        <w:tblLayout w:type="autofit"/>
        <w:tblCellMar>
          <w:top w:w="0" w:type="dxa"/>
          <w:left w:w="108" w:type="dxa"/>
          <w:bottom w:w="0" w:type="dxa"/>
          <w:right w:w="108" w:type="dxa"/>
        </w:tblCellMar>
      </w:tblPr>
      <w:tblGrid>
        <w:gridCol w:w="1033"/>
        <w:gridCol w:w="2414"/>
        <w:gridCol w:w="2096"/>
        <w:gridCol w:w="2013"/>
        <w:gridCol w:w="2067"/>
        <w:gridCol w:w="1738"/>
        <w:gridCol w:w="2093"/>
      </w:tblGrid>
      <w:tr>
        <w:tblPrEx>
          <w:tblCellMar>
            <w:top w:w="0" w:type="dxa"/>
            <w:left w:w="108" w:type="dxa"/>
            <w:bottom w:w="0" w:type="dxa"/>
            <w:right w:w="108" w:type="dxa"/>
          </w:tblCellMar>
        </w:tblPrEx>
        <w:trPr>
          <w:trHeight w:val="270" w:hRule="atLeast"/>
        </w:trPr>
        <w:tc>
          <w:tcPr>
            <w:tcW w:w="1281" w:type="pct"/>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用地类型</w:t>
            </w:r>
          </w:p>
        </w:tc>
        <w:tc>
          <w:tcPr>
            <w:tcW w:w="1527"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规划基期年</w:t>
            </w:r>
          </w:p>
        </w:tc>
        <w:tc>
          <w:tcPr>
            <w:tcW w:w="1414"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规划目标年</w:t>
            </w:r>
          </w:p>
        </w:tc>
        <w:tc>
          <w:tcPr>
            <w:tcW w:w="778"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规划期间面积增减情况（公顷）</w:t>
            </w:r>
          </w:p>
        </w:tc>
      </w:tr>
      <w:tr>
        <w:tblPrEx>
          <w:tblCellMar>
            <w:top w:w="0" w:type="dxa"/>
            <w:left w:w="108" w:type="dxa"/>
            <w:bottom w:w="0" w:type="dxa"/>
            <w:right w:w="108" w:type="dxa"/>
          </w:tblCellMar>
        </w:tblPrEx>
        <w:trPr>
          <w:trHeight w:val="480" w:hRule="atLeast"/>
        </w:trPr>
        <w:tc>
          <w:tcPr>
            <w:tcW w:w="1281" w:type="pct"/>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cs="宋体" w:asciiTheme="minorEastAsia" w:hAnsiTheme="minorEastAsia"/>
                <w:kern w:val="0"/>
                <w:szCs w:val="21"/>
              </w:rPr>
            </w:pPr>
          </w:p>
        </w:tc>
        <w:tc>
          <w:tcPr>
            <w:tcW w:w="779"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面积（公顷）</w:t>
            </w:r>
          </w:p>
        </w:tc>
        <w:tc>
          <w:tcPr>
            <w:tcW w:w="748"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比重（%）</w:t>
            </w:r>
          </w:p>
        </w:tc>
        <w:tc>
          <w:tcPr>
            <w:tcW w:w="768"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面积（公顷）</w:t>
            </w:r>
          </w:p>
        </w:tc>
        <w:tc>
          <w:tcPr>
            <w:tcW w:w="646"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比重（%）</w:t>
            </w:r>
          </w:p>
        </w:tc>
        <w:tc>
          <w:tcPr>
            <w:tcW w:w="778" w:type="pct"/>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cs="宋体" w:asciiTheme="minorEastAsia" w:hAnsiTheme="minorEastAsia"/>
                <w:kern w:val="0"/>
                <w:szCs w:val="21"/>
              </w:rPr>
            </w:pPr>
          </w:p>
        </w:tc>
      </w:tr>
      <w:tr>
        <w:tblPrEx>
          <w:tblCellMar>
            <w:top w:w="0" w:type="dxa"/>
            <w:left w:w="108" w:type="dxa"/>
            <w:bottom w:w="0" w:type="dxa"/>
            <w:right w:w="108" w:type="dxa"/>
          </w:tblCellMar>
        </w:tblPrEx>
        <w:trPr>
          <w:trHeight w:val="270" w:hRule="atLeast"/>
        </w:trPr>
        <w:tc>
          <w:tcPr>
            <w:tcW w:w="128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耕地</w:t>
            </w:r>
          </w:p>
        </w:tc>
        <w:tc>
          <w:tcPr>
            <w:tcW w:w="779"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10979.84</w:t>
            </w:r>
          </w:p>
        </w:tc>
        <w:tc>
          <w:tcPr>
            <w:tcW w:w="748"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47.97</w:t>
            </w:r>
          </w:p>
        </w:tc>
        <w:tc>
          <w:tcPr>
            <w:tcW w:w="768"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11371.18</w:t>
            </w:r>
          </w:p>
        </w:tc>
        <w:tc>
          <w:tcPr>
            <w:tcW w:w="646"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49.68</w:t>
            </w:r>
          </w:p>
        </w:tc>
        <w:tc>
          <w:tcPr>
            <w:tcW w:w="778"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391.33</w:t>
            </w:r>
          </w:p>
        </w:tc>
      </w:tr>
      <w:tr>
        <w:tblPrEx>
          <w:tblCellMar>
            <w:top w:w="0" w:type="dxa"/>
            <w:left w:w="108" w:type="dxa"/>
            <w:bottom w:w="0" w:type="dxa"/>
            <w:right w:w="108" w:type="dxa"/>
          </w:tblCellMar>
        </w:tblPrEx>
        <w:trPr>
          <w:trHeight w:val="270" w:hRule="atLeast"/>
        </w:trPr>
        <w:tc>
          <w:tcPr>
            <w:tcW w:w="384"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其中</w:t>
            </w:r>
          </w:p>
        </w:tc>
        <w:tc>
          <w:tcPr>
            <w:tcW w:w="897"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永久基本农田</w:t>
            </w:r>
          </w:p>
        </w:tc>
        <w:tc>
          <w:tcPr>
            <w:tcW w:w="779"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10389.60</w:t>
            </w:r>
          </w:p>
        </w:tc>
        <w:tc>
          <w:tcPr>
            <w:tcW w:w="748"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45.40</w:t>
            </w:r>
          </w:p>
        </w:tc>
        <w:tc>
          <w:tcPr>
            <w:tcW w:w="768"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10389.60</w:t>
            </w:r>
          </w:p>
        </w:tc>
        <w:tc>
          <w:tcPr>
            <w:tcW w:w="646"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45.40</w:t>
            </w:r>
          </w:p>
        </w:tc>
        <w:tc>
          <w:tcPr>
            <w:tcW w:w="778"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0.00</w:t>
            </w:r>
          </w:p>
        </w:tc>
      </w:tr>
      <w:tr>
        <w:tblPrEx>
          <w:tblCellMar>
            <w:top w:w="0" w:type="dxa"/>
            <w:left w:w="108" w:type="dxa"/>
            <w:bottom w:w="0" w:type="dxa"/>
            <w:right w:w="108" w:type="dxa"/>
          </w:tblCellMar>
        </w:tblPrEx>
        <w:trPr>
          <w:trHeight w:val="270" w:hRule="atLeast"/>
        </w:trPr>
        <w:tc>
          <w:tcPr>
            <w:tcW w:w="128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园地</w:t>
            </w:r>
          </w:p>
        </w:tc>
        <w:tc>
          <w:tcPr>
            <w:tcW w:w="779"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719.10</w:t>
            </w:r>
          </w:p>
        </w:tc>
        <w:tc>
          <w:tcPr>
            <w:tcW w:w="748"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3.14</w:t>
            </w:r>
          </w:p>
        </w:tc>
        <w:tc>
          <w:tcPr>
            <w:tcW w:w="768"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612.45</w:t>
            </w:r>
          </w:p>
        </w:tc>
        <w:tc>
          <w:tcPr>
            <w:tcW w:w="646"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2.68</w:t>
            </w:r>
          </w:p>
        </w:tc>
        <w:tc>
          <w:tcPr>
            <w:tcW w:w="778"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-106.65</w:t>
            </w:r>
          </w:p>
        </w:tc>
      </w:tr>
      <w:tr>
        <w:tblPrEx>
          <w:tblCellMar>
            <w:top w:w="0" w:type="dxa"/>
            <w:left w:w="108" w:type="dxa"/>
            <w:bottom w:w="0" w:type="dxa"/>
            <w:right w:w="108" w:type="dxa"/>
          </w:tblCellMar>
        </w:tblPrEx>
        <w:trPr>
          <w:trHeight w:val="270" w:hRule="atLeast"/>
        </w:trPr>
        <w:tc>
          <w:tcPr>
            <w:tcW w:w="128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林地</w:t>
            </w:r>
          </w:p>
        </w:tc>
        <w:tc>
          <w:tcPr>
            <w:tcW w:w="779"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6018.27</w:t>
            </w:r>
          </w:p>
        </w:tc>
        <w:tc>
          <w:tcPr>
            <w:tcW w:w="748"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26.30</w:t>
            </w:r>
          </w:p>
        </w:tc>
        <w:tc>
          <w:tcPr>
            <w:tcW w:w="768"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5571.66</w:t>
            </w:r>
          </w:p>
        </w:tc>
        <w:tc>
          <w:tcPr>
            <w:tcW w:w="646"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24.34</w:t>
            </w:r>
          </w:p>
        </w:tc>
        <w:tc>
          <w:tcPr>
            <w:tcW w:w="778"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-446.61</w:t>
            </w:r>
          </w:p>
        </w:tc>
      </w:tr>
      <w:tr>
        <w:tblPrEx>
          <w:tblCellMar>
            <w:top w:w="0" w:type="dxa"/>
            <w:left w:w="108" w:type="dxa"/>
            <w:bottom w:w="0" w:type="dxa"/>
            <w:right w:w="108" w:type="dxa"/>
          </w:tblCellMar>
        </w:tblPrEx>
        <w:trPr>
          <w:trHeight w:val="270" w:hRule="atLeast"/>
        </w:trPr>
        <w:tc>
          <w:tcPr>
            <w:tcW w:w="128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草地</w:t>
            </w:r>
          </w:p>
        </w:tc>
        <w:tc>
          <w:tcPr>
            <w:tcW w:w="779"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11.77</w:t>
            </w:r>
          </w:p>
        </w:tc>
        <w:tc>
          <w:tcPr>
            <w:tcW w:w="748"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0.05</w:t>
            </w:r>
          </w:p>
        </w:tc>
        <w:tc>
          <w:tcPr>
            <w:tcW w:w="768"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10.21</w:t>
            </w:r>
          </w:p>
        </w:tc>
        <w:tc>
          <w:tcPr>
            <w:tcW w:w="646"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0.04</w:t>
            </w:r>
          </w:p>
        </w:tc>
        <w:tc>
          <w:tcPr>
            <w:tcW w:w="778"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-1.56</w:t>
            </w:r>
          </w:p>
        </w:tc>
      </w:tr>
      <w:tr>
        <w:tblPrEx>
          <w:tblCellMar>
            <w:top w:w="0" w:type="dxa"/>
            <w:left w:w="108" w:type="dxa"/>
            <w:bottom w:w="0" w:type="dxa"/>
            <w:right w:w="108" w:type="dxa"/>
          </w:tblCellMar>
        </w:tblPrEx>
        <w:trPr>
          <w:trHeight w:val="270" w:hRule="atLeast"/>
        </w:trPr>
        <w:tc>
          <w:tcPr>
            <w:tcW w:w="128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湿地</w:t>
            </w:r>
          </w:p>
        </w:tc>
        <w:tc>
          <w:tcPr>
            <w:tcW w:w="779"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6.66</w:t>
            </w:r>
          </w:p>
        </w:tc>
        <w:tc>
          <w:tcPr>
            <w:tcW w:w="748"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0.03</w:t>
            </w:r>
          </w:p>
        </w:tc>
        <w:tc>
          <w:tcPr>
            <w:tcW w:w="768"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6.61</w:t>
            </w:r>
          </w:p>
        </w:tc>
        <w:tc>
          <w:tcPr>
            <w:tcW w:w="646"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0.03</w:t>
            </w:r>
          </w:p>
        </w:tc>
        <w:tc>
          <w:tcPr>
            <w:tcW w:w="778"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-0.05</w:t>
            </w:r>
          </w:p>
        </w:tc>
      </w:tr>
      <w:tr>
        <w:tblPrEx>
          <w:tblCellMar>
            <w:top w:w="0" w:type="dxa"/>
            <w:left w:w="108" w:type="dxa"/>
            <w:bottom w:w="0" w:type="dxa"/>
            <w:right w:w="108" w:type="dxa"/>
          </w:tblCellMar>
        </w:tblPrEx>
        <w:trPr>
          <w:trHeight w:val="270" w:hRule="atLeast"/>
        </w:trPr>
        <w:tc>
          <w:tcPr>
            <w:tcW w:w="128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农业设施建设用地</w:t>
            </w:r>
          </w:p>
        </w:tc>
        <w:tc>
          <w:tcPr>
            <w:tcW w:w="779"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359.53</w:t>
            </w:r>
          </w:p>
        </w:tc>
        <w:tc>
          <w:tcPr>
            <w:tcW w:w="748"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1.57</w:t>
            </w:r>
          </w:p>
        </w:tc>
        <w:tc>
          <w:tcPr>
            <w:tcW w:w="768"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387.38</w:t>
            </w:r>
          </w:p>
        </w:tc>
        <w:tc>
          <w:tcPr>
            <w:tcW w:w="646"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1.69</w:t>
            </w:r>
          </w:p>
        </w:tc>
        <w:tc>
          <w:tcPr>
            <w:tcW w:w="778"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27.85</w:t>
            </w:r>
          </w:p>
        </w:tc>
      </w:tr>
      <w:tr>
        <w:tblPrEx>
          <w:tblCellMar>
            <w:top w:w="0" w:type="dxa"/>
            <w:left w:w="108" w:type="dxa"/>
            <w:bottom w:w="0" w:type="dxa"/>
            <w:right w:w="108" w:type="dxa"/>
          </w:tblCellMar>
        </w:tblPrEx>
        <w:trPr>
          <w:trHeight w:val="270" w:hRule="atLeast"/>
        </w:trPr>
        <w:tc>
          <w:tcPr>
            <w:tcW w:w="128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城乡建设用地</w:t>
            </w:r>
          </w:p>
        </w:tc>
        <w:tc>
          <w:tcPr>
            <w:tcW w:w="779"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2041.75</w:t>
            </w:r>
          </w:p>
        </w:tc>
        <w:tc>
          <w:tcPr>
            <w:tcW w:w="748"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8.92</w:t>
            </w:r>
          </w:p>
        </w:tc>
        <w:tc>
          <w:tcPr>
            <w:tcW w:w="768"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1750.07</w:t>
            </w:r>
          </w:p>
        </w:tc>
        <w:tc>
          <w:tcPr>
            <w:tcW w:w="646"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7.65</w:t>
            </w:r>
          </w:p>
        </w:tc>
        <w:tc>
          <w:tcPr>
            <w:tcW w:w="778"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-291.68</w:t>
            </w:r>
          </w:p>
        </w:tc>
      </w:tr>
      <w:tr>
        <w:tblPrEx>
          <w:tblCellMar>
            <w:top w:w="0" w:type="dxa"/>
            <w:left w:w="108" w:type="dxa"/>
            <w:bottom w:w="0" w:type="dxa"/>
            <w:right w:w="108" w:type="dxa"/>
          </w:tblCellMar>
        </w:tblPrEx>
        <w:trPr>
          <w:trHeight w:val="270" w:hRule="atLeast"/>
        </w:trPr>
        <w:tc>
          <w:tcPr>
            <w:tcW w:w="384"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其中</w:t>
            </w:r>
          </w:p>
        </w:tc>
        <w:tc>
          <w:tcPr>
            <w:tcW w:w="897"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城镇建设用地</w:t>
            </w:r>
          </w:p>
        </w:tc>
        <w:tc>
          <w:tcPr>
            <w:tcW w:w="779"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95.38</w:t>
            </w:r>
          </w:p>
        </w:tc>
        <w:tc>
          <w:tcPr>
            <w:tcW w:w="748"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0.42</w:t>
            </w:r>
          </w:p>
        </w:tc>
        <w:tc>
          <w:tcPr>
            <w:tcW w:w="768"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176.02</w:t>
            </w:r>
          </w:p>
        </w:tc>
        <w:tc>
          <w:tcPr>
            <w:tcW w:w="646"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0.77</w:t>
            </w:r>
          </w:p>
        </w:tc>
        <w:tc>
          <w:tcPr>
            <w:tcW w:w="778"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80.64</w:t>
            </w:r>
          </w:p>
        </w:tc>
      </w:tr>
      <w:tr>
        <w:tblPrEx>
          <w:tblCellMar>
            <w:top w:w="0" w:type="dxa"/>
            <w:left w:w="108" w:type="dxa"/>
            <w:bottom w:w="0" w:type="dxa"/>
            <w:right w:w="108" w:type="dxa"/>
          </w:tblCellMar>
        </w:tblPrEx>
        <w:trPr>
          <w:trHeight w:val="270" w:hRule="atLeast"/>
        </w:trPr>
        <w:tc>
          <w:tcPr>
            <w:tcW w:w="384" w:type="pct"/>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kern w:val="0"/>
                <w:szCs w:val="21"/>
              </w:rPr>
            </w:pPr>
          </w:p>
        </w:tc>
        <w:tc>
          <w:tcPr>
            <w:tcW w:w="897"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村庄建设用地</w:t>
            </w:r>
          </w:p>
        </w:tc>
        <w:tc>
          <w:tcPr>
            <w:tcW w:w="779"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1946.36</w:t>
            </w:r>
          </w:p>
        </w:tc>
        <w:tc>
          <w:tcPr>
            <w:tcW w:w="748"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8.50</w:t>
            </w:r>
          </w:p>
        </w:tc>
        <w:tc>
          <w:tcPr>
            <w:tcW w:w="768"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1574.05</w:t>
            </w:r>
          </w:p>
        </w:tc>
        <w:tc>
          <w:tcPr>
            <w:tcW w:w="646"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6.88</w:t>
            </w:r>
          </w:p>
        </w:tc>
        <w:tc>
          <w:tcPr>
            <w:tcW w:w="778"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-372.32</w:t>
            </w:r>
          </w:p>
        </w:tc>
      </w:tr>
      <w:tr>
        <w:tblPrEx>
          <w:tblCellMar>
            <w:top w:w="0" w:type="dxa"/>
            <w:left w:w="108" w:type="dxa"/>
            <w:bottom w:w="0" w:type="dxa"/>
            <w:right w:w="108" w:type="dxa"/>
          </w:tblCellMar>
        </w:tblPrEx>
        <w:trPr>
          <w:trHeight w:val="270" w:hRule="atLeast"/>
        </w:trPr>
        <w:tc>
          <w:tcPr>
            <w:tcW w:w="128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区域基础设施用地</w:t>
            </w:r>
          </w:p>
        </w:tc>
        <w:tc>
          <w:tcPr>
            <w:tcW w:w="779"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173.42</w:t>
            </w:r>
          </w:p>
        </w:tc>
        <w:tc>
          <w:tcPr>
            <w:tcW w:w="748"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0.76</w:t>
            </w:r>
          </w:p>
        </w:tc>
        <w:tc>
          <w:tcPr>
            <w:tcW w:w="768"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535.65</w:t>
            </w:r>
          </w:p>
        </w:tc>
        <w:tc>
          <w:tcPr>
            <w:tcW w:w="646"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2.34</w:t>
            </w:r>
          </w:p>
        </w:tc>
        <w:tc>
          <w:tcPr>
            <w:tcW w:w="778"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362.24</w:t>
            </w:r>
          </w:p>
        </w:tc>
      </w:tr>
      <w:tr>
        <w:tblPrEx>
          <w:tblCellMar>
            <w:top w:w="0" w:type="dxa"/>
            <w:left w:w="108" w:type="dxa"/>
            <w:bottom w:w="0" w:type="dxa"/>
            <w:right w:w="108" w:type="dxa"/>
          </w:tblCellMar>
        </w:tblPrEx>
        <w:trPr>
          <w:trHeight w:val="270" w:hRule="atLeast"/>
        </w:trPr>
        <w:tc>
          <w:tcPr>
            <w:tcW w:w="128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其他建设用地</w:t>
            </w:r>
          </w:p>
        </w:tc>
        <w:tc>
          <w:tcPr>
            <w:tcW w:w="779"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12.16</w:t>
            </w:r>
          </w:p>
        </w:tc>
        <w:tc>
          <w:tcPr>
            <w:tcW w:w="748"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0.05</w:t>
            </w:r>
          </w:p>
        </w:tc>
        <w:tc>
          <w:tcPr>
            <w:tcW w:w="768"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21.25</w:t>
            </w:r>
          </w:p>
        </w:tc>
        <w:tc>
          <w:tcPr>
            <w:tcW w:w="646"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0.09</w:t>
            </w:r>
          </w:p>
        </w:tc>
        <w:tc>
          <w:tcPr>
            <w:tcW w:w="778"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9.09</w:t>
            </w:r>
          </w:p>
        </w:tc>
      </w:tr>
      <w:tr>
        <w:tblPrEx>
          <w:tblCellMar>
            <w:top w:w="0" w:type="dxa"/>
            <w:left w:w="108" w:type="dxa"/>
            <w:bottom w:w="0" w:type="dxa"/>
            <w:right w:w="108" w:type="dxa"/>
          </w:tblCellMar>
        </w:tblPrEx>
        <w:trPr>
          <w:trHeight w:val="270" w:hRule="atLeast"/>
        </w:trPr>
        <w:tc>
          <w:tcPr>
            <w:tcW w:w="128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陆地水域</w:t>
            </w:r>
          </w:p>
        </w:tc>
        <w:tc>
          <w:tcPr>
            <w:tcW w:w="779"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1058.70</w:t>
            </w:r>
          </w:p>
        </w:tc>
        <w:tc>
          <w:tcPr>
            <w:tcW w:w="748"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4.63</w:t>
            </w:r>
          </w:p>
        </w:tc>
        <w:tc>
          <w:tcPr>
            <w:tcW w:w="768"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1156.58</w:t>
            </w:r>
          </w:p>
        </w:tc>
        <w:tc>
          <w:tcPr>
            <w:tcW w:w="646"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5.05</w:t>
            </w:r>
          </w:p>
        </w:tc>
        <w:tc>
          <w:tcPr>
            <w:tcW w:w="778"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97.89</w:t>
            </w:r>
          </w:p>
        </w:tc>
      </w:tr>
      <w:tr>
        <w:tblPrEx>
          <w:tblCellMar>
            <w:top w:w="0" w:type="dxa"/>
            <w:left w:w="108" w:type="dxa"/>
            <w:bottom w:w="0" w:type="dxa"/>
            <w:right w:w="108" w:type="dxa"/>
          </w:tblCellMar>
        </w:tblPrEx>
        <w:trPr>
          <w:trHeight w:val="270" w:hRule="atLeast"/>
        </w:trPr>
        <w:tc>
          <w:tcPr>
            <w:tcW w:w="128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其他土地</w:t>
            </w:r>
          </w:p>
        </w:tc>
        <w:tc>
          <w:tcPr>
            <w:tcW w:w="779"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1505.76</w:t>
            </w:r>
          </w:p>
        </w:tc>
        <w:tc>
          <w:tcPr>
            <w:tcW w:w="748"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6.58</w:t>
            </w:r>
          </w:p>
        </w:tc>
        <w:tc>
          <w:tcPr>
            <w:tcW w:w="768"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1463.91</w:t>
            </w:r>
          </w:p>
        </w:tc>
        <w:tc>
          <w:tcPr>
            <w:tcW w:w="646"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6.40</w:t>
            </w:r>
          </w:p>
        </w:tc>
        <w:tc>
          <w:tcPr>
            <w:tcW w:w="778"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-41.85</w:t>
            </w:r>
          </w:p>
        </w:tc>
      </w:tr>
      <w:tr>
        <w:tblPrEx>
          <w:tblCellMar>
            <w:top w:w="0" w:type="dxa"/>
            <w:left w:w="108" w:type="dxa"/>
            <w:bottom w:w="0" w:type="dxa"/>
            <w:right w:w="108" w:type="dxa"/>
          </w:tblCellMar>
        </w:tblPrEx>
        <w:trPr>
          <w:trHeight w:val="270" w:hRule="atLeast"/>
        </w:trPr>
        <w:tc>
          <w:tcPr>
            <w:tcW w:w="128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合计</w:t>
            </w:r>
          </w:p>
        </w:tc>
        <w:tc>
          <w:tcPr>
            <w:tcW w:w="779"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22886.95</w:t>
            </w:r>
          </w:p>
        </w:tc>
        <w:tc>
          <w:tcPr>
            <w:tcW w:w="748"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100.00</w:t>
            </w:r>
          </w:p>
        </w:tc>
        <w:tc>
          <w:tcPr>
            <w:tcW w:w="768"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22886.95</w:t>
            </w:r>
          </w:p>
        </w:tc>
        <w:tc>
          <w:tcPr>
            <w:tcW w:w="646"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100.00</w:t>
            </w:r>
          </w:p>
        </w:tc>
        <w:tc>
          <w:tcPr>
            <w:tcW w:w="778"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0.00</w:t>
            </w:r>
          </w:p>
        </w:tc>
      </w:tr>
    </w:tbl>
    <w:p>
      <w:pPr>
        <w:pStyle w:val="31"/>
        <w:spacing w:beforeLines="50" w:afterLines="50"/>
        <w:jc w:val="left"/>
        <w:rPr>
          <w:rFonts w:eastAsia="宋体" w:asciiTheme="minorEastAsia" w:hAnsiTheme="minorEastAsia"/>
          <w:b w:val="0"/>
          <w:sz w:val="24"/>
          <w:szCs w:val="24"/>
        </w:rPr>
      </w:pPr>
      <w:bookmarkStart w:id="39" w:name="_Toc166772188"/>
      <w:r>
        <w:rPr>
          <w:rFonts w:hint="eastAsia" w:eastAsia="宋体" w:asciiTheme="minorEastAsia" w:hAnsiTheme="minorEastAsia"/>
          <w:b w:val="0"/>
          <w:sz w:val="24"/>
          <w:szCs w:val="24"/>
        </w:rPr>
        <w:t>表</w:t>
      </w:r>
      <w:r>
        <w:rPr>
          <w:rFonts w:eastAsia="宋体" w:asciiTheme="minorEastAsia" w:hAnsiTheme="minorEastAsia"/>
          <w:b w:val="0"/>
          <w:sz w:val="24"/>
          <w:szCs w:val="24"/>
        </w:rPr>
        <w:t>4片区村级片区划分一览表</w:t>
      </w:r>
      <w:bookmarkEnd w:id="39"/>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79"/>
        <w:gridCol w:w="4620"/>
        <w:gridCol w:w="1797"/>
        <w:gridCol w:w="45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921" w:type="pct"/>
            <w:shd w:val="clear" w:color="auto" w:fill="auto"/>
            <w:vAlign w:val="center"/>
          </w:tcPr>
          <w:p>
            <w:pPr>
              <w:widowControl/>
              <w:jc w:val="center"/>
              <w:rPr>
                <w:rFonts w:ascii="宋体" w:hAnsi="宋体" w:eastAsia="宋体" w:cs="宋体"/>
                <w:bCs/>
                <w:kern w:val="0"/>
                <w:szCs w:val="21"/>
              </w:rPr>
            </w:pPr>
            <w:r>
              <w:rPr>
                <w:rFonts w:ascii="宋体" w:hAnsi="宋体" w:eastAsia="宋体" w:cs="宋体"/>
                <w:bCs/>
                <w:kern w:val="0"/>
                <w:szCs w:val="21"/>
              </w:rPr>
              <w:t>片区名称</w:t>
            </w:r>
          </w:p>
        </w:tc>
        <w:tc>
          <w:tcPr>
            <w:tcW w:w="1717" w:type="pct"/>
            <w:shd w:val="clear" w:color="auto" w:fill="auto"/>
            <w:vAlign w:val="center"/>
          </w:tcPr>
          <w:p>
            <w:pPr>
              <w:widowControl/>
              <w:jc w:val="center"/>
              <w:rPr>
                <w:rFonts w:ascii="宋体" w:hAnsi="宋体" w:eastAsia="宋体" w:cs="宋体"/>
                <w:bCs/>
                <w:kern w:val="0"/>
                <w:szCs w:val="21"/>
              </w:rPr>
            </w:pPr>
            <w:r>
              <w:rPr>
                <w:rFonts w:ascii="宋体" w:hAnsi="宋体" w:eastAsia="宋体" w:cs="宋体"/>
                <w:bCs/>
                <w:kern w:val="0"/>
                <w:szCs w:val="21"/>
              </w:rPr>
              <w:t>范围</w:t>
            </w:r>
          </w:p>
        </w:tc>
        <w:tc>
          <w:tcPr>
            <w:tcW w:w="668" w:type="pct"/>
            <w:shd w:val="clear" w:color="auto" w:fill="auto"/>
            <w:vAlign w:val="center"/>
          </w:tcPr>
          <w:p>
            <w:pPr>
              <w:widowControl/>
              <w:jc w:val="center"/>
              <w:rPr>
                <w:rFonts w:ascii="宋体" w:hAnsi="宋体" w:eastAsia="宋体" w:cs="宋体"/>
                <w:bCs/>
                <w:kern w:val="0"/>
                <w:szCs w:val="21"/>
              </w:rPr>
            </w:pPr>
            <w:r>
              <w:rPr>
                <w:rFonts w:ascii="宋体" w:hAnsi="宋体" w:eastAsia="宋体" w:cs="宋体"/>
                <w:bCs/>
                <w:kern w:val="0"/>
                <w:szCs w:val="21"/>
              </w:rPr>
              <w:t>规划人口（户籍）</w:t>
            </w:r>
          </w:p>
        </w:tc>
        <w:tc>
          <w:tcPr>
            <w:tcW w:w="1694" w:type="pct"/>
            <w:shd w:val="clear" w:color="auto" w:fill="auto"/>
            <w:vAlign w:val="center"/>
          </w:tcPr>
          <w:p>
            <w:pPr>
              <w:widowControl/>
              <w:jc w:val="center"/>
              <w:rPr>
                <w:rFonts w:ascii="宋体" w:hAnsi="宋体" w:eastAsia="宋体" w:cs="宋体"/>
                <w:bCs/>
                <w:kern w:val="0"/>
                <w:szCs w:val="21"/>
              </w:rPr>
            </w:pPr>
            <w:r>
              <w:rPr>
                <w:rFonts w:hint="eastAsia" w:ascii="宋体" w:hAnsi="宋体" w:eastAsia="宋体" w:cs="宋体"/>
                <w:bCs/>
                <w:kern w:val="0"/>
                <w:szCs w:val="21"/>
              </w:rPr>
              <w:t>职能定位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921" w:type="pct"/>
            <w:shd w:val="clear" w:color="auto" w:fill="auto"/>
            <w:vAlign w:val="center"/>
          </w:tcPr>
          <w:p>
            <w:pPr>
              <w:widowControl/>
              <w:jc w:val="center"/>
              <w:rPr>
                <w:rFonts w:ascii="宋体" w:hAnsi="宋体" w:eastAsia="宋体" w:cs="宋体"/>
                <w:bCs/>
                <w:kern w:val="0"/>
                <w:szCs w:val="21"/>
              </w:rPr>
            </w:pPr>
            <w:r>
              <w:rPr>
                <w:rFonts w:ascii="宋体" w:hAnsi="宋体" w:eastAsia="宋体" w:cs="宋体"/>
                <w:bCs/>
                <w:kern w:val="0"/>
                <w:szCs w:val="21"/>
              </w:rPr>
              <w:t>坤龙片区</w:t>
            </w:r>
          </w:p>
        </w:tc>
        <w:tc>
          <w:tcPr>
            <w:tcW w:w="1717" w:type="pct"/>
            <w:shd w:val="clear" w:color="auto" w:fill="auto"/>
            <w:vAlign w:val="center"/>
          </w:tcPr>
          <w:p>
            <w:pPr>
              <w:widowControl/>
              <w:jc w:val="left"/>
              <w:rPr>
                <w:rFonts w:ascii="宋体" w:hAnsi="宋体" w:eastAsia="宋体" w:cs="宋体"/>
                <w:kern w:val="0"/>
                <w:szCs w:val="21"/>
              </w:rPr>
            </w:pPr>
            <w:r>
              <w:rPr>
                <w:rFonts w:ascii="宋体" w:hAnsi="宋体" w:eastAsia="宋体" w:cs="宋体"/>
                <w:kern w:val="0"/>
                <w:szCs w:val="21"/>
              </w:rPr>
              <w:t>坤龙村、石龙村、大屋沟村、栏江村、人民村、八里沟村、桂阳村</w:t>
            </w:r>
          </w:p>
        </w:tc>
        <w:tc>
          <w:tcPr>
            <w:tcW w:w="668" w:type="pct"/>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1.2</w:t>
            </w:r>
          </w:p>
        </w:tc>
        <w:tc>
          <w:tcPr>
            <w:tcW w:w="1694" w:type="pct"/>
            <w:shd w:val="clear" w:color="auto" w:fill="auto"/>
            <w:vAlign w:val="center"/>
          </w:tcPr>
          <w:p>
            <w:pPr>
              <w:widowControl/>
              <w:jc w:val="center"/>
              <w:rPr>
                <w:rFonts w:ascii="宋体" w:hAnsi="宋体" w:eastAsia="宋体" w:cs="宋体"/>
                <w:kern w:val="0"/>
                <w:szCs w:val="21"/>
              </w:rPr>
            </w:pPr>
            <w:r>
              <w:rPr>
                <w:rFonts w:ascii="宋体" w:hAnsi="宋体" w:eastAsia="宋体" w:cs="宋体"/>
                <w:kern w:val="0"/>
                <w:szCs w:val="21"/>
              </w:rPr>
              <w:t>粮油示范产业园区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921" w:type="pct"/>
            <w:shd w:val="clear" w:color="auto" w:fill="auto"/>
            <w:vAlign w:val="center"/>
          </w:tcPr>
          <w:p>
            <w:pPr>
              <w:widowControl/>
              <w:jc w:val="center"/>
              <w:rPr>
                <w:rFonts w:ascii="宋体" w:hAnsi="宋体" w:eastAsia="宋体" w:cs="宋体"/>
                <w:bCs/>
                <w:kern w:val="0"/>
                <w:szCs w:val="21"/>
              </w:rPr>
            </w:pPr>
            <w:r>
              <w:rPr>
                <w:rFonts w:ascii="宋体" w:hAnsi="宋体" w:eastAsia="宋体" w:cs="宋体"/>
                <w:bCs/>
                <w:kern w:val="0"/>
                <w:szCs w:val="21"/>
              </w:rPr>
              <w:t>牌坊片区</w:t>
            </w:r>
          </w:p>
        </w:tc>
        <w:tc>
          <w:tcPr>
            <w:tcW w:w="1717" w:type="pct"/>
            <w:shd w:val="clear" w:color="auto" w:fill="auto"/>
            <w:vAlign w:val="center"/>
          </w:tcPr>
          <w:p>
            <w:pPr>
              <w:widowControl/>
              <w:jc w:val="left"/>
              <w:rPr>
                <w:rFonts w:ascii="宋体" w:hAnsi="宋体" w:eastAsia="宋体" w:cs="宋体"/>
                <w:kern w:val="0"/>
                <w:szCs w:val="21"/>
              </w:rPr>
            </w:pPr>
            <w:r>
              <w:rPr>
                <w:rFonts w:ascii="宋体" w:hAnsi="宋体" w:eastAsia="宋体" w:cs="宋体"/>
                <w:kern w:val="0"/>
                <w:szCs w:val="21"/>
              </w:rPr>
              <w:t>牌坊村、玉泉井村、马尖坡村、红岩嘴村</w:t>
            </w:r>
          </w:p>
        </w:tc>
        <w:tc>
          <w:tcPr>
            <w:tcW w:w="668" w:type="pct"/>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0.6</w:t>
            </w:r>
          </w:p>
        </w:tc>
        <w:tc>
          <w:tcPr>
            <w:tcW w:w="1694" w:type="pct"/>
            <w:shd w:val="clear" w:color="auto" w:fill="auto"/>
            <w:vAlign w:val="center"/>
          </w:tcPr>
          <w:p>
            <w:pPr>
              <w:widowControl/>
              <w:jc w:val="center"/>
              <w:rPr>
                <w:rFonts w:ascii="宋体" w:hAnsi="宋体" w:eastAsia="宋体" w:cs="宋体"/>
                <w:kern w:val="0"/>
                <w:szCs w:val="21"/>
              </w:rPr>
            </w:pPr>
            <w:r>
              <w:rPr>
                <w:rFonts w:ascii="宋体" w:hAnsi="宋体" w:eastAsia="宋体" w:cs="宋体"/>
                <w:kern w:val="0"/>
                <w:szCs w:val="21"/>
              </w:rPr>
              <w:t>多元产业融合发展示范区</w:t>
            </w:r>
            <w:r>
              <w:rPr>
                <w:rFonts w:hint="eastAsia" w:ascii="宋体" w:hAnsi="宋体" w:eastAsia="宋体" w:cs="宋体"/>
                <w:kern w:val="0"/>
                <w:szCs w:val="21"/>
              </w:rPr>
              <w:br w:type="textWrapping"/>
            </w:r>
            <w:r>
              <w:rPr>
                <w:rFonts w:ascii="宋体" w:hAnsi="宋体" w:eastAsia="宋体" w:cs="宋体"/>
                <w:kern w:val="0"/>
                <w:szCs w:val="21"/>
              </w:rPr>
              <w:t>白柠檬、家庭农场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921" w:type="pct"/>
            <w:shd w:val="clear" w:color="auto" w:fill="auto"/>
            <w:vAlign w:val="center"/>
          </w:tcPr>
          <w:p>
            <w:pPr>
              <w:widowControl/>
              <w:jc w:val="center"/>
              <w:rPr>
                <w:rFonts w:ascii="宋体" w:hAnsi="宋体" w:eastAsia="宋体" w:cs="宋体"/>
                <w:bCs/>
                <w:kern w:val="0"/>
                <w:szCs w:val="21"/>
              </w:rPr>
            </w:pPr>
            <w:r>
              <w:rPr>
                <w:rFonts w:ascii="宋体" w:hAnsi="宋体" w:eastAsia="宋体" w:cs="宋体"/>
                <w:bCs/>
                <w:kern w:val="0"/>
                <w:szCs w:val="21"/>
              </w:rPr>
              <w:t>前进片区</w:t>
            </w:r>
          </w:p>
        </w:tc>
        <w:tc>
          <w:tcPr>
            <w:tcW w:w="1717" w:type="pct"/>
            <w:shd w:val="clear" w:color="auto" w:fill="auto"/>
            <w:vAlign w:val="center"/>
          </w:tcPr>
          <w:p>
            <w:pPr>
              <w:widowControl/>
              <w:jc w:val="left"/>
              <w:rPr>
                <w:rFonts w:ascii="宋体" w:hAnsi="宋体" w:eastAsia="宋体" w:cs="宋体"/>
                <w:kern w:val="0"/>
                <w:szCs w:val="21"/>
              </w:rPr>
            </w:pPr>
            <w:r>
              <w:rPr>
                <w:rFonts w:ascii="宋体" w:hAnsi="宋体" w:eastAsia="宋体" w:cs="宋体"/>
                <w:kern w:val="0"/>
                <w:szCs w:val="21"/>
              </w:rPr>
              <w:t>前进村、安山村、仁义村、经义村、胜利村、三块碑村</w:t>
            </w:r>
          </w:p>
        </w:tc>
        <w:tc>
          <w:tcPr>
            <w:tcW w:w="668" w:type="pct"/>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1.1</w:t>
            </w:r>
          </w:p>
        </w:tc>
        <w:tc>
          <w:tcPr>
            <w:tcW w:w="1694" w:type="pct"/>
            <w:shd w:val="clear" w:color="auto" w:fill="auto"/>
            <w:vAlign w:val="center"/>
          </w:tcPr>
          <w:p>
            <w:pPr>
              <w:widowControl/>
              <w:jc w:val="center"/>
              <w:rPr>
                <w:rFonts w:ascii="宋体" w:hAnsi="宋体" w:eastAsia="宋体" w:cs="宋体"/>
                <w:kern w:val="0"/>
                <w:szCs w:val="21"/>
              </w:rPr>
            </w:pPr>
            <w:r>
              <w:rPr>
                <w:rFonts w:ascii="宋体" w:hAnsi="宋体" w:eastAsia="宋体" w:cs="宋体"/>
                <w:kern w:val="0"/>
                <w:szCs w:val="21"/>
              </w:rPr>
              <w:t>多元产业融合发展示范区</w:t>
            </w:r>
            <w:r>
              <w:rPr>
                <w:rFonts w:hint="eastAsia" w:ascii="宋体" w:hAnsi="宋体" w:eastAsia="宋体" w:cs="宋体"/>
                <w:kern w:val="0"/>
                <w:szCs w:val="21"/>
              </w:rPr>
              <w:br w:type="textWrapping"/>
            </w:r>
            <w:r>
              <w:rPr>
                <w:rFonts w:ascii="宋体" w:hAnsi="宋体" w:eastAsia="宋体" w:cs="宋体"/>
                <w:kern w:val="0"/>
                <w:szCs w:val="21"/>
              </w:rPr>
              <w:t>柠檬、龙虾养殖、黑山羊养殖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921" w:type="pct"/>
            <w:shd w:val="clear" w:color="auto" w:fill="auto"/>
            <w:vAlign w:val="center"/>
          </w:tcPr>
          <w:p>
            <w:pPr>
              <w:widowControl/>
              <w:jc w:val="center"/>
              <w:rPr>
                <w:rFonts w:ascii="宋体" w:hAnsi="宋体" w:eastAsia="宋体" w:cs="宋体"/>
                <w:bCs/>
                <w:kern w:val="0"/>
                <w:szCs w:val="21"/>
              </w:rPr>
            </w:pPr>
            <w:r>
              <w:rPr>
                <w:rFonts w:ascii="宋体" w:hAnsi="宋体" w:eastAsia="宋体" w:cs="宋体"/>
                <w:bCs/>
                <w:kern w:val="0"/>
                <w:szCs w:val="21"/>
              </w:rPr>
              <w:t>梁家片区</w:t>
            </w:r>
          </w:p>
        </w:tc>
        <w:tc>
          <w:tcPr>
            <w:tcW w:w="1717" w:type="pct"/>
            <w:shd w:val="clear" w:color="auto" w:fill="auto"/>
            <w:vAlign w:val="center"/>
          </w:tcPr>
          <w:p>
            <w:pPr>
              <w:widowControl/>
              <w:jc w:val="left"/>
              <w:rPr>
                <w:rFonts w:ascii="宋体" w:hAnsi="宋体" w:eastAsia="宋体" w:cs="宋体"/>
                <w:kern w:val="0"/>
                <w:szCs w:val="21"/>
              </w:rPr>
            </w:pPr>
            <w:r>
              <w:rPr>
                <w:rFonts w:ascii="宋体" w:hAnsi="宋体" w:eastAsia="宋体" w:cs="宋体"/>
                <w:kern w:val="0"/>
                <w:szCs w:val="21"/>
              </w:rPr>
              <w:t>梁家村、石山村、鹿角沟村、铁路沟村</w:t>
            </w:r>
          </w:p>
        </w:tc>
        <w:tc>
          <w:tcPr>
            <w:tcW w:w="668" w:type="pct"/>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0.6</w:t>
            </w:r>
          </w:p>
        </w:tc>
        <w:tc>
          <w:tcPr>
            <w:tcW w:w="1694" w:type="pct"/>
            <w:shd w:val="clear" w:color="auto" w:fill="auto"/>
            <w:vAlign w:val="center"/>
          </w:tcPr>
          <w:p>
            <w:pPr>
              <w:widowControl/>
              <w:jc w:val="center"/>
              <w:rPr>
                <w:rFonts w:ascii="宋体" w:hAnsi="宋体" w:eastAsia="宋体" w:cs="宋体"/>
                <w:kern w:val="0"/>
                <w:szCs w:val="21"/>
              </w:rPr>
            </w:pPr>
            <w:r>
              <w:rPr>
                <w:rFonts w:ascii="宋体" w:hAnsi="宋体" w:eastAsia="宋体" w:cs="宋体"/>
                <w:kern w:val="0"/>
                <w:szCs w:val="21"/>
              </w:rPr>
              <w:t>粮油示范产业园区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921" w:type="pct"/>
            <w:shd w:val="clear" w:color="auto" w:fill="auto"/>
            <w:vAlign w:val="center"/>
          </w:tcPr>
          <w:p>
            <w:pPr>
              <w:widowControl/>
              <w:jc w:val="center"/>
              <w:rPr>
                <w:rFonts w:ascii="宋体" w:hAnsi="宋体" w:eastAsia="宋体" w:cs="宋体"/>
                <w:bCs/>
                <w:kern w:val="0"/>
                <w:szCs w:val="21"/>
              </w:rPr>
            </w:pPr>
            <w:r>
              <w:rPr>
                <w:rFonts w:ascii="宋体" w:hAnsi="宋体" w:eastAsia="宋体" w:cs="宋体"/>
                <w:bCs/>
                <w:kern w:val="0"/>
                <w:szCs w:val="21"/>
              </w:rPr>
              <w:t>地风井片区</w:t>
            </w:r>
          </w:p>
        </w:tc>
        <w:tc>
          <w:tcPr>
            <w:tcW w:w="1717" w:type="pct"/>
            <w:shd w:val="clear" w:color="auto" w:fill="auto"/>
            <w:vAlign w:val="center"/>
          </w:tcPr>
          <w:p>
            <w:pPr>
              <w:widowControl/>
              <w:jc w:val="left"/>
              <w:rPr>
                <w:rFonts w:ascii="宋体" w:hAnsi="宋体" w:eastAsia="宋体" w:cs="宋体"/>
                <w:kern w:val="0"/>
                <w:szCs w:val="21"/>
              </w:rPr>
            </w:pPr>
            <w:r>
              <w:rPr>
                <w:rFonts w:ascii="宋体" w:hAnsi="宋体" w:eastAsia="宋体" w:cs="宋体"/>
                <w:kern w:val="0"/>
                <w:szCs w:val="21"/>
              </w:rPr>
              <w:t>地风井村、铜鼓村、九店村、上坝子村、四方村</w:t>
            </w:r>
          </w:p>
        </w:tc>
        <w:tc>
          <w:tcPr>
            <w:tcW w:w="668" w:type="pct"/>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0.6</w:t>
            </w:r>
          </w:p>
        </w:tc>
        <w:tc>
          <w:tcPr>
            <w:tcW w:w="1694" w:type="pct"/>
            <w:shd w:val="clear" w:color="auto" w:fill="auto"/>
            <w:vAlign w:val="center"/>
          </w:tcPr>
          <w:p>
            <w:pPr>
              <w:widowControl/>
              <w:jc w:val="center"/>
              <w:rPr>
                <w:rFonts w:ascii="宋体" w:hAnsi="宋体" w:eastAsia="宋体" w:cs="宋体"/>
                <w:kern w:val="0"/>
                <w:szCs w:val="21"/>
              </w:rPr>
            </w:pPr>
            <w:r>
              <w:rPr>
                <w:rFonts w:ascii="宋体" w:hAnsi="宋体" w:eastAsia="宋体" w:cs="宋体"/>
                <w:kern w:val="0"/>
                <w:szCs w:val="21"/>
              </w:rPr>
              <w:t>多元产业融合发展示范区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921" w:type="pct"/>
            <w:shd w:val="clear" w:color="auto" w:fill="auto"/>
            <w:vAlign w:val="center"/>
          </w:tcPr>
          <w:p>
            <w:pPr>
              <w:widowControl/>
              <w:jc w:val="center"/>
              <w:rPr>
                <w:rFonts w:ascii="宋体" w:hAnsi="宋体" w:eastAsia="宋体" w:cs="宋体"/>
                <w:bCs/>
                <w:kern w:val="0"/>
                <w:szCs w:val="21"/>
              </w:rPr>
            </w:pPr>
            <w:r>
              <w:rPr>
                <w:rFonts w:ascii="宋体" w:hAnsi="宋体" w:eastAsia="宋体" w:cs="宋体"/>
                <w:bCs/>
                <w:kern w:val="0"/>
                <w:szCs w:val="21"/>
              </w:rPr>
              <w:t>团结片区</w:t>
            </w:r>
          </w:p>
        </w:tc>
        <w:tc>
          <w:tcPr>
            <w:tcW w:w="1717" w:type="pct"/>
            <w:shd w:val="clear" w:color="auto" w:fill="auto"/>
            <w:vAlign w:val="center"/>
          </w:tcPr>
          <w:p>
            <w:pPr>
              <w:widowControl/>
              <w:jc w:val="left"/>
              <w:rPr>
                <w:rFonts w:ascii="宋体" w:hAnsi="宋体" w:eastAsia="宋体" w:cs="宋体"/>
                <w:kern w:val="0"/>
                <w:szCs w:val="21"/>
              </w:rPr>
            </w:pPr>
            <w:r>
              <w:rPr>
                <w:rFonts w:ascii="宋体" w:hAnsi="宋体" w:eastAsia="宋体" w:cs="宋体"/>
                <w:kern w:val="0"/>
                <w:szCs w:val="21"/>
              </w:rPr>
              <w:t>团结村、肖家沟村、葡萄店村、送家沟村</w:t>
            </w:r>
          </w:p>
        </w:tc>
        <w:tc>
          <w:tcPr>
            <w:tcW w:w="668" w:type="pct"/>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0.85</w:t>
            </w:r>
          </w:p>
        </w:tc>
        <w:tc>
          <w:tcPr>
            <w:tcW w:w="1694" w:type="pct"/>
            <w:shd w:val="clear" w:color="auto" w:fill="auto"/>
            <w:vAlign w:val="center"/>
          </w:tcPr>
          <w:p>
            <w:pPr>
              <w:widowControl/>
              <w:jc w:val="center"/>
              <w:rPr>
                <w:rFonts w:ascii="宋体" w:hAnsi="宋体" w:eastAsia="宋体" w:cs="宋体"/>
                <w:kern w:val="0"/>
                <w:szCs w:val="21"/>
              </w:rPr>
            </w:pPr>
            <w:r>
              <w:rPr>
                <w:rFonts w:ascii="宋体" w:hAnsi="宋体" w:eastAsia="宋体" w:cs="宋体"/>
                <w:kern w:val="0"/>
                <w:szCs w:val="21"/>
              </w:rPr>
              <w:t>都市近郊乡村度假旅游</w:t>
            </w:r>
            <w:r>
              <w:rPr>
                <w:rFonts w:hint="eastAsia" w:ascii="宋体" w:hAnsi="宋体" w:eastAsia="宋体" w:cs="宋体"/>
                <w:kern w:val="0"/>
                <w:szCs w:val="21"/>
                <w:lang w:val="en-US" w:eastAsia="zh-CN"/>
              </w:rPr>
              <w:t>胜地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921" w:type="pct"/>
            <w:shd w:val="clear" w:color="auto" w:fill="auto"/>
            <w:vAlign w:val="center"/>
          </w:tcPr>
          <w:p>
            <w:pPr>
              <w:widowControl/>
              <w:jc w:val="center"/>
              <w:rPr>
                <w:rFonts w:ascii="宋体" w:hAnsi="宋体" w:eastAsia="宋体" w:cs="宋体"/>
                <w:bCs/>
                <w:kern w:val="0"/>
                <w:szCs w:val="21"/>
              </w:rPr>
            </w:pPr>
            <w:r>
              <w:rPr>
                <w:rFonts w:ascii="宋体" w:hAnsi="宋体" w:eastAsia="宋体" w:cs="宋体"/>
                <w:bCs/>
                <w:kern w:val="0"/>
                <w:szCs w:val="21"/>
              </w:rPr>
              <w:t>玉峰片区</w:t>
            </w:r>
          </w:p>
        </w:tc>
        <w:tc>
          <w:tcPr>
            <w:tcW w:w="1717" w:type="pct"/>
            <w:shd w:val="clear" w:color="auto" w:fill="auto"/>
            <w:vAlign w:val="center"/>
          </w:tcPr>
          <w:p>
            <w:pPr>
              <w:widowControl/>
              <w:jc w:val="left"/>
              <w:rPr>
                <w:rFonts w:ascii="宋体" w:hAnsi="宋体" w:eastAsia="宋体" w:cs="宋体"/>
                <w:kern w:val="0"/>
                <w:szCs w:val="21"/>
              </w:rPr>
            </w:pPr>
            <w:r>
              <w:rPr>
                <w:rFonts w:ascii="宋体" w:hAnsi="宋体" w:eastAsia="宋体" w:cs="宋体"/>
                <w:kern w:val="0"/>
                <w:szCs w:val="21"/>
              </w:rPr>
              <w:t>玉印村、飞场湾村、浅垭子村、水阁村、玉峰村、双古磨村</w:t>
            </w:r>
          </w:p>
        </w:tc>
        <w:tc>
          <w:tcPr>
            <w:tcW w:w="668" w:type="pct"/>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0.8</w:t>
            </w:r>
          </w:p>
        </w:tc>
        <w:tc>
          <w:tcPr>
            <w:tcW w:w="1694" w:type="pct"/>
            <w:shd w:val="clear" w:color="auto" w:fill="auto"/>
            <w:vAlign w:val="center"/>
          </w:tcPr>
          <w:p>
            <w:pPr>
              <w:widowControl/>
              <w:jc w:val="center"/>
              <w:rPr>
                <w:rFonts w:ascii="宋体" w:hAnsi="宋体" w:eastAsia="宋体" w:cs="宋体"/>
                <w:kern w:val="0"/>
                <w:szCs w:val="21"/>
              </w:rPr>
            </w:pPr>
            <w:r>
              <w:rPr>
                <w:rFonts w:ascii="宋体" w:hAnsi="宋体" w:eastAsia="宋体" w:cs="宋体"/>
                <w:kern w:val="0"/>
                <w:szCs w:val="21"/>
              </w:rPr>
              <w:t xml:space="preserve">粮油示范产业园核心区 </w:t>
            </w:r>
            <w:r>
              <w:rPr>
                <w:rFonts w:hint="eastAsia" w:ascii="宋体" w:hAnsi="宋体" w:eastAsia="宋体" w:cs="宋体"/>
                <w:kern w:val="0"/>
                <w:szCs w:val="21"/>
              </w:rPr>
              <w:br w:type="textWrapping"/>
            </w:r>
            <w:r>
              <w:rPr>
                <w:rFonts w:ascii="宋体" w:hAnsi="宋体" w:eastAsia="宋体" w:cs="宋体"/>
                <w:kern w:val="0"/>
                <w:szCs w:val="21"/>
              </w:rPr>
              <w:t>稻香农旅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921" w:type="pct"/>
            <w:shd w:val="clear" w:color="auto" w:fill="auto"/>
            <w:vAlign w:val="center"/>
          </w:tcPr>
          <w:p>
            <w:pPr>
              <w:widowControl/>
              <w:jc w:val="center"/>
              <w:rPr>
                <w:rFonts w:ascii="宋体" w:hAnsi="宋体" w:eastAsia="宋体" w:cs="宋体"/>
                <w:bCs/>
                <w:kern w:val="0"/>
                <w:szCs w:val="21"/>
              </w:rPr>
            </w:pPr>
            <w:r>
              <w:rPr>
                <w:rFonts w:ascii="宋体" w:hAnsi="宋体" w:eastAsia="宋体" w:cs="宋体"/>
                <w:bCs/>
                <w:kern w:val="0"/>
                <w:szCs w:val="21"/>
              </w:rPr>
              <w:t>方平沟片区</w:t>
            </w:r>
          </w:p>
        </w:tc>
        <w:tc>
          <w:tcPr>
            <w:tcW w:w="1717" w:type="pct"/>
            <w:shd w:val="clear" w:color="auto" w:fill="auto"/>
            <w:vAlign w:val="center"/>
          </w:tcPr>
          <w:p>
            <w:pPr>
              <w:widowControl/>
              <w:jc w:val="left"/>
              <w:rPr>
                <w:rFonts w:ascii="宋体" w:hAnsi="宋体" w:eastAsia="宋体" w:cs="宋体"/>
                <w:kern w:val="0"/>
                <w:szCs w:val="21"/>
              </w:rPr>
            </w:pPr>
            <w:r>
              <w:rPr>
                <w:rFonts w:ascii="宋体" w:hAnsi="宋体" w:eastAsia="宋体" w:cs="宋体"/>
                <w:kern w:val="0"/>
                <w:szCs w:val="21"/>
              </w:rPr>
              <w:t>方平沟村、八德桥村、河里坊村、河中井村</w:t>
            </w:r>
          </w:p>
        </w:tc>
        <w:tc>
          <w:tcPr>
            <w:tcW w:w="668" w:type="pct"/>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0.5</w:t>
            </w:r>
          </w:p>
        </w:tc>
        <w:tc>
          <w:tcPr>
            <w:tcW w:w="1694" w:type="pct"/>
            <w:shd w:val="clear" w:color="auto" w:fill="auto"/>
            <w:vAlign w:val="center"/>
          </w:tcPr>
          <w:p>
            <w:pPr>
              <w:widowControl/>
              <w:jc w:val="center"/>
              <w:rPr>
                <w:rFonts w:ascii="宋体" w:hAnsi="宋体" w:eastAsia="宋体" w:cs="宋体"/>
                <w:kern w:val="0"/>
                <w:szCs w:val="21"/>
              </w:rPr>
            </w:pPr>
            <w:r>
              <w:rPr>
                <w:rFonts w:ascii="宋体" w:hAnsi="宋体" w:eastAsia="宋体" w:cs="宋体"/>
                <w:kern w:val="0"/>
                <w:szCs w:val="21"/>
              </w:rPr>
              <w:t xml:space="preserve">粮油示范产业园核心区 </w:t>
            </w:r>
            <w:r>
              <w:rPr>
                <w:rFonts w:hint="eastAsia" w:ascii="宋体" w:hAnsi="宋体" w:eastAsia="宋体" w:cs="宋体"/>
                <w:kern w:val="0"/>
                <w:szCs w:val="21"/>
              </w:rPr>
              <w:br w:type="textWrapping"/>
            </w:r>
            <w:r>
              <w:rPr>
                <w:rFonts w:ascii="宋体" w:hAnsi="宋体" w:eastAsia="宋体" w:cs="宋体"/>
                <w:kern w:val="0"/>
                <w:szCs w:val="21"/>
              </w:rPr>
              <w:t>稻香农旅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921" w:type="pct"/>
            <w:shd w:val="clear" w:color="auto" w:fill="auto"/>
            <w:vAlign w:val="center"/>
          </w:tcPr>
          <w:p>
            <w:pPr>
              <w:widowControl/>
              <w:jc w:val="center"/>
              <w:rPr>
                <w:rFonts w:ascii="宋体" w:hAnsi="宋体" w:eastAsia="宋体" w:cs="宋体"/>
                <w:bCs/>
                <w:kern w:val="0"/>
                <w:szCs w:val="21"/>
              </w:rPr>
            </w:pPr>
            <w:r>
              <w:rPr>
                <w:rFonts w:ascii="宋体" w:hAnsi="宋体" w:eastAsia="宋体" w:cs="宋体"/>
                <w:bCs/>
                <w:kern w:val="0"/>
                <w:szCs w:val="21"/>
              </w:rPr>
              <w:t>斗笠片区</w:t>
            </w:r>
          </w:p>
        </w:tc>
        <w:tc>
          <w:tcPr>
            <w:tcW w:w="1717" w:type="pct"/>
            <w:shd w:val="clear" w:color="auto" w:fill="auto"/>
            <w:vAlign w:val="center"/>
          </w:tcPr>
          <w:p>
            <w:pPr>
              <w:widowControl/>
              <w:jc w:val="left"/>
              <w:rPr>
                <w:rFonts w:ascii="宋体" w:hAnsi="宋体" w:eastAsia="宋体" w:cs="宋体"/>
                <w:kern w:val="0"/>
                <w:szCs w:val="21"/>
              </w:rPr>
            </w:pPr>
            <w:r>
              <w:rPr>
                <w:rFonts w:ascii="宋体" w:hAnsi="宋体" w:eastAsia="宋体" w:cs="宋体"/>
                <w:kern w:val="0"/>
                <w:szCs w:val="21"/>
              </w:rPr>
              <w:t>斗笠村、指石河村、得鱼沟村</w:t>
            </w:r>
          </w:p>
        </w:tc>
        <w:tc>
          <w:tcPr>
            <w:tcW w:w="668" w:type="pct"/>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0.49</w:t>
            </w:r>
          </w:p>
        </w:tc>
        <w:tc>
          <w:tcPr>
            <w:tcW w:w="1694" w:type="pct"/>
            <w:shd w:val="clear" w:color="auto" w:fill="auto"/>
            <w:vAlign w:val="center"/>
          </w:tcPr>
          <w:p>
            <w:pPr>
              <w:widowControl/>
              <w:jc w:val="center"/>
              <w:rPr>
                <w:rFonts w:ascii="宋体" w:hAnsi="宋体" w:eastAsia="宋体" w:cs="宋体"/>
                <w:kern w:val="0"/>
                <w:szCs w:val="21"/>
              </w:rPr>
            </w:pPr>
            <w:r>
              <w:rPr>
                <w:rFonts w:ascii="宋体" w:hAnsi="宋体" w:eastAsia="宋体" w:cs="宋体"/>
                <w:kern w:val="0"/>
                <w:szCs w:val="21"/>
              </w:rPr>
              <w:t>都市近郊乡村度假旅游</w:t>
            </w:r>
            <w:r>
              <w:rPr>
                <w:rFonts w:hint="eastAsia" w:ascii="宋体" w:hAnsi="宋体" w:eastAsia="宋体" w:cs="宋体"/>
                <w:kern w:val="0"/>
                <w:szCs w:val="21"/>
                <w:lang w:val="en-US" w:eastAsia="zh-CN"/>
              </w:rPr>
              <w:t>胜地</w:t>
            </w:r>
            <w:r>
              <w:rPr>
                <w:rFonts w:hint="eastAsia" w:ascii="宋体" w:hAnsi="宋体" w:eastAsia="宋体" w:cs="宋体"/>
                <w:kern w:val="0"/>
                <w:szCs w:val="21"/>
              </w:rPr>
              <w:br w:type="textWrapping"/>
            </w:r>
            <w:r>
              <w:rPr>
                <w:rFonts w:hint="eastAsia" w:ascii="宋体" w:hAnsi="宋体" w:eastAsia="宋体" w:cs="宋体"/>
                <w:kern w:val="0"/>
                <w:szCs w:val="21"/>
              </w:rPr>
              <w:t>斗笠</w:t>
            </w:r>
            <w:r>
              <w:rPr>
                <w:rFonts w:ascii="宋体" w:hAnsi="宋体" w:eastAsia="宋体" w:cs="宋体"/>
                <w:kern w:val="0"/>
                <w:szCs w:val="21"/>
              </w:rPr>
              <w:t>.</w:t>
            </w:r>
            <w:r>
              <w:rPr>
                <w:rFonts w:hint="eastAsia" w:ascii="宋体" w:hAnsi="宋体" w:eastAsia="宋体" w:cs="宋体"/>
                <w:kern w:val="0"/>
                <w:szCs w:val="21"/>
              </w:rPr>
              <w:t>水岸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921" w:type="pct"/>
            <w:shd w:val="clear" w:color="auto" w:fill="auto"/>
            <w:vAlign w:val="center"/>
          </w:tcPr>
          <w:p>
            <w:pPr>
              <w:widowControl/>
              <w:jc w:val="center"/>
              <w:rPr>
                <w:rFonts w:ascii="宋体" w:hAnsi="宋体" w:eastAsia="宋体" w:cs="宋体"/>
                <w:bCs/>
                <w:kern w:val="0"/>
                <w:szCs w:val="21"/>
              </w:rPr>
            </w:pPr>
            <w:r>
              <w:rPr>
                <w:rFonts w:ascii="宋体" w:hAnsi="宋体" w:eastAsia="宋体" w:cs="宋体"/>
                <w:bCs/>
                <w:kern w:val="0"/>
                <w:szCs w:val="21"/>
              </w:rPr>
              <w:t>智水片区</w:t>
            </w:r>
          </w:p>
        </w:tc>
        <w:tc>
          <w:tcPr>
            <w:tcW w:w="1717" w:type="pct"/>
            <w:shd w:val="clear" w:color="auto" w:fill="auto"/>
            <w:vAlign w:val="center"/>
          </w:tcPr>
          <w:p>
            <w:pPr>
              <w:widowControl/>
              <w:jc w:val="left"/>
              <w:rPr>
                <w:rFonts w:ascii="宋体" w:hAnsi="宋体" w:eastAsia="宋体" w:cs="宋体"/>
                <w:kern w:val="0"/>
                <w:szCs w:val="21"/>
              </w:rPr>
            </w:pPr>
            <w:r>
              <w:rPr>
                <w:rFonts w:ascii="宋体" w:hAnsi="宋体" w:eastAsia="宋体" w:cs="宋体"/>
                <w:kern w:val="0"/>
                <w:szCs w:val="21"/>
              </w:rPr>
              <w:t>智水村、智平村、鲤鱼浸、星宿村</w:t>
            </w:r>
          </w:p>
        </w:tc>
        <w:tc>
          <w:tcPr>
            <w:tcW w:w="668" w:type="pct"/>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0.8</w:t>
            </w:r>
          </w:p>
        </w:tc>
        <w:tc>
          <w:tcPr>
            <w:tcW w:w="1694" w:type="pct"/>
            <w:shd w:val="clear" w:color="auto" w:fill="auto"/>
            <w:vAlign w:val="center"/>
          </w:tcPr>
          <w:p>
            <w:pPr>
              <w:widowControl/>
              <w:jc w:val="center"/>
              <w:rPr>
                <w:rFonts w:ascii="宋体" w:hAnsi="宋体" w:eastAsia="宋体" w:cs="宋体"/>
                <w:kern w:val="0"/>
                <w:szCs w:val="21"/>
              </w:rPr>
            </w:pPr>
            <w:r>
              <w:rPr>
                <w:rFonts w:ascii="宋体" w:hAnsi="宋体" w:eastAsia="宋体" w:cs="宋体"/>
                <w:kern w:val="0"/>
                <w:szCs w:val="21"/>
              </w:rPr>
              <w:t>粮油复合产业示范基地</w:t>
            </w:r>
            <w:r>
              <w:rPr>
                <w:rFonts w:hint="eastAsia" w:ascii="宋体" w:hAnsi="宋体" w:eastAsia="宋体" w:cs="宋体"/>
                <w:kern w:val="0"/>
                <w:szCs w:val="21"/>
              </w:rPr>
              <w:br w:type="textWrapping"/>
            </w:r>
            <w:r>
              <w:rPr>
                <w:rFonts w:ascii="宋体" w:hAnsi="宋体" w:eastAsia="宋体" w:cs="宋体"/>
                <w:kern w:val="0"/>
                <w:szCs w:val="21"/>
              </w:rPr>
              <w:t>稻香农旅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921" w:type="pct"/>
            <w:shd w:val="clear" w:color="auto" w:fill="auto"/>
            <w:vAlign w:val="center"/>
          </w:tcPr>
          <w:p>
            <w:pPr>
              <w:widowControl/>
              <w:jc w:val="center"/>
              <w:rPr>
                <w:rFonts w:ascii="宋体" w:hAnsi="宋体" w:eastAsia="宋体" w:cs="宋体"/>
                <w:bCs/>
                <w:kern w:val="0"/>
                <w:szCs w:val="21"/>
              </w:rPr>
            </w:pPr>
            <w:r>
              <w:rPr>
                <w:rFonts w:ascii="宋体" w:hAnsi="宋体" w:eastAsia="宋体" w:cs="宋体"/>
                <w:bCs/>
                <w:kern w:val="0"/>
                <w:szCs w:val="21"/>
              </w:rPr>
              <w:t>象山片区</w:t>
            </w:r>
          </w:p>
        </w:tc>
        <w:tc>
          <w:tcPr>
            <w:tcW w:w="1717" w:type="pct"/>
            <w:shd w:val="clear" w:color="auto" w:fill="auto"/>
            <w:vAlign w:val="center"/>
          </w:tcPr>
          <w:p>
            <w:pPr>
              <w:widowControl/>
              <w:jc w:val="left"/>
              <w:rPr>
                <w:rFonts w:ascii="宋体" w:hAnsi="宋体" w:eastAsia="宋体" w:cs="宋体"/>
                <w:kern w:val="0"/>
                <w:szCs w:val="21"/>
              </w:rPr>
            </w:pPr>
            <w:r>
              <w:rPr>
                <w:rFonts w:ascii="宋体" w:hAnsi="宋体" w:eastAsia="宋体" w:cs="宋体"/>
                <w:kern w:val="0"/>
                <w:szCs w:val="21"/>
              </w:rPr>
              <w:t>凤阳村、象山村、三溪村、文龙村、冯家楼村、观桃村</w:t>
            </w:r>
          </w:p>
        </w:tc>
        <w:tc>
          <w:tcPr>
            <w:tcW w:w="668" w:type="pct"/>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1</w:t>
            </w:r>
          </w:p>
        </w:tc>
        <w:tc>
          <w:tcPr>
            <w:tcW w:w="1694" w:type="pct"/>
            <w:shd w:val="clear" w:color="auto" w:fill="auto"/>
            <w:vAlign w:val="center"/>
          </w:tcPr>
          <w:p>
            <w:pPr>
              <w:widowControl/>
              <w:jc w:val="center"/>
              <w:rPr>
                <w:rFonts w:ascii="宋体" w:hAnsi="宋体" w:eastAsia="宋体" w:cs="宋体"/>
                <w:kern w:val="0"/>
                <w:szCs w:val="21"/>
              </w:rPr>
            </w:pPr>
            <w:r>
              <w:rPr>
                <w:rFonts w:ascii="宋体" w:hAnsi="宋体" w:eastAsia="宋体" w:cs="宋体"/>
                <w:kern w:val="0"/>
                <w:szCs w:val="21"/>
              </w:rPr>
              <w:t>农耕文化风貌区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921" w:type="pct"/>
            <w:shd w:val="clear" w:color="auto" w:fill="auto"/>
            <w:vAlign w:val="center"/>
          </w:tcPr>
          <w:p>
            <w:pPr>
              <w:widowControl/>
              <w:jc w:val="center"/>
              <w:rPr>
                <w:rFonts w:ascii="宋体" w:hAnsi="宋体" w:eastAsia="宋体" w:cs="宋体"/>
                <w:bCs/>
                <w:kern w:val="0"/>
                <w:szCs w:val="21"/>
              </w:rPr>
            </w:pPr>
            <w:r>
              <w:rPr>
                <w:rFonts w:ascii="宋体" w:hAnsi="宋体" w:eastAsia="宋体" w:cs="宋体"/>
                <w:bCs/>
                <w:kern w:val="0"/>
                <w:szCs w:val="21"/>
              </w:rPr>
              <w:t>永乐片区</w:t>
            </w:r>
          </w:p>
        </w:tc>
        <w:tc>
          <w:tcPr>
            <w:tcW w:w="1717" w:type="pct"/>
            <w:shd w:val="clear" w:color="auto" w:fill="auto"/>
            <w:vAlign w:val="center"/>
          </w:tcPr>
          <w:p>
            <w:pPr>
              <w:widowControl/>
              <w:jc w:val="left"/>
              <w:rPr>
                <w:rFonts w:ascii="宋体" w:hAnsi="宋体" w:eastAsia="宋体" w:cs="宋体"/>
                <w:kern w:val="0"/>
                <w:szCs w:val="21"/>
              </w:rPr>
            </w:pPr>
            <w:r>
              <w:rPr>
                <w:rFonts w:ascii="宋体" w:hAnsi="宋体" w:eastAsia="宋体" w:cs="宋体"/>
                <w:kern w:val="0"/>
                <w:szCs w:val="21"/>
              </w:rPr>
              <w:t>永乐村、青龙滩村、犁浅垭村、马蹄垭村、永南坝村</w:t>
            </w:r>
          </w:p>
        </w:tc>
        <w:tc>
          <w:tcPr>
            <w:tcW w:w="668" w:type="pct"/>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0.8</w:t>
            </w:r>
          </w:p>
        </w:tc>
        <w:tc>
          <w:tcPr>
            <w:tcW w:w="1694" w:type="pct"/>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近郊蔬菜基地</w:t>
            </w:r>
          </w:p>
        </w:tc>
      </w:tr>
    </w:tbl>
    <w:p>
      <w:pPr>
        <w:pStyle w:val="31"/>
        <w:spacing w:beforeLines="50" w:afterLines="50"/>
        <w:jc w:val="left"/>
        <w:rPr>
          <w:rFonts w:eastAsia="宋体" w:asciiTheme="minorEastAsia" w:hAnsiTheme="minorEastAsia"/>
          <w:b w:val="0"/>
          <w:sz w:val="24"/>
          <w:szCs w:val="24"/>
        </w:rPr>
      </w:pPr>
      <w:bookmarkStart w:id="40" w:name="_Toc166772189"/>
      <w:r>
        <w:rPr>
          <w:rFonts w:hint="eastAsia" w:eastAsia="宋体" w:asciiTheme="minorEastAsia" w:hAnsiTheme="minorEastAsia"/>
          <w:b w:val="0"/>
          <w:sz w:val="24"/>
          <w:szCs w:val="24"/>
        </w:rPr>
        <w:t>表5</w:t>
      </w:r>
      <w:r>
        <w:rPr>
          <w:rFonts w:eastAsia="宋体" w:asciiTheme="minorEastAsia" w:hAnsiTheme="minorEastAsia"/>
          <w:b w:val="0"/>
          <w:sz w:val="24"/>
          <w:szCs w:val="24"/>
        </w:rPr>
        <w:t>片区规划指标分解表</w:t>
      </w:r>
      <w:bookmarkEnd w:id="40"/>
    </w:p>
    <w:tbl>
      <w:tblPr>
        <w:tblStyle w:val="16"/>
        <w:tblW w:w="5000" w:type="pct"/>
        <w:jc w:val="center"/>
        <w:tblLayout w:type="autofit"/>
        <w:tblCellMar>
          <w:top w:w="0" w:type="dxa"/>
          <w:left w:w="57" w:type="dxa"/>
          <w:bottom w:w="0" w:type="dxa"/>
          <w:right w:w="57" w:type="dxa"/>
        </w:tblCellMar>
      </w:tblPr>
      <w:tblGrid>
        <w:gridCol w:w="1376"/>
        <w:gridCol w:w="1989"/>
        <w:gridCol w:w="1196"/>
        <w:gridCol w:w="1519"/>
        <w:gridCol w:w="1196"/>
        <w:gridCol w:w="1338"/>
        <w:gridCol w:w="1333"/>
        <w:gridCol w:w="1333"/>
        <w:gridCol w:w="892"/>
        <w:gridCol w:w="1180"/>
      </w:tblGrid>
      <w:tr>
        <w:tblPrEx>
          <w:tblCellMar>
            <w:top w:w="0" w:type="dxa"/>
            <w:left w:w="57" w:type="dxa"/>
            <w:bottom w:w="0" w:type="dxa"/>
            <w:right w:w="57" w:type="dxa"/>
          </w:tblCellMar>
        </w:tblPrEx>
        <w:trPr>
          <w:trHeight w:val="270" w:hRule="atLeast"/>
          <w:jc w:val="center"/>
        </w:trPr>
        <w:tc>
          <w:tcPr>
            <w:tcW w:w="51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片区名称</w:t>
            </w:r>
          </w:p>
        </w:tc>
        <w:tc>
          <w:tcPr>
            <w:tcW w:w="745"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行政区域范围</w:t>
            </w:r>
          </w:p>
        </w:tc>
        <w:tc>
          <w:tcPr>
            <w:tcW w:w="448"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永久基本保护面积</w:t>
            </w:r>
          </w:p>
        </w:tc>
        <w:tc>
          <w:tcPr>
            <w:tcW w:w="569"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生态保护红线面积</w:t>
            </w:r>
          </w:p>
        </w:tc>
        <w:tc>
          <w:tcPr>
            <w:tcW w:w="448"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耕地</w:t>
            </w:r>
          </w:p>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保有量</w:t>
            </w:r>
          </w:p>
        </w:tc>
        <w:tc>
          <w:tcPr>
            <w:tcW w:w="501"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建设用地总面积</w:t>
            </w:r>
          </w:p>
        </w:tc>
        <w:tc>
          <w:tcPr>
            <w:tcW w:w="499"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城乡建设用地面积</w:t>
            </w:r>
          </w:p>
        </w:tc>
        <w:tc>
          <w:tcPr>
            <w:tcW w:w="499"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林地保有量</w:t>
            </w:r>
          </w:p>
        </w:tc>
        <w:tc>
          <w:tcPr>
            <w:tcW w:w="334"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湿地</w:t>
            </w:r>
          </w:p>
        </w:tc>
        <w:tc>
          <w:tcPr>
            <w:tcW w:w="442"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集中居民点</w:t>
            </w:r>
          </w:p>
        </w:tc>
      </w:tr>
      <w:tr>
        <w:tblPrEx>
          <w:tblCellMar>
            <w:top w:w="0" w:type="dxa"/>
            <w:left w:w="57" w:type="dxa"/>
            <w:bottom w:w="0" w:type="dxa"/>
            <w:right w:w="57" w:type="dxa"/>
          </w:tblCellMar>
        </w:tblPrEx>
        <w:trPr>
          <w:trHeight w:val="270" w:hRule="atLeast"/>
          <w:jc w:val="center"/>
        </w:trPr>
        <w:tc>
          <w:tcPr>
            <w:tcW w:w="515"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坤龙片区 </w:t>
            </w:r>
          </w:p>
        </w:tc>
        <w:tc>
          <w:tcPr>
            <w:tcW w:w="745"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坤龙、石龙7个村</w:t>
            </w:r>
          </w:p>
        </w:tc>
        <w:tc>
          <w:tcPr>
            <w:tcW w:w="448"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1403.30 </w:t>
            </w:r>
          </w:p>
        </w:tc>
        <w:tc>
          <w:tcPr>
            <w:tcW w:w="569"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0.00 </w:t>
            </w:r>
          </w:p>
        </w:tc>
        <w:tc>
          <w:tcPr>
            <w:tcW w:w="448"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1524.37 </w:t>
            </w:r>
          </w:p>
        </w:tc>
        <w:tc>
          <w:tcPr>
            <w:tcW w:w="501"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208.42 </w:t>
            </w:r>
          </w:p>
        </w:tc>
        <w:tc>
          <w:tcPr>
            <w:tcW w:w="499"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196.32 </w:t>
            </w:r>
          </w:p>
        </w:tc>
        <w:tc>
          <w:tcPr>
            <w:tcW w:w="499" w:type="pct"/>
            <w:tcBorders>
              <w:top w:val="nil"/>
              <w:left w:val="nil"/>
              <w:bottom w:val="single" w:color="auto" w:sz="4" w:space="0"/>
              <w:right w:val="single" w:color="auto" w:sz="4" w:space="0"/>
            </w:tcBorders>
            <w:shd w:val="clear" w:color="auto" w:fill="auto"/>
            <w:vAlign w:val="center"/>
          </w:tcPr>
          <w:p>
            <w:pPr>
              <w:widowControl/>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550.59 </w:t>
            </w:r>
          </w:p>
        </w:tc>
        <w:tc>
          <w:tcPr>
            <w:tcW w:w="334"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1.89 </w:t>
            </w:r>
          </w:p>
        </w:tc>
        <w:tc>
          <w:tcPr>
            <w:tcW w:w="442"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69.17 </w:t>
            </w:r>
          </w:p>
        </w:tc>
      </w:tr>
      <w:tr>
        <w:tblPrEx>
          <w:tblCellMar>
            <w:top w:w="0" w:type="dxa"/>
            <w:left w:w="57" w:type="dxa"/>
            <w:bottom w:w="0" w:type="dxa"/>
            <w:right w:w="57" w:type="dxa"/>
          </w:tblCellMar>
        </w:tblPrEx>
        <w:trPr>
          <w:trHeight w:val="270" w:hRule="atLeast"/>
          <w:jc w:val="center"/>
        </w:trPr>
        <w:tc>
          <w:tcPr>
            <w:tcW w:w="515"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牌坊片区 </w:t>
            </w:r>
          </w:p>
        </w:tc>
        <w:tc>
          <w:tcPr>
            <w:tcW w:w="745"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牌坊、人民4个村</w:t>
            </w:r>
          </w:p>
        </w:tc>
        <w:tc>
          <w:tcPr>
            <w:tcW w:w="448"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761.47 </w:t>
            </w:r>
          </w:p>
        </w:tc>
        <w:tc>
          <w:tcPr>
            <w:tcW w:w="569"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0.00 </w:t>
            </w:r>
          </w:p>
        </w:tc>
        <w:tc>
          <w:tcPr>
            <w:tcW w:w="448"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828.63 </w:t>
            </w:r>
          </w:p>
        </w:tc>
        <w:tc>
          <w:tcPr>
            <w:tcW w:w="501"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105.56 </w:t>
            </w:r>
          </w:p>
        </w:tc>
        <w:tc>
          <w:tcPr>
            <w:tcW w:w="499"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96.21 </w:t>
            </w:r>
          </w:p>
        </w:tc>
        <w:tc>
          <w:tcPr>
            <w:tcW w:w="499"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242.82 </w:t>
            </w:r>
          </w:p>
        </w:tc>
        <w:tc>
          <w:tcPr>
            <w:tcW w:w="334"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3.77 </w:t>
            </w:r>
          </w:p>
        </w:tc>
        <w:tc>
          <w:tcPr>
            <w:tcW w:w="442"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29.93 </w:t>
            </w:r>
          </w:p>
        </w:tc>
      </w:tr>
      <w:tr>
        <w:tblPrEx>
          <w:tblCellMar>
            <w:top w:w="0" w:type="dxa"/>
            <w:left w:w="57" w:type="dxa"/>
            <w:bottom w:w="0" w:type="dxa"/>
            <w:right w:w="57" w:type="dxa"/>
          </w:tblCellMar>
        </w:tblPrEx>
        <w:trPr>
          <w:trHeight w:val="270" w:hRule="atLeast"/>
          <w:jc w:val="center"/>
        </w:trPr>
        <w:tc>
          <w:tcPr>
            <w:tcW w:w="515"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前进片区 </w:t>
            </w:r>
          </w:p>
        </w:tc>
        <w:tc>
          <w:tcPr>
            <w:tcW w:w="745"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前进、安山6个村</w:t>
            </w:r>
          </w:p>
        </w:tc>
        <w:tc>
          <w:tcPr>
            <w:tcW w:w="448"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1139.83 </w:t>
            </w:r>
          </w:p>
        </w:tc>
        <w:tc>
          <w:tcPr>
            <w:tcW w:w="569"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0.00 </w:t>
            </w:r>
          </w:p>
        </w:tc>
        <w:tc>
          <w:tcPr>
            <w:tcW w:w="448"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1225.24 </w:t>
            </w:r>
          </w:p>
        </w:tc>
        <w:tc>
          <w:tcPr>
            <w:tcW w:w="501"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292.15 </w:t>
            </w:r>
          </w:p>
        </w:tc>
        <w:tc>
          <w:tcPr>
            <w:tcW w:w="499"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244.74 </w:t>
            </w:r>
          </w:p>
        </w:tc>
        <w:tc>
          <w:tcPr>
            <w:tcW w:w="499"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340.69 </w:t>
            </w:r>
          </w:p>
        </w:tc>
        <w:tc>
          <w:tcPr>
            <w:tcW w:w="334"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0.00 </w:t>
            </w:r>
          </w:p>
        </w:tc>
        <w:tc>
          <w:tcPr>
            <w:tcW w:w="442"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56.85 </w:t>
            </w:r>
          </w:p>
        </w:tc>
      </w:tr>
      <w:tr>
        <w:tblPrEx>
          <w:tblCellMar>
            <w:top w:w="0" w:type="dxa"/>
            <w:left w:w="57" w:type="dxa"/>
            <w:bottom w:w="0" w:type="dxa"/>
            <w:right w:w="57" w:type="dxa"/>
          </w:tblCellMar>
        </w:tblPrEx>
        <w:trPr>
          <w:trHeight w:val="270" w:hRule="atLeast"/>
          <w:jc w:val="center"/>
        </w:trPr>
        <w:tc>
          <w:tcPr>
            <w:tcW w:w="515"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梁家片区 </w:t>
            </w:r>
          </w:p>
        </w:tc>
        <w:tc>
          <w:tcPr>
            <w:tcW w:w="745"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梁家、石山4个村</w:t>
            </w:r>
          </w:p>
        </w:tc>
        <w:tc>
          <w:tcPr>
            <w:tcW w:w="448"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768.14 </w:t>
            </w:r>
          </w:p>
        </w:tc>
        <w:tc>
          <w:tcPr>
            <w:tcW w:w="569"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0.00 </w:t>
            </w:r>
          </w:p>
        </w:tc>
        <w:tc>
          <w:tcPr>
            <w:tcW w:w="448"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818.90 </w:t>
            </w:r>
          </w:p>
        </w:tc>
        <w:tc>
          <w:tcPr>
            <w:tcW w:w="501"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111.87 </w:t>
            </w:r>
          </w:p>
        </w:tc>
        <w:tc>
          <w:tcPr>
            <w:tcW w:w="499"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105.46 </w:t>
            </w:r>
          </w:p>
        </w:tc>
        <w:tc>
          <w:tcPr>
            <w:tcW w:w="499"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155.16 </w:t>
            </w:r>
          </w:p>
        </w:tc>
        <w:tc>
          <w:tcPr>
            <w:tcW w:w="334"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0.00 </w:t>
            </w:r>
          </w:p>
        </w:tc>
        <w:tc>
          <w:tcPr>
            <w:tcW w:w="442"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27.12 </w:t>
            </w:r>
          </w:p>
        </w:tc>
      </w:tr>
      <w:tr>
        <w:tblPrEx>
          <w:tblCellMar>
            <w:top w:w="0" w:type="dxa"/>
            <w:left w:w="57" w:type="dxa"/>
            <w:bottom w:w="0" w:type="dxa"/>
            <w:right w:w="57" w:type="dxa"/>
          </w:tblCellMar>
        </w:tblPrEx>
        <w:trPr>
          <w:trHeight w:val="270" w:hRule="atLeast"/>
          <w:jc w:val="center"/>
        </w:trPr>
        <w:tc>
          <w:tcPr>
            <w:tcW w:w="515"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地风井片区 </w:t>
            </w:r>
          </w:p>
        </w:tc>
        <w:tc>
          <w:tcPr>
            <w:tcW w:w="745"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地风井、铜鼓5村</w:t>
            </w:r>
          </w:p>
        </w:tc>
        <w:tc>
          <w:tcPr>
            <w:tcW w:w="448"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776.21 </w:t>
            </w:r>
          </w:p>
        </w:tc>
        <w:tc>
          <w:tcPr>
            <w:tcW w:w="569"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0.00 </w:t>
            </w:r>
          </w:p>
        </w:tc>
        <w:tc>
          <w:tcPr>
            <w:tcW w:w="448"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840.62 </w:t>
            </w:r>
          </w:p>
        </w:tc>
        <w:tc>
          <w:tcPr>
            <w:tcW w:w="501"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187.05 </w:t>
            </w:r>
          </w:p>
        </w:tc>
        <w:tc>
          <w:tcPr>
            <w:tcW w:w="499"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143.79 </w:t>
            </w:r>
          </w:p>
        </w:tc>
        <w:tc>
          <w:tcPr>
            <w:tcW w:w="499"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355.62 </w:t>
            </w:r>
          </w:p>
        </w:tc>
        <w:tc>
          <w:tcPr>
            <w:tcW w:w="334"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0.00 </w:t>
            </w:r>
          </w:p>
        </w:tc>
        <w:tc>
          <w:tcPr>
            <w:tcW w:w="442"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55.37 </w:t>
            </w:r>
          </w:p>
        </w:tc>
      </w:tr>
      <w:tr>
        <w:tblPrEx>
          <w:tblCellMar>
            <w:top w:w="0" w:type="dxa"/>
            <w:left w:w="57" w:type="dxa"/>
            <w:bottom w:w="0" w:type="dxa"/>
            <w:right w:w="57" w:type="dxa"/>
          </w:tblCellMar>
        </w:tblPrEx>
        <w:trPr>
          <w:trHeight w:val="270" w:hRule="atLeast"/>
          <w:jc w:val="center"/>
        </w:trPr>
        <w:tc>
          <w:tcPr>
            <w:tcW w:w="515"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团结片区 </w:t>
            </w:r>
          </w:p>
        </w:tc>
        <w:tc>
          <w:tcPr>
            <w:tcW w:w="745"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团结、肖家沟4村</w:t>
            </w:r>
          </w:p>
        </w:tc>
        <w:tc>
          <w:tcPr>
            <w:tcW w:w="448"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735.28 </w:t>
            </w:r>
          </w:p>
        </w:tc>
        <w:tc>
          <w:tcPr>
            <w:tcW w:w="569"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0.00 </w:t>
            </w:r>
          </w:p>
        </w:tc>
        <w:tc>
          <w:tcPr>
            <w:tcW w:w="448"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816.68 </w:t>
            </w:r>
          </w:p>
        </w:tc>
        <w:tc>
          <w:tcPr>
            <w:tcW w:w="501"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241.64 </w:t>
            </w:r>
          </w:p>
        </w:tc>
        <w:tc>
          <w:tcPr>
            <w:tcW w:w="499"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126.65 </w:t>
            </w:r>
          </w:p>
        </w:tc>
        <w:tc>
          <w:tcPr>
            <w:tcW w:w="499"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541.86 </w:t>
            </w:r>
          </w:p>
        </w:tc>
        <w:tc>
          <w:tcPr>
            <w:tcW w:w="334"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0.00 </w:t>
            </w:r>
          </w:p>
        </w:tc>
        <w:tc>
          <w:tcPr>
            <w:tcW w:w="442"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58.42 </w:t>
            </w:r>
          </w:p>
        </w:tc>
      </w:tr>
      <w:tr>
        <w:tblPrEx>
          <w:tblCellMar>
            <w:top w:w="0" w:type="dxa"/>
            <w:left w:w="57" w:type="dxa"/>
            <w:bottom w:w="0" w:type="dxa"/>
            <w:right w:w="57" w:type="dxa"/>
          </w:tblCellMar>
        </w:tblPrEx>
        <w:trPr>
          <w:trHeight w:val="270" w:hRule="atLeast"/>
          <w:jc w:val="center"/>
        </w:trPr>
        <w:tc>
          <w:tcPr>
            <w:tcW w:w="515"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玉峰片区 </w:t>
            </w:r>
          </w:p>
        </w:tc>
        <w:tc>
          <w:tcPr>
            <w:tcW w:w="745"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玉峰、玉印6个村</w:t>
            </w:r>
          </w:p>
        </w:tc>
        <w:tc>
          <w:tcPr>
            <w:tcW w:w="448"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805.93 </w:t>
            </w:r>
          </w:p>
        </w:tc>
        <w:tc>
          <w:tcPr>
            <w:tcW w:w="569"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0.00 </w:t>
            </w:r>
          </w:p>
        </w:tc>
        <w:tc>
          <w:tcPr>
            <w:tcW w:w="448"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890.11 </w:t>
            </w:r>
          </w:p>
        </w:tc>
        <w:tc>
          <w:tcPr>
            <w:tcW w:w="501"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233.97 </w:t>
            </w:r>
          </w:p>
        </w:tc>
        <w:tc>
          <w:tcPr>
            <w:tcW w:w="499"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154.42 </w:t>
            </w:r>
          </w:p>
        </w:tc>
        <w:tc>
          <w:tcPr>
            <w:tcW w:w="499"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574.98 </w:t>
            </w:r>
          </w:p>
        </w:tc>
        <w:tc>
          <w:tcPr>
            <w:tcW w:w="334"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0.05 </w:t>
            </w:r>
          </w:p>
        </w:tc>
        <w:tc>
          <w:tcPr>
            <w:tcW w:w="442"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56.01 </w:t>
            </w:r>
          </w:p>
        </w:tc>
      </w:tr>
      <w:tr>
        <w:tblPrEx>
          <w:tblCellMar>
            <w:top w:w="0" w:type="dxa"/>
            <w:left w:w="57" w:type="dxa"/>
            <w:bottom w:w="0" w:type="dxa"/>
            <w:right w:w="57" w:type="dxa"/>
          </w:tblCellMar>
        </w:tblPrEx>
        <w:trPr>
          <w:trHeight w:val="270" w:hRule="atLeast"/>
          <w:jc w:val="center"/>
        </w:trPr>
        <w:tc>
          <w:tcPr>
            <w:tcW w:w="515"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方平沟片区 </w:t>
            </w:r>
          </w:p>
        </w:tc>
        <w:tc>
          <w:tcPr>
            <w:tcW w:w="745"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方平沟、八德桥4村</w:t>
            </w:r>
          </w:p>
        </w:tc>
        <w:tc>
          <w:tcPr>
            <w:tcW w:w="448"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773.69 </w:t>
            </w:r>
          </w:p>
        </w:tc>
        <w:tc>
          <w:tcPr>
            <w:tcW w:w="569"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1.85 </w:t>
            </w:r>
          </w:p>
        </w:tc>
        <w:tc>
          <w:tcPr>
            <w:tcW w:w="448"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840.97 </w:t>
            </w:r>
          </w:p>
        </w:tc>
        <w:tc>
          <w:tcPr>
            <w:tcW w:w="501"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153.76 </w:t>
            </w:r>
          </w:p>
        </w:tc>
        <w:tc>
          <w:tcPr>
            <w:tcW w:w="499"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120.51 </w:t>
            </w:r>
          </w:p>
        </w:tc>
        <w:tc>
          <w:tcPr>
            <w:tcW w:w="499"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276.16 </w:t>
            </w:r>
          </w:p>
        </w:tc>
        <w:tc>
          <w:tcPr>
            <w:tcW w:w="334"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0.86 </w:t>
            </w:r>
          </w:p>
        </w:tc>
        <w:tc>
          <w:tcPr>
            <w:tcW w:w="442"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44.11 </w:t>
            </w:r>
          </w:p>
        </w:tc>
      </w:tr>
      <w:tr>
        <w:tblPrEx>
          <w:tblCellMar>
            <w:top w:w="0" w:type="dxa"/>
            <w:left w:w="57" w:type="dxa"/>
            <w:bottom w:w="0" w:type="dxa"/>
            <w:right w:w="57" w:type="dxa"/>
          </w:tblCellMar>
        </w:tblPrEx>
        <w:trPr>
          <w:trHeight w:val="270" w:hRule="atLeast"/>
          <w:jc w:val="center"/>
        </w:trPr>
        <w:tc>
          <w:tcPr>
            <w:tcW w:w="515"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斗笠片区 </w:t>
            </w:r>
          </w:p>
        </w:tc>
        <w:tc>
          <w:tcPr>
            <w:tcW w:w="745"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斗笠、指石河3个村</w:t>
            </w:r>
          </w:p>
        </w:tc>
        <w:tc>
          <w:tcPr>
            <w:tcW w:w="448"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434.10 </w:t>
            </w:r>
          </w:p>
        </w:tc>
        <w:tc>
          <w:tcPr>
            <w:tcW w:w="569"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0.00 </w:t>
            </w:r>
          </w:p>
        </w:tc>
        <w:tc>
          <w:tcPr>
            <w:tcW w:w="448"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490.75 </w:t>
            </w:r>
          </w:p>
        </w:tc>
        <w:tc>
          <w:tcPr>
            <w:tcW w:w="501"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119.52 </w:t>
            </w:r>
          </w:p>
        </w:tc>
        <w:tc>
          <w:tcPr>
            <w:tcW w:w="499"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78.53 </w:t>
            </w:r>
          </w:p>
        </w:tc>
        <w:tc>
          <w:tcPr>
            <w:tcW w:w="499"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343.63 </w:t>
            </w:r>
          </w:p>
        </w:tc>
        <w:tc>
          <w:tcPr>
            <w:tcW w:w="334"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0.04 </w:t>
            </w:r>
          </w:p>
        </w:tc>
        <w:tc>
          <w:tcPr>
            <w:tcW w:w="442"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26.53 </w:t>
            </w:r>
          </w:p>
        </w:tc>
      </w:tr>
      <w:tr>
        <w:tblPrEx>
          <w:tblCellMar>
            <w:top w:w="0" w:type="dxa"/>
            <w:left w:w="57" w:type="dxa"/>
            <w:bottom w:w="0" w:type="dxa"/>
            <w:right w:w="57" w:type="dxa"/>
          </w:tblCellMar>
        </w:tblPrEx>
        <w:trPr>
          <w:trHeight w:val="270" w:hRule="atLeast"/>
          <w:jc w:val="center"/>
        </w:trPr>
        <w:tc>
          <w:tcPr>
            <w:tcW w:w="515"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智水片区 </w:t>
            </w:r>
          </w:p>
        </w:tc>
        <w:tc>
          <w:tcPr>
            <w:tcW w:w="745"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智水、智平4个村</w:t>
            </w:r>
          </w:p>
        </w:tc>
        <w:tc>
          <w:tcPr>
            <w:tcW w:w="448"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837.50 </w:t>
            </w:r>
          </w:p>
        </w:tc>
        <w:tc>
          <w:tcPr>
            <w:tcW w:w="569"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0.00 </w:t>
            </w:r>
          </w:p>
        </w:tc>
        <w:tc>
          <w:tcPr>
            <w:tcW w:w="448"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914.93 </w:t>
            </w:r>
          </w:p>
        </w:tc>
        <w:tc>
          <w:tcPr>
            <w:tcW w:w="501"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163.60 </w:t>
            </w:r>
          </w:p>
        </w:tc>
        <w:tc>
          <w:tcPr>
            <w:tcW w:w="499"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146.26 </w:t>
            </w:r>
          </w:p>
        </w:tc>
        <w:tc>
          <w:tcPr>
            <w:tcW w:w="499"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453.36 </w:t>
            </w:r>
          </w:p>
        </w:tc>
        <w:tc>
          <w:tcPr>
            <w:tcW w:w="334"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0.00 </w:t>
            </w:r>
          </w:p>
        </w:tc>
        <w:tc>
          <w:tcPr>
            <w:tcW w:w="442"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43.20 </w:t>
            </w:r>
          </w:p>
        </w:tc>
      </w:tr>
      <w:tr>
        <w:tblPrEx>
          <w:tblCellMar>
            <w:top w:w="0" w:type="dxa"/>
            <w:left w:w="57" w:type="dxa"/>
            <w:bottom w:w="0" w:type="dxa"/>
            <w:right w:w="57" w:type="dxa"/>
          </w:tblCellMar>
        </w:tblPrEx>
        <w:trPr>
          <w:trHeight w:val="270" w:hRule="atLeast"/>
          <w:jc w:val="center"/>
        </w:trPr>
        <w:tc>
          <w:tcPr>
            <w:tcW w:w="515"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象山片区 </w:t>
            </w:r>
          </w:p>
        </w:tc>
        <w:tc>
          <w:tcPr>
            <w:tcW w:w="745"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象山、凤阳6个村</w:t>
            </w:r>
          </w:p>
        </w:tc>
        <w:tc>
          <w:tcPr>
            <w:tcW w:w="448"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973.33 </w:t>
            </w:r>
          </w:p>
        </w:tc>
        <w:tc>
          <w:tcPr>
            <w:tcW w:w="569"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0.00 </w:t>
            </w:r>
          </w:p>
        </w:tc>
        <w:tc>
          <w:tcPr>
            <w:tcW w:w="448"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1079.28 </w:t>
            </w:r>
          </w:p>
        </w:tc>
        <w:tc>
          <w:tcPr>
            <w:tcW w:w="501"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317.81 </w:t>
            </w:r>
          </w:p>
        </w:tc>
        <w:tc>
          <w:tcPr>
            <w:tcW w:w="499"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193.63 </w:t>
            </w:r>
          </w:p>
        </w:tc>
        <w:tc>
          <w:tcPr>
            <w:tcW w:w="499"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936.84 </w:t>
            </w:r>
          </w:p>
        </w:tc>
        <w:tc>
          <w:tcPr>
            <w:tcW w:w="334"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0.00 </w:t>
            </w:r>
          </w:p>
        </w:tc>
        <w:tc>
          <w:tcPr>
            <w:tcW w:w="442"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59.34 </w:t>
            </w:r>
          </w:p>
        </w:tc>
      </w:tr>
      <w:tr>
        <w:tblPrEx>
          <w:tblCellMar>
            <w:top w:w="0" w:type="dxa"/>
            <w:left w:w="57" w:type="dxa"/>
            <w:bottom w:w="0" w:type="dxa"/>
            <w:right w:w="57" w:type="dxa"/>
          </w:tblCellMar>
        </w:tblPrEx>
        <w:trPr>
          <w:trHeight w:val="270" w:hRule="atLeast"/>
          <w:jc w:val="center"/>
        </w:trPr>
        <w:tc>
          <w:tcPr>
            <w:tcW w:w="515"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永乐片区 </w:t>
            </w:r>
          </w:p>
        </w:tc>
        <w:tc>
          <w:tcPr>
            <w:tcW w:w="745"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永乐、青龙滩5村</w:t>
            </w:r>
          </w:p>
        </w:tc>
        <w:tc>
          <w:tcPr>
            <w:tcW w:w="448"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980.84 </w:t>
            </w:r>
          </w:p>
        </w:tc>
        <w:tc>
          <w:tcPr>
            <w:tcW w:w="569"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0.00 </w:t>
            </w:r>
          </w:p>
        </w:tc>
        <w:tc>
          <w:tcPr>
            <w:tcW w:w="448"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1100.70 </w:t>
            </w:r>
          </w:p>
        </w:tc>
        <w:tc>
          <w:tcPr>
            <w:tcW w:w="501"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171.62 </w:t>
            </w:r>
          </w:p>
        </w:tc>
        <w:tc>
          <w:tcPr>
            <w:tcW w:w="499"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143.55 </w:t>
            </w:r>
          </w:p>
        </w:tc>
        <w:tc>
          <w:tcPr>
            <w:tcW w:w="499"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799.95 </w:t>
            </w:r>
          </w:p>
        </w:tc>
        <w:tc>
          <w:tcPr>
            <w:tcW w:w="334"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0.00 </w:t>
            </w:r>
          </w:p>
        </w:tc>
        <w:tc>
          <w:tcPr>
            <w:tcW w:w="442"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60.88 </w:t>
            </w:r>
          </w:p>
        </w:tc>
      </w:tr>
    </w:tbl>
    <w:p>
      <w:pPr>
        <w:pStyle w:val="31"/>
        <w:spacing w:beforeLines="50" w:afterLines="50"/>
        <w:jc w:val="left"/>
        <w:rPr>
          <w:rFonts w:eastAsia="宋体" w:asciiTheme="minorEastAsia" w:hAnsiTheme="minorEastAsia"/>
          <w:b w:val="0"/>
          <w:sz w:val="24"/>
          <w:szCs w:val="24"/>
        </w:rPr>
      </w:pPr>
      <w:bookmarkStart w:id="41" w:name="_Toc166772190"/>
      <w:r>
        <w:rPr>
          <w:rFonts w:hint="eastAsia" w:eastAsia="宋体" w:asciiTheme="minorEastAsia" w:hAnsiTheme="minorEastAsia"/>
          <w:b w:val="0"/>
          <w:sz w:val="24"/>
          <w:szCs w:val="24"/>
        </w:rPr>
        <w:t>表6</w:t>
      </w:r>
      <w:r>
        <w:rPr>
          <w:rFonts w:eastAsia="宋体" w:asciiTheme="minorEastAsia" w:hAnsiTheme="minorEastAsia"/>
          <w:b w:val="0"/>
          <w:sz w:val="24"/>
          <w:szCs w:val="24"/>
        </w:rPr>
        <w:t>片区户籍人口预测表</w:t>
      </w:r>
      <w:bookmarkEnd w:id="41"/>
    </w:p>
    <w:tbl>
      <w:tblPr>
        <w:tblStyle w:val="16"/>
        <w:tblW w:w="5000" w:type="pct"/>
        <w:tblInd w:w="0" w:type="dxa"/>
        <w:tblLayout w:type="fixed"/>
        <w:tblCellMar>
          <w:top w:w="0" w:type="dxa"/>
          <w:left w:w="108" w:type="dxa"/>
          <w:bottom w:w="0" w:type="dxa"/>
          <w:right w:w="108" w:type="dxa"/>
        </w:tblCellMar>
      </w:tblPr>
      <w:tblGrid>
        <w:gridCol w:w="1516"/>
        <w:gridCol w:w="1340"/>
        <w:gridCol w:w="1345"/>
        <w:gridCol w:w="1789"/>
        <w:gridCol w:w="1566"/>
        <w:gridCol w:w="1345"/>
        <w:gridCol w:w="1563"/>
        <w:gridCol w:w="1569"/>
        <w:gridCol w:w="1421"/>
      </w:tblGrid>
      <w:tr>
        <w:tblPrEx>
          <w:tblCellMar>
            <w:top w:w="0" w:type="dxa"/>
            <w:left w:w="108" w:type="dxa"/>
            <w:bottom w:w="0" w:type="dxa"/>
            <w:right w:w="108" w:type="dxa"/>
          </w:tblCellMar>
        </w:tblPrEx>
        <w:trPr>
          <w:trHeight w:val="270" w:hRule="atLeast"/>
        </w:trPr>
        <w:tc>
          <w:tcPr>
            <w:tcW w:w="56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城镇</w:t>
            </w:r>
          </w:p>
        </w:tc>
        <w:tc>
          <w:tcPr>
            <w:tcW w:w="2245" w:type="pct"/>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2020现状人口（万人）</w:t>
            </w:r>
          </w:p>
        </w:tc>
        <w:tc>
          <w:tcPr>
            <w:tcW w:w="2192" w:type="pct"/>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2035规划人口（万人）</w:t>
            </w:r>
          </w:p>
        </w:tc>
      </w:tr>
      <w:tr>
        <w:tblPrEx>
          <w:tblCellMar>
            <w:top w:w="0" w:type="dxa"/>
            <w:left w:w="108" w:type="dxa"/>
            <w:bottom w:w="0" w:type="dxa"/>
            <w:right w:w="108" w:type="dxa"/>
          </w:tblCellMar>
        </w:tblPrEx>
        <w:trPr>
          <w:trHeight w:val="270" w:hRule="atLeast"/>
        </w:trPr>
        <w:tc>
          <w:tcPr>
            <w:tcW w:w="56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p>
        </w:tc>
        <w:tc>
          <w:tcPr>
            <w:tcW w:w="498"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总人口</w:t>
            </w:r>
          </w:p>
        </w:tc>
        <w:tc>
          <w:tcPr>
            <w:tcW w:w="500"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城镇人口</w:t>
            </w:r>
          </w:p>
        </w:tc>
        <w:tc>
          <w:tcPr>
            <w:tcW w:w="665"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乡村人口</w:t>
            </w:r>
          </w:p>
        </w:tc>
        <w:tc>
          <w:tcPr>
            <w:tcW w:w="582"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城镇化率</w:t>
            </w:r>
          </w:p>
        </w:tc>
        <w:tc>
          <w:tcPr>
            <w:tcW w:w="500"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总人口</w:t>
            </w:r>
          </w:p>
        </w:tc>
        <w:tc>
          <w:tcPr>
            <w:tcW w:w="581"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城镇人口</w:t>
            </w:r>
          </w:p>
        </w:tc>
        <w:tc>
          <w:tcPr>
            <w:tcW w:w="583"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乡村人口</w:t>
            </w:r>
          </w:p>
        </w:tc>
        <w:tc>
          <w:tcPr>
            <w:tcW w:w="528"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城镇化率</w:t>
            </w:r>
          </w:p>
        </w:tc>
      </w:tr>
      <w:tr>
        <w:tblPrEx>
          <w:tblCellMar>
            <w:top w:w="0" w:type="dxa"/>
            <w:left w:w="108" w:type="dxa"/>
            <w:bottom w:w="0" w:type="dxa"/>
            <w:right w:w="108" w:type="dxa"/>
          </w:tblCellMar>
        </w:tblPrEx>
        <w:trPr>
          <w:trHeight w:val="270" w:hRule="atLeast"/>
        </w:trPr>
        <w:tc>
          <w:tcPr>
            <w:tcW w:w="563"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河边镇</w:t>
            </w:r>
          </w:p>
        </w:tc>
        <w:tc>
          <w:tcPr>
            <w:tcW w:w="498"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6.08</w:t>
            </w:r>
          </w:p>
        </w:tc>
        <w:tc>
          <w:tcPr>
            <w:tcW w:w="500"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0.38</w:t>
            </w:r>
          </w:p>
        </w:tc>
        <w:tc>
          <w:tcPr>
            <w:tcW w:w="665"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5.7</w:t>
            </w:r>
          </w:p>
        </w:tc>
        <w:tc>
          <w:tcPr>
            <w:tcW w:w="582"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6.25</w:t>
            </w:r>
          </w:p>
        </w:tc>
        <w:tc>
          <w:tcPr>
            <w:tcW w:w="500"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4.95</w:t>
            </w:r>
          </w:p>
        </w:tc>
        <w:tc>
          <w:tcPr>
            <w:tcW w:w="581"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0.5</w:t>
            </w:r>
          </w:p>
        </w:tc>
        <w:tc>
          <w:tcPr>
            <w:tcW w:w="583"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4.45</w:t>
            </w:r>
          </w:p>
        </w:tc>
        <w:tc>
          <w:tcPr>
            <w:tcW w:w="528"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10.10</w:t>
            </w:r>
          </w:p>
        </w:tc>
      </w:tr>
      <w:tr>
        <w:tblPrEx>
          <w:tblCellMar>
            <w:top w:w="0" w:type="dxa"/>
            <w:left w:w="108" w:type="dxa"/>
            <w:bottom w:w="0" w:type="dxa"/>
            <w:right w:w="108" w:type="dxa"/>
          </w:tblCellMar>
        </w:tblPrEx>
        <w:trPr>
          <w:trHeight w:val="270" w:hRule="atLeast"/>
        </w:trPr>
        <w:tc>
          <w:tcPr>
            <w:tcW w:w="563"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玉峰镇</w:t>
            </w:r>
          </w:p>
        </w:tc>
        <w:tc>
          <w:tcPr>
            <w:tcW w:w="498"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5.27</w:t>
            </w:r>
          </w:p>
        </w:tc>
        <w:tc>
          <w:tcPr>
            <w:tcW w:w="500"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0.15</w:t>
            </w:r>
          </w:p>
        </w:tc>
        <w:tc>
          <w:tcPr>
            <w:tcW w:w="665"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5.12</w:t>
            </w:r>
          </w:p>
        </w:tc>
        <w:tc>
          <w:tcPr>
            <w:tcW w:w="582"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2.85</w:t>
            </w:r>
          </w:p>
        </w:tc>
        <w:tc>
          <w:tcPr>
            <w:tcW w:w="500"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3.45</w:t>
            </w:r>
          </w:p>
        </w:tc>
        <w:tc>
          <w:tcPr>
            <w:tcW w:w="581"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0.4</w:t>
            </w:r>
          </w:p>
        </w:tc>
        <w:tc>
          <w:tcPr>
            <w:tcW w:w="583"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3.05</w:t>
            </w:r>
          </w:p>
        </w:tc>
        <w:tc>
          <w:tcPr>
            <w:tcW w:w="528"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11.59</w:t>
            </w:r>
          </w:p>
        </w:tc>
      </w:tr>
      <w:tr>
        <w:tblPrEx>
          <w:tblCellMar>
            <w:top w:w="0" w:type="dxa"/>
            <w:left w:w="108" w:type="dxa"/>
            <w:bottom w:w="0" w:type="dxa"/>
            <w:right w:w="108" w:type="dxa"/>
          </w:tblCellMar>
        </w:tblPrEx>
        <w:trPr>
          <w:trHeight w:val="270" w:hRule="atLeast"/>
        </w:trPr>
        <w:tc>
          <w:tcPr>
            <w:tcW w:w="563"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象山镇</w:t>
            </w:r>
          </w:p>
        </w:tc>
        <w:tc>
          <w:tcPr>
            <w:tcW w:w="498"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3.18</w:t>
            </w:r>
          </w:p>
        </w:tc>
        <w:tc>
          <w:tcPr>
            <w:tcW w:w="500"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0.39</w:t>
            </w:r>
          </w:p>
        </w:tc>
        <w:tc>
          <w:tcPr>
            <w:tcW w:w="665"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2.79</w:t>
            </w:r>
          </w:p>
        </w:tc>
        <w:tc>
          <w:tcPr>
            <w:tcW w:w="582"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12.26</w:t>
            </w:r>
          </w:p>
        </w:tc>
        <w:tc>
          <w:tcPr>
            <w:tcW w:w="500"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2.34</w:t>
            </w:r>
          </w:p>
        </w:tc>
        <w:tc>
          <w:tcPr>
            <w:tcW w:w="581"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0.5</w:t>
            </w:r>
          </w:p>
        </w:tc>
        <w:tc>
          <w:tcPr>
            <w:tcW w:w="583"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1.84</w:t>
            </w:r>
          </w:p>
        </w:tc>
        <w:tc>
          <w:tcPr>
            <w:tcW w:w="528"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21.37</w:t>
            </w:r>
          </w:p>
        </w:tc>
      </w:tr>
      <w:tr>
        <w:tblPrEx>
          <w:tblCellMar>
            <w:top w:w="0" w:type="dxa"/>
            <w:left w:w="108" w:type="dxa"/>
            <w:bottom w:w="0" w:type="dxa"/>
            <w:right w:w="108" w:type="dxa"/>
          </w:tblCellMar>
        </w:tblPrEx>
        <w:trPr>
          <w:trHeight w:val="270" w:hRule="atLeast"/>
        </w:trPr>
        <w:tc>
          <w:tcPr>
            <w:tcW w:w="563"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合计</w:t>
            </w:r>
          </w:p>
        </w:tc>
        <w:tc>
          <w:tcPr>
            <w:tcW w:w="498"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bCs/>
                <w:kern w:val="0"/>
                <w:szCs w:val="21"/>
              </w:rPr>
            </w:pPr>
            <w:r>
              <w:rPr>
                <w:rFonts w:hint="eastAsia" w:cs="宋体" w:asciiTheme="minorEastAsia" w:hAnsiTheme="minorEastAsia"/>
                <w:bCs/>
                <w:kern w:val="0"/>
                <w:szCs w:val="21"/>
              </w:rPr>
              <w:t>14.54</w:t>
            </w:r>
          </w:p>
        </w:tc>
        <w:tc>
          <w:tcPr>
            <w:tcW w:w="500"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bCs/>
                <w:kern w:val="0"/>
                <w:szCs w:val="21"/>
              </w:rPr>
            </w:pPr>
            <w:r>
              <w:rPr>
                <w:rFonts w:hint="eastAsia" w:cs="宋体" w:asciiTheme="minorEastAsia" w:hAnsiTheme="minorEastAsia"/>
                <w:bCs/>
                <w:kern w:val="0"/>
                <w:szCs w:val="21"/>
              </w:rPr>
              <w:t>0.92</w:t>
            </w:r>
          </w:p>
        </w:tc>
        <w:tc>
          <w:tcPr>
            <w:tcW w:w="665"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13.62</w:t>
            </w:r>
          </w:p>
        </w:tc>
        <w:tc>
          <w:tcPr>
            <w:tcW w:w="582"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6.33</w:t>
            </w:r>
          </w:p>
        </w:tc>
        <w:tc>
          <w:tcPr>
            <w:tcW w:w="500"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bCs/>
                <w:kern w:val="0"/>
                <w:szCs w:val="21"/>
              </w:rPr>
            </w:pPr>
            <w:r>
              <w:rPr>
                <w:rFonts w:hint="eastAsia" w:cs="宋体" w:asciiTheme="minorEastAsia" w:hAnsiTheme="minorEastAsia"/>
                <w:bCs/>
                <w:kern w:val="0"/>
                <w:szCs w:val="21"/>
              </w:rPr>
              <w:t>10.74</w:t>
            </w:r>
          </w:p>
        </w:tc>
        <w:tc>
          <w:tcPr>
            <w:tcW w:w="581"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bCs/>
                <w:kern w:val="0"/>
                <w:szCs w:val="21"/>
              </w:rPr>
            </w:pPr>
            <w:r>
              <w:rPr>
                <w:rFonts w:hint="eastAsia" w:cs="宋体" w:asciiTheme="minorEastAsia" w:hAnsiTheme="minorEastAsia"/>
                <w:bCs/>
                <w:kern w:val="0"/>
                <w:szCs w:val="21"/>
              </w:rPr>
              <w:t>1.4</w:t>
            </w:r>
          </w:p>
        </w:tc>
        <w:tc>
          <w:tcPr>
            <w:tcW w:w="583"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9.34</w:t>
            </w:r>
          </w:p>
        </w:tc>
        <w:tc>
          <w:tcPr>
            <w:tcW w:w="528"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13.04</w:t>
            </w:r>
          </w:p>
        </w:tc>
      </w:tr>
    </w:tbl>
    <w:p>
      <w:pPr>
        <w:pStyle w:val="31"/>
        <w:spacing w:beforeLines="50" w:afterLines="50"/>
        <w:jc w:val="left"/>
        <w:rPr>
          <w:rFonts w:eastAsia="宋体" w:asciiTheme="minorEastAsia" w:hAnsiTheme="minorEastAsia"/>
          <w:b w:val="0"/>
          <w:sz w:val="24"/>
          <w:szCs w:val="24"/>
        </w:rPr>
      </w:pPr>
      <w:bookmarkStart w:id="42" w:name="_Toc166772191"/>
      <w:r>
        <w:rPr>
          <w:rFonts w:hint="eastAsia" w:eastAsia="宋体" w:asciiTheme="minorEastAsia" w:hAnsiTheme="minorEastAsia"/>
          <w:b w:val="0"/>
          <w:sz w:val="24"/>
          <w:szCs w:val="24"/>
        </w:rPr>
        <w:t>表7</w:t>
      </w:r>
      <w:r>
        <w:rPr>
          <w:rFonts w:eastAsia="宋体" w:asciiTheme="minorEastAsia" w:hAnsiTheme="minorEastAsia"/>
          <w:b w:val="0"/>
          <w:sz w:val="24"/>
          <w:szCs w:val="24"/>
        </w:rPr>
        <w:t>片区常住人口预测表</w:t>
      </w:r>
      <w:bookmarkEnd w:id="42"/>
    </w:p>
    <w:tbl>
      <w:tblPr>
        <w:tblStyle w:val="16"/>
        <w:tblW w:w="5000" w:type="pct"/>
        <w:tblInd w:w="0" w:type="dxa"/>
        <w:tblLayout w:type="fixed"/>
        <w:tblCellMar>
          <w:top w:w="0" w:type="dxa"/>
          <w:left w:w="108" w:type="dxa"/>
          <w:bottom w:w="0" w:type="dxa"/>
          <w:right w:w="108" w:type="dxa"/>
        </w:tblCellMar>
      </w:tblPr>
      <w:tblGrid>
        <w:gridCol w:w="1514"/>
        <w:gridCol w:w="1340"/>
        <w:gridCol w:w="1569"/>
        <w:gridCol w:w="1566"/>
        <w:gridCol w:w="1507"/>
        <w:gridCol w:w="1405"/>
        <w:gridCol w:w="1563"/>
        <w:gridCol w:w="1569"/>
        <w:gridCol w:w="1421"/>
      </w:tblGrid>
      <w:tr>
        <w:tblPrEx>
          <w:tblCellMar>
            <w:top w:w="0" w:type="dxa"/>
            <w:left w:w="108" w:type="dxa"/>
            <w:bottom w:w="0" w:type="dxa"/>
            <w:right w:w="108" w:type="dxa"/>
          </w:tblCellMar>
        </w:tblPrEx>
        <w:trPr>
          <w:trHeight w:val="270" w:hRule="atLeast"/>
        </w:trPr>
        <w:tc>
          <w:tcPr>
            <w:tcW w:w="56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城镇</w:t>
            </w:r>
          </w:p>
        </w:tc>
        <w:tc>
          <w:tcPr>
            <w:tcW w:w="2222" w:type="pct"/>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2020现状人口（万人）</w:t>
            </w:r>
          </w:p>
        </w:tc>
        <w:tc>
          <w:tcPr>
            <w:tcW w:w="2214" w:type="pct"/>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2035规划人口（万人）</w:t>
            </w:r>
          </w:p>
        </w:tc>
      </w:tr>
      <w:tr>
        <w:tblPrEx>
          <w:tblCellMar>
            <w:top w:w="0" w:type="dxa"/>
            <w:left w:w="108" w:type="dxa"/>
            <w:bottom w:w="0" w:type="dxa"/>
            <w:right w:w="108" w:type="dxa"/>
          </w:tblCellMar>
        </w:tblPrEx>
        <w:trPr>
          <w:trHeight w:val="270" w:hRule="atLeast"/>
        </w:trPr>
        <w:tc>
          <w:tcPr>
            <w:tcW w:w="56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p>
        </w:tc>
        <w:tc>
          <w:tcPr>
            <w:tcW w:w="498"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总人口</w:t>
            </w:r>
          </w:p>
        </w:tc>
        <w:tc>
          <w:tcPr>
            <w:tcW w:w="583"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城镇人口</w:t>
            </w:r>
          </w:p>
        </w:tc>
        <w:tc>
          <w:tcPr>
            <w:tcW w:w="582"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乡村人口</w:t>
            </w:r>
          </w:p>
        </w:tc>
        <w:tc>
          <w:tcPr>
            <w:tcW w:w="560"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城镇化率</w:t>
            </w:r>
          </w:p>
        </w:tc>
        <w:tc>
          <w:tcPr>
            <w:tcW w:w="522"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总人口</w:t>
            </w:r>
          </w:p>
        </w:tc>
        <w:tc>
          <w:tcPr>
            <w:tcW w:w="581"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城镇人口</w:t>
            </w:r>
          </w:p>
        </w:tc>
        <w:tc>
          <w:tcPr>
            <w:tcW w:w="583"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乡村人口</w:t>
            </w:r>
          </w:p>
        </w:tc>
        <w:tc>
          <w:tcPr>
            <w:tcW w:w="528"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城镇化率</w:t>
            </w:r>
          </w:p>
        </w:tc>
      </w:tr>
      <w:tr>
        <w:tblPrEx>
          <w:tblCellMar>
            <w:top w:w="0" w:type="dxa"/>
            <w:left w:w="108" w:type="dxa"/>
            <w:bottom w:w="0" w:type="dxa"/>
            <w:right w:w="108" w:type="dxa"/>
          </w:tblCellMar>
        </w:tblPrEx>
        <w:trPr>
          <w:trHeight w:val="270" w:hRule="atLeast"/>
        </w:trPr>
        <w:tc>
          <w:tcPr>
            <w:tcW w:w="563"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河边镇</w:t>
            </w:r>
          </w:p>
        </w:tc>
        <w:tc>
          <w:tcPr>
            <w:tcW w:w="498"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3.79</w:t>
            </w:r>
          </w:p>
        </w:tc>
        <w:tc>
          <w:tcPr>
            <w:tcW w:w="583"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0.31</w:t>
            </w:r>
          </w:p>
        </w:tc>
        <w:tc>
          <w:tcPr>
            <w:tcW w:w="582"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3.48</w:t>
            </w:r>
          </w:p>
        </w:tc>
        <w:tc>
          <w:tcPr>
            <w:tcW w:w="560"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8.18</w:t>
            </w:r>
          </w:p>
        </w:tc>
        <w:tc>
          <w:tcPr>
            <w:tcW w:w="522"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3.14</w:t>
            </w:r>
          </w:p>
        </w:tc>
        <w:tc>
          <w:tcPr>
            <w:tcW w:w="581"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0.65</w:t>
            </w:r>
          </w:p>
        </w:tc>
        <w:tc>
          <w:tcPr>
            <w:tcW w:w="583"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2.49</w:t>
            </w:r>
          </w:p>
        </w:tc>
        <w:tc>
          <w:tcPr>
            <w:tcW w:w="528"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20.70</w:t>
            </w:r>
          </w:p>
        </w:tc>
      </w:tr>
      <w:tr>
        <w:tblPrEx>
          <w:tblCellMar>
            <w:top w:w="0" w:type="dxa"/>
            <w:left w:w="108" w:type="dxa"/>
            <w:bottom w:w="0" w:type="dxa"/>
            <w:right w:w="108" w:type="dxa"/>
          </w:tblCellMar>
        </w:tblPrEx>
        <w:trPr>
          <w:trHeight w:val="270" w:hRule="atLeast"/>
        </w:trPr>
        <w:tc>
          <w:tcPr>
            <w:tcW w:w="563"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玉峰镇</w:t>
            </w:r>
          </w:p>
        </w:tc>
        <w:tc>
          <w:tcPr>
            <w:tcW w:w="498"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2.05</w:t>
            </w:r>
          </w:p>
        </w:tc>
        <w:tc>
          <w:tcPr>
            <w:tcW w:w="583"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0.12</w:t>
            </w:r>
          </w:p>
        </w:tc>
        <w:tc>
          <w:tcPr>
            <w:tcW w:w="582"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1.93</w:t>
            </w:r>
          </w:p>
        </w:tc>
        <w:tc>
          <w:tcPr>
            <w:tcW w:w="560"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5.85</w:t>
            </w:r>
          </w:p>
        </w:tc>
        <w:tc>
          <w:tcPr>
            <w:tcW w:w="522"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1.85</w:t>
            </w:r>
          </w:p>
        </w:tc>
        <w:tc>
          <w:tcPr>
            <w:tcW w:w="581"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0.5</w:t>
            </w:r>
          </w:p>
        </w:tc>
        <w:tc>
          <w:tcPr>
            <w:tcW w:w="583"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1.35</w:t>
            </w:r>
          </w:p>
        </w:tc>
        <w:tc>
          <w:tcPr>
            <w:tcW w:w="528"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27.03</w:t>
            </w:r>
          </w:p>
        </w:tc>
      </w:tr>
      <w:tr>
        <w:tblPrEx>
          <w:tblCellMar>
            <w:top w:w="0" w:type="dxa"/>
            <w:left w:w="108" w:type="dxa"/>
            <w:bottom w:w="0" w:type="dxa"/>
            <w:right w:w="108" w:type="dxa"/>
          </w:tblCellMar>
        </w:tblPrEx>
        <w:trPr>
          <w:trHeight w:val="270" w:hRule="atLeast"/>
        </w:trPr>
        <w:tc>
          <w:tcPr>
            <w:tcW w:w="563"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象山镇</w:t>
            </w:r>
          </w:p>
        </w:tc>
        <w:tc>
          <w:tcPr>
            <w:tcW w:w="498"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2.08</w:t>
            </w:r>
          </w:p>
        </w:tc>
        <w:tc>
          <w:tcPr>
            <w:tcW w:w="583"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0.25</w:t>
            </w:r>
          </w:p>
        </w:tc>
        <w:tc>
          <w:tcPr>
            <w:tcW w:w="582"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1.83</w:t>
            </w:r>
          </w:p>
        </w:tc>
        <w:tc>
          <w:tcPr>
            <w:tcW w:w="560"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12.02</w:t>
            </w:r>
          </w:p>
        </w:tc>
        <w:tc>
          <w:tcPr>
            <w:tcW w:w="522"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1.7</w:t>
            </w:r>
          </w:p>
        </w:tc>
        <w:tc>
          <w:tcPr>
            <w:tcW w:w="581"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0.65</w:t>
            </w:r>
          </w:p>
        </w:tc>
        <w:tc>
          <w:tcPr>
            <w:tcW w:w="583"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1.05</w:t>
            </w:r>
          </w:p>
        </w:tc>
        <w:tc>
          <w:tcPr>
            <w:tcW w:w="528"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38.24</w:t>
            </w:r>
          </w:p>
        </w:tc>
      </w:tr>
      <w:tr>
        <w:tblPrEx>
          <w:tblCellMar>
            <w:top w:w="0" w:type="dxa"/>
            <w:left w:w="108" w:type="dxa"/>
            <w:bottom w:w="0" w:type="dxa"/>
            <w:right w:w="108" w:type="dxa"/>
          </w:tblCellMar>
        </w:tblPrEx>
        <w:trPr>
          <w:trHeight w:val="270" w:hRule="atLeast"/>
        </w:trPr>
        <w:tc>
          <w:tcPr>
            <w:tcW w:w="563"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合计</w:t>
            </w:r>
          </w:p>
        </w:tc>
        <w:tc>
          <w:tcPr>
            <w:tcW w:w="498"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7.92</w:t>
            </w:r>
          </w:p>
        </w:tc>
        <w:tc>
          <w:tcPr>
            <w:tcW w:w="583"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0.68</w:t>
            </w:r>
          </w:p>
        </w:tc>
        <w:tc>
          <w:tcPr>
            <w:tcW w:w="582"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7.24</w:t>
            </w:r>
          </w:p>
        </w:tc>
        <w:tc>
          <w:tcPr>
            <w:tcW w:w="560"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8.59</w:t>
            </w:r>
          </w:p>
        </w:tc>
        <w:tc>
          <w:tcPr>
            <w:tcW w:w="522"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6.69</w:t>
            </w:r>
          </w:p>
        </w:tc>
        <w:tc>
          <w:tcPr>
            <w:tcW w:w="581"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1.8</w:t>
            </w:r>
          </w:p>
        </w:tc>
        <w:tc>
          <w:tcPr>
            <w:tcW w:w="583"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4.89</w:t>
            </w:r>
          </w:p>
        </w:tc>
        <w:tc>
          <w:tcPr>
            <w:tcW w:w="528"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26.91</w:t>
            </w:r>
          </w:p>
        </w:tc>
      </w:tr>
    </w:tbl>
    <w:p>
      <w:pPr>
        <w:pStyle w:val="31"/>
        <w:spacing w:beforeLines="50" w:afterLines="50"/>
        <w:jc w:val="left"/>
        <w:rPr>
          <w:rFonts w:eastAsia="宋体" w:asciiTheme="minorEastAsia" w:hAnsiTheme="minorEastAsia"/>
          <w:b w:val="0"/>
          <w:sz w:val="24"/>
          <w:szCs w:val="24"/>
        </w:rPr>
      </w:pPr>
      <w:bookmarkStart w:id="43" w:name="_Toc166772192"/>
      <w:r>
        <w:rPr>
          <w:rFonts w:hint="eastAsia" w:eastAsia="宋体" w:asciiTheme="minorEastAsia" w:hAnsiTheme="minorEastAsia"/>
          <w:b w:val="0"/>
          <w:sz w:val="24"/>
          <w:szCs w:val="24"/>
        </w:rPr>
        <w:t>表8</w:t>
      </w:r>
      <w:r>
        <w:rPr>
          <w:rFonts w:eastAsia="宋体" w:asciiTheme="minorEastAsia" w:hAnsiTheme="minorEastAsia"/>
          <w:b w:val="0"/>
          <w:sz w:val="24"/>
          <w:szCs w:val="24"/>
        </w:rPr>
        <w:t>片区农村户籍人口预测表</w:t>
      </w:r>
      <w:bookmarkEnd w:id="43"/>
    </w:p>
    <w:tbl>
      <w:tblPr>
        <w:tblStyle w:val="16"/>
        <w:tblW w:w="5000" w:type="pct"/>
        <w:tblInd w:w="0" w:type="dxa"/>
        <w:tblLayout w:type="autofit"/>
        <w:tblCellMar>
          <w:top w:w="0" w:type="dxa"/>
          <w:left w:w="108" w:type="dxa"/>
          <w:bottom w:w="0" w:type="dxa"/>
          <w:right w:w="108" w:type="dxa"/>
        </w:tblCellMar>
      </w:tblPr>
      <w:tblGrid>
        <w:gridCol w:w="1973"/>
        <w:gridCol w:w="2000"/>
        <w:gridCol w:w="3790"/>
        <w:gridCol w:w="2992"/>
        <w:gridCol w:w="2699"/>
      </w:tblGrid>
      <w:tr>
        <w:tblPrEx>
          <w:tblCellMar>
            <w:top w:w="0" w:type="dxa"/>
            <w:left w:w="108" w:type="dxa"/>
            <w:bottom w:w="0" w:type="dxa"/>
            <w:right w:w="108" w:type="dxa"/>
          </w:tblCellMar>
        </w:tblPrEx>
        <w:trPr>
          <w:trHeight w:val="312" w:hRule="atLeast"/>
        </w:trPr>
        <w:tc>
          <w:tcPr>
            <w:tcW w:w="733"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乡镇名称</w:t>
            </w:r>
          </w:p>
        </w:tc>
        <w:tc>
          <w:tcPr>
            <w:tcW w:w="743"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片区名</w:t>
            </w:r>
          </w:p>
        </w:tc>
        <w:tc>
          <w:tcPr>
            <w:tcW w:w="1408"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现状乡村人数（万人）</w:t>
            </w:r>
          </w:p>
        </w:tc>
        <w:tc>
          <w:tcPr>
            <w:tcW w:w="1112"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规划人数（万人）</w:t>
            </w:r>
          </w:p>
        </w:tc>
        <w:tc>
          <w:tcPr>
            <w:tcW w:w="1003"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规划户数（户）</w:t>
            </w:r>
          </w:p>
        </w:tc>
      </w:tr>
      <w:tr>
        <w:tblPrEx>
          <w:tblCellMar>
            <w:top w:w="0" w:type="dxa"/>
            <w:left w:w="108" w:type="dxa"/>
            <w:bottom w:w="0" w:type="dxa"/>
            <w:right w:w="108" w:type="dxa"/>
          </w:tblCellMar>
        </w:tblPrEx>
        <w:trPr>
          <w:trHeight w:val="312" w:hRule="atLeast"/>
        </w:trPr>
        <w:tc>
          <w:tcPr>
            <w:tcW w:w="73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p>
        </w:tc>
        <w:tc>
          <w:tcPr>
            <w:tcW w:w="7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p>
        </w:tc>
        <w:tc>
          <w:tcPr>
            <w:tcW w:w="140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p>
        </w:tc>
        <w:tc>
          <w:tcPr>
            <w:tcW w:w="1112"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p>
        </w:tc>
        <w:tc>
          <w:tcPr>
            <w:tcW w:w="100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p>
        </w:tc>
      </w:tr>
      <w:tr>
        <w:tblPrEx>
          <w:tblCellMar>
            <w:top w:w="0" w:type="dxa"/>
            <w:left w:w="108" w:type="dxa"/>
            <w:bottom w:w="0" w:type="dxa"/>
            <w:right w:w="108" w:type="dxa"/>
          </w:tblCellMar>
        </w:tblPrEx>
        <w:trPr>
          <w:trHeight w:val="270" w:hRule="atLeast"/>
        </w:trPr>
        <w:tc>
          <w:tcPr>
            <w:tcW w:w="733"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河边镇</w:t>
            </w:r>
          </w:p>
        </w:tc>
        <w:tc>
          <w:tcPr>
            <w:tcW w:w="74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坤龙片区</w:t>
            </w:r>
          </w:p>
        </w:tc>
        <w:tc>
          <w:tcPr>
            <w:tcW w:w="140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1.7</w:t>
            </w:r>
          </w:p>
        </w:tc>
        <w:tc>
          <w:tcPr>
            <w:tcW w:w="1112"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1.2</w:t>
            </w:r>
          </w:p>
        </w:tc>
        <w:tc>
          <w:tcPr>
            <w:tcW w:w="100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3692</w:t>
            </w:r>
          </w:p>
        </w:tc>
      </w:tr>
      <w:tr>
        <w:tblPrEx>
          <w:tblCellMar>
            <w:top w:w="0" w:type="dxa"/>
            <w:left w:w="108" w:type="dxa"/>
            <w:bottom w:w="0" w:type="dxa"/>
            <w:right w:w="108" w:type="dxa"/>
          </w:tblCellMar>
        </w:tblPrEx>
        <w:trPr>
          <w:trHeight w:val="270" w:hRule="atLeast"/>
        </w:trPr>
        <w:tc>
          <w:tcPr>
            <w:tcW w:w="733"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p>
        </w:tc>
        <w:tc>
          <w:tcPr>
            <w:tcW w:w="74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牌坊片区</w:t>
            </w:r>
          </w:p>
        </w:tc>
        <w:tc>
          <w:tcPr>
            <w:tcW w:w="140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0.95</w:t>
            </w:r>
          </w:p>
        </w:tc>
        <w:tc>
          <w:tcPr>
            <w:tcW w:w="1112"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0.6</w:t>
            </w:r>
          </w:p>
        </w:tc>
        <w:tc>
          <w:tcPr>
            <w:tcW w:w="100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1846 </w:t>
            </w:r>
          </w:p>
        </w:tc>
      </w:tr>
      <w:tr>
        <w:tblPrEx>
          <w:tblCellMar>
            <w:top w:w="0" w:type="dxa"/>
            <w:left w:w="108" w:type="dxa"/>
            <w:bottom w:w="0" w:type="dxa"/>
            <w:right w:w="108" w:type="dxa"/>
          </w:tblCellMar>
        </w:tblPrEx>
        <w:trPr>
          <w:trHeight w:val="270" w:hRule="atLeast"/>
        </w:trPr>
        <w:tc>
          <w:tcPr>
            <w:tcW w:w="733"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p>
        </w:tc>
        <w:tc>
          <w:tcPr>
            <w:tcW w:w="74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前进片区</w:t>
            </w:r>
          </w:p>
        </w:tc>
        <w:tc>
          <w:tcPr>
            <w:tcW w:w="140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1.33</w:t>
            </w:r>
          </w:p>
        </w:tc>
        <w:tc>
          <w:tcPr>
            <w:tcW w:w="1112"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1.1</w:t>
            </w:r>
          </w:p>
        </w:tc>
        <w:tc>
          <w:tcPr>
            <w:tcW w:w="100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3384 </w:t>
            </w:r>
          </w:p>
        </w:tc>
      </w:tr>
      <w:tr>
        <w:tblPrEx>
          <w:tblCellMar>
            <w:top w:w="0" w:type="dxa"/>
            <w:left w:w="108" w:type="dxa"/>
            <w:bottom w:w="0" w:type="dxa"/>
            <w:right w:w="108" w:type="dxa"/>
          </w:tblCellMar>
        </w:tblPrEx>
        <w:trPr>
          <w:trHeight w:val="270" w:hRule="atLeast"/>
        </w:trPr>
        <w:tc>
          <w:tcPr>
            <w:tcW w:w="733"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p>
        </w:tc>
        <w:tc>
          <w:tcPr>
            <w:tcW w:w="74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梁家片区</w:t>
            </w:r>
          </w:p>
        </w:tc>
        <w:tc>
          <w:tcPr>
            <w:tcW w:w="140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0.9</w:t>
            </w:r>
          </w:p>
        </w:tc>
        <w:tc>
          <w:tcPr>
            <w:tcW w:w="1112"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0.6</w:t>
            </w:r>
          </w:p>
        </w:tc>
        <w:tc>
          <w:tcPr>
            <w:tcW w:w="100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1846 </w:t>
            </w:r>
          </w:p>
        </w:tc>
      </w:tr>
      <w:tr>
        <w:tblPrEx>
          <w:tblCellMar>
            <w:top w:w="0" w:type="dxa"/>
            <w:left w:w="108" w:type="dxa"/>
            <w:bottom w:w="0" w:type="dxa"/>
            <w:right w:w="108" w:type="dxa"/>
          </w:tblCellMar>
        </w:tblPrEx>
        <w:trPr>
          <w:trHeight w:val="270" w:hRule="atLeast"/>
        </w:trPr>
        <w:tc>
          <w:tcPr>
            <w:tcW w:w="733"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p>
        </w:tc>
        <w:tc>
          <w:tcPr>
            <w:tcW w:w="74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地风井片区</w:t>
            </w:r>
          </w:p>
        </w:tc>
        <w:tc>
          <w:tcPr>
            <w:tcW w:w="140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0.82</w:t>
            </w:r>
          </w:p>
        </w:tc>
        <w:tc>
          <w:tcPr>
            <w:tcW w:w="1112"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0.6</w:t>
            </w:r>
          </w:p>
        </w:tc>
        <w:tc>
          <w:tcPr>
            <w:tcW w:w="100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1846 </w:t>
            </w:r>
          </w:p>
        </w:tc>
      </w:tr>
      <w:tr>
        <w:tblPrEx>
          <w:tblCellMar>
            <w:top w:w="0" w:type="dxa"/>
            <w:left w:w="108" w:type="dxa"/>
            <w:bottom w:w="0" w:type="dxa"/>
            <w:right w:w="108" w:type="dxa"/>
          </w:tblCellMar>
        </w:tblPrEx>
        <w:trPr>
          <w:trHeight w:val="270" w:hRule="atLeast"/>
        </w:trPr>
        <w:tc>
          <w:tcPr>
            <w:tcW w:w="733"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玉峰镇</w:t>
            </w:r>
          </w:p>
        </w:tc>
        <w:tc>
          <w:tcPr>
            <w:tcW w:w="74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团结片区</w:t>
            </w:r>
          </w:p>
        </w:tc>
        <w:tc>
          <w:tcPr>
            <w:tcW w:w="140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1.12</w:t>
            </w:r>
          </w:p>
        </w:tc>
        <w:tc>
          <w:tcPr>
            <w:tcW w:w="1112"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0.85</w:t>
            </w:r>
          </w:p>
        </w:tc>
        <w:tc>
          <w:tcPr>
            <w:tcW w:w="100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2672 </w:t>
            </w:r>
          </w:p>
        </w:tc>
      </w:tr>
      <w:tr>
        <w:tblPrEx>
          <w:tblCellMar>
            <w:top w:w="0" w:type="dxa"/>
            <w:left w:w="108" w:type="dxa"/>
            <w:bottom w:w="0" w:type="dxa"/>
            <w:right w:w="108" w:type="dxa"/>
          </w:tblCellMar>
        </w:tblPrEx>
        <w:trPr>
          <w:trHeight w:val="270" w:hRule="atLeast"/>
        </w:trPr>
        <w:tc>
          <w:tcPr>
            <w:tcW w:w="733"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p>
        </w:tc>
        <w:tc>
          <w:tcPr>
            <w:tcW w:w="74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玉峰片区</w:t>
            </w:r>
          </w:p>
        </w:tc>
        <w:tc>
          <w:tcPr>
            <w:tcW w:w="140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1.07</w:t>
            </w:r>
          </w:p>
        </w:tc>
        <w:tc>
          <w:tcPr>
            <w:tcW w:w="1112"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0.8</w:t>
            </w:r>
          </w:p>
        </w:tc>
        <w:tc>
          <w:tcPr>
            <w:tcW w:w="100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2516 </w:t>
            </w:r>
          </w:p>
        </w:tc>
      </w:tr>
      <w:tr>
        <w:tblPrEx>
          <w:tblCellMar>
            <w:top w:w="0" w:type="dxa"/>
            <w:left w:w="108" w:type="dxa"/>
            <w:bottom w:w="0" w:type="dxa"/>
            <w:right w:w="108" w:type="dxa"/>
          </w:tblCellMar>
        </w:tblPrEx>
        <w:trPr>
          <w:trHeight w:val="270" w:hRule="atLeast"/>
        </w:trPr>
        <w:tc>
          <w:tcPr>
            <w:tcW w:w="733"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p>
        </w:tc>
        <w:tc>
          <w:tcPr>
            <w:tcW w:w="74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方平沟片区</w:t>
            </w:r>
          </w:p>
        </w:tc>
        <w:tc>
          <w:tcPr>
            <w:tcW w:w="140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1.02</w:t>
            </w:r>
          </w:p>
        </w:tc>
        <w:tc>
          <w:tcPr>
            <w:tcW w:w="1112"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0.5</w:t>
            </w:r>
          </w:p>
        </w:tc>
        <w:tc>
          <w:tcPr>
            <w:tcW w:w="100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1572 </w:t>
            </w:r>
          </w:p>
        </w:tc>
      </w:tr>
      <w:tr>
        <w:tblPrEx>
          <w:tblCellMar>
            <w:top w:w="0" w:type="dxa"/>
            <w:left w:w="108" w:type="dxa"/>
            <w:bottom w:w="0" w:type="dxa"/>
            <w:right w:w="108" w:type="dxa"/>
          </w:tblCellMar>
        </w:tblPrEx>
        <w:trPr>
          <w:trHeight w:val="270" w:hRule="atLeast"/>
        </w:trPr>
        <w:tc>
          <w:tcPr>
            <w:tcW w:w="733"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p>
        </w:tc>
        <w:tc>
          <w:tcPr>
            <w:tcW w:w="74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斗笠片区</w:t>
            </w:r>
          </w:p>
        </w:tc>
        <w:tc>
          <w:tcPr>
            <w:tcW w:w="140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0.69</w:t>
            </w:r>
          </w:p>
        </w:tc>
        <w:tc>
          <w:tcPr>
            <w:tcW w:w="1112"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0.49</w:t>
            </w:r>
          </w:p>
        </w:tc>
        <w:tc>
          <w:tcPr>
            <w:tcW w:w="100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1541 </w:t>
            </w:r>
          </w:p>
        </w:tc>
      </w:tr>
      <w:tr>
        <w:tblPrEx>
          <w:tblCellMar>
            <w:top w:w="0" w:type="dxa"/>
            <w:left w:w="108" w:type="dxa"/>
            <w:bottom w:w="0" w:type="dxa"/>
            <w:right w:w="108" w:type="dxa"/>
          </w:tblCellMar>
        </w:tblPrEx>
        <w:trPr>
          <w:trHeight w:val="270" w:hRule="atLeast"/>
        </w:trPr>
        <w:tc>
          <w:tcPr>
            <w:tcW w:w="733"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p>
        </w:tc>
        <w:tc>
          <w:tcPr>
            <w:tcW w:w="74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智水片区</w:t>
            </w:r>
          </w:p>
        </w:tc>
        <w:tc>
          <w:tcPr>
            <w:tcW w:w="140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1.22</w:t>
            </w:r>
          </w:p>
        </w:tc>
        <w:tc>
          <w:tcPr>
            <w:tcW w:w="1112"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0.8</w:t>
            </w:r>
          </w:p>
        </w:tc>
        <w:tc>
          <w:tcPr>
            <w:tcW w:w="100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2516 </w:t>
            </w:r>
          </w:p>
        </w:tc>
      </w:tr>
      <w:tr>
        <w:tblPrEx>
          <w:tblCellMar>
            <w:top w:w="0" w:type="dxa"/>
            <w:left w:w="108" w:type="dxa"/>
            <w:bottom w:w="0" w:type="dxa"/>
            <w:right w:w="108" w:type="dxa"/>
          </w:tblCellMar>
        </w:tblPrEx>
        <w:trPr>
          <w:trHeight w:val="270" w:hRule="atLeast"/>
        </w:trPr>
        <w:tc>
          <w:tcPr>
            <w:tcW w:w="733"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象山镇</w:t>
            </w:r>
          </w:p>
        </w:tc>
        <w:tc>
          <w:tcPr>
            <w:tcW w:w="74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象山片区</w:t>
            </w:r>
          </w:p>
        </w:tc>
        <w:tc>
          <w:tcPr>
            <w:tcW w:w="140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1.26</w:t>
            </w:r>
          </w:p>
        </w:tc>
        <w:tc>
          <w:tcPr>
            <w:tcW w:w="1112"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w:t>
            </w:r>
          </w:p>
        </w:tc>
        <w:tc>
          <w:tcPr>
            <w:tcW w:w="100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3012 </w:t>
            </w:r>
          </w:p>
        </w:tc>
      </w:tr>
      <w:tr>
        <w:tblPrEx>
          <w:tblCellMar>
            <w:top w:w="0" w:type="dxa"/>
            <w:left w:w="108" w:type="dxa"/>
            <w:bottom w:w="0" w:type="dxa"/>
            <w:right w:w="108" w:type="dxa"/>
          </w:tblCellMar>
        </w:tblPrEx>
        <w:trPr>
          <w:trHeight w:val="270" w:hRule="atLeast"/>
        </w:trPr>
        <w:tc>
          <w:tcPr>
            <w:tcW w:w="733"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p>
        </w:tc>
        <w:tc>
          <w:tcPr>
            <w:tcW w:w="74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永乐片区</w:t>
            </w:r>
          </w:p>
        </w:tc>
        <w:tc>
          <w:tcPr>
            <w:tcW w:w="140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1.53</w:t>
            </w:r>
          </w:p>
        </w:tc>
        <w:tc>
          <w:tcPr>
            <w:tcW w:w="1112"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0.8</w:t>
            </w:r>
          </w:p>
        </w:tc>
        <w:tc>
          <w:tcPr>
            <w:tcW w:w="100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 xml:space="preserve">2410 </w:t>
            </w:r>
          </w:p>
        </w:tc>
      </w:tr>
      <w:tr>
        <w:tblPrEx>
          <w:tblCellMar>
            <w:top w:w="0" w:type="dxa"/>
            <w:left w:w="108" w:type="dxa"/>
            <w:bottom w:w="0" w:type="dxa"/>
            <w:right w:w="108" w:type="dxa"/>
          </w:tblCellMar>
        </w:tblPrEx>
        <w:trPr>
          <w:trHeight w:val="270" w:hRule="atLeast"/>
        </w:trPr>
        <w:tc>
          <w:tcPr>
            <w:tcW w:w="1476"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合计</w:t>
            </w:r>
          </w:p>
        </w:tc>
        <w:tc>
          <w:tcPr>
            <w:tcW w:w="140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13.61</w:t>
            </w:r>
          </w:p>
        </w:tc>
        <w:tc>
          <w:tcPr>
            <w:tcW w:w="1112" w:type="pct"/>
            <w:tcBorders>
              <w:top w:val="nil"/>
              <w:left w:val="nil"/>
              <w:bottom w:val="single" w:color="auto" w:sz="4" w:space="0"/>
              <w:right w:val="single" w:color="auto" w:sz="4" w:space="0"/>
            </w:tcBorders>
            <w:shd w:val="clear" w:color="auto" w:fill="auto"/>
            <w:noWrap/>
            <w:vAlign w:val="center"/>
          </w:tcPr>
          <w:p>
            <w:pPr>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9.34</w:t>
            </w:r>
          </w:p>
        </w:tc>
        <w:tc>
          <w:tcPr>
            <w:tcW w:w="100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28853</w:t>
            </w:r>
          </w:p>
        </w:tc>
      </w:tr>
    </w:tbl>
    <w:p>
      <w:pPr>
        <w:pStyle w:val="31"/>
        <w:spacing w:beforeLines="50" w:afterLines="50"/>
        <w:jc w:val="left"/>
        <w:rPr>
          <w:rFonts w:eastAsia="宋体" w:asciiTheme="minorEastAsia" w:hAnsiTheme="minorEastAsia"/>
          <w:b w:val="0"/>
          <w:sz w:val="24"/>
          <w:szCs w:val="24"/>
        </w:rPr>
      </w:pPr>
      <w:bookmarkStart w:id="44" w:name="_Toc166772193"/>
      <w:r>
        <w:rPr>
          <w:rFonts w:hint="eastAsia" w:eastAsia="宋体" w:asciiTheme="minorEastAsia" w:hAnsiTheme="minorEastAsia"/>
          <w:b w:val="0"/>
          <w:sz w:val="24"/>
          <w:szCs w:val="24"/>
        </w:rPr>
        <w:t>表9</w:t>
      </w:r>
      <w:r>
        <w:rPr>
          <w:rFonts w:eastAsia="宋体" w:asciiTheme="minorEastAsia" w:hAnsiTheme="minorEastAsia"/>
          <w:b w:val="0"/>
          <w:sz w:val="24"/>
          <w:szCs w:val="24"/>
        </w:rPr>
        <w:t>河边镇镇区城镇建设用地规划表</w:t>
      </w:r>
      <w:bookmarkEnd w:id="44"/>
    </w:p>
    <w:tbl>
      <w:tblPr>
        <w:tblStyle w:val="16"/>
        <w:tblW w:w="5000" w:type="pct"/>
        <w:tblInd w:w="0" w:type="dxa"/>
        <w:tblLayout w:type="autofit"/>
        <w:tblCellMar>
          <w:top w:w="0" w:type="dxa"/>
          <w:left w:w="108" w:type="dxa"/>
          <w:bottom w:w="0" w:type="dxa"/>
          <w:right w:w="108" w:type="dxa"/>
        </w:tblCellMar>
      </w:tblPr>
      <w:tblGrid>
        <w:gridCol w:w="2301"/>
        <w:gridCol w:w="3040"/>
        <w:gridCol w:w="2679"/>
        <w:gridCol w:w="1476"/>
        <w:gridCol w:w="1167"/>
        <w:gridCol w:w="1549"/>
        <w:gridCol w:w="1242"/>
      </w:tblGrid>
      <w:tr>
        <w:tblPrEx>
          <w:tblCellMar>
            <w:top w:w="0" w:type="dxa"/>
            <w:left w:w="108" w:type="dxa"/>
            <w:bottom w:w="0" w:type="dxa"/>
            <w:right w:w="108" w:type="dxa"/>
          </w:tblCellMar>
        </w:tblPrEx>
        <w:trPr>
          <w:trHeight w:val="270" w:hRule="atLeast"/>
        </w:trPr>
        <w:tc>
          <w:tcPr>
            <w:tcW w:w="856"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一级类</w:t>
            </w:r>
          </w:p>
        </w:tc>
        <w:tc>
          <w:tcPr>
            <w:tcW w:w="113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二级类</w:t>
            </w:r>
          </w:p>
        </w:tc>
        <w:tc>
          <w:tcPr>
            <w:tcW w:w="996"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三级类</w:t>
            </w:r>
          </w:p>
        </w:tc>
        <w:tc>
          <w:tcPr>
            <w:tcW w:w="980" w:type="pct"/>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规划基期年</w:t>
            </w:r>
          </w:p>
        </w:tc>
        <w:tc>
          <w:tcPr>
            <w:tcW w:w="1038" w:type="pct"/>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规划目标年</w:t>
            </w:r>
          </w:p>
        </w:tc>
      </w:tr>
      <w:tr>
        <w:tblPrEx>
          <w:tblCellMar>
            <w:top w:w="0" w:type="dxa"/>
            <w:left w:w="108" w:type="dxa"/>
            <w:bottom w:w="0" w:type="dxa"/>
            <w:right w:w="108" w:type="dxa"/>
          </w:tblCellMar>
        </w:tblPrEx>
        <w:trPr>
          <w:trHeight w:val="270" w:hRule="atLeast"/>
        </w:trPr>
        <w:tc>
          <w:tcPr>
            <w:tcW w:w="856"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cs="宋体" w:asciiTheme="minorEastAsia" w:hAnsiTheme="minorEastAsia"/>
                <w:color w:val="000000"/>
                <w:kern w:val="0"/>
                <w:szCs w:val="21"/>
              </w:rPr>
            </w:pPr>
          </w:p>
        </w:tc>
        <w:tc>
          <w:tcPr>
            <w:tcW w:w="1130"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cs="宋体" w:asciiTheme="minorEastAsia" w:hAnsiTheme="minorEastAsia"/>
                <w:color w:val="000000"/>
                <w:kern w:val="0"/>
                <w:szCs w:val="21"/>
              </w:rPr>
            </w:pPr>
          </w:p>
        </w:tc>
        <w:tc>
          <w:tcPr>
            <w:tcW w:w="996"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cs="宋体" w:asciiTheme="minorEastAsia" w:hAnsiTheme="minorEastAsia"/>
                <w:color w:val="000000"/>
                <w:kern w:val="0"/>
                <w:szCs w:val="21"/>
              </w:rPr>
            </w:pPr>
          </w:p>
        </w:tc>
        <w:tc>
          <w:tcPr>
            <w:tcW w:w="54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面积（公顷）</w:t>
            </w:r>
          </w:p>
        </w:tc>
        <w:tc>
          <w:tcPr>
            <w:tcW w:w="434"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比例（%）</w:t>
            </w:r>
          </w:p>
        </w:tc>
        <w:tc>
          <w:tcPr>
            <w:tcW w:w="57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面积（公顷）</w:t>
            </w:r>
          </w:p>
        </w:tc>
        <w:tc>
          <w:tcPr>
            <w:tcW w:w="462"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比例（%）</w:t>
            </w:r>
          </w:p>
        </w:tc>
      </w:tr>
      <w:tr>
        <w:tblPrEx>
          <w:tblCellMar>
            <w:top w:w="0" w:type="dxa"/>
            <w:left w:w="108" w:type="dxa"/>
            <w:bottom w:w="0" w:type="dxa"/>
            <w:right w:w="108" w:type="dxa"/>
          </w:tblCellMar>
        </w:tblPrEx>
        <w:trPr>
          <w:trHeight w:val="270" w:hRule="atLeast"/>
        </w:trPr>
        <w:tc>
          <w:tcPr>
            <w:tcW w:w="856"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耕地</w:t>
            </w:r>
          </w:p>
        </w:tc>
        <w:tc>
          <w:tcPr>
            <w:tcW w:w="113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水田</w:t>
            </w:r>
          </w:p>
        </w:tc>
        <w:tc>
          <w:tcPr>
            <w:tcW w:w="99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c>
          <w:tcPr>
            <w:tcW w:w="54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c>
          <w:tcPr>
            <w:tcW w:w="434"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c>
          <w:tcPr>
            <w:tcW w:w="57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c>
          <w:tcPr>
            <w:tcW w:w="462"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r>
      <w:tr>
        <w:tblPrEx>
          <w:tblCellMar>
            <w:top w:w="0" w:type="dxa"/>
            <w:left w:w="108" w:type="dxa"/>
            <w:bottom w:w="0" w:type="dxa"/>
            <w:right w:w="108" w:type="dxa"/>
          </w:tblCellMar>
        </w:tblPrEx>
        <w:trPr>
          <w:trHeight w:val="270" w:hRule="atLeast"/>
        </w:trPr>
        <w:tc>
          <w:tcPr>
            <w:tcW w:w="856"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color w:val="000000"/>
                <w:kern w:val="0"/>
                <w:szCs w:val="21"/>
              </w:rPr>
            </w:pPr>
          </w:p>
        </w:tc>
        <w:tc>
          <w:tcPr>
            <w:tcW w:w="113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旱地</w:t>
            </w:r>
          </w:p>
        </w:tc>
        <w:tc>
          <w:tcPr>
            <w:tcW w:w="99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c>
          <w:tcPr>
            <w:tcW w:w="54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2.54</w:t>
            </w:r>
          </w:p>
        </w:tc>
        <w:tc>
          <w:tcPr>
            <w:tcW w:w="434"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4.88</w:t>
            </w:r>
          </w:p>
        </w:tc>
        <w:tc>
          <w:tcPr>
            <w:tcW w:w="57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c>
          <w:tcPr>
            <w:tcW w:w="462"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r>
      <w:tr>
        <w:tblPrEx>
          <w:tblCellMar>
            <w:top w:w="0" w:type="dxa"/>
            <w:left w:w="108" w:type="dxa"/>
            <w:bottom w:w="0" w:type="dxa"/>
            <w:right w:w="108" w:type="dxa"/>
          </w:tblCellMar>
        </w:tblPrEx>
        <w:trPr>
          <w:trHeight w:val="270" w:hRule="atLeast"/>
        </w:trPr>
        <w:tc>
          <w:tcPr>
            <w:tcW w:w="856"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color w:val="000000"/>
                <w:kern w:val="0"/>
                <w:szCs w:val="21"/>
              </w:rPr>
            </w:pPr>
          </w:p>
        </w:tc>
        <w:tc>
          <w:tcPr>
            <w:tcW w:w="2126" w:type="pct"/>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小计</w:t>
            </w:r>
          </w:p>
        </w:tc>
        <w:tc>
          <w:tcPr>
            <w:tcW w:w="54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2.55</w:t>
            </w:r>
          </w:p>
        </w:tc>
        <w:tc>
          <w:tcPr>
            <w:tcW w:w="434"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4.89</w:t>
            </w:r>
          </w:p>
        </w:tc>
        <w:tc>
          <w:tcPr>
            <w:tcW w:w="57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c>
          <w:tcPr>
            <w:tcW w:w="462"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r>
      <w:tr>
        <w:tblPrEx>
          <w:tblCellMar>
            <w:top w:w="0" w:type="dxa"/>
            <w:left w:w="108" w:type="dxa"/>
            <w:bottom w:w="0" w:type="dxa"/>
            <w:right w:w="108" w:type="dxa"/>
          </w:tblCellMar>
        </w:tblPrEx>
        <w:trPr>
          <w:trHeight w:val="270" w:hRule="atLeast"/>
        </w:trPr>
        <w:tc>
          <w:tcPr>
            <w:tcW w:w="856"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园地</w:t>
            </w:r>
          </w:p>
        </w:tc>
        <w:tc>
          <w:tcPr>
            <w:tcW w:w="113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果园</w:t>
            </w:r>
          </w:p>
        </w:tc>
        <w:tc>
          <w:tcPr>
            <w:tcW w:w="99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c>
          <w:tcPr>
            <w:tcW w:w="54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c>
          <w:tcPr>
            <w:tcW w:w="434"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c>
          <w:tcPr>
            <w:tcW w:w="57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c>
          <w:tcPr>
            <w:tcW w:w="462"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r>
      <w:tr>
        <w:tblPrEx>
          <w:tblCellMar>
            <w:top w:w="0" w:type="dxa"/>
            <w:left w:w="108" w:type="dxa"/>
            <w:bottom w:w="0" w:type="dxa"/>
            <w:right w:w="108" w:type="dxa"/>
          </w:tblCellMar>
        </w:tblPrEx>
        <w:trPr>
          <w:trHeight w:val="270" w:hRule="atLeast"/>
        </w:trPr>
        <w:tc>
          <w:tcPr>
            <w:tcW w:w="856"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color w:val="000000"/>
                <w:kern w:val="0"/>
                <w:szCs w:val="21"/>
              </w:rPr>
            </w:pPr>
          </w:p>
        </w:tc>
        <w:tc>
          <w:tcPr>
            <w:tcW w:w="113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其他园地</w:t>
            </w:r>
          </w:p>
        </w:tc>
        <w:tc>
          <w:tcPr>
            <w:tcW w:w="99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c>
          <w:tcPr>
            <w:tcW w:w="54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0.02</w:t>
            </w:r>
          </w:p>
        </w:tc>
        <w:tc>
          <w:tcPr>
            <w:tcW w:w="434"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0.03</w:t>
            </w:r>
          </w:p>
        </w:tc>
        <w:tc>
          <w:tcPr>
            <w:tcW w:w="57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c>
          <w:tcPr>
            <w:tcW w:w="462"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r>
      <w:tr>
        <w:tblPrEx>
          <w:tblCellMar>
            <w:top w:w="0" w:type="dxa"/>
            <w:left w:w="108" w:type="dxa"/>
            <w:bottom w:w="0" w:type="dxa"/>
            <w:right w:w="108" w:type="dxa"/>
          </w:tblCellMar>
        </w:tblPrEx>
        <w:trPr>
          <w:trHeight w:val="270" w:hRule="atLeast"/>
        </w:trPr>
        <w:tc>
          <w:tcPr>
            <w:tcW w:w="856"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color w:val="000000"/>
                <w:kern w:val="0"/>
                <w:szCs w:val="21"/>
              </w:rPr>
            </w:pPr>
          </w:p>
        </w:tc>
        <w:tc>
          <w:tcPr>
            <w:tcW w:w="2126" w:type="pct"/>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小计</w:t>
            </w:r>
          </w:p>
        </w:tc>
        <w:tc>
          <w:tcPr>
            <w:tcW w:w="54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0.02</w:t>
            </w:r>
          </w:p>
        </w:tc>
        <w:tc>
          <w:tcPr>
            <w:tcW w:w="434"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0.03</w:t>
            </w:r>
          </w:p>
        </w:tc>
        <w:tc>
          <w:tcPr>
            <w:tcW w:w="57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c>
          <w:tcPr>
            <w:tcW w:w="462"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r>
      <w:tr>
        <w:tblPrEx>
          <w:tblCellMar>
            <w:top w:w="0" w:type="dxa"/>
            <w:left w:w="108" w:type="dxa"/>
            <w:bottom w:w="0" w:type="dxa"/>
            <w:right w:w="108" w:type="dxa"/>
          </w:tblCellMar>
        </w:tblPrEx>
        <w:trPr>
          <w:trHeight w:val="270" w:hRule="atLeast"/>
        </w:trPr>
        <w:tc>
          <w:tcPr>
            <w:tcW w:w="856"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林地</w:t>
            </w:r>
          </w:p>
        </w:tc>
        <w:tc>
          <w:tcPr>
            <w:tcW w:w="113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乔木林地</w:t>
            </w:r>
          </w:p>
        </w:tc>
        <w:tc>
          <w:tcPr>
            <w:tcW w:w="99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c>
          <w:tcPr>
            <w:tcW w:w="54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0.30</w:t>
            </w:r>
          </w:p>
        </w:tc>
        <w:tc>
          <w:tcPr>
            <w:tcW w:w="434"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0.57</w:t>
            </w:r>
          </w:p>
        </w:tc>
        <w:tc>
          <w:tcPr>
            <w:tcW w:w="57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c>
          <w:tcPr>
            <w:tcW w:w="462"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r>
      <w:tr>
        <w:tblPrEx>
          <w:tblCellMar>
            <w:top w:w="0" w:type="dxa"/>
            <w:left w:w="108" w:type="dxa"/>
            <w:bottom w:w="0" w:type="dxa"/>
            <w:right w:w="108" w:type="dxa"/>
          </w:tblCellMar>
        </w:tblPrEx>
        <w:trPr>
          <w:trHeight w:val="270" w:hRule="atLeast"/>
        </w:trPr>
        <w:tc>
          <w:tcPr>
            <w:tcW w:w="856"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color w:val="000000"/>
                <w:kern w:val="0"/>
                <w:szCs w:val="21"/>
              </w:rPr>
            </w:pPr>
          </w:p>
        </w:tc>
        <w:tc>
          <w:tcPr>
            <w:tcW w:w="113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竹林地</w:t>
            </w:r>
          </w:p>
        </w:tc>
        <w:tc>
          <w:tcPr>
            <w:tcW w:w="99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c>
          <w:tcPr>
            <w:tcW w:w="54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0.88</w:t>
            </w:r>
          </w:p>
        </w:tc>
        <w:tc>
          <w:tcPr>
            <w:tcW w:w="434"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1.68</w:t>
            </w:r>
          </w:p>
        </w:tc>
        <w:tc>
          <w:tcPr>
            <w:tcW w:w="57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c>
          <w:tcPr>
            <w:tcW w:w="462"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r>
      <w:tr>
        <w:tblPrEx>
          <w:tblCellMar>
            <w:top w:w="0" w:type="dxa"/>
            <w:left w:w="108" w:type="dxa"/>
            <w:bottom w:w="0" w:type="dxa"/>
            <w:right w:w="108" w:type="dxa"/>
          </w:tblCellMar>
        </w:tblPrEx>
        <w:trPr>
          <w:trHeight w:val="270" w:hRule="atLeast"/>
        </w:trPr>
        <w:tc>
          <w:tcPr>
            <w:tcW w:w="856"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color w:val="000000"/>
                <w:kern w:val="0"/>
                <w:szCs w:val="21"/>
              </w:rPr>
            </w:pPr>
          </w:p>
        </w:tc>
        <w:tc>
          <w:tcPr>
            <w:tcW w:w="2126" w:type="pct"/>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小计</w:t>
            </w:r>
          </w:p>
        </w:tc>
        <w:tc>
          <w:tcPr>
            <w:tcW w:w="54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1.17</w:t>
            </w:r>
          </w:p>
        </w:tc>
        <w:tc>
          <w:tcPr>
            <w:tcW w:w="434"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2.25</w:t>
            </w:r>
          </w:p>
        </w:tc>
        <w:tc>
          <w:tcPr>
            <w:tcW w:w="57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c>
          <w:tcPr>
            <w:tcW w:w="462"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r>
      <w:tr>
        <w:tblPrEx>
          <w:tblCellMar>
            <w:top w:w="0" w:type="dxa"/>
            <w:left w:w="108" w:type="dxa"/>
            <w:bottom w:w="0" w:type="dxa"/>
            <w:right w:w="108" w:type="dxa"/>
          </w:tblCellMar>
        </w:tblPrEx>
        <w:trPr>
          <w:trHeight w:val="270" w:hRule="atLeast"/>
        </w:trPr>
        <w:tc>
          <w:tcPr>
            <w:tcW w:w="856"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农业设施建设用地</w:t>
            </w:r>
          </w:p>
        </w:tc>
        <w:tc>
          <w:tcPr>
            <w:tcW w:w="1130"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乡村道路用地</w:t>
            </w:r>
          </w:p>
        </w:tc>
        <w:tc>
          <w:tcPr>
            <w:tcW w:w="996"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村道用地</w:t>
            </w:r>
          </w:p>
        </w:tc>
        <w:tc>
          <w:tcPr>
            <w:tcW w:w="54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0.03</w:t>
            </w:r>
          </w:p>
        </w:tc>
        <w:tc>
          <w:tcPr>
            <w:tcW w:w="434"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0.06</w:t>
            </w:r>
          </w:p>
        </w:tc>
        <w:tc>
          <w:tcPr>
            <w:tcW w:w="57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c>
          <w:tcPr>
            <w:tcW w:w="462"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r>
      <w:tr>
        <w:tblPrEx>
          <w:tblCellMar>
            <w:top w:w="0" w:type="dxa"/>
            <w:left w:w="108" w:type="dxa"/>
            <w:bottom w:w="0" w:type="dxa"/>
            <w:right w:w="108" w:type="dxa"/>
          </w:tblCellMar>
        </w:tblPrEx>
        <w:trPr>
          <w:trHeight w:val="270" w:hRule="atLeast"/>
        </w:trPr>
        <w:tc>
          <w:tcPr>
            <w:tcW w:w="856"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color w:val="000000"/>
                <w:kern w:val="0"/>
                <w:szCs w:val="21"/>
              </w:rPr>
            </w:pPr>
          </w:p>
        </w:tc>
        <w:tc>
          <w:tcPr>
            <w:tcW w:w="1130" w:type="pct"/>
            <w:vMerge w:val="continue"/>
            <w:tcBorders>
              <w:top w:val="nil"/>
              <w:left w:val="single" w:color="auto" w:sz="4" w:space="0"/>
              <w:bottom w:val="single" w:color="000000" w:sz="4" w:space="0"/>
              <w:right w:val="single" w:color="auto" w:sz="4" w:space="0"/>
            </w:tcBorders>
            <w:vAlign w:val="center"/>
          </w:tcPr>
          <w:p>
            <w:pPr>
              <w:widowControl/>
              <w:jc w:val="left"/>
              <w:rPr>
                <w:rFonts w:cs="宋体" w:asciiTheme="minorEastAsia" w:hAnsiTheme="minorEastAsia"/>
                <w:color w:val="000000"/>
                <w:kern w:val="0"/>
                <w:szCs w:val="21"/>
              </w:rPr>
            </w:pPr>
          </w:p>
        </w:tc>
        <w:tc>
          <w:tcPr>
            <w:tcW w:w="996"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村庄内部道路用地</w:t>
            </w:r>
          </w:p>
        </w:tc>
        <w:tc>
          <w:tcPr>
            <w:tcW w:w="54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0.02</w:t>
            </w:r>
          </w:p>
        </w:tc>
        <w:tc>
          <w:tcPr>
            <w:tcW w:w="434"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0.03</w:t>
            </w:r>
          </w:p>
        </w:tc>
        <w:tc>
          <w:tcPr>
            <w:tcW w:w="57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c>
          <w:tcPr>
            <w:tcW w:w="462"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r>
      <w:tr>
        <w:tblPrEx>
          <w:tblCellMar>
            <w:top w:w="0" w:type="dxa"/>
            <w:left w:w="108" w:type="dxa"/>
            <w:bottom w:w="0" w:type="dxa"/>
            <w:right w:w="108" w:type="dxa"/>
          </w:tblCellMar>
        </w:tblPrEx>
        <w:trPr>
          <w:trHeight w:val="270" w:hRule="atLeast"/>
        </w:trPr>
        <w:tc>
          <w:tcPr>
            <w:tcW w:w="856"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color w:val="000000"/>
                <w:kern w:val="0"/>
                <w:szCs w:val="21"/>
              </w:rPr>
            </w:pPr>
          </w:p>
        </w:tc>
        <w:tc>
          <w:tcPr>
            <w:tcW w:w="2126" w:type="pct"/>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小计</w:t>
            </w:r>
          </w:p>
        </w:tc>
        <w:tc>
          <w:tcPr>
            <w:tcW w:w="54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0.05</w:t>
            </w:r>
          </w:p>
        </w:tc>
        <w:tc>
          <w:tcPr>
            <w:tcW w:w="434"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0.09</w:t>
            </w:r>
          </w:p>
        </w:tc>
        <w:tc>
          <w:tcPr>
            <w:tcW w:w="57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c>
          <w:tcPr>
            <w:tcW w:w="462"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r>
      <w:tr>
        <w:tblPrEx>
          <w:tblCellMar>
            <w:top w:w="0" w:type="dxa"/>
            <w:left w:w="108" w:type="dxa"/>
            <w:bottom w:w="0" w:type="dxa"/>
            <w:right w:w="108" w:type="dxa"/>
          </w:tblCellMar>
        </w:tblPrEx>
        <w:trPr>
          <w:trHeight w:val="270" w:hRule="atLeast"/>
        </w:trPr>
        <w:tc>
          <w:tcPr>
            <w:tcW w:w="856"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居住用地</w:t>
            </w:r>
          </w:p>
        </w:tc>
        <w:tc>
          <w:tcPr>
            <w:tcW w:w="1130"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城镇住宅用地</w:t>
            </w:r>
          </w:p>
        </w:tc>
        <w:tc>
          <w:tcPr>
            <w:tcW w:w="996"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二类城镇住宅用地</w:t>
            </w:r>
          </w:p>
        </w:tc>
        <w:tc>
          <w:tcPr>
            <w:tcW w:w="54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24.64</w:t>
            </w:r>
          </w:p>
        </w:tc>
        <w:tc>
          <w:tcPr>
            <w:tcW w:w="434"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47.29</w:t>
            </w:r>
          </w:p>
        </w:tc>
        <w:tc>
          <w:tcPr>
            <w:tcW w:w="57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20.76</w:t>
            </w:r>
          </w:p>
        </w:tc>
        <w:tc>
          <w:tcPr>
            <w:tcW w:w="462"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39.86</w:t>
            </w:r>
          </w:p>
        </w:tc>
      </w:tr>
      <w:tr>
        <w:tblPrEx>
          <w:tblCellMar>
            <w:top w:w="0" w:type="dxa"/>
            <w:left w:w="108" w:type="dxa"/>
            <w:bottom w:w="0" w:type="dxa"/>
            <w:right w:w="108" w:type="dxa"/>
          </w:tblCellMar>
        </w:tblPrEx>
        <w:trPr>
          <w:trHeight w:val="270" w:hRule="atLeast"/>
        </w:trPr>
        <w:tc>
          <w:tcPr>
            <w:tcW w:w="856"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color w:val="000000"/>
                <w:kern w:val="0"/>
                <w:szCs w:val="21"/>
              </w:rPr>
            </w:pPr>
          </w:p>
        </w:tc>
        <w:tc>
          <w:tcPr>
            <w:tcW w:w="1130"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城镇社区服务设施用地</w:t>
            </w:r>
          </w:p>
        </w:tc>
        <w:tc>
          <w:tcPr>
            <w:tcW w:w="996"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p>
        </w:tc>
        <w:tc>
          <w:tcPr>
            <w:tcW w:w="546"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c>
          <w:tcPr>
            <w:tcW w:w="434"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c>
          <w:tcPr>
            <w:tcW w:w="576"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0.92</w:t>
            </w:r>
          </w:p>
        </w:tc>
        <w:tc>
          <w:tcPr>
            <w:tcW w:w="462"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1.77</w:t>
            </w:r>
          </w:p>
        </w:tc>
      </w:tr>
      <w:tr>
        <w:tblPrEx>
          <w:tblCellMar>
            <w:top w:w="0" w:type="dxa"/>
            <w:left w:w="108" w:type="dxa"/>
            <w:bottom w:w="0" w:type="dxa"/>
            <w:right w:w="108" w:type="dxa"/>
          </w:tblCellMar>
        </w:tblPrEx>
        <w:trPr>
          <w:trHeight w:val="270" w:hRule="atLeast"/>
        </w:trPr>
        <w:tc>
          <w:tcPr>
            <w:tcW w:w="856"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color w:val="000000"/>
                <w:kern w:val="0"/>
                <w:szCs w:val="21"/>
              </w:rPr>
            </w:pPr>
          </w:p>
        </w:tc>
        <w:tc>
          <w:tcPr>
            <w:tcW w:w="113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农村宅基地</w:t>
            </w:r>
          </w:p>
        </w:tc>
        <w:tc>
          <w:tcPr>
            <w:tcW w:w="99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一类农村宅基地</w:t>
            </w:r>
          </w:p>
        </w:tc>
        <w:tc>
          <w:tcPr>
            <w:tcW w:w="54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5.95</w:t>
            </w:r>
          </w:p>
        </w:tc>
        <w:tc>
          <w:tcPr>
            <w:tcW w:w="434"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11.41</w:t>
            </w:r>
          </w:p>
        </w:tc>
        <w:tc>
          <w:tcPr>
            <w:tcW w:w="57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c>
          <w:tcPr>
            <w:tcW w:w="462"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r>
      <w:tr>
        <w:tblPrEx>
          <w:tblCellMar>
            <w:top w:w="0" w:type="dxa"/>
            <w:left w:w="108" w:type="dxa"/>
            <w:bottom w:w="0" w:type="dxa"/>
            <w:right w:w="108" w:type="dxa"/>
          </w:tblCellMar>
        </w:tblPrEx>
        <w:trPr>
          <w:trHeight w:val="270" w:hRule="atLeast"/>
        </w:trPr>
        <w:tc>
          <w:tcPr>
            <w:tcW w:w="856"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color w:val="000000"/>
                <w:kern w:val="0"/>
                <w:szCs w:val="21"/>
              </w:rPr>
            </w:pPr>
          </w:p>
        </w:tc>
        <w:tc>
          <w:tcPr>
            <w:tcW w:w="2126" w:type="pct"/>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小计</w:t>
            </w:r>
          </w:p>
        </w:tc>
        <w:tc>
          <w:tcPr>
            <w:tcW w:w="54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30.58</w:t>
            </w:r>
          </w:p>
        </w:tc>
        <w:tc>
          <w:tcPr>
            <w:tcW w:w="434"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58.71</w:t>
            </w:r>
          </w:p>
        </w:tc>
        <w:tc>
          <w:tcPr>
            <w:tcW w:w="57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21.69</w:t>
            </w:r>
          </w:p>
        </w:tc>
        <w:tc>
          <w:tcPr>
            <w:tcW w:w="462"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41.63</w:t>
            </w:r>
          </w:p>
        </w:tc>
      </w:tr>
      <w:tr>
        <w:tblPrEx>
          <w:tblCellMar>
            <w:top w:w="0" w:type="dxa"/>
            <w:left w:w="108" w:type="dxa"/>
            <w:bottom w:w="0" w:type="dxa"/>
            <w:right w:w="108" w:type="dxa"/>
          </w:tblCellMar>
        </w:tblPrEx>
        <w:trPr>
          <w:trHeight w:val="270" w:hRule="atLeast"/>
        </w:trPr>
        <w:tc>
          <w:tcPr>
            <w:tcW w:w="856"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公共管理与公共服务设施用地</w:t>
            </w:r>
          </w:p>
        </w:tc>
        <w:tc>
          <w:tcPr>
            <w:tcW w:w="113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机关团体用地</w:t>
            </w:r>
          </w:p>
        </w:tc>
        <w:tc>
          <w:tcPr>
            <w:tcW w:w="99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c>
          <w:tcPr>
            <w:tcW w:w="54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0.67</w:t>
            </w:r>
          </w:p>
        </w:tc>
        <w:tc>
          <w:tcPr>
            <w:tcW w:w="434"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1.28</w:t>
            </w:r>
          </w:p>
        </w:tc>
        <w:tc>
          <w:tcPr>
            <w:tcW w:w="57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0.46</w:t>
            </w:r>
          </w:p>
        </w:tc>
        <w:tc>
          <w:tcPr>
            <w:tcW w:w="462"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0.88</w:t>
            </w:r>
          </w:p>
        </w:tc>
      </w:tr>
      <w:tr>
        <w:tblPrEx>
          <w:tblCellMar>
            <w:top w:w="0" w:type="dxa"/>
            <w:left w:w="108" w:type="dxa"/>
            <w:bottom w:w="0" w:type="dxa"/>
            <w:right w:w="108" w:type="dxa"/>
          </w:tblCellMar>
        </w:tblPrEx>
        <w:trPr>
          <w:trHeight w:val="270" w:hRule="atLeast"/>
        </w:trPr>
        <w:tc>
          <w:tcPr>
            <w:tcW w:w="856"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color w:val="000000"/>
                <w:kern w:val="0"/>
                <w:szCs w:val="21"/>
              </w:rPr>
            </w:pPr>
          </w:p>
        </w:tc>
        <w:tc>
          <w:tcPr>
            <w:tcW w:w="1130"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教育用地</w:t>
            </w:r>
          </w:p>
        </w:tc>
        <w:tc>
          <w:tcPr>
            <w:tcW w:w="99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中小学用地</w:t>
            </w:r>
          </w:p>
        </w:tc>
        <w:tc>
          <w:tcPr>
            <w:tcW w:w="54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2.20</w:t>
            </w:r>
          </w:p>
        </w:tc>
        <w:tc>
          <w:tcPr>
            <w:tcW w:w="434"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4.22</w:t>
            </w:r>
          </w:p>
        </w:tc>
        <w:tc>
          <w:tcPr>
            <w:tcW w:w="57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2.13</w:t>
            </w:r>
          </w:p>
        </w:tc>
        <w:tc>
          <w:tcPr>
            <w:tcW w:w="462"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4.08</w:t>
            </w:r>
          </w:p>
        </w:tc>
      </w:tr>
      <w:tr>
        <w:tblPrEx>
          <w:tblCellMar>
            <w:top w:w="0" w:type="dxa"/>
            <w:left w:w="108" w:type="dxa"/>
            <w:bottom w:w="0" w:type="dxa"/>
            <w:right w:w="108" w:type="dxa"/>
          </w:tblCellMar>
        </w:tblPrEx>
        <w:trPr>
          <w:trHeight w:val="270" w:hRule="atLeast"/>
        </w:trPr>
        <w:tc>
          <w:tcPr>
            <w:tcW w:w="856"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color w:val="000000"/>
                <w:kern w:val="0"/>
                <w:szCs w:val="21"/>
              </w:rPr>
            </w:pPr>
          </w:p>
        </w:tc>
        <w:tc>
          <w:tcPr>
            <w:tcW w:w="1130"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color w:val="000000"/>
                <w:kern w:val="0"/>
                <w:szCs w:val="21"/>
              </w:rPr>
            </w:pPr>
          </w:p>
        </w:tc>
        <w:tc>
          <w:tcPr>
            <w:tcW w:w="99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幼儿园用地</w:t>
            </w:r>
          </w:p>
        </w:tc>
        <w:tc>
          <w:tcPr>
            <w:tcW w:w="54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1.41</w:t>
            </w:r>
          </w:p>
        </w:tc>
        <w:tc>
          <w:tcPr>
            <w:tcW w:w="434"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2.70</w:t>
            </w:r>
          </w:p>
        </w:tc>
        <w:tc>
          <w:tcPr>
            <w:tcW w:w="57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1.41</w:t>
            </w:r>
          </w:p>
        </w:tc>
        <w:tc>
          <w:tcPr>
            <w:tcW w:w="462"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2.70</w:t>
            </w:r>
          </w:p>
        </w:tc>
      </w:tr>
      <w:tr>
        <w:tblPrEx>
          <w:tblCellMar>
            <w:top w:w="0" w:type="dxa"/>
            <w:left w:w="108" w:type="dxa"/>
            <w:bottom w:w="0" w:type="dxa"/>
            <w:right w:w="108" w:type="dxa"/>
          </w:tblCellMar>
        </w:tblPrEx>
        <w:trPr>
          <w:trHeight w:val="270" w:hRule="atLeast"/>
        </w:trPr>
        <w:tc>
          <w:tcPr>
            <w:tcW w:w="856"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color w:val="000000"/>
                <w:kern w:val="0"/>
                <w:szCs w:val="21"/>
              </w:rPr>
            </w:pPr>
          </w:p>
        </w:tc>
        <w:tc>
          <w:tcPr>
            <w:tcW w:w="113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体育用地</w:t>
            </w:r>
          </w:p>
        </w:tc>
        <w:tc>
          <w:tcPr>
            <w:tcW w:w="99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体育场馆用地</w:t>
            </w:r>
          </w:p>
        </w:tc>
        <w:tc>
          <w:tcPr>
            <w:tcW w:w="54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c>
          <w:tcPr>
            <w:tcW w:w="434"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c>
          <w:tcPr>
            <w:tcW w:w="57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0.10</w:t>
            </w:r>
          </w:p>
        </w:tc>
        <w:tc>
          <w:tcPr>
            <w:tcW w:w="462"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0.19</w:t>
            </w:r>
          </w:p>
        </w:tc>
      </w:tr>
      <w:tr>
        <w:tblPrEx>
          <w:tblCellMar>
            <w:top w:w="0" w:type="dxa"/>
            <w:left w:w="108" w:type="dxa"/>
            <w:bottom w:w="0" w:type="dxa"/>
            <w:right w:w="108" w:type="dxa"/>
          </w:tblCellMar>
        </w:tblPrEx>
        <w:trPr>
          <w:trHeight w:val="270" w:hRule="atLeast"/>
        </w:trPr>
        <w:tc>
          <w:tcPr>
            <w:tcW w:w="856"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color w:val="000000"/>
                <w:kern w:val="0"/>
                <w:szCs w:val="21"/>
              </w:rPr>
            </w:pPr>
          </w:p>
        </w:tc>
        <w:tc>
          <w:tcPr>
            <w:tcW w:w="113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医疗卫生用地</w:t>
            </w:r>
          </w:p>
        </w:tc>
        <w:tc>
          <w:tcPr>
            <w:tcW w:w="99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基层医疗卫生设施用地</w:t>
            </w:r>
          </w:p>
        </w:tc>
        <w:tc>
          <w:tcPr>
            <w:tcW w:w="54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1.11</w:t>
            </w:r>
          </w:p>
        </w:tc>
        <w:tc>
          <w:tcPr>
            <w:tcW w:w="434"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2.14</w:t>
            </w:r>
          </w:p>
        </w:tc>
        <w:tc>
          <w:tcPr>
            <w:tcW w:w="57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1.03</w:t>
            </w:r>
          </w:p>
        </w:tc>
        <w:tc>
          <w:tcPr>
            <w:tcW w:w="462"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1.99</w:t>
            </w:r>
          </w:p>
        </w:tc>
      </w:tr>
      <w:tr>
        <w:tblPrEx>
          <w:tblCellMar>
            <w:top w:w="0" w:type="dxa"/>
            <w:left w:w="108" w:type="dxa"/>
            <w:bottom w:w="0" w:type="dxa"/>
            <w:right w:w="108" w:type="dxa"/>
          </w:tblCellMar>
        </w:tblPrEx>
        <w:trPr>
          <w:trHeight w:val="270" w:hRule="atLeast"/>
        </w:trPr>
        <w:tc>
          <w:tcPr>
            <w:tcW w:w="856"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color w:val="000000"/>
                <w:kern w:val="0"/>
                <w:szCs w:val="21"/>
              </w:rPr>
            </w:pPr>
          </w:p>
        </w:tc>
        <w:tc>
          <w:tcPr>
            <w:tcW w:w="2126" w:type="pct"/>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小计</w:t>
            </w:r>
          </w:p>
        </w:tc>
        <w:tc>
          <w:tcPr>
            <w:tcW w:w="54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5.38</w:t>
            </w:r>
          </w:p>
        </w:tc>
        <w:tc>
          <w:tcPr>
            <w:tcW w:w="434"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10.34</w:t>
            </w:r>
          </w:p>
        </w:tc>
        <w:tc>
          <w:tcPr>
            <w:tcW w:w="57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5.13</w:t>
            </w:r>
          </w:p>
        </w:tc>
        <w:tc>
          <w:tcPr>
            <w:tcW w:w="462"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9.84</w:t>
            </w:r>
          </w:p>
        </w:tc>
      </w:tr>
      <w:tr>
        <w:tblPrEx>
          <w:tblCellMar>
            <w:top w:w="0" w:type="dxa"/>
            <w:left w:w="108" w:type="dxa"/>
            <w:bottom w:w="0" w:type="dxa"/>
            <w:right w:w="108" w:type="dxa"/>
          </w:tblCellMar>
        </w:tblPrEx>
        <w:trPr>
          <w:trHeight w:val="270" w:hRule="atLeast"/>
        </w:trPr>
        <w:tc>
          <w:tcPr>
            <w:tcW w:w="856"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商业服务业用地</w:t>
            </w:r>
          </w:p>
        </w:tc>
        <w:tc>
          <w:tcPr>
            <w:tcW w:w="1130"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商业用地</w:t>
            </w:r>
          </w:p>
        </w:tc>
        <w:tc>
          <w:tcPr>
            <w:tcW w:w="99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零售商业用地</w:t>
            </w:r>
          </w:p>
        </w:tc>
        <w:tc>
          <w:tcPr>
            <w:tcW w:w="54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1.22</w:t>
            </w:r>
          </w:p>
        </w:tc>
        <w:tc>
          <w:tcPr>
            <w:tcW w:w="434"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2.34</w:t>
            </w:r>
          </w:p>
        </w:tc>
        <w:tc>
          <w:tcPr>
            <w:tcW w:w="57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3.84</w:t>
            </w:r>
          </w:p>
        </w:tc>
        <w:tc>
          <w:tcPr>
            <w:tcW w:w="462"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7.37</w:t>
            </w:r>
          </w:p>
        </w:tc>
      </w:tr>
      <w:tr>
        <w:tblPrEx>
          <w:tblCellMar>
            <w:top w:w="0" w:type="dxa"/>
            <w:left w:w="108" w:type="dxa"/>
            <w:bottom w:w="0" w:type="dxa"/>
            <w:right w:w="108" w:type="dxa"/>
          </w:tblCellMar>
        </w:tblPrEx>
        <w:trPr>
          <w:trHeight w:val="270" w:hRule="atLeast"/>
        </w:trPr>
        <w:tc>
          <w:tcPr>
            <w:tcW w:w="856"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color w:val="000000"/>
                <w:kern w:val="0"/>
                <w:szCs w:val="21"/>
              </w:rPr>
            </w:pPr>
          </w:p>
        </w:tc>
        <w:tc>
          <w:tcPr>
            <w:tcW w:w="1130"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color w:val="000000"/>
                <w:kern w:val="0"/>
                <w:szCs w:val="21"/>
              </w:rPr>
            </w:pPr>
          </w:p>
        </w:tc>
        <w:tc>
          <w:tcPr>
            <w:tcW w:w="99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批发市场用地</w:t>
            </w:r>
          </w:p>
        </w:tc>
        <w:tc>
          <w:tcPr>
            <w:tcW w:w="54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0.63</w:t>
            </w:r>
          </w:p>
        </w:tc>
        <w:tc>
          <w:tcPr>
            <w:tcW w:w="434"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1.20</w:t>
            </w:r>
          </w:p>
        </w:tc>
        <w:tc>
          <w:tcPr>
            <w:tcW w:w="57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0.67</w:t>
            </w:r>
          </w:p>
        </w:tc>
        <w:tc>
          <w:tcPr>
            <w:tcW w:w="462"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1.29</w:t>
            </w:r>
          </w:p>
        </w:tc>
      </w:tr>
      <w:tr>
        <w:tblPrEx>
          <w:tblCellMar>
            <w:top w:w="0" w:type="dxa"/>
            <w:left w:w="108" w:type="dxa"/>
            <w:bottom w:w="0" w:type="dxa"/>
            <w:right w:w="108" w:type="dxa"/>
          </w:tblCellMar>
        </w:tblPrEx>
        <w:trPr>
          <w:trHeight w:val="270" w:hRule="atLeast"/>
        </w:trPr>
        <w:tc>
          <w:tcPr>
            <w:tcW w:w="856"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color w:val="000000"/>
                <w:kern w:val="0"/>
                <w:szCs w:val="21"/>
              </w:rPr>
            </w:pPr>
          </w:p>
        </w:tc>
        <w:tc>
          <w:tcPr>
            <w:tcW w:w="113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商务金融用地</w:t>
            </w:r>
          </w:p>
        </w:tc>
        <w:tc>
          <w:tcPr>
            <w:tcW w:w="99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c>
          <w:tcPr>
            <w:tcW w:w="54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0.08</w:t>
            </w:r>
          </w:p>
        </w:tc>
        <w:tc>
          <w:tcPr>
            <w:tcW w:w="434"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0.16</w:t>
            </w:r>
          </w:p>
        </w:tc>
        <w:tc>
          <w:tcPr>
            <w:tcW w:w="57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c>
          <w:tcPr>
            <w:tcW w:w="462"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r>
      <w:tr>
        <w:tblPrEx>
          <w:tblCellMar>
            <w:top w:w="0" w:type="dxa"/>
            <w:left w:w="108" w:type="dxa"/>
            <w:bottom w:w="0" w:type="dxa"/>
            <w:right w:w="108" w:type="dxa"/>
          </w:tblCellMar>
        </w:tblPrEx>
        <w:trPr>
          <w:trHeight w:val="270" w:hRule="atLeast"/>
        </w:trPr>
        <w:tc>
          <w:tcPr>
            <w:tcW w:w="856"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color w:val="000000"/>
                <w:kern w:val="0"/>
                <w:szCs w:val="21"/>
              </w:rPr>
            </w:pPr>
          </w:p>
        </w:tc>
        <w:tc>
          <w:tcPr>
            <w:tcW w:w="113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其他商业服务业用地</w:t>
            </w:r>
          </w:p>
        </w:tc>
        <w:tc>
          <w:tcPr>
            <w:tcW w:w="99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c>
          <w:tcPr>
            <w:tcW w:w="54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c>
          <w:tcPr>
            <w:tcW w:w="434"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c>
          <w:tcPr>
            <w:tcW w:w="57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0.48</w:t>
            </w:r>
          </w:p>
        </w:tc>
        <w:tc>
          <w:tcPr>
            <w:tcW w:w="462"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0.93</w:t>
            </w:r>
          </w:p>
        </w:tc>
      </w:tr>
      <w:tr>
        <w:tblPrEx>
          <w:tblCellMar>
            <w:top w:w="0" w:type="dxa"/>
            <w:left w:w="108" w:type="dxa"/>
            <w:bottom w:w="0" w:type="dxa"/>
            <w:right w:w="108" w:type="dxa"/>
          </w:tblCellMar>
        </w:tblPrEx>
        <w:trPr>
          <w:trHeight w:val="270" w:hRule="atLeast"/>
        </w:trPr>
        <w:tc>
          <w:tcPr>
            <w:tcW w:w="856"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color w:val="000000"/>
                <w:kern w:val="0"/>
                <w:szCs w:val="21"/>
              </w:rPr>
            </w:pPr>
          </w:p>
        </w:tc>
        <w:tc>
          <w:tcPr>
            <w:tcW w:w="2126" w:type="pct"/>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小计</w:t>
            </w:r>
          </w:p>
        </w:tc>
        <w:tc>
          <w:tcPr>
            <w:tcW w:w="54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1.93</w:t>
            </w:r>
          </w:p>
        </w:tc>
        <w:tc>
          <w:tcPr>
            <w:tcW w:w="434"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3.70</w:t>
            </w:r>
          </w:p>
        </w:tc>
        <w:tc>
          <w:tcPr>
            <w:tcW w:w="57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5.00</w:t>
            </w:r>
          </w:p>
        </w:tc>
        <w:tc>
          <w:tcPr>
            <w:tcW w:w="462"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9.59</w:t>
            </w:r>
          </w:p>
        </w:tc>
      </w:tr>
      <w:tr>
        <w:tblPrEx>
          <w:tblCellMar>
            <w:top w:w="0" w:type="dxa"/>
            <w:left w:w="108" w:type="dxa"/>
            <w:bottom w:w="0" w:type="dxa"/>
            <w:right w:w="108" w:type="dxa"/>
          </w:tblCellMar>
        </w:tblPrEx>
        <w:trPr>
          <w:trHeight w:val="270" w:hRule="atLeast"/>
        </w:trPr>
        <w:tc>
          <w:tcPr>
            <w:tcW w:w="856"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工矿用地</w:t>
            </w:r>
          </w:p>
        </w:tc>
        <w:tc>
          <w:tcPr>
            <w:tcW w:w="113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工业用地</w:t>
            </w:r>
          </w:p>
        </w:tc>
        <w:tc>
          <w:tcPr>
            <w:tcW w:w="99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二类工业用地</w:t>
            </w:r>
          </w:p>
        </w:tc>
        <w:tc>
          <w:tcPr>
            <w:tcW w:w="54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1.76</w:t>
            </w:r>
          </w:p>
        </w:tc>
        <w:tc>
          <w:tcPr>
            <w:tcW w:w="434"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3.38</w:t>
            </w:r>
          </w:p>
        </w:tc>
        <w:tc>
          <w:tcPr>
            <w:tcW w:w="57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1.75</w:t>
            </w:r>
          </w:p>
        </w:tc>
        <w:tc>
          <w:tcPr>
            <w:tcW w:w="462"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3.35</w:t>
            </w:r>
          </w:p>
        </w:tc>
      </w:tr>
      <w:tr>
        <w:tblPrEx>
          <w:tblCellMar>
            <w:top w:w="0" w:type="dxa"/>
            <w:left w:w="108" w:type="dxa"/>
            <w:bottom w:w="0" w:type="dxa"/>
            <w:right w:w="108" w:type="dxa"/>
          </w:tblCellMar>
        </w:tblPrEx>
        <w:trPr>
          <w:trHeight w:val="270" w:hRule="atLeast"/>
        </w:trPr>
        <w:tc>
          <w:tcPr>
            <w:tcW w:w="856"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color w:val="000000"/>
                <w:kern w:val="0"/>
                <w:szCs w:val="21"/>
              </w:rPr>
            </w:pPr>
          </w:p>
        </w:tc>
        <w:tc>
          <w:tcPr>
            <w:tcW w:w="113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采矿用地</w:t>
            </w:r>
          </w:p>
        </w:tc>
        <w:tc>
          <w:tcPr>
            <w:tcW w:w="99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c>
          <w:tcPr>
            <w:tcW w:w="54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0.31</w:t>
            </w:r>
          </w:p>
        </w:tc>
        <w:tc>
          <w:tcPr>
            <w:tcW w:w="434"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0.59</w:t>
            </w:r>
          </w:p>
        </w:tc>
        <w:tc>
          <w:tcPr>
            <w:tcW w:w="57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c>
          <w:tcPr>
            <w:tcW w:w="462"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r>
      <w:tr>
        <w:tblPrEx>
          <w:tblCellMar>
            <w:top w:w="0" w:type="dxa"/>
            <w:left w:w="108" w:type="dxa"/>
            <w:bottom w:w="0" w:type="dxa"/>
            <w:right w:w="108" w:type="dxa"/>
          </w:tblCellMar>
        </w:tblPrEx>
        <w:trPr>
          <w:trHeight w:val="270" w:hRule="atLeast"/>
        </w:trPr>
        <w:tc>
          <w:tcPr>
            <w:tcW w:w="856"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color w:val="000000"/>
                <w:kern w:val="0"/>
                <w:szCs w:val="21"/>
              </w:rPr>
            </w:pPr>
          </w:p>
        </w:tc>
        <w:tc>
          <w:tcPr>
            <w:tcW w:w="2126" w:type="pct"/>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小计</w:t>
            </w:r>
          </w:p>
        </w:tc>
        <w:tc>
          <w:tcPr>
            <w:tcW w:w="54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2.07</w:t>
            </w:r>
          </w:p>
        </w:tc>
        <w:tc>
          <w:tcPr>
            <w:tcW w:w="434"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3.97</w:t>
            </w:r>
          </w:p>
        </w:tc>
        <w:tc>
          <w:tcPr>
            <w:tcW w:w="57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1.75</w:t>
            </w:r>
          </w:p>
        </w:tc>
        <w:tc>
          <w:tcPr>
            <w:tcW w:w="462"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3.35</w:t>
            </w:r>
          </w:p>
        </w:tc>
      </w:tr>
      <w:tr>
        <w:tblPrEx>
          <w:tblCellMar>
            <w:top w:w="0" w:type="dxa"/>
            <w:left w:w="108" w:type="dxa"/>
            <w:bottom w:w="0" w:type="dxa"/>
            <w:right w:w="108" w:type="dxa"/>
          </w:tblCellMar>
        </w:tblPrEx>
        <w:trPr>
          <w:trHeight w:val="270" w:hRule="atLeast"/>
        </w:trPr>
        <w:tc>
          <w:tcPr>
            <w:tcW w:w="856"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仓储用地</w:t>
            </w:r>
          </w:p>
        </w:tc>
        <w:tc>
          <w:tcPr>
            <w:tcW w:w="1130"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物流仓储用地</w:t>
            </w:r>
          </w:p>
        </w:tc>
        <w:tc>
          <w:tcPr>
            <w:tcW w:w="99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二类物流仓储用地</w:t>
            </w:r>
          </w:p>
        </w:tc>
        <w:tc>
          <w:tcPr>
            <w:tcW w:w="54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0.17</w:t>
            </w:r>
          </w:p>
        </w:tc>
        <w:tc>
          <w:tcPr>
            <w:tcW w:w="434"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0.33</w:t>
            </w:r>
          </w:p>
        </w:tc>
        <w:tc>
          <w:tcPr>
            <w:tcW w:w="57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0.65</w:t>
            </w:r>
          </w:p>
        </w:tc>
        <w:tc>
          <w:tcPr>
            <w:tcW w:w="462"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1.25</w:t>
            </w:r>
          </w:p>
        </w:tc>
      </w:tr>
      <w:tr>
        <w:tblPrEx>
          <w:tblCellMar>
            <w:top w:w="0" w:type="dxa"/>
            <w:left w:w="108" w:type="dxa"/>
            <w:bottom w:w="0" w:type="dxa"/>
            <w:right w:w="108" w:type="dxa"/>
          </w:tblCellMar>
        </w:tblPrEx>
        <w:trPr>
          <w:trHeight w:val="270" w:hRule="atLeast"/>
        </w:trPr>
        <w:tc>
          <w:tcPr>
            <w:tcW w:w="856"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color w:val="000000"/>
                <w:kern w:val="0"/>
                <w:szCs w:val="21"/>
              </w:rPr>
            </w:pPr>
          </w:p>
        </w:tc>
        <w:tc>
          <w:tcPr>
            <w:tcW w:w="1130" w:type="pct"/>
            <w:vMerge w:val="continue"/>
            <w:tcBorders>
              <w:top w:val="nil"/>
              <w:left w:val="single" w:color="auto" w:sz="4" w:space="0"/>
              <w:bottom w:val="single" w:color="000000" w:sz="4" w:space="0"/>
              <w:right w:val="single" w:color="auto" w:sz="4" w:space="0"/>
            </w:tcBorders>
            <w:vAlign w:val="center"/>
          </w:tcPr>
          <w:p>
            <w:pPr>
              <w:widowControl/>
              <w:jc w:val="left"/>
              <w:rPr>
                <w:rFonts w:cs="宋体" w:asciiTheme="minorEastAsia" w:hAnsiTheme="minorEastAsia"/>
                <w:color w:val="000000"/>
                <w:kern w:val="0"/>
                <w:szCs w:val="21"/>
              </w:rPr>
            </w:pPr>
          </w:p>
        </w:tc>
        <w:tc>
          <w:tcPr>
            <w:tcW w:w="99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三类物流仓储用地</w:t>
            </w:r>
          </w:p>
        </w:tc>
        <w:tc>
          <w:tcPr>
            <w:tcW w:w="54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1.38</w:t>
            </w:r>
          </w:p>
        </w:tc>
        <w:tc>
          <w:tcPr>
            <w:tcW w:w="434"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2.66</w:t>
            </w:r>
          </w:p>
        </w:tc>
        <w:tc>
          <w:tcPr>
            <w:tcW w:w="57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1.34</w:t>
            </w:r>
          </w:p>
        </w:tc>
        <w:tc>
          <w:tcPr>
            <w:tcW w:w="462"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2.57</w:t>
            </w:r>
          </w:p>
        </w:tc>
      </w:tr>
      <w:tr>
        <w:tblPrEx>
          <w:tblCellMar>
            <w:top w:w="0" w:type="dxa"/>
            <w:left w:w="108" w:type="dxa"/>
            <w:bottom w:w="0" w:type="dxa"/>
            <w:right w:w="108" w:type="dxa"/>
          </w:tblCellMar>
        </w:tblPrEx>
        <w:trPr>
          <w:trHeight w:val="270" w:hRule="atLeast"/>
        </w:trPr>
        <w:tc>
          <w:tcPr>
            <w:tcW w:w="856"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color w:val="000000"/>
                <w:kern w:val="0"/>
                <w:szCs w:val="21"/>
              </w:rPr>
            </w:pPr>
          </w:p>
        </w:tc>
        <w:tc>
          <w:tcPr>
            <w:tcW w:w="2126" w:type="pct"/>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小计</w:t>
            </w:r>
          </w:p>
        </w:tc>
        <w:tc>
          <w:tcPr>
            <w:tcW w:w="54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1.55</w:t>
            </w:r>
          </w:p>
        </w:tc>
        <w:tc>
          <w:tcPr>
            <w:tcW w:w="434"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2.99</w:t>
            </w:r>
          </w:p>
        </w:tc>
        <w:tc>
          <w:tcPr>
            <w:tcW w:w="57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1.99</w:t>
            </w:r>
          </w:p>
        </w:tc>
        <w:tc>
          <w:tcPr>
            <w:tcW w:w="462"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3.82</w:t>
            </w:r>
          </w:p>
        </w:tc>
      </w:tr>
      <w:tr>
        <w:tblPrEx>
          <w:tblCellMar>
            <w:top w:w="0" w:type="dxa"/>
            <w:left w:w="108" w:type="dxa"/>
            <w:bottom w:w="0" w:type="dxa"/>
            <w:right w:w="108" w:type="dxa"/>
          </w:tblCellMar>
        </w:tblPrEx>
        <w:trPr>
          <w:trHeight w:val="270" w:hRule="atLeast"/>
        </w:trPr>
        <w:tc>
          <w:tcPr>
            <w:tcW w:w="856"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交通运输用地</w:t>
            </w:r>
          </w:p>
        </w:tc>
        <w:tc>
          <w:tcPr>
            <w:tcW w:w="113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公路用地</w:t>
            </w:r>
          </w:p>
        </w:tc>
        <w:tc>
          <w:tcPr>
            <w:tcW w:w="99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c>
          <w:tcPr>
            <w:tcW w:w="54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0.85</w:t>
            </w:r>
          </w:p>
        </w:tc>
        <w:tc>
          <w:tcPr>
            <w:tcW w:w="434"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1.62</w:t>
            </w:r>
          </w:p>
        </w:tc>
        <w:tc>
          <w:tcPr>
            <w:tcW w:w="57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c>
          <w:tcPr>
            <w:tcW w:w="462"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r>
      <w:tr>
        <w:tblPrEx>
          <w:tblCellMar>
            <w:top w:w="0" w:type="dxa"/>
            <w:left w:w="108" w:type="dxa"/>
            <w:bottom w:w="0" w:type="dxa"/>
            <w:right w:w="108" w:type="dxa"/>
          </w:tblCellMar>
        </w:tblPrEx>
        <w:trPr>
          <w:trHeight w:val="270" w:hRule="atLeast"/>
        </w:trPr>
        <w:tc>
          <w:tcPr>
            <w:tcW w:w="856"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color w:val="000000"/>
                <w:kern w:val="0"/>
                <w:szCs w:val="21"/>
              </w:rPr>
            </w:pPr>
          </w:p>
        </w:tc>
        <w:tc>
          <w:tcPr>
            <w:tcW w:w="113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城镇道路用地</w:t>
            </w:r>
          </w:p>
        </w:tc>
        <w:tc>
          <w:tcPr>
            <w:tcW w:w="99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c>
          <w:tcPr>
            <w:tcW w:w="54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4.44</w:t>
            </w:r>
          </w:p>
        </w:tc>
        <w:tc>
          <w:tcPr>
            <w:tcW w:w="434"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8.51</w:t>
            </w:r>
          </w:p>
        </w:tc>
        <w:tc>
          <w:tcPr>
            <w:tcW w:w="57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10.34</w:t>
            </w:r>
          </w:p>
        </w:tc>
        <w:tc>
          <w:tcPr>
            <w:tcW w:w="462"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19.85</w:t>
            </w:r>
          </w:p>
        </w:tc>
      </w:tr>
      <w:tr>
        <w:tblPrEx>
          <w:tblCellMar>
            <w:top w:w="0" w:type="dxa"/>
            <w:left w:w="108" w:type="dxa"/>
            <w:bottom w:w="0" w:type="dxa"/>
            <w:right w:w="108" w:type="dxa"/>
          </w:tblCellMar>
        </w:tblPrEx>
        <w:trPr>
          <w:trHeight w:val="270" w:hRule="atLeast"/>
        </w:trPr>
        <w:tc>
          <w:tcPr>
            <w:tcW w:w="856"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color w:val="000000"/>
                <w:kern w:val="0"/>
                <w:szCs w:val="21"/>
              </w:rPr>
            </w:pPr>
          </w:p>
        </w:tc>
        <w:tc>
          <w:tcPr>
            <w:tcW w:w="1130"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交通场站用地</w:t>
            </w:r>
          </w:p>
        </w:tc>
        <w:tc>
          <w:tcPr>
            <w:tcW w:w="99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对外交通场站用地</w:t>
            </w:r>
          </w:p>
        </w:tc>
        <w:tc>
          <w:tcPr>
            <w:tcW w:w="54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0.25</w:t>
            </w:r>
          </w:p>
        </w:tc>
        <w:tc>
          <w:tcPr>
            <w:tcW w:w="434"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0.47</w:t>
            </w:r>
          </w:p>
        </w:tc>
        <w:tc>
          <w:tcPr>
            <w:tcW w:w="57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0.46</w:t>
            </w:r>
          </w:p>
        </w:tc>
        <w:tc>
          <w:tcPr>
            <w:tcW w:w="462"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0.87</w:t>
            </w:r>
          </w:p>
        </w:tc>
      </w:tr>
      <w:tr>
        <w:tblPrEx>
          <w:tblCellMar>
            <w:top w:w="0" w:type="dxa"/>
            <w:left w:w="108" w:type="dxa"/>
            <w:bottom w:w="0" w:type="dxa"/>
            <w:right w:w="108" w:type="dxa"/>
          </w:tblCellMar>
        </w:tblPrEx>
        <w:trPr>
          <w:trHeight w:val="270" w:hRule="atLeast"/>
        </w:trPr>
        <w:tc>
          <w:tcPr>
            <w:tcW w:w="856"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color w:val="000000"/>
                <w:kern w:val="0"/>
                <w:szCs w:val="21"/>
              </w:rPr>
            </w:pPr>
          </w:p>
        </w:tc>
        <w:tc>
          <w:tcPr>
            <w:tcW w:w="1130"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color w:val="000000"/>
                <w:kern w:val="0"/>
                <w:szCs w:val="21"/>
              </w:rPr>
            </w:pPr>
          </w:p>
        </w:tc>
        <w:tc>
          <w:tcPr>
            <w:tcW w:w="99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社会停车场用地</w:t>
            </w:r>
          </w:p>
        </w:tc>
        <w:tc>
          <w:tcPr>
            <w:tcW w:w="54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c>
          <w:tcPr>
            <w:tcW w:w="434"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c>
          <w:tcPr>
            <w:tcW w:w="57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0.19</w:t>
            </w:r>
          </w:p>
        </w:tc>
        <w:tc>
          <w:tcPr>
            <w:tcW w:w="462"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0.36</w:t>
            </w:r>
          </w:p>
        </w:tc>
      </w:tr>
      <w:tr>
        <w:tblPrEx>
          <w:tblCellMar>
            <w:top w:w="0" w:type="dxa"/>
            <w:left w:w="108" w:type="dxa"/>
            <w:bottom w:w="0" w:type="dxa"/>
            <w:right w:w="108" w:type="dxa"/>
          </w:tblCellMar>
        </w:tblPrEx>
        <w:trPr>
          <w:trHeight w:val="270" w:hRule="atLeast"/>
        </w:trPr>
        <w:tc>
          <w:tcPr>
            <w:tcW w:w="856"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color w:val="000000"/>
                <w:kern w:val="0"/>
                <w:szCs w:val="21"/>
              </w:rPr>
            </w:pPr>
          </w:p>
        </w:tc>
        <w:tc>
          <w:tcPr>
            <w:tcW w:w="113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其他交通设施用地</w:t>
            </w:r>
          </w:p>
        </w:tc>
        <w:tc>
          <w:tcPr>
            <w:tcW w:w="99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c>
          <w:tcPr>
            <w:tcW w:w="54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0.20</w:t>
            </w:r>
          </w:p>
        </w:tc>
        <w:tc>
          <w:tcPr>
            <w:tcW w:w="434"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0.38</w:t>
            </w:r>
          </w:p>
        </w:tc>
        <w:tc>
          <w:tcPr>
            <w:tcW w:w="57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c>
          <w:tcPr>
            <w:tcW w:w="462"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r>
      <w:tr>
        <w:tblPrEx>
          <w:tblCellMar>
            <w:top w:w="0" w:type="dxa"/>
            <w:left w:w="108" w:type="dxa"/>
            <w:bottom w:w="0" w:type="dxa"/>
            <w:right w:w="108" w:type="dxa"/>
          </w:tblCellMar>
        </w:tblPrEx>
        <w:trPr>
          <w:trHeight w:val="270" w:hRule="atLeast"/>
        </w:trPr>
        <w:tc>
          <w:tcPr>
            <w:tcW w:w="856"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color w:val="000000"/>
                <w:kern w:val="0"/>
                <w:szCs w:val="21"/>
              </w:rPr>
            </w:pPr>
          </w:p>
        </w:tc>
        <w:tc>
          <w:tcPr>
            <w:tcW w:w="2126" w:type="pct"/>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小计</w:t>
            </w:r>
          </w:p>
        </w:tc>
        <w:tc>
          <w:tcPr>
            <w:tcW w:w="54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5.73</w:t>
            </w:r>
          </w:p>
        </w:tc>
        <w:tc>
          <w:tcPr>
            <w:tcW w:w="434"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10.99</w:t>
            </w:r>
          </w:p>
        </w:tc>
        <w:tc>
          <w:tcPr>
            <w:tcW w:w="57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10.98</w:t>
            </w:r>
          </w:p>
        </w:tc>
        <w:tc>
          <w:tcPr>
            <w:tcW w:w="462"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21.08</w:t>
            </w:r>
          </w:p>
        </w:tc>
      </w:tr>
      <w:tr>
        <w:tblPrEx>
          <w:tblCellMar>
            <w:top w:w="0" w:type="dxa"/>
            <w:left w:w="108" w:type="dxa"/>
            <w:bottom w:w="0" w:type="dxa"/>
            <w:right w:w="108" w:type="dxa"/>
          </w:tblCellMar>
        </w:tblPrEx>
        <w:trPr>
          <w:trHeight w:val="270" w:hRule="atLeast"/>
        </w:trPr>
        <w:tc>
          <w:tcPr>
            <w:tcW w:w="856"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公用设施用地</w:t>
            </w:r>
          </w:p>
        </w:tc>
        <w:tc>
          <w:tcPr>
            <w:tcW w:w="113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供水用地</w:t>
            </w:r>
          </w:p>
        </w:tc>
        <w:tc>
          <w:tcPr>
            <w:tcW w:w="99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c>
          <w:tcPr>
            <w:tcW w:w="54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0.14</w:t>
            </w:r>
          </w:p>
        </w:tc>
        <w:tc>
          <w:tcPr>
            <w:tcW w:w="434"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0.28</w:t>
            </w:r>
          </w:p>
        </w:tc>
        <w:tc>
          <w:tcPr>
            <w:tcW w:w="57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0.19</w:t>
            </w:r>
          </w:p>
        </w:tc>
        <w:tc>
          <w:tcPr>
            <w:tcW w:w="462"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0.36</w:t>
            </w:r>
          </w:p>
        </w:tc>
      </w:tr>
      <w:tr>
        <w:tblPrEx>
          <w:tblCellMar>
            <w:top w:w="0" w:type="dxa"/>
            <w:left w:w="108" w:type="dxa"/>
            <w:bottom w:w="0" w:type="dxa"/>
            <w:right w:w="108" w:type="dxa"/>
          </w:tblCellMar>
        </w:tblPrEx>
        <w:trPr>
          <w:trHeight w:val="270" w:hRule="atLeast"/>
        </w:trPr>
        <w:tc>
          <w:tcPr>
            <w:tcW w:w="856"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color w:val="000000"/>
                <w:kern w:val="0"/>
                <w:szCs w:val="21"/>
              </w:rPr>
            </w:pPr>
          </w:p>
        </w:tc>
        <w:tc>
          <w:tcPr>
            <w:tcW w:w="113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供电用地</w:t>
            </w:r>
          </w:p>
        </w:tc>
        <w:tc>
          <w:tcPr>
            <w:tcW w:w="99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c>
          <w:tcPr>
            <w:tcW w:w="54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0.27</w:t>
            </w:r>
          </w:p>
        </w:tc>
        <w:tc>
          <w:tcPr>
            <w:tcW w:w="434"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0.51</w:t>
            </w:r>
          </w:p>
        </w:tc>
        <w:tc>
          <w:tcPr>
            <w:tcW w:w="57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0.40</w:t>
            </w:r>
          </w:p>
        </w:tc>
        <w:tc>
          <w:tcPr>
            <w:tcW w:w="462"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0.76</w:t>
            </w:r>
          </w:p>
        </w:tc>
      </w:tr>
      <w:tr>
        <w:tblPrEx>
          <w:tblCellMar>
            <w:top w:w="0" w:type="dxa"/>
            <w:left w:w="108" w:type="dxa"/>
            <w:bottom w:w="0" w:type="dxa"/>
            <w:right w:w="108" w:type="dxa"/>
          </w:tblCellMar>
        </w:tblPrEx>
        <w:trPr>
          <w:trHeight w:val="270" w:hRule="atLeast"/>
        </w:trPr>
        <w:tc>
          <w:tcPr>
            <w:tcW w:w="856"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color w:val="000000"/>
                <w:kern w:val="0"/>
                <w:szCs w:val="21"/>
              </w:rPr>
            </w:pPr>
          </w:p>
        </w:tc>
        <w:tc>
          <w:tcPr>
            <w:tcW w:w="113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环卫用地</w:t>
            </w:r>
          </w:p>
        </w:tc>
        <w:tc>
          <w:tcPr>
            <w:tcW w:w="99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c>
          <w:tcPr>
            <w:tcW w:w="54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c>
          <w:tcPr>
            <w:tcW w:w="434"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c>
          <w:tcPr>
            <w:tcW w:w="57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0.09</w:t>
            </w:r>
          </w:p>
        </w:tc>
        <w:tc>
          <w:tcPr>
            <w:tcW w:w="462"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0.17</w:t>
            </w:r>
          </w:p>
        </w:tc>
      </w:tr>
      <w:tr>
        <w:tblPrEx>
          <w:tblCellMar>
            <w:top w:w="0" w:type="dxa"/>
            <w:left w:w="108" w:type="dxa"/>
            <w:bottom w:w="0" w:type="dxa"/>
            <w:right w:w="108" w:type="dxa"/>
          </w:tblCellMar>
        </w:tblPrEx>
        <w:trPr>
          <w:trHeight w:val="270" w:hRule="atLeast"/>
        </w:trPr>
        <w:tc>
          <w:tcPr>
            <w:tcW w:w="856"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color w:val="000000"/>
                <w:kern w:val="0"/>
                <w:szCs w:val="21"/>
              </w:rPr>
            </w:pPr>
          </w:p>
        </w:tc>
        <w:tc>
          <w:tcPr>
            <w:tcW w:w="113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消防用地</w:t>
            </w:r>
          </w:p>
        </w:tc>
        <w:tc>
          <w:tcPr>
            <w:tcW w:w="99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c>
          <w:tcPr>
            <w:tcW w:w="54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c>
          <w:tcPr>
            <w:tcW w:w="434"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c>
          <w:tcPr>
            <w:tcW w:w="57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0.29</w:t>
            </w:r>
          </w:p>
        </w:tc>
        <w:tc>
          <w:tcPr>
            <w:tcW w:w="462"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0.56</w:t>
            </w:r>
          </w:p>
        </w:tc>
      </w:tr>
      <w:tr>
        <w:tblPrEx>
          <w:tblCellMar>
            <w:top w:w="0" w:type="dxa"/>
            <w:left w:w="108" w:type="dxa"/>
            <w:bottom w:w="0" w:type="dxa"/>
            <w:right w:w="108" w:type="dxa"/>
          </w:tblCellMar>
        </w:tblPrEx>
        <w:trPr>
          <w:trHeight w:val="270" w:hRule="atLeast"/>
        </w:trPr>
        <w:tc>
          <w:tcPr>
            <w:tcW w:w="856"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color w:val="000000"/>
                <w:kern w:val="0"/>
                <w:szCs w:val="21"/>
              </w:rPr>
            </w:pPr>
          </w:p>
        </w:tc>
        <w:tc>
          <w:tcPr>
            <w:tcW w:w="2126" w:type="pct"/>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小计</w:t>
            </w:r>
          </w:p>
        </w:tc>
        <w:tc>
          <w:tcPr>
            <w:tcW w:w="54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0.41</w:t>
            </w:r>
          </w:p>
        </w:tc>
        <w:tc>
          <w:tcPr>
            <w:tcW w:w="434"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0.79</w:t>
            </w:r>
          </w:p>
        </w:tc>
        <w:tc>
          <w:tcPr>
            <w:tcW w:w="57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0.97</w:t>
            </w:r>
          </w:p>
        </w:tc>
        <w:tc>
          <w:tcPr>
            <w:tcW w:w="462"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1.86</w:t>
            </w:r>
          </w:p>
        </w:tc>
      </w:tr>
      <w:tr>
        <w:tblPrEx>
          <w:tblCellMar>
            <w:top w:w="0" w:type="dxa"/>
            <w:left w:w="108" w:type="dxa"/>
            <w:bottom w:w="0" w:type="dxa"/>
            <w:right w:w="108" w:type="dxa"/>
          </w:tblCellMar>
        </w:tblPrEx>
        <w:trPr>
          <w:trHeight w:val="270" w:hRule="atLeast"/>
        </w:trPr>
        <w:tc>
          <w:tcPr>
            <w:tcW w:w="856"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绿地与开敞空间用地</w:t>
            </w:r>
          </w:p>
        </w:tc>
        <w:tc>
          <w:tcPr>
            <w:tcW w:w="113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公园绿地</w:t>
            </w:r>
          </w:p>
        </w:tc>
        <w:tc>
          <w:tcPr>
            <w:tcW w:w="99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c>
          <w:tcPr>
            <w:tcW w:w="54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c>
          <w:tcPr>
            <w:tcW w:w="434"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c>
          <w:tcPr>
            <w:tcW w:w="57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3.65</w:t>
            </w:r>
          </w:p>
        </w:tc>
        <w:tc>
          <w:tcPr>
            <w:tcW w:w="462"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7.01</w:t>
            </w:r>
          </w:p>
        </w:tc>
      </w:tr>
      <w:tr>
        <w:tblPrEx>
          <w:tblCellMar>
            <w:top w:w="0" w:type="dxa"/>
            <w:left w:w="108" w:type="dxa"/>
            <w:bottom w:w="0" w:type="dxa"/>
            <w:right w:w="108" w:type="dxa"/>
          </w:tblCellMar>
        </w:tblPrEx>
        <w:trPr>
          <w:trHeight w:val="270" w:hRule="atLeast"/>
        </w:trPr>
        <w:tc>
          <w:tcPr>
            <w:tcW w:w="856"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color w:val="000000"/>
                <w:kern w:val="0"/>
                <w:szCs w:val="21"/>
              </w:rPr>
            </w:pPr>
          </w:p>
        </w:tc>
        <w:tc>
          <w:tcPr>
            <w:tcW w:w="113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防护绿地</w:t>
            </w:r>
          </w:p>
        </w:tc>
        <w:tc>
          <w:tcPr>
            <w:tcW w:w="99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c>
          <w:tcPr>
            <w:tcW w:w="54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c>
          <w:tcPr>
            <w:tcW w:w="434"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c>
          <w:tcPr>
            <w:tcW w:w="57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0.58</w:t>
            </w:r>
          </w:p>
        </w:tc>
        <w:tc>
          <w:tcPr>
            <w:tcW w:w="462"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1.11</w:t>
            </w:r>
          </w:p>
        </w:tc>
      </w:tr>
      <w:tr>
        <w:tblPrEx>
          <w:tblCellMar>
            <w:top w:w="0" w:type="dxa"/>
            <w:left w:w="108" w:type="dxa"/>
            <w:bottom w:w="0" w:type="dxa"/>
            <w:right w:w="108" w:type="dxa"/>
          </w:tblCellMar>
        </w:tblPrEx>
        <w:trPr>
          <w:trHeight w:val="270" w:hRule="atLeast"/>
        </w:trPr>
        <w:tc>
          <w:tcPr>
            <w:tcW w:w="856"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color w:val="000000"/>
                <w:kern w:val="0"/>
                <w:szCs w:val="21"/>
              </w:rPr>
            </w:pPr>
          </w:p>
        </w:tc>
        <w:tc>
          <w:tcPr>
            <w:tcW w:w="113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广场用地</w:t>
            </w:r>
          </w:p>
        </w:tc>
        <w:tc>
          <w:tcPr>
            <w:tcW w:w="99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c>
          <w:tcPr>
            <w:tcW w:w="54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c>
          <w:tcPr>
            <w:tcW w:w="434"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c>
          <w:tcPr>
            <w:tcW w:w="57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0.28</w:t>
            </w:r>
          </w:p>
        </w:tc>
        <w:tc>
          <w:tcPr>
            <w:tcW w:w="462"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0.53</w:t>
            </w:r>
          </w:p>
        </w:tc>
      </w:tr>
      <w:tr>
        <w:tblPrEx>
          <w:tblCellMar>
            <w:top w:w="0" w:type="dxa"/>
            <w:left w:w="108" w:type="dxa"/>
            <w:bottom w:w="0" w:type="dxa"/>
            <w:right w:w="108" w:type="dxa"/>
          </w:tblCellMar>
        </w:tblPrEx>
        <w:trPr>
          <w:trHeight w:val="270" w:hRule="atLeast"/>
        </w:trPr>
        <w:tc>
          <w:tcPr>
            <w:tcW w:w="856"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color w:val="000000"/>
                <w:kern w:val="0"/>
                <w:szCs w:val="21"/>
              </w:rPr>
            </w:pPr>
          </w:p>
        </w:tc>
        <w:tc>
          <w:tcPr>
            <w:tcW w:w="2126" w:type="pct"/>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小计</w:t>
            </w:r>
          </w:p>
        </w:tc>
        <w:tc>
          <w:tcPr>
            <w:tcW w:w="54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c>
          <w:tcPr>
            <w:tcW w:w="434"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c>
          <w:tcPr>
            <w:tcW w:w="57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4.51</w:t>
            </w:r>
          </w:p>
        </w:tc>
        <w:tc>
          <w:tcPr>
            <w:tcW w:w="462"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8.66</w:t>
            </w:r>
          </w:p>
        </w:tc>
      </w:tr>
      <w:tr>
        <w:tblPrEx>
          <w:tblCellMar>
            <w:top w:w="0" w:type="dxa"/>
            <w:left w:w="108" w:type="dxa"/>
            <w:bottom w:w="0" w:type="dxa"/>
            <w:right w:w="108" w:type="dxa"/>
          </w:tblCellMar>
        </w:tblPrEx>
        <w:trPr>
          <w:trHeight w:val="270" w:hRule="atLeast"/>
        </w:trPr>
        <w:tc>
          <w:tcPr>
            <w:tcW w:w="856"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特殊用地</w:t>
            </w:r>
          </w:p>
        </w:tc>
        <w:tc>
          <w:tcPr>
            <w:tcW w:w="113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文物古迹用地</w:t>
            </w:r>
          </w:p>
        </w:tc>
        <w:tc>
          <w:tcPr>
            <w:tcW w:w="99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c>
          <w:tcPr>
            <w:tcW w:w="54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0.04</w:t>
            </w:r>
          </w:p>
        </w:tc>
        <w:tc>
          <w:tcPr>
            <w:tcW w:w="434"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0.07</w:t>
            </w:r>
          </w:p>
        </w:tc>
        <w:tc>
          <w:tcPr>
            <w:tcW w:w="57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c>
          <w:tcPr>
            <w:tcW w:w="462"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r>
      <w:tr>
        <w:tblPrEx>
          <w:tblCellMar>
            <w:top w:w="0" w:type="dxa"/>
            <w:left w:w="108" w:type="dxa"/>
            <w:bottom w:w="0" w:type="dxa"/>
            <w:right w:w="108" w:type="dxa"/>
          </w:tblCellMar>
        </w:tblPrEx>
        <w:trPr>
          <w:trHeight w:val="270" w:hRule="atLeast"/>
        </w:trPr>
        <w:tc>
          <w:tcPr>
            <w:tcW w:w="856" w:type="pct"/>
            <w:vMerge w:val="continue"/>
            <w:tcBorders>
              <w:top w:val="nil"/>
              <w:left w:val="single" w:color="auto" w:sz="4" w:space="0"/>
              <w:bottom w:val="single" w:color="000000" w:sz="4" w:space="0"/>
              <w:right w:val="single" w:color="auto" w:sz="4" w:space="0"/>
            </w:tcBorders>
            <w:vAlign w:val="center"/>
          </w:tcPr>
          <w:p>
            <w:pPr>
              <w:widowControl/>
              <w:jc w:val="left"/>
              <w:rPr>
                <w:rFonts w:cs="宋体" w:asciiTheme="minorEastAsia" w:hAnsiTheme="minorEastAsia"/>
                <w:color w:val="000000"/>
                <w:kern w:val="0"/>
                <w:szCs w:val="21"/>
              </w:rPr>
            </w:pPr>
          </w:p>
        </w:tc>
        <w:tc>
          <w:tcPr>
            <w:tcW w:w="2126" w:type="pct"/>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小计</w:t>
            </w:r>
          </w:p>
        </w:tc>
        <w:tc>
          <w:tcPr>
            <w:tcW w:w="54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0.04</w:t>
            </w:r>
          </w:p>
        </w:tc>
        <w:tc>
          <w:tcPr>
            <w:tcW w:w="434"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0.07</w:t>
            </w:r>
          </w:p>
        </w:tc>
        <w:tc>
          <w:tcPr>
            <w:tcW w:w="57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c>
          <w:tcPr>
            <w:tcW w:w="462"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r>
      <w:tr>
        <w:tblPrEx>
          <w:tblCellMar>
            <w:top w:w="0" w:type="dxa"/>
            <w:left w:w="108" w:type="dxa"/>
            <w:bottom w:w="0" w:type="dxa"/>
            <w:right w:w="108" w:type="dxa"/>
          </w:tblCellMar>
        </w:tblPrEx>
        <w:trPr>
          <w:trHeight w:val="270" w:hRule="atLeast"/>
        </w:trPr>
        <w:tc>
          <w:tcPr>
            <w:tcW w:w="856"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陆地水域</w:t>
            </w:r>
          </w:p>
        </w:tc>
        <w:tc>
          <w:tcPr>
            <w:tcW w:w="113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河流水面</w:t>
            </w:r>
          </w:p>
        </w:tc>
        <w:tc>
          <w:tcPr>
            <w:tcW w:w="99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c>
          <w:tcPr>
            <w:tcW w:w="54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0.20</w:t>
            </w:r>
          </w:p>
        </w:tc>
        <w:tc>
          <w:tcPr>
            <w:tcW w:w="434"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0.39</w:t>
            </w:r>
          </w:p>
        </w:tc>
        <w:tc>
          <w:tcPr>
            <w:tcW w:w="57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0.08</w:t>
            </w:r>
          </w:p>
        </w:tc>
        <w:tc>
          <w:tcPr>
            <w:tcW w:w="462"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0.16</w:t>
            </w:r>
          </w:p>
        </w:tc>
      </w:tr>
      <w:tr>
        <w:tblPrEx>
          <w:tblCellMar>
            <w:top w:w="0" w:type="dxa"/>
            <w:left w:w="108" w:type="dxa"/>
            <w:bottom w:w="0" w:type="dxa"/>
            <w:right w:w="108" w:type="dxa"/>
          </w:tblCellMar>
        </w:tblPrEx>
        <w:trPr>
          <w:trHeight w:val="270" w:hRule="atLeast"/>
        </w:trPr>
        <w:tc>
          <w:tcPr>
            <w:tcW w:w="856"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color w:val="000000"/>
                <w:kern w:val="0"/>
                <w:szCs w:val="21"/>
              </w:rPr>
            </w:pPr>
          </w:p>
        </w:tc>
        <w:tc>
          <w:tcPr>
            <w:tcW w:w="2126" w:type="pct"/>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小计</w:t>
            </w:r>
          </w:p>
        </w:tc>
        <w:tc>
          <w:tcPr>
            <w:tcW w:w="54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0.20</w:t>
            </w:r>
          </w:p>
        </w:tc>
        <w:tc>
          <w:tcPr>
            <w:tcW w:w="434"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0.39</w:t>
            </w:r>
          </w:p>
        </w:tc>
        <w:tc>
          <w:tcPr>
            <w:tcW w:w="57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0.08</w:t>
            </w:r>
          </w:p>
        </w:tc>
        <w:tc>
          <w:tcPr>
            <w:tcW w:w="462"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0.16</w:t>
            </w:r>
          </w:p>
        </w:tc>
      </w:tr>
      <w:tr>
        <w:tblPrEx>
          <w:tblCellMar>
            <w:top w:w="0" w:type="dxa"/>
            <w:left w:w="108" w:type="dxa"/>
            <w:bottom w:w="0" w:type="dxa"/>
            <w:right w:w="108" w:type="dxa"/>
          </w:tblCellMar>
        </w:tblPrEx>
        <w:trPr>
          <w:trHeight w:val="270" w:hRule="atLeast"/>
        </w:trPr>
        <w:tc>
          <w:tcPr>
            <w:tcW w:w="856"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其他土地</w:t>
            </w:r>
          </w:p>
        </w:tc>
        <w:tc>
          <w:tcPr>
            <w:tcW w:w="113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田坎</w:t>
            </w:r>
          </w:p>
        </w:tc>
        <w:tc>
          <w:tcPr>
            <w:tcW w:w="99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c>
          <w:tcPr>
            <w:tcW w:w="54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0.41</w:t>
            </w:r>
          </w:p>
        </w:tc>
        <w:tc>
          <w:tcPr>
            <w:tcW w:w="434"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0.79</w:t>
            </w:r>
          </w:p>
        </w:tc>
        <w:tc>
          <w:tcPr>
            <w:tcW w:w="57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c>
          <w:tcPr>
            <w:tcW w:w="462"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r>
      <w:tr>
        <w:tblPrEx>
          <w:tblCellMar>
            <w:top w:w="0" w:type="dxa"/>
            <w:left w:w="108" w:type="dxa"/>
            <w:bottom w:w="0" w:type="dxa"/>
            <w:right w:w="108" w:type="dxa"/>
          </w:tblCellMar>
        </w:tblPrEx>
        <w:trPr>
          <w:trHeight w:val="270" w:hRule="atLeast"/>
        </w:trPr>
        <w:tc>
          <w:tcPr>
            <w:tcW w:w="856"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color w:val="000000"/>
                <w:kern w:val="0"/>
                <w:szCs w:val="21"/>
              </w:rPr>
            </w:pPr>
          </w:p>
        </w:tc>
        <w:tc>
          <w:tcPr>
            <w:tcW w:w="2126" w:type="pct"/>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小计</w:t>
            </w:r>
          </w:p>
        </w:tc>
        <w:tc>
          <w:tcPr>
            <w:tcW w:w="54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0.41</w:t>
            </w:r>
          </w:p>
        </w:tc>
        <w:tc>
          <w:tcPr>
            <w:tcW w:w="434"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0.79</w:t>
            </w:r>
          </w:p>
        </w:tc>
        <w:tc>
          <w:tcPr>
            <w:tcW w:w="57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c>
          <w:tcPr>
            <w:tcW w:w="462"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r>
      <w:tr>
        <w:tblPrEx>
          <w:tblCellMar>
            <w:top w:w="0" w:type="dxa"/>
            <w:left w:w="108" w:type="dxa"/>
            <w:bottom w:w="0" w:type="dxa"/>
            <w:right w:w="108" w:type="dxa"/>
          </w:tblCellMar>
        </w:tblPrEx>
        <w:trPr>
          <w:trHeight w:val="270" w:hRule="atLeast"/>
        </w:trPr>
        <w:tc>
          <w:tcPr>
            <w:tcW w:w="2982" w:type="pct"/>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总计</w:t>
            </w:r>
          </w:p>
        </w:tc>
        <w:tc>
          <w:tcPr>
            <w:tcW w:w="54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52.09</w:t>
            </w:r>
          </w:p>
        </w:tc>
        <w:tc>
          <w:tcPr>
            <w:tcW w:w="434"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100.00</w:t>
            </w:r>
          </w:p>
        </w:tc>
        <w:tc>
          <w:tcPr>
            <w:tcW w:w="57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52.09</w:t>
            </w:r>
          </w:p>
        </w:tc>
        <w:tc>
          <w:tcPr>
            <w:tcW w:w="462"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100.00</w:t>
            </w:r>
          </w:p>
        </w:tc>
      </w:tr>
    </w:tbl>
    <w:p>
      <w:pPr>
        <w:pStyle w:val="31"/>
        <w:spacing w:beforeLines="50" w:afterLines="50"/>
        <w:jc w:val="left"/>
        <w:rPr>
          <w:rFonts w:eastAsia="宋体" w:asciiTheme="minorEastAsia" w:hAnsiTheme="minorEastAsia"/>
          <w:b w:val="0"/>
          <w:sz w:val="24"/>
          <w:szCs w:val="24"/>
        </w:rPr>
      </w:pPr>
      <w:bookmarkStart w:id="45" w:name="_Toc166772194"/>
      <w:r>
        <w:rPr>
          <w:rFonts w:hint="eastAsia" w:eastAsia="宋体" w:asciiTheme="minorEastAsia" w:hAnsiTheme="minorEastAsia"/>
          <w:b w:val="0"/>
          <w:sz w:val="24"/>
          <w:szCs w:val="24"/>
        </w:rPr>
        <w:t>表10河边镇</w:t>
      </w:r>
      <w:r>
        <w:rPr>
          <w:rFonts w:eastAsia="宋体" w:asciiTheme="minorEastAsia" w:hAnsiTheme="minorEastAsia"/>
          <w:b w:val="0"/>
          <w:sz w:val="24"/>
          <w:szCs w:val="24"/>
        </w:rPr>
        <w:t>镇区</w:t>
      </w:r>
      <w:r>
        <w:rPr>
          <w:rFonts w:hint="eastAsia" w:eastAsia="宋体" w:asciiTheme="minorEastAsia" w:hAnsiTheme="minorEastAsia"/>
          <w:b w:val="0"/>
          <w:sz w:val="24"/>
          <w:szCs w:val="24"/>
        </w:rPr>
        <w:t>地块</w:t>
      </w:r>
      <w:r>
        <w:rPr>
          <w:rFonts w:eastAsia="宋体" w:asciiTheme="minorEastAsia" w:hAnsiTheme="minorEastAsia"/>
          <w:b w:val="0"/>
          <w:sz w:val="24"/>
          <w:szCs w:val="24"/>
        </w:rPr>
        <w:t>指标一览表</w:t>
      </w:r>
      <w:bookmarkEnd w:id="45"/>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1095"/>
        <w:gridCol w:w="844"/>
        <w:gridCol w:w="1405"/>
        <w:gridCol w:w="1266"/>
        <w:gridCol w:w="702"/>
        <w:gridCol w:w="985"/>
        <w:gridCol w:w="985"/>
        <w:gridCol w:w="1407"/>
        <w:gridCol w:w="1407"/>
        <w:gridCol w:w="1688"/>
        <w:gridCol w:w="15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trPr>
        <w:tc>
          <w:tcPr>
            <w:tcW w:w="410" w:type="pct"/>
            <w:vMerge w:val="restar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地块编号</w:t>
            </w:r>
          </w:p>
        </w:tc>
        <w:tc>
          <w:tcPr>
            <w:tcW w:w="316" w:type="pct"/>
            <w:vMerge w:val="restar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用地</w:t>
            </w:r>
          </w:p>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代码</w:t>
            </w:r>
          </w:p>
        </w:tc>
        <w:tc>
          <w:tcPr>
            <w:tcW w:w="526" w:type="pct"/>
            <w:vMerge w:val="restar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用地名称</w:t>
            </w:r>
          </w:p>
        </w:tc>
        <w:tc>
          <w:tcPr>
            <w:tcW w:w="474" w:type="pct"/>
            <w:vMerge w:val="restar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总用地面积</w:t>
            </w:r>
          </w:p>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（公顷）</w:t>
            </w:r>
          </w:p>
        </w:tc>
        <w:tc>
          <w:tcPr>
            <w:tcW w:w="263" w:type="pct"/>
            <w:vMerge w:val="restar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容积率</w:t>
            </w:r>
          </w:p>
        </w:tc>
        <w:tc>
          <w:tcPr>
            <w:tcW w:w="369" w:type="pct"/>
            <w:vMerge w:val="restar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建筑密度（%）</w:t>
            </w:r>
          </w:p>
        </w:tc>
        <w:tc>
          <w:tcPr>
            <w:tcW w:w="369" w:type="pct"/>
            <w:vMerge w:val="restar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绿地率（%）</w:t>
            </w:r>
          </w:p>
        </w:tc>
        <w:tc>
          <w:tcPr>
            <w:tcW w:w="527" w:type="pct"/>
            <w:vMerge w:val="restar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建筑限高（米）</w:t>
            </w:r>
          </w:p>
        </w:tc>
        <w:tc>
          <w:tcPr>
            <w:tcW w:w="527" w:type="pct"/>
            <w:vMerge w:val="restar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配套设施</w:t>
            </w:r>
          </w:p>
        </w:tc>
        <w:tc>
          <w:tcPr>
            <w:tcW w:w="632" w:type="pct"/>
            <w:vMerge w:val="restar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停车位配建</w:t>
            </w:r>
          </w:p>
        </w:tc>
        <w:tc>
          <w:tcPr>
            <w:tcW w:w="587" w:type="pct"/>
            <w:vMerge w:val="restar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trPr>
        <w:tc>
          <w:tcPr>
            <w:tcW w:w="410" w:type="pct"/>
            <w:vMerge w:val="continue"/>
            <w:shd w:val="clear" w:color="auto" w:fill="auto"/>
            <w:vAlign w:val="center"/>
          </w:tcPr>
          <w:p>
            <w:pPr>
              <w:widowControl/>
              <w:jc w:val="center"/>
              <w:rPr>
                <w:rFonts w:cs="宋体" w:asciiTheme="minorEastAsia" w:hAnsiTheme="minorEastAsia"/>
                <w:color w:val="000000"/>
                <w:kern w:val="0"/>
                <w:szCs w:val="21"/>
              </w:rPr>
            </w:pPr>
          </w:p>
        </w:tc>
        <w:tc>
          <w:tcPr>
            <w:tcW w:w="316" w:type="pct"/>
            <w:vMerge w:val="continue"/>
            <w:shd w:val="clear" w:color="auto" w:fill="auto"/>
            <w:vAlign w:val="center"/>
          </w:tcPr>
          <w:p>
            <w:pPr>
              <w:widowControl/>
              <w:jc w:val="center"/>
              <w:rPr>
                <w:rFonts w:cs="宋体" w:asciiTheme="minorEastAsia" w:hAnsiTheme="minorEastAsia"/>
                <w:color w:val="000000"/>
                <w:kern w:val="0"/>
                <w:szCs w:val="21"/>
              </w:rPr>
            </w:pPr>
          </w:p>
        </w:tc>
        <w:tc>
          <w:tcPr>
            <w:tcW w:w="526" w:type="pct"/>
            <w:vMerge w:val="continue"/>
            <w:shd w:val="clear" w:color="auto" w:fill="auto"/>
            <w:vAlign w:val="center"/>
          </w:tcPr>
          <w:p>
            <w:pPr>
              <w:widowControl/>
              <w:jc w:val="center"/>
              <w:rPr>
                <w:rFonts w:cs="宋体" w:asciiTheme="minorEastAsia" w:hAnsiTheme="minorEastAsia"/>
                <w:color w:val="000000"/>
                <w:kern w:val="0"/>
                <w:szCs w:val="21"/>
              </w:rPr>
            </w:pPr>
          </w:p>
        </w:tc>
        <w:tc>
          <w:tcPr>
            <w:tcW w:w="474" w:type="pct"/>
            <w:vMerge w:val="continue"/>
            <w:shd w:val="clear" w:color="auto" w:fill="auto"/>
            <w:vAlign w:val="center"/>
          </w:tcPr>
          <w:p>
            <w:pPr>
              <w:widowControl/>
              <w:jc w:val="center"/>
              <w:rPr>
                <w:rFonts w:cs="宋体" w:asciiTheme="minorEastAsia" w:hAnsiTheme="minorEastAsia"/>
                <w:color w:val="000000"/>
                <w:kern w:val="0"/>
                <w:szCs w:val="21"/>
              </w:rPr>
            </w:pPr>
          </w:p>
        </w:tc>
        <w:tc>
          <w:tcPr>
            <w:tcW w:w="263" w:type="pct"/>
            <w:vMerge w:val="continue"/>
            <w:shd w:val="clear" w:color="auto" w:fill="auto"/>
            <w:vAlign w:val="center"/>
          </w:tcPr>
          <w:p>
            <w:pPr>
              <w:widowControl/>
              <w:jc w:val="center"/>
              <w:rPr>
                <w:rFonts w:cs="宋体" w:asciiTheme="minorEastAsia" w:hAnsiTheme="minorEastAsia"/>
                <w:color w:val="000000"/>
                <w:kern w:val="0"/>
                <w:szCs w:val="21"/>
              </w:rPr>
            </w:pPr>
          </w:p>
        </w:tc>
        <w:tc>
          <w:tcPr>
            <w:tcW w:w="369" w:type="pct"/>
            <w:vMerge w:val="continue"/>
            <w:shd w:val="clear" w:color="auto" w:fill="auto"/>
            <w:vAlign w:val="center"/>
          </w:tcPr>
          <w:p>
            <w:pPr>
              <w:widowControl/>
              <w:jc w:val="center"/>
              <w:rPr>
                <w:rFonts w:cs="宋体" w:asciiTheme="minorEastAsia" w:hAnsiTheme="minorEastAsia"/>
                <w:color w:val="000000"/>
                <w:kern w:val="0"/>
                <w:szCs w:val="21"/>
              </w:rPr>
            </w:pPr>
          </w:p>
        </w:tc>
        <w:tc>
          <w:tcPr>
            <w:tcW w:w="369" w:type="pct"/>
            <w:vMerge w:val="continue"/>
            <w:shd w:val="clear" w:color="auto" w:fill="auto"/>
            <w:vAlign w:val="center"/>
          </w:tcPr>
          <w:p>
            <w:pPr>
              <w:widowControl/>
              <w:jc w:val="center"/>
              <w:rPr>
                <w:rFonts w:cs="宋体" w:asciiTheme="minorEastAsia" w:hAnsiTheme="minorEastAsia"/>
                <w:color w:val="000000"/>
                <w:kern w:val="0"/>
                <w:szCs w:val="21"/>
              </w:rPr>
            </w:pPr>
          </w:p>
        </w:tc>
        <w:tc>
          <w:tcPr>
            <w:tcW w:w="527" w:type="pct"/>
            <w:vMerge w:val="continue"/>
            <w:shd w:val="clear" w:color="auto" w:fill="auto"/>
            <w:vAlign w:val="center"/>
          </w:tcPr>
          <w:p>
            <w:pPr>
              <w:widowControl/>
              <w:jc w:val="center"/>
              <w:rPr>
                <w:rFonts w:cs="宋体" w:asciiTheme="minorEastAsia" w:hAnsiTheme="minorEastAsia"/>
                <w:color w:val="000000"/>
                <w:kern w:val="0"/>
                <w:szCs w:val="21"/>
              </w:rPr>
            </w:pPr>
          </w:p>
        </w:tc>
        <w:tc>
          <w:tcPr>
            <w:tcW w:w="527" w:type="pct"/>
            <w:vMerge w:val="continue"/>
            <w:shd w:val="clear" w:color="auto" w:fill="auto"/>
            <w:vAlign w:val="center"/>
          </w:tcPr>
          <w:p>
            <w:pPr>
              <w:widowControl/>
              <w:jc w:val="center"/>
              <w:rPr>
                <w:rFonts w:cs="宋体" w:asciiTheme="minorEastAsia" w:hAnsiTheme="minorEastAsia"/>
                <w:color w:val="000000"/>
                <w:kern w:val="0"/>
                <w:szCs w:val="21"/>
              </w:rPr>
            </w:pPr>
          </w:p>
        </w:tc>
        <w:tc>
          <w:tcPr>
            <w:tcW w:w="632" w:type="pct"/>
            <w:vMerge w:val="continue"/>
            <w:shd w:val="clear" w:color="auto" w:fill="auto"/>
            <w:vAlign w:val="center"/>
          </w:tcPr>
          <w:p>
            <w:pPr>
              <w:widowControl/>
              <w:jc w:val="center"/>
              <w:rPr>
                <w:rFonts w:cs="宋体" w:asciiTheme="minorEastAsia" w:hAnsiTheme="minorEastAsia"/>
                <w:color w:val="000000"/>
                <w:kern w:val="0"/>
                <w:szCs w:val="21"/>
              </w:rPr>
            </w:pPr>
          </w:p>
        </w:tc>
        <w:tc>
          <w:tcPr>
            <w:tcW w:w="587" w:type="pct"/>
            <w:vMerge w:val="continue"/>
            <w:shd w:val="clear" w:color="auto" w:fill="auto"/>
            <w:vAlign w:val="center"/>
          </w:tcPr>
          <w:p>
            <w:pPr>
              <w:widowControl/>
              <w:jc w:val="center"/>
              <w:rPr>
                <w:rFonts w:cs="宋体" w:asciiTheme="minorEastAsia" w:hAnsiTheme="minorEastAsia"/>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70" w:hRule="atLeast"/>
        </w:trPr>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HB-01-01</w:t>
            </w:r>
          </w:p>
        </w:tc>
        <w:tc>
          <w:tcPr>
            <w:tcW w:w="31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90101</w:t>
            </w:r>
          </w:p>
        </w:tc>
        <w:tc>
          <w:tcPr>
            <w:tcW w:w="52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零售商业用地</w:t>
            </w:r>
          </w:p>
        </w:tc>
        <w:tc>
          <w:tcPr>
            <w:tcW w:w="47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0.17</w:t>
            </w:r>
          </w:p>
        </w:tc>
        <w:tc>
          <w:tcPr>
            <w:tcW w:w="263"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1.8</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≤35</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≥35</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24</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63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1.5车位/100㎡</w:t>
            </w:r>
          </w:p>
        </w:tc>
        <w:tc>
          <w:tcPr>
            <w:tcW w:w="5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村镇乡村振兴项目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5" w:hRule="atLeast"/>
        </w:trPr>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HB-01-02</w:t>
            </w:r>
          </w:p>
        </w:tc>
        <w:tc>
          <w:tcPr>
            <w:tcW w:w="31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1401</w:t>
            </w:r>
          </w:p>
        </w:tc>
        <w:tc>
          <w:tcPr>
            <w:tcW w:w="52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公园绿地</w:t>
            </w:r>
          </w:p>
        </w:tc>
        <w:tc>
          <w:tcPr>
            <w:tcW w:w="47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0.08</w:t>
            </w:r>
          </w:p>
        </w:tc>
        <w:tc>
          <w:tcPr>
            <w:tcW w:w="263"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63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5" w:hRule="atLeast"/>
        </w:trPr>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HB-01-03</w:t>
            </w:r>
          </w:p>
        </w:tc>
        <w:tc>
          <w:tcPr>
            <w:tcW w:w="31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70102</w:t>
            </w:r>
          </w:p>
        </w:tc>
        <w:tc>
          <w:tcPr>
            <w:tcW w:w="52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二类城镇住宅用地</w:t>
            </w:r>
          </w:p>
        </w:tc>
        <w:tc>
          <w:tcPr>
            <w:tcW w:w="47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1.56</w:t>
            </w:r>
          </w:p>
        </w:tc>
        <w:tc>
          <w:tcPr>
            <w:tcW w:w="263"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63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70" w:hRule="atLeast"/>
        </w:trPr>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HB-01-04</w:t>
            </w:r>
          </w:p>
        </w:tc>
        <w:tc>
          <w:tcPr>
            <w:tcW w:w="31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90101</w:t>
            </w:r>
          </w:p>
        </w:tc>
        <w:tc>
          <w:tcPr>
            <w:tcW w:w="52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零售商业用地</w:t>
            </w:r>
          </w:p>
        </w:tc>
        <w:tc>
          <w:tcPr>
            <w:tcW w:w="47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0.3</w:t>
            </w:r>
          </w:p>
        </w:tc>
        <w:tc>
          <w:tcPr>
            <w:tcW w:w="263"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1.8</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≤35</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≥35</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24</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63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1.5车位/100㎡</w:t>
            </w:r>
          </w:p>
        </w:tc>
        <w:tc>
          <w:tcPr>
            <w:tcW w:w="5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村镇乡村振兴项目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70" w:hRule="atLeast"/>
        </w:trPr>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HB-01-05</w:t>
            </w:r>
          </w:p>
        </w:tc>
        <w:tc>
          <w:tcPr>
            <w:tcW w:w="31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90101</w:t>
            </w:r>
          </w:p>
        </w:tc>
        <w:tc>
          <w:tcPr>
            <w:tcW w:w="52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零售商业用地</w:t>
            </w:r>
          </w:p>
        </w:tc>
        <w:tc>
          <w:tcPr>
            <w:tcW w:w="47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0.18</w:t>
            </w:r>
          </w:p>
        </w:tc>
        <w:tc>
          <w:tcPr>
            <w:tcW w:w="263"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1.8</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≤35</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≥35</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24</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63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1.5车位/100㎡</w:t>
            </w:r>
          </w:p>
        </w:tc>
        <w:tc>
          <w:tcPr>
            <w:tcW w:w="5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村镇乡村振兴项目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70" w:hRule="atLeast"/>
        </w:trPr>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HB-01-06</w:t>
            </w:r>
          </w:p>
        </w:tc>
        <w:tc>
          <w:tcPr>
            <w:tcW w:w="31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1301</w:t>
            </w:r>
          </w:p>
        </w:tc>
        <w:tc>
          <w:tcPr>
            <w:tcW w:w="52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供水用地</w:t>
            </w:r>
          </w:p>
        </w:tc>
        <w:tc>
          <w:tcPr>
            <w:tcW w:w="47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0.19</w:t>
            </w:r>
          </w:p>
        </w:tc>
        <w:tc>
          <w:tcPr>
            <w:tcW w:w="263"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63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供水厂，按方案合理性确定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5" w:hRule="atLeast"/>
        </w:trPr>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HB-01-07</w:t>
            </w:r>
          </w:p>
        </w:tc>
        <w:tc>
          <w:tcPr>
            <w:tcW w:w="31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1401</w:t>
            </w:r>
          </w:p>
        </w:tc>
        <w:tc>
          <w:tcPr>
            <w:tcW w:w="52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公园绿地</w:t>
            </w:r>
          </w:p>
        </w:tc>
        <w:tc>
          <w:tcPr>
            <w:tcW w:w="47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0.02</w:t>
            </w:r>
          </w:p>
        </w:tc>
        <w:tc>
          <w:tcPr>
            <w:tcW w:w="263"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63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5" w:hRule="atLeast"/>
        </w:trPr>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HB-01-08</w:t>
            </w:r>
          </w:p>
        </w:tc>
        <w:tc>
          <w:tcPr>
            <w:tcW w:w="31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70102</w:t>
            </w:r>
          </w:p>
        </w:tc>
        <w:tc>
          <w:tcPr>
            <w:tcW w:w="52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二类城镇住宅用地</w:t>
            </w:r>
          </w:p>
        </w:tc>
        <w:tc>
          <w:tcPr>
            <w:tcW w:w="47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0.26</w:t>
            </w:r>
          </w:p>
        </w:tc>
        <w:tc>
          <w:tcPr>
            <w:tcW w:w="263"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63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70" w:hRule="atLeast"/>
        </w:trPr>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HB-01-09</w:t>
            </w:r>
          </w:p>
        </w:tc>
        <w:tc>
          <w:tcPr>
            <w:tcW w:w="31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0806</w:t>
            </w:r>
          </w:p>
        </w:tc>
        <w:tc>
          <w:tcPr>
            <w:tcW w:w="52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医疗卫生用地</w:t>
            </w:r>
          </w:p>
        </w:tc>
        <w:tc>
          <w:tcPr>
            <w:tcW w:w="47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1.03</w:t>
            </w:r>
          </w:p>
        </w:tc>
        <w:tc>
          <w:tcPr>
            <w:tcW w:w="263"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63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现状卫生院扩建，按方案合理性确定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710" w:hRule="atLeast"/>
        </w:trPr>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HB-01-10</w:t>
            </w:r>
          </w:p>
        </w:tc>
        <w:tc>
          <w:tcPr>
            <w:tcW w:w="31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702</w:t>
            </w:r>
          </w:p>
        </w:tc>
        <w:tc>
          <w:tcPr>
            <w:tcW w:w="52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城镇社区服务设施用地</w:t>
            </w:r>
          </w:p>
        </w:tc>
        <w:tc>
          <w:tcPr>
            <w:tcW w:w="47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0.49</w:t>
            </w:r>
          </w:p>
        </w:tc>
        <w:tc>
          <w:tcPr>
            <w:tcW w:w="263"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社区服务站、文化活动站、托老所、社区卫生服务站、社区商业网点</w:t>
            </w:r>
          </w:p>
        </w:tc>
        <w:tc>
          <w:tcPr>
            <w:tcW w:w="63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规划社区综合服务中心，按方案合理性确定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5" w:hRule="atLeast"/>
        </w:trPr>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HB-01-11</w:t>
            </w:r>
          </w:p>
        </w:tc>
        <w:tc>
          <w:tcPr>
            <w:tcW w:w="31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1401</w:t>
            </w:r>
          </w:p>
        </w:tc>
        <w:tc>
          <w:tcPr>
            <w:tcW w:w="52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公园绿地</w:t>
            </w:r>
          </w:p>
        </w:tc>
        <w:tc>
          <w:tcPr>
            <w:tcW w:w="47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0.24</w:t>
            </w:r>
          </w:p>
        </w:tc>
        <w:tc>
          <w:tcPr>
            <w:tcW w:w="263"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健身设施</w:t>
            </w:r>
          </w:p>
        </w:tc>
        <w:tc>
          <w:tcPr>
            <w:tcW w:w="63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5" w:hRule="atLeast"/>
        </w:trPr>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HB-01-12</w:t>
            </w:r>
          </w:p>
        </w:tc>
        <w:tc>
          <w:tcPr>
            <w:tcW w:w="31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1401</w:t>
            </w:r>
          </w:p>
        </w:tc>
        <w:tc>
          <w:tcPr>
            <w:tcW w:w="52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公园绿地</w:t>
            </w:r>
          </w:p>
        </w:tc>
        <w:tc>
          <w:tcPr>
            <w:tcW w:w="47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0.37</w:t>
            </w:r>
          </w:p>
        </w:tc>
        <w:tc>
          <w:tcPr>
            <w:tcW w:w="263"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健身设施</w:t>
            </w:r>
          </w:p>
        </w:tc>
        <w:tc>
          <w:tcPr>
            <w:tcW w:w="63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70" w:hRule="atLeast"/>
        </w:trPr>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HB-01-13</w:t>
            </w:r>
          </w:p>
        </w:tc>
        <w:tc>
          <w:tcPr>
            <w:tcW w:w="31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70102</w:t>
            </w:r>
          </w:p>
        </w:tc>
        <w:tc>
          <w:tcPr>
            <w:tcW w:w="52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二类城镇住宅用地</w:t>
            </w:r>
          </w:p>
        </w:tc>
        <w:tc>
          <w:tcPr>
            <w:tcW w:w="47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4.72</w:t>
            </w:r>
          </w:p>
        </w:tc>
        <w:tc>
          <w:tcPr>
            <w:tcW w:w="263"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1.5</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≤35</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≥35</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18</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幼儿园、公厕</w:t>
            </w:r>
          </w:p>
        </w:tc>
        <w:tc>
          <w:tcPr>
            <w:tcW w:w="63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存量土地（规划新增）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5" w:hRule="atLeast"/>
        </w:trPr>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HB-01-14</w:t>
            </w:r>
          </w:p>
        </w:tc>
        <w:tc>
          <w:tcPr>
            <w:tcW w:w="31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70102</w:t>
            </w:r>
          </w:p>
        </w:tc>
        <w:tc>
          <w:tcPr>
            <w:tcW w:w="52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二类城镇住宅用地</w:t>
            </w:r>
          </w:p>
        </w:tc>
        <w:tc>
          <w:tcPr>
            <w:tcW w:w="47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1.14</w:t>
            </w:r>
          </w:p>
        </w:tc>
        <w:tc>
          <w:tcPr>
            <w:tcW w:w="263"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63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5" w:hRule="atLeast"/>
        </w:trPr>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HB-02-01</w:t>
            </w:r>
          </w:p>
        </w:tc>
        <w:tc>
          <w:tcPr>
            <w:tcW w:w="31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1403</w:t>
            </w:r>
          </w:p>
        </w:tc>
        <w:tc>
          <w:tcPr>
            <w:tcW w:w="52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广场用地</w:t>
            </w:r>
          </w:p>
        </w:tc>
        <w:tc>
          <w:tcPr>
            <w:tcW w:w="47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0.20</w:t>
            </w:r>
          </w:p>
        </w:tc>
        <w:tc>
          <w:tcPr>
            <w:tcW w:w="263"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63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5" w:hRule="atLeast"/>
        </w:trPr>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HB-02-02</w:t>
            </w:r>
          </w:p>
        </w:tc>
        <w:tc>
          <w:tcPr>
            <w:tcW w:w="31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1401</w:t>
            </w:r>
          </w:p>
        </w:tc>
        <w:tc>
          <w:tcPr>
            <w:tcW w:w="52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公园绿地</w:t>
            </w:r>
          </w:p>
        </w:tc>
        <w:tc>
          <w:tcPr>
            <w:tcW w:w="47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0.19</w:t>
            </w:r>
          </w:p>
        </w:tc>
        <w:tc>
          <w:tcPr>
            <w:tcW w:w="263"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63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70" w:hRule="atLeast"/>
        </w:trPr>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HB-02-03</w:t>
            </w:r>
          </w:p>
        </w:tc>
        <w:tc>
          <w:tcPr>
            <w:tcW w:w="31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70102</w:t>
            </w:r>
          </w:p>
        </w:tc>
        <w:tc>
          <w:tcPr>
            <w:tcW w:w="52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二类城镇住宅用地</w:t>
            </w:r>
          </w:p>
        </w:tc>
        <w:tc>
          <w:tcPr>
            <w:tcW w:w="47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0.27</w:t>
            </w:r>
          </w:p>
        </w:tc>
        <w:tc>
          <w:tcPr>
            <w:tcW w:w="263"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1.5</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≤35</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≥35</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18</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63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1车位/户</w:t>
            </w:r>
          </w:p>
        </w:tc>
        <w:tc>
          <w:tcPr>
            <w:tcW w:w="5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存量土地（规划新增）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5" w:hRule="atLeast"/>
        </w:trPr>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HB-02-04</w:t>
            </w:r>
          </w:p>
        </w:tc>
        <w:tc>
          <w:tcPr>
            <w:tcW w:w="31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1402</w:t>
            </w:r>
          </w:p>
        </w:tc>
        <w:tc>
          <w:tcPr>
            <w:tcW w:w="52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防护绿地</w:t>
            </w:r>
          </w:p>
        </w:tc>
        <w:tc>
          <w:tcPr>
            <w:tcW w:w="47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0.07</w:t>
            </w:r>
          </w:p>
        </w:tc>
        <w:tc>
          <w:tcPr>
            <w:tcW w:w="263"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63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70" w:hRule="atLeast"/>
        </w:trPr>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HB-02-05</w:t>
            </w:r>
          </w:p>
        </w:tc>
        <w:tc>
          <w:tcPr>
            <w:tcW w:w="31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70102</w:t>
            </w:r>
          </w:p>
        </w:tc>
        <w:tc>
          <w:tcPr>
            <w:tcW w:w="52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二类城镇住宅用地</w:t>
            </w:r>
          </w:p>
        </w:tc>
        <w:tc>
          <w:tcPr>
            <w:tcW w:w="47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0.34</w:t>
            </w:r>
          </w:p>
        </w:tc>
        <w:tc>
          <w:tcPr>
            <w:tcW w:w="263"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1.5</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≤35</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≥35</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18</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63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1车位/户</w:t>
            </w:r>
          </w:p>
        </w:tc>
        <w:tc>
          <w:tcPr>
            <w:tcW w:w="5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存量土地（规划新增）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5" w:hRule="atLeast"/>
        </w:trPr>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HB-02-06</w:t>
            </w:r>
          </w:p>
        </w:tc>
        <w:tc>
          <w:tcPr>
            <w:tcW w:w="31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1402</w:t>
            </w:r>
          </w:p>
        </w:tc>
        <w:tc>
          <w:tcPr>
            <w:tcW w:w="52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防护绿地</w:t>
            </w:r>
          </w:p>
        </w:tc>
        <w:tc>
          <w:tcPr>
            <w:tcW w:w="47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0.09</w:t>
            </w:r>
          </w:p>
        </w:tc>
        <w:tc>
          <w:tcPr>
            <w:tcW w:w="263"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63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5" w:hRule="atLeast"/>
        </w:trPr>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HB-02-07</w:t>
            </w:r>
          </w:p>
        </w:tc>
        <w:tc>
          <w:tcPr>
            <w:tcW w:w="31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1401</w:t>
            </w:r>
          </w:p>
        </w:tc>
        <w:tc>
          <w:tcPr>
            <w:tcW w:w="52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公园绿地</w:t>
            </w:r>
          </w:p>
        </w:tc>
        <w:tc>
          <w:tcPr>
            <w:tcW w:w="47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0.36</w:t>
            </w:r>
          </w:p>
        </w:tc>
        <w:tc>
          <w:tcPr>
            <w:tcW w:w="263"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健身设施</w:t>
            </w:r>
          </w:p>
        </w:tc>
        <w:tc>
          <w:tcPr>
            <w:tcW w:w="63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70" w:hRule="atLeast"/>
        </w:trPr>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HB-02-08</w:t>
            </w:r>
          </w:p>
        </w:tc>
        <w:tc>
          <w:tcPr>
            <w:tcW w:w="31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70102</w:t>
            </w:r>
          </w:p>
        </w:tc>
        <w:tc>
          <w:tcPr>
            <w:tcW w:w="52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二类城镇住宅用地</w:t>
            </w:r>
          </w:p>
        </w:tc>
        <w:tc>
          <w:tcPr>
            <w:tcW w:w="47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0.51</w:t>
            </w:r>
          </w:p>
        </w:tc>
        <w:tc>
          <w:tcPr>
            <w:tcW w:w="263"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1.5</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≤35</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≥35</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18</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63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1车位/户</w:t>
            </w:r>
          </w:p>
        </w:tc>
        <w:tc>
          <w:tcPr>
            <w:tcW w:w="5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商住混合用地，住宅占60%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5" w:hRule="atLeast"/>
        </w:trPr>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HB-02-09</w:t>
            </w:r>
          </w:p>
        </w:tc>
        <w:tc>
          <w:tcPr>
            <w:tcW w:w="31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1401</w:t>
            </w:r>
          </w:p>
        </w:tc>
        <w:tc>
          <w:tcPr>
            <w:tcW w:w="52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公园绿地</w:t>
            </w:r>
          </w:p>
        </w:tc>
        <w:tc>
          <w:tcPr>
            <w:tcW w:w="47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0.16</w:t>
            </w:r>
          </w:p>
        </w:tc>
        <w:tc>
          <w:tcPr>
            <w:tcW w:w="263"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63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5" w:hRule="atLeast"/>
        </w:trPr>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HB-02-10</w:t>
            </w:r>
          </w:p>
        </w:tc>
        <w:tc>
          <w:tcPr>
            <w:tcW w:w="31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70102</w:t>
            </w:r>
          </w:p>
        </w:tc>
        <w:tc>
          <w:tcPr>
            <w:tcW w:w="52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二类城镇住宅用地</w:t>
            </w:r>
          </w:p>
        </w:tc>
        <w:tc>
          <w:tcPr>
            <w:tcW w:w="47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0.17</w:t>
            </w:r>
          </w:p>
        </w:tc>
        <w:tc>
          <w:tcPr>
            <w:tcW w:w="263"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63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70" w:hRule="atLeast"/>
        </w:trPr>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HB-02-11</w:t>
            </w:r>
          </w:p>
        </w:tc>
        <w:tc>
          <w:tcPr>
            <w:tcW w:w="31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70102</w:t>
            </w:r>
          </w:p>
        </w:tc>
        <w:tc>
          <w:tcPr>
            <w:tcW w:w="52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二类城镇住宅用地</w:t>
            </w:r>
          </w:p>
        </w:tc>
        <w:tc>
          <w:tcPr>
            <w:tcW w:w="47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0.68</w:t>
            </w:r>
          </w:p>
        </w:tc>
        <w:tc>
          <w:tcPr>
            <w:tcW w:w="263"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1.5</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≤35</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≥35</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18</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63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1车位/户</w:t>
            </w:r>
          </w:p>
        </w:tc>
        <w:tc>
          <w:tcPr>
            <w:tcW w:w="5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商住混合用地，住宅占60%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5" w:hRule="atLeast"/>
        </w:trPr>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HB-02-12</w:t>
            </w:r>
          </w:p>
        </w:tc>
        <w:tc>
          <w:tcPr>
            <w:tcW w:w="31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1401</w:t>
            </w:r>
          </w:p>
        </w:tc>
        <w:tc>
          <w:tcPr>
            <w:tcW w:w="52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公园绿地</w:t>
            </w:r>
          </w:p>
        </w:tc>
        <w:tc>
          <w:tcPr>
            <w:tcW w:w="47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0.79</w:t>
            </w:r>
          </w:p>
        </w:tc>
        <w:tc>
          <w:tcPr>
            <w:tcW w:w="263"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健身设施</w:t>
            </w:r>
          </w:p>
        </w:tc>
        <w:tc>
          <w:tcPr>
            <w:tcW w:w="63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5" w:hRule="atLeast"/>
        </w:trPr>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HB-02-13</w:t>
            </w:r>
          </w:p>
        </w:tc>
        <w:tc>
          <w:tcPr>
            <w:tcW w:w="31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1401</w:t>
            </w:r>
          </w:p>
        </w:tc>
        <w:tc>
          <w:tcPr>
            <w:tcW w:w="52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公园绿地</w:t>
            </w:r>
          </w:p>
        </w:tc>
        <w:tc>
          <w:tcPr>
            <w:tcW w:w="47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0.10</w:t>
            </w:r>
          </w:p>
        </w:tc>
        <w:tc>
          <w:tcPr>
            <w:tcW w:w="263"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63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5" w:hRule="atLeast"/>
        </w:trPr>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HB-02-14</w:t>
            </w:r>
          </w:p>
        </w:tc>
        <w:tc>
          <w:tcPr>
            <w:tcW w:w="31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70102</w:t>
            </w:r>
          </w:p>
        </w:tc>
        <w:tc>
          <w:tcPr>
            <w:tcW w:w="52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二类城镇住宅用地</w:t>
            </w:r>
          </w:p>
        </w:tc>
        <w:tc>
          <w:tcPr>
            <w:tcW w:w="47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0.31</w:t>
            </w:r>
          </w:p>
        </w:tc>
        <w:tc>
          <w:tcPr>
            <w:tcW w:w="263"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63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70" w:hRule="atLeast"/>
        </w:trPr>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HB-02-15</w:t>
            </w:r>
          </w:p>
        </w:tc>
        <w:tc>
          <w:tcPr>
            <w:tcW w:w="31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1309</w:t>
            </w:r>
          </w:p>
        </w:tc>
        <w:tc>
          <w:tcPr>
            <w:tcW w:w="52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环卫用地</w:t>
            </w:r>
          </w:p>
        </w:tc>
        <w:tc>
          <w:tcPr>
            <w:tcW w:w="47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0.08</w:t>
            </w:r>
          </w:p>
        </w:tc>
        <w:tc>
          <w:tcPr>
            <w:tcW w:w="263"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63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垃圾转运站，按方案合理性确定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5" w:hRule="atLeast"/>
        </w:trPr>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HB-02-16</w:t>
            </w:r>
          </w:p>
        </w:tc>
        <w:tc>
          <w:tcPr>
            <w:tcW w:w="31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1402</w:t>
            </w:r>
          </w:p>
        </w:tc>
        <w:tc>
          <w:tcPr>
            <w:tcW w:w="52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防护绿地</w:t>
            </w:r>
          </w:p>
        </w:tc>
        <w:tc>
          <w:tcPr>
            <w:tcW w:w="47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0.03</w:t>
            </w:r>
          </w:p>
        </w:tc>
        <w:tc>
          <w:tcPr>
            <w:tcW w:w="263"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63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70" w:hRule="atLeast"/>
        </w:trPr>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HB-02-17</w:t>
            </w:r>
          </w:p>
        </w:tc>
        <w:tc>
          <w:tcPr>
            <w:tcW w:w="31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100102</w:t>
            </w:r>
          </w:p>
        </w:tc>
        <w:tc>
          <w:tcPr>
            <w:tcW w:w="52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二类工业用地</w:t>
            </w:r>
          </w:p>
        </w:tc>
        <w:tc>
          <w:tcPr>
            <w:tcW w:w="47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0.55</w:t>
            </w:r>
          </w:p>
        </w:tc>
        <w:tc>
          <w:tcPr>
            <w:tcW w:w="263"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≤50</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≤20</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20</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63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存量土地（规划新增）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5" w:hRule="atLeast"/>
        </w:trPr>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HB-02-18</w:t>
            </w:r>
          </w:p>
        </w:tc>
        <w:tc>
          <w:tcPr>
            <w:tcW w:w="31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1402</w:t>
            </w:r>
          </w:p>
        </w:tc>
        <w:tc>
          <w:tcPr>
            <w:tcW w:w="52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防护绿地</w:t>
            </w:r>
          </w:p>
        </w:tc>
        <w:tc>
          <w:tcPr>
            <w:tcW w:w="47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0.05</w:t>
            </w:r>
          </w:p>
        </w:tc>
        <w:tc>
          <w:tcPr>
            <w:tcW w:w="263"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63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5" w:hRule="atLeast"/>
        </w:trPr>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HB-02-19</w:t>
            </w:r>
          </w:p>
        </w:tc>
        <w:tc>
          <w:tcPr>
            <w:tcW w:w="31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110101</w:t>
            </w:r>
          </w:p>
        </w:tc>
        <w:tc>
          <w:tcPr>
            <w:tcW w:w="52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一类物流仓储用地</w:t>
            </w:r>
          </w:p>
        </w:tc>
        <w:tc>
          <w:tcPr>
            <w:tcW w:w="47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1.34</w:t>
            </w:r>
          </w:p>
        </w:tc>
        <w:tc>
          <w:tcPr>
            <w:tcW w:w="263"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63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更新改造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5" w:hRule="atLeast"/>
        </w:trPr>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HB-02-20</w:t>
            </w:r>
          </w:p>
        </w:tc>
        <w:tc>
          <w:tcPr>
            <w:tcW w:w="31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1402</w:t>
            </w:r>
          </w:p>
        </w:tc>
        <w:tc>
          <w:tcPr>
            <w:tcW w:w="52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防护绿地</w:t>
            </w:r>
          </w:p>
        </w:tc>
        <w:tc>
          <w:tcPr>
            <w:tcW w:w="47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0.21</w:t>
            </w:r>
          </w:p>
        </w:tc>
        <w:tc>
          <w:tcPr>
            <w:tcW w:w="263"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63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5" w:hRule="atLeast"/>
        </w:trPr>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HB-02-21</w:t>
            </w:r>
          </w:p>
        </w:tc>
        <w:tc>
          <w:tcPr>
            <w:tcW w:w="31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1401</w:t>
            </w:r>
          </w:p>
        </w:tc>
        <w:tc>
          <w:tcPr>
            <w:tcW w:w="52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公园绿地</w:t>
            </w:r>
          </w:p>
        </w:tc>
        <w:tc>
          <w:tcPr>
            <w:tcW w:w="47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0.02</w:t>
            </w:r>
          </w:p>
        </w:tc>
        <w:tc>
          <w:tcPr>
            <w:tcW w:w="263"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63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55" w:hRule="atLeast"/>
        </w:trPr>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HB-02-22</w:t>
            </w:r>
          </w:p>
        </w:tc>
        <w:tc>
          <w:tcPr>
            <w:tcW w:w="31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1303</w:t>
            </w:r>
          </w:p>
        </w:tc>
        <w:tc>
          <w:tcPr>
            <w:tcW w:w="52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供电用地</w:t>
            </w:r>
          </w:p>
        </w:tc>
        <w:tc>
          <w:tcPr>
            <w:tcW w:w="47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0.40</w:t>
            </w:r>
          </w:p>
        </w:tc>
        <w:tc>
          <w:tcPr>
            <w:tcW w:w="263"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63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现状35KV变电站扩建，按照方案合理性确定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5" w:hRule="atLeast"/>
        </w:trPr>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HB-02-23</w:t>
            </w:r>
          </w:p>
        </w:tc>
        <w:tc>
          <w:tcPr>
            <w:tcW w:w="31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1401</w:t>
            </w:r>
          </w:p>
        </w:tc>
        <w:tc>
          <w:tcPr>
            <w:tcW w:w="52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公园绿地</w:t>
            </w:r>
          </w:p>
        </w:tc>
        <w:tc>
          <w:tcPr>
            <w:tcW w:w="47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0.05</w:t>
            </w:r>
          </w:p>
        </w:tc>
        <w:tc>
          <w:tcPr>
            <w:tcW w:w="263"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63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5" w:hRule="atLeast"/>
        </w:trPr>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HB-02-24</w:t>
            </w:r>
          </w:p>
        </w:tc>
        <w:tc>
          <w:tcPr>
            <w:tcW w:w="31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70102</w:t>
            </w:r>
          </w:p>
        </w:tc>
        <w:tc>
          <w:tcPr>
            <w:tcW w:w="52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二类城镇住宅用地</w:t>
            </w:r>
          </w:p>
        </w:tc>
        <w:tc>
          <w:tcPr>
            <w:tcW w:w="47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0.25</w:t>
            </w:r>
          </w:p>
        </w:tc>
        <w:tc>
          <w:tcPr>
            <w:tcW w:w="263"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63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5" w:hRule="atLeast"/>
        </w:trPr>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HB-02-25</w:t>
            </w:r>
          </w:p>
        </w:tc>
        <w:tc>
          <w:tcPr>
            <w:tcW w:w="31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1401</w:t>
            </w:r>
          </w:p>
        </w:tc>
        <w:tc>
          <w:tcPr>
            <w:tcW w:w="52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公园绿地</w:t>
            </w:r>
          </w:p>
        </w:tc>
        <w:tc>
          <w:tcPr>
            <w:tcW w:w="47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0.02</w:t>
            </w:r>
          </w:p>
        </w:tc>
        <w:tc>
          <w:tcPr>
            <w:tcW w:w="263"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63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5" w:hRule="atLeast"/>
        </w:trPr>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HB-02-26</w:t>
            </w:r>
          </w:p>
        </w:tc>
        <w:tc>
          <w:tcPr>
            <w:tcW w:w="31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1401</w:t>
            </w:r>
          </w:p>
        </w:tc>
        <w:tc>
          <w:tcPr>
            <w:tcW w:w="52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公园绿地</w:t>
            </w:r>
          </w:p>
        </w:tc>
        <w:tc>
          <w:tcPr>
            <w:tcW w:w="47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0.04</w:t>
            </w:r>
          </w:p>
        </w:tc>
        <w:tc>
          <w:tcPr>
            <w:tcW w:w="263"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63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5" w:hRule="atLeast"/>
        </w:trPr>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HB-02-27</w:t>
            </w:r>
          </w:p>
        </w:tc>
        <w:tc>
          <w:tcPr>
            <w:tcW w:w="31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70102</w:t>
            </w:r>
          </w:p>
        </w:tc>
        <w:tc>
          <w:tcPr>
            <w:tcW w:w="52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二类城镇住宅用地</w:t>
            </w:r>
          </w:p>
        </w:tc>
        <w:tc>
          <w:tcPr>
            <w:tcW w:w="47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0.79</w:t>
            </w:r>
          </w:p>
        </w:tc>
        <w:tc>
          <w:tcPr>
            <w:tcW w:w="263"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63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5" w:hRule="atLeast"/>
        </w:trPr>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HB-02-28</w:t>
            </w:r>
          </w:p>
        </w:tc>
        <w:tc>
          <w:tcPr>
            <w:tcW w:w="31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70102</w:t>
            </w:r>
          </w:p>
        </w:tc>
        <w:tc>
          <w:tcPr>
            <w:tcW w:w="52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二类城镇住宅用地</w:t>
            </w:r>
          </w:p>
        </w:tc>
        <w:tc>
          <w:tcPr>
            <w:tcW w:w="47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1.43</w:t>
            </w:r>
          </w:p>
        </w:tc>
        <w:tc>
          <w:tcPr>
            <w:tcW w:w="263"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63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5" w:hRule="atLeast"/>
        </w:trPr>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HB-03-01</w:t>
            </w:r>
          </w:p>
        </w:tc>
        <w:tc>
          <w:tcPr>
            <w:tcW w:w="31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70102</w:t>
            </w:r>
          </w:p>
        </w:tc>
        <w:tc>
          <w:tcPr>
            <w:tcW w:w="52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二类城镇住宅用地</w:t>
            </w:r>
          </w:p>
        </w:tc>
        <w:tc>
          <w:tcPr>
            <w:tcW w:w="47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0.47</w:t>
            </w:r>
          </w:p>
        </w:tc>
        <w:tc>
          <w:tcPr>
            <w:tcW w:w="263"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63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5" w:hRule="atLeast"/>
        </w:trPr>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HB-03-02</w:t>
            </w:r>
          </w:p>
        </w:tc>
        <w:tc>
          <w:tcPr>
            <w:tcW w:w="31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70102</w:t>
            </w:r>
          </w:p>
        </w:tc>
        <w:tc>
          <w:tcPr>
            <w:tcW w:w="52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二类城镇住宅用地</w:t>
            </w:r>
          </w:p>
        </w:tc>
        <w:tc>
          <w:tcPr>
            <w:tcW w:w="47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0.06</w:t>
            </w:r>
          </w:p>
        </w:tc>
        <w:tc>
          <w:tcPr>
            <w:tcW w:w="263"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63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5" w:hRule="atLeast"/>
        </w:trPr>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HB-03-03</w:t>
            </w:r>
          </w:p>
        </w:tc>
        <w:tc>
          <w:tcPr>
            <w:tcW w:w="31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1401</w:t>
            </w:r>
          </w:p>
        </w:tc>
        <w:tc>
          <w:tcPr>
            <w:tcW w:w="52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公园绿地</w:t>
            </w:r>
          </w:p>
        </w:tc>
        <w:tc>
          <w:tcPr>
            <w:tcW w:w="47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0.03</w:t>
            </w:r>
          </w:p>
        </w:tc>
        <w:tc>
          <w:tcPr>
            <w:tcW w:w="263"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63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5" w:hRule="atLeast"/>
        </w:trPr>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HB-03-04</w:t>
            </w:r>
          </w:p>
        </w:tc>
        <w:tc>
          <w:tcPr>
            <w:tcW w:w="31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70102</w:t>
            </w:r>
          </w:p>
        </w:tc>
        <w:tc>
          <w:tcPr>
            <w:tcW w:w="52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二类城镇住宅用地</w:t>
            </w:r>
          </w:p>
        </w:tc>
        <w:tc>
          <w:tcPr>
            <w:tcW w:w="47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0.40</w:t>
            </w:r>
          </w:p>
        </w:tc>
        <w:tc>
          <w:tcPr>
            <w:tcW w:w="263"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63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5" w:hRule="atLeast"/>
        </w:trPr>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HB-03-05</w:t>
            </w:r>
          </w:p>
        </w:tc>
        <w:tc>
          <w:tcPr>
            <w:tcW w:w="31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0801</w:t>
            </w:r>
          </w:p>
        </w:tc>
        <w:tc>
          <w:tcPr>
            <w:tcW w:w="52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机关团体用地</w:t>
            </w:r>
          </w:p>
        </w:tc>
        <w:tc>
          <w:tcPr>
            <w:tcW w:w="47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0.05</w:t>
            </w:r>
          </w:p>
        </w:tc>
        <w:tc>
          <w:tcPr>
            <w:tcW w:w="263"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63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5" w:hRule="atLeast"/>
        </w:trPr>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HB-03-06</w:t>
            </w:r>
          </w:p>
        </w:tc>
        <w:tc>
          <w:tcPr>
            <w:tcW w:w="31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70102</w:t>
            </w:r>
          </w:p>
        </w:tc>
        <w:tc>
          <w:tcPr>
            <w:tcW w:w="52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二类城镇住宅用地</w:t>
            </w:r>
          </w:p>
        </w:tc>
        <w:tc>
          <w:tcPr>
            <w:tcW w:w="47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0.18</w:t>
            </w:r>
          </w:p>
        </w:tc>
        <w:tc>
          <w:tcPr>
            <w:tcW w:w="263"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63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5" w:hRule="atLeast"/>
        </w:trPr>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HB-03-07</w:t>
            </w:r>
          </w:p>
        </w:tc>
        <w:tc>
          <w:tcPr>
            <w:tcW w:w="31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90101</w:t>
            </w:r>
          </w:p>
        </w:tc>
        <w:tc>
          <w:tcPr>
            <w:tcW w:w="52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零售商业用地</w:t>
            </w:r>
          </w:p>
        </w:tc>
        <w:tc>
          <w:tcPr>
            <w:tcW w:w="47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0.05</w:t>
            </w:r>
          </w:p>
        </w:tc>
        <w:tc>
          <w:tcPr>
            <w:tcW w:w="263"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63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5" w:hRule="atLeast"/>
        </w:trPr>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HB-03-08</w:t>
            </w:r>
          </w:p>
        </w:tc>
        <w:tc>
          <w:tcPr>
            <w:tcW w:w="31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70102</w:t>
            </w:r>
          </w:p>
        </w:tc>
        <w:tc>
          <w:tcPr>
            <w:tcW w:w="52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二类城镇住宅用地</w:t>
            </w:r>
          </w:p>
        </w:tc>
        <w:tc>
          <w:tcPr>
            <w:tcW w:w="47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0.39</w:t>
            </w:r>
          </w:p>
        </w:tc>
        <w:tc>
          <w:tcPr>
            <w:tcW w:w="263"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63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5" w:hRule="atLeast"/>
        </w:trPr>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HB-03-09</w:t>
            </w:r>
          </w:p>
        </w:tc>
        <w:tc>
          <w:tcPr>
            <w:tcW w:w="31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1310</w:t>
            </w:r>
          </w:p>
        </w:tc>
        <w:tc>
          <w:tcPr>
            <w:tcW w:w="52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消防用地</w:t>
            </w:r>
          </w:p>
        </w:tc>
        <w:tc>
          <w:tcPr>
            <w:tcW w:w="47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0.29</w:t>
            </w:r>
          </w:p>
        </w:tc>
        <w:tc>
          <w:tcPr>
            <w:tcW w:w="263"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63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按方案合理性确定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70" w:hRule="atLeast"/>
        </w:trPr>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HB-03-10</w:t>
            </w:r>
          </w:p>
        </w:tc>
        <w:tc>
          <w:tcPr>
            <w:tcW w:w="31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120801</w:t>
            </w:r>
          </w:p>
        </w:tc>
        <w:tc>
          <w:tcPr>
            <w:tcW w:w="52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对外交通场站用地</w:t>
            </w:r>
          </w:p>
        </w:tc>
        <w:tc>
          <w:tcPr>
            <w:tcW w:w="47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0.46</w:t>
            </w:r>
          </w:p>
        </w:tc>
        <w:tc>
          <w:tcPr>
            <w:tcW w:w="263"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63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汽车站，按方案合理性确定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5" w:hRule="atLeast"/>
        </w:trPr>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HB-03-11</w:t>
            </w:r>
          </w:p>
        </w:tc>
        <w:tc>
          <w:tcPr>
            <w:tcW w:w="31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70102</w:t>
            </w:r>
          </w:p>
        </w:tc>
        <w:tc>
          <w:tcPr>
            <w:tcW w:w="52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二类城镇住宅用地</w:t>
            </w:r>
          </w:p>
        </w:tc>
        <w:tc>
          <w:tcPr>
            <w:tcW w:w="47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0.36</w:t>
            </w:r>
          </w:p>
        </w:tc>
        <w:tc>
          <w:tcPr>
            <w:tcW w:w="263"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63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5" w:hRule="atLeast"/>
        </w:trPr>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HB-03-12</w:t>
            </w:r>
          </w:p>
        </w:tc>
        <w:tc>
          <w:tcPr>
            <w:tcW w:w="31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080403</w:t>
            </w:r>
          </w:p>
        </w:tc>
        <w:tc>
          <w:tcPr>
            <w:tcW w:w="52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中小学用地</w:t>
            </w:r>
          </w:p>
        </w:tc>
        <w:tc>
          <w:tcPr>
            <w:tcW w:w="47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1.39</w:t>
            </w:r>
          </w:p>
        </w:tc>
        <w:tc>
          <w:tcPr>
            <w:tcW w:w="263"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63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现状中学保留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70" w:hRule="atLeast"/>
        </w:trPr>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HB-03-13</w:t>
            </w:r>
          </w:p>
        </w:tc>
        <w:tc>
          <w:tcPr>
            <w:tcW w:w="31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70102</w:t>
            </w:r>
          </w:p>
        </w:tc>
        <w:tc>
          <w:tcPr>
            <w:tcW w:w="52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二类城镇住宅用地</w:t>
            </w:r>
          </w:p>
        </w:tc>
        <w:tc>
          <w:tcPr>
            <w:tcW w:w="47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0.39</w:t>
            </w:r>
          </w:p>
        </w:tc>
        <w:tc>
          <w:tcPr>
            <w:tcW w:w="263"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63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商住混合用地，住宅占60%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5" w:hRule="atLeast"/>
        </w:trPr>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HB-03-14</w:t>
            </w:r>
          </w:p>
        </w:tc>
        <w:tc>
          <w:tcPr>
            <w:tcW w:w="31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70102</w:t>
            </w:r>
          </w:p>
        </w:tc>
        <w:tc>
          <w:tcPr>
            <w:tcW w:w="52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二类城镇住宅用地</w:t>
            </w:r>
          </w:p>
        </w:tc>
        <w:tc>
          <w:tcPr>
            <w:tcW w:w="47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0.14</w:t>
            </w:r>
          </w:p>
        </w:tc>
        <w:tc>
          <w:tcPr>
            <w:tcW w:w="263"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63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70" w:hRule="atLeast"/>
        </w:trPr>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HB-03-15</w:t>
            </w:r>
          </w:p>
        </w:tc>
        <w:tc>
          <w:tcPr>
            <w:tcW w:w="31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1401</w:t>
            </w:r>
          </w:p>
        </w:tc>
        <w:tc>
          <w:tcPr>
            <w:tcW w:w="52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公园绿地</w:t>
            </w:r>
          </w:p>
        </w:tc>
        <w:tc>
          <w:tcPr>
            <w:tcW w:w="47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1.19</w:t>
            </w:r>
          </w:p>
        </w:tc>
        <w:tc>
          <w:tcPr>
            <w:tcW w:w="263"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健身设施、公厕</w:t>
            </w:r>
          </w:p>
        </w:tc>
        <w:tc>
          <w:tcPr>
            <w:tcW w:w="63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5" w:hRule="atLeast"/>
        </w:trPr>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HB-03-16</w:t>
            </w:r>
          </w:p>
        </w:tc>
        <w:tc>
          <w:tcPr>
            <w:tcW w:w="31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70102</w:t>
            </w:r>
          </w:p>
        </w:tc>
        <w:tc>
          <w:tcPr>
            <w:tcW w:w="52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二类城镇住宅用地</w:t>
            </w:r>
          </w:p>
        </w:tc>
        <w:tc>
          <w:tcPr>
            <w:tcW w:w="47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0.29</w:t>
            </w:r>
          </w:p>
        </w:tc>
        <w:tc>
          <w:tcPr>
            <w:tcW w:w="263"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63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70" w:hRule="atLeast"/>
        </w:trPr>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HB-03-17</w:t>
            </w:r>
          </w:p>
        </w:tc>
        <w:tc>
          <w:tcPr>
            <w:tcW w:w="31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70102</w:t>
            </w:r>
          </w:p>
        </w:tc>
        <w:tc>
          <w:tcPr>
            <w:tcW w:w="52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二类城镇住宅用地</w:t>
            </w:r>
          </w:p>
        </w:tc>
        <w:tc>
          <w:tcPr>
            <w:tcW w:w="47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0.46</w:t>
            </w:r>
          </w:p>
        </w:tc>
        <w:tc>
          <w:tcPr>
            <w:tcW w:w="263"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1.8</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≤35</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≥35</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24</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63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商住混合用地，住宅占60%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70" w:hRule="atLeast"/>
        </w:trPr>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HB-03-18</w:t>
            </w:r>
          </w:p>
        </w:tc>
        <w:tc>
          <w:tcPr>
            <w:tcW w:w="31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70102</w:t>
            </w:r>
          </w:p>
        </w:tc>
        <w:tc>
          <w:tcPr>
            <w:tcW w:w="52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二类城镇住宅用地</w:t>
            </w:r>
          </w:p>
        </w:tc>
        <w:tc>
          <w:tcPr>
            <w:tcW w:w="47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0.74</w:t>
            </w:r>
          </w:p>
        </w:tc>
        <w:tc>
          <w:tcPr>
            <w:tcW w:w="263"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1.8</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≤35</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≥35</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24</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63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存量土地（规划新增）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5" w:hRule="atLeast"/>
        </w:trPr>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HB-03-19</w:t>
            </w:r>
          </w:p>
        </w:tc>
        <w:tc>
          <w:tcPr>
            <w:tcW w:w="31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120803</w:t>
            </w:r>
          </w:p>
        </w:tc>
        <w:tc>
          <w:tcPr>
            <w:tcW w:w="52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社会停车场用地</w:t>
            </w:r>
          </w:p>
        </w:tc>
        <w:tc>
          <w:tcPr>
            <w:tcW w:w="47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0.07</w:t>
            </w:r>
          </w:p>
        </w:tc>
        <w:tc>
          <w:tcPr>
            <w:tcW w:w="263"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63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70" w:hRule="atLeast"/>
        </w:trPr>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HB-03-20</w:t>
            </w:r>
          </w:p>
        </w:tc>
        <w:tc>
          <w:tcPr>
            <w:tcW w:w="31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70102</w:t>
            </w:r>
          </w:p>
        </w:tc>
        <w:tc>
          <w:tcPr>
            <w:tcW w:w="52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二类城镇住宅用地</w:t>
            </w:r>
          </w:p>
        </w:tc>
        <w:tc>
          <w:tcPr>
            <w:tcW w:w="47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0.74</w:t>
            </w:r>
          </w:p>
        </w:tc>
        <w:tc>
          <w:tcPr>
            <w:tcW w:w="263"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1.8</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≤35</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≥35</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24</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公厕</w:t>
            </w:r>
          </w:p>
        </w:tc>
        <w:tc>
          <w:tcPr>
            <w:tcW w:w="63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存量土地（规划新增）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5" w:hRule="atLeast"/>
        </w:trPr>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HB-03-21</w:t>
            </w:r>
          </w:p>
        </w:tc>
        <w:tc>
          <w:tcPr>
            <w:tcW w:w="31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90101</w:t>
            </w:r>
          </w:p>
        </w:tc>
        <w:tc>
          <w:tcPr>
            <w:tcW w:w="52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零售商业用地</w:t>
            </w:r>
          </w:p>
        </w:tc>
        <w:tc>
          <w:tcPr>
            <w:tcW w:w="47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0.06</w:t>
            </w:r>
          </w:p>
        </w:tc>
        <w:tc>
          <w:tcPr>
            <w:tcW w:w="263"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63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70" w:hRule="atLeast"/>
        </w:trPr>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HB-03-22</w:t>
            </w:r>
          </w:p>
        </w:tc>
        <w:tc>
          <w:tcPr>
            <w:tcW w:w="31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70102</w:t>
            </w:r>
          </w:p>
        </w:tc>
        <w:tc>
          <w:tcPr>
            <w:tcW w:w="52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二类城镇住宅用地</w:t>
            </w:r>
          </w:p>
        </w:tc>
        <w:tc>
          <w:tcPr>
            <w:tcW w:w="47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0.30</w:t>
            </w:r>
          </w:p>
        </w:tc>
        <w:tc>
          <w:tcPr>
            <w:tcW w:w="263"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邮政所、电信支局</w:t>
            </w:r>
          </w:p>
        </w:tc>
        <w:tc>
          <w:tcPr>
            <w:tcW w:w="63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5" w:hRule="atLeast"/>
        </w:trPr>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HB-03-23</w:t>
            </w:r>
          </w:p>
        </w:tc>
        <w:tc>
          <w:tcPr>
            <w:tcW w:w="31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080403</w:t>
            </w:r>
          </w:p>
        </w:tc>
        <w:tc>
          <w:tcPr>
            <w:tcW w:w="52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中小学用地</w:t>
            </w:r>
          </w:p>
        </w:tc>
        <w:tc>
          <w:tcPr>
            <w:tcW w:w="47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0.74</w:t>
            </w:r>
          </w:p>
        </w:tc>
        <w:tc>
          <w:tcPr>
            <w:tcW w:w="263"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63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现状小学保留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5" w:hRule="atLeast"/>
        </w:trPr>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HB-03-24</w:t>
            </w:r>
          </w:p>
        </w:tc>
        <w:tc>
          <w:tcPr>
            <w:tcW w:w="31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80501</w:t>
            </w:r>
          </w:p>
        </w:tc>
        <w:tc>
          <w:tcPr>
            <w:tcW w:w="52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体育场馆用地</w:t>
            </w:r>
          </w:p>
        </w:tc>
        <w:tc>
          <w:tcPr>
            <w:tcW w:w="47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0.10</w:t>
            </w:r>
          </w:p>
        </w:tc>
        <w:tc>
          <w:tcPr>
            <w:tcW w:w="263"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63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按方案合理性确定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5" w:hRule="atLeast"/>
        </w:trPr>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HB-03-25</w:t>
            </w:r>
          </w:p>
        </w:tc>
        <w:tc>
          <w:tcPr>
            <w:tcW w:w="31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70102</w:t>
            </w:r>
          </w:p>
        </w:tc>
        <w:tc>
          <w:tcPr>
            <w:tcW w:w="52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二类城镇住宅用地</w:t>
            </w:r>
          </w:p>
        </w:tc>
        <w:tc>
          <w:tcPr>
            <w:tcW w:w="47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0.55</w:t>
            </w:r>
          </w:p>
        </w:tc>
        <w:tc>
          <w:tcPr>
            <w:tcW w:w="263"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63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5" w:hRule="atLeast"/>
        </w:trPr>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HB-03-26</w:t>
            </w:r>
          </w:p>
        </w:tc>
        <w:tc>
          <w:tcPr>
            <w:tcW w:w="31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1401</w:t>
            </w:r>
          </w:p>
        </w:tc>
        <w:tc>
          <w:tcPr>
            <w:tcW w:w="52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公园绿地</w:t>
            </w:r>
          </w:p>
        </w:tc>
        <w:tc>
          <w:tcPr>
            <w:tcW w:w="47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0.08</w:t>
            </w:r>
          </w:p>
        </w:tc>
        <w:tc>
          <w:tcPr>
            <w:tcW w:w="263"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健身设施</w:t>
            </w:r>
          </w:p>
        </w:tc>
        <w:tc>
          <w:tcPr>
            <w:tcW w:w="63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70" w:hRule="atLeast"/>
        </w:trPr>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HB-04-01</w:t>
            </w:r>
          </w:p>
        </w:tc>
        <w:tc>
          <w:tcPr>
            <w:tcW w:w="31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0902</w:t>
            </w:r>
          </w:p>
        </w:tc>
        <w:tc>
          <w:tcPr>
            <w:tcW w:w="52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商务金融用地</w:t>
            </w:r>
          </w:p>
        </w:tc>
        <w:tc>
          <w:tcPr>
            <w:tcW w:w="47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1.41</w:t>
            </w:r>
          </w:p>
        </w:tc>
        <w:tc>
          <w:tcPr>
            <w:tcW w:w="263"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≤50</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≥20</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24</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63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1.5车位/100㎡建筑面积</w:t>
            </w:r>
          </w:p>
        </w:tc>
        <w:tc>
          <w:tcPr>
            <w:tcW w:w="5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展销中心  存量土地（规划新增）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5" w:hRule="atLeast"/>
        </w:trPr>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HB-04-02</w:t>
            </w:r>
          </w:p>
        </w:tc>
        <w:tc>
          <w:tcPr>
            <w:tcW w:w="31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080404</w:t>
            </w:r>
          </w:p>
        </w:tc>
        <w:tc>
          <w:tcPr>
            <w:tcW w:w="52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幼儿园用地</w:t>
            </w:r>
          </w:p>
        </w:tc>
        <w:tc>
          <w:tcPr>
            <w:tcW w:w="47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1.40</w:t>
            </w:r>
          </w:p>
        </w:tc>
        <w:tc>
          <w:tcPr>
            <w:tcW w:w="263"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63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5" w:hRule="atLeast"/>
        </w:trPr>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HB-04-03</w:t>
            </w:r>
          </w:p>
        </w:tc>
        <w:tc>
          <w:tcPr>
            <w:tcW w:w="31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70102</w:t>
            </w:r>
          </w:p>
        </w:tc>
        <w:tc>
          <w:tcPr>
            <w:tcW w:w="52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二类城镇住宅用地</w:t>
            </w:r>
          </w:p>
        </w:tc>
        <w:tc>
          <w:tcPr>
            <w:tcW w:w="47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1.41</w:t>
            </w:r>
          </w:p>
        </w:tc>
        <w:tc>
          <w:tcPr>
            <w:tcW w:w="263"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63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5" w:hRule="atLeast"/>
        </w:trPr>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HB-04-04</w:t>
            </w:r>
          </w:p>
        </w:tc>
        <w:tc>
          <w:tcPr>
            <w:tcW w:w="31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1401</w:t>
            </w:r>
          </w:p>
        </w:tc>
        <w:tc>
          <w:tcPr>
            <w:tcW w:w="52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公园绿地</w:t>
            </w:r>
          </w:p>
        </w:tc>
        <w:tc>
          <w:tcPr>
            <w:tcW w:w="47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0.11</w:t>
            </w:r>
          </w:p>
        </w:tc>
        <w:tc>
          <w:tcPr>
            <w:tcW w:w="263"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健身设施</w:t>
            </w:r>
          </w:p>
        </w:tc>
        <w:tc>
          <w:tcPr>
            <w:tcW w:w="63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5" w:hRule="atLeast"/>
        </w:trPr>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HB-04-05</w:t>
            </w:r>
          </w:p>
        </w:tc>
        <w:tc>
          <w:tcPr>
            <w:tcW w:w="31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90101</w:t>
            </w:r>
          </w:p>
        </w:tc>
        <w:tc>
          <w:tcPr>
            <w:tcW w:w="52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零售商业用地</w:t>
            </w:r>
          </w:p>
        </w:tc>
        <w:tc>
          <w:tcPr>
            <w:tcW w:w="47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1.04</w:t>
            </w:r>
          </w:p>
        </w:tc>
        <w:tc>
          <w:tcPr>
            <w:tcW w:w="263"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63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70" w:hRule="atLeast"/>
        </w:trPr>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HB-04-06</w:t>
            </w:r>
          </w:p>
        </w:tc>
        <w:tc>
          <w:tcPr>
            <w:tcW w:w="31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70102</w:t>
            </w:r>
          </w:p>
        </w:tc>
        <w:tc>
          <w:tcPr>
            <w:tcW w:w="52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二类城镇住宅用地</w:t>
            </w:r>
          </w:p>
        </w:tc>
        <w:tc>
          <w:tcPr>
            <w:tcW w:w="47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0.91</w:t>
            </w:r>
          </w:p>
        </w:tc>
        <w:tc>
          <w:tcPr>
            <w:tcW w:w="263"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1.8</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≤35</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≥35</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24</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63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1车位/户</w:t>
            </w:r>
          </w:p>
        </w:tc>
        <w:tc>
          <w:tcPr>
            <w:tcW w:w="5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存量土地（规划新增）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5" w:hRule="atLeast"/>
        </w:trPr>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HB-04-07</w:t>
            </w:r>
          </w:p>
        </w:tc>
        <w:tc>
          <w:tcPr>
            <w:tcW w:w="31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70102</w:t>
            </w:r>
          </w:p>
        </w:tc>
        <w:tc>
          <w:tcPr>
            <w:tcW w:w="52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二类城镇住宅用地</w:t>
            </w:r>
          </w:p>
        </w:tc>
        <w:tc>
          <w:tcPr>
            <w:tcW w:w="47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0.59</w:t>
            </w:r>
          </w:p>
        </w:tc>
        <w:tc>
          <w:tcPr>
            <w:tcW w:w="263"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公厕</w:t>
            </w:r>
          </w:p>
        </w:tc>
        <w:tc>
          <w:tcPr>
            <w:tcW w:w="63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5" w:hRule="atLeast"/>
        </w:trPr>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HB-04-08</w:t>
            </w:r>
          </w:p>
        </w:tc>
        <w:tc>
          <w:tcPr>
            <w:tcW w:w="31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70102</w:t>
            </w:r>
          </w:p>
        </w:tc>
        <w:tc>
          <w:tcPr>
            <w:tcW w:w="52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社会停车场用地</w:t>
            </w:r>
          </w:p>
        </w:tc>
        <w:tc>
          <w:tcPr>
            <w:tcW w:w="47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0.11</w:t>
            </w:r>
          </w:p>
        </w:tc>
        <w:tc>
          <w:tcPr>
            <w:tcW w:w="263"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63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5" w:hRule="atLeast"/>
        </w:trPr>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HB-04-09</w:t>
            </w:r>
          </w:p>
        </w:tc>
        <w:tc>
          <w:tcPr>
            <w:tcW w:w="31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1403</w:t>
            </w:r>
          </w:p>
        </w:tc>
        <w:tc>
          <w:tcPr>
            <w:tcW w:w="52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广场用地</w:t>
            </w:r>
          </w:p>
        </w:tc>
        <w:tc>
          <w:tcPr>
            <w:tcW w:w="47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0.08</w:t>
            </w:r>
          </w:p>
        </w:tc>
        <w:tc>
          <w:tcPr>
            <w:tcW w:w="263"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63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710" w:hRule="atLeast"/>
        </w:trPr>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HB-04-10</w:t>
            </w:r>
          </w:p>
        </w:tc>
        <w:tc>
          <w:tcPr>
            <w:tcW w:w="31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702</w:t>
            </w:r>
          </w:p>
        </w:tc>
        <w:tc>
          <w:tcPr>
            <w:tcW w:w="52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城镇社区服务设施用地</w:t>
            </w:r>
          </w:p>
        </w:tc>
        <w:tc>
          <w:tcPr>
            <w:tcW w:w="47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0.43</w:t>
            </w:r>
          </w:p>
        </w:tc>
        <w:tc>
          <w:tcPr>
            <w:tcW w:w="263"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社区服务站、文化活动站、托老所、社区卫生服务站、社区商业网点</w:t>
            </w:r>
          </w:p>
        </w:tc>
        <w:tc>
          <w:tcPr>
            <w:tcW w:w="63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社区综合服务中心，按方案合理性确定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5" w:hRule="atLeast"/>
        </w:trPr>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HB-04-11</w:t>
            </w:r>
          </w:p>
        </w:tc>
        <w:tc>
          <w:tcPr>
            <w:tcW w:w="31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70102</w:t>
            </w:r>
          </w:p>
        </w:tc>
        <w:tc>
          <w:tcPr>
            <w:tcW w:w="52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二类城镇住宅用地</w:t>
            </w:r>
          </w:p>
        </w:tc>
        <w:tc>
          <w:tcPr>
            <w:tcW w:w="47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0.84</w:t>
            </w:r>
          </w:p>
        </w:tc>
        <w:tc>
          <w:tcPr>
            <w:tcW w:w="263"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63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5" w:hRule="atLeast"/>
        </w:trPr>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HB-04-12</w:t>
            </w:r>
          </w:p>
        </w:tc>
        <w:tc>
          <w:tcPr>
            <w:tcW w:w="31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70102</w:t>
            </w:r>
          </w:p>
        </w:tc>
        <w:tc>
          <w:tcPr>
            <w:tcW w:w="52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二类城镇住宅用地</w:t>
            </w:r>
          </w:p>
        </w:tc>
        <w:tc>
          <w:tcPr>
            <w:tcW w:w="47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0.44</w:t>
            </w:r>
          </w:p>
        </w:tc>
        <w:tc>
          <w:tcPr>
            <w:tcW w:w="263"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63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70" w:hRule="atLeast"/>
        </w:trPr>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HB-04-13</w:t>
            </w:r>
          </w:p>
        </w:tc>
        <w:tc>
          <w:tcPr>
            <w:tcW w:w="31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0801</w:t>
            </w:r>
          </w:p>
        </w:tc>
        <w:tc>
          <w:tcPr>
            <w:tcW w:w="52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机关团体用地</w:t>
            </w:r>
          </w:p>
        </w:tc>
        <w:tc>
          <w:tcPr>
            <w:tcW w:w="47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0.41</w:t>
            </w:r>
          </w:p>
        </w:tc>
        <w:tc>
          <w:tcPr>
            <w:tcW w:w="263"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63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现状政府、派出所保留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5" w:hRule="atLeast"/>
        </w:trPr>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HB-04-14</w:t>
            </w:r>
          </w:p>
        </w:tc>
        <w:tc>
          <w:tcPr>
            <w:tcW w:w="31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70102</w:t>
            </w:r>
          </w:p>
        </w:tc>
        <w:tc>
          <w:tcPr>
            <w:tcW w:w="52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二类城镇住宅用地</w:t>
            </w:r>
          </w:p>
        </w:tc>
        <w:tc>
          <w:tcPr>
            <w:tcW w:w="47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0.28</w:t>
            </w:r>
          </w:p>
        </w:tc>
        <w:tc>
          <w:tcPr>
            <w:tcW w:w="263"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63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5" w:hRule="atLeast"/>
        </w:trPr>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HB-04-15</w:t>
            </w:r>
          </w:p>
        </w:tc>
        <w:tc>
          <w:tcPr>
            <w:tcW w:w="31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70102</w:t>
            </w:r>
          </w:p>
        </w:tc>
        <w:tc>
          <w:tcPr>
            <w:tcW w:w="52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二类城镇住宅用地</w:t>
            </w:r>
          </w:p>
        </w:tc>
        <w:tc>
          <w:tcPr>
            <w:tcW w:w="47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0.27</w:t>
            </w:r>
          </w:p>
        </w:tc>
        <w:tc>
          <w:tcPr>
            <w:tcW w:w="263"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63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70" w:hRule="atLeast"/>
        </w:trPr>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HB-04-16</w:t>
            </w:r>
          </w:p>
        </w:tc>
        <w:tc>
          <w:tcPr>
            <w:tcW w:w="31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90102</w:t>
            </w:r>
          </w:p>
        </w:tc>
        <w:tc>
          <w:tcPr>
            <w:tcW w:w="52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批发市场用地</w:t>
            </w:r>
          </w:p>
        </w:tc>
        <w:tc>
          <w:tcPr>
            <w:tcW w:w="47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0.69</w:t>
            </w:r>
          </w:p>
        </w:tc>
        <w:tc>
          <w:tcPr>
            <w:tcW w:w="263"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≤50</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≥20</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24</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63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1.5车位/100㎡建筑面积</w:t>
            </w:r>
          </w:p>
        </w:tc>
        <w:tc>
          <w:tcPr>
            <w:tcW w:w="5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现状市场扩建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70" w:hRule="atLeast"/>
        </w:trPr>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HB-04-17</w:t>
            </w:r>
          </w:p>
        </w:tc>
        <w:tc>
          <w:tcPr>
            <w:tcW w:w="31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110102</w:t>
            </w:r>
          </w:p>
        </w:tc>
        <w:tc>
          <w:tcPr>
            <w:tcW w:w="52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二类物流仓储用地</w:t>
            </w:r>
          </w:p>
        </w:tc>
        <w:tc>
          <w:tcPr>
            <w:tcW w:w="47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0.65</w:t>
            </w:r>
          </w:p>
        </w:tc>
        <w:tc>
          <w:tcPr>
            <w:tcW w:w="263"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≤50</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≤20</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20</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63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1.5车位/100㎡建筑面积</w:t>
            </w:r>
          </w:p>
        </w:tc>
        <w:tc>
          <w:tcPr>
            <w:tcW w:w="5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存量土地（规划新增）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5" w:hRule="atLeast"/>
        </w:trPr>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HB-04-18</w:t>
            </w:r>
          </w:p>
        </w:tc>
        <w:tc>
          <w:tcPr>
            <w:tcW w:w="31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1402</w:t>
            </w:r>
          </w:p>
        </w:tc>
        <w:tc>
          <w:tcPr>
            <w:tcW w:w="52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防护绿地</w:t>
            </w:r>
          </w:p>
        </w:tc>
        <w:tc>
          <w:tcPr>
            <w:tcW w:w="47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0.06</w:t>
            </w:r>
          </w:p>
        </w:tc>
        <w:tc>
          <w:tcPr>
            <w:tcW w:w="263"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63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5" w:hRule="atLeast"/>
        </w:trPr>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HB-04-19</w:t>
            </w:r>
          </w:p>
        </w:tc>
        <w:tc>
          <w:tcPr>
            <w:tcW w:w="31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1402</w:t>
            </w:r>
          </w:p>
        </w:tc>
        <w:tc>
          <w:tcPr>
            <w:tcW w:w="52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防护绿地</w:t>
            </w:r>
          </w:p>
        </w:tc>
        <w:tc>
          <w:tcPr>
            <w:tcW w:w="47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0.06</w:t>
            </w:r>
          </w:p>
        </w:tc>
        <w:tc>
          <w:tcPr>
            <w:tcW w:w="263"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63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70" w:hRule="atLeast"/>
        </w:trPr>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HB-04-20</w:t>
            </w:r>
          </w:p>
        </w:tc>
        <w:tc>
          <w:tcPr>
            <w:tcW w:w="31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100102</w:t>
            </w:r>
          </w:p>
        </w:tc>
        <w:tc>
          <w:tcPr>
            <w:tcW w:w="526"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二类工业用地</w:t>
            </w:r>
          </w:p>
        </w:tc>
        <w:tc>
          <w:tcPr>
            <w:tcW w:w="47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1.19</w:t>
            </w:r>
          </w:p>
        </w:tc>
        <w:tc>
          <w:tcPr>
            <w:tcW w:w="263"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≤50</w:t>
            </w:r>
          </w:p>
        </w:tc>
        <w:tc>
          <w:tcPr>
            <w:tcW w:w="369"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≤20</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20</w:t>
            </w:r>
          </w:p>
        </w:tc>
        <w:tc>
          <w:tcPr>
            <w:tcW w:w="52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63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存量土地（规划新增）</w:t>
            </w:r>
          </w:p>
        </w:tc>
      </w:tr>
    </w:tbl>
    <w:p>
      <w:pPr>
        <w:pStyle w:val="31"/>
        <w:spacing w:beforeLines="50" w:afterLines="50"/>
        <w:jc w:val="left"/>
        <w:rPr>
          <w:rFonts w:eastAsia="宋体" w:asciiTheme="minorEastAsia" w:hAnsiTheme="minorEastAsia"/>
          <w:b w:val="0"/>
          <w:sz w:val="24"/>
          <w:szCs w:val="24"/>
        </w:rPr>
      </w:pPr>
      <w:bookmarkStart w:id="46" w:name="_Toc166772195"/>
      <w:r>
        <w:rPr>
          <w:rFonts w:hint="eastAsia" w:eastAsia="宋体" w:asciiTheme="minorEastAsia" w:hAnsiTheme="minorEastAsia"/>
          <w:b w:val="0"/>
          <w:sz w:val="24"/>
          <w:szCs w:val="24"/>
        </w:rPr>
        <w:t>表11</w:t>
      </w:r>
      <w:r>
        <w:rPr>
          <w:rFonts w:eastAsia="宋体" w:asciiTheme="minorEastAsia" w:hAnsiTheme="minorEastAsia"/>
          <w:b w:val="0"/>
          <w:sz w:val="24"/>
          <w:szCs w:val="24"/>
        </w:rPr>
        <w:t>象山镇镇区城镇建设用地规划表</w:t>
      </w:r>
      <w:bookmarkEnd w:id="46"/>
    </w:p>
    <w:tbl>
      <w:tblPr>
        <w:tblStyle w:val="16"/>
        <w:tblW w:w="5000" w:type="pct"/>
        <w:tblInd w:w="0" w:type="dxa"/>
        <w:tblLayout w:type="autofit"/>
        <w:tblCellMar>
          <w:top w:w="0" w:type="dxa"/>
          <w:left w:w="108" w:type="dxa"/>
          <w:bottom w:w="0" w:type="dxa"/>
          <w:right w:w="108" w:type="dxa"/>
        </w:tblCellMar>
      </w:tblPr>
      <w:tblGrid>
        <w:gridCol w:w="2567"/>
        <w:gridCol w:w="2836"/>
        <w:gridCol w:w="2564"/>
        <w:gridCol w:w="1496"/>
        <w:gridCol w:w="1074"/>
        <w:gridCol w:w="1687"/>
        <w:gridCol w:w="1230"/>
      </w:tblGrid>
      <w:tr>
        <w:tblPrEx>
          <w:tblCellMar>
            <w:top w:w="0" w:type="dxa"/>
            <w:left w:w="108" w:type="dxa"/>
            <w:bottom w:w="0" w:type="dxa"/>
            <w:right w:w="108" w:type="dxa"/>
          </w:tblCellMar>
        </w:tblPrEx>
        <w:trPr>
          <w:trHeight w:val="270" w:hRule="atLeast"/>
        </w:trPr>
        <w:tc>
          <w:tcPr>
            <w:tcW w:w="954"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一级类</w:t>
            </w:r>
          </w:p>
        </w:tc>
        <w:tc>
          <w:tcPr>
            <w:tcW w:w="1054"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二级类</w:t>
            </w:r>
          </w:p>
        </w:tc>
        <w:tc>
          <w:tcPr>
            <w:tcW w:w="953"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三级类</w:t>
            </w:r>
          </w:p>
        </w:tc>
        <w:tc>
          <w:tcPr>
            <w:tcW w:w="955" w:type="pct"/>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规划基期年</w:t>
            </w:r>
          </w:p>
        </w:tc>
        <w:tc>
          <w:tcPr>
            <w:tcW w:w="1084" w:type="pct"/>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规划目标年</w:t>
            </w:r>
          </w:p>
        </w:tc>
      </w:tr>
      <w:tr>
        <w:tblPrEx>
          <w:tblCellMar>
            <w:top w:w="0" w:type="dxa"/>
            <w:left w:w="108" w:type="dxa"/>
            <w:bottom w:w="0" w:type="dxa"/>
            <w:right w:w="108" w:type="dxa"/>
          </w:tblCellMar>
        </w:tblPrEx>
        <w:trPr>
          <w:trHeight w:val="270" w:hRule="atLeast"/>
        </w:trPr>
        <w:tc>
          <w:tcPr>
            <w:tcW w:w="954" w:type="pct"/>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cs="宋体" w:asciiTheme="minorEastAsia" w:hAnsiTheme="minorEastAsia"/>
                <w:color w:val="000000"/>
                <w:kern w:val="0"/>
                <w:szCs w:val="21"/>
              </w:rPr>
            </w:pPr>
          </w:p>
        </w:tc>
        <w:tc>
          <w:tcPr>
            <w:tcW w:w="1054" w:type="pct"/>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cs="宋体" w:asciiTheme="minorEastAsia" w:hAnsiTheme="minorEastAsia"/>
                <w:color w:val="000000"/>
                <w:kern w:val="0"/>
                <w:szCs w:val="21"/>
              </w:rPr>
            </w:pPr>
          </w:p>
        </w:tc>
        <w:tc>
          <w:tcPr>
            <w:tcW w:w="953" w:type="pct"/>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cs="宋体" w:asciiTheme="minorEastAsia" w:hAnsiTheme="minorEastAsia"/>
                <w:color w:val="000000"/>
                <w:kern w:val="0"/>
                <w:szCs w:val="21"/>
              </w:rPr>
            </w:pPr>
          </w:p>
        </w:tc>
        <w:tc>
          <w:tcPr>
            <w:tcW w:w="55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面积（公顷）</w:t>
            </w:r>
          </w:p>
        </w:tc>
        <w:tc>
          <w:tcPr>
            <w:tcW w:w="399"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比例（%）</w:t>
            </w:r>
          </w:p>
        </w:tc>
        <w:tc>
          <w:tcPr>
            <w:tcW w:w="6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面积（公顷）</w:t>
            </w:r>
          </w:p>
        </w:tc>
        <w:tc>
          <w:tcPr>
            <w:tcW w:w="457"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比例（%）</w:t>
            </w:r>
          </w:p>
        </w:tc>
      </w:tr>
      <w:tr>
        <w:tblPrEx>
          <w:tblCellMar>
            <w:top w:w="0" w:type="dxa"/>
            <w:left w:w="108" w:type="dxa"/>
            <w:bottom w:w="0" w:type="dxa"/>
            <w:right w:w="108" w:type="dxa"/>
          </w:tblCellMar>
        </w:tblPrEx>
        <w:trPr>
          <w:trHeight w:val="270" w:hRule="atLeast"/>
        </w:trPr>
        <w:tc>
          <w:tcPr>
            <w:tcW w:w="954"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耕地</w:t>
            </w:r>
          </w:p>
        </w:tc>
        <w:tc>
          <w:tcPr>
            <w:tcW w:w="1054"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旱地</w:t>
            </w:r>
          </w:p>
        </w:tc>
        <w:tc>
          <w:tcPr>
            <w:tcW w:w="95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c>
          <w:tcPr>
            <w:tcW w:w="55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2.16</w:t>
            </w:r>
          </w:p>
        </w:tc>
        <w:tc>
          <w:tcPr>
            <w:tcW w:w="399"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3.86</w:t>
            </w:r>
          </w:p>
        </w:tc>
        <w:tc>
          <w:tcPr>
            <w:tcW w:w="6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c>
          <w:tcPr>
            <w:tcW w:w="457"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r>
      <w:tr>
        <w:tblPrEx>
          <w:tblCellMar>
            <w:top w:w="0" w:type="dxa"/>
            <w:left w:w="108" w:type="dxa"/>
            <w:bottom w:w="0" w:type="dxa"/>
            <w:right w:w="108" w:type="dxa"/>
          </w:tblCellMar>
        </w:tblPrEx>
        <w:trPr>
          <w:trHeight w:val="270" w:hRule="atLeast"/>
        </w:trPr>
        <w:tc>
          <w:tcPr>
            <w:tcW w:w="954" w:type="pct"/>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color w:val="000000"/>
                <w:kern w:val="0"/>
                <w:szCs w:val="21"/>
              </w:rPr>
            </w:pPr>
          </w:p>
        </w:tc>
        <w:tc>
          <w:tcPr>
            <w:tcW w:w="2007" w:type="pct"/>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小计</w:t>
            </w:r>
          </w:p>
        </w:tc>
        <w:tc>
          <w:tcPr>
            <w:tcW w:w="55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2.16</w:t>
            </w:r>
          </w:p>
        </w:tc>
        <w:tc>
          <w:tcPr>
            <w:tcW w:w="39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3.86</w:t>
            </w:r>
          </w:p>
        </w:tc>
        <w:tc>
          <w:tcPr>
            <w:tcW w:w="6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c>
          <w:tcPr>
            <w:tcW w:w="45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r>
      <w:tr>
        <w:tblPrEx>
          <w:tblCellMar>
            <w:top w:w="0" w:type="dxa"/>
            <w:left w:w="108" w:type="dxa"/>
            <w:bottom w:w="0" w:type="dxa"/>
            <w:right w:w="108" w:type="dxa"/>
          </w:tblCellMar>
        </w:tblPrEx>
        <w:trPr>
          <w:trHeight w:val="270" w:hRule="atLeast"/>
        </w:trPr>
        <w:tc>
          <w:tcPr>
            <w:tcW w:w="954"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园地</w:t>
            </w:r>
          </w:p>
        </w:tc>
        <w:tc>
          <w:tcPr>
            <w:tcW w:w="1054"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果园</w:t>
            </w:r>
          </w:p>
        </w:tc>
        <w:tc>
          <w:tcPr>
            <w:tcW w:w="95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c>
          <w:tcPr>
            <w:tcW w:w="55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0.01</w:t>
            </w:r>
          </w:p>
        </w:tc>
        <w:tc>
          <w:tcPr>
            <w:tcW w:w="399"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0.03</w:t>
            </w:r>
          </w:p>
        </w:tc>
        <w:tc>
          <w:tcPr>
            <w:tcW w:w="6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c>
          <w:tcPr>
            <w:tcW w:w="457"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r>
      <w:tr>
        <w:tblPrEx>
          <w:tblCellMar>
            <w:top w:w="0" w:type="dxa"/>
            <w:left w:w="108" w:type="dxa"/>
            <w:bottom w:w="0" w:type="dxa"/>
            <w:right w:w="108" w:type="dxa"/>
          </w:tblCellMar>
        </w:tblPrEx>
        <w:trPr>
          <w:trHeight w:val="270" w:hRule="atLeast"/>
        </w:trPr>
        <w:tc>
          <w:tcPr>
            <w:tcW w:w="954" w:type="pct"/>
            <w:vMerge w:val="continue"/>
            <w:tcBorders>
              <w:top w:val="nil"/>
              <w:left w:val="single" w:color="auto" w:sz="4" w:space="0"/>
              <w:bottom w:val="single" w:color="000000" w:sz="4" w:space="0"/>
              <w:right w:val="single" w:color="auto" w:sz="4" w:space="0"/>
            </w:tcBorders>
            <w:vAlign w:val="center"/>
          </w:tcPr>
          <w:p>
            <w:pPr>
              <w:widowControl/>
              <w:jc w:val="center"/>
              <w:rPr>
                <w:rFonts w:cs="宋体" w:asciiTheme="minorEastAsia" w:hAnsiTheme="minorEastAsia"/>
                <w:color w:val="000000"/>
                <w:kern w:val="0"/>
                <w:szCs w:val="21"/>
              </w:rPr>
            </w:pPr>
          </w:p>
        </w:tc>
        <w:tc>
          <w:tcPr>
            <w:tcW w:w="2007" w:type="pct"/>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小计</w:t>
            </w:r>
          </w:p>
        </w:tc>
        <w:tc>
          <w:tcPr>
            <w:tcW w:w="55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0.01</w:t>
            </w:r>
          </w:p>
        </w:tc>
        <w:tc>
          <w:tcPr>
            <w:tcW w:w="39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0.03</w:t>
            </w:r>
          </w:p>
        </w:tc>
        <w:tc>
          <w:tcPr>
            <w:tcW w:w="6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c>
          <w:tcPr>
            <w:tcW w:w="45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r>
      <w:tr>
        <w:tblPrEx>
          <w:tblCellMar>
            <w:top w:w="0" w:type="dxa"/>
            <w:left w:w="108" w:type="dxa"/>
            <w:bottom w:w="0" w:type="dxa"/>
            <w:right w:w="108" w:type="dxa"/>
          </w:tblCellMar>
        </w:tblPrEx>
        <w:trPr>
          <w:trHeight w:val="270" w:hRule="atLeast"/>
        </w:trPr>
        <w:tc>
          <w:tcPr>
            <w:tcW w:w="954"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林地</w:t>
            </w:r>
          </w:p>
        </w:tc>
        <w:tc>
          <w:tcPr>
            <w:tcW w:w="1054"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乔木林地</w:t>
            </w:r>
          </w:p>
        </w:tc>
        <w:tc>
          <w:tcPr>
            <w:tcW w:w="95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c>
          <w:tcPr>
            <w:tcW w:w="55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2.37</w:t>
            </w:r>
          </w:p>
        </w:tc>
        <w:tc>
          <w:tcPr>
            <w:tcW w:w="399"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4.25</w:t>
            </w:r>
          </w:p>
        </w:tc>
        <w:tc>
          <w:tcPr>
            <w:tcW w:w="6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c>
          <w:tcPr>
            <w:tcW w:w="457"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r>
      <w:tr>
        <w:tblPrEx>
          <w:tblCellMar>
            <w:top w:w="0" w:type="dxa"/>
            <w:left w:w="108" w:type="dxa"/>
            <w:bottom w:w="0" w:type="dxa"/>
            <w:right w:w="108" w:type="dxa"/>
          </w:tblCellMar>
        </w:tblPrEx>
        <w:trPr>
          <w:trHeight w:val="270" w:hRule="atLeast"/>
        </w:trPr>
        <w:tc>
          <w:tcPr>
            <w:tcW w:w="954" w:type="pct"/>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color w:val="000000"/>
                <w:kern w:val="0"/>
                <w:szCs w:val="21"/>
              </w:rPr>
            </w:pPr>
          </w:p>
        </w:tc>
        <w:tc>
          <w:tcPr>
            <w:tcW w:w="1054"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竹林地</w:t>
            </w:r>
          </w:p>
        </w:tc>
        <w:tc>
          <w:tcPr>
            <w:tcW w:w="95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c>
          <w:tcPr>
            <w:tcW w:w="55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0.52</w:t>
            </w:r>
          </w:p>
        </w:tc>
        <w:tc>
          <w:tcPr>
            <w:tcW w:w="399"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0.93</w:t>
            </w:r>
          </w:p>
        </w:tc>
        <w:tc>
          <w:tcPr>
            <w:tcW w:w="6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c>
          <w:tcPr>
            <w:tcW w:w="457"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r>
      <w:tr>
        <w:tblPrEx>
          <w:tblCellMar>
            <w:top w:w="0" w:type="dxa"/>
            <w:left w:w="108" w:type="dxa"/>
            <w:bottom w:w="0" w:type="dxa"/>
            <w:right w:w="108" w:type="dxa"/>
          </w:tblCellMar>
        </w:tblPrEx>
        <w:trPr>
          <w:trHeight w:val="270" w:hRule="atLeast"/>
        </w:trPr>
        <w:tc>
          <w:tcPr>
            <w:tcW w:w="954" w:type="pct"/>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color w:val="000000"/>
                <w:kern w:val="0"/>
                <w:szCs w:val="21"/>
              </w:rPr>
            </w:pPr>
          </w:p>
        </w:tc>
        <w:tc>
          <w:tcPr>
            <w:tcW w:w="1054"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灌木林地</w:t>
            </w:r>
          </w:p>
        </w:tc>
        <w:tc>
          <w:tcPr>
            <w:tcW w:w="95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c>
          <w:tcPr>
            <w:tcW w:w="55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0.13</w:t>
            </w:r>
          </w:p>
        </w:tc>
        <w:tc>
          <w:tcPr>
            <w:tcW w:w="399"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0.24</w:t>
            </w:r>
          </w:p>
        </w:tc>
        <w:tc>
          <w:tcPr>
            <w:tcW w:w="6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c>
          <w:tcPr>
            <w:tcW w:w="457"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r>
      <w:tr>
        <w:tblPrEx>
          <w:tblCellMar>
            <w:top w:w="0" w:type="dxa"/>
            <w:left w:w="108" w:type="dxa"/>
            <w:bottom w:w="0" w:type="dxa"/>
            <w:right w:w="108" w:type="dxa"/>
          </w:tblCellMar>
        </w:tblPrEx>
        <w:trPr>
          <w:trHeight w:val="270" w:hRule="atLeast"/>
        </w:trPr>
        <w:tc>
          <w:tcPr>
            <w:tcW w:w="954" w:type="pct"/>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color w:val="000000"/>
                <w:kern w:val="0"/>
                <w:szCs w:val="21"/>
              </w:rPr>
            </w:pPr>
          </w:p>
        </w:tc>
        <w:tc>
          <w:tcPr>
            <w:tcW w:w="2007" w:type="pct"/>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小计</w:t>
            </w:r>
          </w:p>
        </w:tc>
        <w:tc>
          <w:tcPr>
            <w:tcW w:w="55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3.03</w:t>
            </w:r>
          </w:p>
        </w:tc>
        <w:tc>
          <w:tcPr>
            <w:tcW w:w="39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5.42</w:t>
            </w:r>
          </w:p>
        </w:tc>
        <w:tc>
          <w:tcPr>
            <w:tcW w:w="6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c>
          <w:tcPr>
            <w:tcW w:w="45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r>
      <w:tr>
        <w:tblPrEx>
          <w:tblCellMar>
            <w:top w:w="0" w:type="dxa"/>
            <w:left w:w="108" w:type="dxa"/>
            <w:bottom w:w="0" w:type="dxa"/>
            <w:right w:w="108" w:type="dxa"/>
          </w:tblCellMar>
        </w:tblPrEx>
        <w:trPr>
          <w:trHeight w:val="270" w:hRule="atLeast"/>
        </w:trPr>
        <w:tc>
          <w:tcPr>
            <w:tcW w:w="954"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草地</w:t>
            </w:r>
          </w:p>
        </w:tc>
        <w:tc>
          <w:tcPr>
            <w:tcW w:w="1054"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其他草地</w:t>
            </w:r>
          </w:p>
        </w:tc>
        <w:tc>
          <w:tcPr>
            <w:tcW w:w="95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c>
          <w:tcPr>
            <w:tcW w:w="55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0.33</w:t>
            </w:r>
          </w:p>
        </w:tc>
        <w:tc>
          <w:tcPr>
            <w:tcW w:w="399"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0.59</w:t>
            </w:r>
          </w:p>
        </w:tc>
        <w:tc>
          <w:tcPr>
            <w:tcW w:w="6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c>
          <w:tcPr>
            <w:tcW w:w="457"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r>
      <w:tr>
        <w:tblPrEx>
          <w:tblCellMar>
            <w:top w:w="0" w:type="dxa"/>
            <w:left w:w="108" w:type="dxa"/>
            <w:bottom w:w="0" w:type="dxa"/>
            <w:right w:w="108" w:type="dxa"/>
          </w:tblCellMar>
        </w:tblPrEx>
        <w:trPr>
          <w:trHeight w:val="270" w:hRule="atLeast"/>
        </w:trPr>
        <w:tc>
          <w:tcPr>
            <w:tcW w:w="954" w:type="pct"/>
            <w:vMerge w:val="continue"/>
            <w:tcBorders>
              <w:top w:val="nil"/>
              <w:left w:val="single" w:color="auto" w:sz="4" w:space="0"/>
              <w:bottom w:val="single" w:color="000000" w:sz="4" w:space="0"/>
              <w:right w:val="single" w:color="auto" w:sz="4" w:space="0"/>
            </w:tcBorders>
            <w:vAlign w:val="center"/>
          </w:tcPr>
          <w:p>
            <w:pPr>
              <w:widowControl/>
              <w:jc w:val="center"/>
              <w:rPr>
                <w:rFonts w:cs="宋体" w:asciiTheme="minorEastAsia" w:hAnsiTheme="minorEastAsia"/>
                <w:color w:val="000000"/>
                <w:kern w:val="0"/>
                <w:szCs w:val="21"/>
              </w:rPr>
            </w:pPr>
          </w:p>
        </w:tc>
        <w:tc>
          <w:tcPr>
            <w:tcW w:w="2007" w:type="pct"/>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小计</w:t>
            </w:r>
          </w:p>
        </w:tc>
        <w:tc>
          <w:tcPr>
            <w:tcW w:w="55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0.33</w:t>
            </w:r>
          </w:p>
        </w:tc>
        <w:tc>
          <w:tcPr>
            <w:tcW w:w="39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0.59</w:t>
            </w:r>
          </w:p>
        </w:tc>
        <w:tc>
          <w:tcPr>
            <w:tcW w:w="6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c>
          <w:tcPr>
            <w:tcW w:w="45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r>
      <w:tr>
        <w:tblPrEx>
          <w:tblCellMar>
            <w:top w:w="0" w:type="dxa"/>
            <w:left w:w="108" w:type="dxa"/>
            <w:bottom w:w="0" w:type="dxa"/>
            <w:right w:w="108" w:type="dxa"/>
          </w:tblCellMar>
        </w:tblPrEx>
        <w:trPr>
          <w:trHeight w:val="270" w:hRule="atLeast"/>
        </w:trPr>
        <w:tc>
          <w:tcPr>
            <w:tcW w:w="954"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农业设施建设用地</w:t>
            </w:r>
          </w:p>
        </w:tc>
        <w:tc>
          <w:tcPr>
            <w:tcW w:w="1054"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乡村道路用地</w:t>
            </w:r>
          </w:p>
        </w:tc>
        <w:tc>
          <w:tcPr>
            <w:tcW w:w="953"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村道用地</w:t>
            </w:r>
          </w:p>
        </w:tc>
        <w:tc>
          <w:tcPr>
            <w:tcW w:w="55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0.16</w:t>
            </w:r>
          </w:p>
        </w:tc>
        <w:tc>
          <w:tcPr>
            <w:tcW w:w="399"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0.29</w:t>
            </w:r>
          </w:p>
        </w:tc>
        <w:tc>
          <w:tcPr>
            <w:tcW w:w="6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c>
          <w:tcPr>
            <w:tcW w:w="457"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r>
      <w:tr>
        <w:tblPrEx>
          <w:tblCellMar>
            <w:top w:w="0" w:type="dxa"/>
            <w:left w:w="108" w:type="dxa"/>
            <w:bottom w:w="0" w:type="dxa"/>
            <w:right w:w="108" w:type="dxa"/>
          </w:tblCellMar>
        </w:tblPrEx>
        <w:trPr>
          <w:trHeight w:val="270" w:hRule="atLeast"/>
        </w:trPr>
        <w:tc>
          <w:tcPr>
            <w:tcW w:w="954" w:type="pct"/>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color w:val="000000"/>
                <w:kern w:val="0"/>
                <w:szCs w:val="21"/>
              </w:rPr>
            </w:pPr>
          </w:p>
        </w:tc>
        <w:tc>
          <w:tcPr>
            <w:tcW w:w="1054" w:type="pct"/>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color w:val="000000"/>
                <w:kern w:val="0"/>
                <w:szCs w:val="21"/>
              </w:rPr>
            </w:pPr>
          </w:p>
        </w:tc>
        <w:tc>
          <w:tcPr>
            <w:tcW w:w="95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村庄内部道路用地</w:t>
            </w:r>
          </w:p>
        </w:tc>
        <w:tc>
          <w:tcPr>
            <w:tcW w:w="55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0.02</w:t>
            </w:r>
          </w:p>
        </w:tc>
        <w:tc>
          <w:tcPr>
            <w:tcW w:w="399"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0.03</w:t>
            </w:r>
          </w:p>
        </w:tc>
        <w:tc>
          <w:tcPr>
            <w:tcW w:w="6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c>
          <w:tcPr>
            <w:tcW w:w="457"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r>
      <w:tr>
        <w:tblPrEx>
          <w:tblCellMar>
            <w:top w:w="0" w:type="dxa"/>
            <w:left w:w="108" w:type="dxa"/>
            <w:bottom w:w="0" w:type="dxa"/>
            <w:right w:w="108" w:type="dxa"/>
          </w:tblCellMar>
        </w:tblPrEx>
        <w:trPr>
          <w:trHeight w:val="270" w:hRule="atLeast"/>
        </w:trPr>
        <w:tc>
          <w:tcPr>
            <w:tcW w:w="954" w:type="pct"/>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color w:val="000000"/>
                <w:kern w:val="0"/>
                <w:szCs w:val="21"/>
              </w:rPr>
            </w:pPr>
          </w:p>
        </w:tc>
        <w:tc>
          <w:tcPr>
            <w:tcW w:w="2007" w:type="pct"/>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小计</w:t>
            </w:r>
          </w:p>
        </w:tc>
        <w:tc>
          <w:tcPr>
            <w:tcW w:w="55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0.18</w:t>
            </w:r>
          </w:p>
        </w:tc>
        <w:tc>
          <w:tcPr>
            <w:tcW w:w="39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0.32</w:t>
            </w:r>
          </w:p>
        </w:tc>
        <w:tc>
          <w:tcPr>
            <w:tcW w:w="6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c>
          <w:tcPr>
            <w:tcW w:w="45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r>
      <w:tr>
        <w:tblPrEx>
          <w:tblCellMar>
            <w:top w:w="0" w:type="dxa"/>
            <w:left w:w="108" w:type="dxa"/>
            <w:bottom w:w="0" w:type="dxa"/>
            <w:right w:w="108" w:type="dxa"/>
          </w:tblCellMar>
        </w:tblPrEx>
        <w:trPr>
          <w:trHeight w:val="270" w:hRule="atLeast"/>
        </w:trPr>
        <w:tc>
          <w:tcPr>
            <w:tcW w:w="954"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居住用地</w:t>
            </w:r>
          </w:p>
        </w:tc>
        <w:tc>
          <w:tcPr>
            <w:tcW w:w="1054"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城镇住宅用地</w:t>
            </w:r>
          </w:p>
        </w:tc>
        <w:tc>
          <w:tcPr>
            <w:tcW w:w="953"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二类城镇住宅用地</w:t>
            </w:r>
          </w:p>
        </w:tc>
        <w:tc>
          <w:tcPr>
            <w:tcW w:w="55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19.89</w:t>
            </w:r>
          </w:p>
        </w:tc>
        <w:tc>
          <w:tcPr>
            <w:tcW w:w="399"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35.60</w:t>
            </w:r>
          </w:p>
        </w:tc>
        <w:tc>
          <w:tcPr>
            <w:tcW w:w="6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24.74</w:t>
            </w:r>
          </w:p>
        </w:tc>
        <w:tc>
          <w:tcPr>
            <w:tcW w:w="457"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44.28</w:t>
            </w:r>
          </w:p>
        </w:tc>
      </w:tr>
      <w:tr>
        <w:tblPrEx>
          <w:tblCellMar>
            <w:top w:w="0" w:type="dxa"/>
            <w:left w:w="108" w:type="dxa"/>
            <w:bottom w:w="0" w:type="dxa"/>
            <w:right w:w="108" w:type="dxa"/>
          </w:tblCellMar>
        </w:tblPrEx>
        <w:trPr>
          <w:trHeight w:val="270" w:hRule="atLeast"/>
        </w:trPr>
        <w:tc>
          <w:tcPr>
            <w:tcW w:w="954" w:type="pct"/>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color w:val="000000"/>
                <w:kern w:val="0"/>
                <w:szCs w:val="21"/>
              </w:rPr>
            </w:pPr>
          </w:p>
        </w:tc>
        <w:tc>
          <w:tcPr>
            <w:tcW w:w="1054"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农村宅基地</w:t>
            </w:r>
          </w:p>
        </w:tc>
        <w:tc>
          <w:tcPr>
            <w:tcW w:w="95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一类农村宅基地</w:t>
            </w:r>
          </w:p>
        </w:tc>
        <w:tc>
          <w:tcPr>
            <w:tcW w:w="55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5.68</w:t>
            </w:r>
          </w:p>
        </w:tc>
        <w:tc>
          <w:tcPr>
            <w:tcW w:w="399"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10.17</w:t>
            </w:r>
          </w:p>
        </w:tc>
        <w:tc>
          <w:tcPr>
            <w:tcW w:w="6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c>
          <w:tcPr>
            <w:tcW w:w="457"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r>
      <w:tr>
        <w:tblPrEx>
          <w:tblCellMar>
            <w:top w:w="0" w:type="dxa"/>
            <w:left w:w="108" w:type="dxa"/>
            <w:bottom w:w="0" w:type="dxa"/>
            <w:right w:w="108" w:type="dxa"/>
          </w:tblCellMar>
        </w:tblPrEx>
        <w:trPr>
          <w:trHeight w:val="270" w:hRule="atLeast"/>
        </w:trPr>
        <w:tc>
          <w:tcPr>
            <w:tcW w:w="954" w:type="pct"/>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color w:val="000000"/>
                <w:kern w:val="0"/>
                <w:szCs w:val="21"/>
              </w:rPr>
            </w:pPr>
          </w:p>
        </w:tc>
        <w:tc>
          <w:tcPr>
            <w:tcW w:w="2007" w:type="pct"/>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小计</w:t>
            </w:r>
          </w:p>
        </w:tc>
        <w:tc>
          <w:tcPr>
            <w:tcW w:w="55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25.57</w:t>
            </w:r>
          </w:p>
        </w:tc>
        <w:tc>
          <w:tcPr>
            <w:tcW w:w="39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45.77</w:t>
            </w:r>
          </w:p>
        </w:tc>
        <w:tc>
          <w:tcPr>
            <w:tcW w:w="6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24.74</w:t>
            </w:r>
          </w:p>
        </w:tc>
        <w:tc>
          <w:tcPr>
            <w:tcW w:w="45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44.28</w:t>
            </w:r>
          </w:p>
        </w:tc>
      </w:tr>
      <w:tr>
        <w:tblPrEx>
          <w:tblCellMar>
            <w:top w:w="0" w:type="dxa"/>
            <w:left w:w="108" w:type="dxa"/>
            <w:bottom w:w="0" w:type="dxa"/>
            <w:right w:w="108" w:type="dxa"/>
          </w:tblCellMar>
        </w:tblPrEx>
        <w:trPr>
          <w:trHeight w:val="270" w:hRule="atLeast"/>
        </w:trPr>
        <w:tc>
          <w:tcPr>
            <w:tcW w:w="954"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公共管理与公共服务设施用地</w:t>
            </w:r>
          </w:p>
        </w:tc>
        <w:tc>
          <w:tcPr>
            <w:tcW w:w="1054"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机关团体用地</w:t>
            </w:r>
          </w:p>
        </w:tc>
        <w:tc>
          <w:tcPr>
            <w:tcW w:w="95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c>
          <w:tcPr>
            <w:tcW w:w="55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0.56</w:t>
            </w:r>
          </w:p>
        </w:tc>
        <w:tc>
          <w:tcPr>
            <w:tcW w:w="399"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1.00</w:t>
            </w:r>
          </w:p>
        </w:tc>
        <w:tc>
          <w:tcPr>
            <w:tcW w:w="6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1.14</w:t>
            </w:r>
          </w:p>
        </w:tc>
        <w:tc>
          <w:tcPr>
            <w:tcW w:w="457"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2.04</w:t>
            </w:r>
          </w:p>
        </w:tc>
      </w:tr>
      <w:tr>
        <w:tblPrEx>
          <w:tblCellMar>
            <w:top w:w="0" w:type="dxa"/>
            <w:left w:w="108" w:type="dxa"/>
            <w:bottom w:w="0" w:type="dxa"/>
            <w:right w:w="108" w:type="dxa"/>
          </w:tblCellMar>
        </w:tblPrEx>
        <w:trPr>
          <w:trHeight w:val="270" w:hRule="atLeast"/>
        </w:trPr>
        <w:tc>
          <w:tcPr>
            <w:tcW w:w="954" w:type="pct"/>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color w:val="000000"/>
                <w:kern w:val="0"/>
                <w:szCs w:val="21"/>
              </w:rPr>
            </w:pPr>
          </w:p>
        </w:tc>
        <w:tc>
          <w:tcPr>
            <w:tcW w:w="1054"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文化用地</w:t>
            </w:r>
          </w:p>
        </w:tc>
        <w:tc>
          <w:tcPr>
            <w:tcW w:w="95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文化活动用地</w:t>
            </w:r>
          </w:p>
        </w:tc>
        <w:tc>
          <w:tcPr>
            <w:tcW w:w="55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c>
          <w:tcPr>
            <w:tcW w:w="399"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c>
          <w:tcPr>
            <w:tcW w:w="6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0.14</w:t>
            </w:r>
          </w:p>
        </w:tc>
        <w:tc>
          <w:tcPr>
            <w:tcW w:w="457"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0.25</w:t>
            </w:r>
          </w:p>
        </w:tc>
      </w:tr>
      <w:tr>
        <w:tblPrEx>
          <w:tblCellMar>
            <w:top w:w="0" w:type="dxa"/>
            <w:left w:w="108" w:type="dxa"/>
            <w:bottom w:w="0" w:type="dxa"/>
            <w:right w:w="108" w:type="dxa"/>
          </w:tblCellMar>
        </w:tblPrEx>
        <w:trPr>
          <w:trHeight w:val="270" w:hRule="atLeast"/>
        </w:trPr>
        <w:tc>
          <w:tcPr>
            <w:tcW w:w="954" w:type="pct"/>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color w:val="000000"/>
                <w:kern w:val="0"/>
                <w:szCs w:val="21"/>
              </w:rPr>
            </w:pPr>
          </w:p>
        </w:tc>
        <w:tc>
          <w:tcPr>
            <w:tcW w:w="1054"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教育用地</w:t>
            </w:r>
          </w:p>
        </w:tc>
        <w:tc>
          <w:tcPr>
            <w:tcW w:w="95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中小学用地</w:t>
            </w:r>
          </w:p>
        </w:tc>
        <w:tc>
          <w:tcPr>
            <w:tcW w:w="55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6.11</w:t>
            </w:r>
          </w:p>
        </w:tc>
        <w:tc>
          <w:tcPr>
            <w:tcW w:w="399"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10.94</w:t>
            </w:r>
          </w:p>
        </w:tc>
        <w:tc>
          <w:tcPr>
            <w:tcW w:w="6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5.86</w:t>
            </w:r>
          </w:p>
        </w:tc>
        <w:tc>
          <w:tcPr>
            <w:tcW w:w="457"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10.49</w:t>
            </w:r>
          </w:p>
        </w:tc>
      </w:tr>
      <w:tr>
        <w:tblPrEx>
          <w:tblCellMar>
            <w:top w:w="0" w:type="dxa"/>
            <w:left w:w="108" w:type="dxa"/>
            <w:bottom w:w="0" w:type="dxa"/>
            <w:right w:w="108" w:type="dxa"/>
          </w:tblCellMar>
        </w:tblPrEx>
        <w:trPr>
          <w:trHeight w:val="270" w:hRule="atLeast"/>
        </w:trPr>
        <w:tc>
          <w:tcPr>
            <w:tcW w:w="954" w:type="pct"/>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color w:val="000000"/>
                <w:kern w:val="0"/>
                <w:szCs w:val="21"/>
              </w:rPr>
            </w:pPr>
          </w:p>
        </w:tc>
        <w:tc>
          <w:tcPr>
            <w:tcW w:w="1054" w:type="pct"/>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color w:val="000000"/>
                <w:kern w:val="0"/>
                <w:szCs w:val="21"/>
              </w:rPr>
            </w:pPr>
          </w:p>
        </w:tc>
        <w:tc>
          <w:tcPr>
            <w:tcW w:w="95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幼儿园用地</w:t>
            </w:r>
          </w:p>
        </w:tc>
        <w:tc>
          <w:tcPr>
            <w:tcW w:w="55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0.07</w:t>
            </w:r>
          </w:p>
        </w:tc>
        <w:tc>
          <w:tcPr>
            <w:tcW w:w="399"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0.13</w:t>
            </w:r>
          </w:p>
        </w:tc>
        <w:tc>
          <w:tcPr>
            <w:tcW w:w="6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0.96</w:t>
            </w:r>
          </w:p>
        </w:tc>
        <w:tc>
          <w:tcPr>
            <w:tcW w:w="457"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1.72</w:t>
            </w:r>
          </w:p>
        </w:tc>
      </w:tr>
      <w:tr>
        <w:tblPrEx>
          <w:tblCellMar>
            <w:top w:w="0" w:type="dxa"/>
            <w:left w:w="108" w:type="dxa"/>
            <w:bottom w:w="0" w:type="dxa"/>
            <w:right w:w="108" w:type="dxa"/>
          </w:tblCellMar>
        </w:tblPrEx>
        <w:trPr>
          <w:trHeight w:val="270" w:hRule="atLeast"/>
        </w:trPr>
        <w:tc>
          <w:tcPr>
            <w:tcW w:w="954" w:type="pct"/>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color w:val="000000"/>
                <w:kern w:val="0"/>
                <w:szCs w:val="21"/>
              </w:rPr>
            </w:pPr>
          </w:p>
        </w:tc>
        <w:tc>
          <w:tcPr>
            <w:tcW w:w="1054"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体育用地</w:t>
            </w:r>
          </w:p>
        </w:tc>
        <w:tc>
          <w:tcPr>
            <w:tcW w:w="95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体育场馆用地</w:t>
            </w:r>
          </w:p>
        </w:tc>
        <w:tc>
          <w:tcPr>
            <w:tcW w:w="55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c>
          <w:tcPr>
            <w:tcW w:w="399"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c>
          <w:tcPr>
            <w:tcW w:w="6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0.72</w:t>
            </w:r>
          </w:p>
        </w:tc>
        <w:tc>
          <w:tcPr>
            <w:tcW w:w="457"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1.28</w:t>
            </w:r>
          </w:p>
        </w:tc>
      </w:tr>
      <w:tr>
        <w:tblPrEx>
          <w:tblCellMar>
            <w:top w:w="0" w:type="dxa"/>
            <w:left w:w="108" w:type="dxa"/>
            <w:bottom w:w="0" w:type="dxa"/>
            <w:right w:w="108" w:type="dxa"/>
          </w:tblCellMar>
        </w:tblPrEx>
        <w:trPr>
          <w:trHeight w:val="270" w:hRule="atLeast"/>
        </w:trPr>
        <w:tc>
          <w:tcPr>
            <w:tcW w:w="954" w:type="pct"/>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color w:val="000000"/>
                <w:kern w:val="0"/>
                <w:szCs w:val="21"/>
              </w:rPr>
            </w:pPr>
          </w:p>
        </w:tc>
        <w:tc>
          <w:tcPr>
            <w:tcW w:w="1054"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医疗卫生用地</w:t>
            </w:r>
          </w:p>
        </w:tc>
        <w:tc>
          <w:tcPr>
            <w:tcW w:w="95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基层医疗卫生设施用地</w:t>
            </w:r>
          </w:p>
        </w:tc>
        <w:tc>
          <w:tcPr>
            <w:tcW w:w="55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0.32</w:t>
            </w:r>
          </w:p>
        </w:tc>
        <w:tc>
          <w:tcPr>
            <w:tcW w:w="399"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0.57</w:t>
            </w:r>
          </w:p>
        </w:tc>
        <w:tc>
          <w:tcPr>
            <w:tcW w:w="6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0.26</w:t>
            </w:r>
          </w:p>
        </w:tc>
        <w:tc>
          <w:tcPr>
            <w:tcW w:w="457"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0.47</w:t>
            </w:r>
          </w:p>
        </w:tc>
      </w:tr>
      <w:tr>
        <w:tblPrEx>
          <w:tblCellMar>
            <w:top w:w="0" w:type="dxa"/>
            <w:left w:w="108" w:type="dxa"/>
            <w:bottom w:w="0" w:type="dxa"/>
            <w:right w:w="108" w:type="dxa"/>
          </w:tblCellMar>
        </w:tblPrEx>
        <w:trPr>
          <w:trHeight w:val="270" w:hRule="atLeast"/>
        </w:trPr>
        <w:tc>
          <w:tcPr>
            <w:tcW w:w="954" w:type="pct"/>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color w:val="000000"/>
                <w:kern w:val="0"/>
                <w:szCs w:val="21"/>
              </w:rPr>
            </w:pPr>
          </w:p>
        </w:tc>
        <w:tc>
          <w:tcPr>
            <w:tcW w:w="1054" w:type="pct"/>
            <w:vMerge w:val="continue"/>
            <w:tcBorders>
              <w:top w:val="nil"/>
              <w:left w:val="single" w:color="auto" w:sz="4" w:space="0"/>
              <w:bottom w:val="single" w:color="000000" w:sz="4" w:space="0"/>
              <w:right w:val="single" w:color="auto" w:sz="4" w:space="0"/>
            </w:tcBorders>
            <w:vAlign w:val="center"/>
          </w:tcPr>
          <w:p>
            <w:pPr>
              <w:widowControl/>
              <w:jc w:val="center"/>
              <w:rPr>
                <w:rFonts w:cs="宋体" w:asciiTheme="minorEastAsia" w:hAnsiTheme="minorEastAsia"/>
                <w:color w:val="000000"/>
                <w:kern w:val="0"/>
                <w:szCs w:val="21"/>
              </w:rPr>
            </w:pPr>
          </w:p>
        </w:tc>
        <w:tc>
          <w:tcPr>
            <w:tcW w:w="95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公共卫生用地</w:t>
            </w:r>
          </w:p>
        </w:tc>
        <w:tc>
          <w:tcPr>
            <w:tcW w:w="55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c>
          <w:tcPr>
            <w:tcW w:w="399"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c>
          <w:tcPr>
            <w:tcW w:w="6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0.13</w:t>
            </w:r>
          </w:p>
        </w:tc>
        <w:tc>
          <w:tcPr>
            <w:tcW w:w="457"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0.23</w:t>
            </w:r>
          </w:p>
        </w:tc>
      </w:tr>
      <w:tr>
        <w:tblPrEx>
          <w:tblCellMar>
            <w:top w:w="0" w:type="dxa"/>
            <w:left w:w="108" w:type="dxa"/>
            <w:bottom w:w="0" w:type="dxa"/>
            <w:right w:w="108" w:type="dxa"/>
          </w:tblCellMar>
        </w:tblPrEx>
        <w:trPr>
          <w:trHeight w:val="270" w:hRule="atLeast"/>
        </w:trPr>
        <w:tc>
          <w:tcPr>
            <w:tcW w:w="954" w:type="pct"/>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color w:val="000000"/>
                <w:kern w:val="0"/>
                <w:szCs w:val="21"/>
              </w:rPr>
            </w:pPr>
          </w:p>
        </w:tc>
        <w:tc>
          <w:tcPr>
            <w:tcW w:w="1054"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社会福利用地</w:t>
            </w:r>
          </w:p>
        </w:tc>
        <w:tc>
          <w:tcPr>
            <w:tcW w:w="95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老年人社会福利用地</w:t>
            </w:r>
          </w:p>
        </w:tc>
        <w:tc>
          <w:tcPr>
            <w:tcW w:w="55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c>
          <w:tcPr>
            <w:tcW w:w="399"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c>
          <w:tcPr>
            <w:tcW w:w="6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0.54</w:t>
            </w:r>
          </w:p>
        </w:tc>
        <w:tc>
          <w:tcPr>
            <w:tcW w:w="457"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0.97</w:t>
            </w:r>
          </w:p>
        </w:tc>
      </w:tr>
      <w:tr>
        <w:tblPrEx>
          <w:tblCellMar>
            <w:top w:w="0" w:type="dxa"/>
            <w:left w:w="108" w:type="dxa"/>
            <w:bottom w:w="0" w:type="dxa"/>
            <w:right w:w="108" w:type="dxa"/>
          </w:tblCellMar>
        </w:tblPrEx>
        <w:trPr>
          <w:trHeight w:val="270" w:hRule="atLeast"/>
        </w:trPr>
        <w:tc>
          <w:tcPr>
            <w:tcW w:w="954" w:type="pct"/>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color w:val="000000"/>
                <w:kern w:val="0"/>
                <w:szCs w:val="21"/>
              </w:rPr>
            </w:pPr>
          </w:p>
        </w:tc>
        <w:tc>
          <w:tcPr>
            <w:tcW w:w="2007" w:type="pct"/>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小计</w:t>
            </w:r>
          </w:p>
        </w:tc>
        <w:tc>
          <w:tcPr>
            <w:tcW w:w="55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7.07</w:t>
            </w:r>
          </w:p>
        </w:tc>
        <w:tc>
          <w:tcPr>
            <w:tcW w:w="39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12.65</w:t>
            </w:r>
          </w:p>
        </w:tc>
        <w:tc>
          <w:tcPr>
            <w:tcW w:w="6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9.75</w:t>
            </w:r>
          </w:p>
        </w:tc>
        <w:tc>
          <w:tcPr>
            <w:tcW w:w="45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17.46</w:t>
            </w:r>
          </w:p>
        </w:tc>
      </w:tr>
      <w:tr>
        <w:tblPrEx>
          <w:tblCellMar>
            <w:top w:w="0" w:type="dxa"/>
            <w:left w:w="108" w:type="dxa"/>
            <w:bottom w:w="0" w:type="dxa"/>
            <w:right w:w="108" w:type="dxa"/>
          </w:tblCellMar>
        </w:tblPrEx>
        <w:trPr>
          <w:trHeight w:val="270" w:hRule="atLeast"/>
        </w:trPr>
        <w:tc>
          <w:tcPr>
            <w:tcW w:w="954"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商业服务用地</w:t>
            </w:r>
          </w:p>
        </w:tc>
        <w:tc>
          <w:tcPr>
            <w:tcW w:w="1054"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商业用地</w:t>
            </w:r>
          </w:p>
        </w:tc>
        <w:tc>
          <w:tcPr>
            <w:tcW w:w="95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零售商业用地</w:t>
            </w:r>
          </w:p>
        </w:tc>
        <w:tc>
          <w:tcPr>
            <w:tcW w:w="55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c>
          <w:tcPr>
            <w:tcW w:w="399"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c>
          <w:tcPr>
            <w:tcW w:w="6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4.02</w:t>
            </w:r>
          </w:p>
        </w:tc>
        <w:tc>
          <w:tcPr>
            <w:tcW w:w="457"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7.20</w:t>
            </w:r>
          </w:p>
        </w:tc>
      </w:tr>
      <w:tr>
        <w:tblPrEx>
          <w:tblCellMar>
            <w:top w:w="0" w:type="dxa"/>
            <w:left w:w="108" w:type="dxa"/>
            <w:bottom w:w="0" w:type="dxa"/>
            <w:right w:w="108" w:type="dxa"/>
          </w:tblCellMar>
        </w:tblPrEx>
        <w:trPr>
          <w:trHeight w:val="270" w:hRule="atLeast"/>
        </w:trPr>
        <w:tc>
          <w:tcPr>
            <w:tcW w:w="954" w:type="pct"/>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color w:val="000000"/>
                <w:kern w:val="0"/>
                <w:szCs w:val="21"/>
              </w:rPr>
            </w:pPr>
          </w:p>
        </w:tc>
        <w:tc>
          <w:tcPr>
            <w:tcW w:w="1054" w:type="pct"/>
            <w:vMerge w:val="continue"/>
            <w:tcBorders>
              <w:top w:val="nil"/>
              <w:left w:val="single" w:color="auto" w:sz="4" w:space="0"/>
              <w:bottom w:val="single" w:color="000000" w:sz="4" w:space="0"/>
              <w:right w:val="single" w:color="auto" w:sz="4" w:space="0"/>
            </w:tcBorders>
            <w:vAlign w:val="center"/>
          </w:tcPr>
          <w:p>
            <w:pPr>
              <w:widowControl/>
              <w:jc w:val="center"/>
              <w:rPr>
                <w:rFonts w:cs="宋体" w:asciiTheme="minorEastAsia" w:hAnsiTheme="minorEastAsia"/>
                <w:color w:val="000000"/>
                <w:kern w:val="0"/>
                <w:szCs w:val="21"/>
              </w:rPr>
            </w:pPr>
          </w:p>
        </w:tc>
        <w:tc>
          <w:tcPr>
            <w:tcW w:w="95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批发市场用地</w:t>
            </w:r>
          </w:p>
        </w:tc>
        <w:tc>
          <w:tcPr>
            <w:tcW w:w="55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c>
          <w:tcPr>
            <w:tcW w:w="399"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c>
          <w:tcPr>
            <w:tcW w:w="6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1.06</w:t>
            </w:r>
          </w:p>
        </w:tc>
        <w:tc>
          <w:tcPr>
            <w:tcW w:w="457"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1.90</w:t>
            </w:r>
          </w:p>
        </w:tc>
      </w:tr>
      <w:tr>
        <w:tblPrEx>
          <w:tblCellMar>
            <w:top w:w="0" w:type="dxa"/>
            <w:left w:w="108" w:type="dxa"/>
            <w:bottom w:w="0" w:type="dxa"/>
            <w:right w:w="108" w:type="dxa"/>
          </w:tblCellMar>
        </w:tblPrEx>
        <w:trPr>
          <w:trHeight w:val="270" w:hRule="atLeast"/>
        </w:trPr>
        <w:tc>
          <w:tcPr>
            <w:tcW w:w="954" w:type="pct"/>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color w:val="000000"/>
                <w:kern w:val="0"/>
                <w:szCs w:val="21"/>
              </w:rPr>
            </w:pPr>
          </w:p>
        </w:tc>
        <w:tc>
          <w:tcPr>
            <w:tcW w:w="1054" w:type="pct"/>
            <w:vMerge w:val="continue"/>
            <w:tcBorders>
              <w:top w:val="nil"/>
              <w:left w:val="single" w:color="auto" w:sz="4" w:space="0"/>
              <w:bottom w:val="single" w:color="000000" w:sz="4" w:space="0"/>
              <w:right w:val="single" w:color="auto" w:sz="4" w:space="0"/>
            </w:tcBorders>
            <w:vAlign w:val="center"/>
          </w:tcPr>
          <w:p>
            <w:pPr>
              <w:widowControl/>
              <w:jc w:val="center"/>
              <w:rPr>
                <w:rFonts w:cs="宋体" w:asciiTheme="minorEastAsia" w:hAnsiTheme="minorEastAsia"/>
                <w:color w:val="000000"/>
                <w:kern w:val="0"/>
                <w:szCs w:val="21"/>
              </w:rPr>
            </w:pPr>
          </w:p>
        </w:tc>
        <w:tc>
          <w:tcPr>
            <w:tcW w:w="95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公用设施营业网点用地</w:t>
            </w:r>
          </w:p>
        </w:tc>
        <w:tc>
          <w:tcPr>
            <w:tcW w:w="55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c>
          <w:tcPr>
            <w:tcW w:w="399"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c>
          <w:tcPr>
            <w:tcW w:w="6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0.13</w:t>
            </w:r>
          </w:p>
        </w:tc>
        <w:tc>
          <w:tcPr>
            <w:tcW w:w="457"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0.23</w:t>
            </w:r>
          </w:p>
        </w:tc>
      </w:tr>
      <w:tr>
        <w:tblPrEx>
          <w:tblCellMar>
            <w:top w:w="0" w:type="dxa"/>
            <w:left w:w="108" w:type="dxa"/>
            <w:bottom w:w="0" w:type="dxa"/>
            <w:right w:w="108" w:type="dxa"/>
          </w:tblCellMar>
        </w:tblPrEx>
        <w:trPr>
          <w:trHeight w:val="270" w:hRule="atLeast"/>
        </w:trPr>
        <w:tc>
          <w:tcPr>
            <w:tcW w:w="954" w:type="pct"/>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color w:val="000000"/>
                <w:kern w:val="0"/>
                <w:szCs w:val="21"/>
              </w:rPr>
            </w:pPr>
          </w:p>
        </w:tc>
        <w:tc>
          <w:tcPr>
            <w:tcW w:w="2007" w:type="pct"/>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小计</w:t>
            </w:r>
          </w:p>
        </w:tc>
        <w:tc>
          <w:tcPr>
            <w:tcW w:w="55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c>
          <w:tcPr>
            <w:tcW w:w="39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c>
          <w:tcPr>
            <w:tcW w:w="6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5.21</w:t>
            </w:r>
          </w:p>
        </w:tc>
        <w:tc>
          <w:tcPr>
            <w:tcW w:w="45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9.33</w:t>
            </w:r>
          </w:p>
        </w:tc>
      </w:tr>
      <w:tr>
        <w:tblPrEx>
          <w:tblCellMar>
            <w:top w:w="0" w:type="dxa"/>
            <w:left w:w="108" w:type="dxa"/>
            <w:bottom w:w="0" w:type="dxa"/>
            <w:right w:w="108" w:type="dxa"/>
          </w:tblCellMar>
        </w:tblPrEx>
        <w:trPr>
          <w:trHeight w:val="270" w:hRule="atLeast"/>
        </w:trPr>
        <w:tc>
          <w:tcPr>
            <w:tcW w:w="954"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工矿用地</w:t>
            </w:r>
          </w:p>
        </w:tc>
        <w:tc>
          <w:tcPr>
            <w:tcW w:w="1054"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工业用地</w:t>
            </w:r>
          </w:p>
        </w:tc>
        <w:tc>
          <w:tcPr>
            <w:tcW w:w="95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二类工业用地</w:t>
            </w:r>
          </w:p>
        </w:tc>
        <w:tc>
          <w:tcPr>
            <w:tcW w:w="55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1.37</w:t>
            </w:r>
          </w:p>
        </w:tc>
        <w:tc>
          <w:tcPr>
            <w:tcW w:w="399"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2.45</w:t>
            </w:r>
          </w:p>
        </w:tc>
        <w:tc>
          <w:tcPr>
            <w:tcW w:w="6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c>
          <w:tcPr>
            <w:tcW w:w="457"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r>
      <w:tr>
        <w:tblPrEx>
          <w:tblCellMar>
            <w:top w:w="0" w:type="dxa"/>
            <w:left w:w="108" w:type="dxa"/>
            <w:bottom w:w="0" w:type="dxa"/>
            <w:right w:w="108" w:type="dxa"/>
          </w:tblCellMar>
        </w:tblPrEx>
        <w:trPr>
          <w:trHeight w:val="270" w:hRule="atLeast"/>
        </w:trPr>
        <w:tc>
          <w:tcPr>
            <w:tcW w:w="954" w:type="pct"/>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color w:val="000000"/>
                <w:kern w:val="0"/>
                <w:szCs w:val="21"/>
              </w:rPr>
            </w:pPr>
          </w:p>
        </w:tc>
        <w:tc>
          <w:tcPr>
            <w:tcW w:w="1054"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采矿用地</w:t>
            </w:r>
          </w:p>
        </w:tc>
        <w:tc>
          <w:tcPr>
            <w:tcW w:w="95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c>
          <w:tcPr>
            <w:tcW w:w="55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1.70</w:t>
            </w:r>
          </w:p>
        </w:tc>
        <w:tc>
          <w:tcPr>
            <w:tcW w:w="399"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3.05</w:t>
            </w:r>
          </w:p>
        </w:tc>
        <w:tc>
          <w:tcPr>
            <w:tcW w:w="6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c>
          <w:tcPr>
            <w:tcW w:w="457"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r>
      <w:tr>
        <w:tblPrEx>
          <w:tblCellMar>
            <w:top w:w="0" w:type="dxa"/>
            <w:left w:w="108" w:type="dxa"/>
            <w:bottom w:w="0" w:type="dxa"/>
            <w:right w:w="108" w:type="dxa"/>
          </w:tblCellMar>
        </w:tblPrEx>
        <w:trPr>
          <w:trHeight w:val="270" w:hRule="atLeast"/>
        </w:trPr>
        <w:tc>
          <w:tcPr>
            <w:tcW w:w="954" w:type="pct"/>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color w:val="000000"/>
                <w:kern w:val="0"/>
                <w:szCs w:val="21"/>
              </w:rPr>
            </w:pPr>
          </w:p>
        </w:tc>
        <w:tc>
          <w:tcPr>
            <w:tcW w:w="2007" w:type="pct"/>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小计</w:t>
            </w:r>
          </w:p>
        </w:tc>
        <w:tc>
          <w:tcPr>
            <w:tcW w:w="55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3.07</w:t>
            </w:r>
          </w:p>
        </w:tc>
        <w:tc>
          <w:tcPr>
            <w:tcW w:w="39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5.50</w:t>
            </w:r>
          </w:p>
        </w:tc>
        <w:tc>
          <w:tcPr>
            <w:tcW w:w="6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c>
          <w:tcPr>
            <w:tcW w:w="45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r>
      <w:tr>
        <w:tblPrEx>
          <w:tblCellMar>
            <w:top w:w="0" w:type="dxa"/>
            <w:left w:w="108" w:type="dxa"/>
            <w:bottom w:w="0" w:type="dxa"/>
            <w:right w:w="108" w:type="dxa"/>
          </w:tblCellMar>
        </w:tblPrEx>
        <w:trPr>
          <w:trHeight w:val="270" w:hRule="atLeast"/>
        </w:trPr>
        <w:tc>
          <w:tcPr>
            <w:tcW w:w="954"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交通运输用地</w:t>
            </w:r>
          </w:p>
        </w:tc>
        <w:tc>
          <w:tcPr>
            <w:tcW w:w="1054"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公路用地</w:t>
            </w:r>
          </w:p>
        </w:tc>
        <w:tc>
          <w:tcPr>
            <w:tcW w:w="95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c>
          <w:tcPr>
            <w:tcW w:w="55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3.64</w:t>
            </w:r>
          </w:p>
        </w:tc>
        <w:tc>
          <w:tcPr>
            <w:tcW w:w="399"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6.52</w:t>
            </w:r>
          </w:p>
        </w:tc>
        <w:tc>
          <w:tcPr>
            <w:tcW w:w="6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c>
          <w:tcPr>
            <w:tcW w:w="457"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r>
      <w:tr>
        <w:tblPrEx>
          <w:tblCellMar>
            <w:top w:w="0" w:type="dxa"/>
            <w:left w:w="108" w:type="dxa"/>
            <w:bottom w:w="0" w:type="dxa"/>
            <w:right w:w="108" w:type="dxa"/>
          </w:tblCellMar>
        </w:tblPrEx>
        <w:trPr>
          <w:trHeight w:val="270" w:hRule="atLeast"/>
        </w:trPr>
        <w:tc>
          <w:tcPr>
            <w:tcW w:w="954" w:type="pct"/>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color w:val="000000"/>
                <w:kern w:val="0"/>
                <w:szCs w:val="21"/>
              </w:rPr>
            </w:pPr>
          </w:p>
        </w:tc>
        <w:tc>
          <w:tcPr>
            <w:tcW w:w="1054"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城镇道路用地</w:t>
            </w:r>
          </w:p>
        </w:tc>
        <w:tc>
          <w:tcPr>
            <w:tcW w:w="95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c>
          <w:tcPr>
            <w:tcW w:w="55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2.95</w:t>
            </w:r>
          </w:p>
        </w:tc>
        <w:tc>
          <w:tcPr>
            <w:tcW w:w="399"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5.28</w:t>
            </w:r>
          </w:p>
        </w:tc>
        <w:tc>
          <w:tcPr>
            <w:tcW w:w="6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9.01</w:t>
            </w:r>
          </w:p>
        </w:tc>
        <w:tc>
          <w:tcPr>
            <w:tcW w:w="457"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16.14</w:t>
            </w:r>
          </w:p>
        </w:tc>
      </w:tr>
      <w:tr>
        <w:tblPrEx>
          <w:tblCellMar>
            <w:top w:w="0" w:type="dxa"/>
            <w:left w:w="108" w:type="dxa"/>
            <w:bottom w:w="0" w:type="dxa"/>
            <w:right w:w="108" w:type="dxa"/>
          </w:tblCellMar>
        </w:tblPrEx>
        <w:trPr>
          <w:trHeight w:val="270" w:hRule="atLeast"/>
        </w:trPr>
        <w:tc>
          <w:tcPr>
            <w:tcW w:w="954" w:type="pct"/>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color w:val="000000"/>
                <w:kern w:val="0"/>
                <w:szCs w:val="21"/>
              </w:rPr>
            </w:pPr>
          </w:p>
        </w:tc>
        <w:tc>
          <w:tcPr>
            <w:tcW w:w="1054"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交通场站用地</w:t>
            </w:r>
          </w:p>
        </w:tc>
        <w:tc>
          <w:tcPr>
            <w:tcW w:w="95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对外交通场站用地</w:t>
            </w:r>
          </w:p>
        </w:tc>
        <w:tc>
          <w:tcPr>
            <w:tcW w:w="55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0.14</w:t>
            </w:r>
          </w:p>
        </w:tc>
        <w:tc>
          <w:tcPr>
            <w:tcW w:w="399"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0.26</w:t>
            </w:r>
          </w:p>
        </w:tc>
        <w:tc>
          <w:tcPr>
            <w:tcW w:w="6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0.23</w:t>
            </w:r>
          </w:p>
        </w:tc>
        <w:tc>
          <w:tcPr>
            <w:tcW w:w="457"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0.41</w:t>
            </w:r>
          </w:p>
        </w:tc>
      </w:tr>
      <w:tr>
        <w:tblPrEx>
          <w:tblCellMar>
            <w:top w:w="0" w:type="dxa"/>
            <w:left w:w="108" w:type="dxa"/>
            <w:bottom w:w="0" w:type="dxa"/>
            <w:right w:w="108" w:type="dxa"/>
          </w:tblCellMar>
        </w:tblPrEx>
        <w:trPr>
          <w:trHeight w:val="270" w:hRule="atLeast"/>
        </w:trPr>
        <w:tc>
          <w:tcPr>
            <w:tcW w:w="954" w:type="pct"/>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color w:val="000000"/>
                <w:kern w:val="0"/>
                <w:szCs w:val="21"/>
              </w:rPr>
            </w:pPr>
          </w:p>
        </w:tc>
        <w:tc>
          <w:tcPr>
            <w:tcW w:w="1054" w:type="pct"/>
            <w:vMerge w:val="continue"/>
            <w:tcBorders>
              <w:top w:val="nil"/>
              <w:left w:val="single" w:color="auto" w:sz="4" w:space="0"/>
              <w:bottom w:val="single" w:color="000000" w:sz="4" w:space="0"/>
              <w:right w:val="single" w:color="auto" w:sz="4" w:space="0"/>
            </w:tcBorders>
            <w:vAlign w:val="center"/>
          </w:tcPr>
          <w:p>
            <w:pPr>
              <w:widowControl/>
              <w:jc w:val="center"/>
              <w:rPr>
                <w:rFonts w:cs="宋体" w:asciiTheme="minorEastAsia" w:hAnsiTheme="minorEastAsia"/>
                <w:color w:val="000000"/>
                <w:kern w:val="0"/>
                <w:szCs w:val="21"/>
              </w:rPr>
            </w:pPr>
          </w:p>
        </w:tc>
        <w:tc>
          <w:tcPr>
            <w:tcW w:w="95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社会停车场用地</w:t>
            </w:r>
          </w:p>
        </w:tc>
        <w:tc>
          <w:tcPr>
            <w:tcW w:w="55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c>
          <w:tcPr>
            <w:tcW w:w="399"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c>
          <w:tcPr>
            <w:tcW w:w="6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0.27</w:t>
            </w:r>
          </w:p>
        </w:tc>
        <w:tc>
          <w:tcPr>
            <w:tcW w:w="457"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0.48</w:t>
            </w:r>
          </w:p>
        </w:tc>
      </w:tr>
      <w:tr>
        <w:tblPrEx>
          <w:tblCellMar>
            <w:top w:w="0" w:type="dxa"/>
            <w:left w:w="108" w:type="dxa"/>
            <w:bottom w:w="0" w:type="dxa"/>
            <w:right w:w="108" w:type="dxa"/>
          </w:tblCellMar>
        </w:tblPrEx>
        <w:trPr>
          <w:trHeight w:val="270" w:hRule="atLeast"/>
        </w:trPr>
        <w:tc>
          <w:tcPr>
            <w:tcW w:w="954" w:type="pct"/>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color w:val="000000"/>
                <w:kern w:val="0"/>
                <w:szCs w:val="21"/>
              </w:rPr>
            </w:pPr>
          </w:p>
        </w:tc>
        <w:tc>
          <w:tcPr>
            <w:tcW w:w="1054"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其他交通设施用地</w:t>
            </w:r>
          </w:p>
        </w:tc>
        <w:tc>
          <w:tcPr>
            <w:tcW w:w="95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c>
          <w:tcPr>
            <w:tcW w:w="55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3.89</w:t>
            </w:r>
          </w:p>
        </w:tc>
        <w:tc>
          <w:tcPr>
            <w:tcW w:w="399"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6.96</w:t>
            </w:r>
          </w:p>
        </w:tc>
        <w:tc>
          <w:tcPr>
            <w:tcW w:w="6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0.72</w:t>
            </w:r>
          </w:p>
        </w:tc>
        <w:tc>
          <w:tcPr>
            <w:tcW w:w="457"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1.29</w:t>
            </w:r>
          </w:p>
        </w:tc>
      </w:tr>
      <w:tr>
        <w:tblPrEx>
          <w:tblCellMar>
            <w:top w:w="0" w:type="dxa"/>
            <w:left w:w="108" w:type="dxa"/>
            <w:bottom w:w="0" w:type="dxa"/>
            <w:right w:w="108" w:type="dxa"/>
          </w:tblCellMar>
        </w:tblPrEx>
        <w:trPr>
          <w:trHeight w:val="270" w:hRule="atLeast"/>
        </w:trPr>
        <w:tc>
          <w:tcPr>
            <w:tcW w:w="954" w:type="pct"/>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color w:val="000000"/>
                <w:kern w:val="0"/>
                <w:szCs w:val="21"/>
              </w:rPr>
            </w:pPr>
          </w:p>
        </w:tc>
        <w:tc>
          <w:tcPr>
            <w:tcW w:w="2007" w:type="pct"/>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小计</w:t>
            </w:r>
          </w:p>
        </w:tc>
        <w:tc>
          <w:tcPr>
            <w:tcW w:w="55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10.63</w:t>
            </w:r>
          </w:p>
        </w:tc>
        <w:tc>
          <w:tcPr>
            <w:tcW w:w="39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19.02</w:t>
            </w:r>
          </w:p>
        </w:tc>
        <w:tc>
          <w:tcPr>
            <w:tcW w:w="6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10.23</w:t>
            </w:r>
          </w:p>
        </w:tc>
        <w:tc>
          <w:tcPr>
            <w:tcW w:w="45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18.31</w:t>
            </w:r>
          </w:p>
        </w:tc>
      </w:tr>
      <w:tr>
        <w:tblPrEx>
          <w:tblCellMar>
            <w:top w:w="0" w:type="dxa"/>
            <w:left w:w="108" w:type="dxa"/>
            <w:bottom w:w="0" w:type="dxa"/>
            <w:right w:w="108" w:type="dxa"/>
          </w:tblCellMar>
        </w:tblPrEx>
        <w:trPr>
          <w:trHeight w:val="270" w:hRule="atLeast"/>
        </w:trPr>
        <w:tc>
          <w:tcPr>
            <w:tcW w:w="954"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公用设施用地</w:t>
            </w:r>
          </w:p>
        </w:tc>
        <w:tc>
          <w:tcPr>
            <w:tcW w:w="1054"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排水用地</w:t>
            </w:r>
          </w:p>
        </w:tc>
        <w:tc>
          <w:tcPr>
            <w:tcW w:w="95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c>
          <w:tcPr>
            <w:tcW w:w="55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0.79</w:t>
            </w:r>
          </w:p>
        </w:tc>
        <w:tc>
          <w:tcPr>
            <w:tcW w:w="399"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1.42</w:t>
            </w:r>
          </w:p>
        </w:tc>
        <w:tc>
          <w:tcPr>
            <w:tcW w:w="6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0.82</w:t>
            </w:r>
          </w:p>
        </w:tc>
        <w:tc>
          <w:tcPr>
            <w:tcW w:w="457"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1.47</w:t>
            </w:r>
          </w:p>
        </w:tc>
      </w:tr>
      <w:tr>
        <w:tblPrEx>
          <w:tblCellMar>
            <w:top w:w="0" w:type="dxa"/>
            <w:left w:w="108" w:type="dxa"/>
            <w:bottom w:w="0" w:type="dxa"/>
            <w:right w:w="108" w:type="dxa"/>
          </w:tblCellMar>
        </w:tblPrEx>
        <w:trPr>
          <w:trHeight w:val="270" w:hRule="atLeast"/>
        </w:trPr>
        <w:tc>
          <w:tcPr>
            <w:tcW w:w="954" w:type="pct"/>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color w:val="000000"/>
                <w:kern w:val="0"/>
                <w:szCs w:val="21"/>
              </w:rPr>
            </w:pPr>
          </w:p>
        </w:tc>
        <w:tc>
          <w:tcPr>
            <w:tcW w:w="1054"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消防用地</w:t>
            </w:r>
          </w:p>
        </w:tc>
        <w:tc>
          <w:tcPr>
            <w:tcW w:w="95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c>
          <w:tcPr>
            <w:tcW w:w="55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0.40</w:t>
            </w:r>
          </w:p>
        </w:tc>
        <w:tc>
          <w:tcPr>
            <w:tcW w:w="399"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0.72</w:t>
            </w:r>
          </w:p>
        </w:tc>
        <w:tc>
          <w:tcPr>
            <w:tcW w:w="6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0.21</w:t>
            </w:r>
          </w:p>
        </w:tc>
        <w:tc>
          <w:tcPr>
            <w:tcW w:w="457"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0.38</w:t>
            </w:r>
          </w:p>
        </w:tc>
      </w:tr>
      <w:tr>
        <w:tblPrEx>
          <w:tblCellMar>
            <w:top w:w="0" w:type="dxa"/>
            <w:left w:w="108" w:type="dxa"/>
            <w:bottom w:w="0" w:type="dxa"/>
            <w:right w:w="108" w:type="dxa"/>
          </w:tblCellMar>
        </w:tblPrEx>
        <w:trPr>
          <w:trHeight w:val="270" w:hRule="atLeast"/>
        </w:trPr>
        <w:tc>
          <w:tcPr>
            <w:tcW w:w="954" w:type="pct"/>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color w:val="000000"/>
                <w:kern w:val="0"/>
                <w:szCs w:val="21"/>
              </w:rPr>
            </w:pPr>
          </w:p>
        </w:tc>
        <w:tc>
          <w:tcPr>
            <w:tcW w:w="1054"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水工设施用地</w:t>
            </w:r>
          </w:p>
        </w:tc>
        <w:tc>
          <w:tcPr>
            <w:tcW w:w="95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c>
          <w:tcPr>
            <w:tcW w:w="55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1.81</w:t>
            </w:r>
          </w:p>
        </w:tc>
        <w:tc>
          <w:tcPr>
            <w:tcW w:w="399"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3.24</w:t>
            </w:r>
          </w:p>
        </w:tc>
        <w:tc>
          <w:tcPr>
            <w:tcW w:w="6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c>
          <w:tcPr>
            <w:tcW w:w="457"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r>
      <w:tr>
        <w:tblPrEx>
          <w:tblCellMar>
            <w:top w:w="0" w:type="dxa"/>
            <w:left w:w="108" w:type="dxa"/>
            <w:bottom w:w="0" w:type="dxa"/>
            <w:right w:w="108" w:type="dxa"/>
          </w:tblCellMar>
        </w:tblPrEx>
        <w:trPr>
          <w:trHeight w:val="270" w:hRule="atLeast"/>
        </w:trPr>
        <w:tc>
          <w:tcPr>
            <w:tcW w:w="954" w:type="pct"/>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color w:val="000000"/>
                <w:kern w:val="0"/>
                <w:szCs w:val="21"/>
              </w:rPr>
            </w:pPr>
          </w:p>
        </w:tc>
        <w:tc>
          <w:tcPr>
            <w:tcW w:w="2007" w:type="pct"/>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小计</w:t>
            </w:r>
          </w:p>
        </w:tc>
        <w:tc>
          <w:tcPr>
            <w:tcW w:w="55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3.00</w:t>
            </w:r>
          </w:p>
        </w:tc>
        <w:tc>
          <w:tcPr>
            <w:tcW w:w="39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5.38</w:t>
            </w:r>
          </w:p>
        </w:tc>
        <w:tc>
          <w:tcPr>
            <w:tcW w:w="6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1.03</w:t>
            </w:r>
          </w:p>
        </w:tc>
        <w:tc>
          <w:tcPr>
            <w:tcW w:w="45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1.85</w:t>
            </w:r>
          </w:p>
        </w:tc>
      </w:tr>
      <w:tr>
        <w:tblPrEx>
          <w:tblCellMar>
            <w:top w:w="0" w:type="dxa"/>
            <w:left w:w="108" w:type="dxa"/>
            <w:bottom w:w="0" w:type="dxa"/>
            <w:right w:w="108" w:type="dxa"/>
          </w:tblCellMar>
        </w:tblPrEx>
        <w:trPr>
          <w:trHeight w:val="270" w:hRule="atLeast"/>
        </w:trPr>
        <w:tc>
          <w:tcPr>
            <w:tcW w:w="954"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绿地与开敞空间用地</w:t>
            </w:r>
          </w:p>
        </w:tc>
        <w:tc>
          <w:tcPr>
            <w:tcW w:w="1054"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公园绿地</w:t>
            </w:r>
          </w:p>
        </w:tc>
        <w:tc>
          <w:tcPr>
            <w:tcW w:w="95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c>
          <w:tcPr>
            <w:tcW w:w="55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c>
          <w:tcPr>
            <w:tcW w:w="399"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c>
          <w:tcPr>
            <w:tcW w:w="6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4.04</w:t>
            </w:r>
          </w:p>
        </w:tc>
        <w:tc>
          <w:tcPr>
            <w:tcW w:w="457"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7.23</w:t>
            </w:r>
          </w:p>
        </w:tc>
      </w:tr>
      <w:tr>
        <w:tblPrEx>
          <w:tblCellMar>
            <w:top w:w="0" w:type="dxa"/>
            <w:left w:w="108" w:type="dxa"/>
            <w:bottom w:w="0" w:type="dxa"/>
            <w:right w:w="108" w:type="dxa"/>
          </w:tblCellMar>
        </w:tblPrEx>
        <w:trPr>
          <w:trHeight w:val="270" w:hRule="atLeast"/>
        </w:trPr>
        <w:tc>
          <w:tcPr>
            <w:tcW w:w="954" w:type="pct"/>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color w:val="000000"/>
                <w:kern w:val="0"/>
                <w:szCs w:val="21"/>
              </w:rPr>
            </w:pPr>
          </w:p>
        </w:tc>
        <w:tc>
          <w:tcPr>
            <w:tcW w:w="1054"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广场用地</w:t>
            </w:r>
          </w:p>
        </w:tc>
        <w:tc>
          <w:tcPr>
            <w:tcW w:w="95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c>
          <w:tcPr>
            <w:tcW w:w="55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c>
          <w:tcPr>
            <w:tcW w:w="399"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c>
          <w:tcPr>
            <w:tcW w:w="6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0.18</w:t>
            </w:r>
          </w:p>
        </w:tc>
        <w:tc>
          <w:tcPr>
            <w:tcW w:w="457"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0.31</w:t>
            </w:r>
          </w:p>
        </w:tc>
      </w:tr>
      <w:tr>
        <w:tblPrEx>
          <w:tblCellMar>
            <w:top w:w="0" w:type="dxa"/>
            <w:left w:w="108" w:type="dxa"/>
            <w:bottom w:w="0" w:type="dxa"/>
            <w:right w:w="108" w:type="dxa"/>
          </w:tblCellMar>
        </w:tblPrEx>
        <w:trPr>
          <w:trHeight w:val="270" w:hRule="atLeast"/>
        </w:trPr>
        <w:tc>
          <w:tcPr>
            <w:tcW w:w="954" w:type="pct"/>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color w:val="000000"/>
                <w:kern w:val="0"/>
                <w:szCs w:val="21"/>
              </w:rPr>
            </w:pPr>
          </w:p>
        </w:tc>
        <w:tc>
          <w:tcPr>
            <w:tcW w:w="2007" w:type="pct"/>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小计</w:t>
            </w:r>
          </w:p>
        </w:tc>
        <w:tc>
          <w:tcPr>
            <w:tcW w:w="55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c>
          <w:tcPr>
            <w:tcW w:w="39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c>
          <w:tcPr>
            <w:tcW w:w="6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4.21</w:t>
            </w:r>
          </w:p>
        </w:tc>
        <w:tc>
          <w:tcPr>
            <w:tcW w:w="45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7.54</w:t>
            </w:r>
          </w:p>
        </w:tc>
      </w:tr>
      <w:tr>
        <w:tblPrEx>
          <w:tblCellMar>
            <w:top w:w="0" w:type="dxa"/>
            <w:left w:w="108" w:type="dxa"/>
            <w:bottom w:w="0" w:type="dxa"/>
            <w:right w:w="108" w:type="dxa"/>
          </w:tblCellMar>
        </w:tblPrEx>
        <w:trPr>
          <w:trHeight w:val="270" w:hRule="atLeast"/>
        </w:trPr>
        <w:tc>
          <w:tcPr>
            <w:tcW w:w="954"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特殊用地</w:t>
            </w:r>
          </w:p>
        </w:tc>
        <w:tc>
          <w:tcPr>
            <w:tcW w:w="1054"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宗教用地</w:t>
            </w:r>
          </w:p>
        </w:tc>
        <w:tc>
          <w:tcPr>
            <w:tcW w:w="95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c>
          <w:tcPr>
            <w:tcW w:w="55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0.46</w:t>
            </w:r>
          </w:p>
        </w:tc>
        <w:tc>
          <w:tcPr>
            <w:tcW w:w="399"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0.82</w:t>
            </w:r>
          </w:p>
        </w:tc>
        <w:tc>
          <w:tcPr>
            <w:tcW w:w="6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0.28</w:t>
            </w:r>
          </w:p>
        </w:tc>
        <w:tc>
          <w:tcPr>
            <w:tcW w:w="457"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0.49</w:t>
            </w:r>
          </w:p>
        </w:tc>
      </w:tr>
      <w:tr>
        <w:tblPrEx>
          <w:tblCellMar>
            <w:top w:w="0" w:type="dxa"/>
            <w:left w:w="108" w:type="dxa"/>
            <w:bottom w:w="0" w:type="dxa"/>
            <w:right w:w="108" w:type="dxa"/>
          </w:tblCellMar>
        </w:tblPrEx>
        <w:trPr>
          <w:trHeight w:val="270" w:hRule="atLeast"/>
        </w:trPr>
        <w:tc>
          <w:tcPr>
            <w:tcW w:w="954" w:type="pct"/>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color w:val="000000"/>
                <w:kern w:val="0"/>
                <w:szCs w:val="21"/>
              </w:rPr>
            </w:pPr>
          </w:p>
        </w:tc>
        <w:tc>
          <w:tcPr>
            <w:tcW w:w="1054"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文物古迹用地</w:t>
            </w:r>
          </w:p>
        </w:tc>
        <w:tc>
          <w:tcPr>
            <w:tcW w:w="95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c>
          <w:tcPr>
            <w:tcW w:w="55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c>
          <w:tcPr>
            <w:tcW w:w="399"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c>
          <w:tcPr>
            <w:tcW w:w="6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0.21</w:t>
            </w:r>
          </w:p>
        </w:tc>
        <w:tc>
          <w:tcPr>
            <w:tcW w:w="457"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0.37</w:t>
            </w:r>
          </w:p>
        </w:tc>
      </w:tr>
      <w:tr>
        <w:tblPrEx>
          <w:tblCellMar>
            <w:top w:w="0" w:type="dxa"/>
            <w:left w:w="108" w:type="dxa"/>
            <w:bottom w:w="0" w:type="dxa"/>
            <w:right w:w="108" w:type="dxa"/>
          </w:tblCellMar>
        </w:tblPrEx>
        <w:trPr>
          <w:trHeight w:val="270" w:hRule="atLeast"/>
        </w:trPr>
        <w:tc>
          <w:tcPr>
            <w:tcW w:w="954" w:type="pct"/>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color w:val="000000"/>
                <w:kern w:val="0"/>
                <w:szCs w:val="21"/>
              </w:rPr>
            </w:pPr>
          </w:p>
        </w:tc>
        <w:tc>
          <w:tcPr>
            <w:tcW w:w="2007" w:type="pct"/>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小计</w:t>
            </w:r>
          </w:p>
        </w:tc>
        <w:tc>
          <w:tcPr>
            <w:tcW w:w="55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0.46</w:t>
            </w:r>
          </w:p>
        </w:tc>
        <w:tc>
          <w:tcPr>
            <w:tcW w:w="39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0.82</w:t>
            </w:r>
          </w:p>
        </w:tc>
        <w:tc>
          <w:tcPr>
            <w:tcW w:w="6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0.48</w:t>
            </w:r>
          </w:p>
        </w:tc>
        <w:tc>
          <w:tcPr>
            <w:tcW w:w="45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0.86</w:t>
            </w:r>
          </w:p>
        </w:tc>
      </w:tr>
      <w:tr>
        <w:tblPrEx>
          <w:tblCellMar>
            <w:top w:w="0" w:type="dxa"/>
            <w:left w:w="108" w:type="dxa"/>
            <w:bottom w:w="0" w:type="dxa"/>
            <w:right w:w="108" w:type="dxa"/>
          </w:tblCellMar>
        </w:tblPrEx>
        <w:trPr>
          <w:trHeight w:val="270" w:hRule="atLeast"/>
        </w:trPr>
        <w:tc>
          <w:tcPr>
            <w:tcW w:w="954"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陆地水域</w:t>
            </w:r>
          </w:p>
        </w:tc>
        <w:tc>
          <w:tcPr>
            <w:tcW w:w="1054"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水库水面</w:t>
            </w:r>
          </w:p>
        </w:tc>
        <w:tc>
          <w:tcPr>
            <w:tcW w:w="95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c>
          <w:tcPr>
            <w:tcW w:w="55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c>
          <w:tcPr>
            <w:tcW w:w="399"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c>
          <w:tcPr>
            <w:tcW w:w="6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c>
          <w:tcPr>
            <w:tcW w:w="457"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0.01</w:t>
            </w:r>
          </w:p>
        </w:tc>
      </w:tr>
      <w:tr>
        <w:tblPrEx>
          <w:tblCellMar>
            <w:top w:w="0" w:type="dxa"/>
            <w:left w:w="108" w:type="dxa"/>
            <w:bottom w:w="0" w:type="dxa"/>
            <w:right w:w="108" w:type="dxa"/>
          </w:tblCellMar>
        </w:tblPrEx>
        <w:trPr>
          <w:trHeight w:val="270" w:hRule="atLeast"/>
        </w:trPr>
        <w:tc>
          <w:tcPr>
            <w:tcW w:w="954" w:type="pct"/>
            <w:vMerge w:val="continue"/>
            <w:tcBorders>
              <w:top w:val="nil"/>
              <w:left w:val="single" w:color="auto" w:sz="4" w:space="0"/>
              <w:bottom w:val="single" w:color="000000" w:sz="4" w:space="0"/>
              <w:right w:val="single" w:color="auto" w:sz="4" w:space="0"/>
            </w:tcBorders>
            <w:vAlign w:val="center"/>
          </w:tcPr>
          <w:p>
            <w:pPr>
              <w:widowControl/>
              <w:jc w:val="center"/>
              <w:rPr>
                <w:rFonts w:cs="宋体" w:asciiTheme="minorEastAsia" w:hAnsiTheme="minorEastAsia"/>
                <w:color w:val="000000"/>
                <w:kern w:val="0"/>
                <w:szCs w:val="21"/>
              </w:rPr>
            </w:pPr>
          </w:p>
        </w:tc>
        <w:tc>
          <w:tcPr>
            <w:tcW w:w="1054"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沟渠</w:t>
            </w:r>
          </w:p>
        </w:tc>
        <w:tc>
          <w:tcPr>
            <w:tcW w:w="95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c>
          <w:tcPr>
            <w:tcW w:w="55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c>
          <w:tcPr>
            <w:tcW w:w="399"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c>
          <w:tcPr>
            <w:tcW w:w="6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0.20</w:t>
            </w:r>
          </w:p>
        </w:tc>
        <w:tc>
          <w:tcPr>
            <w:tcW w:w="457"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0.36</w:t>
            </w:r>
          </w:p>
        </w:tc>
      </w:tr>
      <w:tr>
        <w:tblPrEx>
          <w:tblCellMar>
            <w:top w:w="0" w:type="dxa"/>
            <w:left w:w="108" w:type="dxa"/>
            <w:bottom w:w="0" w:type="dxa"/>
            <w:right w:w="108" w:type="dxa"/>
          </w:tblCellMar>
        </w:tblPrEx>
        <w:trPr>
          <w:trHeight w:val="270" w:hRule="atLeast"/>
        </w:trPr>
        <w:tc>
          <w:tcPr>
            <w:tcW w:w="954" w:type="pct"/>
            <w:vMerge w:val="continue"/>
            <w:tcBorders>
              <w:top w:val="nil"/>
              <w:left w:val="single" w:color="auto" w:sz="4" w:space="0"/>
              <w:bottom w:val="single" w:color="000000" w:sz="4" w:space="0"/>
              <w:right w:val="single" w:color="auto" w:sz="4" w:space="0"/>
            </w:tcBorders>
            <w:vAlign w:val="center"/>
          </w:tcPr>
          <w:p>
            <w:pPr>
              <w:widowControl/>
              <w:jc w:val="center"/>
              <w:rPr>
                <w:rFonts w:cs="宋体" w:asciiTheme="minorEastAsia" w:hAnsiTheme="minorEastAsia"/>
                <w:color w:val="000000"/>
                <w:kern w:val="0"/>
                <w:szCs w:val="21"/>
              </w:rPr>
            </w:pPr>
          </w:p>
        </w:tc>
        <w:tc>
          <w:tcPr>
            <w:tcW w:w="2007" w:type="pct"/>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小计</w:t>
            </w:r>
          </w:p>
        </w:tc>
        <w:tc>
          <w:tcPr>
            <w:tcW w:w="55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c>
          <w:tcPr>
            <w:tcW w:w="39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c>
          <w:tcPr>
            <w:tcW w:w="6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0.20</w:t>
            </w:r>
          </w:p>
        </w:tc>
        <w:tc>
          <w:tcPr>
            <w:tcW w:w="45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0.37</w:t>
            </w:r>
          </w:p>
        </w:tc>
      </w:tr>
      <w:tr>
        <w:tblPrEx>
          <w:tblCellMar>
            <w:top w:w="0" w:type="dxa"/>
            <w:left w:w="108" w:type="dxa"/>
            <w:bottom w:w="0" w:type="dxa"/>
            <w:right w:w="108" w:type="dxa"/>
          </w:tblCellMar>
        </w:tblPrEx>
        <w:trPr>
          <w:trHeight w:val="270" w:hRule="atLeast"/>
        </w:trPr>
        <w:tc>
          <w:tcPr>
            <w:tcW w:w="954"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其他土地</w:t>
            </w:r>
          </w:p>
        </w:tc>
        <w:tc>
          <w:tcPr>
            <w:tcW w:w="1054"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田坎</w:t>
            </w:r>
          </w:p>
        </w:tc>
        <w:tc>
          <w:tcPr>
            <w:tcW w:w="95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c>
          <w:tcPr>
            <w:tcW w:w="55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0.36</w:t>
            </w:r>
          </w:p>
        </w:tc>
        <w:tc>
          <w:tcPr>
            <w:tcW w:w="399"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0.64</w:t>
            </w:r>
          </w:p>
        </w:tc>
        <w:tc>
          <w:tcPr>
            <w:tcW w:w="6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c>
          <w:tcPr>
            <w:tcW w:w="457"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r>
      <w:tr>
        <w:tblPrEx>
          <w:tblCellMar>
            <w:top w:w="0" w:type="dxa"/>
            <w:left w:w="108" w:type="dxa"/>
            <w:bottom w:w="0" w:type="dxa"/>
            <w:right w:w="108" w:type="dxa"/>
          </w:tblCellMar>
        </w:tblPrEx>
        <w:trPr>
          <w:trHeight w:val="270" w:hRule="atLeast"/>
        </w:trPr>
        <w:tc>
          <w:tcPr>
            <w:tcW w:w="954" w:type="pct"/>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color w:val="000000"/>
                <w:kern w:val="0"/>
                <w:szCs w:val="21"/>
              </w:rPr>
            </w:pPr>
          </w:p>
        </w:tc>
        <w:tc>
          <w:tcPr>
            <w:tcW w:w="2007" w:type="pct"/>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小计</w:t>
            </w:r>
          </w:p>
        </w:tc>
        <w:tc>
          <w:tcPr>
            <w:tcW w:w="55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0.36</w:t>
            </w:r>
          </w:p>
        </w:tc>
        <w:tc>
          <w:tcPr>
            <w:tcW w:w="39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0.64</w:t>
            </w:r>
          </w:p>
        </w:tc>
        <w:tc>
          <w:tcPr>
            <w:tcW w:w="6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c>
          <w:tcPr>
            <w:tcW w:w="45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0.00</w:t>
            </w:r>
          </w:p>
        </w:tc>
      </w:tr>
      <w:tr>
        <w:tblPrEx>
          <w:tblCellMar>
            <w:top w:w="0" w:type="dxa"/>
            <w:left w:w="108" w:type="dxa"/>
            <w:bottom w:w="0" w:type="dxa"/>
            <w:right w:w="108" w:type="dxa"/>
          </w:tblCellMar>
        </w:tblPrEx>
        <w:trPr>
          <w:trHeight w:val="270" w:hRule="atLeast"/>
        </w:trPr>
        <w:tc>
          <w:tcPr>
            <w:tcW w:w="2961" w:type="pct"/>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总计</w:t>
            </w:r>
          </w:p>
        </w:tc>
        <w:tc>
          <w:tcPr>
            <w:tcW w:w="55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55.87</w:t>
            </w:r>
          </w:p>
        </w:tc>
        <w:tc>
          <w:tcPr>
            <w:tcW w:w="39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100.00</w:t>
            </w:r>
          </w:p>
        </w:tc>
        <w:tc>
          <w:tcPr>
            <w:tcW w:w="6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55.87</w:t>
            </w:r>
          </w:p>
        </w:tc>
        <w:tc>
          <w:tcPr>
            <w:tcW w:w="45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100.00</w:t>
            </w:r>
          </w:p>
        </w:tc>
      </w:tr>
    </w:tbl>
    <w:p>
      <w:pPr>
        <w:pStyle w:val="31"/>
        <w:spacing w:beforeLines="50" w:afterLines="50"/>
        <w:jc w:val="left"/>
        <w:rPr>
          <w:rFonts w:eastAsia="宋体" w:asciiTheme="minorEastAsia" w:hAnsiTheme="minorEastAsia"/>
          <w:b w:val="0"/>
          <w:sz w:val="24"/>
          <w:szCs w:val="24"/>
        </w:rPr>
      </w:pPr>
      <w:bookmarkStart w:id="47" w:name="_Toc166772196"/>
      <w:r>
        <w:rPr>
          <w:rFonts w:hint="eastAsia" w:eastAsia="宋体" w:asciiTheme="minorEastAsia" w:hAnsiTheme="minorEastAsia"/>
          <w:b w:val="0"/>
          <w:sz w:val="24"/>
          <w:szCs w:val="24"/>
        </w:rPr>
        <w:t>表12</w:t>
      </w:r>
      <w:r>
        <w:rPr>
          <w:rFonts w:eastAsia="宋体" w:asciiTheme="minorEastAsia" w:hAnsiTheme="minorEastAsia"/>
          <w:b w:val="0"/>
          <w:sz w:val="24"/>
          <w:szCs w:val="24"/>
        </w:rPr>
        <w:t>象山镇镇区</w:t>
      </w:r>
      <w:r>
        <w:rPr>
          <w:rFonts w:hint="eastAsia" w:eastAsia="宋体" w:asciiTheme="minorEastAsia" w:hAnsiTheme="minorEastAsia"/>
          <w:b w:val="0"/>
          <w:sz w:val="24"/>
          <w:szCs w:val="24"/>
        </w:rPr>
        <w:t>地块</w:t>
      </w:r>
      <w:r>
        <w:rPr>
          <w:rFonts w:eastAsia="宋体" w:asciiTheme="minorEastAsia" w:hAnsiTheme="minorEastAsia"/>
          <w:b w:val="0"/>
          <w:sz w:val="24"/>
          <w:szCs w:val="24"/>
        </w:rPr>
        <w:t>指标一览表</w:t>
      </w:r>
      <w:bookmarkEnd w:id="47"/>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6"/>
        <w:gridCol w:w="1056"/>
        <w:gridCol w:w="2393"/>
        <w:gridCol w:w="991"/>
        <w:gridCol w:w="708"/>
        <w:gridCol w:w="708"/>
        <w:gridCol w:w="850"/>
        <w:gridCol w:w="993"/>
        <w:gridCol w:w="1986"/>
        <w:gridCol w:w="1273"/>
        <w:gridCol w:w="1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392" w:type="pct"/>
            <w:shd w:val="clear" w:color="auto" w:fill="auto"/>
            <w:noWrap/>
            <w:vAlign w:val="center"/>
          </w:tcPr>
          <w:p>
            <w:pPr>
              <w:widowControl/>
              <w:jc w:val="center"/>
              <w:rPr>
                <w:rFonts w:cs="宋体" w:asciiTheme="minorEastAsia" w:hAnsiTheme="minorEastAsia"/>
                <w:bCs/>
                <w:color w:val="000000"/>
                <w:kern w:val="0"/>
                <w:szCs w:val="21"/>
              </w:rPr>
            </w:pPr>
            <w:r>
              <w:rPr>
                <w:rFonts w:hint="eastAsia" w:cs="宋体" w:asciiTheme="minorEastAsia" w:hAnsiTheme="minorEastAsia"/>
                <w:bCs/>
                <w:color w:val="000000"/>
                <w:kern w:val="0"/>
                <w:szCs w:val="21"/>
              </w:rPr>
              <w:t>地块编码</w:t>
            </w:r>
          </w:p>
        </w:tc>
        <w:tc>
          <w:tcPr>
            <w:tcW w:w="392" w:type="pct"/>
            <w:shd w:val="clear" w:color="auto" w:fill="auto"/>
            <w:noWrap/>
            <w:vAlign w:val="center"/>
          </w:tcPr>
          <w:p>
            <w:pPr>
              <w:widowControl/>
              <w:jc w:val="center"/>
              <w:rPr>
                <w:rFonts w:cs="宋体" w:asciiTheme="minorEastAsia" w:hAnsiTheme="minorEastAsia"/>
                <w:bCs/>
                <w:color w:val="000000"/>
                <w:kern w:val="0"/>
                <w:szCs w:val="21"/>
              </w:rPr>
            </w:pPr>
            <w:r>
              <w:rPr>
                <w:rFonts w:hint="eastAsia" w:cs="宋体" w:asciiTheme="minorEastAsia" w:hAnsiTheme="minorEastAsia"/>
                <w:bCs/>
                <w:color w:val="000000"/>
                <w:kern w:val="0"/>
                <w:szCs w:val="21"/>
              </w:rPr>
              <w:t>用地代码</w:t>
            </w:r>
          </w:p>
        </w:tc>
        <w:tc>
          <w:tcPr>
            <w:tcW w:w="889" w:type="pct"/>
            <w:shd w:val="clear" w:color="auto" w:fill="auto"/>
            <w:noWrap/>
            <w:vAlign w:val="center"/>
          </w:tcPr>
          <w:p>
            <w:pPr>
              <w:widowControl/>
              <w:jc w:val="center"/>
              <w:rPr>
                <w:rFonts w:cs="宋体" w:asciiTheme="minorEastAsia" w:hAnsiTheme="minorEastAsia"/>
                <w:bCs/>
                <w:color w:val="000000"/>
                <w:kern w:val="0"/>
                <w:szCs w:val="21"/>
              </w:rPr>
            </w:pPr>
            <w:r>
              <w:rPr>
                <w:rFonts w:hint="eastAsia" w:cs="宋体" w:asciiTheme="minorEastAsia" w:hAnsiTheme="minorEastAsia"/>
                <w:bCs/>
                <w:color w:val="000000"/>
                <w:kern w:val="0"/>
                <w:szCs w:val="21"/>
              </w:rPr>
              <w:t>用地名称</w:t>
            </w:r>
          </w:p>
        </w:tc>
        <w:tc>
          <w:tcPr>
            <w:tcW w:w="368" w:type="pct"/>
            <w:shd w:val="clear" w:color="auto" w:fill="auto"/>
            <w:vAlign w:val="center"/>
          </w:tcPr>
          <w:p>
            <w:pPr>
              <w:widowControl/>
              <w:jc w:val="center"/>
              <w:rPr>
                <w:rFonts w:cs="宋体" w:asciiTheme="minorEastAsia" w:hAnsiTheme="minorEastAsia"/>
                <w:bCs/>
                <w:color w:val="000000"/>
                <w:kern w:val="0"/>
                <w:szCs w:val="21"/>
              </w:rPr>
            </w:pPr>
            <w:r>
              <w:rPr>
                <w:rFonts w:hint="eastAsia" w:cs="宋体" w:asciiTheme="minorEastAsia" w:hAnsiTheme="minorEastAsia"/>
                <w:bCs/>
                <w:color w:val="000000"/>
                <w:kern w:val="0"/>
                <w:szCs w:val="21"/>
              </w:rPr>
              <w:t>总用地面积</w:t>
            </w:r>
          </w:p>
          <w:p>
            <w:pPr>
              <w:widowControl/>
              <w:jc w:val="center"/>
              <w:rPr>
                <w:rFonts w:cs="宋体" w:asciiTheme="minorEastAsia" w:hAnsiTheme="minorEastAsia"/>
                <w:bCs/>
                <w:color w:val="000000"/>
                <w:kern w:val="0"/>
                <w:szCs w:val="21"/>
              </w:rPr>
            </w:pPr>
            <w:r>
              <w:rPr>
                <w:rFonts w:hint="eastAsia" w:cs="宋体" w:asciiTheme="minorEastAsia" w:hAnsiTheme="minorEastAsia"/>
                <w:bCs/>
                <w:color w:val="000000"/>
                <w:kern w:val="0"/>
                <w:szCs w:val="21"/>
              </w:rPr>
              <w:t>（公顷）</w:t>
            </w:r>
          </w:p>
        </w:tc>
        <w:tc>
          <w:tcPr>
            <w:tcW w:w="263" w:type="pct"/>
            <w:shd w:val="clear" w:color="auto" w:fill="auto"/>
            <w:noWrap/>
            <w:vAlign w:val="center"/>
          </w:tcPr>
          <w:p>
            <w:pPr>
              <w:widowControl/>
              <w:jc w:val="center"/>
              <w:rPr>
                <w:rFonts w:cs="宋体" w:asciiTheme="minorEastAsia" w:hAnsiTheme="minorEastAsia"/>
                <w:bCs/>
                <w:color w:val="000000"/>
                <w:kern w:val="0"/>
                <w:szCs w:val="21"/>
              </w:rPr>
            </w:pPr>
            <w:r>
              <w:rPr>
                <w:rFonts w:hint="eastAsia" w:cs="宋体" w:asciiTheme="minorEastAsia" w:hAnsiTheme="minorEastAsia"/>
                <w:bCs/>
                <w:color w:val="000000"/>
                <w:kern w:val="0"/>
                <w:szCs w:val="21"/>
              </w:rPr>
              <w:t>容积率</w:t>
            </w:r>
          </w:p>
        </w:tc>
        <w:tc>
          <w:tcPr>
            <w:tcW w:w="263" w:type="pct"/>
            <w:shd w:val="clear" w:color="auto" w:fill="auto"/>
            <w:vAlign w:val="center"/>
          </w:tcPr>
          <w:p>
            <w:pPr>
              <w:widowControl/>
              <w:jc w:val="center"/>
              <w:rPr>
                <w:rFonts w:cs="宋体" w:asciiTheme="minorEastAsia" w:hAnsiTheme="minorEastAsia"/>
                <w:bCs/>
                <w:color w:val="000000"/>
                <w:kern w:val="0"/>
                <w:szCs w:val="21"/>
              </w:rPr>
            </w:pPr>
            <w:r>
              <w:rPr>
                <w:rFonts w:hint="eastAsia" w:cs="宋体" w:asciiTheme="minorEastAsia" w:hAnsiTheme="minorEastAsia"/>
                <w:bCs/>
                <w:color w:val="000000"/>
                <w:kern w:val="0"/>
                <w:szCs w:val="21"/>
              </w:rPr>
              <w:t>建筑密度（%）</w:t>
            </w:r>
          </w:p>
        </w:tc>
        <w:tc>
          <w:tcPr>
            <w:tcW w:w="316" w:type="pct"/>
            <w:shd w:val="clear" w:color="auto" w:fill="auto"/>
            <w:vAlign w:val="center"/>
          </w:tcPr>
          <w:p>
            <w:pPr>
              <w:widowControl/>
              <w:jc w:val="center"/>
              <w:rPr>
                <w:rFonts w:cs="宋体" w:asciiTheme="minorEastAsia" w:hAnsiTheme="minorEastAsia"/>
                <w:bCs/>
                <w:color w:val="000000"/>
                <w:kern w:val="0"/>
                <w:szCs w:val="21"/>
              </w:rPr>
            </w:pPr>
            <w:r>
              <w:rPr>
                <w:rFonts w:hint="eastAsia" w:cs="宋体" w:asciiTheme="minorEastAsia" w:hAnsiTheme="minorEastAsia"/>
                <w:bCs/>
                <w:color w:val="000000"/>
                <w:kern w:val="0"/>
                <w:szCs w:val="21"/>
              </w:rPr>
              <w:t>绿地率（%）</w:t>
            </w:r>
          </w:p>
        </w:tc>
        <w:tc>
          <w:tcPr>
            <w:tcW w:w="369" w:type="pct"/>
            <w:shd w:val="clear" w:color="auto" w:fill="auto"/>
            <w:vAlign w:val="center"/>
          </w:tcPr>
          <w:p>
            <w:pPr>
              <w:widowControl/>
              <w:jc w:val="center"/>
              <w:rPr>
                <w:rFonts w:cs="宋体" w:asciiTheme="minorEastAsia" w:hAnsiTheme="minorEastAsia"/>
                <w:bCs/>
                <w:color w:val="000000"/>
                <w:kern w:val="0"/>
                <w:szCs w:val="21"/>
              </w:rPr>
            </w:pPr>
            <w:r>
              <w:rPr>
                <w:rFonts w:hint="eastAsia" w:cs="宋体" w:asciiTheme="minorEastAsia" w:hAnsiTheme="minorEastAsia"/>
                <w:bCs/>
                <w:color w:val="000000"/>
                <w:kern w:val="0"/>
                <w:szCs w:val="21"/>
              </w:rPr>
              <w:t>建筑限高（米)</w:t>
            </w:r>
          </w:p>
        </w:tc>
        <w:tc>
          <w:tcPr>
            <w:tcW w:w="738" w:type="pct"/>
            <w:shd w:val="clear" w:color="auto" w:fill="auto"/>
            <w:noWrap/>
            <w:vAlign w:val="center"/>
          </w:tcPr>
          <w:p>
            <w:pPr>
              <w:widowControl/>
              <w:jc w:val="center"/>
              <w:rPr>
                <w:rFonts w:cs="宋体" w:asciiTheme="minorEastAsia" w:hAnsiTheme="minorEastAsia"/>
                <w:bCs/>
                <w:color w:val="000000"/>
                <w:kern w:val="0"/>
                <w:szCs w:val="21"/>
              </w:rPr>
            </w:pPr>
            <w:r>
              <w:rPr>
                <w:rFonts w:hint="eastAsia" w:cs="宋体" w:asciiTheme="minorEastAsia" w:hAnsiTheme="minorEastAsia"/>
                <w:bCs/>
                <w:color w:val="000000"/>
                <w:kern w:val="0"/>
                <w:szCs w:val="21"/>
              </w:rPr>
              <w:t>配套设施</w:t>
            </w:r>
          </w:p>
        </w:tc>
        <w:tc>
          <w:tcPr>
            <w:tcW w:w="473" w:type="pct"/>
            <w:shd w:val="clear" w:color="auto" w:fill="auto"/>
            <w:vAlign w:val="center"/>
          </w:tcPr>
          <w:p>
            <w:pPr>
              <w:widowControl/>
              <w:jc w:val="center"/>
              <w:rPr>
                <w:rFonts w:cs="宋体" w:asciiTheme="minorEastAsia" w:hAnsiTheme="minorEastAsia"/>
                <w:bCs/>
                <w:color w:val="000000"/>
                <w:kern w:val="0"/>
                <w:szCs w:val="21"/>
              </w:rPr>
            </w:pPr>
            <w:r>
              <w:rPr>
                <w:rFonts w:hint="eastAsia" w:cs="宋体" w:asciiTheme="minorEastAsia" w:hAnsiTheme="minorEastAsia"/>
                <w:bCs/>
                <w:color w:val="000000"/>
                <w:kern w:val="0"/>
                <w:szCs w:val="21"/>
              </w:rPr>
              <w:t>停车位配建</w:t>
            </w:r>
          </w:p>
        </w:tc>
        <w:tc>
          <w:tcPr>
            <w:tcW w:w="535" w:type="pct"/>
            <w:shd w:val="clear" w:color="auto" w:fill="auto"/>
            <w:noWrap/>
            <w:vAlign w:val="center"/>
          </w:tcPr>
          <w:p>
            <w:pPr>
              <w:widowControl/>
              <w:jc w:val="center"/>
              <w:rPr>
                <w:rFonts w:cs="宋体" w:asciiTheme="minorEastAsia" w:hAnsiTheme="minorEastAsia"/>
                <w:bCs/>
                <w:color w:val="000000"/>
                <w:kern w:val="0"/>
                <w:szCs w:val="21"/>
              </w:rPr>
            </w:pPr>
            <w:r>
              <w:rPr>
                <w:rFonts w:hint="eastAsia" w:cs="宋体" w:asciiTheme="minorEastAsia" w:hAnsiTheme="minorEastAsia"/>
                <w:bCs/>
                <w:color w:val="000000"/>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XS-01-01</w:t>
            </w:r>
          </w:p>
        </w:tc>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070102</w:t>
            </w:r>
          </w:p>
        </w:tc>
        <w:tc>
          <w:tcPr>
            <w:tcW w:w="88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二类城镇住宅用地</w:t>
            </w:r>
          </w:p>
        </w:tc>
        <w:tc>
          <w:tcPr>
            <w:tcW w:w="36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1.54</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16"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73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健身场地</w:t>
            </w:r>
          </w:p>
        </w:tc>
        <w:tc>
          <w:tcPr>
            <w:tcW w:w="47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35"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XS-01-02</w:t>
            </w:r>
          </w:p>
        </w:tc>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070102</w:t>
            </w:r>
          </w:p>
        </w:tc>
        <w:tc>
          <w:tcPr>
            <w:tcW w:w="88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二类城镇住宅用地</w:t>
            </w:r>
          </w:p>
        </w:tc>
        <w:tc>
          <w:tcPr>
            <w:tcW w:w="36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0.72</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16"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73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7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35"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XS-01-03</w:t>
            </w:r>
          </w:p>
        </w:tc>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090101</w:t>
            </w:r>
          </w:p>
        </w:tc>
        <w:tc>
          <w:tcPr>
            <w:tcW w:w="88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零售商业用地</w:t>
            </w:r>
          </w:p>
        </w:tc>
        <w:tc>
          <w:tcPr>
            <w:tcW w:w="36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1.02</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1.8</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≤40</w:t>
            </w:r>
          </w:p>
        </w:tc>
        <w:tc>
          <w:tcPr>
            <w:tcW w:w="316"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≥20%</w:t>
            </w:r>
          </w:p>
        </w:tc>
        <w:tc>
          <w:tcPr>
            <w:tcW w:w="36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≤16米</w:t>
            </w:r>
          </w:p>
        </w:tc>
        <w:tc>
          <w:tcPr>
            <w:tcW w:w="738" w:type="pct"/>
            <w:shd w:val="clear" w:color="auto" w:fill="auto"/>
            <w:noWrap/>
            <w:vAlign w:val="center"/>
          </w:tcPr>
          <w:p>
            <w:pPr>
              <w:widowControl/>
              <w:jc w:val="center"/>
              <w:rPr>
                <w:rFonts w:cs="宋体" w:asciiTheme="minorEastAsia" w:hAnsiTheme="minorEastAsia"/>
                <w:color w:val="000000"/>
                <w:kern w:val="0"/>
                <w:szCs w:val="21"/>
              </w:rPr>
            </w:pPr>
          </w:p>
        </w:tc>
        <w:tc>
          <w:tcPr>
            <w:tcW w:w="473"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1.5车位/100㎡建筑面积</w:t>
            </w:r>
          </w:p>
        </w:tc>
        <w:tc>
          <w:tcPr>
            <w:tcW w:w="53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存量土地</w:t>
            </w:r>
            <w:r>
              <w:rPr>
                <w:rFonts w:hint="eastAsia" w:cs="宋体" w:asciiTheme="minorEastAsia" w:hAnsiTheme="minorEastAsia"/>
                <w:color w:val="000000"/>
                <w:kern w:val="0"/>
                <w:szCs w:val="21"/>
              </w:rPr>
              <w:br w:type="textWrapping"/>
            </w:r>
            <w:r>
              <w:rPr>
                <w:rFonts w:hint="eastAsia" w:cs="宋体" w:asciiTheme="minorEastAsia" w:hAnsiTheme="minorEastAsia"/>
                <w:color w:val="000000"/>
                <w:kern w:val="0"/>
                <w:szCs w:val="21"/>
              </w:rPr>
              <w:t>（规划新增）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XS-01-04</w:t>
            </w:r>
          </w:p>
        </w:tc>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070102</w:t>
            </w:r>
          </w:p>
        </w:tc>
        <w:tc>
          <w:tcPr>
            <w:tcW w:w="88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二类城镇住宅用地</w:t>
            </w:r>
          </w:p>
        </w:tc>
        <w:tc>
          <w:tcPr>
            <w:tcW w:w="36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0.53</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16"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73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7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35"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XS-01-05</w:t>
            </w:r>
          </w:p>
        </w:tc>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070102</w:t>
            </w:r>
          </w:p>
        </w:tc>
        <w:tc>
          <w:tcPr>
            <w:tcW w:w="88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二类城镇住宅用地</w:t>
            </w:r>
          </w:p>
        </w:tc>
        <w:tc>
          <w:tcPr>
            <w:tcW w:w="36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0.54</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16"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73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7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35"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XS-01-06</w:t>
            </w:r>
          </w:p>
        </w:tc>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070102</w:t>
            </w:r>
          </w:p>
        </w:tc>
        <w:tc>
          <w:tcPr>
            <w:tcW w:w="88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二类城镇住宅用地</w:t>
            </w:r>
          </w:p>
        </w:tc>
        <w:tc>
          <w:tcPr>
            <w:tcW w:w="36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1.36</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16"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73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7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35"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XS-01-07</w:t>
            </w:r>
          </w:p>
        </w:tc>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070102</w:t>
            </w:r>
          </w:p>
        </w:tc>
        <w:tc>
          <w:tcPr>
            <w:tcW w:w="88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二类城镇住宅用地</w:t>
            </w:r>
          </w:p>
        </w:tc>
        <w:tc>
          <w:tcPr>
            <w:tcW w:w="36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0.54</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1.5</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≥30%</w:t>
            </w:r>
          </w:p>
        </w:tc>
        <w:tc>
          <w:tcPr>
            <w:tcW w:w="316"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≤35</w:t>
            </w:r>
          </w:p>
        </w:tc>
        <w:tc>
          <w:tcPr>
            <w:tcW w:w="36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≤21米</w:t>
            </w:r>
          </w:p>
        </w:tc>
        <w:tc>
          <w:tcPr>
            <w:tcW w:w="73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7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1车位/户</w:t>
            </w:r>
          </w:p>
        </w:tc>
        <w:tc>
          <w:tcPr>
            <w:tcW w:w="53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存量土地</w:t>
            </w:r>
            <w:r>
              <w:rPr>
                <w:rFonts w:hint="eastAsia" w:cs="宋体" w:asciiTheme="minorEastAsia" w:hAnsiTheme="minorEastAsia"/>
                <w:color w:val="000000"/>
                <w:kern w:val="0"/>
                <w:szCs w:val="21"/>
              </w:rPr>
              <w:br w:type="textWrapping"/>
            </w:r>
            <w:r>
              <w:rPr>
                <w:rFonts w:hint="eastAsia" w:cs="宋体" w:asciiTheme="minorEastAsia" w:hAnsiTheme="minorEastAsia"/>
                <w:color w:val="000000"/>
                <w:kern w:val="0"/>
                <w:szCs w:val="21"/>
              </w:rPr>
              <w:t>（规划新增）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XS-01-08</w:t>
            </w:r>
          </w:p>
        </w:tc>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070102</w:t>
            </w:r>
          </w:p>
        </w:tc>
        <w:tc>
          <w:tcPr>
            <w:tcW w:w="88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二类城镇住宅用地</w:t>
            </w:r>
          </w:p>
        </w:tc>
        <w:tc>
          <w:tcPr>
            <w:tcW w:w="36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1.5</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16"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73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7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35"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XS-01-09</w:t>
            </w:r>
          </w:p>
        </w:tc>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070102</w:t>
            </w:r>
          </w:p>
        </w:tc>
        <w:tc>
          <w:tcPr>
            <w:tcW w:w="88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二类城镇住宅用地</w:t>
            </w:r>
          </w:p>
        </w:tc>
        <w:tc>
          <w:tcPr>
            <w:tcW w:w="36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0.53</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1.5</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≥30%</w:t>
            </w:r>
          </w:p>
        </w:tc>
        <w:tc>
          <w:tcPr>
            <w:tcW w:w="316"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≤35</w:t>
            </w:r>
          </w:p>
        </w:tc>
        <w:tc>
          <w:tcPr>
            <w:tcW w:w="36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≤21米</w:t>
            </w:r>
          </w:p>
        </w:tc>
        <w:tc>
          <w:tcPr>
            <w:tcW w:w="738"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老年人日间照理</w:t>
            </w:r>
          </w:p>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健身场地</w:t>
            </w:r>
          </w:p>
        </w:tc>
        <w:tc>
          <w:tcPr>
            <w:tcW w:w="47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1车位/户</w:t>
            </w:r>
          </w:p>
        </w:tc>
        <w:tc>
          <w:tcPr>
            <w:tcW w:w="53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存量土地</w:t>
            </w:r>
            <w:r>
              <w:rPr>
                <w:rFonts w:hint="eastAsia" w:cs="宋体" w:asciiTheme="minorEastAsia" w:hAnsiTheme="minorEastAsia"/>
                <w:color w:val="000000"/>
                <w:kern w:val="0"/>
                <w:szCs w:val="21"/>
              </w:rPr>
              <w:br w:type="textWrapping"/>
            </w:r>
            <w:r>
              <w:rPr>
                <w:rFonts w:hint="eastAsia" w:cs="宋体" w:asciiTheme="minorEastAsia" w:hAnsiTheme="minorEastAsia"/>
                <w:color w:val="000000"/>
                <w:kern w:val="0"/>
                <w:szCs w:val="21"/>
              </w:rPr>
              <w:t>（规划新增）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XS-01-10</w:t>
            </w:r>
          </w:p>
        </w:tc>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070102</w:t>
            </w:r>
          </w:p>
        </w:tc>
        <w:tc>
          <w:tcPr>
            <w:tcW w:w="88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二类城镇住宅用地</w:t>
            </w:r>
          </w:p>
        </w:tc>
        <w:tc>
          <w:tcPr>
            <w:tcW w:w="36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0.42</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1.5</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≥30%</w:t>
            </w:r>
          </w:p>
        </w:tc>
        <w:tc>
          <w:tcPr>
            <w:tcW w:w="316"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≤35</w:t>
            </w:r>
          </w:p>
        </w:tc>
        <w:tc>
          <w:tcPr>
            <w:tcW w:w="36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≤21米</w:t>
            </w:r>
          </w:p>
        </w:tc>
        <w:tc>
          <w:tcPr>
            <w:tcW w:w="73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7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1车位/户</w:t>
            </w:r>
          </w:p>
        </w:tc>
        <w:tc>
          <w:tcPr>
            <w:tcW w:w="53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存量土地</w:t>
            </w:r>
            <w:r>
              <w:rPr>
                <w:rFonts w:hint="eastAsia" w:cs="宋体" w:asciiTheme="minorEastAsia" w:hAnsiTheme="minorEastAsia"/>
                <w:color w:val="000000"/>
                <w:kern w:val="0"/>
                <w:szCs w:val="21"/>
              </w:rPr>
              <w:br w:type="textWrapping"/>
            </w:r>
            <w:r>
              <w:rPr>
                <w:rFonts w:hint="eastAsia" w:cs="宋体" w:asciiTheme="minorEastAsia" w:hAnsiTheme="minorEastAsia"/>
                <w:color w:val="000000"/>
                <w:kern w:val="0"/>
                <w:szCs w:val="21"/>
              </w:rPr>
              <w:t>（规划新增）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XS-01-11</w:t>
            </w:r>
          </w:p>
        </w:tc>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070102</w:t>
            </w:r>
          </w:p>
        </w:tc>
        <w:tc>
          <w:tcPr>
            <w:tcW w:w="88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二类城镇住宅用地</w:t>
            </w:r>
          </w:p>
        </w:tc>
        <w:tc>
          <w:tcPr>
            <w:tcW w:w="36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1.66</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16"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73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7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35"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XS-01-12</w:t>
            </w:r>
          </w:p>
        </w:tc>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070102</w:t>
            </w:r>
          </w:p>
        </w:tc>
        <w:tc>
          <w:tcPr>
            <w:tcW w:w="88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二类城镇住宅用地</w:t>
            </w:r>
          </w:p>
        </w:tc>
        <w:tc>
          <w:tcPr>
            <w:tcW w:w="36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0.43</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16"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73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7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35"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XS-02-01</w:t>
            </w:r>
          </w:p>
        </w:tc>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1401</w:t>
            </w:r>
          </w:p>
        </w:tc>
        <w:tc>
          <w:tcPr>
            <w:tcW w:w="88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公园绿地</w:t>
            </w:r>
          </w:p>
        </w:tc>
        <w:tc>
          <w:tcPr>
            <w:tcW w:w="36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0.15</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16"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73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健身场地</w:t>
            </w:r>
          </w:p>
        </w:tc>
        <w:tc>
          <w:tcPr>
            <w:tcW w:w="47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3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存量土地</w:t>
            </w:r>
            <w:r>
              <w:rPr>
                <w:rFonts w:hint="eastAsia" w:cs="宋体" w:asciiTheme="minorEastAsia" w:hAnsiTheme="minorEastAsia"/>
                <w:color w:val="000000"/>
                <w:kern w:val="0"/>
                <w:szCs w:val="21"/>
              </w:rPr>
              <w:br w:type="textWrapping"/>
            </w:r>
            <w:r>
              <w:rPr>
                <w:rFonts w:hint="eastAsia" w:cs="宋体" w:asciiTheme="minorEastAsia" w:hAnsiTheme="minorEastAsia"/>
                <w:color w:val="000000"/>
                <w:kern w:val="0"/>
                <w:szCs w:val="21"/>
              </w:rPr>
              <w:t>（规划新增）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XS-02-02</w:t>
            </w:r>
          </w:p>
        </w:tc>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1401</w:t>
            </w:r>
          </w:p>
        </w:tc>
        <w:tc>
          <w:tcPr>
            <w:tcW w:w="88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公园绿地</w:t>
            </w:r>
          </w:p>
        </w:tc>
        <w:tc>
          <w:tcPr>
            <w:tcW w:w="36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0.06</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16"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738" w:type="pct"/>
            <w:shd w:val="clear" w:color="auto" w:fill="auto"/>
            <w:noWrap/>
            <w:vAlign w:val="center"/>
          </w:tcPr>
          <w:p>
            <w:pPr>
              <w:widowControl/>
              <w:jc w:val="center"/>
              <w:rPr>
                <w:rFonts w:cs="宋体" w:asciiTheme="minorEastAsia" w:hAnsiTheme="minorEastAsia"/>
                <w:color w:val="000000"/>
                <w:kern w:val="0"/>
                <w:szCs w:val="21"/>
              </w:rPr>
            </w:pPr>
          </w:p>
        </w:tc>
        <w:tc>
          <w:tcPr>
            <w:tcW w:w="47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3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存量土地</w:t>
            </w:r>
            <w:r>
              <w:rPr>
                <w:rFonts w:hint="eastAsia" w:cs="宋体" w:asciiTheme="minorEastAsia" w:hAnsiTheme="minorEastAsia"/>
                <w:color w:val="000000"/>
                <w:kern w:val="0"/>
                <w:szCs w:val="21"/>
              </w:rPr>
              <w:br w:type="textWrapping"/>
            </w:r>
            <w:r>
              <w:rPr>
                <w:rFonts w:hint="eastAsia" w:cs="宋体" w:asciiTheme="minorEastAsia" w:hAnsiTheme="minorEastAsia"/>
                <w:color w:val="000000"/>
                <w:kern w:val="0"/>
                <w:szCs w:val="21"/>
              </w:rPr>
              <w:t>（规划新增）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XS-02-03</w:t>
            </w:r>
          </w:p>
        </w:tc>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080701</w:t>
            </w:r>
          </w:p>
        </w:tc>
        <w:tc>
          <w:tcPr>
            <w:tcW w:w="88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老年人社会福利用地</w:t>
            </w:r>
          </w:p>
        </w:tc>
        <w:tc>
          <w:tcPr>
            <w:tcW w:w="36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0.54</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≥35%</w:t>
            </w:r>
          </w:p>
        </w:tc>
        <w:tc>
          <w:tcPr>
            <w:tcW w:w="316"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≤30</w:t>
            </w:r>
          </w:p>
        </w:tc>
        <w:tc>
          <w:tcPr>
            <w:tcW w:w="36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≤10米</w:t>
            </w:r>
          </w:p>
        </w:tc>
        <w:tc>
          <w:tcPr>
            <w:tcW w:w="73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7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3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存量土地</w:t>
            </w:r>
            <w:r>
              <w:rPr>
                <w:rFonts w:hint="eastAsia" w:cs="宋体" w:asciiTheme="minorEastAsia" w:hAnsiTheme="minorEastAsia"/>
                <w:color w:val="000000"/>
                <w:kern w:val="0"/>
                <w:szCs w:val="21"/>
              </w:rPr>
              <w:br w:type="textWrapping"/>
            </w:r>
            <w:r>
              <w:rPr>
                <w:rFonts w:hint="eastAsia" w:cs="宋体" w:asciiTheme="minorEastAsia" w:hAnsiTheme="minorEastAsia"/>
                <w:color w:val="000000"/>
                <w:kern w:val="0"/>
                <w:szCs w:val="21"/>
              </w:rPr>
              <w:t>（规划新增）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XS-02-04</w:t>
            </w:r>
          </w:p>
        </w:tc>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1209</w:t>
            </w:r>
          </w:p>
        </w:tc>
        <w:tc>
          <w:tcPr>
            <w:tcW w:w="88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其他交通设施用地</w:t>
            </w:r>
          </w:p>
        </w:tc>
        <w:tc>
          <w:tcPr>
            <w:tcW w:w="36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0.72</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16"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73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避难场地</w:t>
            </w:r>
          </w:p>
        </w:tc>
        <w:tc>
          <w:tcPr>
            <w:tcW w:w="47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35"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XS-02-05</w:t>
            </w:r>
          </w:p>
        </w:tc>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1401</w:t>
            </w:r>
          </w:p>
        </w:tc>
        <w:tc>
          <w:tcPr>
            <w:tcW w:w="88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公园绿地</w:t>
            </w:r>
          </w:p>
        </w:tc>
        <w:tc>
          <w:tcPr>
            <w:tcW w:w="36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0.04</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16"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738" w:type="pct"/>
            <w:shd w:val="clear" w:color="auto" w:fill="auto"/>
            <w:noWrap/>
            <w:vAlign w:val="center"/>
          </w:tcPr>
          <w:p>
            <w:pPr>
              <w:widowControl/>
              <w:jc w:val="center"/>
              <w:rPr>
                <w:rFonts w:cs="宋体" w:asciiTheme="minorEastAsia" w:hAnsiTheme="minorEastAsia"/>
                <w:color w:val="000000"/>
                <w:kern w:val="0"/>
                <w:szCs w:val="21"/>
              </w:rPr>
            </w:pPr>
          </w:p>
        </w:tc>
        <w:tc>
          <w:tcPr>
            <w:tcW w:w="47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3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存量土地</w:t>
            </w:r>
            <w:r>
              <w:rPr>
                <w:rFonts w:hint="eastAsia" w:cs="宋体" w:asciiTheme="minorEastAsia" w:hAnsiTheme="minorEastAsia"/>
                <w:color w:val="000000"/>
                <w:kern w:val="0"/>
                <w:szCs w:val="21"/>
              </w:rPr>
              <w:br w:type="textWrapping"/>
            </w:r>
            <w:r>
              <w:rPr>
                <w:rFonts w:hint="eastAsia" w:cs="宋体" w:asciiTheme="minorEastAsia" w:hAnsiTheme="minorEastAsia"/>
                <w:color w:val="000000"/>
                <w:kern w:val="0"/>
                <w:szCs w:val="21"/>
              </w:rPr>
              <w:t>（规划新增）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XS-02-06</w:t>
            </w:r>
          </w:p>
        </w:tc>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090101</w:t>
            </w:r>
          </w:p>
        </w:tc>
        <w:tc>
          <w:tcPr>
            <w:tcW w:w="88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零售商业用地</w:t>
            </w:r>
          </w:p>
        </w:tc>
        <w:tc>
          <w:tcPr>
            <w:tcW w:w="36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0.73</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1.8</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≤40</w:t>
            </w:r>
          </w:p>
        </w:tc>
        <w:tc>
          <w:tcPr>
            <w:tcW w:w="316"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≥20%</w:t>
            </w:r>
          </w:p>
        </w:tc>
        <w:tc>
          <w:tcPr>
            <w:tcW w:w="36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≤16米</w:t>
            </w:r>
          </w:p>
        </w:tc>
        <w:tc>
          <w:tcPr>
            <w:tcW w:w="738" w:type="pct"/>
            <w:shd w:val="clear" w:color="auto" w:fill="auto"/>
            <w:noWrap/>
            <w:vAlign w:val="center"/>
          </w:tcPr>
          <w:p>
            <w:pPr>
              <w:widowControl/>
              <w:jc w:val="center"/>
              <w:rPr>
                <w:rFonts w:cs="宋体" w:asciiTheme="minorEastAsia" w:hAnsiTheme="minorEastAsia"/>
                <w:color w:val="000000"/>
                <w:kern w:val="0"/>
                <w:szCs w:val="21"/>
              </w:rPr>
            </w:pPr>
          </w:p>
        </w:tc>
        <w:tc>
          <w:tcPr>
            <w:tcW w:w="473"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1.5车位/100㎡建筑面积</w:t>
            </w:r>
          </w:p>
        </w:tc>
        <w:tc>
          <w:tcPr>
            <w:tcW w:w="53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存量土地</w:t>
            </w:r>
            <w:r>
              <w:rPr>
                <w:rFonts w:hint="eastAsia" w:cs="宋体" w:asciiTheme="minorEastAsia" w:hAnsiTheme="minorEastAsia"/>
                <w:color w:val="000000"/>
                <w:kern w:val="0"/>
                <w:szCs w:val="21"/>
              </w:rPr>
              <w:br w:type="textWrapping"/>
            </w:r>
            <w:r>
              <w:rPr>
                <w:rFonts w:hint="eastAsia" w:cs="宋体" w:asciiTheme="minorEastAsia" w:hAnsiTheme="minorEastAsia"/>
                <w:color w:val="000000"/>
                <w:kern w:val="0"/>
                <w:szCs w:val="21"/>
              </w:rPr>
              <w:t>（规划新增）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XS-02-07</w:t>
            </w:r>
          </w:p>
        </w:tc>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080501</w:t>
            </w:r>
          </w:p>
        </w:tc>
        <w:tc>
          <w:tcPr>
            <w:tcW w:w="88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体育场馆用地</w:t>
            </w:r>
          </w:p>
        </w:tc>
        <w:tc>
          <w:tcPr>
            <w:tcW w:w="36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0.72</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16"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73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避难场地、健身场地</w:t>
            </w:r>
          </w:p>
        </w:tc>
        <w:tc>
          <w:tcPr>
            <w:tcW w:w="47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4车位/100座位</w:t>
            </w:r>
          </w:p>
        </w:tc>
        <w:tc>
          <w:tcPr>
            <w:tcW w:w="53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存量土地</w:t>
            </w:r>
            <w:r>
              <w:rPr>
                <w:rFonts w:hint="eastAsia" w:cs="宋体" w:asciiTheme="minorEastAsia" w:hAnsiTheme="minorEastAsia"/>
                <w:color w:val="000000"/>
                <w:kern w:val="0"/>
                <w:szCs w:val="21"/>
              </w:rPr>
              <w:br w:type="textWrapping"/>
            </w:r>
            <w:r>
              <w:rPr>
                <w:rFonts w:hint="eastAsia" w:cs="宋体" w:asciiTheme="minorEastAsia" w:hAnsiTheme="minorEastAsia"/>
                <w:color w:val="000000"/>
                <w:kern w:val="0"/>
                <w:szCs w:val="21"/>
              </w:rPr>
              <w:t>（规划新增）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XS-02-08</w:t>
            </w:r>
          </w:p>
        </w:tc>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070102</w:t>
            </w:r>
          </w:p>
        </w:tc>
        <w:tc>
          <w:tcPr>
            <w:tcW w:w="88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二类城镇住宅用地</w:t>
            </w:r>
          </w:p>
        </w:tc>
        <w:tc>
          <w:tcPr>
            <w:tcW w:w="36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0.49</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16"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73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7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35"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XS-02-09</w:t>
            </w:r>
          </w:p>
        </w:tc>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90101</w:t>
            </w:r>
          </w:p>
        </w:tc>
        <w:tc>
          <w:tcPr>
            <w:tcW w:w="88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零售商业用地</w:t>
            </w:r>
          </w:p>
        </w:tc>
        <w:tc>
          <w:tcPr>
            <w:tcW w:w="36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0.39</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16"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73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7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35"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XS-02-10</w:t>
            </w:r>
          </w:p>
        </w:tc>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90101</w:t>
            </w:r>
          </w:p>
        </w:tc>
        <w:tc>
          <w:tcPr>
            <w:tcW w:w="88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零售商业用地</w:t>
            </w:r>
          </w:p>
        </w:tc>
        <w:tc>
          <w:tcPr>
            <w:tcW w:w="36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0.2</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16"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73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7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35"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XS-02-11</w:t>
            </w:r>
          </w:p>
        </w:tc>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070102</w:t>
            </w:r>
          </w:p>
        </w:tc>
        <w:tc>
          <w:tcPr>
            <w:tcW w:w="88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二类城镇住宅用地</w:t>
            </w:r>
          </w:p>
        </w:tc>
        <w:tc>
          <w:tcPr>
            <w:tcW w:w="36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0.23</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16"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73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7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35"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XS-02-12</w:t>
            </w:r>
          </w:p>
        </w:tc>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1401</w:t>
            </w:r>
          </w:p>
        </w:tc>
        <w:tc>
          <w:tcPr>
            <w:tcW w:w="88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公园绿地</w:t>
            </w:r>
          </w:p>
        </w:tc>
        <w:tc>
          <w:tcPr>
            <w:tcW w:w="36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0.09</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16"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73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7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35"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XS-02-13</w:t>
            </w:r>
          </w:p>
        </w:tc>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1401</w:t>
            </w:r>
          </w:p>
        </w:tc>
        <w:tc>
          <w:tcPr>
            <w:tcW w:w="88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公园绿地</w:t>
            </w:r>
          </w:p>
        </w:tc>
        <w:tc>
          <w:tcPr>
            <w:tcW w:w="36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0.18</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16"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73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7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35"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XS-02-14</w:t>
            </w:r>
          </w:p>
        </w:tc>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070102</w:t>
            </w:r>
          </w:p>
        </w:tc>
        <w:tc>
          <w:tcPr>
            <w:tcW w:w="88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二类城镇住宅用地</w:t>
            </w:r>
          </w:p>
        </w:tc>
        <w:tc>
          <w:tcPr>
            <w:tcW w:w="36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0.18</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16"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73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7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35"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XS-02-15</w:t>
            </w:r>
          </w:p>
        </w:tc>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1401</w:t>
            </w:r>
          </w:p>
        </w:tc>
        <w:tc>
          <w:tcPr>
            <w:tcW w:w="88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公园绿地</w:t>
            </w:r>
          </w:p>
        </w:tc>
        <w:tc>
          <w:tcPr>
            <w:tcW w:w="36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0.29</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16"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73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健身场地</w:t>
            </w:r>
          </w:p>
        </w:tc>
        <w:tc>
          <w:tcPr>
            <w:tcW w:w="47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35"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XS-02-16</w:t>
            </w:r>
          </w:p>
        </w:tc>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090101</w:t>
            </w:r>
          </w:p>
        </w:tc>
        <w:tc>
          <w:tcPr>
            <w:tcW w:w="88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零售商业用地</w:t>
            </w:r>
          </w:p>
        </w:tc>
        <w:tc>
          <w:tcPr>
            <w:tcW w:w="36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0.22</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16"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73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7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35"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XS-02-17</w:t>
            </w:r>
          </w:p>
        </w:tc>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080602</w:t>
            </w:r>
          </w:p>
        </w:tc>
        <w:tc>
          <w:tcPr>
            <w:tcW w:w="88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基层医疗卫生设施用地</w:t>
            </w:r>
          </w:p>
        </w:tc>
        <w:tc>
          <w:tcPr>
            <w:tcW w:w="36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0.13</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16"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73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计生站</w:t>
            </w:r>
          </w:p>
        </w:tc>
        <w:tc>
          <w:tcPr>
            <w:tcW w:w="47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35"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XS-02-18</w:t>
            </w:r>
          </w:p>
        </w:tc>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070102</w:t>
            </w:r>
          </w:p>
        </w:tc>
        <w:tc>
          <w:tcPr>
            <w:tcW w:w="88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二类城镇住宅用地</w:t>
            </w:r>
          </w:p>
        </w:tc>
        <w:tc>
          <w:tcPr>
            <w:tcW w:w="36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0.49</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16"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73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7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35"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XS-02-19</w:t>
            </w:r>
          </w:p>
        </w:tc>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080602</w:t>
            </w:r>
          </w:p>
        </w:tc>
        <w:tc>
          <w:tcPr>
            <w:tcW w:w="88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基层医疗卫生设施用地</w:t>
            </w:r>
          </w:p>
        </w:tc>
        <w:tc>
          <w:tcPr>
            <w:tcW w:w="36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0.25</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16"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73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象山卫生院</w:t>
            </w:r>
          </w:p>
        </w:tc>
        <w:tc>
          <w:tcPr>
            <w:tcW w:w="47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35"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XS-02-20</w:t>
            </w:r>
          </w:p>
        </w:tc>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090101</w:t>
            </w:r>
          </w:p>
        </w:tc>
        <w:tc>
          <w:tcPr>
            <w:tcW w:w="88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零售商业用地</w:t>
            </w:r>
          </w:p>
        </w:tc>
        <w:tc>
          <w:tcPr>
            <w:tcW w:w="36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0.12</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16"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73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7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35"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XS-02-21</w:t>
            </w:r>
          </w:p>
        </w:tc>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070102</w:t>
            </w:r>
          </w:p>
        </w:tc>
        <w:tc>
          <w:tcPr>
            <w:tcW w:w="88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二类城镇住宅用地</w:t>
            </w:r>
          </w:p>
        </w:tc>
        <w:tc>
          <w:tcPr>
            <w:tcW w:w="36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0.06</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16"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73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7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35"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XS-02-22</w:t>
            </w:r>
          </w:p>
        </w:tc>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070102</w:t>
            </w:r>
          </w:p>
        </w:tc>
        <w:tc>
          <w:tcPr>
            <w:tcW w:w="88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二类城镇住宅用地</w:t>
            </w:r>
          </w:p>
        </w:tc>
        <w:tc>
          <w:tcPr>
            <w:tcW w:w="36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0.89</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16"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73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健身场地</w:t>
            </w:r>
          </w:p>
        </w:tc>
        <w:tc>
          <w:tcPr>
            <w:tcW w:w="47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35"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XS-02-23</w:t>
            </w:r>
          </w:p>
        </w:tc>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070102</w:t>
            </w:r>
          </w:p>
        </w:tc>
        <w:tc>
          <w:tcPr>
            <w:tcW w:w="88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二类城镇住宅用地</w:t>
            </w:r>
          </w:p>
        </w:tc>
        <w:tc>
          <w:tcPr>
            <w:tcW w:w="36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0.64</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16"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73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7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35"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XS-02-24</w:t>
            </w:r>
          </w:p>
        </w:tc>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090101</w:t>
            </w:r>
          </w:p>
        </w:tc>
        <w:tc>
          <w:tcPr>
            <w:tcW w:w="88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零售商业用地</w:t>
            </w:r>
          </w:p>
        </w:tc>
        <w:tc>
          <w:tcPr>
            <w:tcW w:w="36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0.39</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16"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73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7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35"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商住比例6:4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XS-02-25</w:t>
            </w:r>
          </w:p>
        </w:tc>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070102</w:t>
            </w:r>
          </w:p>
        </w:tc>
        <w:tc>
          <w:tcPr>
            <w:tcW w:w="88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二类城镇住宅用地</w:t>
            </w:r>
          </w:p>
        </w:tc>
        <w:tc>
          <w:tcPr>
            <w:tcW w:w="36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0.46</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16"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73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金象花园</w:t>
            </w:r>
          </w:p>
        </w:tc>
        <w:tc>
          <w:tcPr>
            <w:tcW w:w="47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35"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XS-02-26</w:t>
            </w:r>
          </w:p>
        </w:tc>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070102</w:t>
            </w:r>
          </w:p>
        </w:tc>
        <w:tc>
          <w:tcPr>
            <w:tcW w:w="88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二类城镇住宅用地</w:t>
            </w:r>
          </w:p>
        </w:tc>
        <w:tc>
          <w:tcPr>
            <w:tcW w:w="36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0.28</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16"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73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7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35"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XS-02-27</w:t>
            </w:r>
          </w:p>
        </w:tc>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090101</w:t>
            </w:r>
          </w:p>
        </w:tc>
        <w:tc>
          <w:tcPr>
            <w:tcW w:w="88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零售商业用地</w:t>
            </w:r>
          </w:p>
        </w:tc>
        <w:tc>
          <w:tcPr>
            <w:tcW w:w="36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0.36</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16"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73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7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35"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商住比例6:4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XS-02-28</w:t>
            </w:r>
          </w:p>
        </w:tc>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070102</w:t>
            </w:r>
          </w:p>
        </w:tc>
        <w:tc>
          <w:tcPr>
            <w:tcW w:w="88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二类城镇住宅用地</w:t>
            </w:r>
          </w:p>
        </w:tc>
        <w:tc>
          <w:tcPr>
            <w:tcW w:w="36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1.09</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16"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73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幼儿园、健身场地</w:t>
            </w:r>
          </w:p>
        </w:tc>
        <w:tc>
          <w:tcPr>
            <w:tcW w:w="47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35"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XS-02-29</w:t>
            </w:r>
          </w:p>
        </w:tc>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090101</w:t>
            </w:r>
          </w:p>
        </w:tc>
        <w:tc>
          <w:tcPr>
            <w:tcW w:w="88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零售商业用地</w:t>
            </w:r>
          </w:p>
        </w:tc>
        <w:tc>
          <w:tcPr>
            <w:tcW w:w="36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0.64</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16"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73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象山农贸市场</w:t>
            </w:r>
          </w:p>
        </w:tc>
        <w:tc>
          <w:tcPr>
            <w:tcW w:w="47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35"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XS-02-30</w:t>
            </w:r>
          </w:p>
        </w:tc>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090101</w:t>
            </w:r>
          </w:p>
        </w:tc>
        <w:tc>
          <w:tcPr>
            <w:tcW w:w="88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零售商业用地</w:t>
            </w:r>
          </w:p>
        </w:tc>
        <w:tc>
          <w:tcPr>
            <w:tcW w:w="36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0.19</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16"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73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7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35"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商住比例6:4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XS-02-31</w:t>
            </w:r>
          </w:p>
        </w:tc>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090101</w:t>
            </w:r>
          </w:p>
        </w:tc>
        <w:tc>
          <w:tcPr>
            <w:tcW w:w="88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零售商业用地</w:t>
            </w:r>
          </w:p>
        </w:tc>
        <w:tc>
          <w:tcPr>
            <w:tcW w:w="36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0.4</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16"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73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7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35"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商住比例6:4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XS-02-32</w:t>
            </w:r>
          </w:p>
        </w:tc>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070102</w:t>
            </w:r>
          </w:p>
        </w:tc>
        <w:tc>
          <w:tcPr>
            <w:tcW w:w="88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二类城镇住宅用地</w:t>
            </w:r>
          </w:p>
        </w:tc>
        <w:tc>
          <w:tcPr>
            <w:tcW w:w="36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0.73</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1.5</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≥30%</w:t>
            </w:r>
          </w:p>
        </w:tc>
        <w:tc>
          <w:tcPr>
            <w:tcW w:w="316"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≤35</w:t>
            </w:r>
          </w:p>
        </w:tc>
        <w:tc>
          <w:tcPr>
            <w:tcW w:w="36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≤21米</w:t>
            </w:r>
          </w:p>
        </w:tc>
        <w:tc>
          <w:tcPr>
            <w:tcW w:w="738"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老年人日间照理</w:t>
            </w:r>
          </w:p>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健身场地</w:t>
            </w:r>
          </w:p>
        </w:tc>
        <w:tc>
          <w:tcPr>
            <w:tcW w:w="47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1车位/户</w:t>
            </w:r>
          </w:p>
        </w:tc>
        <w:tc>
          <w:tcPr>
            <w:tcW w:w="53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存量土地</w:t>
            </w:r>
            <w:r>
              <w:rPr>
                <w:rFonts w:hint="eastAsia" w:cs="宋体" w:asciiTheme="minorEastAsia" w:hAnsiTheme="minorEastAsia"/>
                <w:color w:val="000000"/>
                <w:kern w:val="0"/>
                <w:szCs w:val="21"/>
              </w:rPr>
              <w:br w:type="textWrapping"/>
            </w:r>
            <w:r>
              <w:rPr>
                <w:rFonts w:hint="eastAsia" w:cs="宋体" w:asciiTheme="minorEastAsia" w:hAnsiTheme="minorEastAsia"/>
                <w:color w:val="000000"/>
                <w:kern w:val="0"/>
                <w:szCs w:val="21"/>
              </w:rPr>
              <w:t>（规划新增）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XS-02-33</w:t>
            </w:r>
          </w:p>
        </w:tc>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120803</w:t>
            </w:r>
          </w:p>
        </w:tc>
        <w:tc>
          <w:tcPr>
            <w:tcW w:w="88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社会停车场用地</w:t>
            </w:r>
          </w:p>
        </w:tc>
        <w:tc>
          <w:tcPr>
            <w:tcW w:w="36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0.13</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16"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73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避难场地</w:t>
            </w:r>
          </w:p>
        </w:tc>
        <w:tc>
          <w:tcPr>
            <w:tcW w:w="47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3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存量土地</w:t>
            </w:r>
            <w:r>
              <w:rPr>
                <w:rFonts w:hint="eastAsia" w:cs="宋体" w:asciiTheme="minorEastAsia" w:hAnsiTheme="minorEastAsia"/>
                <w:color w:val="000000"/>
                <w:kern w:val="0"/>
                <w:szCs w:val="21"/>
              </w:rPr>
              <w:br w:type="textWrapping"/>
            </w:r>
            <w:r>
              <w:rPr>
                <w:rFonts w:hint="eastAsia" w:cs="宋体" w:asciiTheme="minorEastAsia" w:hAnsiTheme="minorEastAsia"/>
                <w:color w:val="000000"/>
                <w:kern w:val="0"/>
                <w:szCs w:val="21"/>
              </w:rPr>
              <w:t>（规划新增）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XS-02-34</w:t>
            </w:r>
          </w:p>
        </w:tc>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070102</w:t>
            </w:r>
          </w:p>
        </w:tc>
        <w:tc>
          <w:tcPr>
            <w:tcW w:w="88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二类城镇住宅用地</w:t>
            </w:r>
          </w:p>
        </w:tc>
        <w:tc>
          <w:tcPr>
            <w:tcW w:w="36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1.17</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1.5</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≥30%</w:t>
            </w:r>
          </w:p>
        </w:tc>
        <w:tc>
          <w:tcPr>
            <w:tcW w:w="316"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≤35</w:t>
            </w:r>
          </w:p>
        </w:tc>
        <w:tc>
          <w:tcPr>
            <w:tcW w:w="36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≤21米</w:t>
            </w:r>
          </w:p>
        </w:tc>
        <w:tc>
          <w:tcPr>
            <w:tcW w:w="738"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公共厕所</w:t>
            </w:r>
            <w:r>
              <w:rPr>
                <w:rFonts w:hint="eastAsia" w:cs="宋体" w:asciiTheme="minorEastAsia" w:hAnsiTheme="minorEastAsia"/>
                <w:color w:val="000000"/>
                <w:kern w:val="0"/>
                <w:szCs w:val="21"/>
              </w:rPr>
              <w:br w:type="textWrapping"/>
            </w:r>
            <w:r>
              <w:rPr>
                <w:rFonts w:hint="eastAsia" w:cs="宋体" w:asciiTheme="minorEastAsia" w:hAnsiTheme="minorEastAsia"/>
                <w:color w:val="000000"/>
                <w:kern w:val="0"/>
                <w:szCs w:val="21"/>
              </w:rPr>
              <w:t>健身场地</w:t>
            </w:r>
          </w:p>
        </w:tc>
        <w:tc>
          <w:tcPr>
            <w:tcW w:w="47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1车位/户</w:t>
            </w:r>
          </w:p>
        </w:tc>
        <w:tc>
          <w:tcPr>
            <w:tcW w:w="53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存量土地</w:t>
            </w:r>
            <w:r>
              <w:rPr>
                <w:rFonts w:hint="eastAsia" w:cs="宋体" w:asciiTheme="minorEastAsia" w:hAnsiTheme="minorEastAsia"/>
                <w:color w:val="000000"/>
                <w:kern w:val="0"/>
                <w:szCs w:val="21"/>
              </w:rPr>
              <w:br w:type="textWrapping"/>
            </w:r>
            <w:r>
              <w:rPr>
                <w:rFonts w:hint="eastAsia" w:cs="宋体" w:asciiTheme="minorEastAsia" w:hAnsiTheme="minorEastAsia"/>
                <w:color w:val="000000"/>
                <w:kern w:val="0"/>
                <w:szCs w:val="21"/>
              </w:rPr>
              <w:t>（规划新增）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XS-02-35</w:t>
            </w:r>
          </w:p>
        </w:tc>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0801</w:t>
            </w:r>
          </w:p>
        </w:tc>
        <w:tc>
          <w:tcPr>
            <w:tcW w:w="88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机关团体用地</w:t>
            </w:r>
          </w:p>
        </w:tc>
        <w:tc>
          <w:tcPr>
            <w:tcW w:w="36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0.53</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16"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73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派出所</w:t>
            </w:r>
          </w:p>
        </w:tc>
        <w:tc>
          <w:tcPr>
            <w:tcW w:w="47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3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存量土地</w:t>
            </w:r>
            <w:r>
              <w:rPr>
                <w:rFonts w:hint="eastAsia" w:cs="宋体" w:asciiTheme="minorEastAsia" w:hAnsiTheme="minorEastAsia"/>
                <w:color w:val="000000"/>
                <w:kern w:val="0"/>
                <w:szCs w:val="21"/>
              </w:rPr>
              <w:br w:type="textWrapping"/>
            </w:r>
            <w:r>
              <w:rPr>
                <w:rFonts w:hint="eastAsia" w:cs="宋体" w:asciiTheme="minorEastAsia" w:hAnsiTheme="minorEastAsia"/>
                <w:color w:val="000000"/>
                <w:kern w:val="0"/>
                <w:szCs w:val="21"/>
              </w:rPr>
              <w:t>（规划新增）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XS-02-36</w:t>
            </w:r>
          </w:p>
        </w:tc>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1401</w:t>
            </w:r>
          </w:p>
        </w:tc>
        <w:tc>
          <w:tcPr>
            <w:tcW w:w="88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公园绿地</w:t>
            </w:r>
          </w:p>
        </w:tc>
        <w:tc>
          <w:tcPr>
            <w:tcW w:w="36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1.37</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16"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73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公共厕所</w:t>
            </w:r>
          </w:p>
        </w:tc>
        <w:tc>
          <w:tcPr>
            <w:tcW w:w="47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35"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XS-03-01</w:t>
            </w:r>
          </w:p>
        </w:tc>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070102</w:t>
            </w:r>
          </w:p>
        </w:tc>
        <w:tc>
          <w:tcPr>
            <w:tcW w:w="88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二类城镇住宅用地</w:t>
            </w:r>
          </w:p>
        </w:tc>
        <w:tc>
          <w:tcPr>
            <w:tcW w:w="36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0.85</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1.5</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≥30%</w:t>
            </w:r>
          </w:p>
        </w:tc>
        <w:tc>
          <w:tcPr>
            <w:tcW w:w="316"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≤35</w:t>
            </w:r>
          </w:p>
        </w:tc>
        <w:tc>
          <w:tcPr>
            <w:tcW w:w="36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≤21米</w:t>
            </w:r>
          </w:p>
        </w:tc>
        <w:tc>
          <w:tcPr>
            <w:tcW w:w="738"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老年人日间照理</w:t>
            </w:r>
          </w:p>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健身场地</w:t>
            </w:r>
          </w:p>
        </w:tc>
        <w:tc>
          <w:tcPr>
            <w:tcW w:w="47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1车位/户</w:t>
            </w:r>
          </w:p>
        </w:tc>
        <w:tc>
          <w:tcPr>
            <w:tcW w:w="53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存量土地</w:t>
            </w:r>
            <w:r>
              <w:rPr>
                <w:rFonts w:hint="eastAsia" w:cs="宋体" w:asciiTheme="minorEastAsia" w:hAnsiTheme="minorEastAsia"/>
                <w:color w:val="000000"/>
                <w:kern w:val="0"/>
                <w:szCs w:val="21"/>
              </w:rPr>
              <w:br w:type="textWrapping"/>
            </w:r>
            <w:r>
              <w:rPr>
                <w:rFonts w:hint="eastAsia" w:cs="宋体" w:asciiTheme="minorEastAsia" w:hAnsiTheme="minorEastAsia"/>
                <w:color w:val="000000"/>
                <w:kern w:val="0"/>
                <w:szCs w:val="21"/>
              </w:rPr>
              <w:t>（规划新增）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XS-03-02</w:t>
            </w:r>
          </w:p>
        </w:tc>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1401</w:t>
            </w:r>
          </w:p>
        </w:tc>
        <w:tc>
          <w:tcPr>
            <w:tcW w:w="88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公园绿地</w:t>
            </w:r>
          </w:p>
        </w:tc>
        <w:tc>
          <w:tcPr>
            <w:tcW w:w="36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0.03</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16"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73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7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3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存量土地</w:t>
            </w:r>
            <w:r>
              <w:rPr>
                <w:rFonts w:hint="eastAsia" w:cs="宋体" w:asciiTheme="minorEastAsia" w:hAnsiTheme="minorEastAsia"/>
                <w:color w:val="000000"/>
                <w:kern w:val="0"/>
                <w:szCs w:val="21"/>
              </w:rPr>
              <w:br w:type="textWrapping"/>
            </w:r>
            <w:r>
              <w:rPr>
                <w:rFonts w:hint="eastAsia" w:cs="宋体" w:asciiTheme="minorEastAsia" w:hAnsiTheme="minorEastAsia"/>
                <w:color w:val="000000"/>
                <w:kern w:val="0"/>
                <w:szCs w:val="21"/>
              </w:rPr>
              <w:t>（规划新增）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XS-03-03</w:t>
            </w:r>
          </w:p>
        </w:tc>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1401</w:t>
            </w:r>
          </w:p>
        </w:tc>
        <w:tc>
          <w:tcPr>
            <w:tcW w:w="88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公园绿地</w:t>
            </w:r>
          </w:p>
        </w:tc>
        <w:tc>
          <w:tcPr>
            <w:tcW w:w="36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0.12</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16"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73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7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3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存量土地</w:t>
            </w:r>
            <w:r>
              <w:rPr>
                <w:rFonts w:hint="eastAsia" w:cs="宋体" w:asciiTheme="minorEastAsia" w:hAnsiTheme="minorEastAsia"/>
                <w:color w:val="000000"/>
                <w:kern w:val="0"/>
                <w:szCs w:val="21"/>
              </w:rPr>
              <w:br w:type="textWrapping"/>
            </w:r>
            <w:r>
              <w:rPr>
                <w:rFonts w:hint="eastAsia" w:cs="宋体" w:asciiTheme="minorEastAsia" w:hAnsiTheme="minorEastAsia"/>
                <w:color w:val="000000"/>
                <w:kern w:val="0"/>
                <w:szCs w:val="21"/>
              </w:rPr>
              <w:t>（规划新增）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XS-03-04</w:t>
            </w:r>
          </w:p>
        </w:tc>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120803</w:t>
            </w:r>
          </w:p>
        </w:tc>
        <w:tc>
          <w:tcPr>
            <w:tcW w:w="88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社会停车场用地</w:t>
            </w:r>
          </w:p>
        </w:tc>
        <w:tc>
          <w:tcPr>
            <w:tcW w:w="36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0.14</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16"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73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7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35"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更新改造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XS-03-05</w:t>
            </w:r>
          </w:p>
        </w:tc>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070102</w:t>
            </w:r>
          </w:p>
        </w:tc>
        <w:tc>
          <w:tcPr>
            <w:tcW w:w="88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二类城镇住宅用地</w:t>
            </w:r>
          </w:p>
        </w:tc>
        <w:tc>
          <w:tcPr>
            <w:tcW w:w="36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0.53</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16"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73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7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35"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XS-03-06</w:t>
            </w:r>
          </w:p>
        </w:tc>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070102</w:t>
            </w:r>
          </w:p>
        </w:tc>
        <w:tc>
          <w:tcPr>
            <w:tcW w:w="88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二类城镇住宅用地</w:t>
            </w:r>
          </w:p>
        </w:tc>
        <w:tc>
          <w:tcPr>
            <w:tcW w:w="36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0.38</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16"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73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老年人日间照理</w:t>
            </w:r>
          </w:p>
        </w:tc>
        <w:tc>
          <w:tcPr>
            <w:tcW w:w="47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35"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XS-03-07</w:t>
            </w:r>
          </w:p>
        </w:tc>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070102</w:t>
            </w:r>
          </w:p>
        </w:tc>
        <w:tc>
          <w:tcPr>
            <w:tcW w:w="88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二类城镇住宅用地</w:t>
            </w:r>
          </w:p>
        </w:tc>
        <w:tc>
          <w:tcPr>
            <w:tcW w:w="36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0.33</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16"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73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7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35"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XS-03-08</w:t>
            </w:r>
          </w:p>
        </w:tc>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080404</w:t>
            </w:r>
          </w:p>
        </w:tc>
        <w:tc>
          <w:tcPr>
            <w:tcW w:w="88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幼儿园用地</w:t>
            </w:r>
          </w:p>
        </w:tc>
        <w:tc>
          <w:tcPr>
            <w:tcW w:w="36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0.08</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16"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73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现状恒昕幼儿园</w:t>
            </w:r>
          </w:p>
        </w:tc>
        <w:tc>
          <w:tcPr>
            <w:tcW w:w="47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35"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XS-03-09</w:t>
            </w:r>
          </w:p>
        </w:tc>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070102</w:t>
            </w:r>
          </w:p>
        </w:tc>
        <w:tc>
          <w:tcPr>
            <w:tcW w:w="88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二类城镇住宅用地</w:t>
            </w:r>
          </w:p>
        </w:tc>
        <w:tc>
          <w:tcPr>
            <w:tcW w:w="36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0.11</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16"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73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7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35"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XS-03-10</w:t>
            </w:r>
          </w:p>
        </w:tc>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090105</w:t>
            </w:r>
          </w:p>
        </w:tc>
        <w:tc>
          <w:tcPr>
            <w:tcW w:w="88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公用设施营业网点用地</w:t>
            </w:r>
          </w:p>
        </w:tc>
        <w:tc>
          <w:tcPr>
            <w:tcW w:w="36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0.13</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16"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73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邮政局（邮政快递）</w:t>
            </w:r>
          </w:p>
        </w:tc>
        <w:tc>
          <w:tcPr>
            <w:tcW w:w="47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35"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XS-03-11</w:t>
            </w:r>
          </w:p>
        </w:tc>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070102</w:t>
            </w:r>
          </w:p>
        </w:tc>
        <w:tc>
          <w:tcPr>
            <w:tcW w:w="88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二类城镇住宅用地</w:t>
            </w:r>
          </w:p>
        </w:tc>
        <w:tc>
          <w:tcPr>
            <w:tcW w:w="36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0.22</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16"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73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7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35"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XS-03-12</w:t>
            </w:r>
          </w:p>
        </w:tc>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070102</w:t>
            </w:r>
          </w:p>
        </w:tc>
        <w:tc>
          <w:tcPr>
            <w:tcW w:w="88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二类城镇住宅用地</w:t>
            </w:r>
          </w:p>
        </w:tc>
        <w:tc>
          <w:tcPr>
            <w:tcW w:w="36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0.99</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16"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73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健身场地</w:t>
            </w:r>
          </w:p>
        </w:tc>
        <w:tc>
          <w:tcPr>
            <w:tcW w:w="47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35"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XS-03-13</w:t>
            </w:r>
          </w:p>
        </w:tc>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080302</w:t>
            </w:r>
          </w:p>
        </w:tc>
        <w:tc>
          <w:tcPr>
            <w:tcW w:w="88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文化活动用地</w:t>
            </w:r>
          </w:p>
        </w:tc>
        <w:tc>
          <w:tcPr>
            <w:tcW w:w="36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0.14</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16"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73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现状镇综合文化站</w:t>
            </w:r>
          </w:p>
        </w:tc>
        <w:tc>
          <w:tcPr>
            <w:tcW w:w="47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35"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XS-03-14</w:t>
            </w:r>
          </w:p>
        </w:tc>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1403</w:t>
            </w:r>
          </w:p>
        </w:tc>
        <w:tc>
          <w:tcPr>
            <w:tcW w:w="88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广场用地</w:t>
            </w:r>
          </w:p>
        </w:tc>
        <w:tc>
          <w:tcPr>
            <w:tcW w:w="36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0.18</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16"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73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现状广场</w:t>
            </w:r>
          </w:p>
        </w:tc>
        <w:tc>
          <w:tcPr>
            <w:tcW w:w="47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35"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XS-03-15</w:t>
            </w:r>
          </w:p>
        </w:tc>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090101</w:t>
            </w:r>
          </w:p>
        </w:tc>
        <w:tc>
          <w:tcPr>
            <w:tcW w:w="88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零售商业用地</w:t>
            </w:r>
          </w:p>
        </w:tc>
        <w:tc>
          <w:tcPr>
            <w:tcW w:w="36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0.42</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16"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73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象山镇综合市场</w:t>
            </w:r>
          </w:p>
        </w:tc>
        <w:tc>
          <w:tcPr>
            <w:tcW w:w="47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35"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XS-03-16</w:t>
            </w:r>
          </w:p>
        </w:tc>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070102</w:t>
            </w:r>
          </w:p>
        </w:tc>
        <w:tc>
          <w:tcPr>
            <w:tcW w:w="88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二类城镇住宅用地</w:t>
            </w:r>
          </w:p>
        </w:tc>
        <w:tc>
          <w:tcPr>
            <w:tcW w:w="36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0.52</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16"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73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7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35"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XS-03-17</w:t>
            </w:r>
          </w:p>
        </w:tc>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070102</w:t>
            </w:r>
          </w:p>
        </w:tc>
        <w:tc>
          <w:tcPr>
            <w:tcW w:w="88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二类城镇住宅用地</w:t>
            </w:r>
          </w:p>
        </w:tc>
        <w:tc>
          <w:tcPr>
            <w:tcW w:w="36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0.52</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16"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73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7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35"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XS-03-18</w:t>
            </w:r>
          </w:p>
        </w:tc>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080404</w:t>
            </w:r>
          </w:p>
        </w:tc>
        <w:tc>
          <w:tcPr>
            <w:tcW w:w="88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幼儿园用地</w:t>
            </w:r>
          </w:p>
        </w:tc>
        <w:tc>
          <w:tcPr>
            <w:tcW w:w="36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0.06</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16"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73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现状幼儿园</w:t>
            </w:r>
          </w:p>
        </w:tc>
        <w:tc>
          <w:tcPr>
            <w:tcW w:w="47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35"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XS-03-19</w:t>
            </w:r>
          </w:p>
        </w:tc>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070102</w:t>
            </w:r>
          </w:p>
        </w:tc>
        <w:tc>
          <w:tcPr>
            <w:tcW w:w="88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二类城镇住宅用地</w:t>
            </w:r>
          </w:p>
        </w:tc>
        <w:tc>
          <w:tcPr>
            <w:tcW w:w="36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0.36</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16"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73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7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35"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XS-03-20</w:t>
            </w:r>
          </w:p>
        </w:tc>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0801</w:t>
            </w:r>
          </w:p>
        </w:tc>
        <w:tc>
          <w:tcPr>
            <w:tcW w:w="88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机关团体用地</w:t>
            </w:r>
          </w:p>
        </w:tc>
        <w:tc>
          <w:tcPr>
            <w:tcW w:w="36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0.04</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16"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73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现状税务所</w:t>
            </w:r>
          </w:p>
        </w:tc>
        <w:tc>
          <w:tcPr>
            <w:tcW w:w="47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35"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XS-03-21</w:t>
            </w:r>
          </w:p>
        </w:tc>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070102</w:t>
            </w:r>
          </w:p>
        </w:tc>
        <w:tc>
          <w:tcPr>
            <w:tcW w:w="88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二类城镇住宅用地</w:t>
            </w:r>
          </w:p>
        </w:tc>
        <w:tc>
          <w:tcPr>
            <w:tcW w:w="36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0.12</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16"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73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7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35"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XS-03-22</w:t>
            </w:r>
          </w:p>
        </w:tc>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070102</w:t>
            </w:r>
          </w:p>
        </w:tc>
        <w:tc>
          <w:tcPr>
            <w:tcW w:w="88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二类城镇住宅用地</w:t>
            </w:r>
          </w:p>
        </w:tc>
        <w:tc>
          <w:tcPr>
            <w:tcW w:w="36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0.31</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16"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73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7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35"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XS-03-23</w:t>
            </w:r>
          </w:p>
        </w:tc>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090101</w:t>
            </w:r>
          </w:p>
        </w:tc>
        <w:tc>
          <w:tcPr>
            <w:tcW w:w="88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零售商业用地</w:t>
            </w:r>
          </w:p>
        </w:tc>
        <w:tc>
          <w:tcPr>
            <w:tcW w:w="36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0.31</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16"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73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7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35"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XS-03-24</w:t>
            </w:r>
          </w:p>
        </w:tc>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070102</w:t>
            </w:r>
          </w:p>
        </w:tc>
        <w:tc>
          <w:tcPr>
            <w:tcW w:w="88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二类城镇住宅用地</w:t>
            </w:r>
          </w:p>
        </w:tc>
        <w:tc>
          <w:tcPr>
            <w:tcW w:w="36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0.61</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16"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73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7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35"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XS-03-25</w:t>
            </w:r>
          </w:p>
        </w:tc>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1401</w:t>
            </w:r>
          </w:p>
        </w:tc>
        <w:tc>
          <w:tcPr>
            <w:tcW w:w="88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公园绿地</w:t>
            </w:r>
          </w:p>
        </w:tc>
        <w:tc>
          <w:tcPr>
            <w:tcW w:w="36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0.34</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16"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73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坡地公园</w:t>
            </w:r>
          </w:p>
        </w:tc>
        <w:tc>
          <w:tcPr>
            <w:tcW w:w="47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35"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XS-03-26</w:t>
            </w:r>
          </w:p>
        </w:tc>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1503</w:t>
            </w:r>
          </w:p>
        </w:tc>
        <w:tc>
          <w:tcPr>
            <w:tcW w:w="88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宗教用地</w:t>
            </w:r>
          </w:p>
        </w:tc>
        <w:tc>
          <w:tcPr>
            <w:tcW w:w="36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0.28</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16"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73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现状富乐寺</w:t>
            </w:r>
          </w:p>
        </w:tc>
        <w:tc>
          <w:tcPr>
            <w:tcW w:w="47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35"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XS-03-27</w:t>
            </w:r>
          </w:p>
        </w:tc>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1401</w:t>
            </w:r>
          </w:p>
        </w:tc>
        <w:tc>
          <w:tcPr>
            <w:tcW w:w="88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公园绿地</w:t>
            </w:r>
          </w:p>
        </w:tc>
        <w:tc>
          <w:tcPr>
            <w:tcW w:w="36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0.14</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16"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73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7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35"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XS-03-28</w:t>
            </w:r>
          </w:p>
        </w:tc>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070102</w:t>
            </w:r>
          </w:p>
        </w:tc>
        <w:tc>
          <w:tcPr>
            <w:tcW w:w="88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二类城镇住宅用地</w:t>
            </w:r>
          </w:p>
        </w:tc>
        <w:tc>
          <w:tcPr>
            <w:tcW w:w="36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0.44</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16"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73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7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35"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XS-03-29</w:t>
            </w:r>
          </w:p>
        </w:tc>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1310</w:t>
            </w:r>
          </w:p>
        </w:tc>
        <w:tc>
          <w:tcPr>
            <w:tcW w:w="88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消防用地</w:t>
            </w:r>
          </w:p>
        </w:tc>
        <w:tc>
          <w:tcPr>
            <w:tcW w:w="36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0.21</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16"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73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现状消防站</w:t>
            </w:r>
          </w:p>
        </w:tc>
        <w:tc>
          <w:tcPr>
            <w:tcW w:w="47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35"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XS-03-30</w:t>
            </w:r>
          </w:p>
        </w:tc>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0801</w:t>
            </w:r>
          </w:p>
        </w:tc>
        <w:tc>
          <w:tcPr>
            <w:tcW w:w="88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机关团体用地</w:t>
            </w:r>
          </w:p>
        </w:tc>
        <w:tc>
          <w:tcPr>
            <w:tcW w:w="36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0.12</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16"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73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富乐社区居委会</w:t>
            </w:r>
          </w:p>
        </w:tc>
        <w:tc>
          <w:tcPr>
            <w:tcW w:w="47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35"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XS-03-31</w:t>
            </w:r>
          </w:p>
        </w:tc>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090101</w:t>
            </w:r>
          </w:p>
        </w:tc>
        <w:tc>
          <w:tcPr>
            <w:tcW w:w="88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零售商业用地</w:t>
            </w:r>
          </w:p>
        </w:tc>
        <w:tc>
          <w:tcPr>
            <w:tcW w:w="36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0.09</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16"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73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银行</w:t>
            </w:r>
          </w:p>
        </w:tc>
        <w:tc>
          <w:tcPr>
            <w:tcW w:w="47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35"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XS-03-32</w:t>
            </w:r>
          </w:p>
        </w:tc>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0801</w:t>
            </w:r>
          </w:p>
        </w:tc>
        <w:tc>
          <w:tcPr>
            <w:tcW w:w="88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机关团体用地</w:t>
            </w:r>
          </w:p>
        </w:tc>
        <w:tc>
          <w:tcPr>
            <w:tcW w:w="36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0.46</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16"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73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象山镇政府</w:t>
            </w:r>
          </w:p>
        </w:tc>
        <w:tc>
          <w:tcPr>
            <w:tcW w:w="47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35"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XS-03-33</w:t>
            </w:r>
          </w:p>
        </w:tc>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080403</w:t>
            </w:r>
          </w:p>
        </w:tc>
        <w:tc>
          <w:tcPr>
            <w:tcW w:w="88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中小学用地</w:t>
            </w:r>
          </w:p>
        </w:tc>
        <w:tc>
          <w:tcPr>
            <w:tcW w:w="36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3.34</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16"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73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象山中学</w:t>
            </w:r>
          </w:p>
        </w:tc>
        <w:tc>
          <w:tcPr>
            <w:tcW w:w="47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35"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XS-03-34</w:t>
            </w:r>
          </w:p>
        </w:tc>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1504</w:t>
            </w:r>
          </w:p>
        </w:tc>
        <w:tc>
          <w:tcPr>
            <w:tcW w:w="88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文物古迹用地</w:t>
            </w:r>
          </w:p>
        </w:tc>
        <w:tc>
          <w:tcPr>
            <w:tcW w:w="36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0.21</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16"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73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象山书院</w:t>
            </w:r>
          </w:p>
        </w:tc>
        <w:tc>
          <w:tcPr>
            <w:tcW w:w="47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35"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XS-03-35</w:t>
            </w:r>
          </w:p>
        </w:tc>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080404</w:t>
            </w:r>
          </w:p>
        </w:tc>
        <w:tc>
          <w:tcPr>
            <w:tcW w:w="88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幼儿园用地</w:t>
            </w:r>
          </w:p>
        </w:tc>
        <w:tc>
          <w:tcPr>
            <w:tcW w:w="36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0.84</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16"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73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象山幼儿园</w:t>
            </w:r>
          </w:p>
        </w:tc>
        <w:tc>
          <w:tcPr>
            <w:tcW w:w="47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35"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XS-03-36</w:t>
            </w:r>
          </w:p>
        </w:tc>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090101</w:t>
            </w:r>
          </w:p>
        </w:tc>
        <w:tc>
          <w:tcPr>
            <w:tcW w:w="88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零售商业用地</w:t>
            </w:r>
          </w:p>
        </w:tc>
        <w:tc>
          <w:tcPr>
            <w:tcW w:w="36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0.58</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16"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73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7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35"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XS-03-37</w:t>
            </w:r>
          </w:p>
        </w:tc>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080403</w:t>
            </w:r>
          </w:p>
        </w:tc>
        <w:tc>
          <w:tcPr>
            <w:tcW w:w="88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中小学用地</w:t>
            </w:r>
          </w:p>
        </w:tc>
        <w:tc>
          <w:tcPr>
            <w:tcW w:w="36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2.52</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16"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73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象山小学</w:t>
            </w:r>
          </w:p>
        </w:tc>
        <w:tc>
          <w:tcPr>
            <w:tcW w:w="47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35"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XS-03-38</w:t>
            </w:r>
          </w:p>
        </w:tc>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070102</w:t>
            </w:r>
          </w:p>
        </w:tc>
        <w:tc>
          <w:tcPr>
            <w:tcW w:w="88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二类城镇住宅用地</w:t>
            </w:r>
          </w:p>
        </w:tc>
        <w:tc>
          <w:tcPr>
            <w:tcW w:w="36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0.17</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16"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73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7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35"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XS-03-39</w:t>
            </w:r>
          </w:p>
        </w:tc>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070102</w:t>
            </w:r>
          </w:p>
        </w:tc>
        <w:tc>
          <w:tcPr>
            <w:tcW w:w="88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二类城镇住宅用地</w:t>
            </w:r>
          </w:p>
        </w:tc>
        <w:tc>
          <w:tcPr>
            <w:tcW w:w="36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0.35</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16"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73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7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35"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XS-03-40</w:t>
            </w:r>
          </w:p>
        </w:tc>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120801</w:t>
            </w:r>
          </w:p>
        </w:tc>
        <w:tc>
          <w:tcPr>
            <w:tcW w:w="88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对外交通场站用地</w:t>
            </w:r>
          </w:p>
        </w:tc>
        <w:tc>
          <w:tcPr>
            <w:tcW w:w="36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0.23</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16"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73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规划公路客运站</w:t>
            </w:r>
          </w:p>
        </w:tc>
        <w:tc>
          <w:tcPr>
            <w:tcW w:w="47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3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存量土地</w:t>
            </w:r>
            <w:r>
              <w:rPr>
                <w:rFonts w:hint="eastAsia" w:cs="宋体" w:asciiTheme="minorEastAsia" w:hAnsiTheme="minorEastAsia"/>
                <w:color w:val="000000"/>
                <w:kern w:val="0"/>
                <w:szCs w:val="21"/>
              </w:rPr>
              <w:br w:type="textWrapping"/>
            </w:r>
            <w:r>
              <w:rPr>
                <w:rFonts w:hint="eastAsia" w:cs="宋体" w:asciiTheme="minorEastAsia" w:hAnsiTheme="minorEastAsia"/>
                <w:color w:val="000000"/>
                <w:kern w:val="0"/>
                <w:szCs w:val="21"/>
              </w:rPr>
              <w:t>（规划新增）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XS-03-41</w:t>
            </w:r>
          </w:p>
        </w:tc>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070102</w:t>
            </w:r>
          </w:p>
        </w:tc>
        <w:tc>
          <w:tcPr>
            <w:tcW w:w="88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二类城镇住宅用地</w:t>
            </w:r>
          </w:p>
        </w:tc>
        <w:tc>
          <w:tcPr>
            <w:tcW w:w="36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0.5</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16"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73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7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35"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XS-03-42</w:t>
            </w:r>
          </w:p>
        </w:tc>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1302</w:t>
            </w:r>
          </w:p>
        </w:tc>
        <w:tc>
          <w:tcPr>
            <w:tcW w:w="88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排水用地</w:t>
            </w:r>
          </w:p>
        </w:tc>
        <w:tc>
          <w:tcPr>
            <w:tcW w:w="36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0.82</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16"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73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象山污水处理厂</w:t>
            </w:r>
          </w:p>
        </w:tc>
        <w:tc>
          <w:tcPr>
            <w:tcW w:w="47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35"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XS-03-43</w:t>
            </w:r>
          </w:p>
        </w:tc>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1309</w:t>
            </w:r>
          </w:p>
        </w:tc>
        <w:tc>
          <w:tcPr>
            <w:tcW w:w="88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环卫用地</w:t>
            </w:r>
          </w:p>
        </w:tc>
        <w:tc>
          <w:tcPr>
            <w:tcW w:w="36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0.04</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16"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73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象山垃圾转运站</w:t>
            </w:r>
          </w:p>
        </w:tc>
        <w:tc>
          <w:tcPr>
            <w:tcW w:w="47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35"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XS-03-44</w:t>
            </w:r>
          </w:p>
        </w:tc>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1401</w:t>
            </w:r>
          </w:p>
        </w:tc>
        <w:tc>
          <w:tcPr>
            <w:tcW w:w="88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公园绿地</w:t>
            </w:r>
          </w:p>
        </w:tc>
        <w:tc>
          <w:tcPr>
            <w:tcW w:w="36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0.27</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16"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73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7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3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存量土地</w:t>
            </w:r>
            <w:r>
              <w:rPr>
                <w:rFonts w:hint="eastAsia" w:cs="宋体" w:asciiTheme="minorEastAsia" w:hAnsiTheme="minorEastAsia"/>
                <w:color w:val="000000"/>
                <w:kern w:val="0"/>
                <w:szCs w:val="21"/>
              </w:rPr>
              <w:br w:type="textWrapping"/>
            </w:r>
            <w:r>
              <w:rPr>
                <w:rFonts w:hint="eastAsia" w:cs="宋体" w:asciiTheme="minorEastAsia" w:hAnsiTheme="minorEastAsia"/>
                <w:color w:val="000000"/>
                <w:kern w:val="0"/>
                <w:szCs w:val="21"/>
              </w:rPr>
              <w:t>（规划新增）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XS-03-45</w:t>
            </w:r>
          </w:p>
        </w:tc>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1401</w:t>
            </w:r>
          </w:p>
        </w:tc>
        <w:tc>
          <w:tcPr>
            <w:tcW w:w="88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公园绿地</w:t>
            </w:r>
          </w:p>
        </w:tc>
        <w:tc>
          <w:tcPr>
            <w:tcW w:w="36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0.06</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16"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73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7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3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存量土地</w:t>
            </w:r>
            <w:r>
              <w:rPr>
                <w:rFonts w:hint="eastAsia" w:cs="宋体" w:asciiTheme="minorEastAsia" w:hAnsiTheme="minorEastAsia"/>
                <w:color w:val="000000"/>
                <w:kern w:val="0"/>
                <w:szCs w:val="21"/>
              </w:rPr>
              <w:br w:type="textWrapping"/>
            </w:r>
            <w:r>
              <w:rPr>
                <w:rFonts w:hint="eastAsia" w:cs="宋体" w:asciiTheme="minorEastAsia" w:hAnsiTheme="minorEastAsia"/>
                <w:color w:val="000000"/>
                <w:kern w:val="0"/>
                <w:szCs w:val="21"/>
              </w:rPr>
              <w:t>（规划新增）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XS-03-46</w:t>
            </w:r>
          </w:p>
        </w:tc>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1401</w:t>
            </w:r>
          </w:p>
        </w:tc>
        <w:tc>
          <w:tcPr>
            <w:tcW w:w="88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公园绿地</w:t>
            </w:r>
          </w:p>
        </w:tc>
        <w:tc>
          <w:tcPr>
            <w:tcW w:w="36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0.09</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16"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73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7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53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存量土地</w:t>
            </w:r>
            <w:r>
              <w:rPr>
                <w:rFonts w:hint="eastAsia" w:cs="宋体" w:asciiTheme="minorEastAsia" w:hAnsiTheme="minorEastAsia"/>
                <w:color w:val="000000"/>
                <w:kern w:val="0"/>
                <w:szCs w:val="21"/>
              </w:rPr>
              <w:br w:type="textWrapping"/>
            </w:r>
            <w:r>
              <w:rPr>
                <w:rFonts w:hint="eastAsia" w:cs="宋体" w:asciiTheme="minorEastAsia" w:hAnsiTheme="minorEastAsia"/>
                <w:color w:val="000000"/>
                <w:kern w:val="0"/>
                <w:szCs w:val="21"/>
              </w:rPr>
              <w:t>（规划新增）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XS-03-47</w:t>
            </w:r>
          </w:p>
        </w:tc>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1401</w:t>
            </w:r>
          </w:p>
        </w:tc>
        <w:tc>
          <w:tcPr>
            <w:tcW w:w="88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公园绿地</w:t>
            </w:r>
          </w:p>
        </w:tc>
        <w:tc>
          <w:tcPr>
            <w:tcW w:w="36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1.12</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63"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16"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69"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738"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现状滨江公园</w:t>
            </w:r>
          </w:p>
        </w:tc>
        <w:tc>
          <w:tcPr>
            <w:tcW w:w="473" w:type="pct"/>
            <w:shd w:val="clear" w:color="auto" w:fill="auto"/>
            <w:noWrap/>
            <w:vAlign w:val="center"/>
          </w:tcPr>
          <w:p>
            <w:pPr>
              <w:widowControl/>
              <w:jc w:val="center"/>
              <w:rPr>
                <w:rFonts w:cs="宋体" w:asciiTheme="minorEastAsia" w:hAnsiTheme="minorEastAsia"/>
                <w:color w:val="000000"/>
                <w:kern w:val="0"/>
                <w:szCs w:val="21"/>
              </w:rPr>
            </w:pPr>
          </w:p>
        </w:tc>
        <w:tc>
          <w:tcPr>
            <w:tcW w:w="535"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r>
    </w:tbl>
    <w:p>
      <w:pPr>
        <w:pStyle w:val="31"/>
        <w:spacing w:beforeLines="50" w:afterLines="50"/>
        <w:jc w:val="left"/>
        <w:rPr>
          <w:rFonts w:eastAsia="宋体" w:asciiTheme="minorEastAsia" w:hAnsiTheme="minorEastAsia"/>
          <w:b w:val="0"/>
          <w:sz w:val="24"/>
          <w:szCs w:val="24"/>
        </w:rPr>
      </w:pPr>
      <w:bookmarkStart w:id="48" w:name="_Toc166772197"/>
      <w:r>
        <w:rPr>
          <w:rFonts w:hint="eastAsia" w:eastAsia="宋体" w:asciiTheme="minorEastAsia" w:hAnsiTheme="minorEastAsia"/>
          <w:b w:val="0"/>
          <w:sz w:val="24"/>
          <w:szCs w:val="24"/>
        </w:rPr>
        <w:t>表13</w:t>
      </w:r>
      <w:r>
        <w:rPr>
          <w:rFonts w:eastAsia="宋体" w:asciiTheme="minorEastAsia" w:hAnsiTheme="minorEastAsia"/>
          <w:b w:val="0"/>
          <w:sz w:val="24"/>
          <w:szCs w:val="24"/>
        </w:rPr>
        <w:t>玉峰镇区城镇建设用地规划表</w:t>
      </w:r>
      <w:bookmarkEnd w:id="48"/>
    </w:p>
    <w:tbl>
      <w:tblPr>
        <w:tblStyle w:val="16"/>
        <w:tblW w:w="5000" w:type="pct"/>
        <w:tblInd w:w="0" w:type="dxa"/>
        <w:tblLayout w:type="autofit"/>
        <w:tblCellMar>
          <w:top w:w="0" w:type="dxa"/>
          <w:left w:w="108" w:type="dxa"/>
          <w:bottom w:w="0" w:type="dxa"/>
          <w:right w:w="108" w:type="dxa"/>
        </w:tblCellMar>
      </w:tblPr>
      <w:tblGrid>
        <w:gridCol w:w="2715"/>
        <w:gridCol w:w="2774"/>
        <w:gridCol w:w="2728"/>
        <w:gridCol w:w="1476"/>
        <w:gridCol w:w="1112"/>
        <w:gridCol w:w="1478"/>
        <w:gridCol w:w="1171"/>
      </w:tblGrid>
      <w:tr>
        <w:tblPrEx>
          <w:tblCellMar>
            <w:top w:w="0" w:type="dxa"/>
            <w:left w:w="108" w:type="dxa"/>
            <w:bottom w:w="0" w:type="dxa"/>
            <w:right w:w="108" w:type="dxa"/>
          </w:tblCellMar>
        </w:tblPrEx>
        <w:trPr>
          <w:trHeight w:val="270" w:hRule="atLeast"/>
        </w:trPr>
        <w:tc>
          <w:tcPr>
            <w:tcW w:w="101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一级类</w:t>
            </w:r>
          </w:p>
        </w:tc>
        <w:tc>
          <w:tcPr>
            <w:tcW w:w="1032"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二级类</w:t>
            </w:r>
          </w:p>
        </w:tc>
        <w:tc>
          <w:tcPr>
            <w:tcW w:w="1015"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三级类</w:t>
            </w:r>
          </w:p>
        </w:tc>
        <w:tc>
          <w:tcPr>
            <w:tcW w:w="957" w:type="pct"/>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规划基期年</w:t>
            </w:r>
          </w:p>
        </w:tc>
        <w:tc>
          <w:tcPr>
            <w:tcW w:w="986" w:type="pct"/>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规划目标年</w:t>
            </w:r>
          </w:p>
        </w:tc>
      </w:tr>
      <w:tr>
        <w:tblPrEx>
          <w:tblCellMar>
            <w:top w:w="0" w:type="dxa"/>
            <w:left w:w="108" w:type="dxa"/>
            <w:bottom w:w="0" w:type="dxa"/>
            <w:right w:w="108" w:type="dxa"/>
          </w:tblCellMar>
        </w:tblPrEx>
        <w:trPr>
          <w:trHeight w:val="270" w:hRule="atLeast"/>
        </w:trPr>
        <w:tc>
          <w:tcPr>
            <w:tcW w:w="1010" w:type="pct"/>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Cs w:val="21"/>
              </w:rPr>
            </w:pPr>
          </w:p>
        </w:tc>
        <w:tc>
          <w:tcPr>
            <w:tcW w:w="1032" w:type="pct"/>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Cs w:val="21"/>
              </w:rPr>
            </w:pPr>
          </w:p>
        </w:tc>
        <w:tc>
          <w:tcPr>
            <w:tcW w:w="1015" w:type="pct"/>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Cs w:val="21"/>
              </w:rPr>
            </w:pPr>
          </w:p>
        </w:tc>
        <w:tc>
          <w:tcPr>
            <w:tcW w:w="54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面积（公顷）</w:t>
            </w:r>
          </w:p>
        </w:tc>
        <w:tc>
          <w:tcPr>
            <w:tcW w:w="414"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比例（%）</w:t>
            </w:r>
          </w:p>
        </w:tc>
        <w:tc>
          <w:tcPr>
            <w:tcW w:w="55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面积（公顷）</w:t>
            </w:r>
          </w:p>
        </w:tc>
        <w:tc>
          <w:tcPr>
            <w:tcW w:w="436"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比例（%）</w:t>
            </w:r>
          </w:p>
        </w:tc>
      </w:tr>
      <w:tr>
        <w:tblPrEx>
          <w:tblCellMar>
            <w:top w:w="0" w:type="dxa"/>
            <w:left w:w="108" w:type="dxa"/>
            <w:bottom w:w="0" w:type="dxa"/>
            <w:right w:w="108" w:type="dxa"/>
          </w:tblCellMar>
        </w:tblPrEx>
        <w:trPr>
          <w:trHeight w:val="270" w:hRule="atLeast"/>
        </w:trPr>
        <w:tc>
          <w:tcPr>
            <w:tcW w:w="1010"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耕地</w:t>
            </w:r>
          </w:p>
        </w:tc>
        <w:tc>
          <w:tcPr>
            <w:tcW w:w="1032"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水田</w:t>
            </w:r>
          </w:p>
        </w:tc>
        <w:tc>
          <w:tcPr>
            <w:tcW w:w="1015"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p>
        </w:tc>
        <w:tc>
          <w:tcPr>
            <w:tcW w:w="54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2.05</w:t>
            </w:r>
          </w:p>
        </w:tc>
        <w:tc>
          <w:tcPr>
            <w:tcW w:w="414"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5.09</w:t>
            </w:r>
          </w:p>
        </w:tc>
        <w:tc>
          <w:tcPr>
            <w:tcW w:w="55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0.00</w:t>
            </w:r>
          </w:p>
        </w:tc>
        <w:tc>
          <w:tcPr>
            <w:tcW w:w="43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0.00</w:t>
            </w:r>
          </w:p>
        </w:tc>
      </w:tr>
      <w:tr>
        <w:tblPrEx>
          <w:tblCellMar>
            <w:top w:w="0" w:type="dxa"/>
            <w:left w:w="108" w:type="dxa"/>
            <w:bottom w:w="0" w:type="dxa"/>
            <w:right w:w="108" w:type="dxa"/>
          </w:tblCellMar>
        </w:tblPrEx>
        <w:trPr>
          <w:trHeight w:val="270" w:hRule="atLeast"/>
        </w:trPr>
        <w:tc>
          <w:tcPr>
            <w:tcW w:w="1010" w:type="pct"/>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Cs w:val="21"/>
              </w:rPr>
            </w:pPr>
          </w:p>
        </w:tc>
        <w:tc>
          <w:tcPr>
            <w:tcW w:w="1032"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水浇地</w:t>
            </w:r>
          </w:p>
        </w:tc>
        <w:tc>
          <w:tcPr>
            <w:tcW w:w="1015"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p>
        </w:tc>
        <w:tc>
          <w:tcPr>
            <w:tcW w:w="54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0.00</w:t>
            </w:r>
          </w:p>
        </w:tc>
        <w:tc>
          <w:tcPr>
            <w:tcW w:w="414"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0.00</w:t>
            </w:r>
          </w:p>
        </w:tc>
        <w:tc>
          <w:tcPr>
            <w:tcW w:w="55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0.00</w:t>
            </w:r>
          </w:p>
        </w:tc>
        <w:tc>
          <w:tcPr>
            <w:tcW w:w="43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0.00</w:t>
            </w:r>
          </w:p>
        </w:tc>
      </w:tr>
      <w:tr>
        <w:tblPrEx>
          <w:tblCellMar>
            <w:top w:w="0" w:type="dxa"/>
            <w:left w:w="108" w:type="dxa"/>
            <w:bottom w:w="0" w:type="dxa"/>
            <w:right w:w="108" w:type="dxa"/>
          </w:tblCellMar>
        </w:tblPrEx>
        <w:trPr>
          <w:trHeight w:val="270" w:hRule="atLeast"/>
        </w:trPr>
        <w:tc>
          <w:tcPr>
            <w:tcW w:w="1010" w:type="pct"/>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Cs w:val="21"/>
              </w:rPr>
            </w:pPr>
          </w:p>
        </w:tc>
        <w:tc>
          <w:tcPr>
            <w:tcW w:w="1032"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旱地</w:t>
            </w:r>
          </w:p>
        </w:tc>
        <w:tc>
          <w:tcPr>
            <w:tcW w:w="1015"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p>
        </w:tc>
        <w:tc>
          <w:tcPr>
            <w:tcW w:w="54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1.75</w:t>
            </w:r>
          </w:p>
        </w:tc>
        <w:tc>
          <w:tcPr>
            <w:tcW w:w="414"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4.34</w:t>
            </w:r>
          </w:p>
        </w:tc>
        <w:tc>
          <w:tcPr>
            <w:tcW w:w="55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0.00</w:t>
            </w:r>
          </w:p>
        </w:tc>
        <w:tc>
          <w:tcPr>
            <w:tcW w:w="43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0.00</w:t>
            </w:r>
          </w:p>
        </w:tc>
      </w:tr>
      <w:tr>
        <w:tblPrEx>
          <w:tblCellMar>
            <w:top w:w="0" w:type="dxa"/>
            <w:left w:w="108" w:type="dxa"/>
            <w:bottom w:w="0" w:type="dxa"/>
            <w:right w:w="108" w:type="dxa"/>
          </w:tblCellMar>
        </w:tblPrEx>
        <w:trPr>
          <w:trHeight w:val="270" w:hRule="atLeast"/>
        </w:trPr>
        <w:tc>
          <w:tcPr>
            <w:tcW w:w="1010" w:type="pct"/>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Cs w:val="21"/>
              </w:rPr>
            </w:pPr>
          </w:p>
        </w:tc>
        <w:tc>
          <w:tcPr>
            <w:tcW w:w="2047" w:type="pct"/>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小计</w:t>
            </w:r>
          </w:p>
        </w:tc>
        <w:tc>
          <w:tcPr>
            <w:tcW w:w="54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3.80</w:t>
            </w:r>
          </w:p>
        </w:tc>
        <w:tc>
          <w:tcPr>
            <w:tcW w:w="414"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9.43</w:t>
            </w:r>
          </w:p>
        </w:tc>
        <w:tc>
          <w:tcPr>
            <w:tcW w:w="55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0.00</w:t>
            </w:r>
          </w:p>
        </w:tc>
        <w:tc>
          <w:tcPr>
            <w:tcW w:w="43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0.00</w:t>
            </w:r>
          </w:p>
        </w:tc>
      </w:tr>
      <w:tr>
        <w:tblPrEx>
          <w:tblCellMar>
            <w:top w:w="0" w:type="dxa"/>
            <w:left w:w="108" w:type="dxa"/>
            <w:bottom w:w="0" w:type="dxa"/>
            <w:right w:w="108" w:type="dxa"/>
          </w:tblCellMar>
        </w:tblPrEx>
        <w:trPr>
          <w:trHeight w:val="270" w:hRule="atLeast"/>
        </w:trPr>
        <w:tc>
          <w:tcPr>
            <w:tcW w:w="1010"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林地</w:t>
            </w:r>
          </w:p>
        </w:tc>
        <w:tc>
          <w:tcPr>
            <w:tcW w:w="1032"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乔木林地</w:t>
            </w:r>
          </w:p>
        </w:tc>
        <w:tc>
          <w:tcPr>
            <w:tcW w:w="1015"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p>
        </w:tc>
        <w:tc>
          <w:tcPr>
            <w:tcW w:w="54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1.04</w:t>
            </w:r>
          </w:p>
        </w:tc>
        <w:tc>
          <w:tcPr>
            <w:tcW w:w="414"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2.59</w:t>
            </w:r>
          </w:p>
        </w:tc>
        <w:tc>
          <w:tcPr>
            <w:tcW w:w="55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0.00</w:t>
            </w:r>
          </w:p>
        </w:tc>
        <w:tc>
          <w:tcPr>
            <w:tcW w:w="43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0.00</w:t>
            </w:r>
          </w:p>
        </w:tc>
      </w:tr>
      <w:tr>
        <w:tblPrEx>
          <w:tblCellMar>
            <w:top w:w="0" w:type="dxa"/>
            <w:left w:w="108" w:type="dxa"/>
            <w:bottom w:w="0" w:type="dxa"/>
            <w:right w:w="108" w:type="dxa"/>
          </w:tblCellMar>
        </w:tblPrEx>
        <w:trPr>
          <w:trHeight w:val="270" w:hRule="atLeast"/>
        </w:trPr>
        <w:tc>
          <w:tcPr>
            <w:tcW w:w="1010" w:type="pct"/>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Cs w:val="21"/>
              </w:rPr>
            </w:pPr>
          </w:p>
        </w:tc>
        <w:tc>
          <w:tcPr>
            <w:tcW w:w="1032"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竹林地</w:t>
            </w:r>
          </w:p>
        </w:tc>
        <w:tc>
          <w:tcPr>
            <w:tcW w:w="1015"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p>
        </w:tc>
        <w:tc>
          <w:tcPr>
            <w:tcW w:w="54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0.12</w:t>
            </w:r>
          </w:p>
        </w:tc>
        <w:tc>
          <w:tcPr>
            <w:tcW w:w="414"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0.29</w:t>
            </w:r>
          </w:p>
        </w:tc>
        <w:tc>
          <w:tcPr>
            <w:tcW w:w="55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0.00</w:t>
            </w:r>
          </w:p>
        </w:tc>
        <w:tc>
          <w:tcPr>
            <w:tcW w:w="43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0.00</w:t>
            </w:r>
          </w:p>
        </w:tc>
      </w:tr>
      <w:tr>
        <w:tblPrEx>
          <w:tblCellMar>
            <w:top w:w="0" w:type="dxa"/>
            <w:left w:w="108" w:type="dxa"/>
            <w:bottom w:w="0" w:type="dxa"/>
            <w:right w:w="108" w:type="dxa"/>
          </w:tblCellMar>
        </w:tblPrEx>
        <w:trPr>
          <w:trHeight w:val="270" w:hRule="atLeast"/>
        </w:trPr>
        <w:tc>
          <w:tcPr>
            <w:tcW w:w="1010" w:type="pct"/>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Cs w:val="21"/>
              </w:rPr>
            </w:pPr>
          </w:p>
        </w:tc>
        <w:tc>
          <w:tcPr>
            <w:tcW w:w="1032"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灌木林地</w:t>
            </w:r>
          </w:p>
        </w:tc>
        <w:tc>
          <w:tcPr>
            <w:tcW w:w="1015"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p>
        </w:tc>
        <w:tc>
          <w:tcPr>
            <w:tcW w:w="54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0.89</w:t>
            </w:r>
          </w:p>
        </w:tc>
        <w:tc>
          <w:tcPr>
            <w:tcW w:w="414"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2.22</w:t>
            </w:r>
          </w:p>
        </w:tc>
        <w:tc>
          <w:tcPr>
            <w:tcW w:w="55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0.00</w:t>
            </w:r>
          </w:p>
        </w:tc>
        <w:tc>
          <w:tcPr>
            <w:tcW w:w="43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0.00</w:t>
            </w:r>
          </w:p>
        </w:tc>
      </w:tr>
      <w:tr>
        <w:tblPrEx>
          <w:tblCellMar>
            <w:top w:w="0" w:type="dxa"/>
            <w:left w:w="108" w:type="dxa"/>
            <w:bottom w:w="0" w:type="dxa"/>
            <w:right w:w="108" w:type="dxa"/>
          </w:tblCellMar>
        </w:tblPrEx>
        <w:trPr>
          <w:trHeight w:val="270" w:hRule="atLeast"/>
        </w:trPr>
        <w:tc>
          <w:tcPr>
            <w:tcW w:w="1010" w:type="pct"/>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Cs w:val="21"/>
              </w:rPr>
            </w:pPr>
          </w:p>
        </w:tc>
        <w:tc>
          <w:tcPr>
            <w:tcW w:w="1032"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其他林地</w:t>
            </w:r>
          </w:p>
        </w:tc>
        <w:tc>
          <w:tcPr>
            <w:tcW w:w="1015"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p>
        </w:tc>
        <w:tc>
          <w:tcPr>
            <w:tcW w:w="54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0.01</w:t>
            </w:r>
          </w:p>
        </w:tc>
        <w:tc>
          <w:tcPr>
            <w:tcW w:w="414"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0.03</w:t>
            </w:r>
          </w:p>
        </w:tc>
        <w:tc>
          <w:tcPr>
            <w:tcW w:w="55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0.00</w:t>
            </w:r>
          </w:p>
        </w:tc>
        <w:tc>
          <w:tcPr>
            <w:tcW w:w="43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0.00</w:t>
            </w:r>
          </w:p>
        </w:tc>
      </w:tr>
      <w:tr>
        <w:tblPrEx>
          <w:tblCellMar>
            <w:top w:w="0" w:type="dxa"/>
            <w:left w:w="108" w:type="dxa"/>
            <w:bottom w:w="0" w:type="dxa"/>
            <w:right w:w="108" w:type="dxa"/>
          </w:tblCellMar>
        </w:tblPrEx>
        <w:trPr>
          <w:trHeight w:val="270" w:hRule="atLeast"/>
        </w:trPr>
        <w:tc>
          <w:tcPr>
            <w:tcW w:w="1010" w:type="pct"/>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Cs w:val="21"/>
              </w:rPr>
            </w:pPr>
          </w:p>
        </w:tc>
        <w:tc>
          <w:tcPr>
            <w:tcW w:w="2047" w:type="pct"/>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小计</w:t>
            </w:r>
          </w:p>
        </w:tc>
        <w:tc>
          <w:tcPr>
            <w:tcW w:w="54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2.07</w:t>
            </w:r>
          </w:p>
        </w:tc>
        <w:tc>
          <w:tcPr>
            <w:tcW w:w="414"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5.13</w:t>
            </w:r>
          </w:p>
        </w:tc>
        <w:tc>
          <w:tcPr>
            <w:tcW w:w="55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0.00</w:t>
            </w:r>
          </w:p>
        </w:tc>
        <w:tc>
          <w:tcPr>
            <w:tcW w:w="43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0.00</w:t>
            </w:r>
          </w:p>
        </w:tc>
      </w:tr>
      <w:tr>
        <w:tblPrEx>
          <w:tblCellMar>
            <w:top w:w="0" w:type="dxa"/>
            <w:left w:w="108" w:type="dxa"/>
            <w:bottom w:w="0" w:type="dxa"/>
            <w:right w:w="108" w:type="dxa"/>
          </w:tblCellMar>
        </w:tblPrEx>
        <w:trPr>
          <w:trHeight w:val="270" w:hRule="atLeast"/>
        </w:trPr>
        <w:tc>
          <w:tcPr>
            <w:tcW w:w="1010"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农业设施建设用地</w:t>
            </w:r>
          </w:p>
        </w:tc>
        <w:tc>
          <w:tcPr>
            <w:tcW w:w="1032"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乡村道路用地</w:t>
            </w:r>
          </w:p>
        </w:tc>
        <w:tc>
          <w:tcPr>
            <w:tcW w:w="1015"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村道用地</w:t>
            </w:r>
          </w:p>
        </w:tc>
        <w:tc>
          <w:tcPr>
            <w:tcW w:w="54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0.02</w:t>
            </w:r>
          </w:p>
        </w:tc>
        <w:tc>
          <w:tcPr>
            <w:tcW w:w="414"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0.04</w:t>
            </w:r>
          </w:p>
        </w:tc>
        <w:tc>
          <w:tcPr>
            <w:tcW w:w="55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0.00</w:t>
            </w:r>
          </w:p>
        </w:tc>
        <w:tc>
          <w:tcPr>
            <w:tcW w:w="43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0.00</w:t>
            </w:r>
          </w:p>
        </w:tc>
      </w:tr>
      <w:tr>
        <w:tblPrEx>
          <w:tblCellMar>
            <w:top w:w="0" w:type="dxa"/>
            <w:left w:w="108" w:type="dxa"/>
            <w:bottom w:w="0" w:type="dxa"/>
            <w:right w:w="108" w:type="dxa"/>
          </w:tblCellMar>
        </w:tblPrEx>
        <w:trPr>
          <w:trHeight w:val="270" w:hRule="atLeast"/>
        </w:trPr>
        <w:tc>
          <w:tcPr>
            <w:tcW w:w="1010" w:type="pct"/>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Cs w:val="21"/>
              </w:rPr>
            </w:pPr>
          </w:p>
        </w:tc>
        <w:tc>
          <w:tcPr>
            <w:tcW w:w="1032" w:type="pct"/>
            <w:vMerge w:val="continue"/>
            <w:tcBorders>
              <w:top w:val="nil"/>
              <w:left w:val="single" w:color="auto" w:sz="4" w:space="0"/>
              <w:bottom w:val="single" w:color="000000" w:sz="4" w:space="0"/>
              <w:right w:val="single" w:color="auto" w:sz="4" w:space="0"/>
            </w:tcBorders>
            <w:vAlign w:val="center"/>
          </w:tcPr>
          <w:p>
            <w:pPr>
              <w:widowControl/>
              <w:jc w:val="center"/>
              <w:rPr>
                <w:rFonts w:ascii="宋体" w:hAnsi="宋体" w:eastAsia="宋体" w:cs="宋体"/>
                <w:color w:val="000000"/>
                <w:kern w:val="0"/>
                <w:szCs w:val="21"/>
              </w:rPr>
            </w:pPr>
          </w:p>
        </w:tc>
        <w:tc>
          <w:tcPr>
            <w:tcW w:w="1015"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村庄内部道路用地</w:t>
            </w:r>
          </w:p>
        </w:tc>
        <w:tc>
          <w:tcPr>
            <w:tcW w:w="54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0.08</w:t>
            </w:r>
          </w:p>
        </w:tc>
        <w:tc>
          <w:tcPr>
            <w:tcW w:w="414"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0.19</w:t>
            </w:r>
          </w:p>
        </w:tc>
        <w:tc>
          <w:tcPr>
            <w:tcW w:w="55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0.00</w:t>
            </w:r>
          </w:p>
        </w:tc>
        <w:tc>
          <w:tcPr>
            <w:tcW w:w="43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0.00</w:t>
            </w:r>
          </w:p>
        </w:tc>
      </w:tr>
      <w:tr>
        <w:tblPrEx>
          <w:tblCellMar>
            <w:top w:w="0" w:type="dxa"/>
            <w:left w:w="108" w:type="dxa"/>
            <w:bottom w:w="0" w:type="dxa"/>
            <w:right w:w="108" w:type="dxa"/>
          </w:tblCellMar>
        </w:tblPrEx>
        <w:trPr>
          <w:trHeight w:val="270" w:hRule="atLeast"/>
        </w:trPr>
        <w:tc>
          <w:tcPr>
            <w:tcW w:w="1010" w:type="pct"/>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Cs w:val="21"/>
              </w:rPr>
            </w:pPr>
          </w:p>
        </w:tc>
        <w:tc>
          <w:tcPr>
            <w:tcW w:w="2047" w:type="pct"/>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小计</w:t>
            </w:r>
          </w:p>
        </w:tc>
        <w:tc>
          <w:tcPr>
            <w:tcW w:w="54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0.09</w:t>
            </w:r>
          </w:p>
        </w:tc>
        <w:tc>
          <w:tcPr>
            <w:tcW w:w="414"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0.24</w:t>
            </w:r>
          </w:p>
        </w:tc>
        <w:tc>
          <w:tcPr>
            <w:tcW w:w="55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0.00</w:t>
            </w:r>
          </w:p>
        </w:tc>
        <w:tc>
          <w:tcPr>
            <w:tcW w:w="43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0.00</w:t>
            </w:r>
          </w:p>
        </w:tc>
      </w:tr>
      <w:tr>
        <w:tblPrEx>
          <w:tblCellMar>
            <w:top w:w="0" w:type="dxa"/>
            <w:left w:w="108" w:type="dxa"/>
            <w:bottom w:w="0" w:type="dxa"/>
            <w:right w:w="108" w:type="dxa"/>
          </w:tblCellMar>
        </w:tblPrEx>
        <w:trPr>
          <w:trHeight w:val="270" w:hRule="atLeast"/>
        </w:trPr>
        <w:tc>
          <w:tcPr>
            <w:tcW w:w="1010"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居住用地</w:t>
            </w:r>
          </w:p>
        </w:tc>
        <w:tc>
          <w:tcPr>
            <w:tcW w:w="1032"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城镇住宅用地</w:t>
            </w:r>
          </w:p>
        </w:tc>
        <w:tc>
          <w:tcPr>
            <w:tcW w:w="1015"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二类城镇住宅用地</w:t>
            </w:r>
          </w:p>
        </w:tc>
        <w:tc>
          <w:tcPr>
            <w:tcW w:w="54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12.00</w:t>
            </w:r>
          </w:p>
        </w:tc>
        <w:tc>
          <w:tcPr>
            <w:tcW w:w="414"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29.81</w:t>
            </w:r>
          </w:p>
        </w:tc>
        <w:tc>
          <w:tcPr>
            <w:tcW w:w="55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20.13</w:t>
            </w:r>
          </w:p>
        </w:tc>
        <w:tc>
          <w:tcPr>
            <w:tcW w:w="43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50.01</w:t>
            </w:r>
          </w:p>
        </w:tc>
      </w:tr>
      <w:tr>
        <w:tblPrEx>
          <w:tblCellMar>
            <w:top w:w="0" w:type="dxa"/>
            <w:left w:w="108" w:type="dxa"/>
            <w:bottom w:w="0" w:type="dxa"/>
            <w:right w:w="108" w:type="dxa"/>
          </w:tblCellMar>
        </w:tblPrEx>
        <w:trPr>
          <w:trHeight w:val="270" w:hRule="atLeast"/>
        </w:trPr>
        <w:tc>
          <w:tcPr>
            <w:tcW w:w="1010" w:type="pct"/>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Cs w:val="21"/>
              </w:rPr>
            </w:pPr>
          </w:p>
        </w:tc>
        <w:tc>
          <w:tcPr>
            <w:tcW w:w="1032"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农村宅基地</w:t>
            </w:r>
          </w:p>
        </w:tc>
        <w:tc>
          <w:tcPr>
            <w:tcW w:w="1015"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一类农村宅基地</w:t>
            </w:r>
          </w:p>
        </w:tc>
        <w:tc>
          <w:tcPr>
            <w:tcW w:w="54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6.04</w:t>
            </w:r>
          </w:p>
        </w:tc>
        <w:tc>
          <w:tcPr>
            <w:tcW w:w="414"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15.00</w:t>
            </w:r>
          </w:p>
        </w:tc>
        <w:tc>
          <w:tcPr>
            <w:tcW w:w="55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0.00</w:t>
            </w:r>
          </w:p>
        </w:tc>
        <w:tc>
          <w:tcPr>
            <w:tcW w:w="43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0.00</w:t>
            </w:r>
          </w:p>
        </w:tc>
      </w:tr>
      <w:tr>
        <w:tblPrEx>
          <w:tblCellMar>
            <w:top w:w="0" w:type="dxa"/>
            <w:left w:w="108" w:type="dxa"/>
            <w:bottom w:w="0" w:type="dxa"/>
            <w:right w:w="108" w:type="dxa"/>
          </w:tblCellMar>
        </w:tblPrEx>
        <w:trPr>
          <w:trHeight w:val="270" w:hRule="atLeast"/>
        </w:trPr>
        <w:tc>
          <w:tcPr>
            <w:tcW w:w="1010" w:type="pct"/>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Cs w:val="21"/>
              </w:rPr>
            </w:pPr>
          </w:p>
        </w:tc>
        <w:tc>
          <w:tcPr>
            <w:tcW w:w="2047" w:type="pct"/>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小计</w:t>
            </w:r>
          </w:p>
        </w:tc>
        <w:tc>
          <w:tcPr>
            <w:tcW w:w="54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18.04</w:t>
            </w:r>
          </w:p>
        </w:tc>
        <w:tc>
          <w:tcPr>
            <w:tcW w:w="414"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44.81</w:t>
            </w:r>
          </w:p>
        </w:tc>
        <w:tc>
          <w:tcPr>
            <w:tcW w:w="55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20.13</w:t>
            </w:r>
          </w:p>
        </w:tc>
        <w:tc>
          <w:tcPr>
            <w:tcW w:w="43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50.01</w:t>
            </w:r>
          </w:p>
        </w:tc>
      </w:tr>
      <w:tr>
        <w:tblPrEx>
          <w:tblCellMar>
            <w:top w:w="0" w:type="dxa"/>
            <w:left w:w="108" w:type="dxa"/>
            <w:bottom w:w="0" w:type="dxa"/>
            <w:right w:w="108" w:type="dxa"/>
          </w:tblCellMar>
        </w:tblPrEx>
        <w:trPr>
          <w:trHeight w:val="270" w:hRule="atLeast"/>
        </w:trPr>
        <w:tc>
          <w:tcPr>
            <w:tcW w:w="1010"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公共管理与公共服务设施用地</w:t>
            </w:r>
          </w:p>
        </w:tc>
        <w:tc>
          <w:tcPr>
            <w:tcW w:w="1032"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机关团体用地</w:t>
            </w:r>
          </w:p>
        </w:tc>
        <w:tc>
          <w:tcPr>
            <w:tcW w:w="1015"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p>
        </w:tc>
        <w:tc>
          <w:tcPr>
            <w:tcW w:w="54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1.15</w:t>
            </w:r>
          </w:p>
        </w:tc>
        <w:tc>
          <w:tcPr>
            <w:tcW w:w="414"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2.86</w:t>
            </w:r>
          </w:p>
        </w:tc>
        <w:tc>
          <w:tcPr>
            <w:tcW w:w="55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1.68</w:t>
            </w:r>
          </w:p>
        </w:tc>
        <w:tc>
          <w:tcPr>
            <w:tcW w:w="43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4.18</w:t>
            </w:r>
          </w:p>
        </w:tc>
      </w:tr>
      <w:tr>
        <w:tblPrEx>
          <w:tblCellMar>
            <w:top w:w="0" w:type="dxa"/>
            <w:left w:w="108" w:type="dxa"/>
            <w:bottom w:w="0" w:type="dxa"/>
            <w:right w:w="108" w:type="dxa"/>
          </w:tblCellMar>
        </w:tblPrEx>
        <w:trPr>
          <w:trHeight w:val="270" w:hRule="atLeast"/>
        </w:trPr>
        <w:tc>
          <w:tcPr>
            <w:tcW w:w="1010" w:type="pct"/>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Cs w:val="21"/>
              </w:rPr>
            </w:pPr>
          </w:p>
        </w:tc>
        <w:tc>
          <w:tcPr>
            <w:tcW w:w="1032"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文化用地</w:t>
            </w:r>
          </w:p>
        </w:tc>
        <w:tc>
          <w:tcPr>
            <w:tcW w:w="1015"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文化活动用地</w:t>
            </w:r>
          </w:p>
        </w:tc>
        <w:tc>
          <w:tcPr>
            <w:tcW w:w="54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0.00</w:t>
            </w:r>
          </w:p>
        </w:tc>
        <w:tc>
          <w:tcPr>
            <w:tcW w:w="414"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0.00</w:t>
            </w:r>
          </w:p>
        </w:tc>
        <w:tc>
          <w:tcPr>
            <w:tcW w:w="55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0.29</w:t>
            </w:r>
          </w:p>
        </w:tc>
        <w:tc>
          <w:tcPr>
            <w:tcW w:w="43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0.71</w:t>
            </w:r>
          </w:p>
        </w:tc>
      </w:tr>
      <w:tr>
        <w:tblPrEx>
          <w:tblCellMar>
            <w:top w:w="0" w:type="dxa"/>
            <w:left w:w="108" w:type="dxa"/>
            <w:bottom w:w="0" w:type="dxa"/>
            <w:right w:w="108" w:type="dxa"/>
          </w:tblCellMar>
        </w:tblPrEx>
        <w:trPr>
          <w:trHeight w:val="270" w:hRule="atLeast"/>
        </w:trPr>
        <w:tc>
          <w:tcPr>
            <w:tcW w:w="1010" w:type="pct"/>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Cs w:val="21"/>
              </w:rPr>
            </w:pPr>
          </w:p>
        </w:tc>
        <w:tc>
          <w:tcPr>
            <w:tcW w:w="1032"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教育用地</w:t>
            </w:r>
          </w:p>
        </w:tc>
        <w:tc>
          <w:tcPr>
            <w:tcW w:w="1015"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中小学用地</w:t>
            </w:r>
          </w:p>
        </w:tc>
        <w:tc>
          <w:tcPr>
            <w:tcW w:w="54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2.70</w:t>
            </w:r>
          </w:p>
        </w:tc>
        <w:tc>
          <w:tcPr>
            <w:tcW w:w="414"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6.72</w:t>
            </w:r>
          </w:p>
        </w:tc>
        <w:tc>
          <w:tcPr>
            <w:tcW w:w="55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2.44</w:t>
            </w:r>
          </w:p>
        </w:tc>
        <w:tc>
          <w:tcPr>
            <w:tcW w:w="43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6.06</w:t>
            </w:r>
          </w:p>
        </w:tc>
      </w:tr>
      <w:tr>
        <w:tblPrEx>
          <w:tblCellMar>
            <w:top w:w="0" w:type="dxa"/>
            <w:left w:w="108" w:type="dxa"/>
            <w:bottom w:w="0" w:type="dxa"/>
            <w:right w:w="108" w:type="dxa"/>
          </w:tblCellMar>
        </w:tblPrEx>
        <w:trPr>
          <w:trHeight w:val="270" w:hRule="atLeast"/>
        </w:trPr>
        <w:tc>
          <w:tcPr>
            <w:tcW w:w="1010" w:type="pct"/>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Cs w:val="21"/>
              </w:rPr>
            </w:pPr>
          </w:p>
        </w:tc>
        <w:tc>
          <w:tcPr>
            <w:tcW w:w="1032" w:type="pct"/>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Cs w:val="21"/>
              </w:rPr>
            </w:pPr>
          </w:p>
        </w:tc>
        <w:tc>
          <w:tcPr>
            <w:tcW w:w="1015"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幼儿园用地</w:t>
            </w:r>
          </w:p>
        </w:tc>
        <w:tc>
          <w:tcPr>
            <w:tcW w:w="54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0.12</w:t>
            </w:r>
          </w:p>
        </w:tc>
        <w:tc>
          <w:tcPr>
            <w:tcW w:w="414"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0.31</w:t>
            </w:r>
          </w:p>
        </w:tc>
        <w:tc>
          <w:tcPr>
            <w:tcW w:w="55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0.52</w:t>
            </w:r>
          </w:p>
        </w:tc>
        <w:tc>
          <w:tcPr>
            <w:tcW w:w="43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1.28</w:t>
            </w:r>
          </w:p>
        </w:tc>
      </w:tr>
      <w:tr>
        <w:tblPrEx>
          <w:tblCellMar>
            <w:top w:w="0" w:type="dxa"/>
            <w:left w:w="108" w:type="dxa"/>
            <w:bottom w:w="0" w:type="dxa"/>
            <w:right w:w="108" w:type="dxa"/>
          </w:tblCellMar>
        </w:tblPrEx>
        <w:trPr>
          <w:trHeight w:val="270" w:hRule="atLeast"/>
        </w:trPr>
        <w:tc>
          <w:tcPr>
            <w:tcW w:w="1010" w:type="pct"/>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Cs w:val="21"/>
              </w:rPr>
            </w:pPr>
          </w:p>
        </w:tc>
        <w:tc>
          <w:tcPr>
            <w:tcW w:w="1032"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医疗卫生用地</w:t>
            </w:r>
          </w:p>
        </w:tc>
        <w:tc>
          <w:tcPr>
            <w:tcW w:w="1015"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基层医疗卫生设施用地</w:t>
            </w:r>
          </w:p>
        </w:tc>
        <w:tc>
          <w:tcPr>
            <w:tcW w:w="54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0.58</w:t>
            </w:r>
          </w:p>
        </w:tc>
        <w:tc>
          <w:tcPr>
            <w:tcW w:w="414"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1.43</w:t>
            </w:r>
          </w:p>
        </w:tc>
        <w:tc>
          <w:tcPr>
            <w:tcW w:w="55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0.32</w:t>
            </w:r>
          </w:p>
        </w:tc>
        <w:tc>
          <w:tcPr>
            <w:tcW w:w="43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0.80</w:t>
            </w:r>
          </w:p>
        </w:tc>
      </w:tr>
      <w:tr>
        <w:tblPrEx>
          <w:tblCellMar>
            <w:top w:w="0" w:type="dxa"/>
            <w:left w:w="108" w:type="dxa"/>
            <w:bottom w:w="0" w:type="dxa"/>
            <w:right w:w="108" w:type="dxa"/>
          </w:tblCellMar>
        </w:tblPrEx>
        <w:trPr>
          <w:trHeight w:val="270" w:hRule="atLeast"/>
        </w:trPr>
        <w:tc>
          <w:tcPr>
            <w:tcW w:w="1010" w:type="pct"/>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Cs w:val="21"/>
              </w:rPr>
            </w:pPr>
          </w:p>
        </w:tc>
        <w:tc>
          <w:tcPr>
            <w:tcW w:w="1032" w:type="pct"/>
            <w:vMerge w:val="continue"/>
            <w:tcBorders>
              <w:top w:val="nil"/>
              <w:left w:val="single" w:color="auto" w:sz="4" w:space="0"/>
              <w:bottom w:val="single" w:color="000000" w:sz="4" w:space="0"/>
              <w:right w:val="single" w:color="auto" w:sz="4" w:space="0"/>
            </w:tcBorders>
            <w:vAlign w:val="center"/>
          </w:tcPr>
          <w:p>
            <w:pPr>
              <w:widowControl/>
              <w:jc w:val="center"/>
              <w:rPr>
                <w:rFonts w:ascii="宋体" w:hAnsi="宋体" w:eastAsia="宋体" w:cs="宋体"/>
                <w:color w:val="000000"/>
                <w:kern w:val="0"/>
                <w:szCs w:val="21"/>
              </w:rPr>
            </w:pPr>
          </w:p>
        </w:tc>
        <w:tc>
          <w:tcPr>
            <w:tcW w:w="1015"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公共卫生用地</w:t>
            </w:r>
          </w:p>
        </w:tc>
        <w:tc>
          <w:tcPr>
            <w:tcW w:w="54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0.00</w:t>
            </w:r>
          </w:p>
        </w:tc>
        <w:tc>
          <w:tcPr>
            <w:tcW w:w="414"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0.00</w:t>
            </w:r>
          </w:p>
        </w:tc>
        <w:tc>
          <w:tcPr>
            <w:tcW w:w="55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0.26</w:t>
            </w:r>
          </w:p>
        </w:tc>
        <w:tc>
          <w:tcPr>
            <w:tcW w:w="43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0.65</w:t>
            </w:r>
          </w:p>
        </w:tc>
      </w:tr>
      <w:tr>
        <w:tblPrEx>
          <w:tblCellMar>
            <w:top w:w="0" w:type="dxa"/>
            <w:left w:w="108" w:type="dxa"/>
            <w:bottom w:w="0" w:type="dxa"/>
            <w:right w:w="108" w:type="dxa"/>
          </w:tblCellMar>
        </w:tblPrEx>
        <w:trPr>
          <w:trHeight w:val="270" w:hRule="atLeast"/>
        </w:trPr>
        <w:tc>
          <w:tcPr>
            <w:tcW w:w="1010" w:type="pct"/>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Cs w:val="21"/>
              </w:rPr>
            </w:pPr>
          </w:p>
        </w:tc>
        <w:tc>
          <w:tcPr>
            <w:tcW w:w="1032"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社会福利用地</w:t>
            </w:r>
          </w:p>
        </w:tc>
        <w:tc>
          <w:tcPr>
            <w:tcW w:w="1015"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老年人社会福利用地</w:t>
            </w:r>
          </w:p>
        </w:tc>
        <w:tc>
          <w:tcPr>
            <w:tcW w:w="54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0.00</w:t>
            </w:r>
          </w:p>
        </w:tc>
        <w:tc>
          <w:tcPr>
            <w:tcW w:w="414"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0.00</w:t>
            </w:r>
          </w:p>
        </w:tc>
        <w:tc>
          <w:tcPr>
            <w:tcW w:w="55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0.31</w:t>
            </w:r>
          </w:p>
        </w:tc>
        <w:tc>
          <w:tcPr>
            <w:tcW w:w="43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0.76</w:t>
            </w:r>
          </w:p>
        </w:tc>
      </w:tr>
      <w:tr>
        <w:tblPrEx>
          <w:tblCellMar>
            <w:top w:w="0" w:type="dxa"/>
            <w:left w:w="108" w:type="dxa"/>
            <w:bottom w:w="0" w:type="dxa"/>
            <w:right w:w="108" w:type="dxa"/>
          </w:tblCellMar>
        </w:tblPrEx>
        <w:trPr>
          <w:trHeight w:val="270" w:hRule="atLeast"/>
        </w:trPr>
        <w:tc>
          <w:tcPr>
            <w:tcW w:w="1010" w:type="pct"/>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Cs w:val="21"/>
              </w:rPr>
            </w:pPr>
          </w:p>
        </w:tc>
        <w:tc>
          <w:tcPr>
            <w:tcW w:w="2047" w:type="pct"/>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小计</w:t>
            </w:r>
          </w:p>
        </w:tc>
        <w:tc>
          <w:tcPr>
            <w:tcW w:w="54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4.56</w:t>
            </w:r>
          </w:p>
        </w:tc>
        <w:tc>
          <w:tcPr>
            <w:tcW w:w="414"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11.32</w:t>
            </w:r>
          </w:p>
        </w:tc>
        <w:tc>
          <w:tcPr>
            <w:tcW w:w="55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5.82</w:t>
            </w:r>
          </w:p>
        </w:tc>
        <w:tc>
          <w:tcPr>
            <w:tcW w:w="43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14.44</w:t>
            </w:r>
          </w:p>
        </w:tc>
      </w:tr>
      <w:tr>
        <w:tblPrEx>
          <w:tblCellMar>
            <w:top w:w="0" w:type="dxa"/>
            <w:left w:w="108" w:type="dxa"/>
            <w:bottom w:w="0" w:type="dxa"/>
            <w:right w:w="108" w:type="dxa"/>
          </w:tblCellMar>
        </w:tblPrEx>
        <w:trPr>
          <w:trHeight w:val="270" w:hRule="atLeast"/>
        </w:trPr>
        <w:tc>
          <w:tcPr>
            <w:tcW w:w="1010"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商业服务业用地</w:t>
            </w:r>
          </w:p>
        </w:tc>
        <w:tc>
          <w:tcPr>
            <w:tcW w:w="1032"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商业用地</w:t>
            </w:r>
          </w:p>
        </w:tc>
        <w:tc>
          <w:tcPr>
            <w:tcW w:w="1015"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零售商业用地</w:t>
            </w:r>
          </w:p>
        </w:tc>
        <w:tc>
          <w:tcPr>
            <w:tcW w:w="54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0.08</w:t>
            </w:r>
          </w:p>
        </w:tc>
        <w:tc>
          <w:tcPr>
            <w:tcW w:w="414"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0.21</w:t>
            </w:r>
          </w:p>
        </w:tc>
        <w:tc>
          <w:tcPr>
            <w:tcW w:w="55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1.85</w:t>
            </w:r>
          </w:p>
        </w:tc>
        <w:tc>
          <w:tcPr>
            <w:tcW w:w="43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4.61</w:t>
            </w:r>
          </w:p>
        </w:tc>
      </w:tr>
      <w:tr>
        <w:tblPrEx>
          <w:tblCellMar>
            <w:top w:w="0" w:type="dxa"/>
            <w:left w:w="108" w:type="dxa"/>
            <w:bottom w:w="0" w:type="dxa"/>
            <w:right w:w="108" w:type="dxa"/>
          </w:tblCellMar>
        </w:tblPrEx>
        <w:trPr>
          <w:trHeight w:val="270" w:hRule="atLeast"/>
        </w:trPr>
        <w:tc>
          <w:tcPr>
            <w:tcW w:w="1010" w:type="pct"/>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Cs w:val="21"/>
              </w:rPr>
            </w:pPr>
          </w:p>
        </w:tc>
        <w:tc>
          <w:tcPr>
            <w:tcW w:w="1032" w:type="pct"/>
            <w:vMerge w:val="continue"/>
            <w:tcBorders>
              <w:top w:val="nil"/>
              <w:left w:val="single" w:color="auto" w:sz="4" w:space="0"/>
              <w:bottom w:val="single" w:color="000000" w:sz="4" w:space="0"/>
              <w:right w:val="single" w:color="auto" w:sz="4" w:space="0"/>
            </w:tcBorders>
            <w:vAlign w:val="center"/>
          </w:tcPr>
          <w:p>
            <w:pPr>
              <w:widowControl/>
              <w:jc w:val="center"/>
              <w:rPr>
                <w:rFonts w:ascii="宋体" w:hAnsi="宋体" w:eastAsia="宋体" w:cs="宋体"/>
                <w:color w:val="000000"/>
                <w:kern w:val="0"/>
                <w:szCs w:val="21"/>
              </w:rPr>
            </w:pPr>
          </w:p>
        </w:tc>
        <w:tc>
          <w:tcPr>
            <w:tcW w:w="1015"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批发市场用地</w:t>
            </w:r>
          </w:p>
        </w:tc>
        <w:tc>
          <w:tcPr>
            <w:tcW w:w="54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0.23</w:t>
            </w:r>
          </w:p>
        </w:tc>
        <w:tc>
          <w:tcPr>
            <w:tcW w:w="414"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0.58</w:t>
            </w:r>
          </w:p>
        </w:tc>
        <w:tc>
          <w:tcPr>
            <w:tcW w:w="55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0.68</w:t>
            </w:r>
          </w:p>
        </w:tc>
        <w:tc>
          <w:tcPr>
            <w:tcW w:w="43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1.69</w:t>
            </w:r>
          </w:p>
        </w:tc>
      </w:tr>
      <w:tr>
        <w:tblPrEx>
          <w:tblCellMar>
            <w:top w:w="0" w:type="dxa"/>
            <w:left w:w="108" w:type="dxa"/>
            <w:bottom w:w="0" w:type="dxa"/>
            <w:right w:w="108" w:type="dxa"/>
          </w:tblCellMar>
        </w:tblPrEx>
        <w:trPr>
          <w:trHeight w:val="270" w:hRule="atLeast"/>
        </w:trPr>
        <w:tc>
          <w:tcPr>
            <w:tcW w:w="1010" w:type="pct"/>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Cs w:val="21"/>
              </w:rPr>
            </w:pPr>
          </w:p>
        </w:tc>
        <w:tc>
          <w:tcPr>
            <w:tcW w:w="1032" w:type="pct"/>
            <w:vMerge w:val="continue"/>
            <w:tcBorders>
              <w:top w:val="nil"/>
              <w:left w:val="single" w:color="auto" w:sz="4" w:space="0"/>
              <w:bottom w:val="single" w:color="000000" w:sz="4" w:space="0"/>
              <w:right w:val="single" w:color="auto" w:sz="4" w:space="0"/>
            </w:tcBorders>
            <w:vAlign w:val="center"/>
          </w:tcPr>
          <w:p>
            <w:pPr>
              <w:widowControl/>
              <w:jc w:val="center"/>
              <w:rPr>
                <w:rFonts w:ascii="宋体" w:hAnsi="宋体" w:eastAsia="宋体" w:cs="宋体"/>
                <w:color w:val="000000"/>
                <w:kern w:val="0"/>
                <w:szCs w:val="21"/>
              </w:rPr>
            </w:pPr>
          </w:p>
        </w:tc>
        <w:tc>
          <w:tcPr>
            <w:tcW w:w="1015"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公用设施营业网点用地</w:t>
            </w:r>
          </w:p>
        </w:tc>
        <w:tc>
          <w:tcPr>
            <w:tcW w:w="54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0.12</w:t>
            </w:r>
          </w:p>
        </w:tc>
        <w:tc>
          <w:tcPr>
            <w:tcW w:w="414"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0.31</w:t>
            </w:r>
          </w:p>
        </w:tc>
        <w:tc>
          <w:tcPr>
            <w:tcW w:w="55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0.42</w:t>
            </w:r>
          </w:p>
        </w:tc>
        <w:tc>
          <w:tcPr>
            <w:tcW w:w="43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1.04</w:t>
            </w:r>
          </w:p>
        </w:tc>
      </w:tr>
      <w:tr>
        <w:tblPrEx>
          <w:tblCellMar>
            <w:top w:w="0" w:type="dxa"/>
            <w:left w:w="108" w:type="dxa"/>
            <w:bottom w:w="0" w:type="dxa"/>
            <w:right w:w="108" w:type="dxa"/>
          </w:tblCellMar>
        </w:tblPrEx>
        <w:trPr>
          <w:trHeight w:val="270" w:hRule="atLeast"/>
        </w:trPr>
        <w:tc>
          <w:tcPr>
            <w:tcW w:w="1010" w:type="pct"/>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Cs w:val="21"/>
              </w:rPr>
            </w:pPr>
          </w:p>
        </w:tc>
        <w:tc>
          <w:tcPr>
            <w:tcW w:w="1032"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商务金融用地</w:t>
            </w:r>
          </w:p>
        </w:tc>
        <w:tc>
          <w:tcPr>
            <w:tcW w:w="1015"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p>
        </w:tc>
        <w:tc>
          <w:tcPr>
            <w:tcW w:w="54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0.10</w:t>
            </w:r>
          </w:p>
        </w:tc>
        <w:tc>
          <w:tcPr>
            <w:tcW w:w="414"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0.26</w:t>
            </w:r>
          </w:p>
        </w:tc>
        <w:tc>
          <w:tcPr>
            <w:tcW w:w="55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0.00</w:t>
            </w:r>
          </w:p>
        </w:tc>
        <w:tc>
          <w:tcPr>
            <w:tcW w:w="43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0.00</w:t>
            </w:r>
          </w:p>
        </w:tc>
      </w:tr>
      <w:tr>
        <w:tblPrEx>
          <w:tblCellMar>
            <w:top w:w="0" w:type="dxa"/>
            <w:left w:w="108" w:type="dxa"/>
            <w:bottom w:w="0" w:type="dxa"/>
            <w:right w:w="108" w:type="dxa"/>
          </w:tblCellMar>
        </w:tblPrEx>
        <w:trPr>
          <w:trHeight w:val="270" w:hRule="atLeast"/>
        </w:trPr>
        <w:tc>
          <w:tcPr>
            <w:tcW w:w="1010" w:type="pct"/>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Cs w:val="21"/>
              </w:rPr>
            </w:pPr>
          </w:p>
        </w:tc>
        <w:tc>
          <w:tcPr>
            <w:tcW w:w="1032"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其他商业服务业用地</w:t>
            </w:r>
          </w:p>
        </w:tc>
        <w:tc>
          <w:tcPr>
            <w:tcW w:w="1015"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p>
        </w:tc>
        <w:tc>
          <w:tcPr>
            <w:tcW w:w="54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0.27</w:t>
            </w:r>
          </w:p>
        </w:tc>
        <w:tc>
          <w:tcPr>
            <w:tcW w:w="414"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0.67</w:t>
            </w:r>
          </w:p>
        </w:tc>
        <w:tc>
          <w:tcPr>
            <w:tcW w:w="55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0.00</w:t>
            </w:r>
          </w:p>
        </w:tc>
        <w:tc>
          <w:tcPr>
            <w:tcW w:w="43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0.00</w:t>
            </w:r>
          </w:p>
        </w:tc>
      </w:tr>
      <w:tr>
        <w:tblPrEx>
          <w:tblCellMar>
            <w:top w:w="0" w:type="dxa"/>
            <w:left w:w="108" w:type="dxa"/>
            <w:bottom w:w="0" w:type="dxa"/>
            <w:right w:w="108" w:type="dxa"/>
          </w:tblCellMar>
        </w:tblPrEx>
        <w:trPr>
          <w:trHeight w:val="270" w:hRule="atLeast"/>
        </w:trPr>
        <w:tc>
          <w:tcPr>
            <w:tcW w:w="1010" w:type="pct"/>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Cs w:val="21"/>
              </w:rPr>
            </w:pPr>
          </w:p>
        </w:tc>
        <w:tc>
          <w:tcPr>
            <w:tcW w:w="2047" w:type="pct"/>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小计</w:t>
            </w:r>
          </w:p>
        </w:tc>
        <w:tc>
          <w:tcPr>
            <w:tcW w:w="54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0.81</w:t>
            </w:r>
          </w:p>
        </w:tc>
        <w:tc>
          <w:tcPr>
            <w:tcW w:w="414"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2.01</w:t>
            </w:r>
          </w:p>
        </w:tc>
        <w:tc>
          <w:tcPr>
            <w:tcW w:w="55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2.95</w:t>
            </w:r>
          </w:p>
        </w:tc>
        <w:tc>
          <w:tcPr>
            <w:tcW w:w="43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7.34</w:t>
            </w:r>
          </w:p>
        </w:tc>
      </w:tr>
      <w:tr>
        <w:tblPrEx>
          <w:tblCellMar>
            <w:top w:w="0" w:type="dxa"/>
            <w:left w:w="108" w:type="dxa"/>
            <w:bottom w:w="0" w:type="dxa"/>
            <w:right w:w="108" w:type="dxa"/>
          </w:tblCellMar>
        </w:tblPrEx>
        <w:trPr>
          <w:trHeight w:val="270" w:hRule="atLeast"/>
        </w:trPr>
        <w:tc>
          <w:tcPr>
            <w:tcW w:w="1010"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工矿用地</w:t>
            </w:r>
          </w:p>
        </w:tc>
        <w:tc>
          <w:tcPr>
            <w:tcW w:w="1032"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工业用地</w:t>
            </w:r>
          </w:p>
        </w:tc>
        <w:tc>
          <w:tcPr>
            <w:tcW w:w="1015"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一类工业用地</w:t>
            </w:r>
          </w:p>
        </w:tc>
        <w:tc>
          <w:tcPr>
            <w:tcW w:w="54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0.23</w:t>
            </w:r>
          </w:p>
        </w:tc>
        <w:tc>
          <w:tcPr>
            <w:tcW w:w="414"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0.57</w:t>
            </w:r>
          </w:p>
        </w:tc>
        <w:tc>
          <w:tcPr>
            <w:tcW w:w="55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0.00</w:t>
            </w:r>
          </w:p>
        </w:tc>
        <w:tc>
          <w:tcPr>
            <w:tcW w:w="43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0.00</w:t>
            </w:r>
          </w:p>
        </w:tc>
      </w:tr>
      <w:tr>
        <w:tblPrEx>
          <w:tblCellMar>
            <w:top w:w="0" w:type="dxa"/>
            <w:left w:w="108" w:type="dxa"/>
            <w:bottom w:w="0" w:type="dxa"/>
            <w:right w:w="108" w:type="dxa"/>
          </w:tblCellMar>
        </w:tblPrEx>
        <w:trPr>
          <w:trHeight w:val="270" w:hRule="atLeast"/>
        </w:trPr>
        <w:tc>
          <w:tcPr>
            <w:tcW w:w="1010" w:type="pct"/>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Cs w:val="21"/>
              </w:rPr>
            </w:pPr>
          </w:p>
        </w:tc>
        <w:tc>
          <w:tcPr>
            <w:tcW w:w="1032" w:type="pct"/>
            <w:vMerge w:val="continue"/>
            <w:tcBorders>
              <w:top w:val="nil"/>
              <w:left w:val="single" w:color="auto" w:sz="4" w:space="0"/>
              <w:bottom w:val="single" w:color="000000" w:sz="4" w:space="0"/>
              <w:right w:val="single" w:color="auto" w:sz="4" w:space="0"/>
            </w:tcBorders>
            <w:vAlign w:val="center"/>
          </w:tcPr>
          <w:p>
            <w:pPr>
              <w:widowControl/>
              <w:jc w:val="center"/>
              <w:rPr>
                <w:rFonts w:ascii="宋体" w:hAnsi="宋体" w:eastAsia="宋体" w:cs="宋体"/>
                <w:color w:val="000000"/>
                <w:kern w:val="0"/>
                <w:szCs w:val="21"/>
              </w:rPr>
            </w:pPr>
          </w:p>
        </w:tc>
        <w:tc>
          <w:tcPr>
            <w:tcW w:w="1015"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二类工业用地</w:t>
            </w:r>
          </w:p>
        </w:tc>
        <w:tc>
          <w:tcPr>
            <w:tcW w:w="54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0.27</w:t>
            </w:r>
          </w:p>
        </w:tc>
        <w:tc>
          <w:tcPr>
            <w:tcW w:w="414"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0.67</w:t>
            </w:r>
          </w:p>
        </w:tc>
        <w:tc>
          <w:tcPr>
            <w:tcW w:w="55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0.00</w:t>
            </w:r>
          </w:p>
        </w:tc>
        <w:tc>
          <w:tcPr>
            <w:tcW w:w="43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0.00</w:t>
            </w:r>
          </w:p>
        </w:tc>
      </w:tr>
      <w:tr>
        <w:tblPrEx>
          <w:tblCellMar>
            <w:top w:w="0" w:type="dxa"/>
            <w:left w:w="108" w:type="dxa"/>
            <w:bottom w:w="0" w:type="dxa"/>
            <w:right w:w="108" w:type="dxa"/>
          </w:tblCellMar>
        </w:tblPrEx>
        <w:trPr>
          <w:trHeight w:val="270" w:hRule="atLeast"/>
        </w:trPr>
        <w:tc>
          <w:tcPr>
            <w:tcW w:w="1010" w:type="pct"/>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Cs w:val="21"/>
              </w:rPr>
            </w:pPr>
          </w:p>
        </w:tc>
        <w:tc>
          <w:tcPr>
            <w:tcW w:w="2047" w:type="pct"/>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小计</w:t>
            </w:r>
          </w:p>
        </w:tc>
        <w:tc>
          <w:tcPr>
            <w:tcW w:w="54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0.50</w:t>
            </w:r>
          </w:p>
        </w:tc>
        <w:tc>
          <w:tcPr>
            <w:tcW w:w="414"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1.24</w:t>
            </w:r>
          </w:p>
        </w:tc>
        <w:tc>
          <w:tcPr>
            <w:tcW w:w="55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0.00</w:t>
            </w:r>
          </w:p>
        </w:tc>
        <w:tc>
          <w:tcPr>
            <w:tcW w:w="43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0.00</w:t>
            </w:r>
          </w:p>
        </w:tc>
      </w:tr>
      <w:tr>
        <w:tblPrEx>
          <w:tblCellMar>
            <w:top w:w="0" w:type="dxa"/>
            <w:left w:w="108" w:type="dxa"/>
            <w:bottom w:w="0" w:type="dxa"/>
            <w:right w:w="108" w:type="dxa"/>
          </w:tblCellMar>
        </w:tblPrEx>
        <w:trPr>
          <w:trHeight w:val="270" w:hRule="atLeast"/>
        </w:trPr>
        <w:tc>
          <w:tcPr>
            <w:tcW w:w="1010"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仓储用地</w:t>
            </w:r>
          </w:p>
        </w:tc>
        <w:tc>
          <w:tcPr>
            <w:tcW w:w="1032"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物流仓储用地</w:t>
            </w:r>
          </w:p>
        </w:tc>
        <w:tc>
          <w:tcPr>
            <w:tcW w:w="1015"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一类物流仓储用地</w:t>
            </w:r>
          </w:p>
        </w:tc>
        <w:tc>
          <w:tcPr>
            <w:tcW w:w="54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0.00</w:t>
            </w:r>
          </w:p>
        </w:tc>
        <w:tc>
          <w:tcPr>
            <w:tcW w:w="414"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0.00</w:t>
            </w:r>
          </w:p>
        </w:tc>
        <w:tc>
          <w:tcPr>
            <w:tcW w:w="55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1.47</w:t>
            </w:r>
          </w:p>
        </w:tc>
        <w:tc>
          <w:tcPr>
            <w:tcW w:w="43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3.66</w:t>
            </w:r>
          </w:p>
        </w:tc>
      </w:tr>
      <w:tr>
        <w:tblPrEx>
          <w:tblCellMar>
            <w:top w:w="0" w:type="dxa"/>
            <w:left w:w="108" w:type="dxa"/>
            <w:bottom w:w="0" w:type="dxa"/>
            <w:right w:w="108" w:type="dxa"/>
          </w:tblCellMar>
        </w:tblPrEx>
        <w:trPr>
          <w:trHeight w:val="270" w:hRule="atLeast"/>
        </w:trPr>
        <w:tc>
          <w:tcPr>
            <w:tcW w:w="1010" w:type="pct"/>
            <w:vMerge w:val="continue"/>
            <w:tcBorders>
              <w:top w:val="nil"/>
              <w:left w:val="single" w:color="auto" w:sz="4" w:space="0"/>
              <w:bottom w:val="single" w:color="000000" w:sz="4" w:space="0"/>
              <w:right w:val="single" w:color="auto" w:sz="4" w:space="0"/>
            </w:tcBorders>
            <w:vAlign w:val="center"/>
          </w:tcPr>
          <w:p>
            <w:pPr>
              <w:widowControl/>
              <w:jc w:val="center"/>
              <w:rPr>
                <w:rFonts w:ascii="宋体" w:hAnsi="宋体" w:eastAsia="宋体" w:cs="宋体"/>
                <w:color w:val="000000"/>
                <w:kern w:val="0"/>
                <w:szCs w:val="21"/>
              </w:rPr>
            </w:pPr>
          </w:p>
        </w:tc>
        <w:tc>
          <w:tcPr>
            <w:tcW w:w="1032" w:type="pct"/>
            <w:vMerge w:val="continue"/>
            <w:tcBorders>
              <w:top w:val="nil"/>
              <w:left w:val="single" w:color="auto" w:sz="4" w:space="0"/>
              <w:bottom w:val="single" w:color="000000" w:sz="4" w:space="0"/>
              <w:right w:val="single" w:color="auto" w:sz="4" w:space="0"/>
            </w:tcBorders>
            <w:vAlign w:val="center"/>
          </w:tcPr>
          <w:p>
            <w:pPr>
              <w:widowControl/>
              <w:jc w:val="center"/>
              <w:rPr>
                <w:rFonts w:ascii="宋体" w:hAnsi="宋体" w:eastAsia="宋体" w:cs="宋体"/>
                <w:color w:val="000000"/>
                <w:kern w:val="0"/>
                <w:szCs w:val="21"/>
              </w:rPr>
            </w:pPr>
          </w:p>
        </w:tc>
        <w:tc>
          <w:tcPr>
            <w:tcW w:w="1015"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三类物流仓储用地</w:t>
            </w:r>
          </w:p>
        </w:tc>
        <w:tc>
          <w:tcPr>
            <w:tcW w:w="54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1.16</w:t>
            </w:r>
          </w:p>
        </w:tc>
        <w:tc>
          <w:tcPr>
            <w:tcW w:w="414"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2.89</w:t>
            </w:r>
          </w:p>
        </w:tc>
        <w:tc>
          <w:tcPr>
            <w:tcW w:w="55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0.00</w:t>
            </w:r>
          </w:p>
        </w:tc>
        <w:tc>
          <w:tcPr>
            <w:tcW w:w="43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0.00</w:t>
            </w:r>
          </w:p>
        </w:tc>
      </w:tr>
      <w:tr>
        <w:tblPrEx>
          <w:tblCellMar>
            <w:top w:w="0" w:type="dxa"/>
            <w:left w:w="108" w:type="dxa"/>
            <w:bottom w:w="0" w:type="dxa"/>
            <w:right w:w="108" w:type="dxa"/>
          </w:tblCellMar>
        </w:tblPrEx>
        <w:trPr>
          <w:trHeight w:val="270" w:hRule="atLeast"/>
        </w:trPr>
        <w:tc>
          <w:tcPr>
            <w:tcW w:w="1010" w:type="pct"/>
            <w:vMerge w:val="continue"/>
            <w:tcBorders>
              <w:top w:val="nil"/>
              <w:left w:val="single" w:color="auto" w:sz="4" w:space="0"/>
              <w:bottom w:val="single" w:color="000000" w:sz="4" w:space="0"/>
              <w:right w:val="single" w:color="auto" w:sz="4" w:space="0"/>
            </w:tcBorders>
            <w:vAlign w:val="center"/>
          </w:tcPr>
          <w:p>
            <w:pPr>
              <w:widowControl/>
              <w:jc w:val="center"/>
              <w:rPr>
                <w:rFonts w:ascii="宋体" w:hAnsi="宋体" w:eastAsia="宋体" w:cs="宋体"/>
                <w:color w:val="000000"/>
                <w:kern w:val="0"/>
                <w:szCs w:val="21"/>
              </w:rPr>
            </w:pPr>
          </w:p>
        </w:tc>
        <w:tc>
          <w:tcPr>
            <w:tcW w:w="2047" w:type="pct"/>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小计</w:t>
            </w:r>
          </w:p>
        </w:tc>
        <w:tc>
          <w:tcPr>
            <w:tcW w:w="54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1.16</w:t>
            </w:r>
          </w:p>
        </w:tc>
        <w:tc>
          <w:tcPr>
            <w:tcW w:w="414"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2.89</w:t>
            </w:r>
          </w:p>
        </w:tc>
        <w:tc>
          <w:tcPr>
            <w:tcW w:w="55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1.47</w:t>
            </w:r>
          </w:p>
        </w:tc>
        <w:tc>
          <w:tcPr>
            <w:tcW w:w="43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3.66</w:t>
            </w:r>
          </w:p>
        </w:tc>
      </w:tr>
      <w:tr>
        <w:tblPrEx>
          <w:tblCellMar>
            <w:top w:w="0" w:type="dxa"/>
            <w:left w:w="108" w:type="dxa"/>
            <w:bottom w:w="0" w:type="dxa"/>
            <w:right w:w="108" w:type="dxa"/>
          </w:tblCellMar>
        </w:tblPrEx>
        <w:trPr>
          <w:trHeight w:val="270" w:hRule="atLeast"/>
        </w:trPr>
        <w:tc>
          <w:tcPr>
            <w:tcW w:w="1010"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交通运输用地</w:t>
            </w:r>
          </w:p>
        </w:tc>
        <w:tc>
          <w:tcPr>
            <w:tcW w:w="1032"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公路用地</w:t>
            </w:r>
          </w:p>
        </w:tc>
        <w:tc>
          <w:tcPr>
            <w:tcW w:w="1015"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p>
        </w:tc>
        <w:tc>
          <w:tcPr>
            <w:tcW w:w="54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4.09</w:t>
            </w:r>
          </w:p>
        </w:tc>
        <w:tc>
          <w:tcPr>
            <w:tcW w:w="414"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10.15</w:t>
            </w:r>
          </w:p>
        </w:tc>
        <w:tc>
          <w:tcPr>
            <w:tcW w:w="55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0.00</w:t>
            </w:r>
          </w:p>
        </w:tc>
        <w:tc>
          <w:tcPr>
            <w:tcW w:w="43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0.00</w:t>
            </w:r>
          </w:p>
        </w:tc>
      </w:tr>
      <w:tr>
        <w:tblPrEx>
          <w:tblCellMar>
            <w:top w:w="0" w:type="dxa"/>
            <w:left w:w="108" w:type="dxa"/>
            <w:bottom w:w="0" w:type="dxa"/>
            <w:right w:w="108" w:type="dxa"/>
          </w:tblCellMar>
        </w:tblPrEx>
        <w:trPr>
          <w:trHeight w:val="270" w:hRule="atLeast"/>
        </w:trPr>
        <w:tc>
          <w:tcPr>
            <w:tcW w:w="1010" w:type="pct"/>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Cs w:val="21"/>
              </w:rPr>
            </w:pPr>
          </w:p>
        </w:tc>
        <w:tc>
          <w:tcPr>
            <w:tcW w:w="1032"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城镇道路用地</w:t>
            </w:r>
          </w:p>
        </w:tc>
        <w:tc>
          <w:tcPr>
            <w:tcW w:w="1015"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p>
        </w:tc>
        <w:tc>
          <w:tcPr>
            <w:tcW w:w="54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2.37</w:t>
            </w:r>
          </w:p>
        </w:tc>
        <w:tc>
          <w:tcPr>
            <w:tcW w:w="414"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5.89</w:t>
            </w:r>
          </w:p>
        </w:tc>
        <w:tc>
          <w:tcPr>
            <w:tcW w:w="55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7.27</w:t>
            </w:r>
          </w:p>
        </w:tc>
        <w:tc>
          <w:tcPr>
            <w:tcW w:w="43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18.07</w:t>
            </w:r>
          </w:p>
        </w:tc>
      </w:tr>
      <w:tr>
        <w:tblPrEx>
          <w:tblCellMar>
            <w:top w:w="0" w:type="dxa"/>
            <w:left w:w="108" w:type="dxa"/>
            <w:bottom w:w="0" w:type="dxa"/>
            <w:right w:w="108" w:type="dxa"/>
          </w:tblCellMar>
        </w:tblPrEx>
        <w:trPr>
          <w:trHeight w:val="270" w:hRule="atLeast"/>
        </w:trPr>
        <w:tc>
          <w:tcPr>
            <w:tcW w:w="1010" w:type="pct"/>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Cs w:val="21"/>
              </w:rPr>
            </w:pPr>
          </w:p>
        </w:tc>
        <w:tc>
          <w:tcPr>
            <w:tcW w:w="1032"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交通场站用地</w:t>
            </w:r>
          </w:p>
        </w:tc>
        <w:tc>
          <w:tcPr>
            <w:tcW w:w="1015"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对外交通场站用地</w:t>
            </w:r>
          </w:p>
        </w:tc>
        <w:tc>
          <w:tcPr>
            <w:tcW w:w="54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1.04</w:t>
            </w:r>
          </w:p>
        </w:tc>
        <w:tc>
          <w:tcPr>
            <w:tcW w:w="414"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2.59</w:t>
            </w:r>
          </w:p>
        </w:tc>
        <w:tc>
          <w:tcPr>
            <w:tcW w:w="55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0.83</w:t>
            </w:r>
          </w:p>
        </w:tc>
        <w:tc>
          <w:tcPr>
            <w:tcW w:w="43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2.06</w:t>
            </w:r>
          </w:p>
        </w:tc>
      </w:tr>
      <w:tr>
        <w:tblPrEx>
          <w:tblCellMar>
            <w:top w:w="0" w:type="dxa"/>
            <w:left w:w="108" w:type="dxa"/>
            <w:bottom w:w="0" w:type="dxa"/>
            <w:right w:w="108" w:type="dxa"/>
          </w:tblCellMar>
        </w:tblPrEx>
        <w:trPr>
          <w:trHeight w:val="270" w:hRule="atLeast"/>
        </w:trPr>
        <w:tc>
          <w:tcPr>
            <w:tcW w:w="1010" w:type="pct"/>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Cs w:val="21"/>
              </w:rPr>
            </w:pPr>
          </w:p>
        </w:tc>
        <w:tc>
          <w:tcPr>
            <w:tcW w:w="1032" w:type="pct"/>
            <w:vMerge w:val="continue"/>
            <w:tcBorders>
              <w:top w:val="nil"/>
              <w:left w:val="single" w:color="auto" w:sz="4" w:space="0"/>
              <w:bottom w:val="single" w:color="000000" w:sz="4" w:space="0"/>
              <w:right w:val="single" w:color="auto" w:sz="4" w:space="0"/>
            </w:tcBorders>
            <w:vAlign w:val="center"/>
          </w:tcPr>
          <w:p>
            <w:pPr>
              <w:widowControl/>
              <w:jc w:val="center"/>
              <w:rPr>
                <w:rFonts w:ascii="宋体" w:hAnsi="宋体" w:eastAsia="宋体" w:cs="宋体"/>
                <w:color w:val="000000"/>
                <w:kern w:val="0"/>
                <w:szCs w:val="21"/>
              </w:rPr>
            </w:pPr>
          </w:p>
        </w:tc>
        <w:tc>
          <w:tcPr>
            <w:tcW w:w="1015"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社会停车场用地</w:t>
            </w:r>
          </w:p>
        </w:tc>
        <w:tc>
          <w:tcPr>
            <w:tcW w:w="54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0.00</w:t>
            </w:r>
          </w:p>
        </w:tc>
        <w:tc>
          <w:tcPr>
            <w:tcW w:w="414"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0.00</w:t>
            </w:r>
          </w:p>
        </w:tc>
        <w:tc>
          <w:tcPr>
            <w:tcW w:w="55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0.27</w:t>
            </w:r>
          </w:p>
        </w:tc>
        <w:tc>
          <w:tcPr>
            <w:tcW w:w="43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0.68</w:t>
            </w:r>
          </w:p>
        </w:tc>
      </w:tr>
      <w:tr>
        <w:tblPrEx>
          <w:tblCellMar>
            <w:top w:w="0" w:type="dxa"/>
            <w:left w:w="108" w:type="dxa"/>
            <w:bottom w:w="0" w:type="dxa"/>
            <w:right w:w="108" w:type="dxa"/>
          </w:tblCellMar>
        </w:tblPrEx>
        <w:trPr>
          <w:trHeight w:val="270" w:hRule="atLeast"/>
        </w:trPr>
        <w:tc>
          <w:tcPr>
            <w:tcW w:w="1010" w:type="pct"/>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Cs w:val="21"/>
              </w:rPr>
            </w:pPr>
          </w:p>
        </w:tc>
        <w:tc>
          <w:tcPr>
            <w:tcW w:w="1032"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其他交通设施用地</w:t>
            </w:r>
          </w:p>
        </w:tc>
        <w:tc>
          <w:tcPr>
            <w:tcW w:w="1015"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p>
        </w:tc>
        <w:tc>
          <w:tcPr>
            <w:tcW w:w="54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0.33</w:t>
            </w:r>
          </w:p>
        </w:tc>
        <w:tc>
          <w:tcPr>
            <w:tcW w:w="414"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0.83</w:t>
            </w:r>
          </w:p>
        </w:tc>
        <w:tc>
          <w:tcPr>
            <w:tcW w:w="55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0.00</w:t>
            </w:r>
          </w:p>
        </w:tc>
        <w:tc>
          <w:tcPr>
            <w:tcW w:w="43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0.00</w:t>
            </w:r>
          </w:p>
        </w:tc>
      </w:tr>
      <w:tr>
        <w:tblPrEx>
          <w:tblCellMar>
            <w:top w:w="0" w:type="dxa"/>
            <w:left w:w="108" w:type="dxa"/>
            <w:bottom w:w="0" w:type="dxa"/>
            <w:right w:w="108" w:type="dxa"/>
          </w:tblCellMar>
        </w:tblPrEx>
        <w:trPr>
          <w:trHeight w:val="270" w:hRule="atLeast"/>
        </w:trPr>
        <w:tc>
          <w:tcPr>
            <w:tcW w:w="1010" w:type="pct"/>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Cs w:val="21"/>
              </w:rPr>
            </w:pPr>
          </w:p>
        </w:tc>
        <w:tc>
          <w:tcPr>
            <w:tcW w:w="2047" w:type="pct"/>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小计</w:t>
            </w:r>
          </w:p>
        </w:tc>
        <w:tc>
          <w:tcPr>
            <w:tcW w:w="54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7.84</w:t>
            </w:r>
          </w:p>
        </w:tc>
        <w:tc>
          <w:tcPr>
            <w:tcW w:w="414"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19.47</w:t>
            </w:r>
          </w:p>
        </w:tc>
        <w:tc>
          <w:tcPr>
            <w:tcW w:w="55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8.37</w:t>
            </w:r>
          </w:p>
        </w:tc>
        <w:tc>
          <w:tcPr>
            <w:tcW w:w="43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20.80</w:t>
            </w:r>
          </w:p>
        </w:tc>
      </w:tr>
      <w:tr>
        <w:tblPrEx>
          <w:tblCellMar>
            <w:top w:w="0" w:type="dxa"/>
            <w:left w:w="108" w:type="dxa"/>
            <w:bottom w:w="0" w:type="dxa"/>
            <w:right w:w="108" w:type="dxa"/>
          </w:tblCellMar>
        </w:tblPrEx>
        <w:trPr>
          <w:trHeight w:val="270" w:hRule="atLeast"/>
        </w:trPr>
        <w:tc>
          <w:tcPr>
            <w:tcW w:w="1010"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公用设施用地</w:t>
            </w:r>
          </w:p>
        </w:tc>
        <w:tc>
          <w:tcPr>
            <w:tcW w:w="1032"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供水用地</w:t>
            </w:r>
          </w:p>
        </w:tc>
        <w:tc>
          <w:tcPr>
            <w:tcW w:w="1015"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p>
        </w:tc>
        <w:tc>
          <w:tcPr>
            <w:tcW w:w="54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0.15</w:t>
            </w:r>
          </w:p>
        </w:tc>
        <w:tc>
          <w:tcPr>
            <w:tcW w:w="414"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0.37</w:t>
            </w:r>
          </w:p>
        </w:tc>
        <w:tc>
          <w:tcPr>
            <w:tcW w:w="55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0.42</w:t>
            </w:r>
          </w:p>
        </w:tc>
        <w:tc>
          <w:tcPr>
            <w:tcW w:w="43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1.05</w:t>
            </w:r>
          </w:p>
        </w:tc>
      </w:tr>
      <w:tr>
        <w:tblPrEx>
          <w:tblCellMar>
            <w:top w:w="0" w:type="dxa"/>
            <w:left w:w="108" w:type="dxa"/>
            <w:bottom w:w="0" w:type="dxa"/>
            <w:right w:w="108" w:type="dxa"/>
          </w:tblCellMar>
        </w:tblPrEx>
        <w:trPr>
          <w:trHeight w:val="270" w:hRule="atLeast"/>
        </w:trPr>
        <w:tc>
          <w:tcPr>
            <w:tcW w:w="1010" w:type="pct"/>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Cs w:val="21"/>
              </w:rPr>
            </w:pPr>
          </w:p>
        </w:tc>
        <w:tc>
          <w:tcPr>
            <w:tcW w:w="1032"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供电用地</w:t>
            </w:r>
          </w:p>
        </w:tc>
        <w:tc>
          <w:tcPr>
            <w:tcW w:w="1015"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p>
        </w:tc>
        <w:tc>
          <w:tcPr>
            <w:tcW w:w="54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0.44</w:t>
            </w:r>
          </w:p>
        </w:tc>
        <w:tc>
          <w:tcPr>
            <w:tcW w:w="414"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1.08</w:t>
            </w:r>
          </w:p>
        </w:tc>
        <w:tc>
          <w:tcPr>
            <w:tcW w:w="55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0.46</w:t>
            </w:r>
          </w:p>
        </w:tc>
        <w:tc>
          <w:tcPr>
            <w:tcW w:w="43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1.15</w:t>
            </w:r>
          </w:p>
        </w:tc>
      </w:tr>
      <w:tr>
        <w:tblPrEx>
          <w:tblCellMar>
            <w:top w:w="0" w:type="dxa"/>
            <w:left w:w="108" w:type="dxa"/>
            <w:bottom w:w="0" w:type="dxa"/>
            <w:right w:w="108" w:type="dxa"/>
          </w:tblCellMar>
        </w:tblPrEx>
        <w:trPr>
          <w:trHeight w:val="270" w:hRule="atLeast"/>
        </w:trPr>
        <w:tc>
          <w:tcPr>
            <w:tcW w:w="1010" w:type="pct"/>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Cs w:val="21"/>
              </w:rPr>
            </w:pPr>
          </w:p>
        </w:tc>
        <w:tc>
          <w:tcPr>
            <w:tcW w:w="1032"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邮政用地</w:t>
            </w:r>
          </w:p>
        </w:tc>
        <w:tc>
          <w:tcPr>
            <w:tcW w:w="1015"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p>
        </w:tc>
        <w:tc>
          <w:tcPr>
            <w:tcW w:w="54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0.15</w:t>
            </w:r>
          </w:p>
        </w:tc>
        <w:tc>
          <w:tcPr>
            <w:tcW w:w="414"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0.38</w:t>
            </w:r>
          </w:p>
        </w:tc>
        <w:tc>
          <w:tcPr>
            <w:tcW w:w="55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0.00</w:t>
            </w:r>
          </w:p>
        </w:tc>
        <w:tc>
          <w:tcPr>
            <w:tcW w:w="43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0.00</w:t>
            </w:r>
          </w:p>
        </w:tc>
      </w:tr>
      <w:tr>
        <w:tblPrEx>
          <w:tblCellMar>
            <w:top w:w="0" w:type="dxa"/>
            <w:left w:w="108" w:type="dxa"/>
            <w:bottom w:w="0" w:type="dxa"/>
            <w:right w:w="108" w:type="dxa"/>
          </w:tblCellMar>
        </w:tblPrEx>
        <w:trPr>
          <w:trHeight w:val="270" w:hRule="atLeast"/>
        </w:trPr>
        <w:tc>
          <w:tcPr>
            <w:tcW w:w="1010" w:type="pct"/>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Cs w:val="21"/>
              </w:rPr>
            </w:pPr>
          </w:p>
        </w:tc>
        <w:tc>
          <w:tcPr>
            <w:tcW w:w="1032"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广播电视设施用地</w:t>
            </w:r>
          </w:p>
        </w:tc>
        <w:tc>
          <w:tcPr>
            <w:tcW w:w="1015"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p>
        </w:tc>
        <w:tc>
          <w:tcPr>
            <w:tcW w:w="54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0.01</w:t>
            </w:r>
          </w:p>
        </w:tc>
        <w:tc>
          <w:tcPr>
            <w:tcW w:w="414"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0.03</w:t>
            </w:r>
          </w:p>
        </w:tc>
        <w:tc>
          <w:tcPr>
            <w:tcW w:w="55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0.00</w:t>
            </w:r>
          </w:p>
        </w:tc>
        <w:tc>
          <w:tcPr>
            <w:tcW w:w="43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0.00</w:t>
            </w:r>
          </w:p>
        </w:tc>
      </w:tr>
      <w:tr>
        <w:tblPrEx>
          <w:tblCellMar>
            <w:top w:w="0" w:type="dxa"/>
            <w:left w:w="108" w:type="dxa"/>
            <w:bottom w:w="0" w:type="dxa"/>
            <w:right w:w="108" w:type="dxa"/>
          </w:tblCellMar>
        </w:tblPrEx>
        <w:trPr>
          <w:trHeight w:val="270" w:hRule="atLeast"/>
        </w:trPr>
        <w:tc>
          <w:tcPr>
            <w:tcW w:w="1010" w:type="pct"/>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Cs w:val="21"/>
              </w:rPr>
            </w:pPr>
          </w:p>
        </w:tc>
        <w:tc>
          <w:tcPr>
            <w:tcW w:w="1032"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水工设施用地</w:t>
            </w:r>
          </w:p>
        </w:tc>
        <w:tc>
          <w:tcPr>
            <w:tcW w:w="1015"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p>
        </w:tc>
        <w:tc>
          <w:tcPr>
            <w:tcW w:w="54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0.23</w:t>
            </w:r>
          </w:p>
        </w:tc>
        <w:tc>
          <w:tcPr>
            <w:tcW w:w="414"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0.58</w:t>
            </w:r>
          </w:p>
        </w:tc>
        <w:tc>
          <w:tcPr>
            <w:tcW w:w="55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0.00</w:t>
            </w:r>
          </w:p>
        </w:tc>
        <w:tc>
          <w:tcPr>
            <w:tcW w:w="43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0.00</w:t>
            </w:r>
          </w:p>
        </w:tc>
      </w:tr>
      <w:tr>
        <w:tblPrEx>
          <w:tblCellMar>
            <w:top w:w="0" w:type="dxa"/>
            <w:left w:w="108" w:type="dxa"/>
            <w:bottom w:w="0" w:type="dxa"/>
            <w:right w:w="108" w:type="dxa"/>
          </w:tblCellMar>
        </w:tblPrEx>
        <w:trPr>
          <w:trHeight w:val="270" w:hRule="atLeast"/>
        </w:trPr>
        <w:tc>
          <w:tcPr>
            <w:tcW w:w="1010" w:type="pct"/>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Cs w:val="21"/>
              </w:rPr>
            </w:pPr>
          </w:p>
        </w:tc>
        <w:tc>
          <w:tcPr>
            <w:tcW w:w="2047" w:type="pct"/>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小计</w:t>
            </w:r>
          </w:p>
        </w:tc>
        <w:tc>
          <w:tcPr>
            <w:tcW w:w="54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0.98</w:t>
            </w:r>
          </w:p>
        </w:tc>
        <w:tc>
          <w:tcPr>
            <w:tcW w:w="414"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2.44</w:t>
            </w:r>
          </w:p>
        </w:tc>
        <w:tc>
          <w:tcPr>
            <w:tcW w:w="55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0.89</w:t>
            </w:r>
          </w:p>
        </w:tc>
        <w:tc>
          <w:tcPr>
            <w:tcW w:w="43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2.20</w:t>
            </w:r>
          </w:p>
        </w:tc>
      </w:tr>
      <w:tr>
        <w:tblPrEx>
          <w:tblCellMar>
            <w:top w:w="0" w:type="dxa"/>
            <w:left w:w="108" w:type="dxa"/>
            <w:bottom w:w="0" w:type="dxa"/>
            <w:right w:w="108" w:type="dxa"/>
          </w:tblCellMar>
        </w:tblPrEx>
        <w:trPr>
          <w:trHeight w:val="270" w:hRule="atLeast"/>
        </w:trPr>
        <w:tc>
          <w:tcPr>
            <w:tcW w:w="1010"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绿地与开敞空间用地</w:t>
            </w:r>
          </w:p>
        </w:tc>
        <w:tc>
          <w:tcPr>
            <w:tcW w:w="1032"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公园绿地</w:t>
            </w:r>
          </w:p>
        </w:tc>
        <w:tc>
          <w:tcPr>
            <w:tcW w:w="1015"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p>
        </w:tc>
        <w:tc>
          <w:tcPr>
            <w:tcW w:w="54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0.00</w:t>
            </w:r>
          </w:p>
        </w:tc>
        <w:tc>
          <w:tcPr>
            <w:tcW w:w="414"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0.00</w:t>
            </w:r>
          </w:p>
        </w:tc>
        <w:tc>
          <w:tcPr>
            <w:tcW w:w="55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0.48</w:t>
            </w:r>
          </w:p>
        </w:tc>
        <w:tc>
          <w:tcPr>
            <w:tcW w:w="43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1.20</w:t>
            </w:r>
          </w:p>
        </w:tc>
      </w:tr>
      <w:tr>
        <w:tblPrEx>
          <w:tblCellMar>
            <w:top w:w="0" w:type="dxa"/>
            <w:left w:w="108" w:type="dxa"/>
            <w:bottom w:w="0" w:type="dxa"/>
            <w:right w:w="108" w:type="dxa"/>
          </w:tblCellMar>
        </w:tblPrEx>
        <w:trPr>
          <w:trHeight w:val="270" w:hRule="atLeast"/>
        </w:trPr>
        <w:tc>
          <w:tcPr>
            <w:tcW w:w="1010" w:type="pct"/>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Cs w:val="21"/>
              </w:rPr>
            </w:pPr>
          </w:p>
        </w:tc>
        <w:tc>
          <w:tcPr>
            <w:tcW w:w="1032"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广场用地</w:t>
            </w:r>
          </w:p>
        </w:tc>
        <w:tc>
          <w:tcPr>
            <w:tcW w:w="1015"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p>
        </w:tc>
        <w:tc>
          <w:tcPr>
            <w:tcW w:w="54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0.00</w:t>
            </w:r>
          </w:p>
        </w:tc>
        <w:tc>
          <w:tcPr>
            <w:tcW w:w="414"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0.00</w:t>
            </w:r>
          </w:p>
        </w:tc>
        <w:tc>
          <w:tcPr>
            <w:tcW w:w="55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0.04</w:t>
            </w:r>
          </w:p>
        </w:tc>
        <w:tc>
          <w:tcPr>
            <w:tcW w:w="43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0.10</w:t>
            </w:r>
          </w:p>
        </w:tc>
      </w:tr>
      <w:tr>
        <w:tblPrEx>
          <w:tblCellMar>
            <w:top w:w="0" w:type="dxa"/>
            <w:left w:w="108" w:type="dxa"/>
            <w:bottom w:w="0" w:type="dxa"/>
            <w:right w:w="108" w:type="dxa"/>
          </w:tblCellMar>
        </w:tblPrEx>
        <w:trPr>
          <w:trHeight w:val="270" w:hRule="atLeast"/>
        </w:trPr>
        <w:tc>
          <w:tcPr>
            <w:tcW w:w="1010" w:type="pct"/>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Cs w:val="21"/>
              </w:rPr>
            </w:pPr>
          </w:p>
        </w:tc>
        <w:tc>
          <w:tcPr>
            <w:tcW w:w="2047" w:type="pct"/>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小计</w:t>
            </w:r>
          </w:p>
        </w:tc>
        <w:tc>
          <w:tcPr>
            <w:tcW w:w="54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0.00</w:t>
            </w:r>
          </w:p>
        </w:tc>
        <w:tc>
          <w:tcPr>
            <w:tcW w:w="414"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0.00</w:t>
            </w:r>
          </w:p>
        </w:tc>
        <w:tc>
          <w:tcPr>
            <w:tcW w:w="55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0.52</w:t>
            </w:r>
          </w:p>
        </w:tc>
        <w:tc>
          <w:tcPr>
            <w:tcW w:w="43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1.30</w:t>
            </w:r>
          </w:p>
        </w:tc>
      </w:tr>
      <w:tr>
        <w:tblPrEx>
          <w:tblCellMar>
            <w:top w:w="0" w:type="dxa"/>
            <w:left w:w="108" w:type="dxa"/>
            <w:bottom w:w="0" w:type="dxa"/>
            <w:right w:w="108" w:type="dxa"/>
          </w:tblCellMar>
        </w:tblPrEx>
        <w:trPr>
          <w:trHeight w:val="270" w:hRule="atLeast"/>
        </w:trPr>
        <w:tc>
          <w:tcPr>
            <w:tcW w:w="1010"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特殊用地</w:t>
            </w:r>
          </w:p>
        </w:tc>
        <w:tc>
          <w:tcPr>
            <w:tcW w:w="1032"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文物古迹用地</w:t>
            </w:r>
          </w:p>
        </w:tc>
        <w:tc>
          <w:tcPr>
            <w:tcW w:w="1015"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p>
        </w:tc>
        <w:tc>
          <w:tcPr>
            <w:tcW w:w="54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0.06</w:t>
            </w:r>
          </w:p>
        </w:tc>
        <w:tc>
          <w:tcPr>
            <w:tcW w:w="414"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0.14</w:t>
            </w:r>
          </w:p>
        </w:tc>
        <w:tc>
          <w:tcPr>
            <w:tcW w:w="55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0.00</w:t>
            </w:r>
          </w:p>
        </w:tc>
        <w:tc>
          <w:tcPr>
            <w:tcW w:w="43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0.00</w:t>
            </w:r>
          </w:p>
        </w:tc>
      </w:tr>
      <w:tr>
        <w:tblPrEx>
          <w:tblCellMar>
            <w:top w:w="0" w:type="dxa"/>
            <w:left w:w="108" w:type="dxa"/>
            <w:bottom w:w="0" w:type="dxa"/>
            <w:right w:w="108" w:type="dxa"/>
          </w:tblCellMar>
        </w:tblPrEx>
        <w:trPr>
          <w:trHeight w:val="270" w:hRule="atLeast"/>
        </w:trPr>
        <w:tc>
          <w:tcPr>
            <w:tcW w:w="1010" w:type="pct"/>
            <w:vMerge w:val="continue"/>
            <w:tcBorders>
              <w:top w:val="nil"/>
              <w:left w:val="single" w:color="auto" w:sz="4" w:space="0"/>
              <w:bottom w:val="single" w:color="000000" w:sz="4" w:space="0"/>
              <w:right w:val="single" w:color="auto" w:sz="4" w:space="0"/>
            </w:tcBorders>
            <w:vAlign w:val="center"/>
          </w:tcPr>
          <w:p>
            <w:pPr>
              <w:widowControl/>
              <w:jc w:val="center"/>
              <w:rPr>
                <w:rFonts w:ascii="宋体" w:hAnsi="宋体" w:eastAsia="宋体" w:cs="宋体"/>
                <w:color w:val="000000"/>
                <w:kern w:val="0"/>
                <w:szCs w:val="21"/>
              </w:rPr>
            </w:pPr>
          </w:p>
        </w:tc>
        <w:tc>
          <w:tcPr>
            <w:tcW w:w="2047" w:type="pct"/>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小计</w:t>
            </w:r>
          </w:p>
        </w:tc>
        <w:tc>
          <w:tcPr>
            <w:tcW w:w="54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0.06</w:t>
            </w:r>
          </w:p>
        </w:tc>
        <w:tc>
          <w:tcPr>
            <w:tcW w:w="414"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0.14</w:t>
            </w:r>
          </w:p>
        </w:tc>
        <w:tc>
          <w:tcPr>
            <w:tcW w:w="55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0.00</w:t>
            </w:r>
          </w:p>
        </w:tc>
        <w:tc>
          <w:tcPr>
            <w:tcW w:w="43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0.00</w:t>
            </w:r>
          </w:p>
        </w:tc>
      </w:tr>
      <w:tr>
        <w:tblPrEx>
          <w:tblCellMar>
            <w:top w:w="0" w:type="dxa"/>
            <w:left w:w="108" w:type="dxa"/>
            <w:bottom w:w="0" w:type="dxa"/>
            <w:right w:w="108" w:type="dxa"/>
          </w:tblCellMar>
        </w:tblPrEx>
        <w:trPr>
          <w:trHeight w:val="270" w:hRule="atLeast"/>
        </w:trPr>
        <w:tc>
          <w:tcPr>
            <w:tcW w:w="1010"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陆地水域</w:t>
            </w:r>
          </w:p>
        </w:tc>
        <w:tc>
          <w:tcPr>
            <w:tcW w:w="1032"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河流水面</w:t>
            </w:r>
          </w:p>
        </w:tc>
        <w:tc>
          <w:tcPr>
            <w:tcW w:w="1015"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p>
        </w:tc>
        <w:tc>
          <w:tcPr>
            <w:tcW w:w="54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0.11</w:t>
            </w:r>
          </w:p>
        </w:tc>
        <w:tc>
          <w:tcPr>
            <w:tcW w:w="414"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0.28</w:t>
            </w:r>
          </w:p>
        </w:tc>
        <w:tc>
          <w:tcPr>
            <w:tcW w:w="55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0.10</w:t>
            </w:r>
          </w:p>
        </w:tc>
        <w:tc>
          <w:tcPr>
            <w:tcW w:w="43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0.25</w:t>
            </w:r>
          </w:p>
        </w:tc>
      </w:tr>
      <w:tr>
        <w:tblPrEx>
          <w:tblCellMar>
            <w:top w:w="0" w:type="dxa"/>
            <w:left w:w="108" w:type="dxa"/>
            <w:bottom w:w="0" w:type="dxa"/>
            <w:right w:w="108" w:type="dxa"/>
          </w:tblCellMar>
        </w:tblPrEx>
        <w:trPr>
          <w:trHeight w:val="270" w:hRule="atLeast"/>
        </w:trPr>
        <w:tc>
          <w:tcPr>
            <w:tcW w:w="1010" w:type="pct"/>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Cs w:val="21"/>
              </w:rPr>
            </w:pPr>
          </w:p>
        </w:tc>
        <w:tc>
          <w:tcPr>
            <w:tcW w:w="1032"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沟渠</w:t>
            </w:r>
          </w:p>
        </w:tc>
        <w:tc>
          <w:tcPr>
            <w:tcW w:w="1015"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p>
        </w:tc>
        <w:tc>
          <w:tcPr>
            <w:tcW w:w="54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0.00</w:t>
            </w:r>
          </w:p>
        </w:tc>
        <w:tc>
          <w:tcPr>
            <w:tcW w:w="414"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0.00</w:t>
            </w:r>
          </w:p>
        </w:tc>
        <w:tc>
          <w:tcPr>
            <w:tcW w:w="55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0.00</w:t>
            </w:r>
          </w:p>
        </w:tc>
        <w:tc>
          <w:tcPr>
            <w:tcW w:w="43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0.00</w:t>
            </w:r>
          </w:p>
        </w:tc>
      </w:tr>
      <w:tr>
        <w:tblPrEx>
          <w:tblCellMar>
            <w:top w:w="0" w:type="dxa"/>
            <w:left w:w="108" w:type="dxa"/>
            <w:bottom w:w="0" w:type="dxa"/>
            <w:right w:w="108" w:type="dxa"/>
          </w:tblCellMar>
        </w:tblPrEx>
        <w:trPr>
          <w:trHeight w:val="270" w:hRule="atLeast"/>
        </w:trPr>
        <w:tc>
          <w:tcPr>
            <w:tcW w:w="1010" w:type="pct"/>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Cs w:val="21"/>
              </w:rPr>
            </w:pPr>
          </w:p>
        </w:tc>
        <w:tc>
          <w:tcPr>
            <w:tcW w:w="2047" w:type="pct"/>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小计</w:t>
            </w:r>
          </w:p>
        </w:tc>
        <w:tc>
          <w:tcPr>
            <w:tcW w:w="54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0.11</w:t>
            </w:r>
          </w:p>
        </w:tc>
        <w:tc>
          <w:tcPr>
            <w:tcW w:w="414"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0.28</w:t>
            </w:r>
          </w:p>
        </w:tc>
        <w:tc>
          <w:tcPr>
            <w:tcW w:w="55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0.10</w:t>
            </w:r>
          </w:p>
        </w:tc>
        <w:tc>
          <w:tcPr>
            <w:tcW w:w="43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0.25</w:t>
            </w:r>
          </w:p>
        </w:tc>
      </w:tr>
      <w:tr>
        <w:tblPrEx>
          <w:tblCellMar>
            <w:top w:w="0" w:type="dxa"/>
            <w:left w:w="108" w:type="dxa"/>
            <w:bottom w:w="0" w:type="dxa"/>
            <w:right w:w="108" w:type="dxa"/>
          </w:tblCellMar>
        </w:tblPrEx>
        <w:trPr>
          <w:trHeight w:val="270" w:hRule="atLeast"/>
        </w:trPr>
        <w:tc>
          <w:tcPr>
            <w:tcW w:w="1010"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其他土地</w:t>
            </w:r>
          </w:p>
        </w:tc>
        <w:tc>
          <w:tcPr>
            <w:tcW w:w="1032"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田坎</w:t>
            </w:r>
          </w:p>
        </w:tc>
        <w:tc>
          <w:tcPr>
            <w:tcW w:w="1015"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p>
        </w:tc>
        <w:tc>
          <w:tcPr>
            <w:tcW w:w="54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0.24</w:t>
            </w:r>
          </w:p>
        </w:tc>
        <w:tc>
          <w:tcPr>
            <w:tcW w:w="414"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0.60</w:t>
            </w:r>
          </w:p>
        </w:tc>
        <w:tc>
          <w:tcPr>
            <w:tcW w:w="55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0.00</w:t>
            </w:r>
          </w:p>
        </w:tc>
        <w:tc>
          <w:tcPr>
            <w:tcW w:w="43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0.00</w:t>
            </w:r>
          </w:p>
        </w:tc>
      </w:tr>
      <w:tr>
        <w:tblPrEx>
          <w:tblCellMar>
            <w:top w:w="0" w:type="dxa"/>
            <w:left w:w="108" w:type="dxa"/>
            <w:bottom w:w="0" w:type="dxa"/>
            <w:right w:w="108" w:type="dxa"/>
          </w:tblCellMar>
        </w:tblPrEx>
        <w:trPr>
          <w:trHeight w:val="270" w:hRule="atLeast"/>
        </w:trPr>
        <w:tc>
          <w:tcPr>
            <w:tcW w:w="1010" w:type="pct"/>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Cs w:val="21"/>
              </w:rPr>
            </w:pPr>
          </w:p>
        </w:tc>
        <w:tc>
          <w:tcPr>
            <w:tcW w:w="2047" w:type="pct"/>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小计</w:t>
            </w:r>
          </w:p>
        </w:tc>
        <w:tc>
          <w:tcPr>
            <w:tcW w:w="54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0.24</w:t>
            </w:r>
          </w:p>
        </w:tc>
        <w:tc>
          <w:tcPr>
            <w:tcW w:w="414"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0.60</w:t>
            </w:r>
          </w:p>
        </w:tc>
        <w:tc>
          <w:tcPr>
            <w:tcW w:w="55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0.00</w:t>
            </w:r>
          </w:p>
        </w:tc>
        <w:tc>
          <w:tcPr>
            <w:tcW w:w="43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0.00</w:t>
            </w:r>
          </w:p>
        </w:tc>
      </w:tr>
      <w:tr>
        <w:tblPrEx>
          <w:tblCellMar>
            <w:top w:w="0" w:type="dxa"/>
            <w:left w:w="108" w:type="dxa"/>
            <w:bottom w:w="0" w:type="dxa"/>
            <w:right w:w="108" w:type="dxa"/>
          </w:tblCellMar>
        </w:tblPrEx>
        <w:trPr>
          <w:trHeight w:val="270" w:hRule="atLeast"/>
        </w:trPr>
        <w:tc>
          <w:tcPr>
            <w:tcW w:w="3057" w:type="pct"/>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总计</w:t>
            </w:r>
          </w:p>
        </w:tc>
        <w:tc>
          <w:tcPr>
            <w:tcW w:w="543"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40.26</w:t>
            </w:r>
          </w:p>
        </w:tc>
        <w:tc>
          <w:tcPr>
            <w:tcW w:w="414"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100.00</w:t>
            </w:r>
          </w:p>
        </w:tc>
        <w:tc>
          <w:tcPr>
            <w:tcW w:w="550"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40.26</w:t>
            </w:r>
          </w:p>
        </w:tc>
        <w:tc>
          <w:tcPr>
            <w:tcW w:w="43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100.00</w:t>
            </w:r>
          </w:p>
        </w:tc>
      </w:tr>
    </w:tbl>
    <w:p>
      <w:pPr>
        <w:pStyle w:val="31"/>
        <w:spacing w:beforeLines="50" w:afterLines="50"/>
        <w:jc w:val="left"/>
        <w:rPr>
          <w:rFonts w:eastAsia="宋体" w:asciiTheme="minorEastAsia" w:hAnsiTheme="minorEastAsia"/>
          <w:b w:val="0"/>
          <w:sz w:val="24"/>
          <w:szCs w:val="24"/>
        </w:rPr>
      </w:pPr>
      <w:bookmarkStart w:id="49" w:name="_Toc166772198"/>
      <w:r>
        <w:rPr>
          <w:rFonts w:hint="eastAsia" w:eastAsia="宋体" w:asciiTheme="minorEastAsia" w:hAnsiTheme="minorEastAsia"/>
          <w:b w:val="0"/>
          <w:sz w:val="24"/>
          <w:szCs w:val="24"/>
        </w:rPr>
        <w:t>表14</w:t>
      </w:r>
      <w:r>
        <w:rPr>
          <w:rFonts w:eastAsia="宋体" w:asciiTheme="minorEastAsia" w:hAnsiTheme="minorEastAsia"/>
          <w:b w:val="0"/>
          <w:sz w:val="24"/>
          <w:szCs w:val="24"/>
        </w:rPr>
        <w:t>玉峰镇镇区</w:t>
      </w:r>
      <w:r>
        <w:rPr>
          <w:rFonts w:hint="eastAsia" w:eastAsia="宋体" w:asciiTheme="minorEastAsia" w:hAnsiTheme="minorEastAsia"/>
          <w:b w:val="0"/>
          <w:sz w:val="24"/>
          <w:szCs w:val="24"/>
        </w:rPr>
        <w:t>地块</w:t>
      </w:r>
      <w:r>
        <w:rPr>
          <w:rFonts w:eastAsia="宋体" w:asciiTheme="minorEastAsia" w:hAnsiTheme="minorEastAsia"/>
          <w:b w:val="0"/>
          <w:sz w:val="24"/>
          <w:szCs w:val="24"/>
        </w:rPr>
        <w:t>指标一览表</w:t>
      </w:r>
      <w:bookmarkEnd w:id="49"/>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56"/>
        <w:gridCol w:w="2316"/>
        <w:gridCol w:w="1062"/>
        <w:gridCol w:w="846"/>
        <w:gridCol w:w="772"/>
        <w:gridCol w:w="741"/>
        <w:gridCol w:w="899"/>
        <w:gridCol w:w="2306"/>
        <w:gridCol w:w="1103"/>
        <w:gridCol w:w="12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地块编码</w:t>
            </w:r>
          </w:p>
        </w:tc>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用地代码</w:t>
            </w:r>
          </w:p>
        </w:tc>
        <w:tc>
          <w:tcPr>
            <w:tcW w:w="861"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用地名称</w:t>
            </w:r>
          </w:p>
        </w:tc>
        <w:tc>
          <w:tcPr>
            <w:tcW w:w="39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总用地面积（公顷）</w:t>
            </w:r>
          </w:p>
        </w:tc>
        <w:tc>
          <w:tcPr>
            <w:tcW w:w="314"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容积率</w:t>
            </w:r>
          </w:p>
        </w:tc>
        <w:tc>
          <w:tcPr>
            <w:tcW w:w="2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建筑密度（%）</w:t>
            </w:r>
          </w:p>
        </w:tc>
        <w:tc>
          <w:tcPr>
            <w:tcW w:w="27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绿地率（%）</w:t>
            </w:r>
          </w:p>
        </w:tc>
        <w:tc>
          <w:tcPr>
            <w:tcW w:w="33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建筑限高（米)</w:t>
            </w:r>
          </w:p>
        </w:tc>
        <w:tc>
          <w:tcPr>
            <w:tcW w:w="857"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配套设施</w:t>
            </w:r>
          </w:p>
        </w:tc>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停车位配建</w:t>
            </w:r>
          </w:p>
        </w:tc>
        <w:tc>
          <w:tcPr>
            <w:tcW w:w="48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YF-01-01</w:t>
            </w:r>
          </w:p>
        </w:tc>
        <w:tc>
          <w:tcPr>
            <w:tcW w:w="39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070102</w:t>
            </w:r>
          </w:p>
        </w:tc>
        <w:tc>
          <w:tcPr>
            <w:tcW w:w="861"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二类城镇住宅用地</w:t>
            </w:r>
          </w:p>
        </w:tc>
        <w:tc>
          <w:tcPr>
            <w:tcW w:w="39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0.8</w:t>
            </w:r>
          </w:p>
        </w:tc>
        <w:tc>
          <w:tcPr>
            <w:tcW w:w="31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7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3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85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8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YF-01-02</w:t>
            </w:r>
          </w:p>
        </w:tc>
        <w:tc>
          <w:tcPr>
            <w:tcW w:w="39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070102</w:t>
            </w:r>
          </w:p>
        </w:tc>
        <w:tc>
          <w:tcPr>
            <w:tcW w:w="861"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二类城镇住宅用地</w:t>
            </w:r>
          </w:p>
        </w:tc>
        <w:tc>
          <w:tcPr>
            <w:tcW w:w="39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0.92</w:t>
            </w:r>
          </w:p>
        </w:tc>
        <w:tc>
          <w:tcPr>
            <w:tcW w:w="31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7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3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85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健身场地</w:t>
            </w:r>
          </w:p>
        </w:tc>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8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YF-01-03</w:t>
            </w:r>
          </w:p>
        </w:tc>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1403</w:t>
            </w:r>
          </w:p>
        </w:tc>
        <w:tc>
          <w:tcPr>
            <w:tcW w:w="861"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广场用地</w:t>
            </w:r>
          </w:p>
        </w:tc>
        <w:tc>
          <w:tcPr>
            <w:tcW w:w="39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0.04</w:t>
            </w:r>
          </w:p>
        </w:tc>
        <w:tc>
          <w:tcPr>
            <w:tcW w:w="31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7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3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85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广场</w:t>
            </w:r>
          </w:p>
        </w:tc>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8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更新改造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YF-01-04</w:t>
            </w:r>
          </w:p>
        </w:tc>
        <w:tc>
          <w:tcPr>
            <w:tcW w:w="39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070102</w:t>
            </w:r>
          </w:p>
        </w:tc>
        <w:tc>
          <w:tcPr>
            <w:tcW w:w="861"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二类城镇住宅用地</w:t>
            </w:r>
          </w:p>
        </w:tc>
        <w:tc>
          <w:tcPr>
            <w:tcW w:w="39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0.13</w:t>
            </w:r>
          </w:p>
        </w:tc>
        <w:tc>
          <w:tcPr>
            <w:tcW w:w="31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7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3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85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8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39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YF-01-05</w:t>
            </w:r>
          </w:p>
        </w:tc>
        <w:tc>
          <w:tcPr>
            <w:tcW w:w="39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070102</w:t>
            </w:r>
          </w:p>
        </w:tc>
        <w:tc>
          <w:tcPr>
            <w:tcW w:w="861"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二类城镇住宅用地</w:t>
            </w:r>
          </w:p>
        </w:tc>
        <w:tc>
          <w:tcPr>
            <w:tcW w:w="39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0.25</w:t>
            </w:r>
          </w:p>
        </w:tc>
        <w:tc>
          <w:tcPr>
            <w:tcW w:w="31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1.5</w:t>
            </w:r>
          </w:p>
        </w:tc>
        <w:tc>
          <w:tcPr>
            <w:tcW w:w="2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≥30%</w:t>
            </w:r>
          </w:p>
        </w:tc>
        <w:tc>
          <w:tcPr>
            <w:tcW w:w="27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≤35</w:t>
            </w:r>
          </w:p>
        </w:tc>
        <w:tc>
          <w:tcPr>
            <w:tcW w:w="33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≤21米</w:t>
            </w:r>
          </w:p>
        </w:tc>
        <w:tc>
          <w:tcPr>
            <w:tcW w:w="85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老年人日间照理中心</w:t>
            </w:r>
            <w:r>
              <w:rPr>
                <w:rFonts w:hint="eastAsia" w:cs="宋体" w:asciiTheme="minorEastAsia" w:hAnsiTheme="minorEastAsia"/>
                <w:color w:val="000000"/>
                <w:kern w:val="0"/>
                <w:szCs w:val="21"/>
              </w:rPr>
              <w:br w:type="textWrapping"/>
            </w:r>
            <w:r>
              <w:rPr>
                <w:rFonts w:hint="eastAsia" w:cs="宋体" w:asciiTheme="minorEastAsia" w:hAnsiTheme="minorEastAsia"/>
                <w:color w:val="000000"/>
                <w:kern w:val="0"/>
                <w:szCs w:val="21"/>
              </w:rPr>
              <w:t>健身场地</w:t>
            </w:r>
          </w:p>
        </w:tc>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1车位/户</w:t>
            </w:r>
          </w:p>
        </w:tc>
        <w:tc>
          <w:tcPr>
            <w:tcW w:w="48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存量土地</w:t>
            </w:r>
            <w:r>
              <w:rPr>
                <w:rFonts w:hint="eastAsia" w:cs="宋体" w:asciiTheme="minorEastAsia" w:hAnsiTheme="minorEastAsia"/>
                <w:color w:val="000000"/>
                <w:kern w:val="0"/>
                <w:szCs w:val="21"/>
              </w:rPr>
              <w:br w:type="textWrapping"/>
            </w:r>
            <w:r>
              <w:rPr>
                <w:rFonts w:hint="eastAsia" w:cs="宋体" w:asciiTheme="minorEastAsia" w:hAnsiTheme="minorEastAsia"/>
                <w:color w:val="000000"/>
                <w:kern w:val="0"/>
                <w:szCs w:val="21"/>
              </w:rPr>
              <w:t>（规划新增）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YF-01-06</w:t>
            </w:r>
          </w:p>
        </w:tc>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080403</w:t>
            </w:r>
          </w:p>
        </w:tc>
        <w:tc>
          <w:tcPr>
            <w:tcW w:w="861"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中小学用地</w:t>
            </w:r>
          </w:p>
        </w:tc>
        <w:tc>
          <w:tcPr>
            <w:tcW w:w="39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0.87</w:t>
            </w:r>
          </w:p>
        </w:tc>
        <w:tc>
          <w:tcPr>
            <w:tcW w:w="31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7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3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85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现状小学、避难场所</w:t>
            </w:r>
          </w:p>
        </w:tc>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8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YF-01-07</w:t>
            </w:r>
          </w:p>
        </w:tc>
        <w:tc>
          <w:tcPr>
            <w:tcW w:w="39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070102</w:t>
            </w:r>
          </w:p>
        </w:tc>
        <w:tc>
          <w:tcPr>
            <w:tcW w:w="861"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二类城镇住宅用地</w:t>
            </w:r>
          </w:p>
        </w:tc>
        <w:tc>
          <w:tcPr>
            <w:tcW w:w="39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0.19</w:t>
            </w:r>
          </w:p>
        </w:tc>
        <w:tc>
          <w:tcPr>
            <w:tcW w:w="31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7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3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85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8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YF-01-08</w:t>
            </w:r>
          </w:p>
        </w:tc>
        <w:tc>
          <w:tcPr>
            <w:tcW w:w="39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070102</w:t>
            </w:r>
          </w:p>
        </w:tc>
        <w:tc>
          <w:tcPr>
            <w:tcW w:w="861"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二类城镇住宅用地</w:t>
            </w:r>
          </w:p>
        </w:tc>
        <w:tc>
          <w:tcPr>
            <w:tcW w:w="39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1.32</w:t>
            </w:r>
          </w:p>
        </w:tc>
        <w:tc>
          <w:tcPr>
            <w:tcW w:w="31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7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3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85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8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YF-01-09</w:t>
            </w:r>
          </w:p>
        </w:tc>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0801</w:t>
            </w:r>
          </w:p>
        </w:tc>
        <w:tc>
          <w:tcPr>
            <w:tcW w:w="861"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机关团体用地</w:t>
            </w:r>
          </w:p>
        </w:tc>
        <w:tc>
          <w:tcPr>
            <w:tcW w:w="39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0.21</w:t>
            </w:r>
          </w:p>
        </w:tc>
        <w:tc>
          <w:tcPr>
            <w:tcW w:w="31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7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3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85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现状司法所</w:t>
            </w:r>
          </w:p>
        </w:tc>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8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YF-01-10</w:t>
            </w:r>
          </w:p>
        </w:tc>
        <w:tc>
          <w:tcPr>
            <w:tcW w:w="39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070102</w:t>
            </w:r>
          </w:p>
        </w:tc>
        <w:tc>
          <w:tcPr>
            <w:tcW w:w="861"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二类城镇住宅用地</w:t>
            </w:r>
          </w:p>
        </w:tc>
        <w:tc>
          <w:tcPr>
            <w:tcW w:w="39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0.93</w:t>
            </w:r>
          </w:p>
        </w:tc>
        <w:tc>
          <w:tcPr>
            <w:tcW w:w="31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7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3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85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8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YF-01-11</w:t>
            </w:r>
          </w:p>
        </w:tc>
        <w:tc>
          <w:tcPr>
            <w:tcW w:w="39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070102</w:t>
            </w:r>
          </w:p>
        </w:tc>
        <w:tc>
          <w:tcPr>
            <w:tcW w:w="861"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二类城镇住宅用地</w:t>
            </w:r>
          </w:p>
        </w:tc>
        <w:tc>
          <w:tcPr>
            <w:tcW w:w="39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0.62</w:t>
            </w:r>
          </w:p>
        </w:tc>
        <w:tc>
          <w:tcPr>
            <w:tcW w:w="31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7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3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85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8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YF-01-12</w:t>
            </w:r>
          </w:p>
        </w:tc>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080302</w:t>
            </w:r>
          </w:p>
        </w:tc>
        <w:tc>
          <w:tcPr>
            <w:tcW w:w="861"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文化活动用地</w:t>
            </w:r>
          </w:p>
        </w:tc>
        <w:tc>
          <w:tcPr>
            <w:tcW w:w="39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0.13</w:t>
            </w:r>
          </w:p>
        </w:tc>
        <w:tc>
          <w:tcPr>
            <w:tcW w:w="31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7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3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85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现状文化大院</w:t>
            </w:r>
          </w:p>
        </w:tc>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8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YF-01-13</w:t>
            </w:r>
          </w:p>
        </w:tc>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0801</w:t>
            </w:r>
          </w:p>
        </w:tc>
        <w:tc>
          <w:tcPr>
            <w:tcW w:w="861"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机关团体用地</w:t>
            </w:r>
          </w:p>
        </w:tc>
        <w:tc>
          <w:tcPr>
            <w:tcW w:w="39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0.53</w:t>
            </w:r>
          </w:p>
        </w:tc>
        <w:tc>
          <w:tcPr>
            <w:tcW w:w="31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7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3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85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现状派出所</w:t>
            </w:r>
          </w:p>
        </w:tc>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8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YF-01-14</w:t>
            </w:r>
          </w:p>
        </w:tc>
        <w:tc>
          <w:tcPr>
            <w:tcW w:w="39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070102</w:t>
            </w:r>
          </w:p>
        </w:tc>
        <w:tc>
          <w:tcPr>
            <w:tcW w:w="861"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二类城镇住宅用地</w:t>
            </w:r>
          </w:p>
        </w:tc>
        <w:tc>
          <w:tcPr>
            <w:tcW w:w="39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0.75</w:t>
            </w:r>
          </w:p>
        </w:tc>
        <w:tc>
          <w:tcPr>
            <w:tcW w:w="31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7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3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85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8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YF-01-15</w:t>
            </w:r>
          </w:p>
        </w:tc>
        <w:tc>
          <w:tcPr>
            <w:tcW w:w="39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1303</w:t>
            </w:r>
          </w:p>
        </w:tc>
        <w:tc>
          <w:tcPr>
            <w:tcW w:w="861"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供电用地</w:t>
            </w:r>
          </w:p>
        </w:tc>
        <w:tc>
          <w:tcPr>
            <w:tcW w:w="39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0.46</w:t>
            </w:r>
          </w:p>
        </w:tc>
        <w:tc>
          <w:tcPr>
            <w:tcW w:w="31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7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3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85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现状玉峰变电站</w:t>
            </w:r>
          </w:p>
        </w:tc>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8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YF-01-16</w:t>
            </w:r>
          </w:p>
        </w:tc>
        <w:tc>
          <w:tcPr>
            <w:tcW w:w="39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070102</w:t>
            </w:r>
          </w:p>
        </w:tc>
        <w:tc>
          <w:tcPr>
            <w:tcW w:w="861"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二类城镇住宅用地</w:t>
            </w:r>
          </w:p>
        </w:tc>
        <w:tc>
          <w:tcPr>
            <w:tcW w:w="39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0.54</w:t>
            </w:r>
          </w:p>
        </w:tc>
        <w:tc>
          <w:tcPr>
            <w:tcW w:w="31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7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3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85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8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YF-02-01</w:t>
            </w:r>
          </w:p>
        </w:tc>
        <w:tc>
          <w:tcPr>
            <w:tcW w:w="39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070102</w:t>
            </w:r>
          </w:p>
        </w:tc>
        <w:tc>
          <w:tcPr>
            <w:tcW w:w="861"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二类城镇住宅用地</w:t>
            </w:r>
          </w:p>
        </w:tc>
        <w:tc>
          <w:tcPr>
            <w:tcW w:w="39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1.59</w:t>
            </w:r>
          </w:p>
        </w:tc>
        <w:tc>
          <w:tcPr>
            <w:tcW w:w="31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7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3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85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8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YF-02-02</w:t>
            </w:r>
          </w:p>
        </w:tc>
        <w:tc>
          <w:tcPr>
            <w:tcW w:w="39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070102</w:t>
            </w:r>
          </w:p>
        </w:tc>
        <w:tc>
          <w:tcPr>
            <w:tcW w:w="861"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二类城镇住宅用地</w:t>
            </w:r>
          </w:p>
        </w:tc>
        <w:tc>
          <w:tcPr>
            <w:tcW w:w="39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1.27</w:t>
            </w:r>
          </w:p>
        </w:tc>
        <w:tc>
          <w:tcPr>
            <w:tcW w:w="31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7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3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85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老年人日间照理中心</w:t>
            </w:r>
          </w:p>
        </w:tc>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8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YF-02-03</w:t>
            </w:r>
          </w:p>
        </w:tc>
        <w:tc>
          <w:tcPr>
            <w:tcW w:w="39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1401</w:t>
            </w:r>
          </w:p>
        </w:tc>
        <w:tc>
          <w:tcPr>
            <w:tcW w:w="861"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公园绿地</w:t>
            </w:r>
          </w:p>
        </w:tc>
        <w:tc>
          <w:tcPr>
            <w:tcW w:w="39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0.02</w:t>
            </w:r>
          </w:p>
        </w:tc>
        <w:tc>
          <w:tcPr>
            <w:tcW w:w="31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7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3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85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8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YF-02-04</w:t>
            </w:r>
          </w:p>
        </w:tc>
        <w:tc>
          <w:tcPr>
            <w:tcW w:w="39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1401</w:t>
            </w:r>
          </w:p>
        </w:tc>
        <w:tc>
          <w:tcPr>
            <w:tcW w:w="861"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公园绿地</w:t>
            </w:r>
          </w:p>
        </w:tc>
        <w:tc>
          <w:tcPr>
            <w:tcW w:w="39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0.05</w:t>
            </w:r>
          </w:p>
        </w:tc>
        <w:tc>
          <w:tcPr>
            <w:tcW w:w="31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7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3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85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8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YF-02-05</w:t>
            </w:r>
          </w:p>
        </w:tc>
        <w:tc>
          <w:tcPr>
            <w:tcW w:w="39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070102</w:t>
            </w:r>
          </w:p>
        </w:tc>
        <w:tc>
          <w:tcPr>
            <w:tcW w:w="861"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二类城镇住宅用地</w:t>
            </w:r>
          </w:p>
        </w:tc>
        <w:tc>
          <w:tcPr>
            <w:tcW w:w="39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0.37</w:t>
            </w:r>
          </w:p>
        </w:tc>
        <w:tc>
          <w:tcPr>
            <w:tcW w:w="31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7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3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85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8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YF-02-06</w:t>
            </w:r>
          </w:p>
        </w:tc>
        <w:tc>
          <w:tcPr>
            <w:tcW w:w="39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080404</w:t>
            </w:r>
          </w:p>
        </w:tc>
        <w:tc>
          <w:tcPr>
            <w:tcW w:w="861"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幼儿园用地</w:t>
            </w:r>
          </w:p>
        </w:tc>
        <w:tc>
          <w:tcPr>
            <w:tcW w:w="39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0.13</w:t>
            </w:r>
          </w:p>
        </w:tc>
        <w:tc>
          <w:tcPr>
            <w:tcW w:w="31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7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3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85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玉峰幼儿园</w:t>
            </w:r>
          </w:p>
        </w:tc>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8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YF-02-07</w:t>
            </w:r>
          </w:p>
        </w:tc>
        <w:tc>
          <w:tcPr>
            <w:tcW w:w="39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070102</w:t>
            </w:r>
          </w:p>
        </w:tc>
        <w:tc>
          <w:tcPr>
            <w:tcW w:w="861"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二类城镇住宅用地</w:t>
            </w:r>
          </w:p>
        </w:tc>
        <w:tc>
          <w:tcPr>
            <w:tcW w:w="39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0.64</w:t>
            </w:r>
          </w:p>
        </w:tc>
        <w:tc>
          <w:tcPr>
            <w:tcW w:w="31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7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3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85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8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YF-02-08</w:t>
            </w:r>
          </w:p>
        </w:tc>
        <w:tc>
          <w:tcPr>
            <w:tcW w:w="39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1302</w:t>
            </w:r>
          </w:p>
        </w:tc>
        <w:tc>
          <w:tcPr>
            <w:tcW w:w="861"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给水用地</w:t>
            </w:r>
          </w:p>
        </w:tc>
        <w:tc>
          <w:tcPr>
            <w:tcW w:w="39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0.22</w:t>
            </w:r>
          </w:p>
        </w:tc>
        <w:tc>
          <w:tcPr>
            <w:tcW w:w="31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7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3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85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现状给水站</w:t>
            </w:r>
          </w:p>
        </w:tc>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8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YF-02-09</w:t>
            </w:r>
          </w:p>
        </w:tc>
        <w:tc>
          <w:tcPr>
            <w:tcW w:w="39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090101</w:t>
            </w:r>
          </w:p>
        </w:tc>
        <w:tc>
          <w:tcPr>
            <w:tcW w:w="861"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零售商业用地</w:t>
            </w:r>
          </w:p>
        </w:tc>
        <w:tc>
          <w:tcPr>
            <w:tcW w:w="39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0.57</w:t>
            </w:r>
          </w:p>
        </w:tc>
        <w:tc>
          <w:tcPr>
            <w:tcW w:w="31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7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3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85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玉峰商业中心</w:t>
            </w:r>
          </w:p>
        </w:tc>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8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更新改造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YF-02-10</w:t>
            </w:r>
          </w:p>
        </w:tc>
        <w:tc>
          <w:tcPr>
            <w:tcW w:w="39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070102</w:t>
            </w:r>
          </w:p>
        </w:tc>
        <w:tc>
          <w:tcPr>
            <w:tcW w:w="861"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二类城镇住宅用地</w:t>
            </w:r>
          </w:p>
        </w:tc>
        <w:tc>
          <w:tcPr>
            <w:tcW w:w="39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0.35</w:t>
            </w:r>
          </w:p>
        </w:tc>
        <w:tc>
          <w:tcPr>
            <w:tcW w:w="31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7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3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85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8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YF-02-11</w:t>
            </w:r>
          </w:p>
        </w:tc>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080403</w:t>
            </w:r>
          </w:p>
        </w:tc>
        <w:tc>
          <w:tcPr>
            <w:tcW w:w="861"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中小学用地</w:t>
            </w:r>
          </w:p>
        </w:tc>
        <w:tc>
          <w:tcPr>
            <w:tcW w:w="39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1.57</w:t>
            </w:r>
          </w:p>
        </w:tc>
        <w:tc>
          <w:tcPr>
            <w:tcW w:w="31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7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3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85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现状玉峰中学、避难场地</w:t>
            </w:r>
          </w:p>
        </w:tc>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8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YF-02-12</w:t>
            </w:r>
          </w:p>
        </w:tc>
        <w:tc>
          <w:tcPr>
            <w:tcW w:w="39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070102</w:t>
            </w:r>
          </w:p>
        </w:tc>
        <w:tc>
          <w:tcPr>
            <w:tcW w:w="861"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二类城镇住宅用地</w:t>
            </w:r>
          </w:p>
        </w:tc>
        <w:tc>
          <w:tcPr>
            <w:tcW w:w="39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0.28</w:t>
            </w:r>
          </w:p>
        </w:tc>
        <w:tc>
          <w:tcPr>
            <w:tcW w:w="31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7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3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85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8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YF-02-13</w:t>
            </w:r>
          </w:p>
        </w:tc>
        <w:tc>
          <w:tcPr>
            <w:tcW w:w="39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070102</w:t>
            </w:r>
          </w:p>
        </w:tc>
        <w:tc>
          <w:tcPr>
            <w:tcW w:w="861"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二类城镇住宅用地</w:t>
            </w:r>
          </w:p>
        </w:tc>
        <w:tc>
          <w:tcPr>
            <w:tcW w:w="39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0.07</w:t>
            </w:r>
          </w:p>
        </w:tc>
        <w:tc>
          <w:tcPr>
            <w:tcW w:w="31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7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3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85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8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YF-02-14</w:t>
            </w:r>
          </w:p>
        </w:tc>
        <w:tc>
          <w:tcPr>
            <w:tcW w:w="39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070102</w:t>
            </w:r>
          </w:p>
        </w:tc>
        <w:tc>
          <w:tcPr>
            <w:tcW w:w="861"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二类城镇住宅用地</w:t>
            </w:r>
          </w:p>
        </w:tc>
        <w:tc>
          <w:tcPr>
            <w:tcW w:w="39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0.27</w:t>
            </w:r>
          </w:p>
        </w:tc>
        <w:tc>
          <w:tcPr>
            <w:tcW w:w="31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7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3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85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8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YF-02-15</w:t>
            </w:r>
          </w:p>
        </w:tc>
        <w:tc>
          <w:tcPr>
            <w:tcW w:w="39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090101</w:t>
            </w:r>
          </w:p>
        </w:tc>
        <w:tc>
          <w:tcPr>
            <w:tcW w:w="861"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零售商业用地</w:t>
            </w:r>
          </w:p>
        </w:tc>
        <w:tc>
          <w:tcPr>
            <w:tcW w:w="39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0.69</w:t>
            </w:r>
          </w:p>
        </w:tc>
        <w:tc>
          <w:tcPr>
            <w:tcW w:w="31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7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3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85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8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更新改造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YF-02-16</w:t>
            </w:r>
          </w:p>
        </w:tc>
        <w:tc>
          <w:tcPr>
            <w:tcW w:w="39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1401</w:t>
            </w:r>
          </w:p>
        </w:tc>
        <w:tc>
          <w:tcPr>
            <w:tcW w:w="861"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公园绿地</w:t>
            </w:r>
          </w:p>
        </w:tc>
        <w:tc>
          <w:tcPr>
            <w:tcW w:w="39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0.08</w:t>
            </w:r>
          </w:p>
        </w:tc>
        <w:tc>
          <w:tcPr>
            <w:tcW w:w="31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7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3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85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8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更新改造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YF-02-17</w:t>
            </w:r>
          </w:p>
        </w:tc>
        <w:tc>
          <w:tcPr>
            <w:tcW w:w="39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1401</w:t>
            </w:r>
          </w:p>
        </w:tc>
        <w:tc>
          <w:tcPr>
            <w:tcW w:w="861"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公园绿地</w:t>
            </w:r>
          </w:p>
        </w:tc>
        <w:tc>
          <w:tcPr>
            <w:tcW w:w="39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0.08</w:t>
            </w:r>
          </w:p>
        </w:tc>
        <w:tc>
          <w:tcPr>
            <w:tcW w:w="31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7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3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85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8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更新改造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YF-02-18</w:t>
            </w:r>
          </w:p>
        </w:tc>
        <w:tc>
          <w:tcPr>
            <w:tcW w:w="39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090101</w:t>
            </w:r>
          </w:p>
        </w:tc>
        <w:tc>
          <w:tcPr>
            <w:tcW w:w="861"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零售商业用地</w:t>
            </w:r>
          </w:p>
        </w:tc>
        <w:tc>
          <w:tcPr>
            <w:tcW w:w="39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0.68</w:t>
            </w:r>
          </w:p>
        </w:tc>
        <w:tc>
          <w:tcPr>
            <w:tcW w:w="31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7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3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857"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玉峰农贸市场</w:t>
            </w:r>
          </w:p>
        </w:tc>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8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YF-02-19</w:t>
            </w:r>
          </w:p>
        </w:tc>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080602</w:t>
            </w:r>
          </w:p>
        </w:tc>
        <w:tc>
          <w:tcPr>
            <w:tcW w:w="861"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基层医疗卫生设施用地</w:t>
            </w:r>
          </w:p>
        </w:tc>
        <w:tc>
          <w:tcPr>
            <w:tcW w:w="39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0.26</w:t>
            </w:r>
          </w:p>
        </w:tc>
        <w:tc>
          <w:tcPr>
            <w:tcW w:w="31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7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3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857"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计生站</w:t>
            </w:r>
          </w:p>
        </w:tc>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8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YF-02-20</w:t>
            </w:r>
          </w:p>
        </w:tc>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080302</w:t>
            </w:r>
          </w:p>
        </w:tc>
        <w:tc>
          <w:tcPr>
            <w:tcW w:w="861"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文化活动用地</w:t>
            </w:r>
          </w:p>
        </w:tc>
        <w:tc>
          <w:tcPr>
            <w:tcW w:w="39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0.15</w:t>
            </w:r>
          </w:p>
        </w:tc>
        <w:tc>
          <w:tcPr>
            <w:tcW w:w="31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7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3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85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现状镇文化站</w:t>
            </w:r>
          </w:p>
        </w:tc>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8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YF-02-21</w:t>
            </w:r>
          </w:p>
        </w:tc>
        <w:tc>
          <w:tcPr>
            <w:tcW w:w="39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090101</w:t>
            </w:r>
          </w:p>
        </w:tc>
        <w:tc>
          <w:tcPr>
            <w:tcW w:w="861"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零售商业用地</w:t>
            </w:r>
          </w:p>
        </w:tc>
        <w:tc>
          <w:tcPr>
            <w:tcW w:w="39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0.36</w:t>
            </w:r>
          </w:p>
        </w:tc>
        <w:tc>
          <w:tcPr>
            <w:tcW w:w="31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7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3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85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8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更新改造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YF-02-22</w:t>
            </w:r>
          </w:p>
        </w:tc>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120803</w:t>
            </w:r>
          </w:p>
        </w:tc>
        <w:tc>
          <w:tcPr>
            <w:tcW w:w="861"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社会停车场用地</w:t>
            </w:r>
          </w:p>
        </w:tc>
        <w:tc>
          <w:tcPr>
            <w:tcW w:w="39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0.14</w:t>
            </w:r>
          </w:p>
        </w:tc>
        <w:tc>
          <w:tcPr>
            <w:tcW w:w="31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7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3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857"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社会停车场、充电站</w:t>
            </w:r>
          </w:p>
        </w:tc>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8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更新改造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YF-02-23</w:t>
            </w:r>
          </w:p>
        </w:tc>
        <w:tc>
          <w:tcPr>
            <w:tcW w:w="39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070102</w:t>
            </w:r>
          </w:p>
        </w:tc>
        <w:tc>
          <w:tcPr>
            <w:tcW w:w="861"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二类城镇住宅用地</w:t>
            </w:r>
          </w:p>
        </w:tc>
        <w:tc>
          <w:tcPr>
            <w:tcW w:w="39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1.38</w:t>
            </w:r>
          </w:p>
        </w:tc>
        <w:tc>
          <w:tcPr>
            <w:tcW w:w="31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7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3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857"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健身场地</w:t>
            </w:r>
          </w:p>
        </w:tc>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8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YF-02-24</w:t>
            </w:r>
          </w:p>
        </w:tc>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0801</w:t>
            </w:r>
          </w:p>
        </w:tc>
        <w:tc>
          <w:tcPr>
            <w:tcW w:w="861"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机关团体用地</w:t>
            </w:r>
          </w:p>
        </w:tc>
        <w:tc>
          <w:tcPr>
            <w:tcW w:w="39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0.12</w:t>
            </w:r>
          </w:p>
        </w:tc>
        <w:tc>
          <w:tcPr>
            <w:tcW w:w="31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7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3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857"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现状邮政所</w:t>
            </w:r>
          </w:p>
        </w:tc>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8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YF-02-25</w:t>
            </w:r>
          </w:p>
        </w:tc>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090105</w:t>
            </w:r>
          </w:p>
        </w:tc>
        <w:tc>
          <w:tcPr>
            <w:tcW w:w="861"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公用设施营业网点用地</w:t>
            </w:r>
          </w:p>
        </w:tc>
        <w:tc>
          <w:tcPr>
            <w:tcW w:w="39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0.14</w:t>
            </w:r>
          </w:p>
        </w:tc>
        <w:tc>
          <w:tcPr>
            <w:tcW w:w="31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7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3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857"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邮政局（邮政快递）</w:t>
            </w:r>
          </w:p>
        </w:tc>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8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YF-02-26</w:t>
            </w:r>
          </w:p>
        </w:tc>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0801</w:t>
            </w:r>
          </w:p>
        </w:tc>
        <w:tc>
          <w:tcPr>
            <w:tcW w:w="861"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机关团体用地</w:t>
            </w:r>
          </w:p>
        </w:tc>
        <w:tc>
          <w:tcPr>
            <w:tcW w:w="39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0.12</w:t>
            </w:r>
          </w:p>
        </w:tc>
        <w:tc>
          <w:tcPr>
            <w:tcW w:w="31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7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3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857"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现状工商所</w:t>
            </w:r>
          </w:p>
        </w:tc>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8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YF-02-27</w:t>
            </w:r>
          </w:p>
        </w:tc>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0801</w:t>
            </w:r>
          </w:p>
        </w:tc>
        <w:tc>
          <w:tcPr>
            <w:tcW w:w="861"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机关团体用地</w:t>
            </w:r>
          </w:p>
        </w:tc>
        <w:tc>
          <w:tcPr>
            <w:tcW w:w="39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0.24</w:t>
            </w:r>
          </w:p>
        </w:tc>
        <w:tc>
          <w:tcPr>
            <w:tcW w:w="31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7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3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857"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现状镇政府</w:t>
            </w:r>
          </w:p>
        </w:tc>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8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YF-02-28</w:t>
            </w:r>
          </w:p>
        </w:tc>
        <w:tc>
          <w:tcPr>
            <w:tcW w:w="39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090101</w:t>
            </w:r>
          </w:p>
        </w:tc>
        <w:tc>
          <w:tcPr>
            <w:tcW w:w="861"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零售商业用地</w:t>
            </w:r>
          </w:p>
        </w:tc>
        <w:tc>
          <w:tcPr>
            <w:tcW w:w="39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0.05</w:t>
            </w:r>
          </w:p>
        </w:tc>
        <w:tc>
          <w:tcPr>
            <w:tcW w:w="31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7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3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85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8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YF-02-29</w:t>
            </w:r>
          </w:p>
        </w:tc>
        <w:tc>
          <w:tcPr>
            <w:tcW w:w="39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070102</w:t>
            </w:r>
          </w:p>
        </w:tc>
        <w:tc>
          <w:tcPr>
            <w:tcW w:w="861"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二类城镇住宅用地</w:t>
            </w:r>
          </w:p>
        </w:tc>
        <w:tc>
          <w:tcPr>
            <w:tcW w:w="39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0.42</w:t>
            </w:r>
          </w:p>
        </w:tc>
        <w:tc>
          <w:tcPr>
            <w:tcW w:w="31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7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3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85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8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39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YF-02-30</w:t>
            </w:r>
          </w:p>
        </w:tc>
        <w:tc>
          <w:tcPr>
            <w:tcW w:w="39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070102</w:t>
            </w:r>
          </w:p>
        </w:tc>
        <w:tc>
          <w:tcPr>
            <w:tcW w:w="861"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二类城镇住宅用地</w:t>
            </w:r>
          </w:p>
        </w:tc>
        <w:tc>
          <w:tcPr>
            <w:tcW w:w="39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0.23</w:t>
            </w:r>
          </w:p>
        </w:tc>
        <w:tc>
          <w:tcPr>
            <w:tcW w:w="31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1.5</w:t>
            </w:r>
          </w:p>
        </w:tc>
        <w:tc>
          <w:tcPr>
            <w:tcW w:w="2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≥30%</w:t>
            </w:r>
          </w:p>
        </w:tc>
        <w:tc>
          <w:tcPr>
            <w:tcW w:w="27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≤35</w:t>
            </w:r>
          </w:p>
        </w:tc>
        <w:tc>
          <w:tcPr>
            <w:tcW w:w="33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≤21米</w:t>
            </w:r>
          </w:p>
        </w:tc>
        <w:tc>
          <w:tcPr>
            <w:tcW w:w="857" w:type="pct"/>
            <w:shd w:val="clear" w:color="auto" w:fill="auto"/>
            <w:vAlign w:val="center"/>
          </w:tcPr>
          <w:p>
            <w:pPr>
              <w:widowControl/>
              <w:jc w:val="center"/>
              <w:rPr>
                <w:rFonts w:cs="宋体" w:asciiTheme="minorEastAsia" w:hAnsiTheme="minorEastAsia"/>
                <w:color w:val="000000"/>
                <w:kern w:val="0"/>
                <w:szCs w:val="21"/>
              </w:rPr>
            </w:pPr>
          </w:p>
        </w:tc>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1车位/户</w:t>
            </w:r>
          </w:p>
        </w:tc>
        <w:tc>
          <w:tcPr>
            <w:tcW w:w="48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存量土地</w:t>
            </w:r>
            <w:r>
              <w:rPr>
                <w:rFonts w:hint="eastAsia" w:cs="宋体" w:asciiTheme="minorEastAsia" w:hAnsiTheme="minorEastAsia"/>
                <w:color w:val="000000"/>
                <w:kern w:val="0"/>
                <w:szCs w:val="21"/>
              </w:rPr>
              <w:br w:type="textWrapping"/>
            </w:r>
            <w:r>
              <w:rPr>
                <w:rFonts w:hint="eastAsia" w:cs="宋体" w:asciiTheme="minorEastAsia" w:hAnsiTheme="minorEastAsia"/>
                <w:color w:val="000000"/>
                <w:kern w:val="0"/>
                <w:szCs w:val="21"/>
              </w:rPr>
              <w:t>（规划新增）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YF-02-31</w:t>
            </w:r>
          </w:p>
        </w:tc>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0801</w:t>
            </w:r>
          </w:p>
        </w:tc>
        <w:tc>
          <w:tcPr>
            <w:tcW w:w="861"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机关团体用地</w:t>
            </w:r>
          </w:p>
        </w:tc>
        <w:tc>
          <w:tcPr>
            <w:tcW w:w="39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0.29</w:t>
            </w:r>
          </w:p>
        </w:tc>
        <w:tc>
          <w:tcPr>
            <w:tcW w:w="31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7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3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857"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幸福社区居委会</w:t>
            </w:r>
          </w:p>
        </w:tc>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8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YF-02-32</w:t>
            </w:r>
          </w:p>
        </w:tc>
        <w:tc>
          <w:tcPr>
            <w:tcW w:w="39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090105</w:t>
            </w:r>
          </w:p>
        </w:tc>
        <w:tc>
          <w:tcPr>
            <w:tcW w:w="861"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其他商业服务业用地</w:t>
            </w:r>
          </w:p>
        </w:tc>
        <w:tc>
          <w:tcPr>
            <w:tcW w:w="39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0.16</w:t>
            </w:r>
          </w:p>
        </w:tc>
        <w:tc>
          <w:tcPr>
            <w:tcW w:w="31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7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3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85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现状加油站</w:t>
            </w:r>
          </w:p>
        </w:tc>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8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YF-03-01</w:t>
            </w:r>
          </w:p>
        </w:tc>
        <w:tc>
          <w:tcPr>
            <w:tcW w:w="39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070102</w:t>
            </w:r>
          </w:p>
        </w:tc>
        <w:tc>
          <w:tcPr>
            <w:tcW w:w="861"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二类城镇住宅用地</w:t>
            </w:r>
          </w:p>
        </w:tc>
        <w:tc>
          <w:tcPr>
            <w:tcW w:w="39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0.53</w:t>
            </w:r>
          </w:p>
        </w:tc>
        <w:tc>
          <w:tcPr>
            <w:tcW w:w="31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7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3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85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8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YF-03-02</w:t>
            </w:r>
          </w:p>
        </w:tc>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080602</w:t>
            </w:r>
          </w:p>
        </w:tc>
        <w:tc>
          <w:tcPr>
            <w:tcW w:w="861"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基层医疗卫生设施用地</w:t>
            </w:r>
          </w:p>
        </w:tc>
        <w:tc>
          <w:tcPr>
            <w:tcW w:w="39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0.32</w:t>
            </w:r>
          </w:p>
        </w:tc>
        <w:tc>
          <w:tcPr>
            <w:tcW w:w="31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7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3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857"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玉峰镇卫生院</w:t>
            </w:r>
          </w:p>
        </w:tc>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8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YF-03-03</w:t>
            </w:r>
          </w:p>
        </w:tc>
        <w:tc>
          <w:tcPr>
            <w:tcW w:w="39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070102</w:t>
            </w:r>
          </w:p>
        </w:tc>
        <w:tc>
          <w:tcPr>
            <w:tcW w:w="861"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二类城镇住宅用地</w:t>
            </w:r>
          </w:p>
        </w:tc>
        <w:tc>
          <w:tcPr>
            <w:tcW w:w="39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0.4</w:t>
            </w:r>
          </w:p>
        </w:tc>
        <w:tc>
          <w:tcPr>
            <w:tcW w:w="31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7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3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85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8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YF-03-04</w:t>
            </w:r>
          </w:p>
        </w:tc>
        <w:tc>
          <w:tcPr>
            <w:tcW w:w="39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070102</w:t>
            </w:r>
          </w:p>
        </w:tc>
        <w:tc>
          <w:tcPr>
            <w:tcW w:w="861"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二类城镇住宅用地</w:t>
            </w:r>
          </w:p>
        </w:tc>
        <w:tc>
          <w:tcPr>
            <w:tcW w:w="39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0.85</w:t>
            </w:r>
          </w:p>
        </w:tc>
        <w:tc>
          <w:tcPr>
            <w:tcW w:w="31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7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3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85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8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YF-03-05</w:t>
            </w:r>
          </w:p>
        </w:tc>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110101</w:t>
            </w:r>
          </w:p>
        </w:tc>
        <w:tc>
          <w:tcPr>
            <w:tcW w:w="861"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一类物流仓储用地</w:t>
            </w:r>
          </w:p>
        </w:tc>
        <w:tc>
          <w:tcPr>
            <w:tcW w:w="39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1.42</w:t>
            </w:r>
          </w:p>
        </w:tc>
        <w:tc>
          <w:tcPr>
            <w:tcW w:w="31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7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3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85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8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存量土地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YF-03-06</w:t>
            </w:r>
          </w:p>
        </w:tc>
        <w:tc>
          <w:tcPr>
            <w:tcW w:w="39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070102</w:t>
            </w:r>
          </w:p>
        </w:tc>
        <w:tc>
          <w:tcPr>
            <w:tcW w:w="861"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二类城镇住宅用地</w:t>
            </w:r>
          </w:p>
        </w:tc>
        <w:tc>
          <w:tcPr>
            <w:tcW w:w="39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0.19</w:t>
            </w:r>
          </w:p>
        </w:tc>
        <w:tc>
          <w:tcPr>
            <w:tcW w:w="31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7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3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85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8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YF-03-07</w:t>
            </w:r>
          </w:p>
        </w:tc>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0801</w:t>
            </w:r>
          </w:p>
        </w:tc>
        <w:tc>
          <w:tcPr>
            <w:tcW w:w="861"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机关团体用地</w:t>
            </w:r>
          </w:p>
        </w:tc>
        <w:tc>
          <w:tcPr>
            <w:tcW w:w="39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0.3</w:t>
            </w:r>
          </w:p>
        </w:tc>
        <w:tc>
          <w:tcPr>
            <w:tcW w:w="31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7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3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85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供销社</w:t>
            </w:r>
          </w:p>
        </w:tc>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8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YF-03-08</w:t>
            </w:r>
          </w:p>
        </w:tc>
        <w:tc>
          <w:tcPr>
            <w:tcW w:w="39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070102</w:t>
            </w:r>
          </w:p>
        </w:tc>
        <w:tc>
          <w:tcPr>
            <w:tcW w:w="861"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二类城镇住宅用地</w:t>
            </w:r>
          </w:p>
        </w:tc>
        <w:tc>
          <w:tcPr>
            <w:tcW w:w="39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0.4</w:t>
            </w:r>
          </w:p>
        </w:tc>
        <w:tc>
          <w:tcPr>
            <w:tcW w:w="31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7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3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85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健身场地</w:t>
            </w:r>
          </w:p>
        </w:tc>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8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YF-03-09</w:t>
            </w:r>
          </w:p>
        </w:tc>
        <w:tc>
          <w:tcPr>
            <w:tcW w:w="39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1401</w:t>
            </w:r>
          </w:p>
        </w:tc>
        <w:tc>
          <w:tcPr>
            <w:tcW w:w="861"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公园绿地</w:t>
            </w:r>
          </w:p>
        </w:tc>
        <w:tc>
          <w:tcPr>
            <w:tcW w:w="395"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0.09</w:t>
            </w:r>
          </w:p>
        </w:tc>
        <w:tc>
          <w:tcPr>
            <w:tcW w:w="31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7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3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85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8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YF-03-10</w:t>
            </w:r>
          </w:p>
        </w:tc>
        <w:tc>
          <w:tcPr>
            <w:tcW w:w="39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070102</w:t>
            </w:r>
          </w:p>
        </w:tc>
        <w:tc>
          <w:tcPr>
            <w:tcW w:w="861"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二类城镇住宅用地</w:t>
            </w:r>
          </w:p>
        </w:tc>
        <w:tc>
          <w:tcPr>
            <w:tcW w:w="395"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0.13</w:t>
            </w:r>
          </w:p>
        </w:tc>
        <w:tc>
          <w:tcPr>
            <w:tcW w:w="31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7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3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85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8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YF-03-11</w:t>
            </w:r>
          </w:p>
        </w:tc>
        <w:tc>
          <w:tcPr>
            <w:tcW w:w="39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1401</w:t>
            </w:r>
          </w:p>
        </w:tc>
        <w:tc>
          <w:tcPr>
            <w:tcW w:w="861"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公园绿地</w:t>
            </w:r>
          </w:p>
        </w:tc>
        <w:tc>
          <w:tcPr>
            <w:tcW w:w="395"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0.09</w:t>
            </w:r>
          </w:p>
        </w:tc>
        <w:tc>
          <w:tcPr>
            <w:tcW w:w="31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7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3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85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8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YF-03-12</w:t>
            </w:r>
          </w:p>
        </w:tc>
        <w:tc>
          <w:tcPr>
            <w:tcW w:w="39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070102</w:t>
            </w:r>
          </w:p>
        </w:tc>
        <w:tc>
          <w:tcPr>
            <w:tcW w:w="861"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二类城镇住宅用地</w:t>
            </w:r>
          </w:p>
        </w:tc>
        <w:tc>
          <w:tcPr>
            <w:tcW w:w="395"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1.1</w:t>
            </w:r>
          </w:p>
        </w:tc>
        <w:tc>
          <w:tcPr>
            <w:tcW w:w="31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7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3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85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8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YF-03-13</w:t>
            </w:r>
          </w:p>
        </w:tc>
        <w:tc>
          <w:tcPr>
            <w:tcW w:w="39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1401</w:t>
            </w:r>
          </w:p>
        </w:tc>
        <w:tc>
          <w:tcPr>
            <w:tcW w:w="861"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公园绿地</w:t>
            </w:r>
          </w:p>
        </w:tc>
        <w:tc>
          <w:tcPr>
            <w:tcW w:w="395"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0.02</w:t>
            </w:r>
          </w:p>
        </w:tc>
        <w:tc>
          <w:tcPr>
            <w:tcW w:w="31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7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3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85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8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39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YF-03-14</w:t>
            </w:r>
          </w:p>
        </w:tc>
        <w:tc>
          <w:tcPr>
            <w:tcW w:w="39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070102</w:t>
            </w:r>
          </w:p>
        </w:tc>
        <w:tc>
          <w:tcPr>
            <w:tcW w:w="861"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二类城镇住宅用地</w:t>
            </w:r>
          </w:p>
        </w:tc>
        <w:tc>
          <w:tcPr>
            <w:tcW w:w="395"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0.9</w:t>
            </w:r>
          </w:p>
        </w:tc>
        <w:tc>
          <w:tcPr>
            <w:tcW w:w="31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1.5</w:t>
            </w:r>
          </w:p>
        </w:tc>
        <w:tc>
          <w:tcPr>
            <w:tcW w:w="2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≥30%</w:t>
            </w:r>
          </w:p>
        </w:tc>
        <w:tc>
          <w:tcPr>
            <w:tcW w:w="27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≤35</w:t>
            </w:r>
          </w:p>
        </w:tc>
        <w:tc>
          <w:tcPr>
            <w:tcW w:w="33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≤21米</w:t>
            </w:r>
          </w:p>
        </w:tc>
        <w:tc>
          <w:tcPr>
            <w:tcW w:w="85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老年人日间照理中心</w:t>
            </w:r>
            <w:r>
              <w:rPr>
                <w:rFonts w:hint="eastAsia" w:cs="宋体" w:asciiTheme="minorEastAsia" w:hAnsiTheme="minorEastAsia"/>
                <w:color w:val="000000"/>
                <w:kern w:val="0"/>
                <w:szCs w:val="21"/>
              </w:rPr>
              <w:br w:type="textWrapping"/>
            </w:r>
            <w:r>
              <w:rPr>
                <w:rFonts w:hint="eastAsia" w:cs="宋体" w:asciiTheme="minorEastAsia" w:hAnsiTheme="minorEastAsia"/>
                <w:color w:val="000000"/>
                <w:kern w:val="0"/>
                <w:szCs w:val="21"/>
              </w:rPr>
              <w:t>健身场地、公共厕所</w:t>
            </w:r>
          </w:p>
        </w:tc>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1车位/户</w:t>
            </w:r>
          </w:p>
        </w:tc>
        <w:tc>
          <w:tcPr>
            <w:tcW w:w="48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存量土地</w:t>
            </w:r>
            <w:r>
              <w:rPr>
                <w:rFonts w:hint="eastAsia" w:cs="宋体" w:asciiTheme="minorEastAsia" w:hAnsiTheme="minorEastAsia"/>
                <w:color w:val="000000"/>
                <w:kern w:val="0"/>
                <w:szCs w:val="21"/>
              </w:rPr>
              <w:br w:type="textWrapping"/>
            </w:r>
            <w:r>
              <w:rPr>
                <w:rFonts w:hint="eastAsia" w:cs="宋体" w:asciiTheme="minorEastAsia" w:hAnsiTheme="minorEastAsia"/>
                <w:color w:val="000000"/>
                <w:kern w:val="0"/>
                <w:szCs w:val="21"/>
              </w:rPr>
              <w:t>（规划新增）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39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YF-03-15</w:t>
            </w:r>
          </w:p>
        </w:tc>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080701</w:t>
            </w:r>
          </w:p>
        </w:tc>
        <w:tc>
          <w:tcPr>
            <w:tcW w:w="861"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老年人社会福利用地</w:t>
            </w:r>
          </w:p>
        </w:tc>
        <w:tc>
          <w:tcPr>
            <w:tcW w:w="395"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0.31</w:t>
            </w:r>
          </w:p>
        </w:tc>
        <w:tc>
          <w:tcPr>
            <w:tcW w:w="314"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w:t>
            </w:r>
          </w:p>
        </w:tc>
        <w:tc>
          <w:tcPr>
            <w:tcW w:w="287"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≥35%</w:t>
            </w:r>
          </w:p>
        </w:tc>
        <w:tc>
          <w:tcPr>
            <w:tcW w:w="275"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≤30</w:t>
            </w:r>
          </w:p>
        </w:tc>
        <w:tc>
          <w:tcPr>
            <w:tcW w:w="334"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≤10米</w:t>
            </w:r>
          </w:p>
        </w:tc>
        <w:tc>
          <w:tcPr>
            <w:tcW w:w="857"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规划敬老院</w:t>
            </w:r>
          </w:p>
        </w:tc>
        <w:tc>
          <w:tcPr>
            <w:tcW w:w="410"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8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存量土地</w:t>
            </w:r>
            <w:r>
              <w:rPr>
                <w:rFonts w:hint="eastAsia" w:cs="宋体" w:asciiTheme="minorEastAsia" w:hAnsiTheme="minorEastAsia"/>
                <w:color w:val="000000"/>
                <w:kern w:val="0"/>
                <w:szCs w:val="21"/>
              </w:rPr>
              <w:br w:type="textWrapping"/>
            </w:r>
            <w:r>
              <w:rPr>
                <w:rFonts w:hint="eastAsia" w:cs="宋体" w:asciiTheme="minorEastAsia" w:hAnsiTheme="minorEastAsia"/>
                <w:color w:val="000000"/>
                <w:kern w:val="0"/>
                <w:szCs w:val="21"/>
              </w:rPr>
              <w:t>（规划新增）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39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YF-03-16</w:t>
            </w:r>
          </w:p>
        </w:tc>
        <w:tc>
          <w:tcPr>
            <w:tcW w:w="39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070102</w:t>
            </w:r>
          </w:p>
        </w:tc>
        <w:tc>
          <w:tcPr>
            <w:tcW w:w="861"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二类城镇住宅用地</w:t>
            </w:r>
          </w:p>
        </w:tc>
        <w:tc>
          <w:tcPr>
            <w:tcW w:w="395"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1.12</w:t>
            </w:r>
          </w:p>
        </w:tc>
        <w:tc>
          <w:tcPr>
            <w:tcW w:w="31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1.5</w:t>
            </w:r>
          </w:p>
        </w:tc>
        <w:tc>
          <w:tcPr>
            <w:tcW w:w="2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≥30%</w:t>
            </w:r>
          </w:p>
        </w:tc>
        <w:tc>
          <w:tcPr>
            <w:tcW w:w="27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≤35</w:t>
            </w:r>
          </w:p>
        </w:tc>
        <w:tc>
          <w:tcPr>
            <w:tcW w:w="33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≤21米</w:t>
            </w:r>
          </w:p>
        </w:tc>
        <w:tc>
          <w:tcPr>
            <w:tcW w:w="85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老年人日间照理中心</w:t>
            </w:r>
            <w:r>
              <w:rPr>
                <w:rFonts w:hint="eastAsia" w:cs="宋体" w:asciiTheme="minorEastAsia" w:hAnsiTheme="minorEastAsia"/>
                <w:color w:val="000000"/>
                <w:kern w:val="0"/>
                <w:szCs w:val="21"/>
              </w:rPr>
              <w:br w:type="textWrapping"/>
            </w:r>
            <w:r>
              <w:rPr>
                <w:rFonts w:hint="eastAsia" w:cs="宋体" w:asciiTheme="minorEastAsia" w:hAnsiTheme="minorEastAsia"/>
                <w:color w:val="000000"/>
                <w:kern w:val="0"/>
                <w:szCs w:val="21"/>
              </w:rPr>
              <w:t>健身场地、公共厕所</w:t>
            </w:r>
          </w:p>
        </w:tc>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1车位/户</w:t>
            </w:r>
          </w:p>
        </w:tc>
        <w:tc>
          <w:tcPr>
            <w:tcW w:w="48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存量土地</w:t>
            </w:r>
            <w:r>
              <w:rPr>
                <w:rFonts w:hint="eastAsia" w:cs="宋体" w:asciiTheme="minorEastAsia" w:hAnsiTheme="minorEastAsia"/>
                <w:color w:val="000000"/>
                <w:kern w:val="0"/>
                <w:szCs w:val="21"/>
              </w:rPr>
              <w:br w:type="textWrapping"/>
            </w:r>
            <w:r>
              <w:rPr>
                <w:rFonts w:hint="eastAsia" w:cs="宋体" w:asciiTheme="minorEastAsia" w:hAnsiTheme="minorEastAsia"/>
                <w:color w:val="000000"/>
                <w:kern w:val="0"/>
                <w:szCs w:val="21"/>
              </w:rPr>
              <w:t>（规划新增）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39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YF-03-17</w:t>
            </w:r>
          </w:p>
        </w:tc>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080404</w:t>
            </w:r>
          </w:p>
        </w:tc>
        <w:tc>
          <w:tcPr>
            <w:tcW w:w="861"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幼儿园用地</w:t>
            </w:r>
          </w:p>
        </w:tc>
        <w:tc>
          <w:tcPr>
            <w:tcW w:w="395"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0.38</w:t>
            </w:r>
          </w:p>
        </w:tc>
        <w:tc>
          <w:tcPr>
            <w:tcW w:w="31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7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3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85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8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存量土地</w:t>
            </w:r>
            <w:r>
              <w:rPr>
                <w:rFonts w:hint="eastAsia" w:cs="宋体" w:asciiTheme="minorEastAsia" w:hAnsiTheme="minorEastAsia"/>
                <w:color w:val="000000"/>
                <w:kern w:val="0"/>
                <w:szCs w:val="21"/>
              </w:rPr>
              <w:br w:type="textWrapping"/>
            </w:r>
            <w:r>
              <w:rPr>
                <w:rFonts w:hint="eastAsia" w:cs="宋体" w:asciiTheme="minorEastAsia" w:hAnsiTheme="minorEastAsia"/>
                <w:color w:val="000000"/>
                <w:kern w:val="0"/>
                <w:szCs w:val="21"/>
              </w:rPr>
              <w:t>（规划新增）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39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YF-03-18</w:t>
            </w:r>
          </w:p>
        </w:tc>
        <w:tc>
          <w:tcPr>
            <w:tcW w:w="39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070102</w:t>
            </w:r>
          </w:p>
        </w:tc>
        <w:tc>
          <w:tcPr>
            <w:tcW w:w="861"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二类城镇住宅用地</w:t>
            </w:r>
          </w:p>
        </w:tc>
        <w:tc>
          <w:tcPr>
            <w:tcW w:w="395"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0.44</w:t>
            </w:r>
          </w:p>
        </w:tc>
        <w:tc>
          <w:tcPr>
            <w:tcW w:w="31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1.5</w:t>
            </w:r>
          </w:p>
        </w:tc>
        <w:tc>
          <w:tcPr>
            <w:tcW w:w="2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≥30%</w:t>
            </w:r>
          </w:p>
        </w:tc>
        <w:tc>
          <w:tcPr>
            <w:tcW w:w="27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≤35</w:t>
            </w:r>
          </w:p>
        </w:tc>
        <w:tc>
          <w:tcPr>
            <w:tcW w:w="33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≤21米</w:t>
            </w:r>
          </w:p>
        </w:tc>
        <w:tc>
          <w:tcPr>
            <w:tcW w:w="85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8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存量土地</w:t>
            </w:r>
            <w:r>
              <w:rPr>
                <w:rFonts w:hint="eastAsia" w:cs="宋体" w:asciiTheme="minorEastAsia" w:hAnsiTheme="minorEastAsia"/>
                <w:color w:val="000000"/>
                <w:kern w:val="0"/>
                <w:szCs w:val="21"/>
              </w:rPr>
              <w:br w:type="textWrapping"/>
            </w:r>
            <w:r>
              <w:rPr>
                <w:rFonts w:hint="eastAsia" w:cs="宋体" w:asciiTheme="minorEastAsia" w:hAnsiTheme="minorEastAsia"/>
                <w:color w:val="000000"/>
                <w:kern w:val="0"/>
                <w:szCs w:val="21"/>
              </w:rPr>
              <w:t>（规划新增）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39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YF-03-19</w:t>
            </w:r>
          </w:p>
        </w:tc>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120803</w:t>
            </w:r>
          </w:p>
        </w:tc>
        <w:tc>
          <w:tcPr>
            <w:tcW w:w="861"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社会停车场用地</w:t>
            </w:r>
          </w:p>
        </w:tc>
        <w:tc>
          <w:tcPr>
            <w:tcW w:w="395"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0.14</w:t>
            </w:r>
          </w:p>
        </w:tc>
        <w:tc>
          <w:tcPr>
            <w:tcW w:w="31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7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3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857"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社会停车场、充电站</w:t>
            </w:r>
          </w:p>
        </w:tc>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8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存量土地</w:t>
            </w:r>
            <w:r>
              <w:rPr>
                <w:rFonts w:hint="eastAsia" w:cs="宋体" w:asciiTheme="minorEastAsia" w:hAnsiTheme="minorEastAsia"/>
                <w:color w:val="000000"/>
                <w:kern w:val="0"/>
                <w:szCs w:val="21"/>
              </w:rPr>
              <w:br w:type="textWrapping"/>
            </w:r>
            <w:r>
              <w:rPr>
                <w:rFonts w:hint="eastAsia" w:cs="宋体" w:asciiTheme="minorEastAsia" w:hAnsiTheme="minorEastAsia"/>
                <w:color w:val="000000"/>
                <w:kern w:val="0"/>
                <w:szCs w:val="21"/>
              </w:rPr>
              <w:t>（规划新增）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39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YF-03-20</w:t>
            </w:r>
          </w:p>
        </w:tc>
        <w:tc>
          <w:tcPr>
            <w:tcW w:w="39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070102</w:t>
            </w:r>
          </w:p>
        </w:tc>
        <w:tc>
          <w:tcPr>
            <w:tcW w:w="861"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二类城镇住宅用地</w:t>
            </w:r>
          </w:p>
        </w:tc>
        <w:tc>
          <w:tcPr>
            <w:tcW w:w="395"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0.79</w:t>
            </w:r>
          </w:p>
        </w:tc>
        <w:tc>
          <w:tcPr>
            <w:tcW w:w="31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1.5</w:t>
            </w:r>
          </w:p>
        </w:tc>
        <w:tc>
          <w:tcPr>
            <w:tcW w:w="2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≥30%</w:t>
            </w:r>
          </w:p>
        </w:tc>
        <w:tc>
          <w:tcPr>
            <w:tcW w:w="27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≤35</w:t>
            </w:r>
          </w:p>
        </w:tc>
        <w:tc>
          <w:tcPr>
            <w:tcW w:w="33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≤21米</w:t>
            </w:r>
          </w:p>
        </w:tc>
        <w:tc>
          <w:tcPr>
            <w:tcW w:w="85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老年人日间照理中心</w:t>
            </w:r>
            <w:r>
              <w:rPr>
                <w:rFonts w:hint="eastAsia" w:cs="宋体" w:asciiTheme="minorEastAsia" w:hAnsiTheme="minorEastAsia"/>
                <w:color w:val="000000"/>
                <w:kern w:val="0"/>
                <w:szCs w:val="21"/>
              </w:rPr>
              <w:br w:type="textWrapping"/>
            </w:r>
            <w:r>
              <w:rPr>
                <w:rFonts w:hint="eastAsia" w:cs="宋体" w:asciiTheme="minorEastAsia" w:hAnsiTheme="minorEastAsia"/>
                <w:color w:val="000000"/>
                <w:kern w:val="0"/>
                <w:szCs w:val="21"/>
              </w:rPr>
              <w:t>健身场地</w:t>
            </w:r>
          </w:p>
        </w:tc>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8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存量土地</w:t>
            </w:r>
            <w:r>
              <w:rPr>
                <w:rFonts w:hint="eastAsia" w:cs="宋体" w:asciiTheme="minorEastAsia" w:hAnsiTheme="minorEastAsia"/>
                <w:color w:val="000000"/>
                <w:kern w:val="0"/>
                <w:szCs w:val="21"/>
              </w:rPr>
              <w:br w:type="textWrapping"/>
            </w:r>
            <w:r>
              <w:rPr>
                <w:rFonts w:hint="eastAsia" w:cs="宋体" w:asciiTheme="minorEastAsia" w:hAnsiTheme="minorEastAsia"/>
                <w:color w:val="000000"/>
                <w:kern w:val="0"/>
                <w:szCs w:val="21"/>
              </w:rPr>
              <w:t>（规划新增）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39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YF-03-21</w:t>
            </w:r>
          </w:p>
        </w:tc>
        <w:tc>
          <w:tcPr>
            <w:tcW w:w="39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090101</w:t>
            </w:r>
          </w:p>
        </w:tc>
        <w:tc>
          <w:tcPr>
            <w:tcW w:w="861"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零售商业用地</w:t>
            </w:r>
          </w:p>
        </w:tc>
        <w:tc>
          <w:tcPr>
            <w:tcW w:w="395"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0.18</w:t>
            </w:r>
          </w:p>
        </w:tc>
        <w:tc>
          <w:tcPr>
            <w:tcW w:w="314"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1.8</w:t>
            </w:r>
          </w:p>
        </w:tc>
        <w:tc>
          <w:tcPr>
            <w:tcW w:w="287"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≤40</w:t>
            </w:r>
          </w:p>
        </w:tc>
        <w:tc>
          <w:tcPr>
            <w:tcW w:w="275"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≥20%</w:t>
            </w:r>
          </w:p>
        </w:tc>
        <w:tc>
          <w:tcPr>
            <w:tcW w:w="334"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≤16米</w:t>
            </w:r>
          </w:p>
        </w:tc>
        <w:tc>
          <w:tcPr>
            <w:tcW w:w="857" w:type="pct"/>
            <w:shd w:val="clear" w:color="auto" w:fill="auto"/>
            <w:noWrap/>
            <w:vAlign w:val="center"/>
          </w:tcPr>
          <w:p>
            <w:pPr>
              <w:widowControl/>
              <w:jc w:val="center"/>
              <w:rPr>
                <w:rFonts w:cs="宋体" w:asciiTheme="minorEastAsia" w:hAnsiTheme="minorEastAsia"/>
                <w:color w:val="000000"/>
                <w:kern w:val="0"/>
                <w:szCs w:val="21"/>
              </w:rPr>
            </w:pPr>
          </w:p>
        </w:tc>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1.5车位/100㎡建筑面积</w:t>
            </w:r>
          </w:p>
        </w:tc>
        <w:tc>
          <w:tcPr>
            <w:tcW w:w="48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存量土地</w:t>
            </w:r>
            <w:r>
              <w:rPr>
                <w:rFonts w:hint="eastAsia" w:cs="宋体" w:asciiTheme="minorEastAsia" w:hAnsiTheme="minorEastAsia"/>
                <w:color w:val="000000"/>
                <w:kern w:val="0"/>
                <w:szCs w:val="21"/>
              </w:rPr>
              <w:br w:type="textWrapping"/>
            </w:r>
            <w:r>
              <w:rPr>
                <w:rFonts w:hint="eastAsia" w:cs="宋体" w:asciiTheme="minorEastAsia" w:hAnsiTheme="minorEastAsia"/>
                <w:color w:val="000000"/>
                <w:kern w:val="0"/>
                <w:szCs w:val="21"/>
              </w:rPr>
              <w:t>（规划新增）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YF-03-22</w:t>
            </w:r>
          </w:p>
        </w:tc>
        <w:tc>
          <w:tcPr>
            <w:tcW w:w="392"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120801</w:t>
            </w:r>
          </w:p>
        </w:tc>
        <w:tc>
          <w:tcPr>
            <w:tcW w:w="861"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对外交通场站用地</w:t>
            </w:r>
          </w:p>
        </w:tc>
        <w:tc>
          <w:tcPr>
            <w:tcW w:w="395"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0.83</w:t>
            </w:r>
          </w:p>
        </w:tc>
        <w:tc>
          <w:tcPr>
            <w:tcW w:w="31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7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3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857"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玉峰南方客运站</w:t>
            </w:r>
          </w:p>
        </w:tc>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8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YF-03-23</w:t>
            </w:r>
          </w:p>
        </w:tc>
        <w:tc>
          <w:tcPr>
            <w:tcW w:w="39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1302</w:t>
            </w:r>
          </w:p>
        </w:tc>
        <w:tc>
          <w:tcPr>
            <w:tcW w:w="861"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给水用地</w:t>
            </w:r>
          </w:p>
        </w:tc>
        <w:tc>
          <w:tcPr>
            <w:tcW w:w="395"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0.21</w:t>
            </w:r>
          </w:p>
        </w:tc>
        <w:tc>
          <w:tcPr>
            <w:tcW w:w="31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87"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275"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334"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857" w:type="pct"/>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给水厂</w:t>
            </w:r>
          </w:p>
        </w:tc>
        <w:tc>
          <w:tcPr>
            <w:tcW w:w="410"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w:t>
            </w:r>
          </w:p>
        </w:tc>
        <w:tc>
          <w:tcPr>
            <w:tcW w:w="482" w:type="pct"/>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现状保留</w:t>
            </w:r>
          </w:p>
        </w:tc>
      </w:tr>
    </w:tbl>
    <w:p>
      <w:pPr>
        <w:pStyle w:val="31"/>
        <w:spacing w:beforeLines="50" w:afterLines="50"/>
        <w:jc w:val="left"/>
        <w:rPr>
          <w:rFonts w:eastAsia="宋体" w:asciiTheme="minorEastAsia" w:hAnsiTheme="minorEastAsia"/>
          <w:b w:val="0"/>
          <w:sz w:val="24"/>
          <w:szCs w:val="24"/>
        </w:rPr>
      </w:pPr>
      <w:bookmarkStart w:id="50" w:name="_Toc166772199"/>
      <w:r>
        <w:rPr>
          <w:rFonts w:hint="eastAsia" w:eastAsia="宋体" w:asciiTheme="minorEastAsia" w:hAnsiTheme="minorEastAsia"/>
          <w:b w:val="0"/>
          <w:sz w:val="24"/>
          <w:szCs w:val="24"/>
        </w:rPr>
        <w:t>表15片区</w:t>
      </w:r>
      <w:r>
        <w:rPr>
          <w:rFonts w:eastAsia="宋体" w:asciiTheme="minorEastAsia" w:hAnsiTheme="minorEastAsia"/>
          <w:b w:val="0"/>
          <w:sz w:val="24"/>
          <w:szCs w:val="24"/>
        </w:rPr>
        <w:t>近期建设项目一览表</w:t>
      </w:r>
      <w:bookmarkEnd w:id="50"/>
    </w:p>
    <w:tbl>
      <w:tblPr>
        <w:tblStyle w:val="16"/>
        <w:tblW w:w="5000" w:type="pct"/>
        <w:tblInd w:w="0" w:type="dxa"/>
        <w:tblLayout w:type="fixed"/>
        <w:tblCellMar>
          <w:top w:w="0" w:type="dxa"/>
          <w:left w:w="108" w:type="dxa"/>
          <w:bottom w:w="0" w:type="dxa"/>
          <w:right w:w="108" w:type="dxa"/>
        </w:tblCellMar>
      </w:tblPr>
      <w:tblGrid>
        <w:gridCol w:w="515"/>
        <w:gridCol w:w="515"/>
        <w:gridCol w:w="4893"/>
        <w:gridCol w:w="990"/>
        <w:gridCol w:w="1418"/>
        <w:gridCol w:w="1275"/>
        <w:gridCol w:w="1558"/>
        <w:gridCol w:w="2290"/>
      </w:tblGrid>
      <w:tr>
        <w:tblPrEx>
          <w:tblCellMar>
            <w:top w:w="0" w:type="dxa"/>
            <w:left w:w="108" w:type="dxa"/>
            <w:bottom w:w="0" w:type="dxa"/>
            <w:right w:w="108" w:type="dxa"/>
          </w:tblCellMar>
        </w:tblPrEx>
        <w:trPr>
          <w:trHeight w:val="270" w:hRule="atLeast"/>
        </w:trPr>
        <w:tc>
          <w:tcPr>
            <w:tcW w:w="19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类型</w:t>
            </w:r>
          </w:p>
        </w:tc>
        <w:tc>
          <w:tcPr>
            <w:tcW w:w="191"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序号</w:t>
            </w:r>
          </w:p>
        </w:tc>
        <w:tc>
          <w:tcPr>
            <w:tcW w:w="1818"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项目名称</w:t>
            </w:r>
          </w:p>
        </w:tc>
        <w:tc>
          <w:tcPr>
            <w:tcW w:w="368"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建设</w:t>
            </w:r>
          </w:p>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性质</w:t>
            </w:r>
          </w:p>
        </w:tc>
        <w:tc>
          <w:tcPr>
            <w:tcW w:w="527"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建设年限</w:t>
            </w:r>
          </w:p>
        </w:tc>
        <w:tc>
          <w:tcPr>
            <w:tcW w:w="474"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用地规模</w:t>
            </w:r>
          </w:p>
        </w:tc>
        <w:tc>
          <w:tcPr>
            <w:tcW w:w="579"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所在行政区</w:t>
            </w:r>
          </w:p>
        </w:tc>
        <w:tc>
          <w:tcPr>
            <w:tcW w:w="851"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备注</w:t>
            </w:r>
          </w:p>
        </w:tc>
      </w:tr>
      <w:tr>
        <w:tblPrEx>
          <w:tblCellMar>
            <w:top w:w="0" w:type="dxa"/>
            <w:left w:w="108" w:type="dxa"/>
            <w:bottom w:w="0" w:type="dxa"/>
            <w:right w:w="108" w:type="dxa"/>
          </w:tblCellMar>
        </w:tblPrEx>
        <w:trPr>
          <w:trHeight w:val="265" w:hRule="atLeast"/>
        </w:trPr>
        <w:tc>
          <w:tcPr>
            <w:tcW w:w="191"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交通设施</w:t>
            </w:r>
            <w:r>
              <w:rPr>
                <w:rFonts w:hint="eastAsia" w:cs="宋体" w:asciiTheme="minorEastAsia" w:hAnsiTheme="minorEastAsia"/>
                <w:color w:val="000000"/>
                <w:kern w:val="0"/>
                <w:szCs w:val="21"/>
              </w:rPr>
              <w:br w:type="textWrapping"/>
            </w:r>
            <w:r>
              <w:rPr>
                <w:rFonts w:hint="eastAsia" w:cs="宋体" w:asciiTheme="minorEastAsia" w:hAnsiTheme="minorEastAsia"/>
                <w:color w:val="000000"/>
                <w:kern w:val="0"/>
                <w:szCs w:val="21"/>
              </w:rPr>
              <w:t>18</w:t>
            </w:r>
          </w:p>
        </w:tc>
        <w:tc>
          <w:tcPr>
            <w:tcW w:w="191"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w:t>
            </w:r>
          </w:p>
        </w:tc>
        <w:tc>
          <w:tcPr>
            <w:tcW w:w="181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省道S101大英段公路项目</w:t>
            </w:r>
          </w:p>
        </w:tc>
        <w:tc>
          <w:tcPr>
            <w:tcW w:w="36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改建</w:t>
            </w:r>
          </w:p>
        </w:tc>
        <w:tc>
          <w:tcPr>
            <w:tcW w:w="5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2022-2025</w:t>
            </w:r>
          </w:p>
        </w:tc>
        <w:tc>
          <w:tcPr>
            <w:tcW w:w="474"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c>
          <w:tcPr>
            <w:tcW w:w="57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c>
          <w:tcPr>
            <w:tcW w:w="851"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升级二级公路</w:t>
            </w:r>
          </w:p>
        </w:tc>
      </w:tr>
      <w:tr>
        <w:tblPrEx>
          <w:tblCellMar>
            <w:top w:w="0" w:type="dxa"/>
            <w:left w:w="108" w:type="dxa"/>
            <w:bottom w:w="0" w:type="dxa"/>
            <w:right w:w="108" w:type="dxa"/>
          </w:tblCellMar>
        </w:tblPrEx>
        <w:trPr>
          <w:trHeight w:val="270" w:hRule="atLeast"/>
        </w:trPr>
        <w:tc>
          <w:tcPr>
            <w:tcW w:w="191" w:type="pct"/>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color w:val="000000"/>
                <w:kern w:val="0"/>
                <w:szCs w:val="21"/>
              </w:rPr>
            </w:pPr>
          </w:p>
        </w:tc>
        <w:tc>
          <w:tcPr>
            <w:tcW w:w="191"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w:t>
            </w:r>
          </w:p>
        </w:tc>
        <w:tc>
          <w:tcPr>
            <w:tcW w:w="181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S209大英县象山镇（无神村）至大英县天保镇（龙坝村）改建工程</w:t>
            </w:r>
          </w:p>
        </w:tc>
        <w:tc>
          <w:tcPr>
            <w:tcW w:w="36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改建</w:t>
            </w:r>
          </w:p>
        </w:tc>
        <w:tc>
          <w:tcPr>
            <w:tcW w:w="5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2022-2025</w:t>
            </w:r>
          </w:p>
        </w:tc>
        <w:tc>
          <w:tcPr>
            <w:tcW w:w="474"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c>
          <w:tcPr>
            <w:tcW w:w="57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c>
          <w:tcPr>
            <w:tcW w:w="851"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升级二级公路</w:t>
            </w:r>
          </w:p>
        </w:tc>
      </w:tr>
      <w:tr>
        <w:tblPrEx>
          <w:tblCellMar>
            <w:top w:w="0" w:type="dxa"/>
            <w:left w:w="108" w:type="dxa"/>
            <w:bottom w:w="0" w:type="dxa"/>
            <w:right w:w="108" w:type="dxa"/>
          </w:tblCellMar>
        </w:tblPrEx>
        <w:trPr>
          <w:trHeight w:val="270" w:hRule="atLeast"/>
        </w:trPr>
        <w:tc>
          <w:tcPr>
            <w:tcW w:w="191" w:type="pct"/>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color w:val="000000"/>
                <w:kern w:val="0"/>
                <w:szCs w:val="21"/>
              </w:rPr>
            </w:pPr>
          </w:p>
        </w:tc>
        <w:tc>
          <w:tcPr>
            <w:tcW w:w="191"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p>
        </w:tc>
        <w:tc>
          <w:tcPr>
            <w:tcW w:w="181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省道S225玉峰至分水段改建</w:t>
            </w:r>
          </w:p>
        </w:tc>
        <w:tc>
          <w:tcPr>
            <w:tcW w:w="36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改建</w:t>
            </w:r>
          </w:p>
        </w:tc>
        <w:tc>
          <w:tcPr>
            <w:tcW w:w="5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2022-2025</w:t>
            </w:r>
          </w:p>
        </w:tc>
        <w:tc>
          <w:tcPr>
            <w:tcW w:w="474"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c>
          <w:tcPr>
            <w:tcW w:w="57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c>
          <w:tcPr>
            <w:tcW w:w="851"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升级二级公路</w:t>
            </w:r>
          </w:p>
        </w:tc>
      </w:tr>
      <w:tr>
        <w:tblPrEx>
          <w:tblCellMar>
            <w:top w:w="0" w:type="dxa"/>
            <w:left w:w="108" w:type="dxa"/>
            <w:bottom w:w="0" w:type="dxa"/>
            <w:right w:w="108" w:type="dxa"/>
          </w:tblCellMar>
        </w:tblPrEx>
        <w:trPr>
          <w:trHeight w:val="270" w:hRule="atLeast"/>
        </w:trPr>
        <w:tc>
          <w:tcPr>
            <w:tcW w:w="191" w:type="pct"/>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color w:val="000000"/>
                <w:kern w:val="0"/>
                <w:szCs w:val="21"/>
              </w:rPr>
            </w:pPr>
          </w:p>
        </w:tc>
        <w:tc>
          <w:tcPr>
            <w:tcW w:w="191"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p>
        </w:tc>
        <w:tc>
          <w:tcPr>
            <w:tcW w:w="181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S307大英县隆盛（射洪界）至河边（乐至界）段改建工程</w:t>
            </w:r>
          </w:p>
        </w:tc>
        <w:tc>
          <w:tcPr>
            <w:tcW w:w="36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改建</w:t>
            </w:r>
          </w:p>
        </w:tc>
        <w:tc>
          <w:tcPr>
            <w:tcW w:w="5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2022-2025</w:t>
            </w:r>
          </w:p>
        </w:tc>
        <w:tc>
          <w:tcPr>
            <w:tcW w:w="474"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c>
          <w:tcPr>
            <w:tcW w:w="57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c>
          <w:tcPr>
            <w:tcW w:w="851"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升级二级公路</w:t>
            </w:r>
          </w:p>
        </w:tc>
      </w:tr>
      <w:tr>
        <w:tblPrEx>
          <w:tblCellMar>
            <w:top w:w="0" w:type="dxa"/>
            <w:left w:w="108" w:type="dxa"/>
            <w:bottom w:w="0" w:type="dxa"/>
            <w:right w:w="108" w:type="dxa"/>
          </w:tblCellMar>
        </w:tblPrEx>
        <w:trPr>
          <w:trHeight w:val="270" w:hRule="atLeast"/>
        </w:trPr>
        <w:tc>
          <w:tcPr>
            <w:tcW w:w="191" w:type="pct"/>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color w:val="000000"/>
                <w:kern w:val="0"/>
                <w:szCs w:val="21"/>
              </w:rPr>
            </w:pPr>
          </w:p>
        </w:tc>
        <w:tc>
          <w:tcPr>
            <w:tcW w:w="191"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p>
        </w:tc>
        <w:tc>
          <w:tcPr>
            <w:tcW w:w="181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S401大英县三溪至铜鼓段改建工程</w:t>
            </w:r>
          </w:p>
        </w:tc>
        <w:tc>
          <w:tcPr>
            <w:tcW w:w="36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改建</w:t>
            </w:r>
          </w:p>
        </w:tc>
        <w:tc>
          <w:tcPr>
            <w:tcW w:w="5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2022-2025</w:t>
            </w:r>
          </w:p>
        </w:tc>
        <w:tc>
          <w:tcPr>
            <w:tcW w:w="474"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c>
          <w:tcPr>
            <w:tcW w:w="57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c>
          <w:tcPr>
            <w:tcW w:w="851"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升级二级公路</w:t>
            </w:r>
          </w:p>
        </w:tc>
      </w:tr>
      <w:tr>
        <w:tblPrEx>
          <w:tblCellMar>
            <w:top w:w="0" w:type="dxa"/>
            <w:left w:w="108" w:type="dxa"/>
            <w:bottom w:w="0" w:type="dxa"/>
            <w:right w:w="108" w:type="dxa"/>
          </w:tblCellMar>
        </w:tblPrEx>
        <w:trPr>
          <w:trHeight w:val="270" w:hRule="atLeast"/>
        </w:trPr>
        <w:tc>
          <w:tcPr>
            <w:tcW w:w="191" w:type="pct"/>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color w:val="000000"/>
                <w:kern w:val="0"/>
                <w:szCs w:val="21"/>
              </w:rPr>
            </w:pPr>
          </w:p>
        </w:tc>
        <w:tc>
          <w:tcPr>
            <w:tcW w:w="191"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p>
        </w:tc>
        <w:tc>
          <w:tcPr>
            <w:tcW w:w="181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省道401蓬乐公路（河边至乐至）</w:t>
            </w:r>
          </w:p>
        </w:tc>
        <w:tc>
          <w:tcPr>
            <w:tcW w:w="36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改建</w:t>
            </w:r>
          </w:p>
        </w:tc>
        <w:tc>
          <w:tcPr>
            <w:tcW w:w="5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2022-2025</w:t>
            </w:r>
          </w:p>
        </w:tc>
        <w:tc>
          <w:tcPr>
            <w:tcW w:w="474"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c>
          <w:tcPr>
            <w:tcW w:w="57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c>
          <w:tcPr>
            <w:tcW w:w="851"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升级二级公路</w:t>
            </w:r>
          </w:p>
        </w:tc>
      </w:tr>
      <w:tr>
        <w:tblPrEx>
          <w:tblCellMar>
            <w:top w:w="0" w:type="dxa"/>
            <w:left w:w="108" w:type="dxa"/>
            <w:bottom w:w="0" w:type="dxa"/>
            <w:right w:w="108" w:type="dxa"/>
          </w:tblCellMar>
        </w:tblPrEx>
        <w:trPr>
          <w:trHeight w:val="270" w:hRule="atLeast"/>
        </w:trPr>
        <w:tc>
          <w:tcPr>
            <w:tcW w:w="191" w:type="pct"/>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color w:val="000000"/>
                <w:kern w:val="0"/>
                <w:szCs w:val="21"/>
              </w:rPr>
            </w:pPr>
          </w:p>
        </w:tc>
        <w:tc>
          <w:tcPr>
            <w:tcW w:w="191"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p>
        </w:tc>
        <w:tc>
          <w:tcPr>
            <w:tcW w:w="181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河边镇柠檬产业环线道路</w:t>
            </w:r>
          </w:p>
        </w:tc>
        <w:tc>
          <w:tcPr>
            <w:tcW w:w="36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改建</w:t>
            </w:r>
          </w:p>
        </w:tc>
        <w:tc>
          <w:tcPr>
            <w:tcW w:w="5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2022-2025</w:t>
            </w:r>
          </w:p>
        </w:tc>
        <w:tc>
          <w:tcPr>
            <w:tcW w:w="474"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c>
          <w:tcPr>
            <w:tcW w:w="57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c>
          <w:tcPr>
            <w:tcW w:w="851"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升级三级公路</w:t>
            </w:r>
          </w:p>
        </w:tc>
      </w:tr>
      <w:tr>
        <w:tblPrEx>
          <w:tblCellMar>
            <w:top w:w="0" w:type="dxa"/>
            <w:left w:w="108" w:type="dxa"/>
            <w:bottom w:w="0" w:type="dxa"/>
            <w:right w:w="108" w:type="dxa"/>
          </w:tblCellMar>
        </w:tblPrEx>
        <w:trPr>
          <w:trHeight w:val="270" w:hRule="atLeast"/>
        </w:trPr>
        <w:tc>
          <w:tcPr>
            <w:tcW w:w="191" w:type="pct"/>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color w:val="000000"/>
                <w:kern w:val="0"/>
                <w:szCs w:val="21"/>
              </w:rPr>
            </w:pPr>
          </w:p>
        </w:tc>
        <w:tc>
          <w:tcPr>
            <w:tcW w:w="191"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p>
        </w:tc>
        <w:tc>
          <w:tcPr>
            <w:tcW w:w="181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大英县美丽乡村旅游公路（象白路）</w:t>
            </w:r>
          </w:p>
        </w:tc>
        <w:tc>
          <w:tcPr>
            <w:tcW w:w="36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改建</w:t>
            </w:r>
          </w:p>
        </w:tc>
        <w:tc>
          <w:tcPr>
            <w:tcW w:w="5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2022-2025</w:t>
            </w:r>
          </w:p>
        </w:tc>
        <w:tc>
          <w:tcPr>
            <w:tcW w:w="474"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c>
          <w:tcPr>
            <w:tcW w:w="57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c>
          <w:tcPr>
            <w:tcW w:w="851"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升级三级公路</w:t>
            </w:r>
          </w:p>
        </w:tc>
      </w:tr>
      <w:tr>
        <w:tblPrEx>
          <w:tblCellMar>
            <w:top w:w="0" w:type="dxa"/>
            <w:left w:w="108" w:type="dxa"/>
            <w:bottom w:w="0" w:type="dxa"/>
            <w:right w:w="108" w:type="dxa"/>
          </w:tblCellMar>
        </w:tblPrEx>
        <w:trPr>
          <w:trHeight w:val="270" w:hRule="atLeast"/>
        </w:trPr>
        <w:tc>
          <w:tcPr>
            <w:tcW w:w="191" w:type="pct"/>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color w:val="000000"/>
                <w:kern w:val="0"/>
                <w:szCs w:val="21"/>
              </w:rPr>
            </w:pPr>
          </w:p>
        </w:tc>
        <w:tc>
          <w:tcPr>
            <w:tcW w:w="191"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p>
        </w:tc>
        <w:tc>
          <w:tcPr>
            <w:tcW w:w="181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G350大英县隆盛至玉峰（中江界）段改建工程</w:t>
            </w:r>
          </w:p>
        </w:tc>
        <w:tc>
          <w:tcPr>
            <w:tcW w:w="36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改建</w:t>
            </w:r>
          </w:p>
        </w:tc>
        <w:tc>
          <w:tcPr>
            <w:tcW w:w="5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2022-2025</w:t>
            </w:r>
          </w:p>
        </w:tc>
        <w:tc>
          <w:tcPr>
            <w:tcW w:w="474"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c>
          <w:tcPr>
            <w:tcW w:w="57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c>
          <w:tcPr>
            <w:tcW w:w="851"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国道改造</w:t>
            </w:r>
          </w:p>
        </w:tc>
      </w:tr>
      <w:tr>
        <w:tblPrEx>
          <w:tblCellMar>
            <w:top w:w="0" w:type="dxa"/>
            <w:left w:w="108" w:type="dxa"/>
            <w:bottom w:w="0" w:type="dxa"/>
            <w:right w:w="108" w:type="dxa"/>
          </w:tblCellMar>
        </w:tblPrEx>
        <w:trPr>
          <w:trHeight w:val="270" w:hRule="atLeast"/>
        </w:trPr>
        <w:tc>
          <w:tcPr>
            <w:tcW w:w="191" w:type="pct"/>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color w:val="000000"/>
                <w:kern w:val="0"/>
                <w:szCs w:val="21"/>
              </w:rPr>
            </w:pPr>
          </w:p>
        </w:tc>
        <w:tc>
          <w:tcPr>
            <w:tcW w:w="191"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p>
        </w:tc>
        <w:tc>
          <w:tcPr>
            <w:tcW w:w="181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成南高速公路扩容</w:t>
            </w:r>
          </w:p>
        </w:tc>
        <w:tc>
          <w:tcPr>
            <w:tcW w:w="36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改建</w:t>
            </w:r>
          </w:p>
        </w:tc>
        <w:tc>
          <w:tcPr>
            <w:tcW w:w="5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2022-2024</w:t>
            </w:r>
          </w:p>
        </w:tc>
        <w:tc>
          <w:tcPr>
            <w:tcW w:w="474"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c>
          <w:tcPr>
            <w:tcW w:w="57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玉峰镇</w:t>
            </w:r>
          </w:p>
        </w:tc>
        <w:tc>
          <w:tcPr>
            <w:tcW w:w="851"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r>
      <w:tr>
        <w:tblPrEx>
          <w:tblCellMar>
            <w:top w:w="0" w:type="dxa"/>
            <w:left w:w="108" w:type="dxa"/>
            <w:bottom w:w="0" w:type="dxa"/>
            <w:right w:w="108" w:type="dxa"/>
          </w:tblCellMar>
        </w:tblPrEx>
        <w:trPr>
          <w:trHeight w:val="270" w:hRule="atLeast"/>
        </w:trPr>
        <w:tc>
          <w:tcPr>
            <w:tcW w:w="191" w:type="pct"/>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color w:val="000000"/>
                <w:kern w:val="0"/>
                <w:szCs w:val="21"/>
              </w:rPr>
            </w:pPr>
          </w:p>
        </w:tc>
        <w:tc>
          <w:tcPr>
            <w:tcW w:w="191"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p>
        </w:tc>
        <w:tc>
          <w:tcPr>
            <w:tcW w:w="181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三大乐高速</w:t>
            </w:r>
          </w:p>
        </w:tc>
        <w:tc>
          <w:tcPr>
            <w:tcW w:w="36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新建</w:t>
            </w:r>
          </w:p>
        </w:tc>
        <w:tc>
          <w:tcPr>
            <w:tcW w:w="5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2022-2025</w:t>
            </w:r>
          </w:p>
        </w:tc>
        <w:tc>
          <w:tcPr>
            <w:tcW w:w="474"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c>
          <w:tcPr>
            <w:tcW w:w="57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c>
          <w:tcPr>
            <w:tcW w:w="851"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r>
      <w:tr>
        <w:tblPrEx>
          <w:tblCellMar>
            <w:top w:w="0" w:type="dxa"/>
            <w:left w:w="108" w:type="dxa"/>
            <w:bottom w:w="0" w:type="dxa"/>
            <w:right w:w="108" w:type="dxa"/>
          </w:tblCellMar>
        </w:tblPrEx>
        <w:trPr>
          <w:trHeight w:val="270" w:hRule="atLeast"/>
        </w:trPr>
        <w:tc>
          <w:tcPr>
            <w:tcW w:w="191" w:type="pct"/>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color w:val="000000"/>
                <w:kern w:val="0"/>
                <w:szCs w:val="21"/>
              </w:rPr>
            </w:pPr>
          </w:p>
        </w:tc>
        <w:tc>
          <w:tcPr>
            <w:tcW w:w="191"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p>
        </w:tc>
        <w:tc>
          <w:tcPr>
            <w:tcW w:w="181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大英县美丽乡村共富路</w:t>
            </w:r>
          </w:p>
        </w:tc>
        <w:tc>
          <w:tcPr>
            <w:tcW w:w="36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改建</w:t>
            </w:r>
          </w:p>
        </w:tc>
        <w:tc>
          <w:tcPr>
            <w:tcW w:w="5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2022-2025</w:t>
            </w:r>
          </w:p>
        </w:tc>
        <w:tc>
          <w:tcPr>
            <w:tcW w:w="474"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c>
          <w:tcPr>
            <w:tcW w:w="57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c>
          <w:tcPr>
            <w:tcW w:w="851"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r>
      <w:tr>
        <w:tblPrEx>
          <w:tblCellMar>
            <w:top w:w="0" w:type="dxa"/>
            <w:left w:w="108" w:type="dxa"/>
            <w:bottom w:w="0" w:type="dxa"/>
            <w:right w:w="108" w:type="dxa"/>
          </w:tblCellMar>
        </w:tblPrEx>
        <w:trPr>
          <w:trHeight w:val="270" w:hRule="atLeast"/>
        </w:trPr>
        <w:tc>
          <w:tcPr>
            <w:tcW w:w="191" w:type="pct"/>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color w:val="000000"/>
                <w:kern w:val="0"/>
                <w:szCs w:val="21"/>
              </w:rPr>
            </w:pPr>
          </w:p>
        </w:tc>
        <w:tc>
          <w:tcPr>
            <w:tcW w:w="191"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p>
        </w:tc>
        <w:tc>
          <w:tcPr>
            <w:tcW w:w="181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新建河边镇客运站</w:t>
            </w:r>
          </w:p>
        </w:tc>
        <w:tc>
          <w:tcPr>
            <w:tcW w:w="36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改建</w:t>
            </w:r>
          </w:p>
        </w:tc>
        <w:tc>
          <w:tcPr>
            <w:tcW w:w="5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2022-2025</w:t>
            </w:r>
          </w:p>
        </w:tc>
        <w:tc>
          <w:tcPr>
            <w:tcW w:w="474"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0.43公顷</w:t>
            </w:r>
          </w:p>
        </w:tc>
        <w:tc>
          <w:tcPr>
            <w:tcW w:w="57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c>
          <w:tcPr>
            <w:tcW w:w="851"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三级客运站</w:t>
            </w:r>
          </w:p>
        </w:tc>
      </w:tr>
      <w:tr>
        <w:tblPrEx>
          <w:tblCellMar>
            <w:top w:w="0" w:type="dxa"/>
            <w:left w:w="108" w:type="dxa"/>
            <w:bottom w:w="0" w:type="dxa"/>
            <w:right w:w="108" w:type="dxa"/>
          </w:tblCellMar>
        </w:tblPrEx>
        <w:trPr>
          <w:trHeight w:val="270" w:hRule="atLeast"/>
        </w:trPr>
        <w:tc>
          <w:tcPr>
            <w:tcW w:w="191" w:type="pct"/>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color w:val="000000"/>
                <w:kern w:val="0"/>
                <w:szCs w:val="21"/>
              </w:rPr>
            </w:pPr>
          </w:p>
        </w:tc>
        <w:tc>
          <w:tcPr>
            <w:tcW w:w="191"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p>
        </w:tc>
        <w:tc>
          <w:tcPr>
            <w:tcW w:w="181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新建象山镇客运站</w:t>
            </w:r>
          </w:p>
        </w:tc>
        <w:tc>
          <w:tcPr>
            <w:tcW w:w="36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改建</w:t>
            </w:r>
          </w:p>
        </w:tc>
        <w:tc>
          <w:tcPr>
            <w:tcW w:w="5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2022-2025</w:t>
            </w:r>
          </w:p>
        </w:tc>
        <w:tc>
          <w:tcPr>
            <w:tcW w:w="474"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0.40公顷</w:t>
            </w:r>
          </w:p>
        </w:tc>
        <w:tc>
          <w:tcPr>
            <w:tcW w:w="57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c>
          <w:tcPr>
            <w:tcW w:w="851"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三级客运站</w:t>
            </w:r>
          </w:p>
        </w:tc>
      </w:tr>
      <w:tr>
        <w:tblPrEx>
          <w:tblCellMar>
            <w:top w:w="0" w:type="dxa"/>
            <w:left w:w="108" w:type="dxa"/>
            <w:bottom w:w="0" w:type="dxa"/>
            <w:right w:w="108" w:type="dxa"/>
          </w:tblCellMar>
        </w:tblPrEx>
        <w:trPr>
          <w:trHeight w:val="270" w:hRule="atLeast"/>
        </w:trPr>
        <w:tc>
          <w:tcPr>
            <w:tcW w:w="191" w:type="pct"/>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color w:val="000000"/>
                <w:kern w:val="0"/>
                <w:szCs w:val="21"/>
              </w:rPr>
            </w:pPr>
          </w:p>
        </w:tc>
        <w:tc>
          <w:tcPr>
            <w:tcW w:w="191"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p>
        </w:tc>
        <w:tc>
          <w:tcPr>
            <w:tcW w:w="181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改造玉峰南方客运站</w:t>
            </w:r>
          </w:p>
        </w:tc>
        <w:tc>
          <w:tcPr>
            <w:tcW w:w="36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改建</w:t>
            </w:r>
          </w:p>
        </w:tc>
        <w:tc>
          <w:tcPr>
            <w:tcW w:w="5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2022-2025</w:t>
            </w:r>
          </w:p>
        </w:tc>
        <w:tc>
          <w:tcPr>
            <w:tcW w:w="474"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c>
          <w:tcPr>
            <w:tcW w:w="57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c>
          <w:tcPr>
            <w:tcW w:w="851"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r>
      <w:tr>
        <w:tblPrEx>
          <w:tblCellMar>
            <w:top w:w="0" w:type="dxa"/>
            <w:left w:w="108" w:type="dxa"/>
            <w:bottom w:w="0" w:type="dxa"/>
            <w:right w:w="108" w:type="dxa"/>
          </w:tblCellMar>
        </w:tblPrEx>
        <w:trPr>
          <w:trHeight w:val="270" w:hRule="atLeast"/>
        </w:trPr>
        <w:tc>
          <w:tcPr>
            <w:tcW w:w="191" w:type="pct"/>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color w:val="000000"/>
                <w:kern w:val="0"/>
                <w:szCs w:val="21"/>
              </w:rPr>
            </w:pPr>
          </w:p>
        </w:tc>
        <w:tc>
          <w:tcPr>
            <w:tcW w:w="191"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p>
        </w:tc>
        <w:tc>
          <w:tcPr>
            <w:tcW w:w="181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玉峰镇（玉峰村）至蓬莱镇（吊脚楼村）美丽乡村路改建</w:t>
            </w:r>
          </w:p>
        </w:tc>
        <w:tc>
          <w:tcPr>
            <w:tcW w:w="36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改建</w:t>
            </w:r>
          </w:p>
        </w:tc>
        <w:tc>
          <w:tcPr>
            <w:tcW w:w="5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2023-2025</w:t>
            </w:r>
          </w:p>
        </w:tc>
        <w:tc>
          <w:tcPr>
            <w:tcW w:w="474"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165公顷</w:t>
            </w:r>
          </w:p>
        </w:tc>
        <w:tc>
          <w:tcPr>
            <w:tcW w:w="57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c>
          <w:tcPr>
            <w:tcW w:w="851"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r>
      <w:tr>
        <w:tblPrEx>
          <w:tblCellMar>
            <w:top w:w="0" w:type="dxa"/>
            <w:left w:w="108" w:type="dxa"/>
            <w:bottom w:w="0" w:type="dxa"/>
            <w:right w:w="108" w:type="dxa"/>
          </w:tblCellMar>
        </w:tblPrEx>
        <w:trPr>
          <w:trHeight w:val="270" w:hRule="atLeast"/>
        </w:trPr>
        <w:tc>
          <w:tcPr>
            <w:tcW w:w="191" w:type="pct"/>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color w:val="000000"/>
                <w:kern w:val="0"/>
                <w:szCs w:val="21"/>
              </w:rPr>
            </w:pPr>
          </w:p>
        </w:tc>
        <w:tc>
          <w:tcPr>
            <w:tcW w:w="191"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p>
        </w:tc>
        <w:tc>
          <w:tcPr>
            <w:tcW w:w="181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大英县河边镇至智水改建工程</w:t>
            </w:r>
          </w:p>
        </w:tc>
        <w:tc>
          <w:tcPr>
            <w:tcW w:w="36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新建</w:t>
            </w:r>
          </w:p>
        </w:tc>
        <w:tc>
          <w:tcPr>
            <w:tcW w:w="5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2023-2025</w:t>
            </w:r>
          </w:p>
        </w:tc>
        <w:tc>
          <w:tcPr>
            <w:tcW w:w="474"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112.5公顷</w:t>
            </w:r>
          </w:p>
        </w:tc>
        <w:tc>
          <w:tcPr>
            <w:tcW w:w="57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c>
          <w:tcPr>
            <w:tcW w:w="851"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r>
      <w:tr>
        <w:tblPrEx>
          <w:tblCellMar>
            <w:top w:w="0" w:type="dxa"/>
            <w:left w:w="108" w:type="dxa"/>
            <w:bottom w:w="0" w:type="dxa"/>
            <w:right w:w="108" w:type="dxa"/>
          </w:tblCellMar>
        </w:tblPrEx>
        <w:trPr>
          <w:trHeight w:val="270" w:hRule="atLeast"/>
        </w:trPr>
        <w:tc>
          <w:tcPr>
            <w:tcW w:w="191" w:type="pct"/>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color w:val="000000"/>
                <w:kern w:val="0"/>
                <w:szCs w:val="21"/>
              </w:rPr>
            </w:pPr>
          </w:p>
        </w:tc>
        <w:tc>
          <w:tcPr>
            <w:tcW w:w="191"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p>
        </w:tc>
        <w:tc>
          <w:tcPr>
            <w:tcW w:w="181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大英县象山镇凤阳村乡村振兴示范村道路改建工程</w:t>
            </w:r>
          </w:p>
        </w:tc>
        <w:tc>
          <w:tcPr>
            <w:tcW w:w="36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改建</w:t>
            </w:r>
          </w:p>
        </w:tc>
        <w:tc>
          <w:tcPr>
            <w:tcW w:w="5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2023-2025</w:t>
            </w:r>
          </w:p>
        </w:tc>
        <w:tc>
          <w:tcPr>
            <w:tcW w:w="474"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57.38公顷</w:t>
            </w:r>
          </w:p>
        </w:tc>
        <w:tc>
          <w:tcPr>
            <w:tcW w:w="57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象山镇</w:t>
            </w:r>
          </w:p>
        </w:tc>
        <w:tc>
          <w:tcPr>
            <w:tcW w:w="851"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r>
      <w:tr>
        <w:tblPrEx>
          <w:tblCellMar>
            <w:top w:w="0" w:type="dxa"/>
            <w:left w:w="108" w:type="dxa"/>
            <w:bottom w:w="0" w:type="dxa"/>
            <w:right w:w="108" w:type="dxa"/>
          </w:tblCellMar>
        </w:tblPrEx>
        <w:trPr>
          <w:trHeight w:val="270" w:hRule="atLeast"/>
        </w:trPr>
        <w:tc>
          <w:tcPr>
            <w:tcW w:w="191"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产业服务</w:t>
            </w:r>
            <w:r>
              <w:rPr>
                <w:rFonts w:hint="eastAsia" w:cs="宋体" w:asciiTheme="minorEastAsia" w:hAnsiTheme="minorEastAsia"/>
                <w:color w:val="000000"/>
                <w:kern w:val="0"/>
                <w:szCs w:val="21"/>
              </w:rPr>
              <w:br w:type="textWrapping"/>
            </w:r>
            <w:r>
              <w:rPr>
                <w:rFonts w:hint="eastAsia" w:cs="宋体" w:asciiTheme="minorEastAsia" w:hAnsiTheme="minorEastAsia"/>
                <w:color w:val="000000"/>
                <w:kern w:val="0"/>
                <w:szCs w:val="21"/>
              </w:rPr>
              <w:t>29</w:t>
            </w:r>
          </w:p>
        </w:tc>
        <w:tc>
          <w:tcPr>
            <w:tcW w:w="191"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p>
        </w:tc>
        <w:tc>
          <w:tcPr>
            <w:tcW w:w="1818"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大英县现代农业园区补短板建设项目</w:t>
            </w:r>
          </w:p>
        </w:tc>
        <w:tc>
          <w:tcPr>
            <w:tcW w:w="36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改建</w:t>
            </w:r>
          </w:p>
        </w:tc>
        <w:tc>
          <w:tcPr>
            <w:tcW w:w="5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2023-2025</w:t>
            </w:r>
          </w:p>
        </w:tc>
        <w:tc>
          <w:tcPr>
            <w:tcW w:w="474"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p>
        </w:tc>
        <w:tc>
          <w:tcPr>
            <w:tcW w:w="57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玉峰镇</w:t>
            </w:r>
          </w:p>
        </w:tc>
        <w:tc>
          <w:tcPr>
            <w:tcW w:w="851"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r>
      <w:tr>
        <w:tblPrEx>
          <w:tblCellMar>
            <w:top w:w="0" w:type="dxa"/>
            <w:left w:w="108" w:type="dxa"/>
            <w:bottom w:w="0" w:type="dxa"/>
            <w:right w:w="108" w:type="dxa"/>
          </w:tblCellMar>
        </w:tblPrEx>
        <w:trPr>
          <w:trHeight w:val="270" w:hRule="atLeast"/>
        </w:trPr>
        <w:tc>
          <w:tcPr>
            <w:tcW w:w="191" w:type="pct"/>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color w:val="000000"/>
                <w:kern w:val="0"/>
                <w:szCs w:val="21"/>
              </w:rPr>
            </w:pPr>
          </w:p>
        </w:tc>
        <w:tc>
          <w:tcPr>
            <w:tcW w:w="191"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p>
        </w:tc>
        <w:tc>
          <w:tcPr>
            <w:tcW w:w="1818"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河边镇种养循环基地</w:t>
            </w:r>
          </w:p>
        </w:tc>
        <w:tc>
          <w:tcPr>
            <w:tcW w:w="36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改建</w:t>
            </w:r>
          </w:p>
        </w:tc>
        <w:tc>
          <w:tcPr>
            <w:tcW w:w="5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2022-2025</w:t>
            </w:r>
          </w:p>
        </w:tc>
        <w:tc>
          <w:tcPr>
            <w:tcW w:w="474"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15.93公顷</w:t>
            </w:r>
          </w:p>
        </w:tc>
        <w:tc>
          <w:tcPr>
            <w:tcW w:w="57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河边坤龙村</w:t>
            </w:r>
          </w:p>
        </w:tc>
        <w:tc>
          <w:tcPr>
            <w:tcW w:w="851"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r>
      <w:tr>
        <w:tblPrEx>
          <w:tblCellMar>
            <w:top w:w="0" w:type="dxa"/>
            <w:left w:w="108" w:type="dxa"/>
            <w:bottom w:w="0" w:type="dxa"/>
            <w:right w:w="108" w:type="dxa"/>
          </w:tblCellMar>
        </w:tblPrEx>
        <w:trPr>
          <w:trHeight w:val="270" w:hRule="atLeast"/>
        </w:trPr>
        <w:tc>
          <w:tcPr>
            <w:tcW w:w="191" w:type="pct"/>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color w:val="000000"/>
                <w:kern w:val="0"/>
                <w:szCs w:val="21"/>
              </w:rPr>
            </w:pPr>
          </w:p>
        </w:tc>
        <w:tc>
          <w:tcPr>
            <w:tcW w:w="191"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p>
        </w:tc>
        <w:tc>
          <w:tcPr>
            <w:tcW w:w="1818"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河边镇商贸物流农产品集散中心</w:t>
            </w:r>
          </w:p>
        </w:tc>
        <w:tc>
          <w:tcPr>
            <w:tcW w:w="36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新建</w:t>
            </w:r>
          </w:p>
        </w:tc>
        <w:tc>
          <w:tcPr>
            <w:tcW w:w="5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2022-2025</w:t>
            </w:r>
          </w:p>
        </w:tc>
        <w:tc>
          <w:tcPr>
            <w:tcW w:w="474"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2.74公顷</w:t>
            </w:r>
          </w:p>
        </w:tc>
        <w:tc>
          <w:tcPr>
            <w:tcW w:w="57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三块碑村</w:t>
            </w:r>
          </w:p>
        </w:tc>
        <w:tc>
          <w:tcPr>
            <w:tcW w:w="851"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r>
      <w:tr>
        <w:tblPrEx>
          <w:tblCellMar>
            <w:top w:w="0" w:type="dxa"/>
            <w:left w:w="108" w:type="dxa"/>
            <w:bottom w:w="0" w:type="dxa"/>
            <w:right w:w="108" w:type="dxa"/>
          </w:tblCellMar>
        </w:tblPrEx>
        <w:trPr>
          <w:trHeight w:val="270" w:hRule="atLeast"/>
        </w:trPr>
        <w:tc>
          <w:tcPr>
            <w:tcW w:w="191" w:type="pct"/>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color w:val="000000"/>
                <w:kern w:val="0"/>
                <w:szCs w:val="21"/>
              </w:rPr>
            </w:pPr>
          </w:p>
        </w:tc>
        <w:tc>
          <w:tcPr>
            <w:tcW w:w="191"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p>
        </w:tc>
        <w:tc>
          <w:tcPr>
            <w:tcW w:w="1818"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河边镇中医医疗康养中心建设</w:t>
            </w:r>
          </w:p>
        </w:tc>
        <w:tc>
          <w:tcPr>
            <w:tcW w:w="36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新建</w:t>
            </w:r>
          </w:p>
        </w:tc>
        <w:tc>
          <w:tcPr>
            <w:tcW w:w="5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2022-2025</w:t>
            </w:r>
          </w:p>
        </w:tc>
        <w:tc>
          <w:tcPr>
            <w:tcW w:w="474"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2.09公顷</w:t>
            </w:r>
          </w:p>
        </w:tc>
        <w:tc>
          <w:tcPr>
            <w:tcW w:w="57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三块碑村</w:t>
            </w:r>
          </w:p>
        </w:tc>
        <w:tc>
          <w:tcPr>
            <w:tcW w:w="851"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r>
      <w:tr>
        <w:tblPrEx>
          <w:tblCellMar>
            <w:top w:w="0" w:type="dxa"/>
            <w:left w:w="108" w:type="dxa"/>
            <w:bottom w:w="0" w:type="dxa"/>
            <w:right w:w="108" w:type="dxa"/>
          </w:tblCellMar>
        </w:tblPrEx>
        <w:trPr>
          <w:trHeight w:val="270" w:hRule="atLeast"/>
        </w:trPr>
        <w:tc>
          <w:tcPr>
            <w:tcW w:w="191" w:type="pct"/>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color w:val="000000"/>
                <w:kern w:val="0"/>
                <w:szCs w:val="21"/>
              </w:rPr>
            </w:pPr>
          </w:p>
        </w:tc>
        <w:tc>
          <w:tcPr>
            <w:tcW w:w="191"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p>
        </w:tc>
        <w:tc>
          <w:tcPr>
            <w:tcW w:w="1818"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大英县河边镇应急联动中心</w:t>
            </w:r>
          </w:p>
        </w:tc>
        <w:tc>
          <w:tcPr>
            <w:tcW w:w="36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新建</w:t>
            </w:r>
          </w:p>
        </w:tc>
        <w:tc>
          <w:tcPr>
            <w:tcW w:w="5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2022-2025</w:t>
            </w:r>
          </w:p>
        </w:tc>
        <w:tc>
          <w:tcPr>
            <w:tcW w:w="474"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1.62公顷</w:t>
            </w:r>
          </w:p>
        </w:tc>
        <w:tc>
          <w:tcPr>
            <w:tcW w:w="57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经义村</w:t>
            </w:r>
          </w:p>
        </w:tc>
        <w:tc>
          <w:tcPr>
            <w:tcW w:w="851"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r>
      <w:tr>
        <w:tblPrEx>
          <w:tblCellMar>
            <w:top w:w="0" w:type="dxa"/>
            <w:left w:w="108" w:type="dxa"/>
            <w:bottom w:w="0" w:type="dxa"/>
            <w:right w:w="108" w:type="dxa"/>
          </w:tblCellMar>
        </w:tblPrEx>
        <w:trPr>
          <w:trHeight w:val="270" w:hRule="atLeast"/>
        </w:trPr>
        <w:tc>
          <w:tcPr>
            <w:tcW w:w="191" w:type="pct"/>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color w:val="000000"/>
                <w:kern w:val="0"/>
                <w:szCs w:val="21"/>
              </w:rPr>
            </w:pPr>
          </w:p>
        </w:tc>
        <w:tc>
          <w:tcPr>
            <w:tcW w:w="191"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p>
        </w:tc>
        <w:tc>
          <w:tcPr>
            <w:tcW w:w="181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坤龙村农产品加工储藏基地</w:t>
            </w:r>
          </w:p>
        </w:tc>
        <w:tc>
          <w:tcPr>
            <w:tcW w:w="36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新建</w:t>
            </w:r>
          </w:p>
        </w:tc>
        <w:tc>
          <w:tcPr>
            <w:tcW w:w="5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2022-2025</w:t>
            </w:r>
          </w:p>
        </w:tc>
        <w:tc>
          <w:tcPr>
            <w:tcW w:w="474"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1.46公顷</w:t>
            </w:r>
          </w:p>
        </w:tc>
        <w:tc>
          <w:tcPr>
            <w:tcW w:w="57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坤龙村</w:t>
            </w:r>
          </w:p>
        </w:tc>
        <w:tc>
          <w:tcPr>
            <w:tcW w:w="851"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r>
      <w:tr>
        <w:tblPrEx>
          <w:tblCellMar>
            <w:top w:w="0" w:type="dxa"/>
            <w:left w:w="108" w:type="dxa"/>
            <w:bottom w:w="0" w:type="dxa"/>
            <w:right w:w="108" w:type="dxa"/>
          </w:tblCellMar>
        </w:tblPrEx>
        <w:trPr>
          <w:trHeight w:val="270" w:hRule="atLeast"/>
        </w:trPr>
        <w:tc>
          <w:tcPr>
            <w:tcW w:w="191" w:type="pct"/>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color w:val="000000"/>
                <w:kern w:val="0"/>
                <w:szCs w:val="21"/>
              </w:rPr>
            </w:pPr>
          </w:p>
        </w:tc>
        <w:tc>
          <w:tcPr>
            <w:tcW w:w="191"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p>
        </w:tc>
        <w:tc>
          <w:tcPr>
            <w:tcW w:w="181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坤龙村农产品加工</w:t>
            </w:r>
          </w:p>
        </w:tc>
        <w:tc>
          <w:tcPr>
            <w:tcW w:w="36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新建</w:t>
            </w:r>
          </w:p>
        </w:tc>
        <w:tc>
          <w:tcPr>
            <w:tcW w:w="5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2022-2025</w:t>
            </w:r>
          </w:p>
        </w:tc>
        <w:tc>
          <w:tcPr>
            <w:tcW w:w="474"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1.01公顷</w:t>
            </w:r>
          </w:p>
        </w:tc>
        <w:tc>
          <w:tcPr>
            <w:tcW w:w="57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坤龙村</w:t>
            </w:r>
          </w:p>
        </w:tc>
        <w:tc>
          <w:tcPr>
            <w:tcW w:w="851"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r>
      <w:tr>
        <w:tblPrEx>
          <w:tblCellMar>
            <w:top w:w="0" w:type="dxa"/>
            <w:left w:w="108" w:type="dxa"/>
            <w:bottom w:w="0" w:type="dxa"/>
            <w:right w:w="108" w:type="dxa"/>
          </w:tblCellMar>
        </w:tblPrEx>
        <w:trPr>
          <w:trHeight w:val="270" w:hRule="atLeast"/>
        </w:trPr>
        <w:tc>
          <w:tcPr>
            <w:tcW w:w="191" w:type="pct"/>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color w:val="000000"/>
                <w:kern w:val="0"/>
                <w:szCs w:val="21"/>
              </w:rPr>
            </w:pPr>
          </w:p>
        </w:tc>
        <w:tc>
          <w:tcPr>
            <w:tcW w:w="191"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p>
        </w:tc>
        <w:tc>
          <w:tcPr>
            <w:tcW w:w="1818"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三块碑村冷链基地</w:t>
            </w:r>
          </w:p>
        </w:tc>
        <w:tc>
          <w:tcPr>
            <w:tcW w:w="36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新建</w:t>
            </w:r>
          </w:p>
        </w:tc>
        <w:tc>
          <w:tcPr>
            <w:tcW w:w="5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2022-2025</w:t>
            </w:r>
          </w:p>
        </w:tc>
        <w:tc>
          <w:tcPr>
            <w:tcW w:w="474"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1.32公顷</w:t>
            </w:r>
          </w:p>
        </w:tc>
        <w:tc>
          <w:tcPr>
            <w:tcW w:w="57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三块碑村</w:t>
            </w:r>
          </w:p>
        </w:tc>
        <w:tc>
          <w:tcPr>
            <w:tcW w:w="851"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r>
      <w:tr>
        <w:tblPrEx>
          <w:tblCellMar>
            <w:top w:w="0" w:type="dxa"/>
            <w:left w:w="108" w:type="dxa"/>
            <w:bottom w:w="0" w:type="dxa"/>
            <w:right w:w="108" w:type="dxa"/>
          </w:tblCellMar>
        </w:tblPrEx>
        <w:trPr>
          <w:trHeight w:val="270" w:hRule="atLeast"/>
        </w:trPr>
        <w:tc>
          <w:tcPr>
            <w:tcW w:w="191" w:type="pct"/>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color w:val="000000"/>
                <w:kern w:val="0"/>
                <w:szCs w:val="21"/>
              </w:rPr>
            </w:pPr>
          </w:p>
        </w:tc>
        <w:tc>
          <w:tcPr>
            <w:tcW w:w="191"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p>
        </w:tc>
        <w:tc>
          <w:tcPr>
            <w:tcW w:w="181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河边镇集散中心</w:t>
            </w:r>
          </w:p>
        </w:tc>
        <w:tc>
          <w:tcPr>
            <w:tcW w:w="36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新建</w:t>
            </w:r>
          </w:p>
        </w:tc>
        <w:tc>
          <w:tcPr>
            <w:tcW w:w="5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2022-2025</w:t>
            </w:r>
          </w:p>
        </w:tc>
        <w:tc>
          <w:tcPr>
            <w:tcW w:w="474"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4.4公顷</w:t>
            </w:r>
          </w:p>
        </w:tc>
        <w:tc>
          <w:tcPr>
            <w:tcW w:w="57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前进村</w:t>
            </w:r>
          </w:p>
        </w:tc>
        <w:tc>
          <w:tcPr>
            <w:tcW w:w="851"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r>
      <w:tr>
        <w:tblPrEx>
          <w:tblCellMar>
            <w:top w:w="0" w:type="dxa"/>
            <w:left w:w="108" w:type="dxa"/>
            <w:bottom w:w="0" w:type="dxa"/>
            <w:right w:w="108" w:type="dxa"/>
          </w:tblCellMar>
        </w:tblPrEx>
        <w:trPr>
          <w:trHeight w:val="270" w:hRule="atLeast"/>
        </w:trPr>
        <w:tc>
          <w:tcPr>
            <w:tcW w:w="191" w:type="pct"/>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color w:val="000000"/>
                <w:kern w:val="0"/>
                <w:szCs w:val="21"/>
              </w:rPr>
            </w:pPr>
          </w:p>
        </w:tc>
        <w:tc>
          <w:tcPr>
            <w:tcW w:w="191"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p>
        </w:tc>
        <w:tc>
          <w:tcPr>
            <w:tcW w:w="181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石山村冷藏保鲜</w:t>
            </w:r>
          </w:p>
        </w:tc>
        <w:tc>
          <w:tcPr>
            <w:tcW w:w="36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新建</w:t>
            </w:r>
          </w:p>
        </w:tc>
        <w:tc>
          <w:tcPr>
            <w:tcW w:w="5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2022-2025</w:t>
            </w:r>
          </w:p>
        </w:tc>
        <w:tc>
          <w:tcPr>
            <w:tcW w:w="474"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0.69公顷</w:t>
            </w:r>
          </w:p>
        </w:tc>
        <w:tc>
          <w:tcPr>
            <w:tcW w:w="57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石山村</w:t>
            </w:r>
          </w:p>
        </w:tc>
        <w:tc>
          <w:tcPr>
            <w:tcW w:w="851"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r>
      <w:tr>
        <w:tblPrEx>
          <w:tblCellMar>
            <w:top w:w="0" w:type="dxa"/>
            <w:left w:w="108" w:type="dxa"/>
            <w:bottom w:w="0" w:type="dxa"/>
            <w:right w:w="108" w:type="dxa"/>
          </w:tblCellMar>
        </w:tblPrEx>
        <w:trPr>
          <w:trHeight w:val="270" w:hRule="atLeast"/>
        </w:trPr>
        <w:tc>
          <w:tcPr>
            <w:tcW w:w="191" w:type="pct"/>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color w:val="000000"/>
                <w:kern w:val="0"/>
                <w:szCs w:val="21"/>
              </w:rPr>
            </w:pPr>
          </w:p>
        </w:tc>
        <w:tc>
          <w:tcPr>
            <w:tcW w:w="191"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p>
        </w:tc>
        <w:tc>
          <w:tcPr>
            <w:tcW w:w="181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前进村冷藏保鲜</w:t>
            </w:r>
          </w:p>
        </w:tc>
        <w:tc>
          <w:tcPr>
            <w:tcW w:w="36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新建</w:t>
            </w:r>
          </w:p>
        </w:tc>
        <w:tc>
          <w:tcPr>
            <w:tcW w:w="5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2022-2025</w:t>
            </w:r>
          </w:p>
        </w:tc>
        <w:tc>
          <w:tcPr>
            <w:tcW w:w="474"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0.41公顷</w:t>
            </w:r>
          </w:p>
        </w:tc>
        <w:tc>
          <w:tcPr>
            <w:tcW w:w="57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前进村</w:t>
            </w:r>
          </w:p>
        </w:tc>
        <w:tc>
          <w:tcPr>
            <w:tcW w:w="851"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r>
      <w:tr>
        <w:tblPrEx>
          <w:tblCellMar>
            <w:top w:w="0" w:type="dxa"/>
            <w:left w:w="108" w:type="dxa"/>
            <w:bottom w:w="0" w:type="dxa"/>
            <w:right w:w="108" w:type="dxa"/>
          </w:tblCellMar>
        </w:tblPrEx>
        <w:trPr>
          <w:trHeight w:val="270" w:hRule="atLeast"/>
        </w:trPr>
        <w:tc>
          <w:tcPr>
            <w:tcW w:w="191" w:type="pct"/>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color w:val="000000"/>
                <w:kern w:val="0"/>
                <w:szCs w:val="21"/>
              </w:rPr>
            </w:pPr>
          </w:p>
        </w:tc>
        <w:tc>
          <w:tcPr>
            <w:tcW w:w="191"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p>
        </w:tc>
        <w:tc>
          <w:tcPr>
            <w:tcW w:w="181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柠檬深加工</w:t>
            </w:r>
          </w:p>
        </w:tc>
        <w:tc>
          <w:tcPr>
            <w:tcW w:w="36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新建</w:t>
            </w:r>
          </w:p>
        </w:tc>
        <w:tc>
          <w:tcPr>
            <w:tcW w:w="5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2022-2025</w:t>
            </w:r>
          </w:p>
        </w:tc>
        <w:tc>
          <w:tcPr>
            <w:tcW w:w="474"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0.41公顷</w:t>
            </w:r>
          </w:p>
        </w:tc>
        <w:tc>
          <w:tcPr>
            <w:tcW w:w="57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前进村</w:t>
            </w:r>
          </w:p>
        </w:tc>
        <w:tc>
          <w:tcPr>
            <w:tcW w:w="851"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r>
      <w:tr>
        <w:tblPrEx>
          <w:tblCellMar>
            <w:top w:w="0" w:type="dxa"/>
            <w:left w:w="108" w:type="dxa"/>
            <w:bottom w:w="0" w:type="dxa"/>
            <w:right w:w="108" w:type="dxa"/>
          </w:tblCellMar>
        </w:tblPrEx>
        <w:trPr>
          <w:trHeight w:val="270" w:hRule="atLeast"/>
        </w:trPr>
        <w:tc>
          <w:tcPr>
            <w:tcW w:w="191" w:type="pct"/>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color w:val="000000"/>
                <w:kern w:val="0"/>
                <w:szCs w:val="21"/>
              </w:rPr>
            </w:pPr>
          </w:p>
        </w:tc>
        <w:tc>
          <w:tcPr>
            <w:tcW w:w="191"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p>
        </w:tc>
        <w:tc>
          <w:tcPr>
            <w:tcW w:w="1818"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牌坊村粮油烘干加工</w:t>
            </w:r>
          </w:p>
        </w:tc>
        <w:tc>
          <w:tcPr>
            <w:tcW w:w="36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新建</w:t>
            </w:r>
          </w:p>
        </w:tc>
        <w:tc>
          <w:tcPr>
            <w:tcW w:w="5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2022-2025</w:t>
            </w:r>
          </w:p>
        </w:tc>
        <w:tc>
          <w:tcPr>
            <w:tcW w:w="474"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0.89公顷</w:t>
            </w:r>
          </w:p>
        </w:tc>
        <w:tc>
          <w:tcPr>
            <w:tcW w:w="57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牌坊村</w:t>
            </w:r>
          </w:p>
        </w:tc>
        <w:tc>
          <w:tcPr>
            <w:tcW w:w="851"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r>
      <w:tr>
        <w:tblPrEx>
          <w:tblCellMar>
            <w:top w:w="0" w:type="dxa"/>
            <w:left w:w="108" w:type="dxa"/>
            <w:bottom w:w="0" w:type="dxa"/>
            <w:right w:w="108" w:type="dxa"/>
          </w:tblCellMar>
        </w:tblPrEx>
        <w:trPr>
          <w:trHeight w:val="270" w:hRule="atLeast"/>
        </w:trPr>
        <w:tc>
          <w:tcPr>
            <w:tcW w:w="191" w:type="pct"/>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color w:val="000000"/>
                <w:kern w:val="0"/>
                <w:szCs w:val="21"/>
              </w:rPr>
            </w:pPr>
          </w:p>
        </w:tc>
        <w:tc>
          <w:tcPr>
            <w:tcW w:w="191"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p>
        </w:tc>
        <w:tc>
          <w:tcPr>
            <w:tcW w:w="1818"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三溪村农事服务中心</w:t>
            </w:r>
          </w:p>
        </w:tc>
        <w:tc>
          <w:tcPr>
            <w:tcW w:w="36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新建</w:t>
            </w:r>
          </w:p>
        </w:tc>
        <w:tc>
          <w:tcPr>
            <w:tcW w:w="5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2022-2025</w:t>
            </w:r>
          </w:p>
        </w:tc>
        <w:tc>
          <w:tcPr>
            <w:tcW w:w="474"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1.87公顷</w:t>
            </w:r>
          </w:p>
        </w:tc>
        <w:tc>
          <w:tcPr>
            <w:tcW w:w="57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象山三溪村</w:t>
            </w:r>
          </w:p>
        </w:tc>
        <w:tc>
          <w:tcPr>
            <w:tcW w:w="851"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r>
      <w:tr>
        <w:tblPrEx>
          <w:tblCellMar>
            <w:top w:w="0" w:type="dxa"/>
            <w:left w:w="108" w:type="dxa"/>
            <w:bottom w:w="0" w:type="dxa"/>
            <w:right w:w="108" w:type="dxa"/>
          </w:tblCellMar>
        </w:tblPrEx>
        <w:trPr>
          <w:trHeight w:val="270" w:hRule="atLeast"/>
        </w:trPr>
        <w:tc>
          <w:tcPr>
            <w:tcW w:w="191" w:type="pct"/>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color w:val="000000"/>
                <w:kern w:val="0"/>
                <w:szCs w:val="21"/>
              </w:rPr>
            </w:pPr>
          </w:p>
        </w:tc>
        <w:tc>
          <w:tcPr>
            <w:tcW w:w="191"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p>
        </w:tc>
        <w:tc>
          <w:tcPr>
            <w:tcW w:w="181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文龙村农事服务中心</w:t>
            </w:r>
          </w:p>
        </w:tc>
        <w:tc>
          <w:tcPr>
            <w:tcW w:w="36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新建</w:t>
            </w:r>
          </w:p>
        </w:tc>
        <w:tc>
          <w:tcPr>
            <w:tcW w:w="5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2022-2025</w:t>
            </w:r>
          </w:p>
        </w:tc>
        <w:tc>
          <w:tcPr>
            <w:tcW w:w="474"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2.91公顷</w:t>
            </w:r>
          </w:p>
        </w:tc>
        <w:tc>
          <w:tcPr>
            <w:tcW w:w="57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文龙村</w:t>
            </w:r>
          </w:p>
        </w:tc>
        <w:tc>
          <w:tcPr>
            <w:tcW w:w="851"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r>
      <w:tr>
        <w:tblPrEx>
          <w:tblCellMar>
            <w:top w:w="0" w:type="dxa"/>
            <w:left w:w="108" w:type="dxa"/>
            <w:bottom w:w="0" w:type="dxa"/>
            <w:right w:w="108" w:type="dxa"/>
          </w:tblCellMar>
        </w:tblPrEx>
        <w:trPr>
          <w:trHeight w:val="270" w:hRule="atLeast"/>
        </w:trPr>
        <w:tc>
          <w:tcPr>
            <w:tcW w:w="191" w:type="pct"/>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color w:val="000000"/>
                <w:kern w:val="0"/>
                <w:szCs w:val="21"/>
              </w:rPr>
            </w:pPr>
          </w:p>
        </w:tc>
        <w:tc>
          <w:tcPr>
            <w:tcW w:w="191"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p>
        </w:tc>
        <w:tc>
          <w:tcPr>
            <w:tcW w:w="181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凤阳农耕体验园</w:t>
            </w:r>
          </w:p>
        </w:tc>
        <w:tc>
          <w:tcPr>
            <w:tcW w:w="36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续建</w:t>
            </w:r>
          </w:p>
        </w:tc>
        <w:tc>
          <w:tcPr>
            <w:tcW w:w="5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2022-2025</w:t>
            </w:r>
          </w:p>
        </w:tc>
        <w:tc>
          <w:tcPr>
            <w:tcW w:w="474"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1.21公顷</w:t>
            </w:r>
          </w:p>
        </w:tc>
        <w:tc>
          <w:tcPr>
            <w:tcW w:w="57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凤阳村</w:t>
            </w:r>
          </w:p>
        </w:tc>
        <w:tc>
          <w:tcPr>
            <w:tcW w:w="851"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r>
      <w:tr>
        <w:tblPrEx>
          <w:tblCellMar>
            <w:top w:w="0" w:type="dxa"/>
            <w:left w:w="108" w:type="dxa"/>
            <w:bottom w:w="0" w:type="dxa"/>
            <w:right w:w="108" w:type="dxa"/>
          </w:tblCellMar>
        </w:tblPrEx>
        <w:trPr>
          <w:trHeight w:val="270" w:hRule="atLeast"/>
        </w:trPr>
        <w:tc>
          <w:tcPr>
            <w:tcW w:w="191" w:type="pct"/>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color w:val="000000"/>
                <w:kern w:val="0"/>
                <w:szCs w:val="21"/>
              </w:rPr>
            </w:pPr>
          </w:p>
        </w:tc>
        <w:tc>
          <w:tcPr>
            <w:tcW w:w="191"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p>
        </w:tc>
        <w:tc>
          <w:tcPr>
            <w:tcW w:w="181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农粮转运中心</w:t>
            </w:r>
          </w:p>
        </w:tc>
        <w:tc>
          <w:tcPr>
            <w:tcW w:w="36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新建</w:t>
            </w:r>
          </w:p>
        </w:tc>
        <w:tc>
          <w:tcPr>
            <w:tcW w:w="5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2022-2025</w:t>
            </w:r>
          </w:p>
        </w:tc>
        <w:tc>
          <w:tcPr>
            <w:tcW w:w="474"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1.15公顷</w:t>
            </w:r>
          </w:p>
        </w:tc>
        <w:tc>
          <w:tcPr>
            <w:tcW w:w="57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冯家楼村</w:t>
            </w:r>
          </w:p>
        </w:tc>
        <w:tc>
          <w:tcPr>
            <w:tcW w:w="851"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r>
      <w:tr>
        <w:tblPrEx>
          <w:tblCellMar>
            <w:top w:w="0" w:type="dxa"/>
            <w:left w:w="108" w:type="dxa"/>
            <w:bottom w:w="0" w:type="dxa"/>
            <w:right w:w="108" w:type="dxa"/>
          </w:tblCellMar>
        </w:tblPrEx>
        <w:trPr>
          <w:trHeight w:val="270" w:hRule="atLeast"/>
        </w:trPr>
        <w:tc>
          <w:tcPr>
            <w:tcW w:w="191" w:type="pct"/>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color w:val="000000"/>
                <w:kern w:val="0"/>
                <w:szCs w:val="21"/>
              </w:rPr>
            </w:pPr>
          </w:p>
        </w:tc>
        <w:tc>
          <w:tcPr>
            <w:tcW w:w="191"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p>
        </w:tc>
        <w:tc>
          <w:tcPr>
            <w:tcW w:w="181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永乐村农事服务中心</w:t>
            </w:r>
          </w:p>
        </w:tc>
        <w:tc>
          <w:tcPr>
            <w:tcW w:w="36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新建</w:t>
            </w:r>
          </w:p>
        </w:tc>
        <w:tc>
          <w:tcPr>
            <w:tcW w:w="5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2022-2025</w:t>
            </w:r>
          </w:p>
        </w:tc>
        <w:tc>
          <w:tcPr>
            <w:tcW w:w="474"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4.45公顷</w:t>
            </w:r>
          </w:p>
        </w:tc>
        <w:tc>
          <w:tcPr>
            <w:tcW w:w="57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永乐村</w:t>
            </w:r>
          </w:p>
        </w:tc>
        <w:tc>
          <w:tcPr>
            <w:tcW w:w="851"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r>
      <w:tr>
        <w:tblPrEx>
          <w:tblCellMar>
            <w:top w:w="0" w:type="dxa"/>
            <w:left w:w="108" w:type="dxa"/>
            <w:bottom w:w="0" w:type="dxa"/>
            <w:right w:w="108" w:type="dxa"/>
          </w:tblCellMar>
        </w:tblPrEx>
        <w:trPr>
          <w:trHeight w:val="270" w:hRule="atLeast"/>
        </w:trPr>
        <w:tc>
          <w:tcPr>
            <w:tcW w:w="191" w:type="pct"/>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color w:val="000000"/>
                <w:kern w:val="0"/>
                <w:szCs w:val="21"/>
              </w:rPr>
            </w:pPr>
          </w:p>
        </w:tc>
        <w:tc>
          <w:tcPr>
            <w:tcW w:w="191"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p>
        </w:tc>
        <w:tc>
          <w:tcPr>
            <w:tcW w:w="181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象山镇加油站检核项目</w:t>
            </w:r>
          </w:p>
        </w:tc>
        <w:tc>
          <w:tcPr>
            <w:tcW w:w="36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新建</w:t>
            </w:r>
          </w:p>
        </w:tc>
        <w:tc>
          <w:tcPr>
            <w:tcW w:w="5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2022-2025</w:t>
            </w:r>
          </w:p>
        </w:tc>
        <w:tc>
          <w:tcPr>
            <w:tcW w:w="474"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0.99公顷</w:t>
            </w:r>
          </w:p>
        </w:tc>
        <w:tc>
          <w:tcPr>
            <w:tcW w:w="57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冯家楼村</w:t>
            </w:r>
          </w:p>
        </w:tc>
        <w:tc>
          <w:tcPr>
            <w:tcW w:w="851"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r>
      <w:tr>
        <w:tblPrEx>
          <w:tblCellMar>
            <w:top w:w="0" w:type="dxa"/>
            <w:left w:w="108" w:type="dxa"/>
            <w:bottom w:w="0" w:type="dxa"/>
            <w:right w:w="108" w:type="dxa"/>
          </w:tblCellMar>
        </w:tblPrEx>
        <w:trPr>
          <w:trHeight w:val="270" w:hRule="atLeast"/>
        </w:trPr>
        <w:tc>
          <w:tcPr>
            <w:tcW w:w="191" w:type="pct"/>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color w:val="000000"/>
                <w:kern w:val="0"/>
                <w:szCs w:val="21"/>
              </w:rPr>
            </w:pPr>
          </w:p>
        </w:tc>
        <w:tc>
          <w:tcPr>
            <w:tcW w:w="191"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p>
        </w:tc>
        <w:tc>
          <w:tcPr>
            <w:tcW w:w="181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永南坝村农事服务中心</w:t>
            </w:r>
          </w:p>
        </w:tc>
        <w:tc>
          <w:tcPr>
            <w:tcW w:w="36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新建</w:t>
            </w:r>
          </w:p>
        </w:tc>
        <w:tc>
          <w:tcPr>
            <w:tcW w:w="5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2022-2025</w:t>
            </w:r>
          </w:p>
        </w:tc>
        <w:tc>
          <w:tcPr>
            <w:tcW w:w="474"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3.32公顷</w:t>
            </w:r>
          </w:p>
        </w:tc>
        <w:tc>
          <w:tcPr>
            <w:tcW w:w="57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永南坝村</w:t>
            </w:r>
          </w:p>
        </w:tc>
        <w:tc>
          <w:tcPr>
            <w:tcW w:w="851"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r>
      <w:tr>
        <w:tblPrEx>
          <w:tblCellMar>
            <w:top w:w="0" w:type="dxa"/>
            <w:left w:w="108" w:type="dxa"/>
            <w:bottom w:w="0" w:type="dxa"/>
            <w:right w:w="108" w:type="dxa"/>
          </w:tblCellMar>
        </w:tblPrEx>
        <w:trPr>
          <w:trHeight w:val="270" w:hRule="atLeast"/>
        </w:trPr>
        <w:tc>
          <w:tcPr>
            <w:tcW w:w="191" w:type="pct"/>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color w:val="000000"/>
                <w:kern w:val="0"/>
                <w:szCs w:val="21"/>
              </w:rPr>
            </w:pPr>
          </w:p>
        </w:tc>
        <w:tc>
          <w:tcPr>
            <w:tcW w:w="191"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p>
        </w:tc>
        <w:tc>
          <w:tcPr>
            <w:tcW w:w="181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智水农事服务中心</w:t>
            </w:r>
          </w:p>
        </w:tc>
        <w:tc>
          <w:tcPr>
            <w:tcW w:w="36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续建</w:t>
            </w:r>
          </w:p>
        </w:tc>
        <w:tc>
          <w:tcPr>
            <w:tcW w:w="5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2022-2025</w:t>
            </w:r>
          </w:p>
        </w:tc>
        <w:tc>
          <w:tcPr>
            <w:tcW w:w="474"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1.5公顷</w:t>
            </w:r>
          </w:p>
        </w:tc>
        <w:tc>
          <w:tcPr>
            <w:tcW w:w="57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玉峰镇智水村</w:t>
            </w:r>
          </w:p>
        </w:tc>
        <w:tc>
          <w:tcPr>
            <w:tcW w:w="851"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r>
      <w:tr>
        <w:tblPrEx>
          <w:tblCellMar>
            <w:top w:w="0" w:type="dxa"/>
            <w:left w:w="108" w:type="dxa"/>
            <w:bottom w:w="0" w:type="dxa"/>
            <w:right w:w="108" w:type="dxa"/>
          </w:tblCellMar>
        </w:tblPrEx>
        <w:trPr>
          <w:trHeight w:val="270" w:hRule="atLeast"/>
        </w:trPr>
        <w:tc>
          <w:tcPr>
            <w:tcW w:w="191" w:type="pct"/>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color w:val="000000"/>
                <w:kern w:val="0"/>
                <w:szCs w:val="21"/>
              </w:rPr>
            </w:pPr>
          </w:p>
        </w:tc>
        <w:tc>
          <w:tcPr>
            <w:tcW w:w="191"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p>
        </w:tc>
        <w:tc>
          <w:tcPr>
            <w:tcW w:w="181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斗笠乡村旅游</w:t>
            </w:r>
          </w:p>
        </w:tc>
        <w:tc>
          <w:tcPr>
            <w:tcW w:w="36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续建</w:t>
            </w:r>
          </w:p>
        </w:tc>
        <w:tc>
          <w:tcPr>
            <w:tcW w:w="5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2022-2025</w:t>
            </w:r>
          </w:p>
        </w:tc>
        <w:tc>
          <w:tcPr>
            <w:tcW w:w="474"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8.94公顷</w:t>
            </w:r>
          </w:p>
        </w:tc>
        <w:tc>
          <w:tcPr>
            <w:tcW w:w="57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斗笠村、指石河村</w:t>
            </w:r>
          </w:p>
        </w:tc>
        <w:tc>
          <w:tcPr>
            <w:tcW w:w="851"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r>
      <w:tr>
        <w:tblPrEx>
          <w:tblCellMar>
            <w:top w:w="0" w:type="dxa"/>
            <w:left w:w="108" w:type="dxa"/>
            <w:bottom w:w="0" w:type="dxa"/>
            <w:right w:w="108" w:type="dxa"/>
          </w:tblCellMar>
        </w:tblPrEx>
        <w:trPr>
          <w:trHeight w:val="270" w:hRule="atLeast"/>
        </w:trPr>
        <w:tc>
          <w:tcPr>
            <w:tcW w:w="191" w:type="pct"/>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color w:val="000000"/>
                <w:kern w:val="0"/>
                <w:szCs w:val="21"/>
              </w:rPr>
            </w:pPr>
          </w:p>
        </w:tc>
        <w:tc>
          <w:tcPr>
            <w:tcW w:w="191"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p>
        </w:tc>
        <w:tc>
          <w:tcPr>
            <w:tcW w:w="181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玉峰医养结合中心</w:t>
            </w:r>
          </w:p>
        </w:tc>
        <w:tc>
          <w:tcPr>
            <w:tcW w:w="36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新建</w:t>
            </w:r>
          </w:p>
        </w:tc>
        <w:tc>
          <w:tcPr>
            <w:tcW w:w="5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2022-2025</w:t>
            </w:r>
          </w:p>
        </w:tc>
        <w:tc>
          <w:tcPr>
            <w:tcW w:w="474"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1.22公顷</w:t>
            </w:r>
          </w:p>
        </w:tc>
        <w:tc>
          <w:tcPr>
            <w:tcW w:w="57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玉峰村村</w:t>
            </w:r>
          </w:p>
        </w:tc>
        <w:tc>
          <w:tcPr>
            <w:tcW w:w="851"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r>
      <w:tr>
        <w:tblPrEx>
          <w:tblCellMar>
            <w:top w:w="0" w:type="dxa"/>
            <w:left w:w="108" w:type="dxa"/>
            <w:bottom w:w="0" w:type="dxa"/>
            <w:right w:w="108" w:type="dxa"/>
          </w:tblCellMar>
        </w:tblPrEx>
        <w:trPr>
          <w:trHeight w:val="270" w:hRule="atLeast"/>
        </w:trPr>
        <w:tc>
          <w:tcPr>
            <w:tcW w:w="191" w:type="pct"/>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color w:val="000000"/>
                <w:kern w:val="0"/>
                <w:szCs w:val="21"/>
              </w:rPr>
            </w:pPr>
          </w:p>
        </w:tc>
        <w:tc>
          <w:tcPr>
            <w:tcW w:w="191"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p>
        </w:tc>
        <w:tc>
          <w:tcPr>
            <w:tcW w:w="181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得鱼沟村乡村旅游项目</w:t>
            </w:r>
          </w:p>
        </w:tc>
        <w:tc>
          <w:tcPr>
            <w:tcW w:w="36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新建</w:t>
            </w:r>
          </w:p>
        </w:tc>
        <w:tc>
          <w:tcPr>
            <w:tcW w:w="5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2022-2025</w:t>
            </w:r>
          </w:p>
        </w:tc>
        <w:tc>
          <w:tcPr>
            <w:tcW w:w="474"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2.74公顷</w:t>
            </w:r>
          </w:p>
        </w:tc>
        <w:tc>
          <w:tcPr>
            <w:tcW w:w="57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得鱼沟村</w:t>
            </w:r>
          </w:p>
        </w:tc>
        <w:tc>
          <w:tcPr>
            <w:tcW w:w="851"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r>
      <w:tr>
        <w:tblPrEx>
          <w:tblCellMar>
            <w:top w:w="0" w:type="dxa"/>
            <w:left w:w="108" w:type="dxa"/>
            <w:bottom w:w="0" w:type="dxa"/>
            <w:right w:w="108" w:type="dxa"/>
          </w:tblCellMar>
        </w:tblPrEx>
        <w:trPr>
          <w:trHeight w:val="270" w:hRule="atLeast"/>
        </w:trPr>
        <w:tc>
          <w:tcPr>
            <w:tcW w:w="191" w:type="pct"/>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color w:val="000000"/>
                <w:kern w:val="0"/>
                <w:szCs w:val="21"/>
              </w:rPr>
            </w:pPr>
          </w:p>
        </w:tc>
        <w:tc>
          <w:tcPr>
            <w:tcW w:w="191"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p>
        </w:tc>
        <w:tc>
          <w:tcPr>
            <w:tcW w:w="181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肖家沟村农机租赁</w:t>
            </w:r>
          </w:p>
        </w:tc>
        <w:tc>
          <w:tcPr>
            <w:tcW w:w="36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新建</w:t>
            </w:r>
          </w:p>
        </w:tc>
        <w:tc>
          <w:tcPr>
            <w:tcW w:w="5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2022-2025</w:t>
            </w:r>
          </w:p>
        </w:tc>
        <w:tc>
          <w:tcPr>
            <w:tcW w:w="474"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1.44公顷</w:t>
            </w:r>
          </w:p>
        </w:tc>
        <w:tc>
          <w:tcPr>
            <w:tcW w:w="57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肖家沟村</w:t>
            </w:r>
          </w:p>
        </w:tc>
        <w:tc>
          <w:tcPr>
            <w:tcW w:w="851"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r>
      <w:tr>
        <w:tblPrEx>
          <w:tblCellMar>
            <w:top w:w="0" w:type="dxa"/>
            <w:left w:w="108" w:type="dxa"/>
            <w:bottom w:w="0" w:type="dxa"/>
            <w:right w:w="108" w:type="dxa"/>
          </w:tblCellMar>
        </w:tblPrEx>
        <w:trPr>
          <w:trHeight w:val="270" w:hRule="atLeast"/>
        </w:trPr>
        <w:tc>
          <w:tcPr>
            <w:tcW w:w="191" w:type="pct"/>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color w:val="000000"/>
                <w:kern w:val="0"/>
                <w:szCs w:val="21"/>
              </w:rPr>
            </w:pPr>
          </w:p>
        </w:tc>
        <w:tc>
          <w:tcPr>
            <w:tcW w:w="191"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p>
        </w:tc>
        <w:tc>
          <w:tcPr>
            <w:tcW w:w="181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肖家沟村建材加工</w:t>
            </w:r>
          </w:p>
        </w:tc>
        <w:tc>
          <w:tcPr>
            <w:tcW w:w="36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新建</w:t>
            </w:r>
          </w:p>
        </w:tc>
        <w:tc>
          <w:tcPr>
            <w:tcW w:w="5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2022-2025</w:t>
            </w:r>
          </w:p>
        </w:tc>
        <w:tc>
          <w:tcPr>
            <w:tcW w:w="474"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1.25公顷</w:t>
            </w:r>
          </w:p>
        </w:tc>
        <w:tc>
          <w:tcPr>
            <w:tcW w:w="57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肖家沟村</w:t>
            </w:r>
          </w:p>
        </w:tc>
        <w:tc>
          <w:tcPr>
            <w:tcW w:w="851"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r>
      <w:tr>
        <w:tblPrEx>
          <w:tblCellMar>
            <w:top w:w="0" w:type="dxa"/>
            <w:left w:w="108" w:type="dxa"/>
            <w:bottom w:w="0" w:type="dxa"/>
            <w:right w:w="108" w:type="dxa"/>
          </w:tblCellMar>
        </w:tblPrEx>
        <w:trPr>
          <w:trHeight w:val="270" w:hRule="atLeast"/>
        </w:trPr>
        <w:tc>
          <w:tcPr>
            <w:tcW w:w="191" w:type="pct"/>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color w:val="000000"/>
                <w:kern w:val="0"/>
                <w:szCs w:val="21"/>
              </w:rPr>
            </w:pPr>
          </w:p>
        </w:tc>
        <w:tc>
          <w:tcPr>
            <w:tcW w:w="191"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p>
        </w:tc>
        <w:tc>
          <w:tcPr>
            <w:tcW w:w="181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河中井农副产品加工</w:t>
            </w:r>
          </w:p>
        </w:tc>
        <w:tc>
          <w:tcPr>
            <w:tcW w:w="36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新建</w:t>
            </w:r>
          </w:p>
        </w:tc>
        <w:tc>
          <w:tcPr>
            <w:tcW w:w="5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2022-2025</w:t>
            </w:r>
          </w:p>
        </w:tc>
        <w:tc>
          <w:tcPr>
            <w:tcW w:w="474"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0.66公顷</w:t>
            </w:r>
          </w:p>
        </w:tc>
        <w:tc>
          <w:tcPr>
            <w:tcW w:w="57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河中井村</w:t>
            </w:r>
          </w:p>
        </w:tc>
        <w:tc>
          <w:tcPr>
            <w:tcW w:w="851"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r>
      <w:tr>
        <w:tblPrEx>
          <w:tblCellMar>
            <w:top w:w="0" w:type="dxa"/>
            <w:left w:w="108" w:type="dxa"/>
            <w:bottom w:w="0" w:type="dxa"/>
            <w:right w:w="108" w:type="dxa"/>
          </w:tblCellMar>
        </w:tblPrEx>
        <w:trPr>
          <w:trHeight w:val="270" w:hRule="atLeast"/>
        </w:trPr>
        <w:tc>
          <w:tcPr>
            <w:tcW w:w="191" w:type="pct"/>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color w:val="000000"/>
                <w:kern w:val="0"/>
                <w:szCs w:val="21"/>
              </w:rPr>
            </w:pPr>
          </w:p>
        </w:tc>
        <w:tc>
          <w:tcPr>
            <w:tcW w:w="191"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p>
        </w:tc>
        <w:tc>
          <w:tcPr>
            <w:tcW w:w="181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团结村粮油储存和烘干</w:t>
            </w:r>
          </w:p>
        </w:tc>
        <w:tc>
          <w:tcPr>
            <w:tcW w:w="36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新建</w:t>
            </w:r>
          </w:p>
        </w:tc>
        <w:tc>
          <w:tcPr>
            <w:tcW w:w="5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2022-2025</w:t>
            </w:r>
          </w:p>
        </w:tc>
        <w:tc>
          <w:tcPr>
            <w:tcW w:w="474"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0.64公顷</w:t>
            </w:r>
          </w:p>
        </w:tc>
        <w:tc>
          <w:tcPr>
            <w:tcW w:w="57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团结村</w:t>
            </w:r>
          </w:p>
        </w:tc>
        <w:tc>
          <w:tcPr>
            <w:tcW w:w="851"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r>
      <w:tr>
        <w:tblPrEx>
          <w:tblCellMar>
            <w:top w:w="0" w:type="dxa"/>
            <w:left w:w="108" w:type="dxa"/>
            <w:bottom w:w="0" w:type="dxa"/>
            <w:right w:w="108" w:type="dxa"/>
          </w:tblCellMar>
        </w:tblPrEx>
        <w:trPr>
          <w:trHeight w:val="270" w:hRule="atLeast"/>
        </w:trPr>
        <w:tc>
          <w:tcPr>
            <w:tcW w:w="191" w:type="pct"/>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color w:val="000000"/>
                <w:kern w:val="0"/>
                <w:szCs w:val="21"/>
              </w:rPr>
            </w:pPr>
          </w:p>
        </w:tc>
        <w:tc>
          <w:tcPr>
            <w:tcW w:w="191"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p>
        </w:tc>
        <w:tc>
          <w:tcPr>
            <w:tcW w:w="181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鑫宏建材加工项目</w:t>
            </w:r>
          </w:p>
        </w:tc>
        <w:tc>
          <w:tcPr>
            <w:tcW w:w="36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续建</w:t>
            </w:r>
          </w:p>
        </w:tc>
        <w:tc>
          <w:tcPr>
            <w:tcW w:w="5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2024-2025</w:t>
            </w:r>
          </w:p>
        </w:tc>
        <w:tc>
          <w:tcPr>
            <w:tcW w:w="474"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0.22公顷</w:t>
            </w:r>
          </w:p>
        </w:tc>
        <w:tc>
          <w:tcPr>
            <w:tcW w:w="57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葡萄店村</w:t>
            </w:r>
          </w:p>
        </w:tc>
        <w:tc>
          <w:tcPr>
            <w:tcW w:w="851"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r>
      <w:tr>
        <w:tblPrEx>
          <w:tblCellMar>
            <w:top w:w="0" w:type="dxa"/>
            <w:left w:w="108" w:type="dxa"/>
            <w:bottom w:w="0" w:type="dxa"/>
            <w:right w:w="108" w:type="dxa"/>
          </w:tblCellMar>
        </w:tblPrEx>
        <w:trPr>
          <w:trHeight w:val="270" w:hRule="atLeast"/>
        </w:trPr>
        <w:tc>
          <w:tcPr>
            <w:tcW w:w="191"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公服设施</w:t>
            </w:r>
            <w:r>
              <w:rPr>
                <w:rFonts w:hint="eastAsia" w:cs="宋体" w:asciiTheme="minorEastAsia" w:hAnsiTheme="minorEastAsia"/>
                <w:color w:val="000000"/>
                <w:kern w:val="0"/>
                <w:szCs w:val="21"/>
              </w:rPr>
              <w:br w:type="textWrapping"/>
            </w:r>
            <w:r>
              <w:rPr>
                <w:rFonts w:hint="eastAsia" w:cs="宋体" w:asciiTheme="minorEastAsia" w:hAnsiTheme="minorEastAsia"/>
                <w:color w:val="000000"/>
                <w:kern w:val="0"/>
                <w:szCs w:val="21"/>
              </w:rPr>
              <w:t>11</w:t>
            </w:r>
          </w:p>
        </w:tc>
        <w:tc>
          <w:tcPr>
            <w:tcW w:w="191"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p>
        </w:tc>
        <w:tc>
          <w:tcPr>
            <w:tcW w:w="181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警务室</w:t>
            </w:r>
          </w:p>
        </w:tc>
        <w:tc>
          <w:tcPr>
            <w:tcW w:w="36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改建</w:t>
            </w:r>
          </w:p>
        </w:tc>
        <w:tc>
          <w:tcPr>
            <w:tcW w:w="5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2022-2025</w:t>
            </w:r>
          </w:p>
        </w:tc>
        <w:tc>
          <w:tcPr>
            <w:tcW w:w="474"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c>
          <w:tcPr>
            <w:tcW w:w="57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c>
          <w:tcPr>
            <w:tcW w:w="851"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中心村各一处</w:t>
            </w:r>
          </w:p>
        </w:tc>
      </w:tr>
      <w:tr>
        <w:tblPrEx>
          <w:tblCellMar>
            <w:top w:w="0" w:type="dxa"/>
            <w:left w:w="108" w:type="dxa"/>
            <w:bottom w:w="0" w:type="dxa"/>
            <w:right w:w="108" w:type="dxa"/>
          </w:tblCellMar>
        </w:tblPrEx>
        <w:trPr>
          <w:trHeight w:val="270" w:hRule="atLeast"/>
        </w:trPr>
        <w:tc>
          <w:tcPr>
            <w:tcW w:w="191" w:type="pct"/>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color w:val="000000"/>
                <w:kern w:val="0"/>
                <w:szCs w:val="21"/>
              </w:rPr>
            </w:pPr>
          </w:p>
        </w:tc>
        <w:tc>
          <w:tcPr>
            <w:tcW w:w="191"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p>
        </w:tc>
        <w:tc>
          <w:tcPr>
            <w:tcW w:w="181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便民服务中心</w:t>
            </w:r>
          </w:p>
        </w:tc>
        <w:tc>
          <w:tcPr>
            <w:tcW w:w="36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改建</w:t>
            </w:r>
          </w:p>
        </w:tc>
        <w:tc>
          <w:tcPr>
            <w:tcW w:w="5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2022-2025</w:t>
            </w:r>
          </w:p>
        </w:tc>
        <w:tc>
          <w:tcPr>
            <w:tcW w:w="474"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c>
          <w:tcPr>
            <w:tcW w:w="57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c>
          <w:tcPr>
            <w:tcW w:w="851"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各镇区一处</w:t>
            </w:r>
          </w:p>
        </w:tc>
      </w:tr>
      <w:tr>
        <w:tblPrEx>
          <w:tblCellMar>
            <w:top w:w="0" w:type="dxa"/>
            <w:left w:w="108" w:type="dxa"/>
            <w:bottom w:w="0" w:type="dxa"/>
            <w:right w:w="108" w:type="dxa"/>
          </w:tblCellMar>
        </w:tblPrEx>
        <w:trPr>
          <w:trHeight w:val="270" w:hRule="atLeast"/>
        </w:trPr>
        <w:tc>
          <w:tcPr>
            <w:tcW w:w="191" w:type="pct"/>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color w:val="000000"/>
                <w:kern w:val="0"/>
                <w:szCs w:val="21"/>
              </w:rPr>
            </w:pPr>
          </w:p>
        </w:tc>
        <w:tc>
          <w:tcPr>
            <w:tcW w:w="191"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p>
        </w:tc>
        <w:tc>
          <w:tcPr>
            <w:tcW w:w="181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便民服务站</w:t>
            </w:r>
          </w:p>
        </w:tc>
        <w:tc>
          <w:tcPr>
            <w:tcW w:w="36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改建</w:t>
            </w:r>
          </w:p>
        </w:tc>
        <w:tc>
          <w:tcPr>
            <w:tcW w:w="5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2022-2025</w:t>
            </w:r>
          </w:p>
        </w:tc>
        <w:tc>
          <w:tcPr>
            <w:tcW w:w="474"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c>
          <w:tcPr>
            <w:tcW w:w="57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c>
          <w:tcPr>
            <w:tcW w:w="851"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各行政村一处</w:t>
            </w:r>
          </w:p>
        </w:tc>
      </w:tr>
      <w:tr>
        <w:tblPrEx>
          <w:tblCellMar>
            <w:top w:w="0" w:type="dxa"/>
            <w:left w:w="108" w:type="dxa"/>
            <w:bottom w:w="0" w:type="dxa"/>
            <w:right w:w="108" w:type="dxa"/>
          </w:tblCellMar>
        </w:tblPrEx>
        <w:trPr>
          <w:trHeight w:val="270" w:hRule="atLeast"/>
        </w:trPr>
        <w:tc>
          <w:tcPr>
            <w:tcW w:w="191" w:type="pct"/>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color w:val="000000"/>
                <w:kern w:val="0"/>
                <w:szCs w:val="21"/>
              </w:rPr>
            </w:pPr>
          </w:p>
        </w:tc>
        <w:tc>
          <w:tcPr>
            <w:tcW w:w="191"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p>
        </w:tc>
        <w:tc>
          <w:tcPr>
            <w:tcW w:w="181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新建河边镇文化综合体</w:t>
            </w:r>
          </w:p>
        </w:tc>
        <w:tc>
          <w:tcPr>
            <w:tcW w:w="36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改建</w:t>
            </w:r>
          </w:p>
        </w:tc>
        <w:tc>
          <w:tcPr>
            <w:tcW w:w="5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2022-2025</w:t>
            </w:r>
          </w:p>
        </w:tc>
        <w:tc>
          <w:tcPr>
            <w:tcW w:w="474"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1.0公顷</w:t>
            </w:r>
          </w:p>
        </w:tc>
        <w:tc>
          <w:tcPr>
            <w:tcW w:w="57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河边镇粮站改造</w:t>
            </w:r>
          </w:p>
        </w:tc>
        <w:tc>
          <w:tcPr>
            <w:tcW w:w="851"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河边镇粮站改造</w:t>
            </w:r>
          </w:p>
        </w:tc>
      </w:tr>
      <w:tr>
        <w:tblPrEx>
          <w:tblCellMar>
            <w:top w:w="0" w:type="dxa"/>
            <w:left w:w="108" w:type="dxa"/>
            <w:bottom w:w="0" w:type="dxa"/>
            <w:right w:w="108" w:type="dxa"/>
          </w:tblCellMar>
        </w:tblPrEx>
        <w:trPr>
          <w:trHeight w:val="270" w:hRule="atLeast"/>
        </w:trPr>
        <w:tc>
          <w:tcPr>
            <w:tcW w:w="191" w:type="pct"/>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color w:val="000000"/>
                <w:kern w:val="0"/>
                <w:szCs w:val="21"/>
              </w:rPr>
            </w:pPr>
          </w:p>
        </w:tc>
        <w:tc>
          <w:tcPr>
            <w:tcW w:w="191"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p>
        </w:tc>
        <w:tc>
          <w:tcPr>
            <w:tcW w:w="181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河边镇文化活动中心</w:t>
            </w:r>
          </w:p>
        </w:tc>
        <w:tc>
          <w:tcPr>
            <w:tcW w:w="36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改建</w:t>
            </w:r>
          </w:p>
        </w:tc>
        <w:tc>
          <w:tcPr>
            <w:tcW w:w="5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2022-2025</w:t>
            </w:r>
          </w:p>
        </w:tc>
        <w:tc>
          <w:tcPr>
            <w:tcW w:w="474"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0.21公顷</w:t>
            </w:r>
          </w:p>
        </w:tc>
        <w:tc>
          <w:tcPr>
            <w:tcW w:w="57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河边镇电影院改造</w:t>
            </w:r>
          </w:p>
        </w:tc>
        <w:tc>
          <w:tcPr>
            <w:tcW w:w="851"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河边镇电影院改造</w:t>
            </w:r>
          </w:p>
        </w:tc>
      </w:tr>
      <w:tr>
        <w:tblPrEx>
          <w:tblCellMar>
            <w:top w:w="0" w:type="dxa"/>
            <w:left w:w="108" w:type="dxa"/>
            <w:bottom w:w="0" w:type="dxa"/>
            <w:right w:w="108" w:type="dxa"/>
          </w:tblCellMar>
        </w:tblPrEx>
        <w:trPr>
          <w:trHeight w:val="270" w:hRule="atLeast"/>
        </w:trPr>
        <w:tc>
          <w:tcPr>
            <w:tcW w:w="191" w:type="pct"/>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color w:val="000000"/>
                <w:kern w:val="0"/>
                <w:szCs w:val="21"/>
              </w:rPr>
            </w:pPr>
          </w:p>
        </w:tc>
        <w:tc>
          <w:tcPr>
            <w:tcW w:w="191"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p>
        </w:tc>
        <w:tc>
          <w:tcPr>
            <w:tcW w:w="181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乡史馆</w:t>
            </w:r>
          </w:p>
        </w:tc>
        <w:tc>
          <w:tcPr>
            <w:tcW w:w="36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改建</w:t>
            </w:r>
          </w:p>
        </w:tc>
        <w:tc>
          <w:tcPr>
            <w:tcW w:w="5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2022-2025</w:t>
            </w:r>
          </w:p>
        </w:tc>
        <w:tc>
          <w:tcPr>
            <w:tcW w:w="474"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c>
          <w:tcPr>
            <w:tcW w:w="57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c>
          <w:tcPr>
            <w:tcW w:w="851"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新建凤阳村、斗笠村、智水村、前进村、四方村乡史馆</w:t>
            </w:r>
          </w:p>
        </w:tc>
      </w:tr>
      <w:tr>
        <w:tblPrEx>
          <w:tblCellMar>
            <w:top w:w="0" w:type="dxa"/>
            <w:left w:w="108" w:type="dxa"/>
            <w:bottom w:w="0" w:type="dxa"/>
            <w:right w:w="108" w:type="dxa"/>
          </w:tblCellMar>
        </w:tblPrEx>
        <w:trPr>
          <w:trHeight w:val="270" w:hRule="atLeast"/>
        </w:trPr>
        <w:tc>
          <w:tcPr>
            <w:tcW w:w="191" w:type="pct"/>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color w:val="000000"/>
                <w:kern w:val="0"/>
                <w:szCs w:val="21"/>
              </w:rPr>
            </w:pPr>
          </w:p>
        </w:tc>
        <w:tc>
          <w:tcPr>
            <w:tcW w:w="191"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p>
        </w:tc>
        <w:tc>
          <w:tcPr>
            <w:tcW w:w="181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河边镇卫生院</w:t>
            </w:r>
          </w:p>
        </w:tc>
        <w:tc>
          <w:tcPr>
            <w:tcW w:w="36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改建</w:t>
            </w:r>
          </w:p>
        </w:tc>
        <w:tc>
          <w:tcPr>
            <w:tcW w:w="5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2022-2025</w:t>
            </w:r>
          </w:p>
        </w:tc>
        <w:tc>
          <w:tcPr>
            <w:tcW w:w="474"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1.09公顷</w:t>
            </w:r>
          </w:p>
        </w:tc>
        <w:tc>
          <w:tcPr>
            <w:tcW w:w="57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河边镇</w:t>
            </w:r>
          </w:p>
        </w:tc>
        <w:tc>
          <w:tcPr>
            <w:tcW w:w="851"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县域卫生次中心</w:t>
            </w:r>
          </w:p>
        </w:tc>
      </w:tr>
      <w:tr>
        <w:tblPrEx>
          <w:tblCellMar>
            <w:top w:w="0" w:type="dxa"/>
            <w:left w:w="108" w:type="dxa"/>
            <w:bottom w:w="0" w:type="dxa"/>
            <w:right w:w="108" w:type="dxa"/>
          </w:tblCellMar>
        </w:tblPrEx>
        <w:trPr>
          <w:trHeight w:val="270" w:hRule="atLeast"/>
        </w:trPr>
        <w:tc>
          <w:tcPr>
            <w:tcW w:w="191" w:type="pct"/>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color w:val="000000"/>
                <w:kern w:val="0"/>
                <w:szCs w:val="21"/>
              </w:rPr>
            </w:pPr>
          </w:p>
        </w:tc>
        <w:tc>
          <w:tcPr>
            <w:tcW w:w="191"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p>
        </w:tc>
        <w:tc>
          <w:tcPr>
            <w:tcW w:w="181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新增医养项目</w:t>
            </w:r>
          </w:p>
        </w:tc>
        <w:tc>
          <w:tcPr>
            <w:tcW w:w="36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新建</w:t>
            </w:r>
          </w:p>
        </w:tc>
        <w:tc>
          <w:tcPr>
            <w:tcW w:w="5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2022-2025</w:t>
            </w:r>
          </w:p>
        </w:tc>
        <w:tc>
          <w:tcPr>
            <w:tcW w:w="474"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1.24公顷</w:t>
            </w:r>
          </w:p>
        </w:tc>
        <w:tc>
          <w:tcPr>
            <w:tcW w:w="57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玉峰镇</w:t>
            </w:r>
          </w:p>
        </w:tc>
        <w:tc>
          <w:tcPr>
            <w:tcW w:w="851"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玉峰中心卫生院医养结合楼建设项目</w:t>
            </w:r>
          </w:p>
        </w:tc>
      </w:tr>
      <w:tr>
        <w:tblPrEx>
          <w:tblCellMar>
            <w:top w:w="0" w:type="dxa"/>
            <w:left w:w="108" w:type="dxa"/>
            <w:bottom w:w="0" w:type="dxa"/>
            <w:right w:w="108" w:type="dxa"/>
          </w:tblCellMar>
        </w:tblPrEx>
        <w:trPr>
          <w:trHeight w:val="270" w:hRule="atLeast"/>
        </w:trPr>
        <w:tc>
          <w:tcPr>
            <w:tcW w:w="191" w:type="pct"/>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color w:val="000000"/>
                <w:kern w:val="0"/>
                <w:szCs w:val="21"/>
              </w:rPr>
            </w:pPr>
          </w:p>
        </w:tc>
        <w:tc>
          <w:tcPr>
            <w:tcW w:w="191"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p>
        </w:tc>
        <w:tc>
          <w:tcPr>
            <w:tcW w:w="181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新建中医医疗康养中心</w:t>
            </w:r>
          </w:p>
        </w:tc>
        <w:tc>
          <w:tcPr>
            <w:tcW w:w="36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新建</w:t>
            </w:r>
          </w:p>
        </w:tc>
        <w:tc>
          <w:tcPr>
            <w:tcW w:w="5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2022-2025</w:t>
            </w:r>
          </w:p>
        </w:tc>
        <w:tc>
          <w:tcPr>
            <w:tcW w:w="474"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2.09公顷</w:t>
            </w:r>
          </w:p>
        </w:tc>
        <w:tc>
          <w:tcPr>
            <w:tcW w:w="57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河边镇</w:t>
            </w:r>
          </w:p>
        </w:tc>
        <w:tc>
          <w:tcPr>
            <w:tcW w:w="851"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中医医疗康养中心</w:t>
            </w:r>
          </w:p>
        </w:tc>
      </w:tr>
      <w:tr>
        <w:tblPrEx>
          <w:tblCellMar>
            <w:top w:w="0" w:type="dxa"/>
            <w:left w:w="108" w:type="dxa"/>
            <w:bottom w:w="0" w:type="dxa"/>
            <w:right w:w="108" w:type="dxa"/>
          </w:tblCellMar>
        </w:tblPrEx>
        <w:trPr>
          <w:trHeight w:val="270" w:hRule="atLeast"/>
        </w:trPr>
        <w:tc>
          <w:tcPr>
            <w:tcW w:w="191" w:type="pct"/>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color w:val="000000"/>
                <w:kern w:val="0"/>
                <w:szCs w:val="21"/>
              </w:rPr>
            </w:pPr>
          </w:p>
        </w:tc>
        <w:tc>
          <w:tcPr>
            <w:tcW w:w="191"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p>
        </w:tc>
        <w:tc>
          <w:tcPr>
            <w:tcW w:w="181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象山养老公寓</w:t>
            </w:r>
          </w:p>
        </w:tc>
        <w:tc>
          <w:tcPr>
            <w:tcW w:w="36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新建</w:t>
            </w:r>
          </w:p>
        </w:tc>
        <w:tc>
          <w:tcPr>
            <w:tcW w:w="5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2022-2025</w:t>
            </w:r>
          </w:p>
        </w:tc>
        <w:tc>
          <w:tcPr>
            <w:tcW w:w="474"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0.79公顷</w:t>
            </w:r>
          </w:p>
        </w:tc>
        <w:tc>
          <w:tcPr>
            <w:tcW w:w="57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c>
          <w:tcPr>
            <w:tcW w:w="851"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规划新增</w:t>
            </w:r>
          </w:p>
        </w:tc>
      </w:tr>
      <w:tr>
        <w:tblPrEx>
          <w:tblCellMar>
            <w:top w:w="0" w:type="dxa"/>
            <w:left w:w="108" w:type="dxa"/>
            <w:bottom w:w="0" w:type="dxa"/>
            <w:right w:w="108" w:type="dxa"/>
          </w:tblCellMar>
        </w:tblPrEx>
        <w:trPr>
          <w:trHeight w:val="270" w:hRule="atLeast"/>
        </w:trPr>
        <w:tc>
          <w:tcPr>
            <w:tcW w:w="191" w:type="pct"/>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color w:val="000000"/>
                <w:kern w:val="0"/>
                <w:szCs w:val="21"/>
              </w:rPr>
            </w:pPr>
          </w:p>
        </w:tc>
        <w:tc>
          <w:tcPr>
            <w:tcW w:w="191"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p>
        </w:tc>
        <w:tc>
          <w:tcPr>
            <w:tcW w:w="181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智水敬老院</w:t>
            </w:r>
          </w:p>
        </w:tc>
        <w:tc>
          <w:tcPr>
            <w:tcW w:w="36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改建</w:t>
            </w:r>
          </w:p>
        </w:tc>
        <w:tc>
          <w:tcPr>
            <w:tcW w:w="5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2022-2025</w:t>
            </w:r>
          </w:p>
        </w:tc>
        <w:tc>
          <w:tcPr>
            <w:tcW w:w="474"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0.09公顷</w:t>
            </w:r>
          </w:p>
        </w:tc>
        <w:tc>
          <w:tcPr>
            <w:tcW w:w="57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智水</w:t>
            </w:r>
          </w:p>
        </w:tc>
        <w:tc>
          <w:tcPr>
            <w:tcW w:w="851"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改建为蓬莱镇中心敬老院智水分院</w:t>
            </w:r>
          </w:p>
        </w:tc>
      </w:tr>
      <w:tr>
        <w:tblPrEx>
          <w:tblCellMar>
            <w:top w:w="0" w:type="dxa"/>
            <w:left w:w="108" w:type="dxa"/>
            <w:bottom w:w="0" w:type="dxa"/>
            <w:right w:w="108" w:type="dxa"/>
          </w:tblCellMar>
        </w:tblPrEx>
        <w:trPr>
          <w:trHeight w:val="270" w:hRule="atLeast"/>
        </w:trPr>
        <w:tc>
          <w:tcPr>
            <w:tcW w:w="191"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市政设施</w:t>
            </w:r>
            <w:r>
              <w:rPr>
                <w:rFonts w:hint="eastAsia" w:cs="宋体" w:asciiTheme="minorEastAsia" w:hAnsiTheme="minorEastAsia"/>
                <w:color w:val="000000"/>
                <w:kern w:val="0"/>
                <w:szCs w:val="21"/>
              </w:rPr>
              <w:br w:type="textWrapping"/>
            </w:r>
            <w:r>
              <w:rPr>
                <w:rFonts w:hint="eastAsia" w:cs="宋体" w:asciiTheme="minorEastAsia" w:hAnsiTheme="minorEastAsia"/>
                <w:color w:val="000000"/>
                <w:kern w:val="0"/>
                <w:szCs w:val="21"/>
              </w:rPr>
              <w:t>9</w:t>
            </w:r>
          </w:p>
        </w:tc>
        <w:tc>
          <w:tcPr>
            <w:tcW w:w="191"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p>
        </w:tc>
        <w:tc>
          <w:tcPr>
            <w:tcW w:w="181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扩建星花水库供水站</w:t>
            </w:r>
          </w:p>
        </w:tc>
        <w:tc>
          <w:tcPr>
            <w:tcW w:w="36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改建</w:t>
            </w:r>
          </w:p>
        </w:tc>
        <w:tc>
          <w:tcPr>
            <w:tcW w:w="5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2022-2025</w:t>
            </w:r>
          </w:p>
        </w:tc>
        <w:tc>
          <w:tcPr>
            <w:tcW w:w="474"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c>
          <w:tcPr>
            <w:tcW w:w="57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c>
          <w:tcPr>
            <w:tcW w:w="851"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规模1.6万吨</w:t>
            </w:r>
          </w:p>
        </w:tc>
      </w:tr>
      <w:tr>
        <w:tblPrEx>
          <w:tblCellMar>
            <w:top w:w="0" w:type="dxa"/>
            <w:left w:w="108" w:type="dxa"/>
            <w:bottom w:w="0" w:type="dxa"/>
            <w:right w:w="108" w:type="dxa"/>
          </w:tblCellMar>
        </w:tblPrEx>
        <w:trPr>
          <w:trHeight w:val="270" w:hRule="atLeast"/>
        </w:trPr>
        <w:tc>
          <w:tcPr>
            <w:tcW w:w="191" w:type="pct"/>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color w:val="000000"/>
                <w:kern w:val="0"/>
                <w:szCs w:val="21"/>
              </w:rPr>
            </w:pPr>
          </w:p>
        </w:tc>
        <w:tc>
          <w:tcPr>
            <w:tcW w:w="191"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p>
        </w:tc>
        <w:tc>
          <w:tcPr>
            <w:tcW w:w="181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河边镇污水处理厂提质增效</w:t>
            </w:r>
          </w:p>
        </w:tc>
        <w:tc>
          <w:tcPr>
            <w:tcW w:w="36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改建</w:t>
            </w:r>
          </w:p>
        </w:tc>
        <w:tc>
          <w:tcPr>
            <w:tcW w:w="5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2022-2025</w:t>
            </w:r>
          </w:p>
        </w:tc>
        <w:tc>
          <w:tcPr>
            <w:tcW w:w="474"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0.2公顷</w:t>
            </w:r>
          </w:p>
        </w:tc>
        <w:tc>
          <w:tcPr>
            <w:tcW w:w="57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c>
          <w:tcPr>
            <w:tcW w:w="851"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大英县乡镇生活污水处理厂提质增效</w:t>
            </w:r>
          </w:p>
        </w:tc>
      </w:tr>
      <w:tr>
        <w:tblPrEx>
          <w:tblCellMar>
            <w:top w:w="0" w:type="dxa"/>
            <w:left w:w="108" w:type="dxa"/>
            <w:bottom w:w="0" w:type="dxa"/>
            <w:right w:w="108" w:type="dxa"/>
          </w:tblCellMar>
        </w:tblPrEx>
        <w:trPr>
          <w:trHeight w:val="270" w:hRule="atLeast"/>
        </w:trPr>
        <w:tc>
          <w:tcPr>
            <w:tcW w:w="191" w:type="pct"/>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color w:val="000000"/>
                <w:kern w:val="0"/>
                <w:szCs w:val="21"/>
              </w:rPr>
            </w:pPr>
          </w:p>
        </w:tc>
        <w:tc>
          <w:tcPr>
            <w:tcW w:w="191"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p>
        </w:tc>
        <w:tc>
          <w:tcPr>
            <w:tcW w:w="181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玉峰镇污水处理厂提质增效</w:t>
            </w:r>
          </w:p>
        </w:tc>
        <w:tc>
          <w:tcPr>
            <w:tcW w:w="36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改建</w:t>
            </w:r>
          </w:p>
        </w:tc>
        <w:tc>
          <w:tcPr>
            <w:tcW w:w="5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2022-2025</w:t>
            </w:r>
          </w:p>
        </w:tc>
        <w:tc>
          <w:tcPr>
            <w:tcW w:w="474"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0.1公顷</w:t>
            </w:r>
          </w:p>
        </w:tc>
        <w:tc>
          <w:tcPr>
            <w:tcW w:w="57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c>
          <w:tcPr>
            <w:tcW w:w="851"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大英县乡镇生活污水处理厂提质增效</w:t>
            </w:r>
          </w:p>
        </w:tc>
      </w:tr>
      <w:tr>
        <w:tblPrEx>
          <w:tblCellMar>
            <w:top w:w="0" w:type="dxa"/>
            <w:left w:w="108" w:type="dxa"/>
            <w:bottom w:w="0" w:type="dxa"/>
            <w:right w:w="108" w:type="dxa"/>
          </w:tblCellMar>
        </w:tblPrEx>
        <w:trPr>
          <w:trHeight w:val="270" w:hRule="atLeast"/>
        </w:trPr>
        <w:tc>
          <w:tcPr>
            <w:tcW w:w="191" w:type="pct"/>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color w:val="000000"/>
                <w:kern w:val="0"/>
                <w:szCs w:val="21"/>
              </w:rPr>
            </w:pPr>
          </w:p>
        </w:tc>
        <w:tc>
          <w:tcPr>
            <w:tcW w:w="191"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p>
        </w:tc>
        <w:tc>
          <w:tcPr>
            <w:tcW w:w="181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河边镇垃圾压缩中转站</w:t>
            </w:r>
          </w:p>
        </w:tc>
        <w:tc>
          <w:tcPr>
            <w:tcW w:w="36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改建</w:t>
            </w:r>
          </w:p>
        </w:tc>
        <w:tc>
          <w:tcPr>
            <w:tcW w:w="5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2022-2025</w:t>
            </w:r>
          </w:p>
        </w:tc>
        <w:tc>
          <w:tcPr>
            <w:tcW w:w="474"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0.28公顷</w:t>
            </w:r>
          </w:p>
        </w:tc>
        <w:tc>
          <w:tcPr>
            <w:tcW w:w="57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c>
          <w:tcPr>
            <w:tcW w:w="851"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新建</w:t>
            </w:r>
          </w:p>
        </w:tc>
      </w:tr>
      <w:tr>
        <w:tblPrEx>
          <w:tblCellMar>
            <w:top w:w="0" w:type="dxa"/>
            <w:left w:w="108" w:type="dxa"/>
            <w:bottom w:w="0" w:type="dxa"/>
            <w:right w:w="108" w:type="dxa"/>
          </w:tblCellMar>
        </w:tblPrEx>
        <w:trPr>
          <w:trHeight w:val="270" w:hRule="atLeast"/>
        </w:trPr>
        <w:tc>
          <w:tcPr>
            <w:tcW w:w="191" w:type="pct"/>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color w:val="000000"/>
                <w:kern w:val="0"/>
                <w:szCs w:val="21"/>
              </w:rPr>
            </w:pPr>
          </w:p>
        </w:tc>
        <w:tc>
          <w:tcPr>
            <w:tcW w:w="191"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p>
        </w:tc>
        <w:tc>
          <w:tcPr>
            <w:tcW w:w="181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扩建永乐35KV变电站</w:t>
            </w:r>
          </w:p>
        </w:tc>
        <w:tc>
          <w:tcPr>
            <w:tcW w:w="36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改建</w:t>
            </w:r>
          </w:p>
        </w:tc>
        <w:tc>
          <w:tcPr>
            <w:tcW w:w="5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2022-2025</w:t>
            </w:r>
          </w:p>
        </w:tc>
        <w:tc>
          <w:tcPr>
            <w:tcW w:w="474"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0.13公顷</w:t>
            </w:r>
          </w:p>
        </w:tc>
        <w:tc>
          <w:tcPr>
            <w:tcW w:w="57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c>
          <w:tcPr>
            <w:tcW w:w="851"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增容至12.6MVA</w:t>
            </w:r>
          </w:p>
        </w:tc>
      </w:tr>
      <w:tr>
        <w:tblPrEx>
          <w:tblCellMar>
            <w:top w:w="0" w:type="dxa"/>
            <w:left w:w="108" w:type="dxa"/>
            <w:bottom w:w="0" w:type="dxa"/>
            <w:right w:w="108" w:type="dxa"/>
          </w:tblCellMar>
        </w:tblPrEx>
        <w:trPr>
          <w:trHeight w:val="270" w:hRule="atLeast"/>
        </w:trPr>
        <w:tc>
          <w:tcPr>
            <w:tcW w:w="191" w:type="pct"/>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color w:val="000000"/>
                <w:kern w:val="0"/>
                <w:szCs w:val="21"/>
              </w:rPr>
            </w:pPr>
          </w:p>
        </w:tc>
        <w:tc>
          <w:tcPr>
            <w:tcW w:w="191"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p>
        </w:tc>
        <w:tc>
          <w:tcPr>
            <w:tcW w:w="181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新建河边乡镇一级专职队</w:t>
            </w:r>
          </w:p>
        </w:tc>
        <w:tc>
          <w:tcPr>
            <w:tcW w:w="36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新建</w:t>
            </w:r>
          </w:p>
        </w:tc>
        <w:tc>
          <w:tcPr>
            <w:tcW w:w="5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2022-2025</w:t>
            </w:r>
          </w:p>
        </w:tc>
        <w:tc>
          <w:tcPr>
            <w:tcW w:w="474"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0.22公顷</w:t>
            </w:r>
          </w:p>
        </w:tc>
        <w:tc>
          <w:tcPr>
            <w:tcW w:w="57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c>
          <w:tcPr>
            <w:tcW w:w="851"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r>
      <w:tr>
        <w:tblPrEx>
          <w:tblCellMar>
            <w:top w:w="0" w:type="dxa"/>
            <w:left w:w="108" w:type="dxa"/>
            <w:bottom w:w="0" w:type="dxa"/>
            <w:right w:w="108" w:type="dxa"/>
          </w:tblCellMar>
        </w:tblPrEx>
        <w:trPr>
          <w:trHeight w:val="270" w:hRule="atLeast"/>
        </w:trPr>
        <w:tc>
          <w:tcPr>
            <w:tcW w:w="191" w:type="pct"/>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color w:val="000000"/>
                <w:kern w:val="0"/>
                <w:szCs w:val="21"/>
              </w:rPr>
            </w:pPr>
          </w:p>
        </w:tc>
        <w:tc>
          <w:tcPr>
            <w:tcW w:w="191"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p>
        </w:tc>
        <w:tc>
          <w:tcPr>
            <w:tcW w:w="181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大英县乡镇供水设施及管网升级改造项目</w:t>
            </w:r>
          </w:p>
        </w:tc>
        <w:tc>
          <w:tcPr>
            <w:tcW w:w="36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改建</w:t>
            </w:r>
          </w:p>
        </w:tc>
        <w:tc>
          <w:tcPr>
            <w:tcW w:w="5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2023年</w:t>
            </w:r>
          </w:p>
        </w:tc>
        <w:tc>
          <w:tcPr>
            <w:tcW w:w="474"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c>
          <w:tcPr>
            <w:tcW w:w="57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河边镇</w:t>
            </w:r>
          </w:p>
        </w:tc>
        <w:tc>
          <w:tcPr>
            <w:tcW w:w="851"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r>
      <w:tr>
        <w:tblPrEx>
          <w:tblCellMar>
            <w:top w:w="0" w:type="dxa"/>
            <w:left w:w="108" w:type="dxa"/>
            <w:bottom w:w="0" w:type="dxa"/>
            <w:right w:w="108" w:type="dxa"/>
          </w:tblCellMar>
        </w:tblPrEx>
        <w:trPr>
          <w:trHeight w:val="270" w:hRule="atLeast"/>
        </w:trPr>
        <w:tc>
          <w:tcPr>
            <w:tcW w:w="191" w:type="pct"/>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color w:val="000000"/>
                <w:kern w:val="0"/>
                <w:szCs w:val="21"/>
              </w:rPr>
            </w:pPr>
          </w:p>
        </w:tc>
        <w:tc>
          <w:tcPr>
            <w:tcW w:w="191"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p>
        </w:tc>
        <w:tc>
          <w:tcPr>
            <w:tcW w:w="181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改造象山消防队</w:t>
            </w:r>
          </w:p>
        </w:tc>
        <w:tc>
          <w:tcPr>
            <w:tcW w:w="36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改建</w:t>
            </w:r>
          </w:p>
        </w:tc>
        <w:tc>
          <w:tcPr>
            <w:tcW w:w="5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2022-2025</w:t>
            </w:r>
          </w:p>
        </w:tc>
        <w:tc>
          <w:tcPr>
            <w:tcW w:w="474"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0.37公顷</w:t>
            </w:r>
          </w:p>
        </w:tc>
        <w:tc>
          <w:tcPr>
            <w:tcW w:w="57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c>
          <w:tcPr>
            <w:tcW w:w="851"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乡镇一级专职队</w:t>
            </w:r>
          </w:p>
        </w:tc>
      </w:tr>
      <w:tr>
        <w:tblPrEx>
          <w:tblCellMar>
            <w:top w:w="0" w:type="dxa"/>
            <w:left w:w="108" w:type="dxa"/>
            <w:bottom w:w="0" w:type="dxa"/>
            <w:right w:w="108" w:type="dxa"/>
          </w:tblCellMar>
        </w:tblPrEx>
        <w:trPr>
          <w:trHeight w:val="270" w:hRule="atLeast"/>
        </w:trPr>
        <w:tc>
          <w:tcPr>
            <w:tcW w:w="191" w:type="pct"/>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color w:val="000000"/>
                <w:kern w:val="0"/>
                <w:szCs w:val="21"/>
              </w:rPr>
            </w:pPr>
          </w:p>
        </w:tc>
        <w:tc>
          <w:tcPr>
            <w:tcW w:w="191"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p>
        </w:tc>
        <w:tc>
          <w:tcPr>
            <w:tcW w:w="181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新建玉峰乡镇志愿队</w:t>
            </w:r>
          </w:p>
        </w:tc>
        <w:tc>
          <w:tcPr>
            <w:tcW w:w="36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新建</w:t>
            </w:r>
          </w:p>
        </w:tc>
        <w:tc>
          <w:tcPr>
            <w:tcW w:w="5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2022-2025</w:t>
            </w:r>
          </w:p>
        </w:tc>
        <w:tc>
          <w:tcPr>
            <w:tcW w:w="474"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c>
          <w:tcPr>
            <w:tcW w:w="57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c>
          <w:tcPr>
            <w:tcW w:w="851"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结合派出所新建</w:t>
            </w:r>
          </w:p>
        </w:tc>
      </w:tr>
      <w:tr>
        <w:tblPrEx>
          <w:tblCellMar>
            <w:top w:w="0" w:type="dxa"/>
            <w:left w:w="108" w:type="dxa"/>
            <w:bottom w:w="0" w:type="dxa"/>
            <w:right w:w="108" w:type="dxa"/>
          </w:tblCellMar>
        </w:tblPrEx>
        <w:trPr>
          <w:trHeight w:val="510" w:hRule="atLeast"/>
        </w:trPr>
        <w:tc>
          <w:tcPr>
            <w:tcW w:w="191"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水利设施</w:t>
            </w:r>
            <w:r>
              <w:rPr>
                <w:rFonts w:hint="eastAsia" w:cs="宋体" w:asciiTheme="minorEastAsia" w:hAnsiTheme="minorEastAsia"/>
                <w:color w:val="000000"/>
                <w:kern w:val="0"/>
                <w:szCs w:val="21"/>
              </w:rPr>
              <w:br w:type="textWrapping"/>
            </w:r>
            <w:r>
              <w:rPr>
                <w:rFonts w:hint="eastAsia" w:cs="宋体" w:asciiTheme="minorEastAsia" w:hAnsiTheme="minorEastAsia"/>
                <w:color w:val="000000"/>
                <w:kern w:val="0"/>
                <w:szCs w:val="21"/>
              </w:rPr>
              <w:t>12</w:t>
            </w:r>
          </w:p>
        </w:tc>
        <w:tc>
          <w:tcPr>
            <w:tcW w:w="191"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p>
        </w:tc>
        <w:tc>
          <w:tcPr>
            <w:tcW w:w="181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大英县祥凤寨水库工程</w:t>
            </w:r>
          </w:p>
        </w:tc>
        <w:tc>
          <w:tcPr>
            <w:tcW w:w="36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改建</w:t>
            </w:r>
          </w:p>
        </w:tc>
        <w:tc>
          <w:tcPr>
            <w:tcW w:w="5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2022-2025</w:t>
            </w:r>
          </w:p>
        </w:tc>
        <w:tc>
          <w:tcPr>
            <w:tcW w:w="474"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c>
          <w:tcPr>
            <w:tcW w:w="57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c>
          <w:tcPr>
            <w:tcW w:w="851"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全国中型水库建设总体安排意见</w:t>
            </w:r>
          </w:p>
        </w:tc>
      </w:tr>
      <w:tr>
        <w:tblPrEx>
          <w:tblCellMar>
            <w:top w:w="0" w:type="dxa"/>
            <w:left w:w="108" w:type="dxa"/>
            <w:bottom w:w="0" w:type="dxa"/>
            <w:right w:w="108" w:type="dxa"/>
          </w:tblCellMar>
        </w:tblPrEx>
        <w:trPr>
          <w:trHeight w:val="270" w:hRule="atLeast"/>
        </w:trPr>
        <w:tc>
          <w:tcPr>
            <w:tcW w:w="191" w:type="pct"/>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color w:val="000000"/>
                <w:kern w:val="0"/>
                <w:szCs w:val="21"/>
              </w:rPr>
            </w:pPr>
          </w:p>
        </w:tc>
        <w:tc>
          <w:tcPr>
            <w:tcW w:w="191"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p>
        </w:tc>
        <w:tc>
          <w:tcPr>
            <w:tcW w:w="181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大英县鲁班水库至祥凤寨引水保障工程</w:t>
            </w:r>
          </w:p>
        </w:tc>
        <w:tc>
          <w:tcPr>
            <w:tcW w:w="36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新建</w:t>
            </w:r>
          </w:p>
        </w:tc>
        <w:tc>
          <w:tcPr>
            <w:tcW w:w="5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2023-2025</w:t>
            </w:r>
          </w:p>
        </w:tc>
        <w:tc>
          <w:tcPr>
            <w:tcW w:w="474"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c>
          <w:tcPr>
            <w:tcW w:w="57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c>
          <w:tcPr>
            <w:tcW w:w="851"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新建</w:t>
            </w:r>
          </w:p>
        </w:tc>
      </w:tr>
      <w:tr>
        <w:tblPrEx>
          <w:tblCellMar>
            <w:top w:w="0" w:type="dxa"/>
            <w:left w:w="108" w:type="dxa"/>
            <w:bottom w:w="0" w:type="dxa"/>
            <w:right w:w="108" w:type="dxa"/>
          </w:tblCellMar>
        </w:tblPrEx>
        <w:trPr>
          <w:trHeight w:val="270" w:hRule="atLeast"/>
        </w:trPr>
        <w:tc>
          <w:tcPr>
            <w:tcW w:w="191" w:type="pct"/>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color w:val="000000"/>
                <w:kern w:val="0"/>
                <w:szCs w:val="21"/>
              </w:rPr>
            </w:pPr>
          </w:p>
        </w:tc>
        <w:tc>
          <w:tcPr>
            <w:tcW w:w="191"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p>
        </w:tc>
        <w:tc>
          <w:tcPr>
            <w:tcW w:w="181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都江堰大英灌区续建配套与现代化改造火井支渠工程</w:t>
            </w:r>
          </w:p>
        </w:tc>
        <w:tc>
          <w:tcPr>
            <w:tcW w:w="36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改建</w:t>
            </w:r>
          </w:p>
        </w:tc>
        <w:tc>
          <w:tcPr>
            <w:tcW w:w="5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2022-2025</w:t>
            </w:r>
          </w:p>
        </w:tc>
        <w:tc>
          <w:tcPr>
            <w:tcW w:w="474"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c>
          <w:tcPr>
            <w:tcW w:w="57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c>
          <w:tcPr>
            <w:tcW w:w="851"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遂宁市“十四五”水安全保障规划</w:t>
            </w:r>
          </w:p>
        </w:tc>
      </w:tr>
      <w:tr>
        <w:tblPrEx>
          <w:tblCellMar>
            <w:top w:w="0" w:type="dxa"/>
            <w:left w:w="108" w:type="dxa"/>
            <w:bottom w:w="0" w:type="dxa"/>
            <w:right w:w="108" w:type="dxa"/>
          </w:tblCellMar>
        </w:tblPrEx>
        <w:trPr>
          <w:trHeight w:val="270" w:hRule="atLeast"/>
        </w:trPr>
        <w:tc>
          <w:tcPr>
            <w:tcW w:w="191" w:type="pct"/>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color w:val="000000"/>
                <w:kern w:val="0"/>
                <w:szCs w:val="21"/>
              </w:rPr>
            </w:pPr>
          </w:p>
        </w:tc>
        <w:tc>
          <w:tcPr>
            <w:tcW w:w="191"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p>
        </w:tc>
        <w:tc>
          <w:tcPr>
            <w:tcW w:w="181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星花水库灌区续建配套与现代化改造工程</w:t>
            </w:r>
          </w:p>
        </w:tc>
        <w:tc>
          <w:tcPr>
            <w:tcW w:w="36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改建</w:t>
            </w:r>
          </w:p>
        </w:tc>
        <w:tc>
          <w:tcPr>
            <w:tcW w:w="5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2025-2030</w:t>
            </w:r>
          </w:p>
        </w:tc>
        <w:tc>
          <w:tcPr>
            <w:tcW w:w="474"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c>
          <w:tcPr>
            <w:tcW w:w="57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c>
          <w:tcPr>
            <w:tcW w:w="851"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改建（河边镇）</w:t>
            </w:r>
          </w:p>
        </w:tc>
      </w:tr>
      <w:tr>
        <w:tblPrEx>
          <w:tblCellMar>
            <w:top w:w="0" w:type="dxa"/>
            <w:left w:w="108" w:type="dxa"/>
            <w:bottom w:w="0" w:type="dxa"/>
            <w:right w:w="108" w:type="dxa"/>
          </w:tblCellMar>
        </w:tblPrEx>
        <w:trPr>
          <w:trHeight w:val="270" w:hRule="atLeast"/>
        </w:trPr>
        <w:tc>
          <w:tcPr>
            <w:tcW w:w="191" w:type="pct"/>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color w:val="000000"/>
                <w:kern w:val="0"/>
                <w:szCs w:val="21"/>
              </w:rPr>
            </w:pPr>
          </w:p>
        </w:tc>
        <w:tc>
          <w:tcPr>
            <w:tcW w:w="191"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p>
        </w:tc>
        <w:tc>
          <w:tcPr>
            <w:tcW w:w="181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鲁班水库至寸塘口水库连通工程</w:t>
            </w:r>
          </w:p>
        </w:tc>
        <w:tc>
          <w:tcPr>
            <w:tcW w:w="36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改建</w:t>
            </w:r>
          </w:p>
        </w:tc>
        <w:tc>
          <w:tcPr>
            <w:tcW w:w="5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2024-2026</w:t>
            </w:r>
          </w:p>
        </w:tc>
        <w:tc>
          <w:tcPr>
            <w:tcW w:w="474"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c>
          <w:tcPr>
            <w:tcW w:w="57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c>
          <w:tcPr>
            <w:tcW w:w="851"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新建</w:t>
            </w:r>
          </w:p>
        </w:tc>
      </w:tr>
      <w:tr>
        <w:tblPrEx>
          <w:tblCellMar>
            <w:top w:w="0" w:type="dxa"/>
            <w:left w:w="108" w:type="dxa"/>
            <w:bottom w:w="0" w:type="dxa"/>
            <w:right w:w="108" w:type="dxa"/>
          </w:tblCellMar>
        </w:tblPrEx>
        <w:trPr>
          <w:trHeight w:val="270" w:hRule="atLeast"/>
        </w:trPr>
        <w:tc>
          <w:tcPr>
            <w:tcW w:w="191" w:type="pct"/>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color w:val="000000"/>
                <w:kern w:val="0"/>
                <w:szCs w:val="21"/>
              </w:rPr>
            </w:pPr>
          </w:p>
        </w:tc>
        <w:tc>
          <w:tcPr>
            <w:tcW w:w="191"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p>
        </w:tc>
        <w:tc>
          <w:tcPr>
            <w:tcW w:w="181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大英县四五水库扩建工程</w:t>
            </w:r>
          </w:p>
        </w:tc>
        <w:tc>
          <w:tcPr>
            <w:tcW w:w="36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改建</w:t>
            </w:r>
          </w:p>
        </w:tc>
        <w:tc>
          <w:tcPr>
            <w:tcW w:w="5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2024-2030</w:t>
            </w:r>
          </w:p>
        </w:tc>
        <w:tc>
          <w:tcPr>
            <w:tcW w:w="474"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1708公顷</w:t>
            </w:r>
          </w:p>
        </w:tc>
        <w:tc>
          <w:tcPr>
            <w:tcW w:w="57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c>
          <w:tcPr>
            <w:tcW w:w="851"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扩建</w:t>
            </w:r>
          </w:p>
        </w:tc>
      </w:tr>
      <w:tr>
        <w:tblPrEx>
          <w:tblCellMar>
            <w:top w:w="0" w:type="dxa"/>
            <w:left w:w="108" w:type="dxa"/>
            <w:bottom w:w="0" w:type="dxa"/>
            <w:right w:w="108" w:type="dxa"/>
          </w:tblCellMar>
        </w:tblPrEx>
        <w:trPr>
          <w:trHeight w:val="270" w:hRule="atLeast"/>
        </w:trPr>
        <w:tc>
          <w:tcPr>
            <w:tcW w:w="191" w:type="pct"/>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color w:val="000000"/>
                <w:kern w:val="0"/>
                <w:szCs w:val="21"/>
              </w:rPr>
            </w:pPr>
          </w:p>
        </w:tc>
        <w:tc>
          <w:tcPr>
            <w:tcW w:w="191"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p>
        </w:tc>
        <w:tc>
          <w:tcPr>
            <w:tcW w:w="181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大英县四五水库左右支渠工程</w:t>
            </w:r>
          </w:p>
        </w:tc>
        <w:tc>
          <w:tcPr>
            <w:tcW w:w="36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改建</w:t>
            </w:r>
          </w:p>
        </w:tc>
        <w:tc>
          <w:tcPr>
            <w:tcW w:w="5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2025-2030</w:t>
            </w:r>
          </w:p>
        </w:tc>
        <w:tc>
          <w:tcPr>
            <w:tcW w:w="474"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c>
          <w:tcPr>
            <w:tcW w:w="57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玉峰镇</w:t>
            </w:r>
          </w:p>
        </w:tc>
        <w:tc>
          <w:tcPr>
            <w:tcW w:w="851"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r>
      <w:tr>
        <w:tblPrEx>
          <w:tblCellMar>
            <w:top w:w="0" w:type="dxa"/>
            <w:left w:w="108" w:type="dxa"/>
            <w:bottom w:w="0" w:type="dxa"/>
            <w:right w:w="108" w:type="dxa"/>
          </w:tblCellMar>
        </w:tblPrEx>
        <w:trPr>
          <w:trHeight w:val="270" w:hRule="atLeast"/>
        </w:trPr>
        <w:tc>
          <w:tcPr>
            <w:tcW w:w="191" w:type="pct"/>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color w:val="000000"/>
                <w:kern w:val="0"/>
                <w:szCs w:val="21"/>
              </w:rPr>
            </w:pPr>
          </w:p>
        </w:tc>
        <w:tc>
          <w:tcPr>
            <w:tcW w:w="191"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p>
        </w:tc>
        <w:tc>
          <w:tcPr>
            <w:tcW w:w="181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大英县郪江象山场镇段防洪治理工程</w:t>
            </w:r>
          </w:p>
        </w:tc>
        <w:tc>
          <w:tcPr>
            <w:tcW w:w="36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新建</w:t>
            </w:r>
          </w:p>
        </w:tc>
        <w:tc>
          <w:tcPr>
            <w:tcW w:w="5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2025-2030</w:t>
            </w:r>
          </w:p>
        </w:tc>
        <w:tc>
          <w:tcPr>
            <w:tcW w:w="474"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364.5公顷</w:t>
            </w:r>
          </w:p>
        </w:tc>
        <w:tc>
          <w:tcPr>
            <w:tcW w:w="57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c>
          <w:tcPr>
            <w:tcW w:w="851"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新建</w:t>
            </w:r>
          </w:p>
        </w:tc>
      </w:tr>
      <w:tr>
        <w:tblPrEx>
          <w:tblCellMar>
            <w:top w:w="0" w:type="dxa"/>
            <w:left w:w="108" w:type="dxa"/>
            <w:bottom w:w="0" w:type="dxa"/>
            <w:right w:w="108" w:type="dxa"/>
          </w:tblCellMar>
        </w:tblPrEx>
        <w:trPr>
          <w:trHeight w:val="270" w:hRule="atLeast"/>
        </w:trPr>
        <w:tc>
          <w:tcPr>
            <w:tcW w:w="191" w:type="pct"/>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color w:val="000000"/>
                <w:kern w:val="0"/>
                <w:szCs w:val="21"/>
              </w:rPr>
            </w:pPr>
          </w:p>
        </w:tc>
        <w:tc>
          <w:tcPr>
            <w:tcW w:w="191"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p>
        </w:tc>
        <w:tc>
          <w:tcPr>
            <w:tcW w:w="181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大英县寸塘口河河边镇山洪沟治理项目</w:t>
            </w:r>
          </w:p>
        </w:tc>
        <w:tc>
          <w:tcPr>
            <w:tcW w:w="36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新建</w:t>
            </w:r>
          </w:p>
        </w:tc>
        <w:tc>
          <w:tcPr>
            <w:tcW w:w="5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2025-2030</w:t>
            </w:r>
          </w:p>
        </w:tc>
        <w:tc>
          <w:tcPr>
            <w:tcW w:w="474"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26.3公顷</w:t>
            </w:r>
          </w:p>
        </w:tc>
        <w:tc>
          <w:tcPr>
            <w:tcW w:w="57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河边镇</w:t>
            </w:r>
          </w:p>
        </w:tc>
        <w:tc>
          <w:tcPr>
            <w:tcW w:w="851"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r>
      <w:tr>
        <w:tblPrEx>
          <w:tblCellMar>
            <w:top w:w="0" w:type="dxa"/>
            <w:left w:w="108" w:type="dxa"/>
            <w:bottom w:w="0" w:type="dxa"/>
            <w:right w:w="108" w:type="dxa"/>
          </w:tblCellMar>
        </w:tblPrEx>
        <w:trPr>
          <w:trHeight w:val="270" w:hRule="atLeast"/>
        </w:trPr>
        <w:tc>
          <w:tcPr>
            <w:tcW w:w="191" w:type="pct"/>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color w:val="000000"/>
                <w:kern w:val="0"/>
                <w:szCs w:val="21"/>
              </w:rPr>
            </w:pPr>
          </w:p>
        </w:tc>
        <w:tc>
          <w:tcPr>
            <w:tcW w:w="191"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p>
        </w:tc>
        <w:tc>
          <w:tcPr>
            <w:tcW w:w="181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大英县马力河玉峰镇山洪沟治理</w:t>
            </w:r>
          </w:p>
        </w:tc>
        <w:tc>
          <w:tcPr>
            <w:tcW w:w="36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新建</w:t>
            </w:r>
          </w:p>
        </w:tc>
        <w:tc>
          <w:tcPr>
            <w:tcW w:w="5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2025-2030</w:t>
            </w:r>
          </w:p>
        </w:tc>
        <w:tc>
          <w:tcPr>
            <w:tcW w:w="474"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36.2公顷</w:t>
            </w:r>
          </w:p>
        </w:tc>
        <w:tc>
          <w:tcPr>
            <w:tcW w:w="57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玉峰镇</w:t>
            </w:r>
          </w:p>
        </w:tc>
        <w:tc>
          <w:tcPr>
            <w:tcW w:w="851"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r>
      <w:tr>
        <w:tblPrEx>
          <w:tblCellMar>
            <w:top w:w="0" w:type="dxa"/>
            <w:left w:w="108" w:type="dxa"/>
            <w:bottom w:w="0" w:type="dxa"/>
            <w:right w:w="108" w:type="dxa"/>
          </w:tblCellMar>
        </w:tblPrEx>
        <w:trPr>
          <w:trHeight w:val="270" w:hRule="atLeast"/>
        </w:trPr>
        <w:tc>
          <w:tcPr>
            <w:tcW w:w="191" w:type="pct"/>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color w:val="000000"/>
                <w:kern w:val="0"/>
                <w:szCs w:val="21"/>
              </w:rPr>
            </w:pPr>
          </w:p>
        </w:tc>
        <w:tc>
          <w:tcPr>
            <w:tcW w:w="191"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p>
        </w:tc>
        <w:tc>
          <w:tcPr>
            <w:tcW w:w="181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大英县马力河智水山洪沟治理项目</w:t>
            </w:r>
          </w:p>
        </w:tc>
        <w:tc>
          <w:tcPr>
            <w:tcW w:w="36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新建</w:t>
            </w:r>
          </w:p>
        </w:tc>
        <w:tc>
          <w:tcPr>
            <w:tcW w:w="5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2025-2030</w:t>
            </w:r>
          </w:p>
        </w:tc>
        <w:tc>
          <w:tcPr>
            <w:tcW w:w="474"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25.8公顷</w:t>
            </w:r>
          </w:p>
        </w:tc>
        <w:tc>
          <w:tcPr>
            <w:tcW w:w="57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玉峰镇</w:t>
            </w:r>
          </w:p>
        </w:tc>
        <w:tc>
          <w:tcPr>
            <w:tcW w:w="851"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r>
      <w:tr>
        <w:tblPrEx>
          <w:tblCellMar>
            <w:top w:w="0" w:type="dxa"/>
            <w:left w:w="108" w:type="dxa"/>
            <w:bottom w:w="0" w:type="dxa"/>
            <w:right w:w="108" w:type="dxa"/>
          </w:tblCellMar>
        </w:tblPrEx>
        <w:trPr>
          <w:trHeight w:val="270" w:hRule="atLeast"/>
        </w:trPr>
        <w:tc>
          <w:tcPr>
            <w:tcW w:w="191" w:type="pct"/>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color w:val="000000"/>
                <w:kern w:val="0"/>
                <w:szCs w:val="21"/>
              </w:rPr>
            </w:pPr>
          </w:p>
        </w:tc>
        <w:tc>
          <w:tcPr>
            <w:tcW w:w="191"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color w:val="000000"/>
                <w:kern w:val="0"/>
                <w:szCs w:val="21"/>
              </w:rPr>
            </w:pPr>
          </w:p>
        </w:tc>
        <w:tc>
          <w:tcPr>
            <w:tcW w:w="181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遂宁市涪江右岸引水工程</w:t>
            </w:r>
          </w:p>
        </w:tc>
        <w:tc>
          <w:tcPr>
            <w:tcW w:w="368"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新建</w:t>
            </w:r>
          </w:p>
        </w:tc>
        <w:tc>
          <w:tcPr>
            <w:tcW w:w="527"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2022-2025</w:t>
            </w:r>
          </w:p>
        </w:tc>
        <w:tc>
          <w:tcPr>
            <w:tcW w:w="474"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c>
          <w:tcPr>
            <w:tcW w:w="57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p>
        </w:tc>
        <w:tc>
          <w:tcPr>
            <w:tcW w:w="851"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成渝地区双城经济圈建设规划纲要</w:t>
            </w:r>
          </w:p>
        </w:tc>
      </w:tr>
    </w:tbl>
    <w:p>
      <w:pPr>
        <w:pStyle w:val="31"/>
        <w:spacing w:beforeLines="50" w:afterLines="50"/>
        <w:jc w:val="left"/>
        <w:rPr>
          <w:rFonts w:eastAsia="宋体" w:asciiTheme="minorEastAsia" w:hAnsiTheme="minorEastAsia"/>
          <w:b w:val="0"/>
          <w:sz w:val="24"/>
          <w:szCs w:val="24"/>
        </w:rPr>
      </w:pPr>
      <w:bookmarkStart w:id="51" w:name="_Toc166772200"/>
      <w:r>
        <w:rPr>
          <w:rFonts w:hint="eastAsia" w:eastAsia="宋体" w:asciiTheme="minorEastAsia" w:hAnsiTheme="minorEastAsia"/>
          <w:b w:val="0"/>
          <w:sz w:val="24"/>
          <w:szCs w:val="24"/>
        </w:rPr>
        <w:t>表16片区不可移动文物保护范围划定一览表</w:t>
      </w:r>
      <w:bookmarkEnd w:id="51"/>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6"/>
        <w:gridCol w:w="1563"/>
        <w:gridCol w:w="896"/>
        <w:gridCol w:w="1345"/>
        <w:gridCol w:w="1310"/>
        <w:gridCol w:w="68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63" w:type="pct"/>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名称</w:t>
            </w:r>
          </w:p>
        </w:tc>
        <w:tc>
          <w:tcPr>
            <w:tcW w:w="581" w:type="pct"/>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级别</w:t>
            </w:r>
          </w:p>
        </w:tc>
        <w:tc>
          <w:tcPr>
            <w:tcW w:w="333" w:type="pct"/>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年代</w:t>
            </w:r>
          </w:p>
        </w:tc>
        <w:tc>
          <w:tcPr>
            <w:tcW w:w="500" w:type="pct"/>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所在地</w:t>
            </w:r>
          </w:p>
        </w:tc>
        <w:tc>
          <w:tcPr>
            <w:tcW w:w="487" w:type="pct"/>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面积</w:t>
            </w:r>
          </w:p>
        </w:tc>
        <w:tc>
          <w:tcPr>
            <w:tcW w:w="2536" w:type="pct"/>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保护范围和建设控制地带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63" w:type="pct"/>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朱家祠堂</w:t>
            </w:r>
          </w:p>
        </w:tc>
        <w:tc>
          <w:tcPr>
            <w:tcW w:w="581" w:type="pct"/>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县级文物保护单位</w:t>
            </w:r>
          </w:p>
        </w:tc>
        <w:tc>
          <w:tcPr>
            <w:tcW w:w="333" w:type="pct"/>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清</w:t>
            </w:r>
          </w:p>
        </w:tc>
        <w:tc>
          <w:tcPr>
            <w:tcW w:w="500" w:type="pct"/>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河边镇马尖坡村</w:t>
            </w:r>
          </w:p>
        </w:tc>
        <w:tc>
          <w:tcPr>
            <w:tcW w:w="487" w:type="pct"/>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300平方米</w:t>
            </w:r>
          </w:p>
        </w:tc>
        <w:tc>
          <w:tcPr>
            <w:tcW w:w="2536" w:type="pct"/>
            <w:shd w:val="clear" w:color="auto" w:fill="auto"/>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保护范围：东北至村道路10米，西北至学校教室6米，东南至学校教室6米，西南至马尖坡坡脚10米。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63" w:type="pct"/>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彭称杨墓</w:t>
            </w:r>
          </w:p>
        </w:tc>
        <w:tc>
          <w:tcPr>
            <w:tcW w:w="581" w:type="pct"/>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县级文物保护单位</w:t>
            </w:r>
          </w:p>
        </w:tc>
        <w:tc>
          <w:tcPr>
            <w:tcW w:w="333" w:type="pct"/>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清</w:t>
            </w:r>
          </w:p>
        </w:tc>
        <w:tc>
          <w:tcPr>
            <w:tcW w:w="500" w:type="pct"/>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河边镇柳林村</w:t>
            </w:r>
          </w:p>
        </w:tc>
        <w:tc>
          <w:tcPr>
            <w:tcW w:w="487" w:type="pct"/>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32平方米</w:t>
            </w:r>
          </w:p>
        </w:tc>
        <w:tc>
          <w:tcPr>
            <w:tcW w:w="2536" w:type="pct"/>
            <w:shd w:val="clear" w:color="auto" w:fill="auto"/>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保护范围：西至王和光土地5米，南至周云成宅8米，北至周正全宅5米，东至竹林6米。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63" w:type="pct"/>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碉楼院子</w:t>
            </w:r>
          </w:p>
        </w:tc>
        <w:tc>
          <w:tcPr>
            <w:tcW w:w="581" w:type="pct"/>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县级文物保护单位</w:t>
            </w:r>
          </w:p>
        </w:tc>
        <w:tc>
          <w:tcPr>
            <w:tcW w:w="333" w:type="pct"/>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清</w:t>
            </w:r>
          </w:p>
        </w:tc>
        <w:tc>
          <w:tcPr>
            <w:tcW w:w="500" w:type="pct"/>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象山镇白角滩村</w:t>
            </w:r>
          </w:p>
        </w:tc>
        <w:tc>
          <w:tcPr>
            <w:tcW w:w="487" w:type="pct"/>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513平方米</w:t>
            </w:r>
          </w:p>
        </w:tc>
        <w:tc>
          <w:tcPr>
            <w:tcW w:w="2536" w:type="pct"/>
            <w:shd w:val="clear" w:color="auto" w:fill="auto"/>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保护范围：以院子为中心，东南至杨红运宅15米，北至宝然沟50米，西至唐知容水田8米，南至社道路5米。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63" w:type="pct"/>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火烧坡墓</w:t>
            </w:r>
          </w:p>
        </w:tc>
        <w:tc>
          <w:tcPr>
            <w:tcW w:w="581" w:type="pct"/>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县级文物保护单位</w:t>
            </w:r>
          </w:p>
        </w:tc>
        <w:tc>
          <w:tcPr>
            <w:tcW w:w="333" w:type="pct"/>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清</w:t>
            </w:r>
          </w:p>
        </w:tc>
        <w:tc>
          <w:tcPr>
            <w:tcW w:w="500" w:type="pct"/>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象山镇冯家楼村</w:t>
            </w:r>
          </w:p>
        </w:tc>
        <w:tc>
          <w:tcPr>
            <w:tcW w:w="487" w:type="pct"/>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40平方米</w:t>
            </w:r>
          </w:p>
        </w:tc>
        <w:tc>
          <w:tcPr>
            <w:tcW w:w="2536" w:type="pct"/>
            <w:shd w:val="clear" w:color="auto" w:fill="auto"/>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保护范围：以墓为中心，南至土埂子5米，北至火烧坡坡脚6米，东西两面各5米。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63" w:type="pct"/>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老婆凼墓地</w:t>
            </w:r>
          </w:p>
        </w:tc>
        <w:tc>
          <w:tcPr>
            <w:tcW w:w="581" w:type="pct"/>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县级文物保护单位</w:t>
            </w:r>
          </w:p>
        </w:tc>
        <w:tc>
          <w:tcPr>
            <w:tcW w:w="333" w:type="pct"/>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清</w:t>
            </w:r>
          </w:p>
        </w:tc>
        <w:tc>
          <w:tcPr>
            <w:tcW w:w="500" w:type="pct"/>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象山镇三溪村</w:t>
            </w:r>
          </w:p>
        </w:tc>
        <w:tc>
          <w:tcPr>
            <w:tcW w:w="487" w:type="pct"/>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80平方米</w:t>
            </w:r>
          </w:p>
        </w:tc>
        <w:tc>
          <w:tcPr>
            <w:tcW w:w="2536" w:type="pct"/>
            <w:shd w:val="clear" w:color="auto" w:fill="auto"/>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保护范围：以墓冢为中心，东至谭恢金宅10米，北至李阳友宅基地15米，西至朱西平土埂子5米，南至周茂玉宅基地6米。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63" w:type="pct"/>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三合碑墓群</w:t>
            </w:r>
          </w:p>
        </w:tc>
        <w:tc>
          <w:tcPr>
            <w:tcW w:w="581" w:type="pct"/>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县级文物保护单位</w:t>
            </w:r>
          </w:p>
        </w:tc>
        <w:tc>
          <w:tcPr>
            <w:tcW w:w="333" w:type="pct"/>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清</w:t>
            </w:r>
          </w:p>
        </w:tc>
        <w:tc>
          <w:tcPr>
            <w:tcW w:w="500" w:type="pct"/>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象山镇桥头村</w:t>
            </w:r>
          </w:p>
        </w:tc>
        <w:tc>
          <w:tcPr>
            <w:tcW w:w="487" w:type="pct"/>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400平方米</w:t>
            </w:r>
          </w:p>
        </w:tc>
        <w:tc>
          <w:tcPr>
            <w:tcW w:w="2536" w:type="pct"/>
            <w:shd w:val="clear" w:color="auto" w:fill="auto"/>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保护范围：以墓1为中心，东北至钟德永宅10米，东南至钟先勇土地15米，西南至严素琼宅15米，西北至寨子坡地坡脚6米。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63" w:type="pct"/>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谭宁祥墓</w:t>
            </w:r>
          </w:p>
        </w:tc>
        <w:tc>
          <w:tcPr>
            <w:tcW w:w="581" w:type="pct"/>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县级文物保护单位</w:t>
            </w:r>
          </w:p>
        </w:tc>
        <w:tc>
          <w:tcPr>
            <w:tcW w:w="333" w:type="pct"/>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清</w:t>
            </w:r>
          </w:p>
        </w:tc>
        <w:tc>
          <w:tcPr>
            <w:tcW w:w="500" w:type="pct"/>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象山镇无神村</w:t>
            </w:r>
          </w:p>
        </w:tc>
        <w:tc>
          <w:tcPr>
            <w:tcW w:w="487" w:type="pct"/>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300平方米</w:t>
            </w:r>
          </w:p>
        </w:tc>
        <w:tc>
          <w:tcPr>
            <w:tcW w:w="2536" w:type="pct"/>
            <w:shd w:val="clear" w:color="auto" w:fill="auto"/>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保护范围；以墓冢为中心，东北至邓先秀土埂子10米，西南至谭昌能土埂子3米，东南至谭飞安土地以10米，西北至谭才林土埂子15米。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63" w:type="pct"/>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长春洞遗址</w:t>
            </w:r>
          </w:p>
        </w:tc>
        <w:tc>
          <w:tcPr>
            <w:tcW w:w="581" w:type="pct"/>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县级文物保护单位</w:t>
            </w:r>
          </w:p>
        </w:tc>
        <w:tc>
          <w:tcPr>
            <w:tcW w:w="333" w:type="pct"/>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清</w:t>
            </w:r>
          </w:p>
        </w:tc>
        <w:tc>
          <w:tcPr>
            <w:tcW w:w="500" w:type="pct"/>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象山镇长圆村</w:t>
            </w:r>
          </w:p>
        </w:tc>
        <w:tc>
          <w:tcPr>
            <w:tcW w:w="487" w:type="pct"/>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60平方米</w:t>
            </w:r>
          </w:p>
        </w:tc>
        <w:tc>
          <w:tcPr>
            <w:tcW w:w="2536" w:type="pct"/>
            <w:shd w:val="clear" w:color="auto" w:fill="auto"/>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保护范围：以洞子为中心，南至黄坤华宅10米，东至游云海宅9米。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63" w:type="pct"/>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方平沟老庙</w:t>
            </w:r>
          </w:p>
        </w:tc>
        <w:tc>
          <w:tcPr>
            <w:tcW w:w="581" w:type="pct"/>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县级文物保护单位</w:t>
            </w:r>
          </w:p>
        </w:tc>
        <w:tc>
          <w:tcPr>
            <w:tcW w:w="333" w:type="pct"/>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清</w:t>
            </w:r>
          </w:p>
        </w:tc>
        <w:tc>
          <w:tcPr>
            <w:tcW w:w="500" w:type="pct"/>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玉峰镇方平沟村</w:t>
            </w:r>
          </w:p>
        </w:tc>
        <w:tc>
          <w:tcPr>
            <w:tcW w:w="487" w:type="pct"/>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500平方米</w:t>
            </w:r>
          </w:p>
        </w:tc>
        <w:tc>
          <w:tcPr>
            <w:tcW w:w="2536" w:type="pct"/>
            <w:shd w:val="clear" w:color="auto" w:fill="auto"/>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保护范围：东至学校食堂10米，南至教学楼8米，北至教学楼9米，西至牛背坡坡脚6米。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63" w:type="pct"/>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玉峰镇政府井</w:t>
            </w:r>
          </w:p>
        </w:tc>
        <w:tc>
          <w:tcPr>
            <w:tcW w:w="581" w:type="pct"/>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县级文物保护单位</w:t>
            </w:r>
          </w:p>
        </w:tc>
        <w:tc>
          <w:tcPr>
            <w:tcW w:w="333" w:type="pct"/>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清</w:t>
            </w:r>
          </w:p>
        </w:tc>
        <w:tc>
          <w:tcPr>
            <w:tcW w:w="500" w:type="pct"/>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玉峰镇幸福社区</w:t>
            </w:r>
          </w:p>
        </w:tc>
        <w:tc>
          <w:tcPr>
            <w:tcW w:w="487" w:type="pct"/>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5平方米</w:t>
            </w:r>
          </w:p>
        </w:tc>
        <w:tc>
          <w:tcPr>
            <w:tcW w:w="2536" w:type="pct"/>
            <w:shd w:val="clear" w:color="auto" w:fill="auto"/>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保护范围：以水井为中心，北至政府闲置房6米，东至政府住宿楼6米，东北至政府伙食团7米。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63" w:type="pct"/>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曾氏祠</w:t>
            </w:r>
          </w:p>
        </w:tc>
        <w:tc>
          <w:tcPr>
            <w:tcW w:w="581" w:type="pct"/>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县级文物保护单位</w:t>
            </w:r>
          </w:p>
        </w:tc>
        <w:tc>
          <w:tcPr>
            <w:tcW w:w="333" w:type="pct"/>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清</w:t>
            </w:r>
          </w:p>
        </w:tc>
        <w:tc>
          <w:tcPr>
            <w:tcW w:w="500" w:type="pct"/>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玉峰镇梁家坝村</w:t>
            </w:r>
          </w:p>
        </w:tc>
        <w:tc>
          <w:tcPr>
            <w:tcW w:w="487" w:type="pct"/>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855平方米</w:t>
            </w:r>
          </w:p>
        </w:tc>
        <w:tc>
          <w:tcPr>
            <w:tcW w:w="2536" w:type="pct"/>
            <w:shd w:val="clear" w:color="auto" w:fill="auto"/>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保护范围：西南至幸福街6米，西北至消防水池8米，东北至粮站仓库10米，东南至竹林6米。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63" w:type="pct"/>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花碑坡墓地</w:t>
            </w:r>
          </w:p>
        </w:tc>
        <w:tc>
          <w:tcPr>
            <w:tcW w:w="581" w:type="pct"/>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县级文物保护单位</w:t>
            </w:r>
          </w:p>
        </w:tc>
        <w:tc>
          <w:tcPr>
            <w:tcW w:w="333" w:type="pct"/>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明、清</w:t>
            </w:r>
          </w:p>
        </w:tc>
        <w:tc>
          <w:tcPr>
            <w:tcW w:w="500" w:type="pct"/>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玉峰镇黄麻沟村</w:t>
            </w:r>
          </w:p>
        </w:tc>
        <w:tc>
          <w:tcPr>
            <w:tcW w:w="487" w:type="pct"/>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220平方米</w:t>
            </w:r>
          </w:p>
        </w:tc>
        <w:tc>
          <w:tcPr>
            <w:tcW w:w="2536" w:type="pct"/>
            <w:shd w:val="clear" w:color="auto" w:fill="auto"/>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保护范围：西南至李先知土地8米，东北至花碑坡坡脚6米，左右两侧6米为界。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63" w:type="pct"/>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仁和寨遗址</w:t>
            </w:r>
          </w:p>
        </w:tc>
        <w:tc>
          <w:tcPr>
            <w:tcW w:w="581" w:type="pct"/>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县级文物保护单位</w:t>
            </w:r>
          </w:p>
        </w:tc>
        <w:tc>
          <w:tcPr>
            <w:tcW w:w="333" w:type="pct"/>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清</w:t>
            </w:r>
          </w:p>
        </w:tc>
        <w:tc>
          <w:tcPr>
            <w:tcW w:w="500" w:type="pct"/>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玉峰镇智平村</w:t>
            </w:r>
          </w:p>
        </w:tc>
        <w:tc>
          <w:tcPr>
            <w:tcW w:w="487" w:type="pct"/>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5000平方米</w:t>
            </w:r>
          </w:p>
        </w:tc>
        <w:tc>
          <w:tcPr>
            <w:tcW w:w="2536" w:type="pct"/>
            <w:shd w:val="clear" w:color="auto" w:fill="auto"/>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重点保护范围：以民俗展览馆为中心四面20米为界；一般保护单位：重点保护范围以外周边20米。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563" w:type="pct"/>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曾由官墓</w:t>
            </w:r>
          </w:p>
        </w:tc>
        <w:tc>
          <w:tcPr>
            <w:tcW w:w="581" w:type="pct"/>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县级文物保护单位</w:t>
            </w:r>
          </w:p>
        </w:tc>
        <w:tc>
          <w:tcPr>
            <w:tcW w:w="333" w:type="pct"/>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清</w:t>
            </w:r>
          </w:p>
        </w:tc>
        <w:tc>
          <w:tcPr>
            <w:tcW w:w="500" w:type="pct"/>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玉峰镇智平村</w:t>
            </w:r>
          </w:p>
        </w:tc>
        <w:tc>
          <w:tcPr>
            <w:tcW w:w="487" w:type="pct"/>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40平方米</w:t>
            </w:r>
          </w:p>
        </w:tc>
        <w:tc>
          <w:tcPr>
            <w:tcW w:w="2536" w:type="pct"/>
            <w:shd w:val="clear" w:color="auto" w:fill="auto"/>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保护范围：以墓碑为中心，西至曾修晶土地6米，东至燕儿坡坡脚8米，北至曾修和土地8米。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63" w:type="pct"/>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177处文物点</w:t>
            </w:r>
          </w:p>
        </w:tc>
        <w:tc>
          <w:tcPr>
            <w:tcW w:w="581" w:type="pct"/>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w:t>
            </w:r>
          </w:p>
        </w:tc>
        <w:tc>
          <w:tcPr>
            <w:tcW w:w="333" w:type="pct"/>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w:t>
            </w:r>
          </w:p>
        </w:tc>
        <w:tc>
          <w:tcPr>
            <w:tcW w:w="500" w:type="pct"/>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w:t>
            </w:r>
          </w:p>
        </w:tc>
        <w:tc>
          <w:tcPr>
            <w:tcW w:w="487" w:type="pct"/>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w:t>
            </w:r>
          </w:p>
        </w:tc>
        <w:tc>
          <w:tcPr>
            <w:tcW w:w="2536" w:type="pct"/>
            <w:shd w:val="clear" w:color="auto" w:fill="auto"/>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保护范围：以文物点位中心，东、西、南、北延伸50米为界。</w:t>
            </w:r>
          </w:p>
        </w:tc>
      </w:tr>
    </w:tbl>
    <w:p>
      <w:pPr>
        <w:pStyle w:val="31"/>
        <w:spacing w:beforeLines="50" w:afterLines="50"/>
        <w:jc w:val="left"/>
        <w:rPr>
          <w:rFonts w:eastAsia="宋体" w:asciiTheme="minorEastAsia" w:hAnsiTheme="minorEastAsia"/>
          <w:b w:val="0"/>
          <w:sz w:val="24"/>
          <w:szCs w:val="24"/>
        </w:rPr>
      </w:pPr>
    </w:p>
    <w:sectPr>
      <w:type w:val="continuous"/>
      <w:pgSz w:w="16838" w:h="11906" w:orient="landscape"/>
      <w:pgMar w:top="1440" w:right="1800" w:bottom="1440" w:left="1800" w:header="851" w:footer="992" w:gutter="0"/>
      <w:pgNumType w:chapStyle="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modern"/>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roma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733456"/>
    </w:sdtPr>
    <w:sdtContent>
      <w:p>
        <w:pPr>
          <w:pStyle w:val="10"/>
          <w:jc w:val="center"/>
        </w:pPr>
        <w:r>
          <w:fldChar w:fldCharType="begin"/>
        </w:r>
        <w:r>
          <w:instrText xml:space="preserve"> PAGE   \* MERGEFORMAT </w:instrText>
        </w:r>
        <w:r>
          <w:fldChar w:fldCharType="separate"/>
        </w:r>
        <w:r>
          <w:rPr>
            <w:rFonts w:eastAsia="宋体"/>
            <w:lang w:val="zh-CN" w:eastAsia="zh-TW"/>
          </w:rPr>
          <w:t>7</w:t>
        </w:r>
        <w:r>
          <w:rPr>
            <w:rFonts w:eastAsia="宋体"/>
            <w:lang w:val="zh-CN" w:eastAsia="zh-TW"/>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both"/>
      <w:rPr>
        <w:rFonts w:ascii="黑体" w:hAnsi="黑体" w:eastAsia="黑体"/>
      </w:rPr>
    </w:pPr>
    <w:r>
      <w:rPr>
        <w:rFonts w:hint="eastAsia" w:ascii="黑体" w:hAnsi="黑体" w:eastAsia="黑体"/>
      </w:rPr>
      <w:t>大英县成遂协同绿色发展片区国土空间总体规划（</w:t>
    </w:r>
    <w:r>
      <w:rPr>
        <w:rFonts w:ascii="黑体" w:hAnsi="黑体" w:eastAsia="黑体"/>
      </w:rPr>
      <w:t>2021-2035年</w:t>
    </w:r>
    <w:r>
      <w:rPr>
        <w:rFonts w:hint="eastAsia" w:ascii="黑体" w:hAnsi="黑体" w:eastAsia="黑体"/>
      </w:rPr>
      <w:t>）文本</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9AE022B"/>
    <w:multiLevelType w:val="multilevel"/>
    <w:tmpl w:val="09AE022B"/>
    <w:lvl w:ilvl="0" w:tentative="0">
      <w:start w:val="1"/>
      <w:numFmt w:val="japaneseCounting"/>
      <w:lvlText w:val="第%1节"/>
      <w:lvlJc w:val="left"/>
      <w:pPr>
        <w:ind w:left="2405" w:hanging="420"/>
      </w:pPr>
      <w:rPr>
        <w:rFonts w:hint="default"/>
      </w:rPr>
    </w:lvl>
    <w:lvl w:ilvl="1" w:tentative="0">
      <w:start w:val="1"/>
      <w:numFmt w:val="japaneseCounting"/>
      <w:lvlText w:val="%2．"/>
      <w:lvlJc w:val="left"/>
      <w:pPr>
        <w:ind w:left="1490" w:hanging="510"/>
      </w:pPr>
      <w:rPr>
        <w:rFonts w:hint="default"/>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
    <w:nsid w:val="1BB34BBE"/>
    <w:multiLevelType w:val="multilevel"/>
    <w:tmpl w:val="1BB34BBE"/>
    <w:lvl w:ilvl="0" w:tentative="0">
      <w:start w:val="1"/>
      <w:numFmt w:val="japaneseCounting"/>
      <w:lvlText w:val="第%1章"/>
      <w:lvlJc w:val="left"/>
      <w:pPr>
        <w:ind w:left="6232" w:hanging="420"/>
      </w:pPr>
      <w:rPr>
        <w:rFonts w:hint="default"/>
      </w:rPr>
    </w:lvl>
    <w:lvl w:ilvl="1" w:tentative="0">
      <w:start w:val="1"/>
      <w:numFmt w:val="japaneseCounting"/>
      <w:lvlText w:val="%2、"/>
      <w:lvlJc w:val="left"/>
      <w:pPr>
        <w:ind w:left="1532" w:hanging="510"/>
      </w:pPr>
      <w:rPr>
        <w:rFonts w:hint="default"/>
      </w:rPr>
    </w:lvl>
    <w:lvl w:ilvl="2" w:tentative="0">
      <w:start w:val="1"/>
      <w:numFmt w:val="lowerRoman"/>
      <w:lvlText w:val="%3."/>
      <w:lvlJc w:val="right"/>
      <w:pPr>
        <w:ind w:left="1862" w:hanging="420"/>
      </w:pPr>
    </w:lvl>
    <w:lvl w:ilvl="3" w:tentative="0">
      <w:start w:val="1"/>
      <w:numFmt w:val="decimal"/>
      <w:lvlText w:val="%4."/>
      <w:lvlJc w:val="left"/>
      <w:pPr>
        <w:ind w:left="2282" w:hanging="420"/>
      </w:pPr>
    </w:lvl>
    <w:lvl w:ilvl="4" w:tentative="0">
      <w:start w:val="1"/>
      <w:numFmt w:val="lowerLetter"/>
      <w:lvlText w:val="%5)"/>
      <w:lvlJc w:val="left"/>
      <w:pPr>
        <w:ind w:left="2702" w:hanging="420"/>
      </w:pPr>
    </w:lvl>
    <w:lvl w:ilvl="5" w:tentative="0">
      <w:start w:val="1"/>
      <w:numFmt w:val="lowerRoman"/>
      <w:lvlText w:val="%6."/>
      <w:lvlJc w:val="right"/>
      <w:pPr>
        <w:ind w:left="3122" w:hanging="420"/>
      </w:pPr>
    </w:lvl>
    <w:lvl w:ilvl="6" w:tentative="0">
      <w:start w:val="1"/>
      <w:numFmt w:val="decimal"/>
      <w:lvlText w:val="%7."/>
      <w:lvlJc w:val="left"/>
      <w:pPr>
        <w:ind w:left="3542" w:hanging="420"/>
      </w:pPr>
    </w:lvl>
    <w:lvl w:ilvl="7" w:tentative="0">
      <w:start w:val="1"/>
      <w:numFmt w:val="lowerLetter"/>
      <w:lvlText w:val="%8)"/>
      <w:lvlJc w:val="left"/>
      <w:pPr>
        <w:ind w:left="3962" w:hanging="420"/>
      </w:pPr>
    </w:lvl>
    <w:lvl w:ilvl="8" w:tentative="0">
      <w:start w:val="1"/>
      <w:numFmt w:val="lowerRoman"/>
      <w:lvlText w:val="%9."/>
      <w:lvlJc w:val="right"/>
      <w:pPr>
        <w:ind w:left="4382" w:hanging="420"/>
      </w:pPr>
    </w:lvl>
  </w:abstractNum>
  <w:abstractNum w:abstractNumId="2">
    <w:nsid w:val="23191ED6"/>
    <w:multiLevelType w:val="multilevel"/>
    <w:tmpl w:val="23191ED6"/>
    <w:lvl w:ilvl="0" w:tentative="0">
      <w:start w:val="1"/>
      <w:numFmt w:val="japaneseCounting"/>
      <w:lvlText w:val="第%1节"/>
      <w:lvlJc w:val="left"/>
      <w:pPr>
        <w:ind w:left="420" w:hanging="420"/>
      </w:pPr>
      <w:rPr>
        <w:rFonts w:hint="default"/>
      </w:rPr>
    </w:lvl>
    <w:lvl w:ilvl="1" w:tentative="0">
      <w:start w:val="1"/>
      <w:numFmt w:val="japaneseCounting"/>
      <w:lvlText w:val="%2．"/>
      <w:lvlJc w:val="left"/>
      <w:pPr>
        <w:ind w:left="1490" w:hanging="510"/>
      </w:pPr>
      <w:rPr>
        <w:rFonts w:hint="default"/>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
    <w:nsid w:val="2AE00905"/>
    <w:multiLevelType w:val="multilevel"/>
    <w:tmpl w:val="2AE00905"/>
    <w:lvl w:ilvl="0" w:tentative="0">
      <w:start w:val="1"/>
      <w:numFmt w:val="japaneseCounting"/>
      <w:lvlText w:val="（%1）"/>
      <w:lvlJc w:val="left"/>
      <w:pPr>
        <w:ind w:left="1247" w:hanging="765"/>
      </w:pPr>
      <w:rPr>
        <w:rFonts w:hint="default"/>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4">
    <w:nsid w:val="301E23FD"/>
    <w:multiLevelType w:val="multilevel"/>
    <w:tmpl w:val="301E23FD"/>
    <w:lvl w:ilvl="0" w:tentative="0">
      <w:start w:val="1"/>
      <w:numFmt w:val="japaneseCounting"/>
      <w:lvlText w:val="第%1节"/>
      <w:lvlJc w:val="left"/>
      <w:pPr>
        <w:ind w:left="420" w:hanging="420"/>
      </w:pPr>
      <w:rPr>
        <w:rFonts w:hint="default"/>
      </w:rPr>
    </w:lvl>
    <w:lvl w:ilvl="1" w:tentative="0">
      <w:start w:val="1"/>
      <w:numFmt w:val="japaneseCounting"/>
      <w:lvlText w:val="%2．"/>
      <w:lvlJc w:val="left"/>
      <w:pPr>
        <w:ind w:left="1490" w:hanging="510"/>
      </w:pPr>
      <w:rPr>
        <w:rFonts w:hint="default"/>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
    <w:nsid w:val="4C4B27CA"/>
    <w:multiLevelType w:val="multilevel"/>
    <w:tmpl w:val="4C4B27CA"/>
    <w:lvl w:ilvl="0" w:tentative="0">
      <w:start w:val="1"/>
      <w:numFmt w:val="japaneseCounting"/>
      <w:lvlText w:val="第%1节"/>
      <w:lvlJc w:val="left"/>
      <w:pPr>
        <w:ind w:left="3255" w:hanging="420"/>
      </w:pPr>
      <w:rPr>
        <w:rFonts w:hint="default"/>
      </w:rPr>
    </w:lvl>
    <w:lvl w:ilvl="1" w:tentative="0">
      <w:start w:val="1"/>
      <w:numFmt w:val="lowerLetter"/>
      <w:lvlText w:val="%2)"/>
      <w:lvlJc w:val="left"/>
      <w:pPr>
        <w:ind w:left="5660" w:hanging="420"/>
      </w:pPr>
    </w:lvl>
    <w:lvl w:ilvl="2" w:tentative="0">
      <w:start w:val="1"/>
      <w:numFmt w:val="lowerRoman"/>
      <w:lvlText w:val="%3."/>
      <w:lvlJc w:val="right"/>
      <w:pPr>
        <w:ind w:left="6080" w:hanging="420"/>
      </w:pPr>
    </w:lvl>
    <w:lvl w:ilvl="3" w:tentative="0">
      <w:start w:val="1"/>
      <w:numFmt w:val="decimal"/>
      <w:lvlText w:val="%4."/>
      <w:lvlJc w:val="left"/>
      <w:pPr>
        <w:ind w:left="6500" w:hanging="420"/>
      </w:pPr>
    </w:lvl>
    <w:lvl w:ilvl="4" w:tentative="0">
      <w:start w:val="1"/>
      <w:numFmt w:val="lowerLetter"/>
      <w:lvlText w:val="%5)"/>
      <w:lvlJc w:val="left"/>
      <w:pPr>
        <w:ind w:left="6920" w:hanging="420"/>
      </w:pPr>
    </w:lvl>
    <w:lvl w:ilvl="5" w:tentative="0">
      <w:start w:val="1"/>
      <w:numFmt w:val="lowerRoman"/>
      <w:lvlText w:val="%6."/>
      <w:lvlJc w:val="right"/>
      <w:pPr>
        <w:ind w:left="7340" w:hanging="420"/>
      </w:pPr>
    </w:lvl>
    <w:lvl w:ilvl="6" w:tentative="0">
      <w:start w:val="1"/>
      <w:numFmt w:val="decimal"/>
      <w:lvlText w:val="%7."/>
      <w:lvlJc w:val="left"/>
      <w:pPr>
        <w:ind w:left="7760" w:hanging="420"/>
      </w:pPr>
    </w:lvl>
    <w:lvl w:ilvl="7" w:tentative="0">
      <w:start w:val="1"/>
      <w:numFmt w:val="lowerLetter"/>
      <w:lvlText w:val="%8)"/>
      <w:lvlJc w:val="left"/>
      <w:pPr>
        <w:ind w:left="8180" w:hanging="420"/>
      </w:pPr>
    </w:lvl>
    <w:lvl w:ilvl="8" w:tentative="0">
      <w:start w:val="1"/>
      <w:numFmt w:val="lowerRoman"/>
      <w:lvlText w:val="%9."/>
      <w:lvlJc w:val="right"/>
      <w:pPr>
        <w:ind w:left="8600" w:hanging="420"/>
      </w:pPr>
    </w:lvl>
  </w:abstractNum>
  <w:abstractNum w:abstractNumId="6">
    <w:nsid w:val="7EC50F48"/>
    <w:multiLevelType w:val="multilevel"/>
    <w:tmpl w:val="7EC50F48"/>
    <w:lvl w:ilvl="0" w:tentative="0">
      <w:start w:val="1"/>
      <w:numFmt w:val="japaneseCounting"/>
      <w:lvlText w:val="第%1节"/>
      <w:lvlJc w:val="left"/>
      <w:pPr>
        <w:ind w:left="980" w:hanging="4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1"/>
  </w:num>
  <w:num w:numId="2">
    <w:abstractNumId w:val="5"/>
  </w:num>
  <w:num w:numId="3">
    <w:abstractNumId w:val="3"/>
  </w:num>
  <w:num w:numId="4">
    <w:abstractNumId w:val="0"/>
  </w:num>
  <w:num w:numId="5">
    <w:abstractNumId w:val="4"/>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YyMTkwMTk1NWMzMGJlOGQ0Y2ZiMTBlMzQ2ZTZiOGUifQ=="/>
  </w:docVars>
  <w:rsids>
    <w:rsidRoot w:val="0095565E"/>
    <w:rsid w:val="00000189"/>
    <w:rsid w:val="000001BE"/>
    <w:rsid w:val="000002B9"/>
    <w:rsid w:val="000005C5"/>
    <w:rsid w:val="00000F39"/>
    <w:rsid w:val="0000124D"/>
    <w:rsid w:val="000017A4"/>
    <w:rsid w:val="00001ADA"/>
    <w:rsid w:val="00001CB2"/>
    <w:rsid w:val="00001EA2"/>
    <w:rsid w:val="000025A7"/>
    <w:rsid w:val="00002C4D"/>
    <w:rsid w:val="00002CB8"/>
    <w:rsid w:val="0000360C"/>
    <w:rsid w:val="00003755"/>
    <w:rsid w:val="00003A5F"/>
    <w:rsid w:val="00003E72"/>
    <w:rsid w:val="00003ECD"/>
    <w:rsid w:val="0000433E"/>
    <w:rsid w:val="000048BA"/>
    <w:rsid w:val="00004A55"/>
    <w:rsid w:val="00004D05"/>
    <w:rsid w:val="00005150"/>
    <w:rsid w:val="0000528F"/>
    <w:rsid w:val="000052B2"/>
    <w:rsid w:val="0000589A"/>
    <w:rsid w:val="00005E1D"/>
    <w:rsid w:val="000061EB"/>
    <w:rsid w:val="00006253"/>
    <w:rsid w:val="000065E5"/>
    <w:rsid w:val="000067A3"/>
    <w:rsid w:val="000067EE"/>
    <w:rsid w:val="0000699C"/>
    <w:rsid w:val="00006AC5"/>
    <w:rsid w:val="000071D5"/>
    <w:rsid w:val="00007CAC"/>
    <w:rsid w:val="0001048C"/>
    <w:rsid w:val="00010498"/>
    <w:rsid w:val="0001157D"/>
    <w:rsid w:val="00011674"/>
    <w:rsid w:val="000116F6"/>
    <w:rsid w:val="0001180F"/>
    <w:rsid w:val="00011E9D"/>
    <w:rsid w:val="00012059"/>
    <w:rsid w:val="0001212A"/>
    <w:rsid w:val="000122B4"/>
    <w:rsid w:val="000123E7"/>
    <w:rsid w:val="0001240A"/>
    <w:rsid w:val="00012477"/>
    <w:rsid w:val="0001270C"/>
    <w:rsid w:val="000130A1"/>
    <w:rsid w:val="000137F7"/>
    <w:rsid w:val="00013CE4"/>
    <w:rsid w:val="0001407D"/>
    <w:rsid w:val="0001469B"/>
    <w:rsid w:val="00014737"/>
    <w:rsid w:val="00014B15"/>
    <w:rsid w:val="000152AF"/>
    <w:rsid w:val="000152F8"/>
    <w:rsid w:val="00015736"/>
    <w:rsid w:val="0001577E"/>
    <w:rsid w:val="00015C46"/>
    <w:rsid w:val="00015F8D"/>
    <w:rsid w:val="00016007"/>
    <w:rsid w:val="00016166"/>
    <w:rsid w:val="00016222"/>
    <w:rsid w:val="00016DBF"/>
    <w:rsid w:val="00016E5A"/>
    <w:rsid w:val="00016EC7"/>
    <w:rsid w:val="00016FE4"/>
    <w:rsid w:val="0001717A"/>
    <w:rsid w:val="000173D0"/>
    <w:rsid w:val="000179D5"/>
    <w:rsid w:val="00017AAC"/>
    <w:rsid w:val="00017C94"/>
    <w:rsid w:val="0002133F"/>
    <w:rsid w:val="00021BEB"/>
    <w:rsid w:val="00021F38"/>
    <w:rsid w:val="00022373"/>
    <w:rsid w:val="000223DC"/>
    <w:rsid w:val="00022452"/>
    <w:rsid w:val="000227BA"/>
    <w:rsid w:val="00022BCD"/>
    <w:rsid w:val="00022C9C"/>
    <w:rsid w:val="00022DD4"/>
    <w:rsid w:val="00022F8F"/>
    <w:rsid w:val="000234D3"/>
    <w:rsid w:val="00023940"/>
    <w:rsid w:val="00023D26"/>
    <w:rsid w:val="000241ED"/>
    <w:rsid w:val="000243C7"/>
    <w:rsid w:val="00024498"/>
    <w:rsid w:val="00024758"/>
    <w:rsid w:val="0002504C"/>
    <w:rsid w:val="00025119"/>
    <w:rsid w:val="0002519A"/>
    <w:rsid w:val="000252B4"/>
    <w:rsid w:val="000253C3"/>
    <w:rsid w:val="000257AE"/>
    <w:rsid w:val="000260DD"/>
    <w:rsid w:val="000264AA"/>
    <w:rsid w:val="00026548"/>
    <w:rsid w:val="000267CA"/>
    <w:rsid w:val="00026832"/>
    <w:rsid w:val="000268BF"/>
    <w:rsid w:val="000268F9"/>
    <w:rsid w:val="00026E71"/>
    <w:rsid w:val="00026F10"/>
    <w:rsid w:val="00027154"/>
    <w:rsid w:val="000277EE"/>
    <w:rsid w:val="000279AE"/>
    <w:rsid w:val="000300FA"/>
    <w:rsid w:val="00030178"/>
    <w:rsid w:val="00030508"/>
    <w:rsid w:val="000307BF"/>
    <w:rsid w:val="000307E6"/>
    <w:rsid w:val="000308F5"/>
    <w:rsid w:val="00030E77"/>
    <w:rsid w:val="00031263"/>
    <w:rsid w:val="000313B9"/>
    <w:rsid w:val="00031449"/>
    <w:rsid w:val="00031E5F"/>
    <w:rsid w:val="00031F91"/>
    <w:rsid w:val="00032E67"/>
    <w:rsid w:val="00032E7D"/>
    <w:rsid w:val="000331B4"/>
    <w:rsid w:val="00033545"/>
    <w:rsid w:val="00033908"/>
    <w:rsid w:val="00033950"/>
    <w:rsid w:val="00033CE3"/>
    <w:rsid w:val="00033D2A"/>
    <w:rsid w:val="000342FE"/>
    <w:rsid w:val="00034786"/>
    <w:rsid w:val="000347F0"/>
    <w:rsid w:val="0003489C"/>
    <w:rsid w:val="00034962"/>
    <w:rsid w:val="00034A62"/>
    <w:rsid w:val="00034D31"/>
    <w:rsid w:val="00034D6E"/>
    <w:rsid w:val="00034EB0"/>
    <w:rsid w:val="00035573"/>
    <w:rsid w:val="000356DF"/>
    <w:rsid w:val="0003580A"/>
    <w:rsid w:val="000358CC"/>
    <w:rsid w:val="000359FF"/>
    <w:rsid w:val="0003614D"/>
    <w:rsid w:val="0003616D"/>
    <w:rsid w:val="00036F48"/>
    <w:rsid w:val="00037901"/>
    <w:rsid w:val="00037962"/>
    <w:rsid w:val="00037A90"/>
    <w:rsid w:val="00037ABE"/>
    <w:rsid w:val="00037D20"/>
    <w:rsid w:val="00037D8B"/>
    <w:rsid w:val="00037EEB"/>
    <w:rsid w:val="00037F63"/>
    <w:rsid w:val="00037F7A"/>
    <w:rsid w:val="0004039D"/>
    <w:rsid w:val="00041490"/>
    <w:rsid w:val="0004166E"/>
    <w:rsid w:val="00041729"/>
    <w:rsid w:val="000417D7"/>
    <w:rsid w:val="0004188E"/>
    <w:rsid w:val="00041B64"/>
    <w:rsid w:val="00041B8B"/>
    <w:rsid w:val="00041F31"/>
    <w:rsid w:val="00042249"/>
    <w:rsid w:val="000426B3"/>
    <w:rsid w:val="00042BAB"/>
    <w:rsid w:val="00042C02"/>
    <w:rsid w:val="00042C0F"/>
    <w:rsid w:val="00042D70"/>
    <w:rsid w:val="0004372E"/>
    <w:rsid w:val="0004391D"/>
    <w:rsid w:val="0004395F"/>
    <w:rsid w:val="00043EDE"/>
    <w:rsid w:val="00044498"/>
    <w:rsid w:val="00044524"/>
    <w:rsid w:val="0004468E"/>
    <w:rsid w:val="00044FAA"/>
    <w:rsid w:val="0004509D"/>
    <w:rsid w:val="000452FE"/>
    <w:rsid w:val="0004566C"/>
    <w:rsid w:val="0004590E"/>
    <w:rsid w:val="00045E79"/>
    <w:rsid w:val="00046023"/>
    <w:rsid w:val="00046064"/>
    <w:rsid w:val="00046A1E"/>
    <w:rsid w:val="00046E49"/>
    <w:rsid w:val="00046E7C"/>
    <w:rsid w:val="00046F20"/>
    <w:rsid w:val="000472E5"/>
    <w:rsid w:val="0004781C"/>
    <w:rsid w:val="0004793D"/>
    <w:rsid w:val="00047E64"/>
    <w:rsid w:val="000507EA"/>
    <w:rsid w:val="0005089F"/>
    <w:rsid w:val="000508FC"/>
    <w:rsid w:val="00050E33"/>
    <w:rsid w:val="000510EB"/>
    <w:rsid w:val="00051116"/>
    <w:rsid w:val="000513FB"/>
    <w:rsid w:val="000516CA"/>
    <w:rsid w:val="000517E1"/>
    <w:rsid w:val="000517EE"/>
    <w:rsid w:val="00051A19"/>
    <w:rsid w:val="00051ACF"/>
    <w:rsid w:val="00051E08"/>
    <w:rsid w:val="00052024"/>
    <w:rsid w:val="000526D9"/>
    <w:rsid w:val="00052C7F"/>
    <w:rsid w:val="00052F1C"/>
    <w:rsid w:val="0005357A"/>
    <w:rsid w:val="00053AA3"/>
    <w:rsid w:val="00054260"/>
    <w:rsid w:val="0005435B"/>
    <w:rsid w:val="00054A9E"/>
    <w:rsid w:val="00054E6E"/>
    <w:rsid w:val="00055016"/>
    <w:rsid w:val="000552DD"/>
    <w:rsid w:val="000553A2"/>
    <w:rsid w:val="000553BB"/>
    <w:rsid w:val="0005570C"/>
    <w:rsid w:val="00056124"/>
    <w:rsid w:val="000567C7"/>
    <w:rsid w:val="00056AA9"/>
    <w:rsid w:val="00056D8C"/>
    <w:rsid w:val="000573D8"/>
    <w:rsid w:val="0005746C"/>
    <w:rsid w:val="00057546"/>
    <w:rsid w:val="0005764E"/>
    <w:rsid w:val="00057FF8"/>
    <w:rsid w:val="000601BF"/>
    <w:rsid w:val="000609C5"/>
    <w:rsid w:val="00060DD2"/>
    <w:rsid w:val="00061310"/>
    <w:rsid w:val="00061410"/>
    <w:rsid w:val="00061587"/>
    <w:rsid w:val="000615E4"/>
    <w:rsid w:val="000616D4"/>
    <w:rsid w:val="0006195C"/>
    <w:rsid w:val="00061CDE"/>
    <w:rsid w:val="00062063"/>
    <w:rsid w:val="00062150"/>
    <w:rsid w:val="000627A3"/>
    <w:rsid w:val="00063306"/>
    <w:rsid w:val="00063666"/>
    <w:rsid w:val="0006398D"/>
    <w:rsid w:val="00063C2F"/>
    <w:rsid w:val="00064236"/>
    <w:rsid w:val="00064960"/>
    <w:rsid w:val="00065288"/>
    <w:rsid w:val="00065B09"/>
    <w:rsid w:val="00066A50"/>
    <w:rsid w:val="00066BBA"/>
    <w:rsid w:val="00066EAF"/>
    <w:rsid w:val="00067D3E"/>
    <w:rsid w:val="00067EFC"/>
    <w:rsid w:val="00070672"/>
    <w:rsid w:val="000712C8"/>
    <w:rsid w:val="000712D7"/>
    <w:rsid w:val="00071443"/>
    <w:rsid w:val="0007164F"/>
    <w:rsid w:val="00071B40"/>
    <w:rsid w:val="0007206D"/>
    <w:rsid w:val="0007218F"/>
    <w:rsid w:val="00072692"/>
    <w:rsid w:val="00072888"/>
    <w:rsid w:val="0007310D"/>
    <w:rsid w:val="00073293"/>
    <w:rsid w:val="00073AA6"/>
    <w:rsid w:val="00073C50"/>
    <w:rsid w:val="00073DBC"/>
    <w:rsid w:val="000744B6"/>
    <w:rsid w:val="00074F2B"/>
    <w:rsid w:val="0007580E"/>
    <w:rsid w:val="0007585D"/>
    <w:rsid w:val="00075954"/>
    <w:rsid w:val="00075CE2"/>
    <w:rsid w:val="00075E32"/>
    <w:rsid w:val="00075F49"/>
    <w:rsid w:val="00075F61"/>
    <w:rsid w:val="00076413"/>
    <w:rsid w:val="00076472"/>
    <w:rsid w:val="000764AB"/>
    <w:rsid w:val="0007666B"/>
    <w:rsid w:val="0007679C"/>
    <w:rsid w:val="00076A1B"/>
    <w:rsid w:val="00076EE3"/>
    <w:rsid w:val="00077634"/>
    <w:rsid w:val="00080516"/>
    <w:rsid w:val="0008065F"/>
    <w:rsid w:val="00080B15"/>
    <w:rsid w:val="00080D69"/>
    <w:rsid w:val="00080FAF"/>
    <w:rsid w:val="0008122E"/>
    <w:rsid w:val="00081342"/>
    <w:rsid w:val="0008227C"/>
    <w:rsid w:val="0008275F"/>
    <w:rsid w:val="00082CDE"/>
    <w:rsid w:val="000834DB"/>
    <w:rsid w:val="00083545"/>
    <w:rsid w:val="00083867"/>
    <w:rsid w:val="00083E1F"/>
    <w:rsid w:val="00083E3A"/>
    <w:rsid w:val="00084547"/>
    <w:rsid w:val="000845E4"/>
    <w:rsid w:val="00084AEF"/>
    <w:rsid w:val="00084E22"/>
    <w:rsid w:val="00085051"/>
    <w:rsid w:val="000856A5"/>
    <w:rsid w:val="00085C79"/>
    <w:rsid w:val="0008600D"/>
    <w:rsid w:val="0008660D"/>
    <w:rsid w:val="000867BE"/>
    <w:rsid w:val="000867F0"/>
    <w:rsid w:val="00086A12"/>
    <w:rsid w:val="00086B56"/>
    <w:rsid w:val="00087115"/>
    <w:rsid w:val="000878F9"/>
    <w:rsid w:val="0009010D"/>
    <w:rsid w:val="00090415"/>
    <w:rsid w:val="0009042B"/>
    <w:rsid w:val="00090A1B"/>
    <w:rsid w:val="00091479"/>
    <w:rsid w:val="00091FEF"/>
    <w:rsid w:val="00092191"/>
    <w:rsid w:val="000921DB"/>
    <w:rsid w:val="0009221F"/>
    <w:rsid w:val="000923BB"/>
    <w:rsid w:val="000923C9"/>
    <w:rsid w:val="000924D3"/>
    <w:rsid w:val="00092820"/>
    <w:rsid w:val="00092B3E"/>
    <w:rsid w:val="00093146"/>
    <w:rsid w:val="0009381D"/>
    <w:rsid w:val="00093CCB"/>
    <w:rsid w:val="00093F8A"/>
    <w:rsid w:val="000940F8"/>
    <w:rsid w:val="000941B3"/>
    <w:rsid w:val="000951E6"/>
    <w:rsid w:val="000951EE"/>
    <w:rsid w:val="000952D0"/>
    <w:rsid w:val="00095B8F"/>
    <w:rsid w:val="00095EE5"/>
    <w:rsid w:val="00095F99"/>
    <w:rsid w:val="00096277"/>
    <w:rsid w:val="000965A2"/>
    <w:rsid w:val="00096672"/>
    <w:rsid w:val="00096D97"/>
    <w:rsid w:val="00096F69"/>
    <w:rsid w:val="0009704A"/>
    <w:rsid w:val="0009716A"/>
    <w:rsid w:val="0009783B"/>
    <w:rsid w:val="00097FC5"/>
    <w:rsid w:val="000A00A8"/>
    <w:rsid w:val="000A05F4"/>
    <w:rsid w:val="000A0809"/>
    <w:rsid w:val="000A0EB9"/>
    <w:rsid w:val="000A1144"/>
    <w:rsid w:val="000A1198"/>
    <w:rsid w:val="000A1479"/>
    <w:rsid w:val="000A1569"/>
    <w:rsid w:val="000A1776"/>
    <w:rsid w:val="000A19D1"/>
    <w:rsid w:val="000A19F5"/>
    <w:rsid w:val="000A20A6"/>
    <w:rsid w:val="000A22FE"/>
    <w:rsid w:val="000A2771"/>
    <w:rsid w:val="000A2DA3"/>
    <w:rsid w:val="000A35D7"/>
    <w:rsid w:val="000A363E"/>
    <w:rsid w:val="000A3920"/>
    <w:rsid w:val="000A3DA0"/>
    <w:rsid w:val="000A3E30"/>
    <w:rsid w:val="000A4163"/>
    <w:rsid w:val="000A49F3"/>
    <w:rsid w:val="000A4CA0"/>
    <w:rsid w:val="000A4CC4"/>
    <w:rsid w:val="000A4DC2"/>
    <w:rsid w:val="000A56B9"/>
    <w:rsid w:val="000A57A3"/>
    <w:rsid w:val="000A5815"/>
    <w:rsid w:val="000A590A"/>
    <w:rsid w:val="000A5A6C"/>
    <w:rsid w:val="000A5D2A"/>
    <w:rsid w:val="000A6033"/>
    <w:rsid w:val="000A6566"/>
    <w:rsid w:val="000A6959"/>
    <w:rsid w:val="000A6B27"/>
    <w:rsid w:val="000A6E3C"/>
    <w:rsid w:val="000A7A50"/>
    <w:rsid w:val="000A7B07"/>
    <w:rsid w:val="000A7BE2"/>
    <w:rsid w:val="000A7BFA"/>
    <w:rsid w:val="000A7D2A"/>
    <w:rsid w:val="000A7D7F"/>
    <w:rsid w:val="000A7F56"/>
    <w:rsid w:val="000B0124"/>
    <w:rsid w:val="000B0A49"/>
    <w:rsid w:val="000B0DF7"/>
    <w:rsid w:val="000B0F14"/>
    <w:rsid w:val="000B0FED"/>
    <w:rsid w:val="000B103F"/>
    <w:rsid w:val="000B11C5"/>
    <w:rsid w:val="000B1289"/>
    <w:rsid w:val="000B16D6"/>
    <w:rsid w:val="000B17BF"/>
    <w:rsid w:val="000B17D4"/>
    <w:rsid w:val="000B181F"/>
    <w:rsid w:val="000B1901"/>
    <w:rsid w:val="000B1ACC"/>
    <w:rsid w:val="000B1DDE"/>
    <w:rsid w:val="000B2430"/>
    <w:rsid w:val="000B24A0"/>
    <w:rsid w:val="000B2A58"/>
    <w:rsid w:val="000B2BDC"/>
    <w:rsid w:val="000B2E43"/>
    <w:rsid w:val="000B2EAC"/>
    <w:rsid w:val="000B2FFF"/>
    <w:rsid w:val="000B32DA"/>
    <w:rsid w:val="000B3372"/>
    <w:rsid w:val="000B37FA"/>
    <w:rsid w:val="000B3891"/>
    <w:rsid w:val="000B3A2A"/>
    <w:rsid w:val="000B3A54"/>
    <w:rsid w:val="000B3B00"/>
    <w:rsid w:val="000B3CCC"/>
    <w:rsid w:val="000B416D"/>
    <w:rsid w:val="000B499C"/>
    <w:rsid w:val="000B51B4"/>
    <w:rsid w:val="000B5286"/>
    <w:rsid w:val="000B5318"/>
    <w:rsid w:val="000B5BB9"/>
    <w:rsid w:val="000B5EAF"/>
    <w:rsid w:val="000B67CA"/>
    <w:rsid w:val="000B6AE6"/>
    <w:rsid w:val="000B7A80"/>
    <w:rsid w:val="000B7B71"/>
    <w:rsid w:val="000B7C0B"/>
    <w:rsid w:val="000B7EA1"/>
    <w:rsid w:val="000B7F19"/>
    <w:rsid w:val="000C0044"/>
    <w:rsid w:val="000C019B"/>
    <w:rsid w:val="000C0368"/>
    <w:rsid w:val="000C0947"/>
    <w:rsid w:val="000C0A50"/>
    <w:rsid w:val="000C1457"/>
    <w:rsid w:val="000C14A2"/>
    <w:rsid w:val="000C18B0"/>
    <w:rsid w:val="000C1983"/>
    <w:rsid w:val="000C1C1B"/>
    <w:rsid w:val="000C1C20"/>
    <w:rsid w:val="000C22D1"/>
    <w:rsid w:val="000C2410"/>
    <w:rsid w:val="000C2485"/>
    <w:rsid w:val="000C248D"/>
    <w:rsid w:val="000C26C5"/>
    <w:rsid w:val="000C2B2A"/>
    <w:rsid w:val="000C2B72"/>
    <w:rsid w:val="000C337E"/>
    <w:rsid w:val="000C3492"/>
    <w:rsid w:val="000C3CCC"/>
    <w:rsid w:val="000C4048"/>
    <w:rsid w:val="000C4587"/>
    <w:rsid w:val="000C490F"/>
    <w:rsid w:val="000C4CD3"/>
    <w:rsid w:val="000C4DA9"/>
    <w:rsid w:val="000C5125"/>
    <w:rsid w:val="000C5294"/>
    <w:rsid w:val="000C5650"/>
    <w:rsid w:val="000C5DFA"/>
    <w:rsid w:val="000C5F7F"/>
    <w:rsid w:val="000C60A6"/>
    <w:rsid w:val="000C64A0"/>
    <w:rsid w:val="000C6A73"/>
    <w:rsid w:val="000C6CC2"/>
    <w:rsid w:val="000C6DAB"/>
    <w:rsid w:val="000C6E4C"/>
    <w:rsid w:val="000C78DC"/>
    <w:rsid w:val="000C7B26"/>
    <w:rsid w:val="000C7D70"/>
    <w:rsid w:val="000C7DDB"/>
    <w:rsid w:val="000C7DFD"/>
    <w:rsid w:val="000D03E3"/>
    <w:rsid w:val="000D042B"/>
    <w:rsid w:val="000D0E39"/>
    <w:rsid w:val="000D0E4B"/>
    <w:rsid w:val="000D1559"/>
    <w:rsid w:val="000D15B7"/>
    <w:rsid w:val="000D203F"/>
    <w:rsid w:val="000D22C8"/>
    <w:rsid w:val="000D3882"/>
    <w:rsid w:val="000D3EB2"/>
    <w:rsid w:val="000D4406"/>
    <w:rsid w:val="000D44CA"/>
    <w:rsid w:val="000D4596"/>
    <w:rsid w:val="000D46C0"/>
    <w:rsid w:val="000D47AB"/>
    <w:rsid w:val="000D4A39"/>
    <w:rsid w:val="000D4B69"/>
    <w:rsid w:val="000D4D1A"/>
    <w:rsid w:val="000D543A"/>
    <w:rsid w:val="000D543F"/>
    <w:rsid w:val="000D5486"/>
    <w:rsid w:val="000D54F5"/>
    <w:rsid w:val="000D5552"/>
    <w:rsid w:val="000D5811"/>
    <w:rsid w:val="000D5A4B"/>
    <w:rsid w:val="000D5ADA"/>
    <w:rsid w:val="000D5D0A"/>
    <w:rsid w:val="000D6219"/>
    <w:rsid w:val="000D62DC"/>
    <w:rsid w:val="000D66E3"/>
    <w:rsid w:val="000D6873"/>
    <w:rsid w:val="000D6958"/>
    <w:rsid w:val="000D6A2B"/>
    <w:rsid w:val="000D6D31"/>
    <w:rsid w:val="000D6E64"/>
    <w:rsid w:val="000D7205"/>
    <w:rsid w:val="000D75BF"/>
    <w:rsid w:val="000E05D8"/>
    <w:rsid w:val="000E09A1"/>
    <w:rsid w:val="000E0C25"/>
    <w:rsid w:val="000E0CB8"/>
    <w:rsid w:val="000E0DCC"/>
    <w:rsid w:val="000E19C7"/>
    <w:rsid w:val="000E1A24"/>
    <w:rsid w:val="000E1A2A"/>
    <w:rsid w:val="000E2196"/>
    <w:rsid w:val="000E21DC"/>
    <w:rsid w:val="000E222F"/>
    <w:rsid w:val="000E2C1A"/>
    <w:rsid w:val="000E2CA6"/>
    <w:rsid w:val="000E3537"/>
    <w:rsid w:val="000E3565"/>
    <w:rsid w:val="000E37BF"/>
    <w:rsid w:val="000E3C51"/>
    <w:rsid w:val="000E3D81"/>
    <w:rsid w:val="000E4265"/>
    <w:rsid w:val="000E4497"/>
    <w:rsid w:val="000E44A3"/>
    <w:rsid w:val="000E44F9"/>
    <w:rsid w:val="000E5065"/>
    <w:rsid w:val="000E5471"/>
    <w:rsid w:val="000E5664"/>
    <w:rsid w:val="000E568A"/>
    <w:rsid w:val="000E5C88"/>
    <w:rsid w:val="000E606D"/>
    <w:rsid w:val="000E6331"/>
    <w:rsid w:val="000E6F59"/>
    <w:rsid w:val="000E7663"/>
    <w:rsid w:val="000E783E"/>
    <w:rsid w:val="000E78DD"/>
    <w:rsid w:val="000E7DBB"/>
    <w:rsid w:val="000E7EEE"/>
    <w:rsid w:val="000F000B"/>
    <w:rsid w:val="000F041A"/>
    <w:rsid w:val="000F08D2"/>
    <w:rsid w:val="000F0A08"/>
    <w:rsid w:val="000F0E9E"/>
    <w:rsid w:val="000F123E"/>
    <w:rsid w:val="000F15C8"/>
    <w:rsid w:val="000F1D98"/>
    <w:rsid w:val="000F1FB8"/>
    <w:rsid w:val="000F20D8"/>
    <w:rsid w:val="000F21F7"/>
    <w:rsid w:val="000F23B5"/>
    <w:rsid w:val="000F28A3"/>
    <w:rsid w:val="000F2C5B"/>
    <w:rsid w:val="000F31A7"/>
    <w:rsid w:val="000F3771"/>
    <w:rsid w:val="000F38C6"/>
    <w:rsid w:val="000F3A2B"/>
    <w:rsid w:val="000F3AFC"/>
    <w:rsid w:val="000F4110"/>
    <w:rsid w:val="000F4195"/>
    <w:rsid w:val="000F4221"/>
    <w:rsid w:val="000F45D7"/>
    <w:rsid w:val="000F485E"/>
    <w:rsid w:val="000F4B28"/>
    <w:rsid w:val="000F4E23"/>
    <w:rsid w:val="000F4F70"/>
    <w:rsid w:val="000F54D8"/>
    <w:rsid w:val="000F557F"/>
    <w:rsid w:val="000F57A8"/>
    <w:rsid w:val="000F5A27"/>
    <w:rsid w:val="000F5A99"/>
    <w:rsid w:val="000F641B"/>
    <w:rsid w:val="000F6443"/>
    <w:rsid w:val="000F684F"/>
    <w:rsid w:val="000F6AD0"/>
    <w:rsid w:val="000F6BB7"/>
    <w:rsid w:val="000F6D66"/>
    <w:rsid w:val="000F700B"/>
    <w:rsid w:val="000F738E"/>
    <w:rsid w:val="000F743F"/>
    <w:rsid w:val="000F7487"/>
    <w:rsid w:val="000F7691"/>
    <w:rsid w:val="000F77E3"/>
    <w:rsid w:val="00100389"/>
    <w:rsid w:val="00100487"/>
    <w:rsid w:val="00100589"/>
    <w:rsid w:val="00100D75"/>
    <w:rsid w:val="00100E53"/>
    <w:rsid w:val="00100E57"/>
    <w:rsid w:val="0010110C"/>
    <w:rsid w:val="00101E22"/>
    <w:rsid w:val="0010200A"/>
    <w:rsid w:val="00102643"/>
    <w:rsid w:val="00102B2E"/>
    <w:rsid w:val="00102D41"/>
    <w:rsid w:val="001030B8"/>
    <w:rsid w:val="00103268"/>
    <w:rsid w:val="00103E99"/>
    <w:rsid w:val="00103ED0"/>
    <w:rsid w:val="00103F06"/>
    <w:rsid w:val="00104390"/>
    <w:rsid w:val="001049CE"/>
    <w:rsid w:val="00104D74"/>
    <w:rsid w:val="00105618"/>
    <w:rsid w:val="00105C48"/>
    <w:rsid w:val="00106A22"/>
    <w:rsid w:val="0010742C"/>
    <w:rsid w:val="0010743D"/>
    <w:rsid w:val="00107987"/>
    <w:rsid w:val="001106D2"/>
    <w:rsid w:val="0011095C"/>
    <w:rsid w:val="00110A69"/>
    <w:rsid w:val="00110FB6"/>
    <w:rsid w:val="00111009"/>
    <w:rsid w:val="001116FC"/>
    <w:rsid w:val="00111794"/>
    <w:rsid w:val="00111B7F"/>
    <w:rsid w:val="00111C96"/>
    <w:rsid w:val="00111D44"/>
    <w:rsid w:val="00111FD1"/>
    <w:rsid w:val="00112083"/>
    <w:rsid w:val="00112186"/>
    <w:rsid w:val="0011342E"/>
    <w:rsid w:val="0011371F"/>
    <w:rsid w:val="00113B3E"/>
    <w:rsid w:val="0011404C"/>
    <w:rsid w:val="00114786"/>
    <w:rsid w:val="00114CED"/>
    <w:rsid w:val="00114D32"/>
    <w:rsid w:val="00114D3B"/>
    <w:rsid w:val="001152D1"/>
    <w:rsid w:val="00115C2F"/>
    <w:rsid w:val="001162EB"/>
    <w:rsid w:val="00116BE2"/>
    <w:rsid w:val="00117070"/>
    <w:rsid w:val="00117597"/>
    <w:rsid w:val="001176B7"/>
    <w:rsid w:val="00117B52"/>
    <w:rsid w:val="00117BE5"/>
    <w:rsid w:val="00117CC9"/>
    <w:rsid w:val="00117D34"/>
    <w:rsid w:val="00117FB4"/>
    <w:rsid w:val="0012006D"/>
    <w:rsid w:val="001200AF"/>
    <w:rsid w:val="00120585"/>
    <w:rsid w:val="001205DE"/>
    <w:rsid w:val="00120697"/>
    <w:rsid w:val="001206EC"/>
    <w:rsid w:val="00120AB5"/>
    <w:rsid w:val="00120AEA"/>
    <w:rsid w:val="00120EEA"/>
    <w:rsid w:val="001212C4"/>
    <w:rsid w:val="00121484"/>
    <w:rsid w:val="001214E3"/>
    <w:rsid w:val="00121B49"/>
    <w:rsid w:val="0012254E"/>
    <w:rsid w:val="00122A1F"/>
    <w:rsid w:val="00122A63"/>
    <w:rsid w:val="00122CC9"/>
    <w:rsid w:val="00122D4C"/>
    <w:rsid w:val="00122F47"/>
    <w:rsid w:val="001230BD"/>
    <w:rsid w:val="001230D8"/>
    <w:rsid w:val="00123170"/>
    <w:rsid w:val="0012318C"/>
    <w:rsid w:val="0012365A"/>
    <w:rsid w:val="00123833"/>
    <w:rsid w:val="00123A47"/>
    <w:rsid w:val="00123D55"/>
    <w:rsid w:val="00123E08"/>
    <w:rsid w:val="0012434C"/>
    <w:rsid w:val="0012488B"/>
    <w:rsid w:val="00124AC8"/>
    <w:rsid w:val="00124E25"/>
    <w:rsid w:val="00124E97"/>
    <w:rsid w:val="00124F9D"/>
    <w:rsid w:val="00125344"/>
    <w:rsid w:val="00125815"/>
    <w:rsid w:val="001259D2"/>
    <w:rsid w:val="00125E01"/>
    <w:rsid w:val="00125E5D"/>
    <w:rsid w:val="00125E6B"/>
    <w:rsid w:val="0012637B"/>
    <w:rsid w:val="00126C2E"/>
    <w:rsid w:val="00126DD1"/>
    <w:rsid w:val="00126EF7"/>
    <w:rsid w:val="00127165"/>
    <w:rsid w:val="00130167"/>
    <w:rsid w:val="0013036F"/>
    <w:rsid w:val="00130467"/>
    <w:rsid w:val="001305F3"/>
    <w:rsid w:val="0013064E"/>
    <w:rsid w:val="0013065D"/>
    <w:rsid w:val="00131346"/>
    <w:rsid w:val="001318A2"/>
    <w:rsid w:val="00131D32"/>
    <w:rsid w:val="00131DE6"/>
    <w:rsid w:val="00131EAB"/>
    <w:rsid w:val="00132360"/>
    <w:rsid w:val="00132740"/>
    <w:rsid w:val="00132A27"/>
    <w:rsid w:val="0013305D"/>
    <w:rsid w:val="001333FE"/>
    <w:rsid w:val="001335D0"/>
    <w:rsid w:val="001336ED"/>
    <w:rsid w:val="00133D4E"/>
    <w:rsid w:val="00133FCF"/>
    <w:rsid w:val="001341F3"/>
    <w:rsid w:val="0013423A"/>
    <w:rsid w:val="001344AC"/>
    <w:rsid w:val="00134930"/>
    <w:rsid w:val="00134BA7"/>
    <w:rsid w:val="00134CE5"/>
    <w:rsid w:val="00134FD7"/>
    <w:rsid w:val="0013515A"/>
    <w:rsid w:val="00135C7D"/>
    <w:rsid w:val="00135CC4"/>
    <w:rsid w:val="001366F1"/>
    <w:rsid w:val="00136811"/>
    <w:rsid w:val="00136ADA"/>
    <w:rsid w:val="001371D6"/>
    <w:rsid w:val="00137414"/>
    <w:rsid w:val="00137DB0"/>
    <w:rsid w:val="00137FE5"/>
    <w:rsid w:val="00140239"/>
    <w:rsid w:val="001403E6"/>
    <w:rsid w:val="001405AA"/>
    <w:rsid w:val="0014069F"/>
    <w:rsid w:val="00140A1F"/>
    <w:rsid w:val="00140A6B"/>
    <w:rsid w:val="00140AFF"/>
    <w:rsid w:val="00140B4B"/>
    <w:rsid w:val="0014103C"/>
    <w:rsid w:val="00141686"/>
    <w:rsid w:val="0014176E"/>
    <w:rsid w:val="001418EE"/>
    <w:rsid w:val="0014248B"/>
    <w:rsid w:val="00142533"/>
    <w:rsid w:val="00142534"/>
    <w:rsid w:val="001425CE"/>
    <w:rsid w:val="00142B1E"/>
    <w:rsid w:val="00142BAB"/>
    <w:rsid w:val="00143810"/>
    <w:rsid w:val="00143EFE"/>
    <w:rsid w:val="001440C1"/>
    <w:rsid w:val="001440D3"/>
    <w:rsid w:val="00144886"/>
    <w:rsid w:val="0014496D"/>
    <w:rsid w:val="00144A83"/>
    <w:rsid w:val="00144BA4"/>
    <w:rsid w:val="00144D64"/>
    <w:rsid w:val="001452C0"/>
    <w:rsid w:val="001454AA"/>
    <w:rsid w:val="001456C3"/>
    <w:rsid w:val="0014655D"/>
    <w:rsid w:val="001465BE"/>
    <w:rsid w:val="001466B8"/>
    <w:rsid w:val="001466F2"/>
    <w:rsid w:val="0014728B"/>
    <w:rsid w:val="0014745E"/>
    <w:rsid w:val="00147701"/>
    <w:rsid w:val="001478ED"/>
    <w:rsid w:val="00147A08"/>
    <w:rsid w:val="00147CD5"/>
    <w:rsid w:val="00147F13"/>
    <w:rsid w:val="00150135"/>
    <w:rsid w:val="00150458"/>
    <w:rsid w:val="00150935"/>
    <w:rsid w:val="00150E49"/>
    <w:rsid w:val="00151020"/>
    <w:rsid w:val="0015114A"/>
    <w:rsid w:val="001513D8"/>
    <w:rsid w:val="00151672"/>
    <w:rsid w:val="00151884"/>
    <w:rsid w:val="00151F36"/>
    <w:rsid w:val="00151F50"/>
    <w:rsid w:val="00152139"/>
    <w:rsid w:val="001524F7"/>
    <w:rsid w:val="001529E7"/>
    <w:rsid w:val="00152D81"/>
    <w:rsid w:val="00153041"/>
    <w:rsid w:val="00153691"/>
    <w:rsid w:val="0015373B"/>
    <w:rsid w:val="00153919"/>
    <w:rsid w:val="001539EA"/>
    <w:rsid w:val="00153B36"/>
    <w:rsid w:val="0015402D"/>
    <w:rsid w:val="001541FF"/>
    <w:rsid w:val="0015449D"/>
    <w:rsid w:val="00154729"/>
    <w:rsid w:val="00155476"/>
    <w:rsid w:val="00155633"/>
    <w:rsid w:val="00155CCB"/>
    <w:rsid w:val="00155CF3"/>
    <w:rsid w:val="001560D2"/>
    <w:rsid w:val="0015611F"/>
    <w:rsid w:val="00156130"/>
    <w:rsid w:val="001565B3"/>
    <w:rsid w:val="00156834"/>
    <w:rsid w:val="001568B8"/>
    <w:rsid w:val="00156ABB"/>
    <w:rsid w:val="0015705A"/>
    <w:rsid w:val="001575EF"/>
    <w:rsid w:val="001577C2"/>
    <w:rsid w:val="001607A0"/>
    <w:rsid w:val="001607B8"/>
    <w:rsid w:val="00161308"/>
    <w:rsid w:val="001613D3"/>
    <w:rsid w:val="00161493"/>
    <w:rsid w:val="00161638"/>
    <w:rsid w:val="001617F0"/>
    <w:rsid w:val="001619FD"/>
    <w:rsid w:val="00162719"/>
    <w:rsid w:val="00162842"/>
    <w:rsid w:val="00162E59"/>
    <w:rsid w:val="001631EE"/>
    <w:rsid w:val="00163AAE"/>
    <w:rsid w:val="00163B35"/>
    <w:rsid w:val="00163DB1"/>
    <w:rsid w:val="00163FAC"/>
    <w:rsid w:val="0016460D"/>
    <w:rsid w:val="001649A6"/>
    <w:rsid w:val="00164BB1"/>
    <w:rsid w:val="00165634"/>
    <w:rsid w:val="001658C8"/>
    <w:rsid w:val="00165918"/>
    <w:rsid w:val="001665AC"/>
    <w:rsid w:val="001665E3"/>
    <w:rsid w:val="00166E4C"/>
    <w:rsid w:val="001674DA"/>
    <w:rsid w:val="001678FB"/>
    <w:rsid w:val="00167D1F"/>
    <w:rsid w:val="00167FD1"/>
    <w:rsid w:val="0017012C"/>
    <w:rsid w:val="001703A9"/>
    <w:rsid w:val="001706E4"/>
    <w:rsid w:val="00170C2D"/>
    <w:rsid w:val="00171044"/>
    <w:rsid w:val="00171093"/>
    <w:rsid w:val="001710D1"/>
    <w:rsid w:val="001711A6"/>
    <w:rsid w:val="001719D4"/>
    <w:rsid w:val="00171A15"/>
    <w:rsid w:val="00171F04"/>
    <w:rsid w:val="00171F3A"/>
    <w:rsid w:val="0017209A"/>
    <w:rsid w:val="00172691"/>
    <w:rsid w:val="00172A8D"/>
    <w:rsid w:val="001730AE"/>
    <w:rsid w:val="0017311A"/>
    <w:rsid w:val="00173426"/>
    <w:rsid w:val="00173B33"/>
    <w:rsid w:val="00173DAB"/>
    <w:rsid w:val="00174457"/>
    <w:rsid w:val="001744DF"/>
    <w:rsid w:val="001745F6"/>
    <w:rsid w:val="00174C2D"/>
    <w:rsid w:val="00174C93"/>
    <w:rsid w:val="00174CFE"/>
    <w:rsid w:val="00174D55"/>
    <w:rsid w:val="00174EC2"/>
    <w:rsid w:val="00174ED3"/>
    <w:rsid w:val="001753BC"/>
    <w:rsid w:val="00175436"/>
    <w:rsid w:val="001759E1"/>
    <w:rsid w:val="00175B8C"/>
    <w:rsid w:val="0017622D"/>
    <w:rsid w:val="00176829"/>
    <w:rsid w:val="00176A73"/>
    <w:rsid w:val="00177052"/>
    <w:rsid w:val="00177364"/>
    <w:rsid w:val="00177488"/>
    <w:rsid w:val="0017777F"/>
    <w:rsid w:val="00177830"/>
    <w:rsid w:val="00177989"/>
    <w:rsid w:val="00177F4B"/>
    <w:rsid w:val="0018011F"/>
    <w:rsid w:val="001804D7"/>
    <w:rsid w:val="001809EB"/>
    <w:rsid w:val="00181496"/>
    <w:rsid w:val="001814E0"/>
    <w:rsid w:val="00181936"/>
    <w:rsid w:val="00181B23"/>
    <w:rsid w:val="00182078"/>
    <w:rsid w:val="0018239F"/>
    <w:rsid w:val="00182755"/>
    <w:rsid w:val="00182B3D"/>
    <w:rsid w:val="00182EEA"/>
    <w:rsid w:val="00183385"/>
    <w:rsid w:val="0018339B"/>
    <w:rsid w:val="00183849"/>
    <w:rsid w:val="00183BC7"/>
    <w:rsid w:val="00184D9D"/>
    <w:rsid w:val="001852B6"/>
    <w:rsid w:val="001856CE"/>
    <w:rsid w:val="001857B6"/>
    <w:rsid w:val="00185809"/>
    <w:rsid w:val="00185CCA"/>
    <w:rsid w:val="00185FB9"/>
    <w:rsid w:val="0018608C"/>
    <w:rsid w:val="0018656E"/>
    <w:rsid w:val="00186B42"/>
    <w:rsid w:val="001870EC"/>
    <w:rsid w:val="00187272"/>
    <w:rsid w:val="0018733D"/>
    <w:rsid w:val="0018744E"/>
    <w:rsid w:val="00187472"/>
    <w:rsid w:val="00187493"/>
    <w:rsid w:val="0018768D"/>
    <w:rsid w:val="00187D46"/>
    <w:rsid w:val="00187DA2"/>
    <w:rsid w:val="00190239"/>
    <w:rsid w:val="0019034C"/>
    <w:rsid w:val="00190E80"/>
    <w:rsid w:val="001911E1"/>
    <w:rsid w:val="0019185B"/>
    <w:rsid w:val="00191904"/>
    <w:rsid w:val="00191C00"/>
    <w:rsid w:val="00191E3E"/>
    <w:rsid w:val="0019216E"/>
    <w:rsid w:val="00192238"/>
    <w:rsid w:val="0019263F"/>
    <w:rsid w:val="00192762"/>
    <w:rsid w:val="00192A75"/>
    <w:rsid w:val="00192CC4"/>
    <w:rsid w:val="00192E2E"/>
    <w:rsid w:val="001935C0"/>
    <w:rsid w:val="001937BA"/>
    <w:rsid w:val="00193941"/>
    <w:rsid w:val="0019466A"/>
    <w:rsid w:val="001947C9"/>
    <w:rsid w:val="001947D8"/>
    <w:rsid w:val="00194B59"/>
    <w:rsid w:val="00194CCD"/>
    <w:rsid w:val="00194EB0"/>
    <w:rsid w:val="00195068"/>
    <w:rsid w:val="00195160"/>
    <w:rsid w:val="001956AC"/>
    <w:rsid w:val="00195A2A"/>
    <w:rsid w:val="00195A9F"/>
    <w:rsid w:val="00195B7B"/>
    <w:rsid w:val="00195BF8"/>
    <w:rsid w:val="00195DA7"/>
    <w:rsid w:val="00196149"/>
    <w:rsid w:val="00196248"/>
    <w:rsid w:val="0019631A"/>
    <w:rsid w:val="0019667E"/>
    <w:rsid w:val="00196759"/>
    <w:rsid w:val="001969D2"/>
    <w:rsid w:val="00196B6F"/>
    <w:rsid w:val="001976BD"/>
    <w:rsid w:val="001A0085"/>
    <w:rsid w:val="001A0C24"/>
    <w:rsid w:val="001A0CD6"/>
    <w:rsid w:val="001A1451"/>
    <w:rsid w:val="001A1735"/>
    <w:rsid w:val="001A1AC0"/>
    <w:rsid w:val="001A22D4"/>
    <w:rsid w:val="001A22E1"/>
    <w:rsid w:val="001A26D1"/>
    <w:rsid w:val="001A2B81"/>
    <w:rsid w:val="001A2BFB"/>
    <w:rsid w:val="001A2E22"/>
    <w:rsid w:val="001A2E5F"/>
    <w:rsid w:val="001A2F49"/>
    <w:rsid w:val="001A31CC"/>
    <w:rsid w:val="001A38CA"/>
    <w:rsid w:val="001A3A78"/>
    <w:rsid w:val="001A3C7D"/>
    <w:rsid w:val="001A3EC7"/>
    <w:rsid w:val="001A40A5"/>
    <w:rsid w:val="001A4448"/>
    <w:rsid w:val="001A4602"/>
    <w:rsid w:val="001A4863"/>
    <w:rsid w:val="001A4A8D"/>
    <w:rsid w:val="001A4E75"/>
    <w:rsid w:val="001A54BA"/>
    <w:rsid w:val="001A5531"/>
    <w:rsid w:val="001A563A"/>
    <w:rsid w:val="001A578F"/>
    <w:rsid w:val="001A5BA6"/>
    <w:rsid w:val="001A5F77"/>
    <w:rsid w:val="001A6089"/>
    <w:rsid w:val="001A60F0"/>
    <w:rsid w:val="001A6120"/>
    <w:rsid w:val="001A6542"/>
    <w:rsid w:val="001A6798"/>
    <w:rsid w:val="001A68B7"/>
    <w:rsid w:val="001A6911"/>
    <w:rsid w:val="001A7066"/>
    <w:rsid w:val="001A73AA"/>
    <w:rsid w:val="001A7AE1"/>
    <w:rsid w:val="001A7C5D"/>
    <w:rsid w:val="001B05E0"/>
    <w:rsid w:val="001B0AEE"/>
    <w:rsid w:val="001B0CEB"/>
    <w:rsid w:val="001B0F2C"/>
    <w:rsid w:val="001B0F45"/>
    <w:rsid w:val="001B10B1"/>
    <w:rsid w:val="001B11FD"/>
    <w:rsid w:val="001B1505"/>
    <w:rsid w:val="001B1625"/>
    <w:rsid w:val="001B1C05"/>
    <w:rsid w:val="001B1D0D"/>
    <w:rsid w:val="001B1ECE"/>
    <w:rsid w:val="001B1FBF"/>
    <w:rsid w:val="001B20DF"/>
    <w:rsid w:val="001B245F"/>
    <w:rsid w:val="001B25E4"/>
    <w:rsid w:val="001B2799"/>
    <w:rsid w:val="001B2803"/>
    <w:rsid w:val="001B2C79"/>
    <w:rsid w:val="001B2D99"/>
    <w:rsid w:val="001B2EEC"/>
    <w:rsid w:val="001B2FC7"/>
    <w:rsid w:val="001B3536"/>
    <w:rsid w:val="001B3885"/>
    <w:rsid w:val="001B4409"/>
    <w:rsid w:val="001B4417"/>
    <w:rsid w:val="001B467F"/>
    <w:rsid w:val="001B4B5F"/>
    <w:rsid w:val="001B5201"/>
    <w:rsid w:val="001B577F"/>
    <w:rsid w:val="001B5B42"/>
    <w:rsid w:val="001B6CE2"/>
    <w:rsid w:val="001B71F4"/>
    <w:rsid w:val="001B759D"/>
    <w:rsid w:val="001B7D4E"/>
    <w:rsid w:val="001B7DAC"/>
    <w:rsid w:val="001C04D7"/>
    <w:rsid w:val="001C07E7"/>
    <w:rsid w:val="001C100A"/>
    <w:rsid w:val="001C172A"/>
    <w:rsid w:val="001C18C1"/>
    <w:rsid w:val="001C18CA"/>
    <w:rsid w:val="001C1AA1"/>
    <w:rsid w:val="001C1CF6"/>
    <w:rsid w:val="001C1D88"/>
    <w:rsid w:val="001C1F2B"/>
    <w:rsid w:val="001C295B"/>
    <w:rsid w:val="001C2A9E"/>
    <w:rsid w:val="001C308B"/>
    <w:rsid w:val="001C3383"/>
    <w:rsid w:val="001C3567"/>
    <w:rsid w:val="001C35D9"/>
    <w:rsid w:val="001C37F9"/>
    <w:rsid w:val="001C3AAE"/>
    <w:rsid w:val="001C3C4F"/>
    <w:rsid w:val="001C4503"/>
    <w:rsid w:val="001C4C7E"/>
    <w:rsid w:val="001C4DB5"/>
    <w:rsid w:val="001C54CA"/>
    <w:rsid w:val="001C5610"/>
    <w:rsid w:val="001C58AB"/>
    <w:rsid w:val="001C5A86"/>
    <w:rsid w:val="001C5D4E"/>
    <w:rsid w:val="001C5F5B"/>
    <w:rsid w:val="001C6004"/>
    <w:rsid w:val="001C61C5"/>
    <w:rsid w:val="001C629E"/>
    <w:rsid w:val="001C6468"/>
    <w:rsid w:val="001C6C85"/>
    <w:rsid w:val="001C6C87"/>
    <w:rsid w:val="001C6CA1"/>
    <w:rsid w:val="001C6D6D"/>
    <w:rsid w:val="001C6E82"/>
    <w:rsid w:val="001C7150"/>
    <w:rsid w:val="001C7603"/>
    <w:rsid w:val="001C7766"/>
    <w:rsid w:val="001C798A"/>
    <w:rsid w:val="001C7BF8"/>
    <w:rsid w:val="001C7F53"/>
    <w:rsid w:val="001D007D"/>
    <w:rsid w:val="001D00D8"/>
    <w:rsid w:val="001D0430"/>
    <w:rsid w:val="001D064F"/>
    <w:rsid w:val="001D096E"/>
    <w:rsid w:val="001D0A53"/>
    <w:rsid w:val="001D0FAD"/>
    <w:rsid w:val="001D1A6C"/>
    <w:rsid w:val="001D1DDD"/>
    <w:rsid w:val="001D20F1"/>
    <w:rsid w:val="001D248D"/>
    <w:rsid w:val="001D25C0"/>
    <w:rsid w:val="001D2627"/>
    <w:rsid w:val="001D2728"/>
    <w:rsid w:val="001D2DBE"/>
    <w:rsid w:val="001D2E1F"/>
    <w:rsid w:val="001D38FD"/>
    <w:rsid w:val="001D390C"/>
    <w:rsid w:val="001D3C9B"/>
    <w:rsid w:val="001D407F"/>
    <w:rsid w:val="001D4135"/>
    <w:rsid w:val="001D46A2"/>
    <w:rsid w:val="001D4857"/>
    <w:rsid w:val="001D48AD"/>
    <w:rsid w:val="001D5325"/>
    <w:rsid w:val="001D5625"/>
    <w:rsid w:val="001D56F8"/>
    <w:rsid w:val="001D5BA2"/>
    <w:rsid w:val="001D5D08"/>
    <w:rsid w:val="001D603D"/>
    <w:rsid w:val="001D67B0"/>
    <w:rsid w:val="001D67E8"/>
    <w:rsid w:val="001D6A5C"/>
    <w:rsid w:val="001D6A7B"/>
    <w:rsid w:val="001D6F54"/>
    <w:rsid w:val="001D78B9"/>
    <w:rsid w:val="001D7960"/>
    <w:rsid w:val="001D7EEF"/>
    <w:rsid w:val="001E006A"/>
    <w:rsid w:val="001E0530"/>
    <w:rsid w:val="001E05AB"/>
    <w:rsid w:val="001E1849"/>
    <w:rsid w:val="001E1E4E"/>
    <w:rsid w:val="001E20E0"/>
    <w:rsid w:val="001E2483"/>
    <w:rsid w:val="001E2EC7"/>
    <w:rsid w:val="001E31D2"/>
    <w:rsid w:val="001E3290"/>
    <w:rsid w:val="001E339C"/>
    <w:rsid w:val="001E39D8"/>
    <w:rsid w:val="001E3A49"/>
    <w:rsid w:val="001E3C28"/>
    <w:rsid w:val="001E3F5D"/>
    <w:rsid w:val="001E4EED"/>
    <w:rsid w:val="001E50CA"/>
    <w:rsid w:val="001E52C1"/>
    <w:rsid w:val="001E52D6"/>
    <w:rsid w:val="001E6000"/>
    <w:rsid w:val="001E67F0"/>
    <w:rsid w:val="001E6959"/>
    <w:rsid w:val="001E6CF8"/>
    <w:rsid w:val="001E7696"/>
    <w:rsid w:val="001E77AE"/>
    <w:rsid w:val="001F0157"/>
    <w:rsid w:val="001F036B"/>
    <w:rsid w:val="001F0818"/>
    <w:rsid w:val="001F0F51"/>
    <w:rsid w:val="001F143E"/>
    <w:rsid w:val="001F1633"/>
    <w:rsid w:val="001F1763"/>
    <w:rsid w:val="001F1AD3"/>
    <w:rsid w:val="001F1B35"/>
    <w:rsid w:val="001F1BFB"/>
    <w:rsid w:val="001F1E83"/>
    <w:rsid w:val="001F21B6"/>
    <w:rsid w:val="001F3139"/>
    <w:rsid w:val="001F33AD"/>
    <w:rsid w:val="001F3A23"/>
    <w:rsid w:val="001F4167"/>
    <w:rsid w:val="001F4204"/>
    <w:rsid w:val="001F469C"/>
    <w:rsid w:val="001F4841"/>
    <w:rsid w:val="001F4B77"/>
    <w:rsid w:val="001F4D88"/>
    <w:rsid w:val="001F4F86"/>
    <w:rsid w:val="001F503F"/>
    <w:rsid w:val="001F536B"/>
    <w:rsid w:val="001F5721"/>
    <w:rsid w:val="001F59C5"/>
    <w:rsid w:val="001F5F3C"/>
    <w:rsid w:val="001F6436"/>
    <w:rsid w:val="001F6993"/>
    <w:rsid w:val="001F6CF4"/>
    <w:rsid w:val="001F73A3"/>
    <w:rsid w:val="001F73FF"/>
    <w:rsid w:val="001F748A"/>
    <w:rsid w:val="001F7D9C"/>
    <w:rsid w:val="0020002E"/>
    <w:rsid w:val="002000C8"/>
    <w:rsid w:val="002006F1"/>
    <w:rsid w:val="00200E00"/>
    <w:rsid w:val="00200E28"/>
    <w:rsid w:val="00200FEA"/>
    <w:rsid w:val="002010FD"/>
    <w:rsid w:val="0020148A"/>
    <w:rsid w:val="00201653"/>
    <w:rsid w:val="002018B0"/>
    <w:rsid w:val="002019D7"/>
    <w:rsid w:val="00201C21"/>
    <w:rsid w:val="00201F99"/>
    <w:rsid w:val="002026BA"/>
    <w:rsid w:val="00202B7A"/>
    <w:rsid w:val="00202EE1"/>
    <w:rsid w:val="00202FC2"/>
    <w:rsid w:val="00203405"/>
    <w:rsid w:val="0020355A"/>
    <w:rsid w:val="002038FA"/>
    <w:rsid w:val="00203BC3"/>
    <w:rsid w:val="00203D96"/>
    <w:rsid w:val="00203E92"/>
    <w:rsid w:val="002042E3"/>
    <w:rsid w:val="00204359"/>
    <w:rsid w:val="0020437F"/>
    <w:rsid w:val="002043B0"/>
    <w:rsid w:val="0020475F"/>
    <w:rsid w:val="00204E2C"/>
    <w:rsid w:val="00205246"/>
    <w:rsid w:val="00205DFD"/>
    <w:rsid w:val="00205F83"/>
    <w:rsid w:val="00205FB5"/>
    <w:rsid w:val="00206263"/>
    <w:rsid w:val="002064A3"/>
    <w:rsid w:val="002066DD"/>
    <w:rsid w:val="002068C7"/>
    <w:rsid w:val="00206936"/>
    <w:rsid w:val="00206A51"/>
    <w:rsid w:val="00206B2B"/>
    <w:rsid w:val="00206D83"/>
    <w:rsid w:val="00206F13"/>
    <w:rsid w:val="00207874"/>
    <w:rsid w:val="00207BD4"/>
    <w:rsid w:val="00207D3E"/>
    <w:rsid w:val="00207DC4"/>
    <w:rsid w:val="002101A5"/>
    <w:rsid w:val="00210543"/>
    <w:rsid w:val="002105A9"/>
    <w:rsid w:val="0021060A"/>
    <w:rsid w:val="002108B2"/>
    <w:rsid w:val="0021120A"/>
    <w:rsid w:val="0021135A"/>
    <w:rsid w:val="00211858"/>
    <w:rsid w:val="0021218D"/>
    <w:rsid w:val="00212D8A"/>
    <w:rsid w:val="00212F32"/>
    <w:rsid w:val="00212F3A"/>
    <w:rsid w:val="0021366C"/>
    <w:rsid w:val="0021376E"/>
    <w:rsid w:val="0021404E"/>
    <w:rsid w:val="0021416C"/>
    <w:rsid w:val="00214570"/>
    <w:rsid w:val="00214597"/>
    <w:rsid w:val="00214734"/>
    <w:rsid w:val="00214A30"/>
    <w:rsid w:val="00214A95"/>
    <w:rsid w:val="00214E8E"/>
    <w:rsid w:val="002151DA"/>
    <w:rsid w:val="002151FD"/>
    <w:rsid w:val="00215476"/>
    <w:rsid w:val="00215B91"/>
    <w:rsid w:val="00215E62"/>
    <w:rsid w:val="00216574"/>
    <w:rsid w:val="00216C1F"/>
    <w:rsid w:val="00216FD1"/>
    <w:rsid w:val="0021702C"/>
    <w:rsid w:val="002170F0"/>
    <w:rsid w:val="002175AE"/>
    <w:rsid w:val="002176DC"/>
    <w:rsid w:val="00217D77"/>
    <w:rsid w:val="00217EF5"/>
    <w:rsid w:val="0022014C"/>
    <w:rsid w:val="00220304"/>
    <w:rsid w:val="002205FA"/>
    <w:rsid w:val="002209B0"/>
    <w:rsid w:val="002211BF"/>
    <w:rsid w:val="00221480"/>
    <w:rsid w:val="002217CE"/>
    <w:rsid w:val="002218BB"/>
    <w:rsid w:val="00222096"/>
    <w:rsid w:val="002221A4"/>
    <w:rsid w:val="00222C2E"/>
    <w:rsid w:val="00222D35"/>
    <w:rsid w:val="00223277"/>
    <w:rsid w:val="0022330F"/>
    <w:rsid w:val="00223511"/>
    <w:rsid w:val="0022357A"/>
    <w:rsid w:val="00223635"/>
    <w:rsid w:val="00223696"/>
    <w:rsid w:val="002236F8"/>
    <w:rsid w:val="00223D8E"/>
    <w:rsid w:val="00224144"/>
    <w:rsid w:val="00224639"/>
    <w:rsid w:val="00224786"/>
    <w:rsid w:val="002249E4"/>
    <w:rsid w:val="00224CA6"/>
    <w:rsid w:val="00224D53"/>
    <w:rsid w:val="00224DD4"/>
    <w:rsid w:val="00224F2F"/>
    <w:rsid w:val="0022502B"/>
    <w:rsid w:val="00225096"/>
    <w:rsid w:val="00225FD6"/>
    <w:rsid w:val="00226059"/>
    <w:rsid w:val="00226211"/>
    <w:rsid w:val="002262EA"/>
    <w:rsid w:val="00226A4D"/>
    <w:rsid w:val="00226C89"/>
    <w:rsid w:val="0022709A"/>
    <w:rsid w:val="00227422"/>
    <w:rsid w:val="00227BF6"/>
    <w:rsid w:val="00227EB5"/>
    <w:rsid w:val="0023011C"/>
    <w:rsid w:val="002303A4"/>
    <w:rsid w:val="002308A0"/>
    <w:rsid w:val="00230CB6"/>
    <w:rsid w:val="00231E3D"/>
    <w:rsid w:val="002321C5"/>
    <w:rsid w:val="002324FE"/>
    <w:rsid w:val="00232773"/>
    <w:rsid w:val="0023289B"/>
    <w:rsid w:val="00232EA9"/>
    <w:rsid w:val="00233A21"/>
    <w:rsid w:val="00233E73"/>
    <w:rsid w:val="00234039"/>
    <w:rsid w:val="002344FB"/>
    <w:rsid w:val="0023484A"/>
    <w:rsid w:val="00234C51"/>
    <w:rsid w:val="002352FB"/>
    <w:rsid w:val="0023531F"/>
    <w:rsid w:val="0023558C"/>
    <w:rsid w:val="00235B18"/>
    <w:rsid w:val="00235CED"/>
    <w:rsid w:val="00236110"/>
    <w:rsid w:val="00236900"/>
    <w:rsid w:val="00236964"/>
    <w:rsid w:val="00236967"/>
    <w:rsid w:val="002371DE"/>
    <w:rsid w:val="002373D8"/>
    <w:rsid w:val="00237DB7"/>
    <w:rsid w:val="002404ED"/>
    <w:rsid w:val="0024061E"/>
    <w:rsid w:val="002407FB"/>
    <w:rsid w:val="002409AF"/>
    <w:rsid w:val="00240C5A"/>
    <w:rsid w:val="00241100"/>
    <w:rsid w:val="00241145"/>
    <w:rsid w:val="00242301"/>
    <w:rsid w:val="00242451"/>
    <w:rsid w:val="00242828"/>
    <w:rsid w:val="00242926"/>
    <w:rsid w:val="00242EF5"/>
    <w:rsid w:val="0024354A"/>
    <w:rsid w:val="0024396D"/>
    <w:rsid w:val="00243C1A"/>
    <w:rsid w:val="00243E3B"/>
    <w:rsid w:val="00243F4B"/>
    <w:rsid w:val="00243FBB"/>
    <w:rsid w:val="00244052"/>
    <w:rsid w:val="002447D0"/>
    <w:rsid w:val="00244CA6"/>
    <w:rsid w:val="002450F7"/>
    <w:rsid w:val="00245575"/>
    <w:rsid w:val="0024579A"/>
    <w:rsid w:val="0024594B"/>
    <w:rsid w:val="00245F5E"/>
    <w:rsid w:val="0024636C"/>
    <w:rsid w:val="0024678A"/>
    <w:rsid w:val="002469CB"/>
    <w:rsid w:val="00246A30"/>
    <w:rsid w:val="00246CD6"/>
    <w:rsid w:val="00246DEB"/>
    <w:rsid w:val="00246E7F"/>
    <w:rsid w:val="00247399"/>
    <w:rsid w:val="0024760A"/>
    <w:rsid w:val="002478B0"/>
    <w:rsid w:val="00247D19"/>
    <w:rsid w:val="002502BF"/>
    <w:rsid w:val="0025054A"/>
    <w:rsid w:val="0025063E"/>
    <w:rsid w:val="0025065A"/>
    <w:rsid w:val="0025091F"/>
    <w:rsid w:val="00251075"/>
    <w:rsid w:val="00251109"/>
    <w:rsid w:val="00251630"/>
    <w:rsid w:val="00251686"/>
    <w:rsid w:val="00251B6C"/>
    <w:rsid w:val="0025212D"/>
    <w:rsid w:val="002522F6"/>
    <w:rsid w:val="002526A8"/>
    <w:rsid w:val="00252764"/>
    <w:rsid w:val="00252A77"/>
    <w:rsid w:val="00252FFE"/>
    <w:rsid w:val="00253320"/>
    <w:rsid w:val="0025339C"/>
    <w:rsid w:val="00253622"/>
    <w:rsid w:val="0025368D"/>
    <w:rsid w:val="002537F1"/>
    <w:rsid w:val="00253EE4"/>
    <w:rsid w:val="002542A4"/>
    <w:rsid w:val="002550A3"/>
    <w:rsid w:val="0025535B"/>
    <w:rsid w:val="002559CE"/>
    <w:rsid w:val="00256681"/>
    <w:rsid w:val="002568E7"/>
    <w:rsid w:val="00256C89"/>
    <w:rsid w:val="00256EA6"/>
    <w:rsid w:val="002578E4"/>
    <w:rsid w:val="00257B72"/>
    <w:rsid w:val="00257B88"/>
    <w:rsid w:val="00257BF9"/>
    <w:rsid w:val="00257E82"/>
    <w:rsid w:val="00260056"/>
    <w:rsid w:val="0026005B"/>
    <w:rsid w:val="00260586"/>
    <w:rsid w:val="00260E8B"/>
    <w:rsid w:val="00261011"/>
    <w:rsid w:val="00261210"/>
    <w:rsid w:val="0026136A"/>
    <w:rsid w:val="00261654"/>
    <w:rsid w:val="0026197A"/>
    <w:rsid w:val="0026198C"/>
    <w:rsid w:val="00261B23"/>
    <w:rsid w:val="00261B7B"/>
    <w:rsid w:val="00261CAA"/>
    <w:rsid w:val="00262069"/>
    <w:rsid w:val="0026348C"/>
    <w:rsid w:val="00263BC5"/>
    <w:rsid w:val="00263F1B"/>
    <w:rsid w:val="002641CF"/>
    <w:rsid w:val="0026425C"/>
    <w:rsid w:val="0026438E"/>
    <w:rsid w:val="002643E8"/>
    <w:rsid w:val="0026468D"/>
    <w:rsid w:val="00264A6F"/>
    <w:rsid w:val="0026511A"/>
    <w:rsid w:val="0026537B"/>
    <w:rsid w:val="002658E2"/>
    <w:rsid w:val="00265E86"/>
    <w:rsid w:val="00266065"/>
    <w:rsid w:val="002664EC"/>
    <w:rsid w:val="002665D5"/>
    <w:rsid w:val="002670E9"/>
    <w:rsid w:val="0026749B"/>
    <w:rsid w:val="00267DBF"/>
    <w:rsid w:val="00270AB7"/>
    <w:rsid w:val="00270D05"/>
    <w:rsid w:val="00270E61"/>
    <w:rsid w:val="00270F79"/>
    <w:rsid w:val="0027120C"/>
    <w:rsid w:val="002714A5"/>
    <w:rsid w:val="00271A2A"/>
    <w:rsid w:val="00271AA0"/>
    <w:rsid w:val="00271C11"/>
    <w:rsid w:val="0027201C"/>
    <w:rsid w:val="00272274"/>
    <w:rsid w:val="002722E0"/>
    <w:rsid w:val="00272495"/>
    <w:rsid w:val="002729E9"/>
    <w:rsid w:val="00273A3E"/>
    <w:rsid w:val="00273DE8"/>
    <w:rsid w:val="00273E71"/>
    <w:rsid w:val="00273F34"/>
    <w:rsid w:val="00274534"/>
    <w:rsid w:val="00274B19"/>
    <w:rsid w:val="00274B8F"/>
    <w:rsid w:val="00274F5D"/>
    <w:rsid w:val="0027576E"/>
    <w:rsid w:val="00275EBB"/>
    <w:rsid w:val="00275F6C"/>
    <w:rsid w:val="00276055"/>
    <w:rsid w:val="00276306"/>
    <w:rsid w:val="002769A8"/>
    <w:rsid w:val="00276C5C"/>
    <w:rsid w:val="00276D9A"/>
    <w:rsid w:val="00276E3E"/>
    <w:rsid w:val="00277067"/>
    <w:rsid w:val="002773A6"/>
    <w:rsid w:val="0027761C"/>
    <w:rsid w:val="00277991"/>
    <w:rsid w:val="0028000A"/>
    <w:rsid w:val="002806C1"/>
    <w:rsid w:val="00280710"/>
    <w:rsid w:val="00280B81"/>
    <w:rsid w:val="00280CAF"/>
    <w:rsid w:val="00280E48"/>
    <w:rsid w:val="00280F9D"/>
    <w:rsid w:val="00281060"/>
    <w:rsid w:val="002810F4"/>
    <w:rsid w:val="0028128C"/>
    <w:rsid w:val="0028161C"/>
    <w:rsid w:val="00281B5E"/>
    <w:rsid w:val="00281E24"/>
    <w:rsid w:val="0028218B"/>
    <w:rsid w:val="002822C4"/>
    <w:rsid w:val="00282395"/>
    <w:rsid w:val="00282460"/>
    <w:rsid w:val="002827CF"/>
    <w:rsid w:val="00282AE5"/>
    <w:rsid w:val="00282C73"/>
    <w:rsid w:val="00282E34"/>
    <w:rsid w:val="002837CD"/>
    <w:rsid w:val="002838B1"/>
    <w:rsid w:val="00283B61"/>
    <w:rsid w:val="00283BFB"/>
    <w:rsid w:val="00283FCD"/>
    <w:rsid w:val="00284485"/>
    <w:rsid w:val="00284668"/>
    <w:rsid w:val="00284B47"/>
    <w:rsid w:val="00284B48"/>
    <w:rsid w:val="002854C8"/>
    <w:rsid w:val="002857F4"/>
    <w:rsid w:val="00286223"/>
    <w:rsid w:val="002866A6"/>
    <w:rsid w:val="00286B68"/>
    <w:rsid w:val="00286D2A"/>
    <w:rsid w:val="002876B4"/>
    <w:rsid w:val="00287AE8"/>
    <w:rsid w:val="00287D92"/>
    <w:rsid w:val="00290795"/>
    <w:rsid w:val="002907AD"/>
    <w:rsid w:val="00290EA4"/>
    <w:rsid w:val="0029142D"/>
    <w:rsid w:val="0029161D"/>
    <w:rsid w:val="002916D5"/>
    <w:rsid w:val="00291842"/>
    <w:rsid w:val="0029190B"/>
    <w:rsid w:val="00291A16"/>
    <w:rsid w:val="00291CF0"/>
    <w:rsid w:val="00291EB2"/>
    <w:rsid w:val="00291ED8"/>
    <w:rsid w:val="00291F37"/>
    <w:rsid w:val="00292406"/>
    <w:rsid w:val="00292615"/>
    <w:rsid w:val="0029266C"/>
    <w:rsid w:val="00292710"/>
    <w:rsid w:val="00292926"/>
    <w:rsid w:val="00293258"/>
    <w:rsid w:val="00293491"/>
    <w:rsid w:val="00293936"/>
    <w:rsid w:val="00293C2F"/>
    <w:rsid w:val="00293C54"/>
    <w:rsid w:val="00293D54"/>
    <w:rsid w:val="00294274"/>
    <w:rsid w:val="002947A3"/>
    <w:rsid w:val="002948D9"/>
    <w:rsid w:val="00294A6E"/>
    <w:rsid w:val="00294E9D"/>
    <w:rsid w:val="00294F35"/>
    <w:rsid w:val="00294F48"/>
    <w:rsid w:val="002951ED"/>
    <w:rsid w:val="00295311"/>
    <w:rsid w:val="0029562D"/>
    <w:rsid w:val="00295A25"/>
    <w:rsid w:val="00296165"/>
    <w:rsid w:val="002961C2"/>
    <w:rsid w:val="0029667D"/>
    <w:rsid w:val="002966FC"/>
    <w:rsid w:val="00296EE1"/>
    <w:rsid w:val="00296F17"/>
    <w:rsid w:val="00297160"/>
    <w:rsid w:val="002971A3"/>
    <w:rsid w:val="00297C07"/>
    <w:rsid w:val="00297CF0"/>
    <w:rsid w:val="00297FC1"/>
    <w:rsid w:val="002A00EB"/>
    <w:rsid w:val="002A01E1"/>
    <w:rsid w:val="002A0299"/>
    <w:rsid w:val="002A04C2"/>
    <w:rsid w:val="002A0B7C"/>
    <w:rsid w:val="002A15D5"/>
    <w:rsid w:val="002A15D6"/>
    <w:rsid w:val="002A1601"/>
    <w:rsid w:val="002A1777"/>
    <w:rsid w:val="002A1A7A"/>
    <w:rsid w:val="002A1ABF"/>
    <w:rsid w:val="002A270F"/>
    <w:rsid w:val="002A294C"/>
    <w:rsid w:val="002A2ED3"/>
    <w:rsid w:val="002A30C5"/>
    <w:rsid w:val="002A312A"/>
    <w:rsid w:val="002A3509"/>
    <w:rsid w:val="002A35DB"/>
    <w:rsid w:val="002A39FF"/>
    <w:rsid w:val="002A3AC1"/>
    <w:rsid w:val="002A3B93"/>
    <w:rsid w:val="002A3B9C"/>
    <w:rsid w:val="002A3D8D"/>
    <w:rsid w:val="002A4039"/>
    <w:rsid w:val="002A42DD"/>
    <w:rsid w:val="002A432C"/>
    <w:rsid w:val="002A44B9"/>
    <w:rsid w:val="002A46B4"/>
    <w:rsid w:val="002A499C"/>
    <w:rsid w:val="002A4A55"/>
    <w:rsid w:val="002A4CBC"/>
    <w:rsid w:val="002A4D83"/>
    <w:rsid w:val="002A4EB2"/>
    <w:rsid w:val="002A538A"/>
    <w:rsid w:val="002A541F"/>
    <w:rsid w:val="002A543F"/>
    <w:rsid w:val="002A5C28"/>
    <w:rsid w:val="002A5E4B"/>
    <w:rsid w:val="002A6270"/>
    <w:rsid w:val="002A6462"/>
    <w:rsid w:val="002A65BB"/>
    <w:rsid w:val="002A66D1"/>
    <w:rsid w:val="002A678F"/>
    <w:rsid w:val="002A6DAA"/>
    <w:rsid w:val="002A7115"/>
    <w:rsid w:val="002A7185"/>
    <w:rsid w:val="002B002A"/>
    <w:rsid w:val="002B00C2"/>
    <w:rsid w:val="002B0988"/>
    <w:rsid w:val="002B0C30"/>
    <w:rsid w:val="002B0E38"/>
    <w:rsid w:val="002B0FEE"/>
    <w:rsid w:val="002B1232"/>
    <w:rsid w:val="002B13F2"/>
    <w:rsid w:val="002B1413"/>
    <w:rsid w:val="002B17A0"/>
    <w:rsid w:val="002B17F9"/>
    <w:rsid w:val="002B1B26"/>
    <w:rsid w:val="002B1D03"/>
    <w:rsid w:val="002B2255"/>
    <w:rsid w:val="002B2271"/>
    <w:rsid w:val="002B25ED"/>
    <w:rsid w:val="002B283C"/>
    <w:rsid w:val="002B2D10"/>
    <w:rsid w:val="002B3660"/>
    <w:rsid w:val="002B3746"/>
    <w:rsid w:val="002B488F"/>
    <w:rsid w:val="002B48EE"/>
    <w:rsid w:val="002B4A64"/>
    <w:rsid w:val="002B4E75"/>
    <w:rsid w:val="002B5301"/>
    <w:rsid w:val="002B5345"/>
    <w:rsid w:val="002B5CB2"/>
    <w:rsid w:val="002B6079"/>
    <w:rsid w:val="002B6316"/>
    <w:rsid w:val="002B63C0"/>
    <w:rsid w:val="002B766A"/>
    <w:rsid w:val="002B78BA"/>
    <w:rsid w:val="002B7DA8"/>
    <w:rsid w:val="002B7EAE"/>
    <w:rsid w:val="002B7F41"/>
    <w:rsid w:val="002B7FC7"/>
    <w:rsid w:val="002C0258"/>
    <w:rsid w:val="002C0266"/>
    <w:rsid w:val="002C06A5"/>
    <w:rsid w:val="002C0700"/>
    <w:rsid w:val="002C0841"/>
    <w:rsid w:val="002C0879"/>
    <w:rsid w:val="002C0C44"/>
    <w:rsid w:val="002C0E7F"/>
    <w:rsid w:val="002C1294"/>
    <w:rsid w:val="002C1394"/>
    <w:rsid w:val="002C1C2F"/>
    <w:rsid w:val="002C1C45"/>
    <w:rsid w:val="002C20DC"/>
    <w:rsid w:val="002C2794"/>
    <w:rsid w:val="002C2B91"/>
    <w:rsid w:val="002C308D"/>
    <w:rsid w:val="002C3140"/>
    <w:rsid w:val="002C3163"/>
    <w:rsid w:val="002C31ED"/>
    <w:rsid w:val="002C3653"/>
    <w:rsid w:val="002C37B4"/>
    <w:rsid w:val="002C384B"/>
    <w:rsid w:val="002C3E0F"/>
    <w:rsid w:val="002C4380"/>
    <w:rsid w:val="002C44C3"/>
    <w:rsid w:val="002C4527"/>
    <w:rsid w:val="002C4567"/>
    <w:rsid w:val="002C497B"/>
    <w:rsid w:val="002C4C91"/>
    <w:rsid w:val="002C5946"/>
    <w:rsid w:val="002C5C2E"/>
    <w:rsid w:val="002C5C94"/>
    <w:rsid w:val="002C5DCE"/>
    <w:rsid w:val="002C68F5"/>
    <w:rsid w:val="002C6B87"/>
    <w:rsid w:val="002C6E7E"/>
    <w:rsid w:val="002C7540"/>
    <w:rsid w:val="002C7BBC"/>
    <w:rsid w:val="002D0599"/>
    <w:rsid w:val="002D0655"/>
    <w:rsid w:val="002D0B4D"/>
    <w:rsid w:val="002D1298"/>
    <w:rsid w:val="002D19CF"/>
    <w:rsid w:val="002D1BB7"/>
    <w:rsid w:val="002D1E7B"/>
    <w:rsid w:val="002D240C"/>
    <w:rsid w:val="002D34C0"/>
    <w:rsid w:val="002D3765"/>
    <w:rsid w:val="002D3A51"/>
    <w:rsid w:val="002D3DE5"/>
    <w:rsid w:val="002D3F2C"/>
    <w:rsid w:val="002D4124"/>
    <w:rsid w:val="002D434D"/>
    <w:rsid w:val="002D45CB"/>
    <w:rsid w:val="002D54C4"/>
    <w:rsid w:val="002D54F6"/>
    <w:rsid w:val="002D5B8D"/>
    <w:rsid w:val="002D5C8B"/>
    <w:rsid w:val="002D664A"/>
    <w:rsid w:val="002D6AAB"/>
    <w:rsid w:val="002D6B1B"/>
    <w:rsid w:val="002D762B"/>
    <w:rsid w:val="002D7941"/>
    <w:rsid w:val="002D7AE7"/>
    <w:rsid w:val="002E0988"/>
    <w:rsid w:val="002E0B18"/>
    <w:rsid w:val="002E0D21"/>
    <w:rsid w:val="002E174D"/>
    <w:rsid w:val="002E1751"/>
    <w:rsid w:val="002E1921"/>
    <w:rsid w:val="002E1A9A"/>
    <w:rsid w:val="002E1B73"/>
    <w:rsid w:val="002E1E16"/>
    <w:rsid w:val="002E21D0"/>
    <w:rsid w:val="002E22DC"/>
    <w:rsid w:val="002E274C"/>
    <w:rsid w:val="002E28EB"/>
    <w:rsid w:val="002E2901"/>
    <w:rsid w:val="002E2A67"/>
    <w:rsid w:val="002E2B1C"/>
    <w:rsid w:val="002E3035"/>
    <w:rsid w:val="002E3340"/>
    <w:rsid w:val="002E33DB"/>
    <w:rsid w:val="002E3DD0"/>
    <w:rsid w:val="002E4170"/>
    <w:rsid w:val="002E42C1"/>
    <w:rsid w:val="002E442A"/>
    <w:rsid w:val="002E469A"/>
    <w:rsid w:val="002E47EF"/>
    <w:rsid w:val="002E4ABF"/>
    <w:rsid w:val="002E4B24"/>
    <w:rsid w:val="002E4B6A"/>
    <w:rsid w:val="002E51F0"/>
    <w:rsid w:val="002E52F6"/>
    <w:rsid w:val="002E55B8"/>
    <w:rsid w:val="002E5D0A"/>
    <w:rsid w:val="002E5D67"/>
    <w:rsid w:val="002E6031"/>
    <w:rsid w:val="002E611C"/>
    <w:rsid w:val="002E6167"/>
    <w:rsid w:val="002E62CD"/>
    <w:rsid w:val="002E643A"/>
    <w:rsid w:val="002E66DF"/>
    <w:rsid w:val="002E6909"/>
    <w:rsid w:val="002E7030"/>
    <w:rsid w:val="002E72AE"/>
    <w:rsid w:val="002E73A8"/>
    <w:rsid w:val="002E7AA3"/>
    <w:rsid w:val="002E7E07"/>
    <w:rsid w:val="002F080E"/>
    <w:rsid w:val="002F0A59"/>
    <w:rsid w:val="002F146D"/>
    <w:rsid w:val="002F1921"/>
    <w:rsid w:val="002F1F1E"/>
    <w:rsid w:val="002F233B"/>
    <w:rsid w:val="002F29C4"/>
    <w:rsid w:val="002F2B0C"/>
    <w:rsid w:val="002F3120"/>
    <w:rsid w:val="002F318F"/>
    <w:rsid w:val="002F3497"/>
    <w:rsid w:val="002F36FF"/>
    <w:rsid w:val="002F372B"/>
    <w:rsid w:val="002F37D4"/>
    <w:rsid w:val="002F3BD6"/>
    <w:rsid w:val="002F3F39"/>
    <w:rsid w:val="002F42CF"/>
    <w:rsid w:val="002F48BC"/>
    <w:rsid w:val="002F4959"/>
    <w:rsid w:val="002F4989"/>
    <w:rsid w:val="002F49B3"/>
    <w:rsid w:val="002F4A2B"/>
    <w:rsid w:val="002F5019"/>
    <w:rsid w:val="002F505E"/>
    <w:rsid w:val="002F51D4"/>
    <w:rsid w:val="002F52C3"/>
    <w:rsid w:val="002F5305"/>
    <w:rsid w:val="002F573D"/>
    <w:rsid w:val="002F5760"/>
    <w:rsid w:val="002F5847"/>
    <w:rsid w:val="002F6491"/>
    <w:rsid w:val="002F68EE"/>
    <w:rsid w:val="002F6BD2"/>
    <w:rsid w:val="002F6D10"/>
    <w:rsid w:val="002F6E62"/>
    <w:rsid w:val="002F6F22"/>
    <w:rsid w:val="002F77E4"/>
    <w:rsid w:val="002F7931"/>
    <w:rsid w:val="002F7AFF"/>
    <w:rsid w:val="002F7E4A"/>
    <w:rsid w:val="003001A9"/>
    <w:rsid w:val="003002B6"/>
    <w:rsid w:val="003004B0"/>
    <w:rsid w:val="00300A45"/>
    <w:rsid w:val="00300E7C"/>
    <w:rsid w:val="00301156"/>
    <w:rsid w:val="0030140A"/>
    <w:rsid w:val="00301813"/>
    <w:rsid w:val="00301B8E"/>
    <w:rsid w:val="00302A1B"/>
    <w:rsid w:val="00302B87"/>
    <w:rsid w:val="00303112"/>
    <w:rsid w:val="003038EA"/>
    <w:rsid w:val="00305665"/>
    <w:rsid w:val="00305A2E"/>
    <w:rsid w:val="00305BFB"/>
    <w:rsid w:val="00305C84"/>
    <w:rsid w:val="00305E82"/>
    <w:rsid w:val="00305E94"/>
    <w:rsid w:val="0030641F"/>
    <w:rsid w:val="00306949"/>
    <w:rsid w:val="00306C3D"/>
    <w:rsid w:val="00306C53"/>
    <w:rsid w:val="00306C71"/>
    <w:rsid w:val="00307295"/>
    <w:rsid w:val="00307DD8"/>
    <w:rsid w:val="003105F5"/>
    <w:rsid w:val="00310EFE"/>
    <w:rsid w:val="00310F14"/>
    <w:rsid w:val="00310F30"/>
    <w:rsid w:val="003110A7"/>
    <w:rsid w:val="003112A7"/>
    <w:rsid w:val="00311363"/>
    <w:rsid w:val="0031154C"/>
    <w:rsid w:val="00311C0D"/>
    <w:rsid w:val="00311FE5"/>
    <w:rsid w:val="003126D2"/>
    <w:rsid w:val="0031272C"/>
    <w:rsid w:val="003128A7"/>
    <w:rsid w:val="003128B4"/>
    <w:rsid w:val="003129AE"/>
    <w:rsid w:val="00312A68"/>
    <w:rsid w:val="00313388"/>
    <w:rsid w:val="0031342E"/>
    <w:rsid w:val="00313506"/>
    <w:rsid w:val="00313A13"/>
    <w:rsid w:val="00313F6B"/>
    <w:rsid w:val="0031405C"/>
    <w:rsid w:val="0031414B"/>
    <w:rsid w:val="0031435C"/>
    <w:rsid w:val="00314A9F"/>
    <w:rsid w:val="00314B1E"/>
    <w:rsid w:val="00315245"/>
    <w:rsid w:val="003152D7"/>
    <w:rsid w:val="00315C72"/>
    <w:rsid w:val="00315F02"/>
    <w:rsid w:val="00316273"/>
    <w:rsid w:val="003166FF"/>
    <w:rsid w:val="00316726"/>
    <w:rsid w:val="00316CC6"/>
    <w:rsid w:val="00316E54"/>
    <w:rsid w:val="003172FB"/>
    <w:rsid w:val="0031766D"/>
    <w:rsid w:val="003179C7"/>
    <w:rsid w:val="00317F10"/>
    <w:rsid w:val="003204C8"/>
    <w:rsid w:val="0032062D"/>
    <w:rsid w:val="003208FC"/>
    <w:rsid w:val="00320B9F"/>
    <w:rsid w:val="00320EC0"/>
    <w:rsid w:val="00321204"/>
    <w:rsid w:val="00321393"/>
    <w:rsid w:val="0032192A"/>
    <w:rsid w:val="003219AB"/>
    <w:rsid w:val="003219BF"/>
    <w:rsid w:val="00321AA6"/>
    <w:rsid w:val="00321D01"/>
    <w:rsid w:val="00321F79"/>
    <w:rsid w:val="0032227A"/>
    <w:rsid w:val="00322676"/>
    <w:rsid w:val="00322866"/>
    <w:rsid w:val="0032294F"/>
    <w:rsid w:val="00322B37"/>
    <w:rsid w:val="00322FCE"/>
    <w:rsid w:val="00323095"/>
    <w:rsid w:val="003230DB"/>
    <w:rsid w:val="0032310D"/>
    <w:rsid w:val="003234D2"/>
    <w:rsid w:val="00323853"/>
    <w:rsid w:val="0032396F"/>
    <w:rsid w:val="00323C5F"/>
    <w:rsid w:val="00323EA9"/>
    <w:rsid w:val="00323F68"/>
    <w:rsid w:val="00323F76"/>
    <w:rsid w:val="0032427F"/>
    <w:rsid w:val="0032439D"/>
    <w:rsid w:val="003247CB"/>
    <w:rsid w:val="00324CC2"/>
    <w:rsid w:val="00325086"/>
    <w:rsid w:val="003257AD"/>
    <w:rsid w:val="0032598D"/>
    <w:rsid w:val="00325F38"/>
    <w:rsid w:val="003264B9"/>
    <w:rsid w:val="00326629"/>
    <w:rsid w:val="00326A07"/>
    <w:rsid w:val="00326BC7"/>
    <w:rsid w:val="00327103"/>
    <w:rsid w:val="003273EF"/>
    <w:rsid w:val="00327489"/>
    <w:rsid w:val="003274FE"/>
    <w:rsid w:val="0032792B"/>
    <w:rsid w:val="00327A7D"/>
    <w:rsid w:val="00327E00"/>
    <w:rsid w:val="0033037E"/>
    <w:rsid w:val="00330828"/>
    <w:rsid w:val="00330BEA"/>
    <w:rsid w:val="00330E5F"/>
    <w:rsid w:val="003310E9"/>
    <w:rsid w:val="003310F3"/>
    <w:rsid w:val="00331485"/>
    <w:rsid w:val="00331DAA"/>
    <w:rsid w:val="0033218A"/>
    <w:rsid w:val="00332200"/>
    <w:rsid w:val="003322D6"/>
    <w:rsid w:val="00332464"/>
    <w:rsid w:val="0033247D"/>
    <w:rsid w:val="00332AFF"/>
    <w:rsid w:val="00332CC6"/>
    <w:rsid w:val="00332F45"/>
    <w:rsid w:val="00333691"/>
    <w:rsid w:val="00333E73"/>
    <w:rsid w:val="00333EC9"/>
    <w:rsid w:val="00334509"/>
    <w:rsid w:val="003345AA"/>
    <w:rsid w:val="003345C3"/>
    <w:rsid w:val="00335279"/>
    <w:rsid w:val="00335530"/>
    <w:rsid w:val="00335665"/>
    <w:rsid w:val="00335C58"/>
    <w:rsid w:val="00335CB9"/>
    <w:rsid w:val="00336092"/>
    <w:rsid w:val="003360FF"/>
    <w:rsid w:val="0033614D"/>
    <w:rsid w:val="003363B7"/>
    <w:rsid w:val="00336629"/>
    <w:rsid w:val="00336A64"/>
    <w:rsid w:val="00336E10"/>
    <w:rsid w:val="0033722B"/>
    <w:rsid w:val="00337512"/>
    <w:rsid w:val="00337823"/>
    <w:rsid w:val="00337BB8"/>
    <w:rsid w:val="00337BBB"/>
    <w:rsid w:val="003400B3"/>
    <w:rsid w:val="0034019A"/>
    <w:rsid w:val="003401C4"/>
    <w:rsid w:val="003401E2"/>
    <w:rsid w:val="0034020D"/>
    <w:rsid w:val="00340E18"/>
    <w:rsid w:val="0034155B"/>
    <w:rsid w:val="00341588"/>
    <w:rsid w:val="00341D03"/>
    <w:rsid w:val="00341D46"/>
    <w:rsid w:val="003422A5"/>
    <w:rsid w:val="00342C1C"/>
    <w:rsid w:val="0034308E"/>
    <w:rsid w:val="003430E4"/>
    <w:rsid w:val="0034371B"/>
    <w:rsid w:val="00344428"/>
    <w:rsid w:val="003448EE"/>
    <w:rsid w:val="00344F99"/>
    <w:rsid w:val="0034502A"/>
    <w:rsid w:val="00345357"/>
    <w:rsid w:val="00345878"/>
    <w:rsid w:val="00345FA8"/>
    <w:rsid w:val="003461C9"/>
    <w:rsid w:val="00346558"/>
    <w:rsid w:val="0034669C"/>
    <w:rsid w:val="00346962"/>
    <w:rsid w:val="00346A9F"/>
    <w:rsid w:val="00346BC0"/>
    <w:rsid w:val="003475AA"/>
    <w:rsid w:val="0034763E"/>
    <w:rsid w:val="003476B5"/>
    <w:rsid w:val="00347B8E"/>
    <w:rsid w:val="00350419"/>
    <w:rsid w:val="003505C6"/>
    <w:rsid w:val="003506FB"/>
    <w:rsid w:val="003513F9"/>
    <w:rsid w:val="00351A8A"/>
    <w:rsid w:val="00351C1D"/>
    <w:rsid w:val="00351D2F"/>
    <w:rsid w:val="00352AFD"/>
    <w:rsid w:val="003530CB"/>
    <w:rsid w:val="003531B0"/>
    <w:rsid w:val="00353292"/>
    <w:rsid w:val="00353340"/>
    <w:rsid w:val="003537A1"/>
    <w:rsid w:val="00353B86"/>
    <w:rsid w:val="00353C79"/>
    <w:rsid w:val="0035423D"/>
    <w:rsid w:val="0035429C"/>
    <w:rsid w:val="00355852"/>
    <w:rsid w:val="00355C01"/>
    <w:rsid w:val="003561B5"/>
    <w:rsid w:val="00356B56"/>
    <w:rsid w:val="00356F84"/>
    <w:rsid w:val="00357435"/>
    <w:rsid w:val="0035767D"/>
    <w:rsid w:val="00357AFB"/>
    <w:rsid w:val="00357D6B"/>
    <w:rsid w:val="003605A5"/>
    <w:rsid w:val="0036089B"/>
    <w:rsid w:val="0036096D"/>
    <w:rsid w:val="00360AD4"/>
    <w:rsid w:val="00360B89"/>
    <w:rsid w:val="00361BEA"/>
    <w:rsid w:val="00361E69"/>
    <w:rsid w:val="00361EAE"/>
    <w:rsid w:val="003622F9"/>
    <w:rsid w:val="00362B4E"/>
    <w:rsid w:val="00362DBD"/>
    <w:rsid w:val="00363966"/>
    <w:rsid w:val="00363A01"/>
    <w:rsid w:val="00363EE3"/>
    <w:rsid w:val="00363F8A"/>
    <w:rsid w:val="00364017"/>
    <w:rsid w:val="00364637"/>
    <w:rsid w:val="00365936"/>
    <w:rsid w:val="0036678C"/>
    <w:rsid w:val="003668ED"/>
    <w:rsid w:val="00366976"/>
    <w:rsid w:val="00366AB5"/>
    <w:rsid w:val="00366C2B"/>
    <w:rsid w:val="00366E9C"/>
    <w:rsid w:val="003673FB"/>
    <w:rsid w:val="00367592"/>
    <w:rsid w:val="00367B9D"/>
    <w:rsid w:val="00367BD1"/>
    <w:rsid w:val="00370327"/>
    <w:rsid w:val="00370429"/>
    <w:rsid w:val="00370B07"/>
    <w:rsid w:val="00370FA0"/>
    <w:rsid w:val="00371200"/>
    <w:rsid w:val="0037160F"/>
    <w:rsid w:val="00371EF3"/>
    <w:rsid w:val="003722D1"/>
    <w:rsid w:val="00372865"/>
    <w:rsid w:val="00372A4D"/>
    <w:rsid w:val="003732DE"/>
    <w:rsid w:val="003733F4"/>
    <w:rsid w:val="0037369C"/>
    <w:rsid w:val="00374126"/>
    <w:rsid w:val="00374337"/>
    <w:rsid w:val="00374386"/>
    <w:rsid w:val="003748F7"/>
    <w:rsid w:val="00374998"/>
    <w:rsid w:val="00374A74"/>
    <w:rsid w:val="00374FA7"/>
    <w:rsid w:val="0037552D"/>
    <w:rsid w:val="003755B3"/>
    <w:rsid w:val="00375772"/>
    <w:rsid w:val="00375AFF"/>
    <w:rsid w:val="003764FC"/>
    <w:rsid w:val="00376745"/>
    <w:rsid w:val="0037684B"/>
    <w:rsid w:val="003771D4"/>
    <w:rsid w:val="0037739E"/>
    <w:rsid w:val="00377415"/>
    <w:rsid w:val="003778F2"/>
    <w:rsid w:val="00377CE4"/>
    <w:rsid w:val="00377E28"/>
    <w:rsid w:val="0038091E"/>
    <w:rsid w:val="003809B6"/>
    <w:rsid w:val="00380AEC"/>
    <w:rsid w:val="00381A27"/>
    <w:rsid w:val="00381BFF"/>
    <w:rsid w:val="003820E7"/>
    <w:rsid w:val="00382786"/>
    <w:rsid w:val="0038297B"/>
    <w:rsid w:val="00382D71"/>
    <w:rsid w:val="003830DD"/>
    <w:rsid w:val="00383655"/>
    <w:rsid w:val="00383663"/>
    <w:rsid w:val="0038368D"/>
    <w:rsid w:val="003837F1"/>
    <w:rsid w:val="003845A6"/>
    <w:rsid w:val="00384F8D"/>
    <w:rsid w:val="00385105"/>
    <w:rsid w:val="00385244"/>
    <w:rsid w:val="0038550A"/>
    <w:rsid w:val="00385620"/>
    <w:rsid w:val="003858E0"/>
    <w:rsid w:val="00385C40"/>
    <w:rsid w:val="00386102"/>
    <w:rsid w:val="00386601"/>
    <w:rsid w:val="00386997"/>
    <w:rsid w:val="00386AE3"/>
    <w:rsid w:val="00386D08"/>
    <w:rsid w:val="00386DE0"/>
    <w:rsid w:val="0038797D"/>
    <w:rsid w:val="00387993"/>
    <w:rsid w:val="00390CB0"/>
    <w:rsid w:val="0039105F"/>
    <w:rsid w:val="00391263"/>
    <w:rsid w:val="00391B3D"/>
    <w:rsid w:val="00391B7E"/>
    <w:rsid w:val="00392100"/>
    <w:rsid w:val="003929B5"/>
    <w:rsid w:val="00392A7E"/>
    <w:rsid w:val="00392BA6"/>
    <w:rsid w:val="00392F84"/>
    <w:rsid w:val="003935A3"/>
    <w:rsid w:val="00393CE2"/>
    <w:rsid w:val="00393ECF"/>
    <w:rsid w:val="00393EFA"/>
    <w:rsid w:val="0039493F"/>
    <w:rsid w:val="003950A3"/>
    <w:rsid w:val="00395582"/>
    <w:rsid w:val="003969DB"/>
    <w:rsid w:val="00396B3E"/>
    <w:rsid w:val="00396C25"/>
    <w:rsid w:val="00396DDD"/>
    <w:rsid w:val="00396EEB"/>
    <w:rsid w:val="00397616"/>
    <w:rsid w:val="00397A5C"/>
    <w:rsid w:val="003A03BA"/>
    <w:rsid w:val="003A0742"/>
    <w:rsid w:val="003A07D6"/>
    <w:rsid w:val="003A0864"/>
    <w:rsid w:val="003A0865"/>
    <w:rsid w:val="003A0A05"/>
    <w:rsid w:val="003A0E3F"/>
    <w:rsid w:val="003A0F81"/>
    <w:rsid w:val="003A1050"/>
    <w:rsid w:val="003A1146"/>
    <w:rsid w:val="003A2267"/>
    <w:rsid w:val="003A2750"/>
    <w:rsid w:val="003A28B6"/>
    <w:rsid w:val="003A2EB1"/>
    <w:rsid w:val="003A3241"/>
    <w:rsid w:val="003A360F"/>
    <w:rsid w:val="003A36BE"/>
    <w:rsid w:val="003A39BE"/>
    <w:rsid w:val="003A3FB8"/>
    <w:rsid w:val="003A4162"/>
    <w:rsid w:val="003A4247"/>
    <w:rsid w:val="003A45D3"/>
    <w:rsid w:val="003A46F0"/>
    <w:rsid w:val="003A48CD"/>
    <w:rsid w:val="003A4DAD"/>
    <w:rsid w:val="003A54AE"/>
    <w:rsid w:val="003A5F64"/>
    <w:rsid w:val="003A638A"/>
    <w:rsid w:val="003A6C15"/>
    <w:rsid w:val="003A7201"/>
    <w:rsid w:val="003A763E"/>
    <w:rsid w:val="003A76C4"/>
    <w:rsid w:val="003A76F0"/>
    <w:rsid w:val="003A7A2B"/>
    <w:rsid w:val="003A7D9A"/>
    <w:rsid w:val="003B01A6"/>
    <w:rsid w:val="003B0272"/>
    <w:rsid w:val="003B0B65"/>
    <w:rsid w:val="003B1311"/>
    <w:rsid w:val="003B236B"/>
    <w:rsid w:val="003B2694"/>
    <w:rsid w:val="003B2E5D"/>
    <w:rsid w:val="003B309C"/>
    <w:rsid w:val="003B311D"/>
    <w:rsid w:val="003B354B"/>
    <w:rsid w:val="003B37AB"/>
    <w:rsid w:val="003B3953"/>
    <w:rsid w:val="003B3F9A"/>
    <w:rsid w:val="003B406C"/>
    <w:rsid w:val="003B421F"/>
    <w:rsid w:val="003B454B"/>
    <w:rsid w:val="003B45F9"/>
    <w:rsid w:val="003B461C"/>
    <w:rsid w:val="003B510A"/>
    <w:rsid w:val="003B51F7"/>
    <w:rsid w:val="003B5619"/>
    <w:rsid w:val="003B5658"/>
    <w:rsid w:val="003B58FD"/>
    <w:rsid w:val="003B5901"/>
    <w:rsid w:val="003B6160"/>
    <w:rsid w:val="003B6325"/>
    <w:rsid w:val="003B652A"/>
    <w:rsid w:val="003B6530"/>
    <w:rsid w:val="003B6643"/>
    <w:rsid w:val="003B67E4"/>
    <w:rsid w:val="003B69D8"/>
    <w:rsid w:val="003B7366"/>
    <w:rsid w:val="003B7AEC"/>
    <w:rsid w:val="003B7FBC"/>
    <w:rsid w:val="003C040C"/>
    <w:rsid w:val="003C04A2"/>
    <w:rsid w:val="003C04CA"/>
    <w:rsid w:val="003C0925"/>
    <w:rsid w:val="003C132E"/>
    <w:rsid w:val="003C1BA7"/>
    <w:rsid w:val="003C1E41"/>
    <w:rsid w:val="003C1F97"/>
    <w:rsid w:val="003C1FF6"/>
    <w:rsid w:val="003C2881"/>
    <w:rsid w:val="003C2973"/>
    <w:rsid w:val="003C2ACB"/>
    <w:rsid w:val="003C2BB5"/>
    <w:rsid w:val="003C2DFE"/>
    <w:rsid w:val="003C3612"/>
    <w:rsid w:val="003C3615"/>
    <w:rsid w:val="003C3C60"/>
    <w:rsid w:val="003C3EB7"/>
    <w:rsid w:val="003C4287"/>
    <w:rsid w:val="003C4392"/>
    <w:rsid w:val="003C446D"/>
    <w:rsid w:val="003C44F9"/>
    <w:rsid w:val="003C4A91"/>
    <w:rsid w:val="003C4EA4"/>
    <w:rsid w:val="003C5164"/>
    <w:rsid w:val="003C543C"/>
    <w:rsid w:val="003C5644"/>
    <w:rsid w:val="003C5912"/>
    <w:rsid w:val="003C5966"/>
    <w:rsid w:val="003C5AD6"/>
    <w:rsid w:val="003C5EB0"/>
    <w:rsid w:val="003C6032"/>
    <w:rsid w:val="003C622A"/>
    <w:rsid w:val="003C6B0A"/>
    <w:rsid w:val="003C6F26"/>
    <w:rsid w:val="003C724F"/>
    <w:rsid w:val="003C729B"/>
    <w:rsid w:val="003C7416"/>
    <w:rsid w:val="003C757D"/>
    <w:rsid w:val="003C7A31"/>
    <w:rsid w:val="003C7BCD"/>
    <w:rsid w:val="003C7C17"/>
    <w:rsid w:val="003C7FA6"/>
    <w:rsid w:val="003D07BB"/>
    <w:rsid w:val="003D0EAF"/>
    <w:rsid w:val="003D0EED"/>
    <w:rsid w:val="003D1497"/>
    <w:rsid w:val="003D1BBE"/>
    <w:rsid w:val="003D2034"/>
    <w:rsid w:val="003D21AB"/>
    <w:rsid w:val="003D2BC1"/>
    <w:rsid w:val="003D31C8"/>
    <w:rsid w:val="003D3588"/>
    <w:rsid w:val="003D3A15"/>
    <w:rsid w:val="003D3DCF"/>
    <w:rsid w:val="003D3EB2"/>
    <w:rsid w:val="003D43D5"/>
    <w:rsid w:val="003D45F0"/>
    <w:rsid w:val="003D48C9"/>
    <w:rsid w:val="003D4EC2"/>
    <w:rsid w:val="003D50E0"/>
    <w:rsid w:val="003D5862"/>
    <w:rsid w:val="003D59F5"/>
    <w:rsid w:val="003D5B56"/>
    <w:rsid w:val="003D5D02"/>
    <w:rsid w:val="003D5D5D"/>
    <w:rsid w:val="003D6032"/>
    <w:rsid w:val="003D6731"/>
    <w:rsid w:val="003D6A80"/>
    <w:rsid w:val="003D7157"/>
    <w:rsid w:val="003D7C83"/>
    <w:rsid w:val="003D7DE6"/>
    <w:rsid w:val="003D7EC5"/>
    <w:rsid w:val="003D7EE6"/>
    <w:rsid w:val="003E033B"/>
    <w:rsid w:val="003E0358"/>
    <w:rsid w:val="003E03B5"/>
    <w:rsid w:val="003E0D5E"/>
    <w:rsid w:val="003E1380"/>
    <w:rsid w:val="003E1449"/>
    <w:rsid w:val="003E16DD"/>
    <w:rsid w:val="003E1F62"/>
    <w:rsid w:val="003E2323"/>
    <w:rsid w:val="003E2D59"/>
    <w:rsid w:val="003E310B"/>
    <w:rsid w:val="003E3987"/>
    <w:rsid w:val="003E3A0A"/>
    <w:rsid w:val="003E3EF1"/>
    <w:rsid w:val="003E4296"/>
    <w:rsid w:val="003E5295"/>
    <w:rsid w:val="003E5694"/>
    <w:rsid w:val="003E591D"/>
    <w:rsid w:val="003E59FC"/>
    <w:rsid w:val="003E5E73"/>
    <w:rsid w:val="003E5E95"/>
    <w:rsid w:val="003E622E"/>
    <w:rsid w:val="003E6308"/>
    <w:rsid w:val="003E64D8"/>
    <w:rsid w:val="003E64FA"/>
    <w:rsid w:val="003E650F"/>
    <w:rsid w:val="003E6C15"/>
    <w:rsid w:val="003E6C9E"/>
    <w:rsid w:val="003E7843"/>
    <w:rsid w:val="003E7AAD"/>
    <w:rsid w:val="003E7D0B"/>
    <w:rsid w:val="003E7F4E"/>
    <w:rsid w:val="003F010C"/>
    <w:rsid w:val="003F0F19"/>
    <w:rsid w:val="003F10BB"/>
    <w:rsid w:val="003F1296"/>
    <w:rsid w:val="003F1760"/>
    <w:rsid w:val="003F1DAB"/>
    <w:rsid w:val="003F2084"/>
    <w:rsid w:val="003F20B4"/>
    <w:rsid w:val="003F20CB"/>
    <w:rsid w:val="003F22FC"/>
    <w:rsid w:val="003F23F6"/>
    <w:rsid w:val="003F24DF"/>
    <w:rsid w:val="003F2CFC"/>
    <w:rsid w:val="003F2CFE"/>
    <w:rsid w:val="003F3237"/>
    <w:rsid w:val="003F366A"/>
    <w:rsid w:val="003F3EE0"/>
    <w:rsid w:val="003F4031"/>
    <w:rsid w:val="003F478B"/>
    <w:rsid w:val="003F54B3"/>
    <w:rsid w:val="003F5695"/>
    <w:rsid w:val="003F5E0F"/>
    <w:rsid w:val="003F63D3"/>
    <w:rsid w:val="003F65A9"/>
    <w:rsid w:val="003F6600"/>
    <w:rsid w:val="003F6636"/>
    <w:rsid w:val="003F6973"/>
    <w:rsid w:val="003F6F19"/>
    <w:rsid w:val="003F79EE"/>
    <w:rsid w:val="003F7ADB"/>
    <w:rsid w:val="003F7C90"/>
    <w:rsid w:val="003F7F20"/>
    <w:rsid w:val="004000F4"/>
    <w:rsid w:val="00400685"/>
    <w:rsid w:val="004007DC"/>
    <w:rsid w:val="00400FD5"/>
    <w:rsid w:val="00401697"/>
    <w:rsid w:val="00401CDA"/>
    <w:rsid w:val="00401FAB"/>
    <w:rsid w:val="004022BD"/>
    <w:rsid w:val="0040240E"/>
    <w:rsid w:val="004028C0"/>
    <w:rsid w:val="00402BEC"/>
    <w:rsid w:val="00402C28"/>
    <w:rsid w:val="00402C9B"/>
    <w:rsid w:val="0040403B"/>
    <w:rsid w:val="004045BB"/>
    <w:rsid w:val="00404686"/>
    <w:rsid w:val="00404B06"/>
    <w:rsid w:val="00404EE4"/>
    <w:rsid w:val="00405011"/>
    <w:rsid w:val="0040526A"/>
    <w:rsid w:val="00405638"/>
    <w:rsid w:val="004058D4"/>
    <w:rsid w:val="00405C49"/>
    <w:rsid w:val="00405D7F"/>
    <w:rsid w:val="00405E50"/>
    <w:rsid w:val="00406708"/>
    <w:rsid w:val="004068F1"/>
    <w:rsid w:val="00406C05"/>
    <w:rsid w:val="00406C8D"/>
    <w:rsid w:val="00406D7E"/>
    <w:rsid w:val="0040787B"/>
    <w:rsid w:val="00407882"/>
    <w:rsid w:val="00407AD1"/>
    <w:rsid w:val="00407C92"/>
    <w:rsid w:val="004101F0"/>
    <w:rsid w:val="00410497"/>
    <w:rsid w:val="00410A86"/>
    <w:rsid w:val="00410F18"/>
    <w:rsid w:val="004116A3"/>
    <w:rsid w:val="00411848"/>
    <w:rsid w:val="00411943"/>
    <w:rsid w:val="00411A65"/>
    <w:rsid w:val="00411A9B"/>
    <w:rsid w:val="00412BAB"/>
    <w:rsid w:val="00413249"/>
    <w:rsid w:val="0041384E"/>
    <w:rsid w:val="00414309"/>
    <w:rsid w:val="00414516"/>
    <w:rsid w:val="004147DA"/>
    <w:rsid w:val="0041517C"/>
    <w:rsid w:val="00415519"/>
    <w:rsid w:val="00415886"/>
    <w:rsid w:val="00415D5E"/>
    <w:rsid w:val="00415DED"/>
    <w:rsid w:val="0041673B"/>
    <w:rsid w:val="004168FE"/>
    <w:rsid w:val="00417010"/>
    <w:rsid w:val="004170E9"/>
    <w:rsid w:val="0041723C"/>
    <w:rsid w:val="0041768D"/>
    <w:rsid w:val="0041786E"/>
    <w:rsid w:val="00417956"/>
    <w:rsid w:val="00417973"/>
    <w:rsid w:val="00417CE3"/>
    <w:rsid w:val="00420419"/>
    <w:rsid w:val="004206CE"/>
    <w:rsid w:val="00420B9C"/>
    <w:rsid w:val="00420DD8"/>
    <w:rsid w:val="00421086"/>
    <w:rsid w:val="004214F8"/>
    <w:rsid w:val="004217D5"/>
    <w:rsid w:val="00421BAA"/>
    <w:rsid w:val="00421D20"/>
    <w:rsid w:val="00421F34"/>
    <w:rsid w:val="00422214"/>
    <w:rsid w:val="00422A18"/>
    <w:rsid w:val="00422B54"/>
    <w:rsid w:val="00422FF9"/>
    <w:rsid w:val="0042355E"/>
    <w:rsid w:val="00423C9C"/>
    <w:rsid w:val="00424B7C"/>
    <w:rsid w:val="0042511D"/>
    <w:rsid w:val="0042554C"/>
    <w:rsid w:val="00425868"/>
    <w:rsid w:val="004259E1"/>
    <w:rsid w:val="00425E70"/>
    <w:rsid w:val="00426D6C"/>
    <w:rsid w:val="004271E8"/>
    <w:rsid w:val="004277CA"/>
    <w:rsid w:val="004301BB"/>
    <w:rsid w:val="004304B2"/>
    <w:rsid w:val="00430767"/>
    <w:rsid w:val="00430B70"/>
    <w:rsid w:val="00431279"/>
    <w:rsid w:val="00431656"/>
    <w:rsid w:val="004316E8"/>
    <w:rsid w:val="00431BA1"/>
    <w:rsid w:val="00431E8B"/>
    <w:rsid w:val="00432935"/>
    <w:rsid w:val="00432A80"/>
    <w:rsid w:val="00432C60"/>
    <w:rsid w:val="00433129"/>
    <w:rsid w:val="004336C2"/>
    <w:rsid w:val="00433FA2"/>
    <w:rsid w:val="00434018"/>
    <w:rsid w:val="0043434B"/>
    <w:rsid w:val="004343A3"/>
    <w:rsid w:val="004343E1"/>
    <w:rsid w:val="00434626"/>
    <w:rsid w:val="0043520E"/>
    <w:rsid w:val="00435AE6"/>
    <w:rsid w:val="00435FDD"/>
    <w:rsid w:val="004362D5"/>
    <w:rsid w:val="00436782"/>
    <w:rsid w:val="00437680"/>
    <w:rsid w:val="0043779D"/>
    <w:rsid w:val="00437C94"/>
    <w:rsid w:val="004403A9"/>
    <w:rsid w:val="00440AC7"/>
    <w:rsid w:val="00440B2A"/>
    <w:rsid w:val="00441036"/>
    <w:rsid w:val="004412B0"/>
    <w:rsid w:val="00441669"/>
    <w:rsid w:val="00441699"/>
    <w:rsid w:val="004420DC"/>
    <w:rsid w:val="00442173"/>
    <w:rsid w:val="004421F5"/>
    <w:rsid w:val="00442402"/>
    <w:rsid w:val="0044268E"/>
    <w:rsid w:val="004426A2"/>
    <w:rsid w:val="0044299E"/>
    <w:rsid w:val="00442B8E"/>
    <w:rsid w:val="00442D99"/>
    <w:rsid w:val="00442DC9"/>
    <w:rsid w:val="00442E6D"/>
    <w:rsid w:val="00442F18"/>
    <w:rsid w:val="00443060"/>
    <w:rsid w:val="0044351F"/>
    <w:rsid w:val="004438E7"/>
    <w:rsid w:val="004444C8"/>
    <w:rsid w:val="004446EA"/>
    <w:rsid w:val="00444AEF"/>
    <w:rsid w:val="00444BB3"/>
    <w:rsid w:val="00444C9C"/>
    <w:rsid w:val="00444E05"/>
    <w:rsid w:val="0044559F"/>
    <w:rsid w:val="0044568A"/>
    <w:rsid w:val="004457C7"/>
    <w:rsid w:val="0044590E"/>
    <w:rsid w:val="00445DB4"/>
    <w:rsid w:val="00445E26"/>
    <w:rsid w:val="004460E1"/>
    <w:rsid w:val="004465CA"/>
    <w:rsid w:val="0044691E"/>
    <w:rsid w:val="00446983"/>
    <w:rsid w:val="004475A2"/>
    <w:rsid w:val="00447624"/>
    <w:rsid w:val="0044763A"/>
    <w:rsid w:val="00447A27"/>
    <w:rsid w:val="00447C62"/>
    <w:rsid w:val="00447F8F"/>
    <w:rsid w:val="004503D7"/>
    <w:rsid w:val="004506EC"/>
    <w:rsid w:val="00450DB0"/>
    <w:rsid w:val="00450E19"/>
    <w:rsid w:val="0045148E"/>
    <w:rsid w:val="004514E6"/>
    <w:rsid w:val="0045184A"/>
    <w:rsid w:val="00451981"/>
    <w:rsid w:val="00451B17"/>
    <w:rsid w:val="00451CCC"/>
    <w:rsid w:val="00451EF1"/>
    <w:rsid w:val="00452079"/>
    <w:rsid w:val="0045209D"/>
    <w:rsid w:val="0045269B"/>
    <w:rsid w:val="004526E4"/>
    <w:rsid w:val="00452A19"/>
    <w:rsid w:val="00452DD1"/>
    <w:rsid w:val="00452FDD"/>
    <w:rsid w:val="004533E3"/>
    <w:rsid w:val="00453878"/>
    <w:rsid w:val="00453AC1"/>
    <w:rsid w:val="00453EDD"/>
    <w:rsid w:val="00453F89"/>
    <w:rsid w:val="00454223"/>
    <w:rsid w:val="00454613"/>
    <w:rsid w:val="00454888"/>
    <w:rsid w:val="004549A6"/>
    <w:rsid w:val="00454E7A"/>
    <w:rsid w:val="00455298"/>
    <w:rsid w:val="0045544A"/>
    <w:rsid w:val="0045550A"/>
    <w:rsid w:val="004555FA"/>
    <w:rsid w:val="00455725"/>
    <w:rsid w:val="0045574A"/>
    <w:rsid w:val="004559B9"/>
    <w:rsid w:val="00455ADB"/>
    <w:rsid w:val="00455E78"/>
    <w:rsid w:val="00455F67"/>
    <w:rsid w:val="00456245"/>
    <w:rsid w:val="00456320"/>
    <w:rsid w:val="00456360"/>
    <w:rsid w:val="004564D7"/>
    <w:rsid w:val="00456779"/>
    <w:rsid w:val="00456F5D"/>
    <w:rsid w:val="00457273"/>
    <w:rsid w:val="004573D9"/>
    <w:rsid w:val="00457796"/>
    <w:rsid w:val="00457994"/>
    <w:rsid w:val="00457C71"/>
    <w:rsid w:val="00457E12"/>
    <w:rsid w:val="00460190"/>
    <w:rsid w:val="0046040C"/>
    <w:rsid w:val="004604CD"/>
    <w:rsid w:val="0046053D"/>
    <w:rsid w:val="0046057B"/>
    <w:rsid w:val="004607BC"/>
    <w:rsid w:val="00460C80"/>
    <w:rsid w:val="00460F32"/>
    <w:rsid w:val="0046111E"/>
    <w:rsid w:val="004611C6"/>
    <w:rsid w:val="0046120C"/>
    <w:rsid w:val="0046126F"/>
    <w:rsid w:val="004613A4"/>
    <w:rsid w:val="004617D5"/>
    <w:rsid w:val="00461C4E"/>
    <w:rsid w:val="0046230E"/>
    <w:rsid w:val="00462B20"/>
    <w:rsid w:val="00462DDB"/>
    <w:rsid w:val="0046310F"/>
    <w:rsid w:val="0046311C"/>
    <w:rsid w:val="00463446"/>
    <w:rsid w:val="004637A5"/>
    <w:rsid w:val="004637AA"/>
    <w:rsid w:val="00463ADB"/>
    <w:rsid w:val="00463E57"/>
    <w:rsid w:val="0046431A"/>
    <w:rsid w:val="0046437A"/>
    <w:rsid w:val="004647FA"/>
    <w:rsid w:val="0046497F"/>
    <w:rsid w:val="00464DC2"/>
    <w:rsid w:val="004651E0"/>
    <w:rsid w:val="004658B6"/>
    <w:rsid w:val="00466C70"/>
    <w:rsid w:val="00466E92"/>
    <w:rsid w:val="00467316"/>
    <w:rsid w:val="004676F3"/>
    <w:rsid w:val="004677AD"/>
    <w:rsid w:val="00467DC6"/>
    <w:rsid w:val="00467E91"/>
    <w:rsid w:val="0047019B"/>
    <w:rsid w:val="0047021A"/>
    <w:rsid w:val="0047043B"/>
    <w:rsid w:val="00470686"/>
    <w:rsid w:val="00470B9D"/>
    <w:rsid w:val="00470F51"/>
    <w:rsid w:val="00471044"/>
    <w:rsid w:val="004716FD"/>
    <w:rsid w:val="00471BC7"/>
    <w:rsid w:val="00472014"/>
    <w:rsid w:val="0047255A"/>
    <w:rsid w:val="0047340C"/>
    <w:rsid w:val="0047396B"/>
    <w:rsid w:val="004739F1"/>
    <w:rsid w:val="00473AB7"/>
    <w:rsid w:val="00473E16"/>
    <w:rsid w:val="0047407B"/>
    <w:rsid w:val="00474131"/>
    <w:rsid w:val="00474C92"/>
    <w:rsid w:val="00474D74"/>
    <w:rsid w:val="00475148"/>
    <w:rsid w:val="004756EE"/>
    <w:rsid w:val="004757C6"/>
    <w:rsid w:val="004757DB"/>
    <w:rsid w:val="004758CE"/>
    <w:rsid w:val="00475DC7"/>
    <w:rsid w:val="00475E68"/>
    <w:rsid w:val="00476189"/>
    <w:rsid w:val="00476317"/>
    <w:rsid w:val="00476892"/>
    <w:rsid w:val="00476D9E"/>
    <w:rsid w:val="004775CD"/>
    <w:rsid w:val="00477864"/>
    <w:rsid w:val="0047791E"/>
    <w:rsid w:val="004779B5"/>
    <w:rsid w:val="00477E80"/>
    <w:rsid w:val="00480353"/>
    <w:rsid w:val="004803D0"/>
    <w:rsid w:val="00480713"/>
    <w:rsid w:val="0048076C"/>
    <w:rsid w:val="00480929"/>
    <w:rsid w:val="00480ADC"/>
    <w:rsid w:val="00480DF5"/>
    <w:rsid w:val="00480EAC"/>
    <w:rsid w:val="0048104D"/>
    <w:rsid w:val="0048107A"/>
    <w:rsid w:val="004814FE"/>
    <w:rsid w:val="004815DB"/>
    <w:rsid w:val="00481999"/>
    <w:rsid w:val="00481C20"/>
    <w:rsid w:val="004833A6"/>
    <w:rsid w:val="004835F5"/>
    <w:rsid w:val="00483739"/>
    <w:rsid w:val="0048381A"/>
    <w:rsid w:val="00483904"/>
    <w:rsid w:val="00483DE8"/>
    <w:rsid w:val="00483E23"/>
    <w:rsid w:val="0048404C"/>
    <w:rsid w:val="004840B6"/>
    <w:rsid w:val="004842B2"/>
    <w:rsid w:val="0048445D"/>
    <w:rsid w:val="0048494F"/>
    <w:rsid w:val="00484B01"/>
    <w:rsid w:val="00484D37"/>
    <w:rsid w:val="004850A0"/>
    <w:rsid w:val="00485218"/>
    <w:rsid w:val="004852FD"/>
    <w:rsid w:val="00485393"/>
    <w:rsid w:val="004853A2"/>
    <w:rsid w:val="00485E4C"/>
    <w:rsid w:val="004862A5"/>
    <w:rsid w:val="00486324"/>
    <w:rsid w:val="00486585"/>
    <w:rsid w:val="00486DC1"/>
    <w:rsid w:val="00486E5B"/>
    <w:rsid w:val="004870C5"/>
    <w:rsid w:val="0048766A"/>
    <w:rsid w:val="00487917"/>
    <w:rsid w:val="00487A60"/>
    <w:rsid w:val="00487EA0"/>
    <w:rsid w:val="0049023A"/>
    <w:rsid w:val="00490734"/>
    <w:rsid w:val="00490EBB"/>
    <w:rsid w:val="00491315"/>
    <w:rsid w:val="004913FD"/>
    <w:rsid w:val="004914C2"/>
    <w:rsid w:val="00491719"/>
    <w:rsid w:val="0049183D"/>
    <w:rsid w:val="0049184B"/>
    <w:rsid w:val="00491989"/>
    <w:rsid w:val="00491A0C"/>
    <w:rsid w:val="00491E21"/>
    <w:rsid w:val="004924CE"/>
    <w:rsid w:val="004927FD"/>
    <w:rsid w:val="004928FE"/>
    <w:rsid w:val="00492A87"/>
    <w:rsid w:val="00492B48"/>
    <w:rsid w:val="00492C52"/>
    <w:rsid w:val="00492F9D"/>
    <w:rsid w:val="004932A5"/>
    <w:rsid w:val="00493540"/>
    <w:rsid w:val="004939D0"/>
    <w:rsid w:val="00493F69"/>
    <w:rsid w:val="004942D5"/>
    <w:rsid w:val="0049451C"/>
    <w:rsid w:val="00494AEE"/>
    <w:rsid w:val="00495422"/>
    <w:rsid w:val="00495517"/>
    <w:rsid w:val="0049559E"/>
    <w:rsid w:val="004955BE"/>
    <w:rsid w:val="004958C1"/>
    <w:rsid w:val="00495FD7"/>
    <w:rsid w:val="00496361"/>
    <w:rsid w:val="00496467"/>
    <w:rsid w:val="004969FB"/>
    <w:rsid w:val="00496B4F"/>
    <w:rsid w:val="00496B78"/>
    <w:rsid w:val="00496C9F"/>
    <w:rsid w:val="00496CA2"/>
    <w:rsid w:val="00497525"/>
    <w:rsid w:val="0049753A"/>
    <w:rsid w:val="004978B2"/>
    <w:rsid w:val="00497E97"/>
    <w:rsid w:val="004A00D3"/>
    <w:rsid w:val="004A0584"/>
    <w:rsid w:val="004A0995"/>
    <w:rsid w:val="004A09D2"/>
    <w:rsid w:val="004A0BE6"/>
    <w:rsid w:val="004A1145"/>
    <w:rsid w:val="004A1400"/>
    <w:rsid w:val="004A15FE"/>
    <w:rsid w:val="004A1EBC"/>
    <w:rsid w:val="004A1FA3"/>
    <w:rsid w:val="004A261C"/>
    <w:rsid w:val="004A2FF4"/>
    <w:rsid w:val="004A3031"/>
    <w:rsid w:val="004A33CB"/>
    <w:rsid w:val="004A36F2"/>
    <w:rsid w:val="004A3DB0"/>
    <w:rsid w:val="004A407E"/>
    <w:rsid w:val="004A44C0"/>
    <w:rsid w:val="004A4A26"/>
    <w:rsid w:val="004A4EA5"/>
    <w:rsid w:val="004A4F60"/>
    <w:rsid w:val="004A50CF"/>
    <w:rsid w:val="004A5587"/>
    <w:rsid w:val="004A565A"/>
    <w:rsid w:val="004A5C28"/>
    <w:rsid w:val="004A5D26"/>
    <w:rsid w:val="004A5E44"/>
    <w:rsid w:val="004A5EFE"/>
    <w:rsid w:val="004A606F"/>
    <w:rsid w:val="004A6522"/>
    <w:rsid w:val="004A66E0"/>
    <w:rsid w:val="004A6A20"/>
    <w:rsid w:val="004A6C0A"/>
    <w:rsid w:val="004A6FD6"/>
    <w:rsid w:val="004A71BC"/>
    <w:rsid w:val="004A728C"/>
    <w:rsid w:val="004A74D8"/>
    <w:rsid w:val="004A756E"/>
    <w:rsid w:val="004A7AEF"/>
    <w:rsid w:val="004A7B3F"/>
    <w:rsid w:val="004B016E"/>
    <w:rsid w:val="004B0BE3"/>
    <w:rsid w:val="004B0C02"/>
    <w:rsid w:val="004B0F2A"/>
    <w:rsid w:val="004B13FA"/>
    <w:rsid w:val="004B154B"/>
    <w:rsid w:val="004B15A3"/>
    <w:rsid w:val="004B1828"/>
    <w:rsid w:val="004B1868"/>
    <w:rsid w:val="004B20D9"/>
    <w:rsid w:val="004B222B"/>
    <w:rsid w:val="004B22B7"/>
    <w:rsid w:val="004B22E4"/>
    <w:rsid w:val="004B2D9E"/>
    <w:rsid w:val="004B2ED3"/>
    <w:rsid w:val="004B384B"/>
    <w:rsid w:val="004B3F26"/>
    <w:rsid w:val="004B3F79"/>
    <w:rsid w:val="004B436C"/>
    <w:rsid w:val="004B4433"/>
    <w:rsid w:val="004B4609"/>
    <w:rsid w:val="004B469A"/>
    <w:rsid w:val="004B4A1A"/>
    <w:rsid w:val="004B4C25"/>
    <w:rsid w:val="004B4D10"/>
    <w:rsid w:val="004B502D"/>
    <w:rsid w:val="004B5344"/>
    <w:rsid w:val="004B5E82"/>
    <w:rsid w:val="004B6AC0"/>
    <w:rsid w:val="004B7081"/>
    <w:rsid w:val="004B74A2"/>
    <w:rsid w:val="004B75E4"/>
    <w:rsid w:val="004B76DA"/>
    <w:rsid w:val="004C0819"/>
    <w:rsid w:val="004C0836"/>
    <w:rsid w:val="004C0E22"/>
    <w:rsid w:val="004C135F"/>
    <w:rsid w:val="004C16D8"/>
    <w:rsid w:val="004C1846"/>
    <w:rsid w:val="004C1C18"/>
    <w:rsid w:val="004C253B"/>
    <w:rsid w:val="004C268C"/>
    <w:rsid w:val="004C2CDD"/>
    <w:rsid w:val="004C31E8"/>
    <w:rsid w:val="004C3280"/>
    <w:rsid w:val="004C35D0"/>
    <w:rsid w:val="004C3BE2"/>
    <w:rsid w:val="004C3BF0"/>
    <w:rsid w:val="004C4572"/>
    <w:rsid w:val="004C4669"/>
    <w:rsid w:val="004C4C54"/>
    <w:rsid w:val="004C5129"/>
    <w:rsid w:val="004C529B"/>
    <w:rsid w:val="004C594D"/>
    <w:rsid w:val="004C5EA9"/>
    <w:rsid w:val="004C61BD"/>
    <w:rsid w:val="004C6274"/>
    <w:rsid w:val="004C6714"/>
    <w:rsid w:val="004C681C"/>
    <w:rsid w:val="004C6956"/>
    <w:rsid w:val="004C697D"/>
    <w:rsid w:val="004C6A84"/>
    <w:rsid w:val="004C74E9"/>
    <w:rsid w:val="004C7665"/>
    <w:rsid w:val="004C77A8"/>
    <w:rsid w:val="004C7B88"/>
    <w:rsid w:val="004D0100"/>
    <w:rsid w:val="004D02FF"/>
    <w:rsid w:val="004D031D"/>
    <w:rsid w:val="004D0F72"/>
    <w:rsid w:val="004D10CF"/>
    <w:rsid w:val="004D1760"/>
    <w:rsid w:val="004D2428"/>
    <w:rsid w:val="004D347E"/>
    <w:rsid w:val="004D35BD"/>
    <w:rsid w:val="004D3612"/>
    <w:rsid w:val="004D37D2"/>
    <w:rsid w:val="004D4206"/>
    <w:rsid w:val="004D46DE"/>
    <w:rsid w:val="004D4DEA"/>
    <w:rsid w:val="004D5B04"/>
    <w:rsid w:val="004D5D0B"/>
    <w:rsid w:val="004D5E66"/>
    <w:rsid w:val="004D5E7B"/>
    <w:rsid w:val="004D5F04"/>
    <w:rsid w:val="004D5F16"/>
    <w:rsid w:val="004D694A"/>
    <w:rsid w:val="004D6978"/>
    <w:rsid w:val="004D6DB0"/>
    <w:rsid w:val="004D6E1F"/>
    <w:rsid w:val="004D709A"/>
    <w:rsid w:val="004D718F"/>
    <w:rsid w:val="004D72BA"/>
    <w:rsid w:val="004D747C"/>
    <w:rsid w:val="004D7498"/>
    <w:rsid w:val="004D755E"/>
    <w:rsid w:val="004D76B8"/>
    <w:rsid w:val="004D77F5"/>
    <w:rsid w:val="004D7E6F"/>
    <w:rsid w:val="004E02D0"/>
    <w:rsid w:val="004E068A"/>
    <w:rsid w:val="004E0822"/>
    <w:rsid w:val="004E0BE3"/>
    <w:rsid w:val="004E0D88"/>
    <w:rsid w:val="004E0EBC"/>
    <w:rsid w:val="004E10DC"/>
    <w:rsid w:val="004E13AD"/>
    <w:rsid w:val="004E1586"/>
    <w:rsid w:val="004E19B2"/>
    <w:rsid w:val="004E1DAA"/>
    <w:rsid w:val="004E1EFB"/>
    <w:rsid w:val="004E22A3"/>
    <w:rsid w:val="004E2B24"/>
    <w:rsid w:val="004E3733"/>
    <w:rsid w:val="004E3839"/>
    <w:rsid w:val="004E3B25"/>
    <w:rsid w:val="004E3B5E"/>
    <w:rsid w:val="004E3F27"/>
    <w:rsid w:val="004E3F77"/>
    <w:rsid w:val="004E405E"/>
    <w:rsid w:val="004E4317"/>
    <w:rsid w:val="004E494F"/>
    <w:rsid w:val="004E4C2C"/>
    <w:rsid w:val="004E4F51"/>
    <w:rsid w:val="004E546F"/>
    <w:rsid w:val="004E54B8"/>
    <w:rsid w:val="004E5791"/>
    <w:rsid w:val="004E66A8"/>
    <w:rsid w:val="004E6ACA"/>
    <w:rsid w:val="004E7235"/>
    <w:rsid w:val="004E72BF"/>
    <w:rsid w:val="004E75B4"/>
    <w:rsid w:val="004E7D04"/>
    <w:rsid w:val="004E7D2E"/>
    <w:rsid w:val="004E7E5E"/>
    <w:rsid w:val="004F0A18"/>
    <w:rsid w:val="004F12F7"/>
    <w:rsid w:val="004F1A7E"/>
    <w:rsid w:val="004F2820"/>
    <w:rsid w:val="004F2B46"/>
    <w:rsid w:val="004F2BF5"/>
    <w:rsid w:val="004F2C56"/>
    <w:rsid w:val="004F2CE8"/>
    <w:rsid w:val="004F332A"/>
    <w:rsid w:val="004F35E1"/>
    <w:rsid w:val="004F3A38"/>
    <w:rsid w:val="004F3AF8"/>
    <w:rsid w:val="004F4462"/>
    <w:rsid w:val="004F4A8E"/>
    <w:rsid w:val="004F5131"/>
    <w:rsid w:val="004F51EC"/>
    <w:rsid w:val="004F5A1B"/>
    <w:rsid w:val="004F5BB4"/>
    <w:rsid w:val="004F5CD3"/>
    <w:rsid w:val="004F5D04"/>
    <w:rsid w:val="004F5DFC"/>
    <w:rsid w:val="004F60A4"/>
    <w:rsid w:val="004F6125"/>
    <w:rsid w:val="004F6134"/>
    <w:rsid w:val="004F658B"/>
    <w:rsid w:val="004F7048"/>
    <w:rsid w:val="004F7C78"/>
    <w:rsid w:val="00500037"/>
    <w:rsid w:val="00500081"/>
    <w:rsid w:val="005006A9"/>
    <w:rsid w:val="0050148B"/>
    <w:rsid w:val="00501B10"/>
    <w:rsid w:val="00501BF3"/>
    <w:rsid w:val="0050200B"/>
    <w:rsid w:val="00502233"/>
    <w:rsid w:val="005022AE"/>
    <w:rsid w:val="0050244A"/>
    <w:rsid w:val="00502741"/>
    <w:rsid w:val="005027BB"/>
    <w:rsid w:val="00502D98"/>
    <w:rsid w:val="00502F17"/>
    <w:rsid w:val="00503CA1"/>
    <w:rsid w:val="005042FF"/>
    <w:rsid w:val="0050447E"/>
    <w:rsid w:val="005049FA"/>
    <w:rsid w:val="00504E6C"/>
    <w:rsid w:val="00504FC2"/>
    <w:rsid w:val="00505B03"/>
    <w:rsid w:val="0050661F"/>
    <w:rsid w:val="00506B1A"/>
    <w:rsid w:val="0050721E"/>
    <w:rsid w:val="00507563"/>
    <w:rsid w:val="005077D0"/>
    <w:rsid w:val="00507C0F"/>
    <w:rsid w:val="00507EDA"/>
    <w:rsid w:val="00507EDC"/>
    <w:rsid w:val="0051059A"/>
    <w:rsid w:val="00510679"/>
    <w:rsid w:val="0051128E"/>
    <w:rsid w:val="005119AB"/>
    <w:rsid w:val="00511C58"/>
    <w:rsid w:val="005125D2"/>
    <w:rsid w:val="0051277F"/>
    <w:rsid w:val="00512B11"/>
    <w:rsid w:val="00512C30"/>
    <w:rsid w:val="00512EFA"/>
    <w:rsid w:val="0051347F"/>
    <w:rsid w:val="005134CD"/>
    <w:rsid w:val="005135F8"/>
    <w:rsid w:val="0051391D"/>
    <w:rsid w:val="00513A36"/>
    <w:rsid w:val="00513A5E"/>
    <w:rsid w:val="00513A9A"/>
    <w:rsid w:val="00513D07"/>
    <w:rsid w:val="00513F0C"/>
    <w:rsid w:val="005141DA"/>
    <w:rsid w:val="00514ABB"/>
    <w:rsid w:val="00514E0B"/>
    <w:rsid w:val="00514E72"/>
    <w:rsid w:val="005150BC"/>
    <w:rsid w:val="005152E7"/>
    <w:rsid w:val="0051557F"/>
    <w:rsid w:val="005159E2"/>
    <w:rsid w:val="00515BB7"/>
    <w:rsid w:val="00515F63"/>
    <w:rsid w:val="00516155"/>
    <w:rsid w:val="00516766"/>
    <w:rsid w:val="00516CB5"/>
    <w:rsid w:val="00516E91"/>
    <w:rsid w:val="00516EC9"/>
    <w:rsid w:val="0051732A"/>
    <w:rsid w:val="0052041C"/>
    <w:rsid w:val="0052081F"/>
    <w:rsid w:val="0052093F"/>
    <w:rsid w:val="005209F8"/>
    <w:rsid w:val="00520A0E"/>
    <w:rsid w:val="00520C74"/>
    <w:rsid w:val="00521121"/>
    <w:rsid w:val="00521256"/>
    <w:rsid w:val="00521C50"/>
    <w:rsid w:val="00521FD3"/>
    <w:rsid w:val="00522260"/>
    <w:rsid w:val="0052241D"/>
    <w:rsid w:val="0052267D"/>
    <w:rsid w:val="0052284F"/>
    <w:rsid w:val="0052291D"/>
    <w:rsid w:val="00522B5A"/>
    <w:rsid w:val="00522CBD"/>
    <w:rsid w:val="00522DB6"/>
    <w:rsid w:val="00523431"/>
    <w:rsid w:val="00523764"/>
    <w:rsid w:val="0052377C"/>
    <w:rsid w:val="00523A60"/>
    <w:rsid w:val="0052403C"/>
    <w:rsid w:val="00524BA5"/>
    <w:rsid w:val="00524F86"/>
    <w:rsid w:val="0052518C"/>
    <w:rsid w:val="00525479"/>
    <w:rsid w:val="005254F7"/>
    <w:rsid w:val="0052571F"/>
    <w:rsid w:val="0052599B"/>
    <w:rsid w:val="00525B00"/>
    <w:rsid w:val="00525D9A"/>
    <w:rsid w:val="00526258"/>
    <w:rsid w:val="00526588"/>
    <w:rsid w:val="00526650"/>
    <w:rsid w:val="005266E4"/>
    <w:rsid w:val="005267A6"/>
    <w:rsid w:val="005278E3"/>
    <w:rsid w:val="0052795D"/>
    <w:rsid w:val="00527A4B"/>
    <w:rsid w:val="005302EF"/>
    <w:rsid w:val="00530971"/>
    <w:rsid w:val="00531F99"/>
    <w:rsid w:val="005320DF"/>
    <w:rsid w:val="005321AA"/>
    <w:rsid w:val="005322E1"/>
    <w:rsid w:val="005328E0"/>
    <w:rsid w:val="00533179"/>
    <w:rsid w:val="00533C56"/>
    <w:rsid w:val="00533C9E"/>
    <w:rsid w:val="00533E73"/>
    <w:rsid w:val="00533F80"/>
    <w:rsid w:val="00534199"/>
    <w:rsid w:val="005342D7"/>
    <w:rsid w:val="00534A7A"/>
    <w:rsid w:val="00534C00"/>
    <w:rsid w:val="00534D00"/>
    <w:rsid w:val="0053526F"/>
    <w:rsid w:val="00535F3D"/>
    <w:rsid w:val="00536256"/>
    <w:rsid w:val="0053663D"/>
    <w:rsid w:val="005366D9"/>
    <w:rsid w:val="005368F7"/>
    <w:rsid w:val="00536B0B"/>
    <w:rsid w:val="00536B20"/>
    <w:rsid w:val="005373C7"/>
    <w:rsid w:val="00537573"/>
    <w:rsid w:val="00537658"/>
    <w:rsid w:val="00537CB0"/>
    <w:rsid w:val="00537DF4"/>
    <w:rsid w:val="00537FE7"/>
    <w:rsid w:val="0054092F"/>
    <w:rsid w:val="00540F04"/>
    <w:rsid w:val="00541779"/>
    <w:rsid w:val="00541B16"/>
    <w:rsid w:val="00541CD1"/>
    <w:rsid w:val="00541DDF"/>
    <w:rsid w:val="00541F0F"/>
    <w:rsid w:val="0054218B"/>
    <w:rsid w:val="00542746"/>
    <w:rsid w:val="0054290F"/>
    <w:rsid w:val="0054292D"/>
    <w:rsid w:val="005429F7"/>
    <w:rsid w:val="00542A52"/>
    <w:rsid w:val="00542B96"/>
    <w:rsid w:val="00542C92"/>
    <w:rsid w:val="00542E05"/>
    <w:rsid w:val="00543132"/>
    <w:rsid w:val="0054319B"/>
    <w:rsid w:val="005432C9"/>
    <w:rsid w:val="0054334D"/>
    <w:rsid w:val="0054354C"/>
    <w:rsid w:val="005435AB"/>
    <w:rsid w:val="005437F0"/>
    <w:rsid w:val="00543AA7"/>
    <w:rsid w:val="00543FDB"/>
    <w:rsid w:val="00544051"/>
    <w:rsid w:val="005441C7"/>
    <w:rsid w:val="0054437A"/>
    <w:rsid w:val="00544A15"/>
    <w:rsid w:val="00544FF7"/>
    <w:rsid w:val="00545221"/>
    <w:rsid w:val="005455F7"/>
    <w:rsid w:val="00545CD7"/>
    <w:rsid w:val="00545D1B"/>
    <w:rsid w:val="00545F3C"/>
    <w:rsid w:val="00546175"/>
    <w:rsid w:val="00546A9F"/>
    <w:rsid w:val="00546ACB"/>
    <w:rsid w:val="00546D75"/>
    <w:rsid w:val="00546F3A"/>
    <w:rsid w:val="005476BA"/>
    <w:rsid w:val="005505A5"/>
    <w:rsid w:val="0055063F"/>
    <w:rsid w:val="00550768"/>
    <w:rsid w:val="00550D30"/>
    <w:rsid w:val="0055108A"/>
    <w:rsid w:val="005512C2"/>
    <w:rsid w:val="005513CA"/>
    <w:rsid w:val="00551642"/>
    <w:rsid w:val="005526CB"/>
    <w:rsid w:val="00552EE2"/>
    <w:rsid w:val="005530FF"/>
    <w:rsid w:val="005532C8"/>
    <w:rsid w:val="00553782"/>
    <w:rsid w:val="00553945"/>
    <w:rsid w:val="00553AAA"/>
    <w:rsid w:val="00553F18"/>
    <w:rsid w:val="005540BD"/>
    <w:rsid w:val="00554B07"/>
    <w:rsid w:val="00554E5E"/>
    <w:rsid w:val="005555C0"/>
    <w:rsid w:val="005568A7"/>
    <w:rsid w:val="00557515"/>
    <w:rsid w:val="00557724"/>
    <w:rsid w:val="005579D1"/>
    <w:rsid w:val="00557E23"/>
    <w:rsid w:val="0056013F"/>
    <w:rsid w:val="0056020B"/>
    <w:rsid w:val="005618C9"/>
    <w:rsid w:val="00561903"/>
    <w:rsid w:val="00561957"/>
    <w:rsid w:val="00561BF8"/>
    <w:rsid w:val="00561C6E"/>
    <w:rsid w:val="00561E31"/>
    <w:rsid w:val="005621A8"/>
    <w:rsid w:val="005627D3"/>
    <w:rsid w:val="00562F72"/>
    <w:rsid w:val="00563659"/>
    <w:rsid w:val="0056381C"/>
    <w:rsid w:val="00563EC1"/>
    <w:rsid w:val="00564010"/>
    <w:rsid w:val="005640FE"/>
    <w:rsid w:val="005648A7"/>
    <w:rsid w:val="00564C22"/>
    <w:rsid w:val="00564E40"/>
    <w:rsid w:val="00564FF1"/>
    <w:rsid w:val="005655E3"/>
    <w:rsid w:val="00565655"/>
    <w:rsid w:val="005659EB"/>
    <w:rsid w:val="00565BBC"/>
    <w:rsid w:val="00566260"/>
    <w:rsid w:val="00566736"/>
    <w:rsid w:val="00566E10"/>
    <w:rsid w:val="00567693"/>
    <w:rsid w:val="00567779"/>
    <w:rsid w:val="00567B2D"/>
    <w:rsid w:val="00567EF2"/>
    <w:rsid w:val="005700FA"/>
    <w:rsid w:val="00570194"/>
    <w:rsid w:val="0057036D"/>
    <w:rsid w:val="00570417"/>
    <w:rsid w:val="00570B65"/>
    <w:rsid w:val="005715BD"/>
    <w:rsid w:val="00571744"/>
    <w:rsid w:val="0057229A"/>
    <w:rsid w:val="00572331"/>
    <w:rsid w:val="005728E5"/>
    <w:rsid w:val="005735C2"/>
    <w:rsid w:val="005738C0"/>
    <w:rsid w:val="005739B0"/>
    <w:rsid w:val="00573BAF"/>
    <w:rsid w:val="00573BCB"/>
    <w:rsid w:val="00573C38"/>
    <w:rsid w:val="00573ED5"/>
    <w:rsid w:val="00574378"/>
    <w:rsid w:val="0057448F"/>
    <w:rsid w:val="00574B5B"/>
    <w:rsid w:val="00574DDA"/>
    <w:rsid w:val="00574EA2"/>
    <w:rsid w:val="00574F26"/>
    <w:rsid w:val="00575228"/>
    <w:rsid w:val="00575250"/>
    <w:rsid w:val="0057526A"/>
    <w:rsid w:val="0057536E"/>
    <w:rsid w:val="005753BD"/>
    <w:rsid w:val="00575452"/>
    <w:rsid w:val="00575A75"/>
    <w:rsid w:val="00575AD4"/>
    <w:rsid w:val="00575BBB"/>
    <w:rsid w:val="00575BBF"/>
    <w:rsid w:val="005760C1"/>
    <w:rsid w:val="00576365"/>
    <w:rsid w:val="00576951"/>
    <w:rsid w:val="00576DBA"/>
    <w:rsid w:val="00576E91"/>
    <w:rsid w:val="0057705C"/>
    <w:rsid w:val="00577130"/>
    <w:rsid w:val="00577939"/>
    <w:rsid w:val="00577A8F"/>
    <w:rsid w:val="00577CFF"/>
    <w:rsid w:val="00577D0E"/>
    <w:rsid w:val="00577E07"/>
    <w:rsid w:val="00577FBA"/>
    <w:rsid w:val="005801FE"/>
    <w:rsid w:val="00580793"/>
    <w:rsid w:val="00580E7C"/>
    <w:rsid w:val="0058128E"/>
    <w:rsid w:val="0058134D"/>
    <w:rsid w:val="0058173B"/>
    <w:rsid w:val="00581752"/>
    <w:rsid w:val="00581851"/>
    <w:rsid w:val="005819E8"/>
    <w:rsid w:val="00581C60"/>
    <w:rsid w:val="00581F16"/>
    <w:rsid w:val="0058243A"/>
    <w:rsid w:val="005830E3"/>
    <w:rsid w:val="005833CF"/>
    <w:rsid w:val="00583F04"/>
    <w:rsid w:val="00584597"/>
    <w:rsid w:val="005846CF"/>
    <w:rsid w:val="0058477D"/>
    <w:rsid w:val="005849D3"/>
    <w:rsid w:val="00584E03"/>
    <w:rsid w:val="00585153"/>
    <w:rsid w:val="00585231"/>
    <w:rsid w:val="005856CA"/>
    <w:rsid w:val="005857D3"/>
    <w:rsid w:val="00585A96"/>
    <w:rsid w:val="00585B03"/>
    <w:rsid w:val="00585B30"/>
    <w:rsid w:val="00586331"/>
    <w:rsid w:val="0058637F"/>
    <w:rsid w:val="0058685E"/>
    <w:rsid w:val="00586AF4"/>
    <w:rsid w:val="00586DBC"/>
    <w:rsid w:val="00587162"/>
    <w:rsid w:val="00587337"/>
    <w:rsid w:val="00587A67"/>
    <w:rsid w:val="005900FE"/>
    <w:rsid w:val="005901D9"/>
    <w:rsid w:val="005902D2"/>
    <w:rsid w:val="00591521"/>
    <w:rsid w:val="00591816"/>
    <w:rsid w:val="00591E61"/>
    <w:rsid w:val="00592607"/>
    <w:rsid w:val="00592D4D"/>
    <w:rsid w:val="00593230"/>
    <w:rsid w:val="005936DA"/>
    <w:rsid w:val="00593736"/>
    <w:rsid w:val="00593B24"/>
    <w:rsid w:val="00593C56"/>
    <w:rsid w:val="00593CBA"/>
    <w:rsid w:val="00593CFF"/>
    <w:rsid w:val="00593DD4"/>
    <w:rsid w:val="00594697"/>
    <w:rsid w:val="005953CA"/>
    <w:rsid w:val="00595506"/>
    <w:rsid w:val="00596021"/>
    <w:rsid w:val="0059608E"/>
    <w:rsid w:val="00596F7E"/>
    <w:rsid w:val="00597141"/>
    <w:rsid w:val="005974EF"/>
    <w:rsid w:val="0059755D"/>
    <w:rsid w:val="005975B1"/>
    <w:rsid w:val="0059786E"/>
    <w:rsid w:val="005978E8"/>
    <w:rsid w:val="005A009B"/>
    <w:rsid w:val="005A0176"/>
    <w:rsid w:val="005A0335"/>
    <w:rsid w:val="005A04AA"/>
    <w:rsid w:val="005A0714"/>
    <w:rsid w:val="005A0C82"/>
    <w:rsid w:val="005A0D81"/>
    <w:rsid w:val="005A0DAE"/>
    <w:rsid w:val="005A1205"/>
    <w:rsid w:val="005A141D"/>
    <w:rsid w:val="005A1637"/>
    <w:rsid w:val="005A18E7"/>
    <w:rsid w:val="005A1F3A"/>
    <w:rsid w:val="005A200E"/>
    <w:rsid w:val="005A23F0"/>
    <w:rsid w:val="005A2558"/>
    <w:rsid w:val="005A2615"/>
    <w:rsid w:val="005A264A"/>
    <w:rsid w:val="005A2823"/>
    <w:rsid w:val="005A2A4B"/>
    <w:rsid w:val="005A2F18"/>
    <w:rsid w:val="005A3080"/>
    <w:rsid w:val="005A397E"/>
    <w:rsid w:val="005A39BA"/>
    <w:rsid w:val="005A3D66"/>
    <w:rsid w:val="005A4270"/>
    <w:rsid w:val="005A4425"/>
    <w:rsid w:val="005A4602"/>
    <w:rsid w:val="005A46E6"/>
    <w:rsid w:val="005A49FE"/>
    <w:rsid w:val="005A4B7D"/>
    <w:rsid w:val="005A5816"/>
    <w:rsid w:val="005A5902"/>
    <w:rsid w:val="005A5D02"/>
    <w:rsid w:val="005A60A6"/>
    <w:rsid w:val="005A6116"/>
    <w:rsid w:val="005A62BC"/>
    <w:rsid w:val="005A671D"/>
    <w:rsid w:val="005A67C8"/>
    <w:rsid w:val="005A6BEF"/>
    <w:rsid w:val="005A6F44"/>
    <w:rsid w:val="005A7415"/>
    <w:rsid w:val="005A7499"/>
    <w:rsid w:val="005A7714"/>
    <w:rsid w:val="005A7733"/>
    <w:rsid w:val="005A7F22"/>
    <w:rsid w:val="005B0420"/>
    <w:rsid w:val="005B0824"/>
    <w:rsid w:val="005B09B0"/>
    <w:rsid w:val="005B09C4"/>
    <w:rsid w:val="005B0B08"/>
    <w:rsid w:val="005B0F67"/>
    <w:rsid w:val="005B1CE7"/>
    <w:rsid w:val="005B1D13"/>
    <w:rsid w:val="005B1DD9"/>
    <w:rsid w:val="005B23DD"/>
    <w:rsid w:val="005B285D"/>
    <w:rsid w:val="005B2B32"/>
    <w:rsid w:val="005B2D33"/>
    <w:rsid w:val="005B3309"/>
    <w:rsid w:val="005B38AA"/>
    <w:rsid w:val="005B3A90"/>
    <w:rsid w:val="005B3AAB"/>
    <w:rsid w:val="005B3B1B"/>
    <w:rsid w:val="005B3C92"/>
    <w:rsid w:val="005B3E1A"/>
    <w:rsid w:val="005B432E"/>
    <w:rsid w:val="005B5501"/>
    <w:rsid w:val="005B56B0"/>
    <w:rsid w:val="005B5842"/>
    <w:rsid w:val="005B5DC8"/>
    <w:rsid w:val="005B5F79"/>
    <w:rsid w:val="005B6306"/>
    <w:rsid w:val="005B6382"/>
    <w:rsid w:val="005B6CE2"/>
    <w:rsid w:val="005B742F"/>
    <w:rsid w:val="005B76BF"/>
    <w:rsid w:val="005B7A03"/>
    <w:rsid w:val="005B7A90"/>
    <w:rsid w:val="005B7CD7"/>
    <w:rsid w:val="005B7EEB"/>
    <w:rsid w:val="005C006B"/>
    <w:rsid w:val="005C02BD"/>
    <w:rsid w:val="005C0920"/>
    <w:rsid w:val="005C0A50"/>
    <w:rsid w:val="005C0F87"/>
    <w:rsid w:val="005C10B8"/>
    <w:rsid w:val="005C115E"/>
    <w:rsid w:val="005C1607"/>
    <w:rsid w:val="005C181C"/>
    <w:rsid w:val="005C1A70"/>
    <w:rsid w:val="005C1D2F"/>
    <w:rsid w:val="005C1DBC"/>
    <w:rsid w:val="005C261C"/>
    <w:rsid w:val="005C3460"/>
    <w:rsid w:val="005C356D"/>
    <w:rsid w:val="005C3ABC"/>
    <w:rsid w:val="005C3CFB"/>
    <w:rsid w:val="005C3F36"/>
    <w:rsid w:val="005C48AA"/>
    <w:rsid w:val="005C4B7F"/>
    <w:rsid w:val="005C4C95"/>
    <w:rsid w:val="005C4EB3"/>
    <w:rsid w:val="005C5717"/>
    <w:rsid w:val="005C57B1"/>
    <w:rsid w:val="005C5F0A"/>
    <w:rsid w:val="005C603F"/>
    <w:rsid w:val="005C6087"/>
    <w:rsid w:val="005C6388"/>
    <w:rsid w:val="005C663C"/>
    <w:rsid w:val="005C6E0F"/>
    <w:rsid w:val="005C6FD6"/>
    <w:rsid w:val="005C704C"/>
    <w:rsid w:val="005C70A8"/>
    <w:rsid w:val="005C77C5"/>
    <w:rsid w:val="005C78E4"/>
    <w:rsid w:val="005C79F7"/>
    <w:rsid w:val="005D0575"/>
    <w:rsid w:val="005D0F2E"/>
    <w:rsid w:val="005D12C4"/>
    <w:rsid w:val="005D1301"/>
    <w:rsid w:val="005D182C"/>
    <w:rsid w:val="005D1A0D"/>
    <w:rsid w:val="005D219F"/>
    <w:rsid w:val="005D22A5"/>
    <w:rsid w:val="005D2841"/>
    <w:rsid w:val="005D2850"/>
    <w:rsid w:val="005D2C6B"/>
    <w:rsid w:val="005D3305"/>
    <w:rsid w:val="005D3B64"/>
    <w:rsid w:val="005D3D78"/>
    <w:rsid w:val="005D3F3E"/>
    <w:rsid w:val="005D40D5"/>
    <w:rsid w:val="005D4584"/>
    <w:rsid w:val="005D45A0"/>
    <w:rsid w:val="005D4ACF"/>
    <w:rsid w:val="005D4AF1"/>
    <w:rsid w:val="005D4C04"/>
    <w:rsid w:val="005D5734"/>
    <w:rsid w:val="005D59D9"/>
    <w:rsid w:val="005D5DA5"/>
    <w:rsid w:val="005D5F34"/>
    <w:rsid w:val="005D629D"/>
    <w:rsid w:val="005D645F"/>
    <w:rsid w:val="005D68B8"/>
    <w:rsid w:val="005D6F9A"/>
    <w:rsid w:val="005D6FC7"/>
    <w:rsid w:val="005E03DE"/>
    <w:rsid w:val="005E041B"/>
    <w:rsid w:val="005E0485"/>
    <w:rsid w:val="005E065C"/>
    <w:rsid w:val="005E09F4"/>
    <w:rsid w:val="005E0AF6"/>
    <w:rsid w:val="005E0CC4"/>
    <w:rsid w:val="005E0D4F"/>
    <w:rsid w:val="005E124E"/>
    <w:rsid w:val="005E1452"/>
    <w:rsid w:val="005E1531"/>
    <w:rsid w:val="005E15A1"/>
    <w:rsid w:val="005E1C37"/>
    <w:rsid w:val="005E1C89"/>
    <w:rsid w:val="005E1E61"/>
    <w:rsid w:val="005E1EF2"/>
    <w:rsid w:val="005E1F6D"/>
    <w:rsid w:val="005E2228"/>
    <w:rsid w:val="005E2483"/>
    <w:rsid w:val="005E276E"/>
    <w:rsid w:val="005E2B1E"/>
    <w:rsid w:val="005E3581"/>
    <w:rsid w:val="005E371F"/>
    <w:rsid w:val="005E3E68"/>
    <w:rsid w:val="005E45C9"/>
    <w:rsid w:val="005E4B02"/>
    <w:rsid w:val="005E4B9C"/>
    <w:rsid w:val="005E5071"/>
    <w:rsid w:val="005E52D3"/>
    <w:rsid w:val="005E5F31"/>
    <w:rsid w:val="005E635F"/>
    <w:rsid w:val="005E6F2C"/>
    <w:rsid w:val="005E6F74"/>
    <w:rsid w:val="005E705C"/>
    <w:rsid w:val="005E7147"/>
    <w:rsid w:val="005E7646"/>
    <w:rsid w:val="005E77A0"/>
    <w:rsid w:val="005F03A1"/>
    <w:rsid w:val="005F0AD9"/>
    <w:rsid w:val="005F0C2A"/>
    <w:rsid w:val="005F0E9B"/>
    <w:rsid w:val="005F1559"/>
    <w:rsid w:val="005F159E"/>
    <w:rsid w:val="005F15D2"/>
    <w:rsid w:val="005F242B"/>
    <w:rsid w:val="005F2642"/>
    <w:rsid w:val="005F2F18"/>
    <w:rsid w:val="005F3384"/>
    <w:rsid w:val="005F3584"/>
    <w:rsid w:val="005F35F4"/>
    <w:rsid w:val="005F3ACB"/>
    <w:rsid w:val="005F4021"/>
    <w:rsid w:val="005F417E"/>
    <w:rsid w:val="005F41B2"/>
    <w:rsid w:val="005F42D8"/>
    <w:rsid w:val="005F4B68"/>
    <w:rsid w:val="005F4C90"/>
    <w:rsid w:val="005F4C9E"/>
    <w:rsid w:val="005F4FD2"/>
    <w:rsid w:val="005F57ED"/>
    <w:rsid w:val="005F5995"/>
    <w:rsid w:val="005F5A23"/>
    <w:rsid w:val="005F5BE3"/>
    <w:rsid w:val="005F5C2B"/>
    <w:rsid w:val="005F63ED"/>
    <w:rsid w:val="005F640E"/>
    <w:rsid w:val="005F6983"/>
    <w:rsid w:val="005F6B32"/>
    <w:rsid w:val="005F6B49"/>
    <w:rsid w:val="005F7185"/>
    <w:rsid w:val="005F72C2"/>
    <w:rsid w:val="006001BF"/>
    <w:rsid w:val="006004CA"/>
    <w:rsid w:val="00600F81"/>
    <w:rsid w:val="006018EA"/>
    <w:rsid w:val="00601BC8"/>
    <w:rsid w:val="006026D7"/>
    <w:rsid w:val="006027D9"/>
    <w:rsid w:val="006030D3"/>
    <w:rsid w:val="0060325B"/>
    <w:rsid w:val="00603287"/>
    <w:rsid w:val="00603E43"/>
    <w:rsid w:val="00604678"/>
    <w:rsid w:val="0060499D"/>
    <w:rsid w:val="00604DE2"/>
    <w:rsid w:val="00605257"/>
    <w:rsid w:val="0060572C"/>
    <w:rsid w:val="00605C72"/>
    <w:rsid w:val="006060B2"/>
    <w:rsid w:val="006065CD"/>
    <w:rsid w:val="00606693"/>
    <w:rsid w:val="00607040"/>
    <w:rsid w:val="0060764E"/>
    <w:rsid w:val="00607B0C"/>
    <w:rsid w:val="00607E4C"/>
    <w:rsid w:val="0061015C"/>
    <w:rsid w:val="006101DB"/>
    <w:rsid w:val="006108F5"/>
    <w:rsid w:val="00610BA0"/>
    <w:rsid w:val="00610D19"/>
    <w:rsid w:val="00611A4A"/>
    <w:rsid w:val="00611CBE"/>
    <w:rsid w:val="00611E49"/>
    <w:rsid w:val="0061286E"/>
    <w:rsid w:val="00612A4E"/>
    <w:rsid w:val="00612E9F"/>
    <w:rsid w:val="006138B8"/>
    <w:rsid w:val="00613CE7"/>
    <w:rsid w:val="00613EA2"/>
    <w:rsid w:val="006143B3"/>
    <w:rsid w:val="006148A6"/>
    <w:rsid w:val="00614AF6"/>
    <w:rsid w:val="00614B42"/>
    <w:rsid w:val="0061521B"/>
    <w:rsid w:val="0061532C"/>
    <w:rsid w:val="006155DD"/>
    <w:rsid w:val="00615720"/>
    <w:rsid w:val="00615991"/>
    <w:rsid w:val="006159D6"/>
    <w:rsid w:val="006162DB"/>
    <w:rsid w:val="006165A2"/>
    <w:rsid w:val="00616A39"/>
    <w:rsid w:val="00616F19"/>
    <w:rsid w:val="006173CA"/>
    <w:rsid w:val="0061780A"/>
    <w:rsid w:val="00617C09"/>
    <w:rsid w:val="00617EFC"/>
    <w:rsid w:val="006200B0"/>
    <w:rsid w:val="00620908"/>
    <w:rsid w:val="00620A1A"/>
    <w:rsid w:val="00620B10"/>
    <w:rsid w:val="00620DAC"/>
    <w:rsid w:val="006213DB"/>
    <w:rsid w:val="0062153D"/>
    <w:rsid w:val="00621ADC"/>
    <w:rsid w:val="00621DD4"/>
    <w:rsid w:val="00621E8C"/>
    <w:rsid w:val="006222F4"/>
    <w:rsid w:val="00622550"/>
    <w:rsid w:val="0062307D"/>
    <w:rsid w:val="006230EB"/>
    <w:rsid w:val="006232EF"/>
    <w:rsid w:val="00623344"/>
    <w:rsid w:val="00623AD2"/>
    <w:rsid w:val="00623BCF"/>
    <w:rsid w:val="00623ECC"/>
    <w:rsid w:val="006240D9"/>
    <w:rsid w:val="006242F6"/>
    <w:rsid w:val="00624731"/>
    <w:rsid w:val="00624860"/>
    <w:rsid w:val="00625205"/>
    <w:rsid w:val="00625286"/>
    <w:rsid w:val="00625454"/>
    <w:rsid w:val="00625617"/>
    <w:rsid w:val="00625640"/>
    <w:rsid w:val="0062582A"/>
    <w:rsid w:val="00625A01"/>
    <w:rsid w:val="00625A71"/>
    <w:rsid w:val="00625ADD"/>
    <w:rsid w:val="0062604A"/>
    <w:rsid w:val="006261A0"/>
    <w:rsid w:val="006262D6"/>
    <w:rsid w:val="0062681C"/>
    <w:rsid w:val="00626988"/>
    <w:rsid w:val="00626C4D"/>
    <w:rsid w:val="0062763B"/>
    <w:rsid w:val="00627C72"/>
    <w:rsid w:val="00627D07"/>
    <w:rsid w:val="00627E8A"/>
    <w:rsid w:val="00630439"/>
    <w:rsid w:val="00630D7D"/>
    <w:rsid w:val="0063143B"/>
    <w:rsid w:val="00631859"/>
    <w:rsid w:val="006318BA"/>
    <w:rsid w:val="00631972"/>
    <w:rsid w:val="0063207C"/>
    <w:rsid w:val="006336EA"/>
    <w:rsid w:val="0063387D"/>
    <w:rsid w:val="00633D6C"/>
    <w:rsid w:val="00633F00"/>
    <w:rsid w:val="006341D8"/>
    <w:rsid w:val="006342AD"/>
    <w:rsid w:val="00634EAD"/>
    <w:rsid w:val="006352C2"/>
    <w:rsid w:val="0063539E"/>
    <w:rsid w:val="0063588B"/>
    <w:rsid w:val="00636174"/>
    <w:rsid w:val="00636F35"/>
    <w:rsid w:val="00637324"/>
    <w:rsid w:val="00637973"/>
    <w:rsid w:val="00637A55"/>
    <w:rsid w:val="00637CD9"/>
    <w:rsid w:val="006402C5"/>
    <w:rsid w:val="00640A14"/>
    <w:rsid w:val="00640BD3"/>
    <w:rsid w:val="00640CAF"/>
    <w:rsid w:val="00640CEB"/>
    <w:rsid w:val="00640ED2"/>
    <w:rsid w:val="006411C1"/>
    <w:rsid w:val="00641522"/>
    <w:rsid w:val="006419E3"/>
    <w:rsid w:val="00642157"/>
    <w:rsid w:val="006426DA"/>
    <w:rsid w:val="00642C31"/>
    <w:rsid w:val="00642D4C"/>
    <w:rsid w:val="00643503"/>
    <w:rsid w:val="006439D4"/>
    <w:rsid w:val="00643C08"/>
    <w:rsid w:val="00643C5B"/>
    <w:rsid w:val="00643E17"/>
    <w:rsid w:val="00644138"/>
    <w:rsid w:val="006443F0"/>
    <w:rsid w:val="0064468D"/>
    <w:rsid w:val="00644F03"/>
    <w:rsid w:val="0064539A"/>
    <w:rsid w:val="006453BA"/>
    <w:rsid w:val="00645CBB"/>
    <w:rsid w:val="00646484"/>
    <w:rsid w:val="00646E59"/>
    <w:rsid w:val="006473A7"/>
    <w:rsid w:val="00647BA8"/>
    <w:rsid w:val="0065076C"/>
    <w:rsid w:val="00650AF8"/>
    <w:rsid w:val="00651272"/>
    <w:rsid w:val="006515ED"/>
    <w:rsid w:val="00651C30"/>
    <w:rsid w:val="00651FB9"/>
    <w:rsid w:val="0065203C"/>
    <w:rsid w:val="00652064"/>
    <w:rsid w:val="00652155"/>
    <w:rsid w:val="006527C0"/>
    <w:rsid w:val="00652A49"/>
    <w:rsid w:val="00652ACC"/>
    <w:rsid w:val="00652B84"/>
    <w:rsid w:val="00652DA1"/>
    <w:rsid w:val="00653236"/>
    <w:rsid w:val="006533BF"/>
    <w:rsid w:val="0065359F"/>
    <w:rsid w:val="0065372A"/>
    <w:rsid w:val="0065377B"/>
    <w:rsid w:val="006541E3"/>
    <w:rsid w:val="0065437F"/>
    <w:rsid w:val="00654822"/>
    <w:rsid w:val="00654AB3"/>
    <w:rsid w:val="0065536E"/>
    <w:rsid w:val="00655A56"/>
    <w:rsid w:val="0065677B"/>
    <w:rsid w:val="00656BBD"/>
    <w:rsid w:val="00656D15"/>
    <w:rsid w:val="00656E8B"/>
    <w:rsid w:val="00657298"/>
    <w:rsid w:val="006572A2"/>
    <w:rsid w:val="006573A3"/>
    <w:rsid w:val="006574A5"/>
    <w:rsid w:val="006577A2"/>
    <w:rsid w:val="00660948"/>
    <w:rsid w:val="00660A4B"/>
    <w:rsid w:val="00660EB4"/>
    <w:rsid w:val="00661319"/>
    <w:rsid w:val="0066213E"/>
    <w:rsid w:val="006622BB"/>
    <w:rsid w:val="00662408"/>
    <w:rsid w:val="00663382"/>
    <w:rsid w:val="006633F0"/>
    <w:rsid w:val="00663C99"/>
    <w:rsid w:val="00664434"/>
    <w:rsid w:val="00664493"/>
    <w:rsid w:val="006649F3"/>
    <w:rsid w:val="00664AA3"/>
    <w:rsid w:val="00664B81"/>
    <w:rsid w:val="00664C6B"/>
    <w:rsid w:val="006651B9"/>
    <w:rsid w:val="006654DD"/>
    <w:rsid w:val="00665624"/>
    <w:rsid w:val="00665746"/>
    <w:rsid w:val="00665B3F"/>
    <w:rsid w:val="00665B54"/>
    <w:rsid w:val="00665DB7"/>
    <w:rsid w:val="00665E77"/>
    <w:rsid w:val="00666147"/>
    <w:rsid w:val="0066666B"/>
    <w:rsid w:val="006666E8"/>
    <w:rsid w:val="00666892"/>
    <w:rsid w:val="00666E3F"/>
    <w:rsid w:val="006674C8"/>
    <w:rsid w:val="006675B5"/>
    <w:rsid w:val="00667D67"/>
    <w:rsid w:val="0067047A"/>
    <w:rsid w:val="00670A1B"/>
    <w:rsid w:val="00670B07"/>
    <w:rsid w:val="00671012"/>
    <w:rsid w:val="006711B8"/>
    <w:rsid w:val="006713AA"/>
    <w:rsid w:val="00671961"/>
    <w:rsid w:val="00671A55"/>
    <w:rsid w:val="00671CBF"/>
    <w:rsid w:val="00671FB9"/>
    <w:rsid w:val="0067210B"/>
    <w:rsid w:val="006722A2"/>
    <w:rsid w:val="006724AF"/>
    <w:rsid w:val="00672BF1"/>
    <w:rsid w:val="00672D01"/>
    <w:rsid w:val="0067348A"/>
    <w:rsid w:val="0067362F"/>
    <w:rsid w:val="006742BF"/>
    <w:rsid w:val="00674856"/>
    <w:rsid w:val="006748B9"/>
    <w:rsid w:val="00674B86"/>
    <w:rsid w:val="00674D50"/>
    <w:rsid w:val="00675713"/>
    <w:rsid w:val="00675FD1"/>
    <w:rsid w:val="006764D9"/>
    <w:rsid w:val="00676582"/>
    <w:rsid w:val="006768CC"/>
    <w:rsid w:val="006769AE"/>
    <w:rsid w:val="00676DAF"/>
    <w:rsid w:val="00676FDA"/>
    <w:rsid w:val="006771B2"/>
    <w:rsid w:val="00677283"/>
    <w:rsid w:val="0067734E"/>
    <w:rsid w:val="00677B22"/>
    <w:rsid w:val="00677E34"/>
    <w:rsid w:val="006800F6"/>
    <w:rsid w:val="006804F2"/>
    <w:rsid w:val="00680627"/>
    <w:rsid w:val="00680770"/>
    <w:rsid w:val="00680DEA"/>
    <w:rsid w:val="006810C8"/>
    <w:rsid w:val="006813F9"/>
    <w:rsid w:val="0068167B"/>
    <w:rsid w:val="00681907"/>
    <w:rsid w:val="00681EE8"/>
    <w:rsid w:val="00681F11"/>
    <w:rsid w:val="00682314"/>
    <w:rsid w:val="006824ED"/>
    <w:rsid w:val="0068335E"/>
    <w:rsid w:val="006838BD"/>
    <w:rsid w:val="00683A99"/>
    <w:rsid w:val="00683AEE"/>
    <w:rsid w:val="00683DB1"/>
    <w:rsid w:val="00683DE4"/>
    <w:rsid w:val="00683FC5"/>
    <w:rsid w:val="006847E8"/>
    <w:rsid w:val="00684BE2"/>
    <w:rsid w:val="00684FAC"/>
    <w:rsid w:val="006858F4"/>
    <w:rsid w:val="00685AEE"/>
    <w:rsid w:val="00685D46"/>
    <w:rsid w:val="00685DA7"/>
    <w:rsid w:val="006863A0"/>
    <w:rsid w:val="006863E4"/>
    <w:rsid w:val="00686635"/>
    <w:rsid w:val="006869FD"/>
    <w:rsid w:val="00686C34"/>
    <w:rsid w:val="00686D3A"/>
    <w:rsid w:val="00686F3F"/>
    <w:rsid w:val="006871CD"/>
    <w:rsid w:val="0068722C"/>
    <w:rsid w:val="0068748C"/>
    <w:rsid w:val="00687863"/>
    <w:rsid w:val="006879E7"/>
    <w:rsid w:val="00687B18"/>
    <w:rsid w:val="0069024D"/>
    <w:rsid w:val="0069028C"/>
    <w:rsid w:val="0069096F"/>
    <w:rsid w:val="00690AC2"/>
    <w:rsid w:val="00690EF7"/>
    <w:rsid w:val="00691032"/>
    <w:rsid w:val="006912E5"/>
    <w:rsid w:val="00691526"/>
    <w:rsid w:val="006915AE"/>
    <w:rsid w:val="00691D6A"/>
    <w:rsid w:val="006923EF"/>
    <w:rsid w:val="006926C1"/>
    <w:rsid w:val="006926E3"/>
    <w:rsid w:val="006926FD"/>
    <w:rsid w:val="006927B9"/>
    <w:rsid w:val="00692CCC"/>
    <w:rsid w:val="00692D25"/>
    <w:rsid w:val="00692EE3"/>
    <w:rsid w:val="006935D3"/>
    <w:rsid w:val="006936FC"/>
    <w:rsid w:val="006938E4"/>
    <w:rsid w:val="00694033"/>
    <w:rsid w:val="00694890"/>
    <w:rsid w:val="00695A3D"/>
    <w:rsid w:val="00696214"/>
    <w:rsid w:val="00696455"/>
    <w:rsid w:val="006970CE"/>
    <w:rsid w:val="00697260"/>
    <w:rsid w:val="00697FD9"/>
    <w:rsid w:val="006A001E"/>
    <w:rsid w:val="006A0031"/>
    <w:rsid w:val="006A060F"/>
    <w:rsid w:val="006A0662"/>
    <w:rsid w:val="006A069E"/>
    <w:rsid w:val="006A071A"/>
    <w:rsid w:val="006A0A11"/>
    <w:rsid w:val="006A10A0"/>
    <w:rsid w:val="006A12DE"/>
    <w:rsid w:val="006A169B"/>
    <w:rsid w:val="006A17ED"/>
    <w:rsid w:val="006A1A4A"/>
    <w:rsid w:val="006A1F01"/>
    <w:rsid w:val="006A24FB"/>
    <w:rsid w:val="006A2EF2"/>
    <w:rsid w:val="006A31A7"/>
    <w:rsid w:val="006A31B5"/>
    <w:rsid w:val="006A3422"/>
    <w:rsid w:val="006A39DD"/>
    <w:rsid w:val="006A3A5C"/>
    <w:rsid w:val="006A3D5E"/>
    <w:rsid w:val="006A411F"/>
    <w:rsid w:val="006A4149"/>
    <w:rsid w:val="006A4D01"/>
    <w:rsid w:val="006A4E49"/>
    <w:rsid w:val="006A5083"/>
    <w:rsid w:val="006A50FB"/>
    <w:rsid w:val="006A534C"/>
    <w:rsid w:val="006A5DD1"/>
    <w:rsid w:val="006A5EF4"/>
    <w:rsid w:val="006A634D"/>
    <w:rsid w:val="006A688D"/>
    <w:rsid w:val="006A697A"/>
    <w:rsid w:val="006A7681"/>
    <w:rsid w:val="006B094D"/>
    <w:rsid w:val="006B0DB8"/>
    <w:rsid w:val="006B107E"/>
    <w:rsid w:val="006B116F"/>
    <w:rsid w:val="006B141D"/>
    <w:rsid w:val="006B1481"/>
    <w:rsid w:val="006B161E"/>
    <w:rsid w:val="006B1BF7"/>
    <w:rsid w:val="006B1F18"/>
    <w:rsid w:val="006B217F"/>
    <w:rsid w:val="006B231D"/>
    <w:rsid w:val="006B268C"/>
    <w:rsid w:val="006B2925"/>
    <w:rsid w:val="006B2A62"/>
    <w:rsid w:val="006B3AFA"/>
    <w:rsid w:val="006B3CBB"/>
    <w:rsid w:val="006B3CF0"/>
    <w:rsid w:val="006B407E"/>
    <w:rsid w:val="006B4269"/>
    <w:rsid w:val="006B43F5"/>
    <w:rsid w:val="006B45F9"/>
    <w:rsid w:val="006B4801"/>
    <w:rsid w:val="006B4C45"/>
    <w:rsid w:val="006B4DC8"/>
    <w:rsid w:val="006B50AB"/>
    <w:rsid w:val="006B52AF"/>
    <w:rsid w:val="006B54D4"/>
    <w:rsid w:val="006B5B14"/>
    <w:rsid w:val="006B5F9D"/>
    <w:rsid w:val="006B6232"/>
    <w:rsid w:val="006B62B7"/>
    <w:rsid w:val="006B659F"/>
    <w:rsid w:val="006B6D1E"/>
    <w:rsid w:val="006B7138"/>
    <w:rsid w:val="006B71DE"/>
    <w:rsid w:val="006B78B0"/>
    <w:rsid w:val="006B7AF3"/>
    <w:rsid w:val="006B7B8C"/>
    <w:rsid w:val="006C0AB9"/>
    <w:rsid w:val="006C0B7E"/>
    <w:rsid w:val="006C0DF0"/>
    <w:rsid w:val="006C0FE3"/>
    <w:rsid w:val="006C1700"/>
    <w:rsid w:val="006C1CC9"/>
    <w:rsid w:val="006C2699"/>
    <w:rsid w:val="006C29AD"/>
    <w:rsid w:val="006C2CD9"/>
    <w:rsid w:val="006C3118"/>
    <w:rsid w:val="006C31D3"/>
    <w:rsid w:val="006C3DE6"/>
    <w:rsid w:val="006C4016"/>
    <w:rsid w:val="006C42D5"/>
    <w:rsid w:val="006C4938"/>
    <w:rsid w:val="006C4C5D"/>
    <w:rsid w:val="006C5034"/>
    <w:rsid w:val="006C5068"/>
    <w:rsid w:val="006C51BC"/>
    <w:rsid w:val="006C554A"/>
    <w:rsid w:val="006C601B"/>
    <w:rsid w:val="006C6A60"/>
    <w:rsid w:val="006C6DA1"/>
    <w:rsid w:val="006C6DF2"/>
    <w:rsid w:val="006C6E53"/>
    <w:rsid w:val="006C7036"/>
    <w:rsid w:val="006C7204"/>
    <w:rsid w:val="006C7CF2"/>
    <w:rsid w:val="006C7F46"/>
    <w:rsid w:val="006C7FD1"/>
    <w:rsid w:val="006D039E"/>
    <w:rsid w:val="006D0EA9"/>
    <w:rsid w:val="006D1113"/>
    <w:rsid w:val="006D12BD"/>
    <w:rsid w:val="006D18AB"/>
    <w:rsid w:val="006D1C66"/>
    <w:rsid w:val="006D20EA"/>
    <w:rsid w:val="006D2504"/>
    <w:rsid w:val="006D26D9"/>
    <w:rsid w:val="006D2F3B"/>
    <w:rsid w:val="006D369C"/>
    <w:rsid w:val="006D40D9"/>
    <w:rsid w:val="006D43D3"/>
    <w:rsid w:val="006D449E"/>
    <w:rsid w:val="006D4643"/>
    <w:rsid w:val="006D5278"/>
    <w:rsid w:val="006D569E"/>
    <w:rsid w:val="006D594A"/>
    <w:rsid w:val="006D5CDD"/>
    <w:rsid w:val="006D6243"/>
    <w:rsid w:val="006D6551"/>
    <w:rsid w:val="006D65FB"/>
    <w:rsid w:val="006D69E4"/>
    <w:rsid w:val="006D79C8"/>
    <w:rsid w:val="006D7A73"/>
    <w:rsid w:val="006D7EC3"/>
    <w:rsid w:val="006D7FD2"/>
    <w:rsid w:val="006E0409"/>
    <w:rsid w:val="006E05C8"/>
    <w:rsid w:val="006E05F6"/>
    <w:rsid w:val="006E07EC"/>
    <w:rsid w:val="006E08A9"/>
    <w:rsid w:val="006E0B78"/>
    <w:rsid w:val="006E0D86"/>
    <w:rsid w:val="006E1387"/>
    <w:rsid w:val="006E1421"/>
    <w:rsid w:val="006E1442"/>
    <w:rsid w:val="006E193C"/>
    <w:rsid w:val="006E24ED"/>
    <w:rsid w:val="006E25A4"/>
    <w:rsid w:val="006E27B0"/>
    <w:rsid w:val="006E27FD"/>
    <w:rsid w:val="006E2B2D"/>
    <w:rsid w:val="006E30B8"/>
    <w:rsid w:val="006E3592"/>
    <w:rsid w:val="006E3696"/>
    <w:rsid w:val="006E369B"/>
    <w:rsid w:val="006E36DD"/>
    <w:rsid w:val="006E37BB"/>
    <w:rsid w:val="006E37E4"/>
    <w:rsid w:val="006E3B33"/>
    <w:rsid w:val="006E3C67"/>
    <w:rsid w:val="006E3E34"/>
    <w:rsid w:val="006E40FB"/>
    <w:rsid w:val="006E4727"/>
    <w:rsid w:val="006E4783"/>
    <w:rsid w:val="006E4CE9"/>
    <w:rsid w:val="006E54B9"/>
    <w:rsid w:val="006E558A"/>
    <w:rsid w:val="006E5BB6"/>
    <w:rsid w:val="006E5BDB"/>
    <w:rsid w:val="006E602A"/>
    <w:rsid w:val="006E63FF"/>
    <w:rsid w:val="006E6982"/>
    <w:rsid w:val="006E69EC"/>
    <w:rsid w:val="006E6AA6"/>
    <w:rsid w:val="006E704B"/>
    <w:rsid w:val="006E7505"/>
    <w:rsid w:val="006E7A9D"/>
    <w:rsid w:val="006E7D87"/>
    <w:rsid w:val="006F0010"/>
    <w:rsid w:val="006F072D"/>
    <w:rsid w:val="006F0772"/>
    <w:rsid w:val="006F0794"/>
    <w:rsid w:val="006F0958"/>
    <w:rsid w:val="006F0A1F"/>
    <w:rsid w:val="006F1815"/>
    <w:rsid w:val="006F1FC0"/>
    <w:rsid w:val="006F20B0"/>
    <w:rsid w:val="006F2889"/>
    <w:rsid w:val="006F28ED"/>
    <w:rsid w:val="006F2E53"/>
    <w:rsid w:val="006F30CA"/>
    <w:rsid w:val="006F30D1"/>
    <w:rsid w:val="006F3221"/>
    <w:rsid w:val="006F3249"/>
    <w:rsid w:val="006F32C2"/>
    <w:rsid w:val="006F3F3F"/>
    <w:rsid w:val="006F4226"/>
    <w:rsid w:val="006F45AA"/>
    <w:rsid w:val="006F48A7"/>
    <w:rsid w:val="006F4AE3"/>
    <w:rsid w:val="006F4F96"/>
    <w:rsid w:val="006F51A9"/>
    <w:rsid w:val="006F5305"/>
    <w:rsid w:val="006F612D"/>
    <w:rsid w:val="006F6ADA"/>
    <w:rsid w:val="006F6D08"/>
    <w:rsid w:val="006F70D0"/>
    <w:rsid w:val="006F7511"/>
    <w:rsid w:val="006F762C"/>
    <w:rsid w:val="006F7F62"/>
    <w:rsid w:val="006F7F82"/>
    <w:rsid w:val="006F7F88"/>
    <w:rsid w:val="007002E8"/>
    <w:rsid w:val="007004AD"/>
    <w:rsid w:val="00701437"/>
    <w:rsid w:val="007014DE"/>
    <w:rsid w:val="007016B1"/>
    <w:rsid w:val="00701ADB"/>
    <w:rsid w:val="00701CF0"/>
    <w:rsid w:val="00701D42"/>
    <w:rsid w:val="00701DB3"/>
    <w:rsid w:val="00701E0B"/>
    <w:rsid w:val="00702A28"/>
    <w:rsid w:val="00702E2D"/>
    <w:rsid w:val="007037D7"/>
    <w:rsid w:val="00704129"/>
    <w:rsid w:val="00704529"/>
    <w:rsid w:val="00704645"/>
    <w:rsid w:val="00704746"/>
    <w:rsid w:val="00705157"/>
    <w:rsid w:val="00705A5E"/>
    <w:rsid w:val="00705B41"/>
    <w:rsid w:val="0070634A"/>
    <w:rsid w:val="007064D6"/>
    <w:rsid w:val="0070696E"/>
    <w:rsid w:val="00706F08"/>
    <w:rsid w:val="00707244"/>
    <w:rsid w:val="0070740B"/>
    <w:rsid w:val="007074D6"/>
    <w:rsid w:val="00707653"/>
    <w:rsid w:val="0070766D"/>
    <w:rsid w:val="00707805"/>
    <w:rsid w:val="00707BF1"/>
    <w:rsid w:val="00710335"/>
    <w:rsid w:val="00710402"/>
    <w:rsid w:val="0071058D"/>
    <w:rsid w:val="00710939"/>
    <w:rsid w:val="00710FA8"/>
    <w:rsid w:val="007116A9"/>
    <w:rsid w:val="0071173B"/>
    <w:rsid w:val="00711946"/>
    <w:rsid w:val="00711B54"/>
    <w:rsid w:val="00711DA5"/>
    <w:rsid w:val="0071203F"/>
    <w:rsid w:val="007120A9"/>
    <w:rsid w:val="0071223B"/>
    <w:rsid w:val="0071276E"/>
    <w:rsid w:val="00712885"/>
    <w:rsid w:val="00712A66"/>
    <w:rsid w:val="00712AE2"/>
    <w:rsid w:val="0071312A"/>
    <w:rsid w:val="0071326E"/>
    <w:rsid w:val="0071361D"/>
    <w:rsid w:val="007136EB"/>
    <w:rsid w:val="00713DA1"/>
    <w:rsid w:val="00713DC7"/>
    <w:rsid w:val="00713E4A"/>
    <w:rsid w:val="00713EB0"/>
    <w:rsid w:val="0071457E"/>
    <w:rsid w:val="00714981"/>
    <w:rsid w:val="0071519B"/>
    <w:rsid w:val="00715AFB"/>
    <w:rsid w:val="007162FB"/>
    <w:rsid w:val="007163A5"/>
    <w:rsid w:val="0071652F"/>
    <w:rsid w:val="00717011"/>
    <w:rsid w:val="007170D5"/>
    <w:rsid w:val="007171A7"/>
    <w:rsid w:val="007178BF"/>
    <w:rsid w:val="00717A77"/>
    <w:rsid w:val="00720079"/>
    <w:rsid w:val="007209D8"/>
    <w:rsid w:val="00720A4B"/>
    <w:rsid w:val="00720BAB"/>
    <w:rsid w:val="00721450"/>
    <w:rsid w:val="007219A9"/>
    <w:rsid w:val="0072207F"/>
    <w:rsid w:val="0072209E"/>
    <w:rsid w:val="00722697"/>
    <w:rsid w:val="007227B8"/>
    <w:rsid w:val="00722C02"/>
    <w:rsid w:val="00722C0A"/>
    <w:rsid w:val="0072348B"/>
    <w:rsid w:val="007236E5"/>
    <w:rsid w:val="0072396B"/>
    <w:rsid w:val="00723CB3"/>
    <w:rsid w:val="00723D00"/>
    <w:rsid w:val="0072492E"/>
    <w:rsid w:val="00724D97"/>
    <w:rsid w:val="00725AD8"/>
    <w:rsid w:val="00725BBF"/>
    <w:rsid w:val="00725EE7"/>
    <w:rsid w:val="00725F0D"/>
    <w:rsid w:val="00726212"/>
    <w:rsid w:val="00726756"/>
    <w:rsid w:val="00726B0E"/>
    <w:rsid w:val="00726C58"/>
    <w:rsid w:val="00727008"/>
    <w:rsid w:val="0072729F"/>
    <w:rsid w:val="00727435"/>
    <w:rsid w:val="00727549"/>
    <w:rsid w:val="007278E9"/>
    <w:rsid w:val="007279D6"/>
    <w:rsid w:val="00727BC9"/>
    <w:rsid w:val="00727CA8"/>
    <w:rsid w:val="00730220"/>
    <w:rsid w:val="00730309"/>
    <w:rsid w:val="00730983"/>
    <w:rsid w:val="00730991"/>
    <w:rsid w:val="00730A8F"/>
    <w:rsid w:val="00730CD8"/>
    <w:rsid w:val="007312D7"/>
    <w:rsid w:val="007316EF"/>
    <w:rsid w:val="0073192F"/>
    <w:rsid w:val="00731A1C"/>
    <w:rsid w:val="0073223B"/>
    <w:rsid w:val="0073258E"/>
    <w:rsid w:val="00732A77"/>
    <w:rsid w:val="00732D5B"/>
    <w:rsid w:val="007332A8"/>
    <w:rsid w:val="007333B8"/>
    <w:rsid w:val="00733467"/>
    <w:rsid w:val="007334F7"/>
    <w:rsid w:val="00733562"/>
    <w:rsid w:val="007335FC"/>
    <w:rsid w:val="0073373B"/>
    <w:rsid w:val="00733FBD"/>
    <w:rsid w:val="0073437C"/>
    <w:rsid w:val="00734381"/>
    <w:rsid w:val="00734C20"/>
    <w:rsid w:val="00734F40"/>
    <w:rsid w:val="00735423"/>
    <w:rsid w:val="007354BB"/>
    <w:rsid w:val="00735941"/>
    <w:rsid w:val="0073597D"/>
    <w:rsid w:val="007359B5"/>
    <w:rsid w:val="00736032"/>
    <w:rsid w:val="00736312"/>
    <w:rsid w:val="007363BC"/>
    <w:rsid w:val="007363DB"/>
    <w:rsid w:val="007366B9"/>
    <w:rsid w:val="0073696D"/>
    <w:rsid w:val="00736AA8"/>
    <w:rsid w:val="00737887"/>
    <w:rsid w:val="007378B5"/>
    <w:rsid w:val="00737C83"/>
    <w:rsid w:val="00740072"/>
    <w:rsid w:val="007401EA"/>
    <w:rsid w:val="00740289"/>
    <w:rsid w:val="007406EC"/>
    <w:rsid w:val="00740F5C"/>
    <w:rsid w:val="00740FA1"/>
    <w:rsid w:val="00741006"/>
    <w:rsid w:val="007412D4"/>
    <w:rsid w:val="00741764"/>
    <w:rsid w:val="007417C7"/>
    <w:rsid w:val="00741806"/>
    <w:rsid w:val="0074181E"/>
    <w:rsid w:val="007419CF"/>
    <w:rsid w:val="00741A0E"/>
    <w:rsid w:val="00741CDC"/>
    <w:rsid w:val="00741E78"/>
    <w:rsid w:val="00741EC6"/>
    <w:rsid w:val="00741F42"/>
    <w:rsid w:val="0074239B"/>
    <w:rsid w:val="0074261F"/>
    <w:rsid w:val="00742627"/>
    <w:rsid w:val="007428A0"/>
    <w:rsid w:val="0074302F"/>
    <w:rsid w:val="0074336C"/>
    <w:rsid w:val="00743937"/>
    <w:rsid w:val="00743C5C"/>
    <w:rsid w:val="0074443F"/>
    <w:rsid w:val="007445DD"/>
    <w:rsid w:val="00744875"/>
    <w:rsid w:val="007449DD"/>
    <w:rsid w:val="00744A56"/>
    <w:rsid w:val="00744AB5"/>
    <w:rsid w:val="00745033"/>
    <w:rsid w:val="00745097"/>
    <w:rsid w:val="007452B5"/>
    <w:rsid w:val="00745A8A"/>
    <w:rsid w:val="00745E07"/>
    <w:rsid w:val="0074655D"/>
    <w:rsid w:val="00746C71"/>
    <w:rsid w:val="00747176"/>
    <w:rsid w:val="00747488"/>
    <w:rsid w:val="00747890"/>
    <w:rsid w:val="00747A46"/>
    <w:rsid w:val="00747D5C"/>
    <w:rsid w:val="007501FA"/>
    <w:rsid w:val="00750318"/>
    <w:rsid w:val="00750B10"/>
    <w:rsid w:val="00750FAB"/>
    <w:rsid w:val="007510DD"/>
    <w:rsid w:val="00751411"/>
    <w:rsid w:val="0075153F"/>
    <w:rsid w:val="00751966"/>
    <w:rsid w:val="007519BC"/>
    <w:rsid w:val="00751AC5"/>
    <w:rsid w:val="00751B31"/>
    <w:rsid w:val="00751D3F"/>
    <w:rsid w:val="00751E17"/>
    <w:rsid w:val="00752943"/>
    <w:rsid w:val="00752A32"/>
    <w:rsid w:val="00752D93"/>
    <w:rsid w:val="00753261"/>
    <w:rsid w:val="00753732"/>
    <w:rsid w:val="0075380A"/>
    <w:rsid w:val="00753C20"/>
    <w:rsid w:val="00753E39"/>
    <w:rsid w:val="00753F48"/>
    <w:rsid w:val="00754131"/>
    <w:rsid w:val="007545DD"/>
    <w:rsid w:val="0075469F"/>
    <w:rsid w:val="00754729"/>
    <w:rsid w:val="00754897"/>
    <w:rsid w:val="00754E89"/>
    <w:rsid w:val="007551E5"/>
    <w:rsid w:val="007557BE"/>
    <w:rsid w:val="00756A02"/>
    <w:rsid w:val="00757287"/>
    <w:rsid w:val="007576D0"/>
    <w:rsid w:val="007604EF"/>
    <w:rsid w:val="007604FB"/>
    <w:rsid w:val="00760C3A"/>
    <w:rsid w:val="00761390"/>
    <w:rsid w:val="00761475"/>
    <w:rsid w:val="00761FD7"/>
    <w:rsid w:val="007629A1"/>
    <w:rsid w:val="00762BC5"/>
    <w:rsid w:val="00762CCA"/>
    <w:rsid w:val="00763353"/>
    <w:rsid w:val="0076390B"/>
    <w:rsid w:val="00763997"/>
    <w:rsid w:val="007643F7"/>
    <w:rsid w:val="00764415"/>
    <w:rsid w:val="00764587"/>
    <w:rsid w:val="00764BAF"/>
    <w:rsid w:val="00764DF7"/>
    <w:rsid w:val="00765A4D"/>
    <w:rsid w:val="00765F66"/>
    <w:rsid w:val="00765FC6"/>
    <w:rsid w:val="0076638F"/>
    <w:rsid w:val="007664B8"/>
    <w:rsid w:val="00766AE1"/>
    <w:rsid w:val="00766BD4"/>
    <w:rsid w:val="00766E93"/>
    <w:rsid w:val="00766F25"/>
    <w:rsid w:val="0076734C"/>
    <w:rsid w:val="00767B35"/>
    <w:rsid w:val="00767DD8"/>
    <w:rsid w:val="00767F03"/>
    <w:rsid w:val="0077053A"/>
    <w:rsid w:val="007707C7"/>
    <w:rsid w:val="007707E6"/>
    <w:rsid w:val="00770DE6"/>
    <w:rsid w:val="007711C0"/>
    <w:rsid w:val="007711D0"/>
    <w:rsid w:val="00771293"/>
    <w:rsid w:val="00771AED"/>
    <w:rsid w:val="007722F1"/>
    <w:rsid w:val="0077238C"/>
    <w:rsid w:val="00772677"/>
    <w:rsid w:val="0077279E"/>
    <w:rsid w:val="007727A8"/>
    <w:rsid w:val="0077288A"/>
    <w:rsid w:val="00772C1F"/>
    <w:rsid w:val="007732DD"/>
    <w:rsid w:val="00773415"/>
    <w:rsid w:val="00773986"/>
    <w:rsid w:val="007739CA"/>
    <w:rsid w:val="00773A61"/>
    <w:rsid w:val="00773B87"/>
    <w:rsid w:val="00774017"/>
    <w:rsid w:val="00774280"/>
    <w:rsid w:val="0077447F"/>
    <w:rsid w:val="0077472C"/>
    <w:rsid w:val="00774A52"/>
    <w:rsid w:val="00774A67"/>
    <w:rsid w:val="00774EB4"/>
    <w:rsid w:val="007750DE"/>
    <w:rsid w:val="007752A8"/>
    <w:rsid w:val="0077537B"/>
    <w:rsid w:val="00775E29"/>
    <w:rsid w:val="00776055"/>
    <w:rsid w:val="0077613F"/>
    <w:rsid w:val="0077626B"/>
    <w:rsid w:val="00776640"/>
    <w:rsid w:val="00776F4C"/>
    <w:rsid w:val="0077707B"/>
    <w:rsid w:val="007770A5"/>
    <w:rsid w:val="0077726A"/>
    <w:rsid w:val="0077731D"/>
    <w:rsid w:val="00777ACA"/>
    <w:rsid w:val="00777D2C"/>
    <w:rsid w:val="0078024A"/>
    <w:rsid w:val="00780799"/>
    <w:rsid w:val="00780B9A"/>
    <w:rsid w:val="00780E59"/>
    <w:rsid w:val="007810BB"/>
    <w:rsid w:val="00781393"/>
    <w:rsid w:val="007818B7"/>
    <w:rsid w:val="00781D23"/>
    <w:rsid w:val="00781D95"/>
    <w:rsid w:val="00781D98"/>
    <w:rsid w:val="0078209B"/>
    <w:rsid w:val="007820C3"/>
    <w:rsid w:val="00782178"/>
    <w:rsid w:val="00782AE7"/>
    <w:rsid w:val="00782C0E"/>
    <w:rsid w:val="00782DA1"/>
    <w:rsid w:val="00782E44"/>
    <w:rsid w:val="007831E3"/>
    <w:rsid w:val="007834A6"/>
    <w:rsid w:val="00783523"/>
    <w:rsid w:val="00783C7E"/>
    <w:rsid w:val="00783FAA"/>
    <w:rsid w:val="00784041"/>
    <w:rsid w:val="007845F5"/>
    <w:rsid w:val="007849A0"/>
    <w:rsid w:val="007850A6"/>
    <w:rsid w:val="007851DD"/>
    <w:rsid w:val="00785B9B"/>
    <w:rsid w:val="007865B8"/>
    <w:rsid w:val="00786B32"/>
    <w:rsid w:val="00787591"/>
    <w:rsid w:val="00787E70"/>
    <w:rsid w:val="0079052A"/>
    <w:rsid w:val="007906A2"/>
    <w:rsid w:val="00790D76"/>
    <w:rsid w:val="00790E35"/>
    <w:rsid w:val="00790FA8"/>
    <w:rsid w:val="007911EB"/>
    <w:rsid w:val="00791477"/>
    <w:rsid w:val="00791A49"/>
    <w:rsid w:val="00791D3E"/>
    <w:rsid w:val="00791F13"/>
    <w:rsid w:val="00791F42"/>
    <w:rsid w:val="00792042"/>
    <w:rsid w:val="00792131"/>
    <w:rsid w:val="00792251"/>
    <w:rsid w:val="007928E9"/>
    <w:rsid w:val="00792DBD"/>
    <w:rsid w:val="0079317E"/>
    <w:rsid w:val="00793361"/>
    <w:rsid w:val="00793B6C"/>
    <w:rsid w:val="00793ED3"/>
    <w:rsid w:val="007946B3"/>
    <w:rsid w:val="00794985"/>
    <w:rsid w:val="00794B0E"/>
    <w:rsid w:val="00795197"/>
    <w:rsid w:val="00795208"/>
    <w:rsid w:val="00795453"/>
    <w:rsid w:val="00796144"/>
    <w:rsid w:val="00796583"/>
    <w:rsid w:val="00796651"/>
    <w:rsid w:val="007969A2"/>
    <w:rsid w:val="00796A04"/>
    <w:rsid w:val="00796A42"/>
    <w:rsid w:val="00796B64"/>
    <w:rsid w:val="00796DED"/>
    <w:rsid w:val="00796E35"/>
    <w:rsid w:val="00797383"/>
    <w:rsid w:val="007974C1"/>
    <w:rsid w:val="0079790F"/>
    <w:rsid w:val="00797C67"/>
    <w:rsid w:val="007A0695"/>
    <w:rsid w:val="007A0E0A"/>
    <w:rsid w:val="007A1742"/>
    <w:rsid w:val="007A18D0"/>
    <w:rsid w:val="007A2B94"/>
    <w:rsid w:val="007A36E2"/>
    <w:rsid w:val="007A37F7"/>
    <w:rsid w:val="007A3887"/>
    <w:rsid w:val="007A3F30"/>
    <w:rsid w:val="007A4223"/>
    <w:rsid w:val="007A428F"/>
    <w:rsid w:val="007A44B2"/>
    <w:rsid w:val="007A45A0"/>
    <w:rsid w:val="007A4896"/>
    <w:rsid w:val="007A4DCB"/>
    <w:rsid w:val="007A4EA3"/>
    <w:rsid w:val="007A4FBD"/>
    <w:rsid w:val="007A508E"/>
    <w:rsid w:val="007A50A2"/>
    <w:rsid w:val="007A55B3"/>
    <w:rsid w:val="007A5641"/>
    <w:rsid w:val="007A56D1"/>
    <w:rsid w:val="007A60EA"/>
    <w:rsid w:val="007A6B83"/>
    <w:rsid w:val="007A6CF3"/>
    <w:rsid w:val="007A75A4"/>
    <w:rsid w:val="007A779D"/>
    <w:rsid w:val="007A79A8"/>
    <w:rsid w:val="007A7DBB"/>
    <w:rsid w:val="007A7EDD"/>
    <w:rsid w:val="007B0235"/>
    <w:rsid w:val="007B04EE"/>
    <w:rsid w:val="007B0531"/>
    <w:rsid w:val="007B0867"/>
    <w:rsid w:val="007B0E47"/>
    <w:rsid w:val="007B0F8D"/>
    <w:rsid w:val="007B0FEB"/>
    <w:rsid w:val="007B1B96"/>
    <w:rsid w:val="007B28E3"/>
    <w:rsid w:val="007B2B46"/>
    <w:rsid w:val="007B2E35"/>
    <w:rsid w:val="007B3267"/>
    <w:rsid w:val="007B3471"/>
    <w:rsid w:val="007B3631"/>
    <w:rsid w:val="007B369C"/>
    <w:rsid w:val="007B36A6"/>
    <w:rsid w:val="007B3885"/>
    <w:rsid w:val="007B38D7"/>
    <w:rsid w:val="007B3B44"/>
    <w:rsid w:val="007B3BCF"/>
    <w:rsid w:val="007B3BD9"/>
    <w:rsid w:val="007B3CB1"/>
    <w:rsid w:val="007B4247"/>
    <w:rsid w:val="007B4EB8"/>
    <w:rsid w:val="007B558D"/>
    <w:rsid w:val="007B57A5"/>
    <w:rsid w:val="007B59EC"/>
    <w:rsid w:val="007B5E30"/>
    <w:rsid w:val="007B5ECD"/>
    <w:rsid w:val="007B60FA"/>
    <w:rsid w:val="007B63A3"/>
    <w:rsid w:val="007B6625"/>
    <w:rsid w:val="007B6CB4"/>
    <w:rsid w:val="007B6D14"/>
    <w:rsid w:val="007B6D8E"/>
    <w:rsid w:val="007B72E7"/>
    <w:rsid w:val="007B736E"/>
    <w:rsid w:val="007B73D0"/>
    <w:rsid w:val="007B752B"/>
    <w:rsid w:val="007B75F3"/>
    <w:rsid w:val="007B7950"/>
    <w:rsid w:val="007B7B60"/>
    <w:rsid w:val="007B7CC4"/>
    <w:rsid w:val="007B7D4A"/>
    <w:rsid w:val="007C0650"/>
    <w:rsid w:val="007C06EA"/>
    <w:rsid w:val="007C0938"/>
    <w:rsid w:val="007C0A6B"/>
    <w:rsid w:val="007C0DB9"/>
    <w:rsid w:val="007C1504"/>
    <w:rsid w:val="007C150C"/>
    <w:rsid w:val="007C1ACA"/>
    <w:rsid w:val="007C1C1C"/>
    <w:rsid w:val="007C1DA3"/>
    <w:rsid w:val="007C1E4F"/>
    <w:rsid w:val="007C1F9D"/>
    <w:rsid w:val="007C2B1F"/>
    <w:rsid w:val="007C2BD4"/>
    <w:rsid w:val="007C2D5A"/>
    <w:rsid w:val="007C2FA1"/>
    <w:rsid w:val="007C3ECC"/>
    <w:rsid w:val="007C433E"/>
    <w:rsid w:val="007C504A"/>
    <w:rsid w:val="007C5790"/>
    <w:rsid w:val="007C5FFA"/>
    <w:rsid w:val="007C6809"/>
    <w:rsid w:val="007C76CB"/>
    <w:rsid w:val="007C76F5"/>
    <w:rsid w:val="007C7C36"/>
    <w:rsid w:val="007C7C8F"/>
    <w:rsid w:val="007C7C90"/>
    <w:rsid w:val="007C7D6E"/>
    <w:rsid w:val="007C7E09"/>
    <w:rsid w:val="007D071A"/>
    <w:rsid w:val="007D07AF"/>
    <w:rsid w:val="007D0853"/>
    <w:rsid w:val="007D0C04"/>
    <w:rsid w:val="007D0E67"/>
    <w:rsid w:val="007D0FE0"/>
    <w:rsid w:val="007D1458"/>
    <w:rsid w:val="007D1A88"/>
    <w:rsid w:val="007D1F07"/>
    <w:rsid w:val="007D22F7"/>
    <w:rsid w:val="007D2450"/>
    <w:rsid w:val="007D247B"/>
    <w:rsid w:val="007D2746"/>
    <w:rsid w:val="007D280F"/>
    <w:rsid w:val="007D2B36"/>
    <w:rsid w:val="007D2EA4"/>
    <w:rsid w:val="007D3437"/>
    <w:rsid w:val="007D35DE"/>
    <w:rsid w:val="007D37F2"/>
    <w:rsid w:val="007D3FB7"/>
    <w:rsid w:val="007D504A"/>
    <w:rsid w:val="007D56D0"/>
    <w:rsid w:val="007D5DA3"/>
    <w:rsid w:val="007D61B3"/>
    <w:rsid w:val="007D6349"/>
    <w:rsid w:val="007D6C5D"/>
    <w:rsid w:val="007D6F87"/>
    <w:rsid w:val="007D75AC"/>
    <w:rsid w:val="007D7C7A"/>
    <w:rsid w:val="007E0BBD"/>
    <w:rsid w:val="007E0E2D"/>
    <w:rsid w:val="007E175E"/>
    <w:rsid w:val="007E1B7D"/>
    <w:rsid w:val="007E1D96"/>
    <w:rsid w:val="007E20E1"/>
    <w:rsid w:val="007E2423"/>
    <w:rsid w:val="007E26C5"/>
    <w:rsid w:val="007E2B4D"/>
    <w:rsid w:val="007E2CA2"/>
    <w:rsid w:val="007E2FC7"/>
    <w:rsid w:val="007E3887"/>
    <w:rsid w:val="007E393F"/>
    <w:rsid w:val="007E39AE"/>
    <w:rsid w:val="007E459E"/>
    <w:rsid w:val="007E47F0"/>
    <w:rsid w:val="007E4F0A"/>
    <w:rsid w:val="007E54C5"/>
    <w:rsid w:val="007E58A0"/>
    <w:rsid w:val="007E59EA"/>
    <w:rsid w:val="007E666F"/>
    <w:rsid w:val="007E686D"/>
    <w:rsid w:val="007E6EB2"/>
    <w:rsid w:val="007E7473"/>
    <w:rsid w:val="007E7518"/>
    <w:rsid w:val="007E7727"/>
    <w:rsid w:val="007E7D21"/>
    <w:rsid w:val="007F04FA"/>
    <w:rsid w:val="007F0526"/>
    <w:rsid w:val="007F0635"/>
    <w:rsid w:val="007F09BF"/>
    <w:rsid w:val="007F0A1D"/>
    <w:rsid w:val="007F0BDD"/>
    <w:rsid w:val="007F0CD8"/>
    <w:rsid w:val="007F105A"/>
    <w:rsid w:val="007F11B9"/>
    <w:rsid w:val="007F22B5"/>
    <w:rsid w:val="007F23F9"/>
    <w:rsid w:val="007F286D"/>
    <w:rsid w:val="007F29E2"/>
    <w:rsid w:val="007F2E37"/>
    <w:rsid w:val="007F2EF2"/>
    <w:rsid w:val="007F321C"/>
    <w:rsid w:val="007F3F99"/>
    <w:rsid w:val="007F43B9"/>
    <w:rsid w:val="007F4635"/>
    <w:rsid w:val="007F47A0"/>
    <w:rsid w:val="007F4C01"/>
    <w:rsid w:val="007F4D8C"/>
    <w:rsid w:val="007F52B0"/>
    <w:rsid w:val="007F62B2"/>
    <w:rsid w:val="007F64AB"/>
    <w:rsid w:val="007F6683"/>
    <w:rsid w:val="007F692C"/>
    <w:rsid w:val="007F6CAD"/>
    <w:rsid w:val="007F7560"/>
    <w:rsid w:val="007F79A0"/>
    <w:rsid w:val="007F79EB"/>
    <w:rsid w:val="00800013"/>
    <w:rsid w:val="008000A0"/>
    <w:rsid w:val="008001CF"/>
    <w:rsid w:val="008011DA"/>
    <w:rsid w:val="00801578"/>
    <w:rsid w:val="008020C5"/>
    <w:rsid w:val="0080240C"/>
    <w:rsid w:val="00802480"/>
    <w:rsid w:val="008025F9"/>
    <w:rsid w:val="008031DC"/>
    <w:rsid w:val="00803A1C"/>
    <w:rsid w:val="00803A78"/>
    <w:rsid w:val="00804161"/>
    <w:rsid w:val="008048A8"/>
    <w:rsid w:val="00804925"/>
    <w:rsid w:val="00804B0E"/>
    <w:rsid w:val="00805519"/>
    <w:rsid w:val="00805836"/>
    <w:rsid w:val="00805EC0"/>
    <w:rsid w:val="00806525"/>
    <w:rsid w:val="00806BEA"/>
    <w:rsid w:val="00806C05"/>
    <w:rsid w:val="008070F4"/>
    <w:rsid w:val="00807111"/>
    <w:rsid w:val="00807555"/>
    <w:rsid w:val="008076FE"/>
    <w:rsid w:val="00807F6F"/>
    <w:rsid w:val="0081027D"/>
    <w:rsid w:val="008102F3"/>
    <w:rsid w:val="00810312"/>
    <w:rsid w:val="00810596"/>
    <w:rsid w:val="00810847"/>
    <w:rsid w:val="00810B25"/>
    <w:rsid w:val="00810DCD"/>
    <w:rsid w:val="00810EE8"/>
    <w:rsid w:val="00810F06"/>
    <w:rsid w:val="0081124B"/>
    <w:rsid w:val="008116DF"/>
    <w:rsid w:val="00811766"/>
    <w:rsid w:val="00811839"/>
    <w:rsid w:val="008120E2"/>
    <w:rsid w:val="00812321"/>
    <w:rsid w:val="00812AB1"/>
    <w:rsid w:val="00812CEE"/>
    <w:rsid w:val="00812FB7"/>
    <w:rsid w:val="008135C1"/>
    <w:rsid w:val="0081368E"/>
    <w:rsid w:val="008136DB"/>
    <w:rsid w:val="00813B7E"/>
    <w:rsid w:val="0081419F"/>
    <w:rsid w:val="0081456F"/>
    <w:rsid w:val="0081473C"/>
    <w:rsid w:val="008147C2"/>
    <w:rsid w:val="00814826"/>
    <w:rsid w:val="00814898"/>
    <w:rsid w:val="00814AE7"/>
    <w:rsid w:val="00814D9B"/>
    <w:rsid w:val="00814E26"/>
    <w:rsid w:val="00815529"/>
    <w:rsid w:val="00815BAA"/>
    <w:rsid w:val="00815C37"/>
    <w:rsid w:val="00815D0A"/>
    <w:rsid w:val="008160ED"/>
    <w:rsid w:val="008163A9"/>
    <w:rsid w:val="0081645B"/>
    <w:rsid w:val="00816582"/>
    <w:rsid w:val="00816593"/>
    <w:rsid w:val="0081687D"/>
    <w:rsid w:val="00816CF6"/>
    <w:rsid w:val="00816EB7"/>
    <w:rsid w:val="00816FD7"/>
    <w:rsid w:val="00817234"/>
    <w:rsid w:val="00820384"/>
    <w:rsid w:val="00820633"/>
    <w:rsid w:val="0082083C"/>
    <w:rsid w:val="0082086A"/>
    <w:rsid w:val="00820AFF"/>
    <w:rsid w:val="00820E5B"/>
    <w:rsid w:val="00821199"/>
    <w:rsid w:val="008219B8"/>
    <w:rsid w:val="00821B1D"/>
    <w:rsid w:val="00821F85"/>
    <w:rsid w:val="00822589"/>
    <w:rsid w:val="0082273C"/>
    <w:rsid w:val="00822B38"/>
    <w:rsid w:val="00822FB3"/>
    <w:rsid w:val="0082346F"/>
    <w:rsid w:val="008238C0"/>
    <w:rsid w:val="00823B80"/>
    <w:rsid w:val="00823D13"/>
    <w:rsid w:val="00823D57"/>
    <w:rsid w:val="00823E7A"/>
    <w:rsid w:val="00823F0C"/>
    <w:rsid w:val="008249BA"/>
    <w:rsid w:val="00824F58"/>
    <w:rsid w:val="008252E6"/>
    <w:rsid w:val="00825AD8"/>
    <w:rsid w:val="0082656D"/>
    <w:rsid w:val="00826600"/>
    <w:rsid w:val="00826654"/>
    <w:rsid w:val="008269B8"/>
    <w:rsid w:val="00826A52"/>
    <w:rsid w:val="00826BE1"/>
    <w:rsid w:val="00826E7E"/>
    <w:rsid w:val="008271B1"/>
    <w:rsid w:val="0082750B"/>
    <w:rsid w:val="008275AB"/>
    <w:rsid w:val="00827740"/>
    <w:rsid w:val="00827923"/>
    <w:rsid w:val="008279C0"/>
    <w:rsid w:val="00827CE1"/>
    <w:rsid w:val="00830370"/>
    <w:rsid w:val="00830AC0"/>
    <w:rsid w:val="008311BE"/>
    <w:rsid w:val="00831609"/>
    <w:rsid w:val="00831783"/>
    <w:rsid w:val="008317F9"/>
    <w:rsid w:val="00831A99"/>
    <w:rsid w:val="00831E93"/>
    <w:rsid w:val="0083226F"/>
    <w:rsid w:val="0083264A"/>
    <w:rsid w:val="008329A0"/>
    <w:rsid w:val="00832AF0"/>
    <w:rsid w:val="00832F0C"/>
    <w:rsid w:val="00832F3F"/>
    <w:rsid w:val="008330E8"/>
    <w:rsid w:val="00833A08"/>
    <w:rsid w:val="00834612"/>
    <w:rsid w:val="00834BFA"/>
    <w:rsid w:val="00835183"/>
    <w:rsid w:val="0083526F"/>
    <w:rsid w:val="00835919"/>
    <w:rsid w:val="00835D13"/>
    <w:rsid w:val="00835E2F"/>
    <w:rsid w:val="00835E56"/>
    <w:rsid w:val="00835EB5"/>
    <w:rsid w:val="008363C5"/>
    <w:rsid w:val="00836636"/>
    <w:rsid w:val="00836AA9"/>
    <w:rsid w:val="00836D14"/>
    <w:rsid w:val="00836D67"/>
    <w:rsid w:val="00836EEC"/>
    <w:rsid w:val="00837221"/>
    <w:rsid w:val="00837780"/>
    <w:rsid w:val="00837789"/>
    <w:rsid w:val="00837875"/>
    <w:rsid w:val="00837F1A"/>
    <w:rsid w:val="00840708"/>
    <w:rsid w:val="00840D08"/>
    <w:rsid w:val="00840DB8"/>
    <w:rsid w:val="008414F4"/>
    <w:rsid w:val="0084165D"/>
    <w:rsid w:val="008417FE"/>
    <w:rsid w:val="008419CF"/>
    <w:rsid w:val="00841CCE"/>
    <w:rsid w:val="00841DCD"/>
    <w:rsid w:val="00841F6B"/>
    <w:rsid w:val="008428F9"/>
    <w:rsid w:val="00842A0B"/>
    <w:rsid w:val="00842B52"/>
    <w:rsid w:val="008430E8"/>
    <w:rsid w:val="00843179"/>
    <w:rsid w:val="008431BF"/>
    <w:rsid w:val="008434BE"/>
    <w:rsid w:val="00843559"/>
    <w:rsid w:val="0084380B"/>
    <w:rsid w:val="00843BC7"/>
    <w:rsid w:val="00843CB3"/>
    <w:rsid w:val="00843D20"/>
    <w:rsid w:val="00844073"/>
    <w:rsid w:val="008445DF"/>
    <w:rsid w:val="0084461E"/>
    <w:rsid w:val="00844703"/>
    <w:rsid w:val="00844926"/>
    <w:rsid w:val="00844D92"/>
    <w:rsid w:val="00844E76"/>
    <w:rsid w:val="00844FC2"/>
    <w:rsid w:val="0084500E"/>
    <w:rsid w:val="00845992"/>
    <w:rsid w:val="00845BD7"/>
    <w:rsid w:val="00845BED"/>
    <w:rsid w:val="00845E34"/>
    <w:rsid w:val="008464DB"/>
    <w:rsid w:val="008464DF"/>
    <w:rsid w:val="00846657"/>
    <w:rsid w:val="008466C7"/>
    <w:rsid w:val="0084676C"/>
    <w:rsid w:val="008468F3"/>
    <w:rsid w:val="00846CC4"/>
    <w:rsid w:val="00846D36"/>
    <w:rsid w:val="00847043"/>
    <w:rsid w:val="008470C5"/>
    <w:rsid w:val="00847373"/>
    <w:rsid w:val="00847376"/>
    <w:rsid w:val="00847A00"/>
    <w:rsid w:val="00847D22"/>
    <w:rsid w:val="00850B61"/>
    <w:rsid w:val="0085130A"/>
    <w:rsid w:val="00851669"/>
    <w:rsid w:val="008518AD"/>
    <w:rsid w:val="00851927"/>
    <w:rsid w:val="00851BD6"/>
    <w:rsid w:val="00851C67"/>
    <w:rsid w:val="00851C89"/>
    <w:rsid w:val="00851E22"/>
    <w:rsid w:val="0085206E"/>
    <w:rsid w:val="00852159"/>
    <w:rsid w:val="008529F6"/>
    <w:rsid w:val="00852AD2"/>
    <w:rsid w:val="00852EA5"/>
    <w:rsid w:val="0085354D"/>
    <w:rsid w:val="00854352"/>
    <w:rsid w:val="00854C70"/>
    <w:rsid w:val="00854DD1"/>
    <w:rsid w:val="008550C6"/>
    <w:rsid w:val="008558AB"/>
    <w:rsid w:val="00855A6B"/>
    <w:rsid w:val="00855E0D"/>
    <w:rsid w:val="0085620E"/>
    <w:rsid w:val="008564F9"/>
    <w:rsid w:val="00856541"/>
    <w:rsid w:val="008565E9"/>
    <w:rsid w:val="00856737"/>
    <w:rsid w:val="00856B59"/>
    <w:rsid w:val="00856F54"/>
    <w:rsid w:val="008571B2"/>
    <w:rsid w:val="0085798D"/>
    <w:rsid w:val="00857B2A"/>
    <w:rsid w:val="00857BB2"/>
    <w:rsid w:val="00860850"/>
    <w:rsid w:val="00860B9F"/>
    <w:rsid w:val="00861064"/>
    <w:rsid w:val="0086120E"/>
    <w:rsid w:val="0086140B"/>
    <w:rsid w:val="00861957"/>
    <w:rsid w:val="00861C51"/>
    <w:rsid w:val="00862459"/>
    <w:rsid w:val="00862AC7"/>
    <w:rsid w:val="00862F18"/>
    <w:rsid w:val="0086300D"/>
    <w:rsid w:val="008632E3"/>
    <w:rsid w:val="00863623"/>
    <w:rsid w:val="00863663"/>
    <w:rsid w:val="00864E6D"/>
    <w:rsid w:val="008651DD"/>
    <w:rsid w:val="0086541F"/>
    <w:rsid w:val="0086598D"/>
    <w:rsid w:val="00865B41"/>
    <w:rsid w:val="00865D59"/>
    <w:rsid w:val="00865DAA"/>
    <w:rsid w:val="0086613D"/>
    <w:rsid w:val="0086656C"/>
    <w:rsid w:val="00866B3D"/>
    <w:rsid w:val="00866CCC"/>
    <w:rsid w:val="00866E54"/>
    <w:rsid w:val="00866E8B"/>
    <w:rsid w:val="008672BF"/>
    <w:rsid w:val="0087003C"/>
    <w:rsid w:val="008703B5"/>
    <w:rsid w:val="0087040E"/>
    <w:rsid w:val="00870428"/>
    <w:rsid w:val="008706B4"/>
    <w:rsid w:val="00870783"/>
    <w:rsid w:val="0087087C"/>
    <w:rsid w:val="008708F4"/>
    <w:rsid w:val="00870CCB"/>
    <w:rsid w:val="00871048"/>
    <w:rsid w:val="00871764"/>
    <w:rsid w:val="00871B79"/>
    <w:rsid w:val="00871DA0"/>
    <w:rsid w:val="008721F1"/>
    <w:rsid w:val="00872255"/>
    <w:rsid w:val="0087283D"/>
    <w:rsid w:val="00872A5D"/>
    <w:rsid w:val="00872AEF"/>
    <w:rsid w:val="00872CC5"/>
    <w:rsid w:val="00872D34"/>
    <w:rsid w:val="0087302A"/>
    <w:rsid w:val="00873481"/>
    <w:rsid w:val="00873731"/>
    <w:rsid w:val="0087400A"/>
    <w:rsid w:val="00874347"/>
    <w:rsid w:val="008745B4"/>
    <w:rsid w:val="008748D2"/>
    <w:rsid w:val="00875C29"/>
    <w:rsid w:val="00875CDA"/>
    <w:rsid w:val="00875E99"/>
    <w:rsid w:val="00876A57"/>
    <w:rsid w:val="00876EBE"/>
    <w:rsid w:val="008800B8"/>
    <w:rsid w:val="00880645"/>
    <w:rsid w:val="0088084D"/>
    <w:rsid w:val="008809FC"/>
    <w:rsid w:val="00880FD9"/>
    <w:rsid w:val="00881824"/>
    <w:rsid w:val="00881DFF"/>
    <w:rsid w:val="008824AE"/>
    <w:rsid w:val="00882BEF"/>
    <w:rsid w:val="00883020"/>
    <w:rsid w:val="0088365B"/>
    <w:rsid w:val="00883A8F"/>
    <w:rsid w:val="00884D39"/>
    <w:rsid w:val="00885263"/>
    <w:rsid w:val="008853D2"/>
    <w:rsid w:val="00885720"/>
    <w:rsid w:val="00885A7B"/>
    <w:rsid w:val="00885B10"/>
    <w:rsid w:val="008864D6"/>
    <w:rsid w:val="00886893"/>
    <w:rsid w:val="00886C44"/>
    <w:rsid w:val="0088716B"/>
    <w:rsid w:val="0088782C"/>
    <w:rsid w:val="00887AF3"/>
    <w:rsid w:val="00887BAE"/>
    <w:rsid w:val="0089004D"/>
    <w:rsid w:val="00890151"/>
    <w:rsid w:val="008905F2"/>
    <w:rsid w:val="00890622"/>
    <w:rsid w:val="00890C78"/>
    <w:rsid w:val="008913F1"/>
    <w:rsid w:val="0089140D"/>
    <w:rsid w:val="0089159A"/>
    <w:rsid w:val="0089182D"/>
    <w:rsid w:val="00891C4F"/>
    <w:rsid w:val="00891DAB"/>
    <w:rsid w:val="00892883"/>
    <w:rsid w:val="00892C8B"/>
    <w:rsid w:val="00893A61"/>
    <w:rsid w:val="00893B6F"/>
    <w:rsid w:val="00893C10"/>
    <w:rsid w:val="008943B2"/>
    <w:rsid w:val="008943F7"/>
    <w:rsid w:val="00894A2D"/>
    <w:rsid w:val="008952A2"/>
    <w:rsid w:val="00895A15"/>
    <w:rsid w:val="00895A5A"/>
    <w:rsid w:val="00895BB8"/>
    <w:rsid w:val="00895C10"/>
    <w:rsid w:val="00896005"/>
    <w:rsid w:val="008969A7"/>
    <w:rsid w:val="008971F4"/>
    <w:rsid w:val="00897859"/>
    <w:rsid w:val="00897CB6"/>
    <w:rsid w:val="00897D8E"/>
    <w:rsid w:val="008A0351"/>
    <w:rsid w:val="008A03FF"/>
    <w:rsid w:val="008A0436"/>
    <w:rsid w:val="008A06A9"/>
    <w:rsid w:val="008A071B"/>
    <w:rsid w:val="008A09B2"/>
    <w:rsid w:val="008A0A6E"/>
    <w:rsid w:val="008A0AEC"/>
    <w:rsid w:val="008A0D9C"/>
    <w:rsid w:val="008A109E"/>
    <w:rsid w:val="008A11F8"/>
    <w:rsid w:val="008A1961"/>
    <w:rsid w:val="008A1D5A"/>
    <w:rsid w:val="008A1DBC"/>
    <w:rsid w:val="008A1EA8"/>
    <w:rsid w:val="008A1FE4"/>
    <w:rsid w:val="008A222A"/>
    <w:rsid w:val="008A2356"/>
    <w:rsid w:val="008A2411"/>
    <w:rsid w:val="008A2514"/>
    <w:rsid w:val="008A25B9"/>
    <w:rsid w:val="008A2632"/>
    <w:rsid w:val="008A277A"/>
    <w:rsid w:val="008A29BD"/>
    <w:rsid w:val="008A2AA4"/>
    <w:rsid w:val="008A2DD3"/>
    <w:rsid w:val="008A2F87"/>
    <w:rsid w:val="008A31D1"/>
    <w:rsid w:val="008A34D1"/>
    <w:rsid w:val="008A3501"/>
    <w:rsid w:val="008A3521"/>
    <w:rsid w:val="008A3AB1"/>
    <w:rsid w:val="008A3D69"/>
    <w:rsid w:val="008A3D94"/>
    <w:rsid w:val="008A3E5B"/>
    <w:rsid w:val="008A3FDA"/>
    <w:rsid w:val="008A4030"/>
    <w:rsid w:val="008A40D3"/>
    <w:rsid w:val="008A4571"/>
    <w:rsid w:val="008A4579"/>
    <w:rsid w:val="008A4AD2"/>
    <w:rsid w:val="008A4C35"/>
    <w:rsid w:val="008A5035"/>
    <w:rsid w:val="008A563A"/>
    <w:rsid w:val="008A569D"/>
    <w:rsid w:val="008A5786"/>
    <w:rsid w:val="008A583C"/>
    <w:rsid w:val="008A58D3"/>
    <w:rsid w:val="008A598A"/>
    <w:rsid w:val="008A5C79"/>
    <w:rsid w:val="008A5D5F"/>
    <w:rsid w:val="008A5E9A"/>
    <w:rsid w:val="008A5EF5"/>
    <w:rsid w:val="008A5FB9"/>
    <w:rsid w:val="008A6794"/>
    <w:rsid w:val="008A6BEE"/>
    <w:rsid w:val="008A7099"/>
    <w:rsid w:val="008A7ABB"/>
    <w:rsid w:val="008A7BAF"/>
    <w:rsid w:val="008A7BB6"/>
    <w:rsid w:val="008A7CF7"/>
    <w:rsid w:val="008B086D"/>
    <w:rsid w:val="008B0A08"/>
    <w:rsid w:val="008B0AB9"/>
    <w:rsid w:val="008B151C"/>
    <w:rsid w:val="008B1665"/>
    <w:rsid w:val="008B1784"/>
    <w:rsid w:val="008B1D97"/>
    <w:rsid w:val="008B1D9C"/>
    <w:rsid w:val="008B1EFE"/>
    <w:rsid w:val="008B201A"/>
    <w:rsid w:val="008B2674"/>
    <w:rsid w:val="008B2B5F"/>
    <w:rsid w:val="008B3032"/>
    <w:rsid w:val="008B3530"/>
    <w:rsid w:val="008B3B2C"/>
    <w:rsid w:val="008B3CF0"/>
    <w:rsid w:val="008B3E40"/>
    <w:rsid w:val="008B440F"/>
    <w:rsid w:val="008B4674"/>
    <w:rsid w:val="008B48FC"/>
    <w:rsid w:val="008B4CCD"/>
    <w:rsid w:val="008B5009"/>
    <w:rsid w:val="008B51C9"/>
    <w:rsid w:val="008B52AF"/>
    <w:rsid w:val="008B56C4"/>
    <w:rsid w:val="008B5828"/>
    <w:rsid w:val="008B58EE"/>
    <w:rsid w:val="008B5DA1"/>
    <w:rsid w:val="008B5EE0"/>
    <w:rsid w:val="008B5F8E"/>
    <w:rsid w:val="008B6145"/>
    <w:rsid w:val="008B65F3"/>
    <w:rsid w:val="008B6700"/>
    <w:rsid w:val="008B6927"/>
    <w:rsid w:val="008B6A5E"/>
    <w:rsid w:val="008B6D8A"/>
    <w:rsid w:val="008B6DE5"/>
    <w:rsid w:val="008B7154"/>
    <w:rsid w:val="008B7267"/>
    <w:rsid w:val="008B7372"/>
    <w:rsid w:val="008B7B80"/>
    <w:rsid w:val="008B7BF1"/>
    <w:rsid w:val="008B7FA1"/>
    <w:rsid w:val="008C0051"/>
    <w:rsid w:val="008C009A"/>
    <w:rsid w:val="008C0680"/>
    <w:rsid w:val="008C0719"/>
    <w:rsid w:val="008C1BAC"/>
    <w:rsid w:val="008C1FAC"/>
    <w:rsid w:val="008C220F"/>
    <w:rsid w:val="008C2C79"/>
    <w:rsid w:val="008C2E61"/>
    <w:rsid w:val="008C304A"/>
    <w:rsid w:val="008C33D1"/>
    <w:rsid w:val="008C3419"/>
    <w:rsid w:val="008C38BC"/>
    <w:rsid w:val="008C3B1A"/>
    <w:rsid w:val="008C41E7"/>
    <w:rsid w:val="008C4285"/>
    <w:rsid w:val="008C4BEC"/>
    <w:rsid w:val="008C4F57"/>
    <w:rsid w:val="008C4FBB"/>
    <w:rsid w:val="008C52DF"/>
    <w:rsid w:val="008C58E4"/>
    <w:rsid w:val="008C6CAB"/>
    <w:rsid w:val="008C6D8E"/>
    <w:rsid w:val="008C6FC8"/>
    <w:rsid w:val="008C7025"/>
    <w:rsid w:val="008C74CF"/>
    <w:rsid w:val="008C77CF"/>
    <w:rsid w:val="008C7A0C"/>
    <w:rsid w:val="008D0031"/>
    <w:rsid w:val="008D079B"/>
    <w:rsid w:val="008D0F71"/>
    <w:rsid w:val="008D1018"/>
    <w:rsid w:val="008D1058"/>
    <w:rsid w:val="008D1140"/>
    <w:rsid w:val="008D11A7"/>
    <w:rsid w:val="008D1350"/>
    <w:rsid w:val="008D1961"/>
    <w:rsid w:val="008D1B6E"/>
    <w:rsid w:val="008D227E"/>
    <w:rsid w:val="008D22B8"/>
    <w:rsid w:val="008D26DC"/>
    <w:rsid w:val="008D317F"/>
    <w:rsid w:val="008D3929"/>
    <w:rsid w:val="008D3A3B"/>
    <w:rsid w:val="008D3CE9"/>
    <w:rsid w:val="008D40A3"/>
    <w:rsid w:val="008D412F"/>
    <w:rsid w:val="008D46B9"/>
    <w:rsid w:val="008D4746"/>
    <w:rsid w:val="008D47A4"/>
    <w:rsid w:val="008D489C"/>
    <w:rsid w:val="008D491D"/>
    <w:rsid w:val="008D4D5A"/>
    <w:rsid w:val="008D58DC"/>
    <w:rsid w:val="008D5D8D"/>
    <w:rsid w:val="008D5ECF"/>
    <w:rsid w:val="008D5F3B"/>
    <w:rsid w:val="008D6380"/>
    <w:rsid w:val="008D64A5"/>
    <w:rsid w:val="008D6F59"/>
    <w:rsid w:val="008D7347"/>
    <w:rsid w:val="008D752B"/>
    <w:rsid w:val="008D7849"/>
    <w:rsid w:val="008E00F3"/>
    <w:rsid w:val="008E038B"/>
    <w:rsid w:val="008E0856"/>
    <w:rsid w:val="008E095A"/>
    <w:rsid w:val="008E0DC4"/>
    <w:rsid w:val="008E11B5"/>
    <w:rsid w:val="008E1662"/>
    <w:rsid w:val="008E1816"/>
    <w:rsid w:val="008E182D"/>
    <w:rsid w:val="008E1868"/>
    <w:rsid w:val="008E195E"/>
    <w:rsid w:val="008E1AD9"/>
    <w:rsid w:val="008E1B8A"/>
    <w:rsid w:val="008E24FE"/>
    <w:rsid w:val="008E2745"/>
    <w:rsid w:val="008E2855"/>
    <w:rsid w:val="008E2CBB"/>
    <w:rsid w:val="008E2D14"/>
    <w:rsid w:val="008E343D"/>
    <w:rsid w:val="008E3529"/>
    <w:rsid w:val="008E3AD3"/>
    <w:rsid w:val="008E3DC5"/>
    <w:rsid w:val="008E4074"/>
    <w:rsid w:val="008E45DE"/>
    <w:rsid w:val="008E54B3"/>
    <w:rsid w:val="008E552E"/>
    <w:rsid w:val="008E5896"/>
    <w:rsid w:val="008E5D39"/>
    <w:rsid w:val="008E5F2B"/>
    <w:rsid w:val="008E5FDD"/>
    <w:rsid w:val="008E6426"/>
    <w:rsid w:val="008E643B"/>
    <w:rsid w:val="008E6CE0"/>
    <w:rsid w:val="008E7D93"/>
    <w:rsid w:val="008E7F39"/>
    <w:rsid w:val="008F08DA"/>
    <w:rsid w:val="008F08E4"/>
    <w:rsid w:val="008F0AA0"/>
    <w:rsid w:val="008F1C35"/>
    <w:rsid w:val="008F1FC0"/>
    <w:rsid w:val="008F2270"/>
    <w:rsid w:val="008F23E9"/>
    <w:rsid w:val="008F26B4"/>
    <w:rsid w:val="008F2C6E"/>
    <w:rsid w:val="008F2C98"/>
    <w:rsid w:val="008F2D5E"/>
    <w:rsid w:val="008F2DD8"/>
    <w:rsid w:val="008F2F0F"/>
    <w:rsid w:val="008F3295"/>
    <w:rsid w:val="008F363E"/>
    <w:rsid w:val="008F3A82"/>
    <w:rsid w:val="008F3C2B"/>
    <w:rsid w:val="008F3EBE"/>
    <w:rsid w:val="008F42C4"/>
    <w:rsid w:val="008F4537"/>
    <w:rsid w:val="008F47B1"/>
    <w:rsid w:val="008F4B72"/>
    <w:rsid w:val="008F4B84"/>
    <w:rsid w:val="008F4E25"/>
    <w:rsid w:val="008F55F9"/>
    <w:rsid w:val="008F5618"/>
    <w:rsid w:val="008F57DD"/>
    <w:rsid w:val="008F5A37"/>
    <w:rsid w:val="008F6029"/>
    <w:rsid w:val="008F6A54"/>
    <w:rsid w:val="008F7CA9"/>
    <w:rsid w:val="008F7CEA"/>
    <w:rsid w:val="008F7DB8"/>
    <w:rsid w:val="008F7E8E"/>
    <w:rsid w:val="0090030F"/>
    <w:rsid w:val="0090068A"/>
    <w:rsid w:val="009006E3"/>
    <w:rsid w:val="00900CCB"/>
    <w:rsid w:val="00901467"/>
    <w:rsid w:val="0090187B"/>
    <w:rsid w:val="00901929"/>
    <w:rsid w:val="00902269"/>
    <w:rsid w:val="00902401"/>
    <w:rsid w:val="00902655"/>
    <w:rsid w:val="00902685"/>
    <w:rsid w:val="009026AA"/>
    <w:rsid w:val="00902A6A"/>
    <w:rsid w:val="00902B73"/>
    <w:rsid w:val="00903A71"/>
    <w:rsid w:val="00903BC7"/>
    <w:rsid w:val="00903F27"/>
    <w:rsid w:val="009040A7"/>
    <w:rsid w:val="00904314"/>
    <w:rsid w:val="009044D8"/>
    <w:rsid w:val="00904BEC"/>
    <w:rsid w:val="00904C84"/>
    <w:rsid w:val="00905227"/>
    <w:rsid w:val="009054B6"/>
    <w:rsid w:val="00905538"/>
    <w:rsid w:val="0090600D"/>
    <w:rsid w:val="00906A0F"/>
    <w:rsid w:val="00906BB8"/>
    <w:rsid w:val="00906D40"/>
    <w:rsid w:val="0090707E"/>
    <w:rsid w:val="0090749F"/>
    <w:rsid w:val="00907DD6"/>
    <w:rsid w:val="00907E37"/>
    <w:rsid w:val="0091014D"/>
    <w:rsid w:val="00910561"/>
    <w:rsid w:val="00910D9B"/>
    <w:rsid w:val="00911E93"/>
    <w:rsid w:val="00912059"/>
    <w:rsid w:val="0091231A"/>
    <w:rsid w:val="00912728"/>
    <w:rsid w:val="0091288A"/>
    <w:rsid w:val="00912E4A"/>
    <w:rsid w:val="00912EEA"/>
    <w:rsid w:val="00913138"/>
    <w:rsid w:val="00913157"/>
    <w:rsid w:val="00913274"/>
    <w:rsid w:val="00913D10"/>
    <w:rsid w:val="00914380"/>
    <w:rsid w:val="00914407"/>
    <w:rsid w:val="0091444E"/>
    <w:rsid w:val="0091448A"/>
    <w:rsid w:val="0091489E"/>
    <w:rsid w:val="009152B1"/>
    <w:rsid w:val="009153F1"/>
    <w:rsid w:val="00915480"/>
    <w:rsid w:val="009155D0"/>
    <w:rsid w:val="00915796"/>
    <w:rsid w:val="00915875"/>
    <w:rsid w:val="0091611C"/>
    <w:rsid w:val="0091654C"/>
    <w:rsid w:val="00916607"/>
    <w:rsid w:val="00916AC6"/>
    <w:rsid w:val="00916D77"/>
    <w:rsid w:val="00916ECF"/>
    <w:rsid w:val="00916F8A"/>
    <w:rsid w:val="0091787B"/>
    <w:rsid w:val="009179DA"/>
    <w:rsid w:val="00917E0D"/>
    <w:rsid w:val="00917E84"/>
    <w:rsid w:val="00917F7A"/>
    <w:rsid w:val="0092013D"/>
    <w:rsid w:val="00920791"/>
    <w:rsid w:val="00921028"/>
    <w:rsid w:val="009210E9"/>
    <w:rsid w:val="009216C5"/>
    <w:rsid w:val="00921B41"/>
    <w:rsid w:val="00921C5D"/>
    <w:rsid w:val="00921F85"/>
    <w:rsid w:val="00922867"/>
    <w:rsid w:val="00922EF0"/>
    <w:rsid w:val="00922EF6"/>
    <w:rsid w:val="00922F36"/>
    <w:rsid w:val="00923258"/>
    <w:rsid w:val="0092352E"/>
    <w:rsid w:val="0092355B"/>
    <w:rsid w:val="0092413A"/>
    <w:rsid w:val="00924194"/>
    <w:rsid w:val="00924429"/>
    <w:rsid w:val="0092463C"/>
    <w:rsid w:val="009248CD"/>
    <w:rsid w:val="00924A55"/>
    <w:rsid w:val="00924F9F"/>
    <w:rsid w:val="00925300"/>
    <w:rsid w:val="009255EC"/>
    <w:rsid w:val="009257E3"/>
    <w:rsid w:val="00925E41"/>
    <w:rsid w:val="00925F7A"/>
    <w:rsid w:val="00926C03"/>
    <w:rsid w:val="00926DE2"/>
    <w:rsid w:val="00926F68"/>
    <w:rsid w:val="00927067"/>
    <w:rsid w:val="00927075"/>
    <w:rsid w:val="009271A3"/>
    <w:rsid w:val="0092725F"/>
    <w:rsid w:val="0092732C"/>
    <w:rsid w:val="009277D2"/>
    <w:rsid w:val="00930A39"/>
    <w:rsid w:val="00930D9E"/>
    <w:rsid w:val="00931093"/>
    <w:rsid w:val="009317F0"/>
    <w:rsid w:val="00931A01"/>
    <w:rsid w:val="00931CC4"/>
    <w:rsid w:val="00931CFF"/>
    <w:rsid w:val="00931E34"/>
    <w:rsid w:val="00931E7E"/>
    <w:rsid w:val="00932185"/>
    <w:rsid w:val="009324FC"/>
    <w:rsid w:val="0093250B"/>
    <w:rsid w:val="00932571"/>
    <w:rsid w:val="00932697"/>
    <w:rsid w:val="00932AAF"/>
    <w:rsid w:val="00932E19"/>
    <w:rsid w:val="00932F31"/>
    <w:rsid w:val="009336C1"/>
    <w:rsid w:val="00933826"/>
    <w:rsid w:val="00933899"/>
    <w:rsid w:val="009339F2"/>
    <w:rsid w:val="009349AB"/>
    <w:rsid w:val="009349BA"/>
    <w:rsid w:val="00934C55"/>
    <w:rsid w:val="00935B13"/>
    <w:rsid w:val="00935D17"/>
    <w:rsid w:val="00936BEB"/>
    <w:rsid w:val="009376CE"/>
    <w:rsid w:val="00937890"/>
    <w:rsid w:val="00937D41"/>
    <w:rsid w:val="00937D57"/>
    <w:rsid w:val="00937EBF"/>
    <w:rsid w:val="00940462"/>
    <w:rsid w:val="009406E5"/>
    <w:rsid w:val="00940948"/>
    <w:rsid w:val="00940A77"/>
    <w:rsid w:val="00940E1F"/>
    <w:rsid w:val="009411DA"/>
    <w:rsid w:val="0094144D"/>
    <w:rsid w:val="009416D9"/>
    <w:rsid w:val="009418F1"/>
    <w:rsid w:val="00941CB8"/>
    <w:rsid w:val="00941E1B"/>
    <w:rsid w:val="0094213D"/>
    <w:rsid w:val="009426CE"/>
    <w:rsid w:val="00942759"/>
    <w:rsid w:val="0094283D"/>
    <w:rsid w:val="00942C8C"/>
    <w:rsid w:val="00942E67"/>
    <w:rsid w:val="00943FA2"/>
    <w:rsid w:val="0094432E"/>
    <w:rsid w:val="00944859"/>
    <w:rsid w:val="00944B82"/>
    <w:rsid w:val="00944DB9"/>
    <w:rsid w:val="0094525F"/>
    <w:rsid w:val="009454D7"/>
    <w:rsid w:val="00945C2A"/>
    <w:rsid w:val="00945DAD"/>
    <w:rsid w:val="00945DF2"/>
    <w:rsid w:val="00945FEE"/>
    <w:rsid w:val="00946092"/>
    <w:rsid w:val="00946473"/>
    <w:rsid w:val="009468F8"/>
    <w:rsid w:val="0094697F"/>
    <w:rsid w:val="00946F2A"/>
    <w:rsid w:val="0094713E"/>
    <w:rsid w:val="0094718B"/>
    <w:rsid w:val="009478B4"/>
    <w:rsid w:val="00947AE5"/>
    <w:rsid w:val="009503F6"/>
    <w:rsid w:val="00950722"/>
    <w:rsid w:val="009518DE"/>
    <w:rsid w:val="009521A1"/>
    <w:rsid w:val="009525BA"/>
    <w:rsid w:val="0095263B"/>
    <w:rsid w:val="009526CF"/>
    <w:rsid w:val="009527DD"/>
    <w:rsid w:val="00952F34"/>
    <w:rsid w:val="00953066"/>
    <w:rsid w:val="0095356B"/>
    <w:rsid w:val="00953772"/>
    <w:rsid w:val="009537F3"/>
    <w:rsid w:val="00953801"/>
    <w:rsid w:val="00953DA4"/>
    <w:rsid w:val="009540FF"/>
    <w:rsid w:val="009541EB"/>
    <w:rsid w:val="0095447D"/>
    <w:rsid w:val="00954E38"/>
    <w:rsid w:val="00955132"/>
    <w:rsid w:val="0095523D"/>
    <w:rsid w:val="0095565E"/>
    <w:rsid w:val="009559B4"/>
    <w:rsid w:val="00955A20"/>
    <w:rsid w:val="00955AE7"/>
    <w:rsid w:val="00955C99"/>
    <w:rsid w:val="00955D81"/>
    <w:rsid w:val="00955FEF"/>
    <w:rsid w:val="00956E65"/>
    <w:rsid w:val="0095705C"/>
    <w:rsid w:val="0095745A"/>
    <w:rsid w:val="00957BF8"/>
    <w:rsid w:val="00957DEF"/>
    <w:rsid w:val="00957EC4"/>
    <w:rsid w:val="009604AF"/>
    <w:rsid w:val="00960827"/>
    <w:rsid w:val="0096095D"/>
    <w:rsid w:val="009609DF"/>
    <w:rsid w:val="00960BCC"/>
    <w:rsid w:val="00960BD5"/>
    <w:rsid w:val="00960E0C"/>
    <w:rsid w:val="00961CCE"/>
    <w:rsid w:val="009622D1"/>
    <w:rsid w:val="009624B9"/>
    <w:rsid w:val="00962905"/>
    <w:rsid w:val="00962B00"/>
    <w:rsid w:val="00962B84"/>
    <w:rsid w:val="00962C71"/>
    <w:rsid w:val="00962D07"/>
    <w:rsid w:val="00962F09"/>
    <w:rsid w:val="00963903"/>
    <w:rsid w:val="00963C7D"/>
    <w:rsid w:val="00963F88"/>
    <w:rsid w:val="009641F8"/>
    <w:rsid w:val="009645E3"/>
    <w:rsid w:val="00964A9D"/>
    <w:rsid w:val="00964B07"/>
    <w:rsid w:val="00964E2B"/>
    <w:rsid w:val="00965966"/>
    <w:rsid w:val="00966074"/>
    <w:rsid w:val="00966596"/>
    <w:rsid w:val="0096661B"/>
    <w:rsid w:val="00966663"/>
    <w:rsid w:val="00966764"/>
    <w:rsid w:val="00966C57"/>
    <w:rsid w:val="00966E73"/>
    <w:rsid w:val="00967013"/>
    <w:rsid w:val="00967039"/>
    <w:rsid w:val="00967324"/>
    <w:rsid w:val="00967478"/>
    <w:rsid w:val="00967659"/>
    <w:rsid w:val="009677BE"/>
    <w:rsid w:val="00970157"/>
    <w:rsid w:val="009707D1"/>
    <w:rsid w:val="00970865"/>
    <w:rsid w:val="00970DA4"/>
    <w:rsid w:val="00971A6B"/>
    <w:rsid w:val="00972169"/>
    <w:rsid w:val="009721D6"/>
    <w:rsid w:val="009722A2"/>
    <w:rsid w:val="00972B18"/>
    <w:rsid w:val="00972C7E"/>
    <w:rsid w:val="00973115"/>
    <w:rsid w:val="00973900"/>
    <w:rsid w:val="00973A50"/>
    <w:rsid w:val="00973CC6"/>
    <w:rsid w:val="009742EA"/>
    <w:rsid w:val="00974474"/>
    <w:rsid w:val="009744CE"/>
    <w:rsid w:val="00974668"/>
    <w:rsid w:val="0097485A"/>
    <w:rsid w:val="00974A81"/>
    <w:rsid w:val="00974AC1"/>
    <w:rsid w:val="00974DF7"/>
    <w:rsid w:val="00975028"/>
    <w:rsid w:val="00975163"/>
    <w:rsid w:val="009756B8"/>
    <w:rsid w:val="00975A3F"/>
    <w:rsid w:val="00975D04"/>
    <w:rsid w:val="0097603E"/>
    <w:rsid w:val="00976341"/>
    <w:rsid w:val="00976524"/>
    <w:rsid w:val="00976793"/>
    <w:rsid w:val="00976B4D"/>
    <w:rsid w:val="00976D57"/>
    <w:rsid w:val="00977570"/>
    <w:rsid w:val="00977AE8"/>
    <w:rsid w:val="00977D73"/>
    <w:rsid w:val="00980110"/>
    <w:rsid w:val="00981BB4"/>
    <w:rsid w:val="00981CBC"/>
    <w:rsid w:val="00981D6B"/>
    <w:rsid w:val="009821B2"/>
    <w:rsid w:val="00982705"/>
    <w:rsid w:val="00982A93"/>
    <w:rsid w:val="00982CEA"/>
    <w:rsid w:val="00982ED9"/>
    <w:rsid w:val="00983367"/>
    <w:rsid w:val="00983A78"/>
    <w:rsid w:val="00983F66"/>
    <w:rsid w:val="009841E5"/>
    <w:rsid w:val="00984A58"/>
    <w:rsid w:val="009852A8"/>
    <w:rsid w:val="00985653"/>
    <w:rsid w:val="009858D4"/>
    <w:rsid w:val="009859EE"/>
    <w:rsid w:val="00985EC6"/>
    <w:rsid w:val="00985F53"/>
    <w:rsid w:val="0098622A"/>
    <w:rsid w:val="0098679A"/>
    <w:rsid w:val="0098698D"/>
    <w:rsid w:val="009877DB"/>
    <w:rsid w:val="00987999"/>
    <w:rsid w:val="00987A8B"/>
    <w:rsid w:val="00987FAF"/>
    <w:rsid w:val="0099004B"/>
    <w:rsid w:val="009904A6"/>
    <w:rsid w:val="009906F8"/>
    <w:rsid w:val="00990755"/>
    <w:rsid w:val="0099075B"/>
    <w:rsid w:val="00990AAD"/>
    <w:rsid w:val="00990E73"/>
    <w:rsid w:val="00990EF8"/>
    <w:rsid w:val="00991E00"/>
    <w:rsid w:val="00991E95"/>
    <w:rsid w:val="00991FE6"/>
    <w:rsid w:val="009922B2"/>
    <w:rsid w:val="00992692"/>
    <w:rsid w:val="009926DC"/>
    <w:rsid w:val="0099287B"/>
    <w:rsid w:val="00992A04"/>
    <w:rsid w:val="00992D42"/>
    <w:rsid w:val="00992ED6"/>
    <w:rsid w:val="00992EF9"/>
    <w:rsid w:val="00992FB5"/>
    <w:rsid w:val="00993000"/>
    <w:rsid w:val="00993122"/>
    <w:rsid w:val="00993673"/>
    <w:rsid w:val="00993AEA"/>
    <w:rsid w:val="00993C82"/>
    <w:rsid w:val="00993E00"/>
    <w:rsid w:val="00993E81"/>
    <w:rsid w:val="00994537"/>
    <w:rsid w:val="00994846"/>
    <w:rsid w:val="00994BB8"/>
    <w:rsid w:val="00994F23"/>
    <w:rsid w:val="009953D3"/>
    <w:rsid w:val="00995430"/>
    <w:rsid w:val="00995E81"/>
    <w:rsid w:val="0099634B"/>
    <w:rsid w:val="0099669B"/>
    <w:rsid w:val="00996AE9"/>
    <w:rsid w:val="00996C2D"/>
    <w:rsid w:val="009970B5"/>
    <w:rsid w:val="009972DF"/>
    <w:rsid w:val="009972ED"/>
    <w:rsid w:val="009974FF"/>
    <w:rsid w:val="0099766D"/>
    <w:rsid w:val="009978AF"/>
    <w:rsid w:val="0099795E"/>
    <w:rsid w:val="00997B92"/>
    <w:rsid w:val="00997F89"/>
    <w:rsid w:val="009A0702"/>
    <w:rsid w:val="009A0771"/>
    <w:rsid w:val="009A094E"/>
    <w:rsid w:val="009A0A11"/>
    <w:rsid w:val="009A0DDE"/>
    <w:rsid w:val="009A10D1"/>
    <w:rsid w:val="009A13CD"/>
    <w:rsid w:val="009A1648"/>
    <w:rsid w:val="009A1925"/>
    <w:rsid w:val="009A19EE"/>
    <w:rsid w:val="009A1CD2"/>
    <w:rsid w:val="009A1F2A"/>
    <w:rsid w:val="009A23D7"/>
    <w:rsid w:val="009A244D"/>
    <w:rsid w:val="009A24F6"/>
    <w:rsid w:val="009A25EF"/>
    <w:rsid w:val="009A280F"/>
    <w:rsid w:val="009A2B04"/>
    <w:rsid w:val="009A2E96"/>
    <w:rsid w:val="009A3307"/>
    <w:rsid w:val="009A345D"/>
    <w:rsid w:val="009A3B8A"/>
    <w:rsid w:val="009A461A"/>
    <w:rsid w:val="009A46CD"/>
    <w:rsid w:val="009A48F4"/>
    <w:rsid w:val="009A4C49"/>
    <w:rsid w:val="009A5167"/>
    <w:rsid w:val="009A5951"/>
    <w:rsid w:val="009A627F"/>
    <w:rsid w:val="009A6374"/>
    <w:rsid w:val="009A680D"/>
    <w:rsid w:val="009A690E"/>
    <w:rsid w:val="009A6C54"/>
    <w:rsid w:val="009A6E6D"/>
    <w:rsid w:val="009A7260"/>
    <w:rsid w:val="009A735B"/>
    <w:rsid w:val="009A7E26"/>
    <w:rsid w:val="009B014E"/>
    <w:rsid w:val="009B030F"/>
    <w:rsid w:val="009B0B80"/>
    <w:rsid w:val="009B1590"/>
    <w:rsid w:val="009B1AAC"/>
    <w:rsid w:val="009B20F1"/>
    <w:rsid w:val="009B2562"/>
    <w:rsid w:val="009B2B68"/>
    <w:rsid w:val="009B317C"/>
    <w:rsid w:val="009B3202"/>
    <w:rsid w:val="009B3233"/>
    <w:rsid w:val="009B38DF"/>
    <w:rsid w:val="009B3906"/>
    <w:rsid w:val="009B3C22"/>
    <w:rsid w:val="009B3F50"/>
    <w:rsid w:val="009B4661"/>
    <w:rsid w:val="009B4A09"/>
    <w:rsid w:val="009B5592"/>
    <w:rsid w:val="009B5BFE"/>
    <w:rsid w:val="009B5E31"/>
    <w:rsid w:val="009B5FDF"/>
    <w:rsid w:val="009B614D"/>
    <w:rsid w:val="009B6723"/>
    <w:rsid w:val="009B7199"/>
    <w:rsid w:val="009B775F"/>
    <w:rsid w:val="009B7E5B"/>
    <w:rsid w:val="009B7EE9"/>
    <w:rsid w:val="009C002A"/>
    <w:rsid w:val="009C031A"/>
    <w:rsid w:val="009C0423"/>
    <w:rsid w:val="009C07FF"/>
    <w:rsid w:val="009C10CA"/>
    <w:rsid w:val="009C1506"/>
    <w:rsid w:val="009C16D6"/>
    <w:rsid w:val="009C195D"/>
    <w:rsid w:val="009C1F04"/>
    <w:rsid w:val="009C29A3"/>
    <w:rsid w:val="009C2CD3"/>
    <w:rsid w:val="009C2D16"/>
    <w:rsid w:val="009C31D6"/>
    <w:rsid w:val="009C3633"/>
    <w:rsid w:val="009C3D0A"/>
    <w:rsid w:val="009C3DD4"/>
    <w:rsid w:val="009C413C"/>
    <w:rsid w:val="009C41A4"/>
    <w:rsid w:val="009C4213"/>
    <w:rsid w:val="009C42C6"/>
    <w:rsid w:val="009C4369"/>
    <w:rsid w:val="009C4ADE"/>
    <w:rsid w:val="009C4C11"/>
    <w:rsid w:val="009C514E"/>
    <w:rsid w:val="009C5399"/>
    <w:rsid w:val="009C5856"/>
    <w:rsid w:val="009C5B2A"/>
    <w:rsid w:val="009C618B"/>
    <w:rsid w:val="009C6471"/>
    <w:rsid w:val="009C6600"/>
    <w:rsid w:val="009C665A"/>
    <w:rsid w:val="009C6850"/>
    <w:rsid w:val="009C69AF"/>
    <w:rsid w:val="009C6AE0"/>
    <w:rsid w:val="009C7136"/>
    <w:rsid w:val="009C78C7"/>
    <w:rsid w:val="009C7B21"/>
    <w:rsid w:val="009C7E89"/>
    <w:rsid w:val="009C7F67"/>
    <w:rsid w:val="009C7FEC"/>
    <w:rsid w:val="009D0027"/>
    <w:rsid w:val="009D0120"/>
    <w:rsid w:val="009D03DE"/>
    <w:rsid w:val="009D0666"/>
    <w:rsid w:val="009D0AC7"/>
    <w:rsid w:val="009D1420"/>
    <w:rsid w:val="009D14D8"/>
    <w:rsid w:val="009D16EC"/>
    <w:rsid w:val="009D18DE"/>
    <w:rsid w:val="009D1ACC"/>
    <w:rsid w:val="009D1ACD"/>
    <w:rsid w:val="009D1B63"/>
    <w:rsid w:val="009D21A9"/>
    <w:rsid w:val="009D274A"/>
    <w:rsid w:val="009D289C"/>
    <w:rsid w:val="009D2A11"/>
    <w:rsid w:val="009D2AD6"/>
    <w:rsid w:val="009D319D"/>
    <w:rsid w:val="009D3AA0"/>
    <w:rsid w:val="009D3AC9"/>
    <w:rsid w:val="009D41D7"/>
    <w:rsid w:val="009D46AF"/>
    <w:rsid w:val="009D46B7"/>
    <w:rsid w:val="009D4A0A"/>
    <w:rsid w:val="009D4C1B"/>
    <w:rsid w:val="009D4C79"/>
    <w:rsid w:val="009D4D07"/>
    <w:rsid w:val="009D4F5C"/>
    <w:rsid w:val="009D5380"/>
    <w:rsid w:val="009D55C1"/>
    <w:rsid w:val="009D58C3"/>
    <w:rsid w:val="009D5E6F"/>
    <w:rsid w:val="009D5EB7"/>
    <w:rsid w:val="009D610D"/>
    <w:rsid w:val="009D626C"/>
    <w:rsid w:val="009D67D7"/>
    <w:rsid w:val="009D6884"/>
    <w:rsid w:val="009D695E"/>
    <w:rsid w:val="009D6B8B"/>
    <w:rsid w:val="009D6C7E"/>
    <w:rsid w:val="009D6E43"/>
    <w:rsid w:val="009D794E"/>
    <w:rsid w:val="009E001E"/>
    <w:rsid w:val="009E02A5"/>
    <w:rsid w:val="009E0A5E"/>
    <w:rsid w:val="009E0A99"/>
    <w:rsid w:val="009E0E60"/>
    <w:rsid w:val="009E13DC"/>
    <w:rsid w:val="009E1505"/>
    <w:rsid w:val="009E1752"/>
    <w:rsid w:val="009E1831"/>
    <w:rsid w:val="009E23E7"/>
    <w:rsid w:val="009E2A63"/>
    <w:rsid w:val="009E2B65"/>
    <w:rsid w:val="009E3417"/>
    <w:rsid w:val="009E430D"/>
    <w:rsid w:val="009E47CC"/>
    <w:rsid w:val="009E4ABE"/>
    <w:rsid w:val="009E4E04"/>
    <w:rsid w:val="009E51D6"/>
    <w:rsid w:val="009E5B85"/>
    <w:rsid w:val="009E5FF5"/>
    <w:rsid w:val="009E60DD"/>
    <w:rsid w:val="009E6206"/>
    <w:rsid w:val="009E65A1"/>
    <w:rsid w:val="009E6602"/>
    <w:rsid w:val="009E6B06"/>
    <w:rsid w:val="009E6EB1"/>
    <w:rsid w:val="009E6EF6"/>
    <w:rsid w:val="009E7192"/>
    <w:rsid w:val="009E7312"/>
    <w:rsid w:val="009E7D6E"/>
    <w:rsid w:val="009F05C8"/>
    <w:rsid w:val="009F11DB"/>
    <w:rsid w:val="009F12C6"/>
    <w:rsid w:val="009F12EA"/>
    <w:rsid w:val="009F17EF"/>
    <w:rsid w:val="009F1C39"/>
    <w:rsid w:val="009F1C6D"/>
    <w:rsid w:val="009F2A2A"/>
    <w:rsid w:val="009F3270"/>
    <w:rsid w:val="009F3359"/>
    <w:rsid w:val="009F3883"/>
    <w:rsid w:val="009F38BA"/>
    <w:rsid w:val="009F3D17"/>
    <w:rsid w:val="009F4856"/>
    <w:rsid w:val="009F4A3C"/>
    <w:rsid w:val="009F4A6D"/>
    <w:rsid w:val="009F4BAF"/>
    <w:rsid w:val="009F56D4"/>
    <w:rsid w:val="009F577C"/>
    <w:rsid w:val="009F59AA"/>
    <w:rsid w:val="009F5BEE"/>
    <w:rsid w:val="009F6851"/>
    <w:rsid w:val="009F692F"/>
    <w:rsid w:val="009F6976"/>
    <w:rsid w:val="009F69D8"/>
    <w:rsid w:val="009F6A72"/>
    <w:rsid w:val="009F6AC9"/>
    <w:rsid w:val="009F6C4B"/>
    <w:rsid w:val="009F6E07"/>
    <w:rsid w:val="009F6F16"/>
    <w:rsid w:val="009F7089"/>
    <w:rsid w:val="009F7499"/>
    <w:rsid w:val="009F74C7"/>
    <w:rsid w:val="009F781D"/>
    <w:rsid w:val="009F78E2"/>
    <w:rsid w:val="009F7AE5"/>
    <w:rsid w:val="00A0022C"/>
    <w:rsid w:val="00A003A7"/>
    <w:rsid w:val="00A00886"/>
    <w:rsid w:val="00A00919"/>
    <w:rsid w:val="00A00D2F"/>
    <w:rsid w:val="00A00DA2"/>
    <w:rsid w:val="00A01011"/>
    <w:rsid w:val="00A01130"/>
    <w:rsid w:val="00A0115C"/>
    <w:rsid w:val="00A01252"/>
    <w:rsid w:val="00A014C0"/>
    <w:rsid w:val="00A017F8"/>
    <w:rsid w:val="00A01BF6"/>
    <w:rsid w:val="00A01FD5"/>
    <w:rsid w:val="00A021C0"/>
    <w:rsid w:val="00A022C5"/>
    <w:rsid w:val="00A02468"/>
    <w:rsid w:val="00A02640"/>
    <w:rsid w:val="00A02A26"/>
    <w:rsid w:val="00A02B57"/>
    <w:rsid w:val="00A03294"/>
    <w:rsid w:val="00A03781"/>
    <w:rsid w:val="00A041E7"/>
    <w:rsid w:val="00A04825"/>
    <w:rsid w:val="00A048C5"/>
    <w:rsid w:val="00A048E0"/>
    <w:rsid w:val="00A04959"/>
    <w:rsid w:val="00A0539E"/>
    <w:rsid w:val="00A05455"/>
    <w:rsid w:val="00A0560F"/>
    <w:rsid w:val="00A05779"/>
    <w:rsid w:val="00A0594A"/>
    <w:rsid w:val="00A05BFC"/>
    <w:rsid w:val="00A05EAE"/>
    <w:rsid w:val="00A05F3C"/>
    <w:rsid w:val="00A06130"/>
    <w:rsid w:val="00A06187"/>
    <w:rsid w:val="00A0627A"/>
    <w:rsid w:val="00A06369"/>
    <w:rsid w:val="00A06486"/>
    <w:rsid w:val="00A0665E"/>
    <w:rsid w:val="00A066FA"/>
    <w:rsid w:val="00A0671D"/>
    <w:rsid w:val="00A0687D"/>
    <w:rsid w:val="00A06DB5"/>
    <w:rsid w:val="00A06EC2"/>
    <w:rsid w:val="00A0701E"/>
    <w:rsid w:val="00A07356"/>
    <w:rsid w:val="00A078D1"/>
    <w:rsid w:val="00A07ADD"/>
    <w:rsid w:val="00A07C44"/>
    <w:rsid w:val="00A10271"/>
    <w:rsid w:val="00A1047D"/>
    <w:rsid w:val="00A10867"/>
    <w:rsid w:val="00A109EB"/>
    <w:rsid w:val="00A10ACC"/>
    <w:rsid w:val="00A10BEA"/>
    <w:rsid w:val="00A10F40"/>
    <w:rsid w:val="00A1109B"/>
    <w:rsid w:val="00A113C6"/>
    <w:rsid w:val="00A1190E"/>
    <w:rsid w:val="00A127FE"/>
    <w:rsid w:val="00A12C43"/>
    <w:rsid w:val="00A12CAB"/>
    <w:rsid w:val="00A13044"/>
    <w:rsid w:val="00A135F7"/>
    <w:rsid w:val="00A136AE"/>
    <w:rsid w:val="00A13B32"/>
    <w:rsid w:val="00A13BA8"/>
    <w:rsid w:val="00A13E75"/>
    <w:rsid w:val="00A13FB4"/>
    <w:rsid w:val="00A14158"/>
    <w:rsid w:val="00A1421B"/>
    <w:rsid w:val="00A145F8"/>
    <w:rsid w:val="00A1469B"/>
    <w:rsid w:val="00A14B84"/>
    <w:rsid w:val="00A14E5D"/>
    <w:rsid w:val="00A14F39"/>
    <w:rsid w:val="00A152E5"/>
    <w:rsid w:val="00A153AC"/>
    <w:rsid w:val="00A1544B"/>
    <w:rsid w:val="00A15B0C"/>
    <w:rsid w:val="00A15BAE"/>
    <w:rsid w:val="00A1604A"/>
    <w:rsid w:val="00A1682A"/>
    <w:rsid w:val="00A16CA2"/>
    <w:rsid w:val="00A16FBB"/>
    <w:rsid w:val="00A17200"/>
    <w:rsid w:val="00A174CD"/>
    <w:rsid w:val="00A17574"/>
    <w:rsid w:val="00A177FF"/>
    <w:rsid w:val="00A2036B"/>
    <w:rsid w:val="00A2066C"/>
    <w:rsid w:val="00A207C5"/>
    <w:rsid w:val="00A20BA7"/>
    <w:rsid w:val="00A210B6"/>
    <w:rsid w:val="00A21467"/>
    <w:rsid w:val="00A216E8"/>
    <w:rsid w:val="00A21742"/>
    <w:rsid w:val="00A22C05"/>
    <w:rsid w:val="00A22DF9"/>
    <w:rsid w:val="00A2349B"/>
    <w:rsid w:val="00A237E7"/>
    <w:rsid w:val="00A24078"/>
    <w:rsid w:val="00A248ED"/>
    <w:rsid w:val="00A25417"/>
    <w:rsid w:val="00A25B4F"/>
    <w:rsid w:val="00A25CE3"/>
    <w:rsid w:val="00A25D75"/>
    <w:rsid w:val="00A2624E"/>
    <w:rsid w:val="00A262C9"/>
    <w:rsid w:val="00A26595"/>
    <w:rsid w:val="00A26639"/>
    <w:rsid w:val="00A26B73"/>
    <w:rsid w:val="00A26BED"/>
    <w:rsid w:val="00A26D8B"/>
    <w:rsid w:val="00A271E2"/>
    <w:rsid w:val="00A30051"/>
    <w:rsid w:val="00A3093C"/>
    <w:rsid w:val="00A30E53"/>
    <w:rsid w:val="00A30FD5"/>
    <w:rsid w:val="00A31316"/>
    <w:rsid w:val="00A3186B"/>
    <w:rsid w:val="00A31A1F"/>
    <w:rsid w:val="00A31D52"/>
    <w:rsid w:val="00A31EC5"/>
    <w:rsid w:val="00A31F2F"/>
    <w:rsid w:val="00A32255"/>
    <w:rsid w:val="00A32381"/>
    <w:rsid w:val="00A324AD"/>
    <w:rsid w:val="00A32631"/>
    <w:rsid w:val="00A32C3F"/>
    <w:rsid w:val="00A33090"/>
    <w:rsid w:val="00A332B4"/>
    <w:rsid w:val="00A33494"/>
    <w:rsid w:val="00A339C5"/>
    <w:rsid w:val="00A340A7"/>
    <w:rsid w:val="00A345D0"/>
    <w:rsid w:val="00A34FA8"/>
    <w:rsid w:val="00A350EA"/>
    <w:rsid w:val="00A3531A"/>
    <w:rsid w:val="00A3548D"/>
    <w:rsid w:val="00A3588C"/>
    <w:rsid w:val="00A35DC2"/>
    <w:rsid w:val="00A366C4"/>
    <w:rsid w:val="00A36882"/>
    <w:rsid w:val="00A36D96"/>
    <w:rsid w:val="00A36F25"/>
    <w:rsid w:val="00A371BA"/>
    <w:rsid w:val="00A375B1"/>
    <w:rsid w:val="00A3774B"/>
    <w:rsid w:val="00A37BBA"/>
    <w:rsid w:val="00A4013D"/>
    <w:rsid w:val="00A40563"/>
    <w:rsid w:val="00A40781"/>
    <w:rsid w:val="00A40C8A"/>
    <w:rsid w:val="00A411F7"/>
    <w:rsid w:val="00A41981"/>
    <w:rsid w:val="00A42215"/>
    <w:rsid w:val="00A423C7"/>
    <w:rsid w:val="00A42487"/>
    <w:rsid w:val="00A43445"/>
    <w:rsid w:val="00A43606"/>
    <w:rsid w:val="00A4361D"/>
    <w:rsid w:val="00A43C97"/>
    <w:rsid w:val="00A43E7E"/>
    <w:rsid w:val="00A43EBE"/>
    <w:rsid w:val="00A4405F"/>
    <w:rsid w:val="00A44941"/>
    <w:rsid w:val="00A44A32"/>
    <w:rsid w:val="00A44AC7"/>
    <w:rsid w:val="00A44CEE"/>
    <w:rsid w:val="00A44E2D"/>
    <w:rsid w:val="00A44E41"/>
    <w:rsid w:val="00A44F4D"/>
    <w:rsid w:val="00A44F6C"/>
    <w:rsid w:val="00A450D5"/>
    <w:rsid w:val="00A461A7"/>
    <w:rsid w:val="00A464BE"/>
    <w:rsid w:val="00A467E3"/>
    <w:rsid w:val="00A46919"/>
    <w:rsid w:val="00A469E2"/>
    <w:rsid w:val="00A46BDB"/>
    <w:rsid w:val="00A46D74"/>
    <w:rsid w:val="00A46D89"/>
    <w:rsid w:val="00A46E7E"/>
    <w:rsid w:val="00A47158"/>
    <w:rsid w:val="00A47251"/>
    <w:rsid w:val="00A473B2"/>
    <w:rsid w:val="00A4741F"/>
    <w:rsid w:val="00A474BF"/>
    <w:rsid w:val="00A47913"/>
    <w:rsid w:val="00A47EFF"/>
    <w:rsid w:val="00A50377"/>
    <w:rsid w:val="00A507FA"/>
    <w:rsid w:val="00A50A35"/>
    <w:rsid w:val="00A50E52"/>
    <w:rsid w:val="00A511E2"/>
    <w:rsid w:val="00A513DA"/>
    <w:rsid w:val="00A516EE"/>
    <w:rsid w:val="00A51BE4"/>
    <w:rsid w:val="00A51FEC"/>
    <w:rsid w:val="00A52368"/>
    <w:rsid w:val="00A523BA"/>
    <w:rsid w:val="00A52A39"/>
    <w:rsid w:val="00A52A96"/>
    <w:rsid w:val="00A53377"/>
    <w:rsid w:val="00A5361B"/>
    <w:rsid w:val="00A53945"/>
    <w:rsid w:val="00A53BD5"/>
    <w:rsid w:val="00A53FFA"/>
    <w:rsid w:val="00A541CB"/>
    <w:rsid w:val="00A544CA"/>
    <w:rsid w:val="00A5486D"/>
    <w:rsid w:val="00A549F3"/>
    <w:rsid w:val="00A54B5E"/>
    <w:rsid w:val="00A5612A"/>
    <w:rsid w:val="00A56203"/>
    <w:rsid w:val="00A564B2"/>
    <w:rsid w:val="00A56B8C"/>
    <w:rsid w:val="00A56E98"/>
    <w:rsid w:val="00A57490"/>
    <w:rsid w:val="00A57947"/>
    <w:rsid w:val="00A57A93"/>
    <w:rsid w:val="00A57CA7"/>
    <w:rsid w:val="00A60A4E"/>
    <w:rsid w:val="00A61170"/>
    <w:rsid w:val="00A6139C"/>
    <w:rsid w:val="00A6165A"/>
    <w:rsid w:val="00A6170D"/>
    <w:rsid w:val="00A621C8"/>
    <w:rsid w:val="00A621FA"/>
    <w:rsid w:val="00A626E0"/>
    <w:rsid w:val="00A62A26"/>
    <w:rsid w:val="00A62F39"/>
    <w:rsid w:val="00A62F99"/>
    <w:rsid w:val="00A634C9"/>
    <w:rsid w:val="00A63693"/>
    <w:rsid w:val="00A6377E"/>
    <w:rsid w:val="00A638EF"/>
    <w:rsid w:val="00A63A67"/>
    <w:rsid w:val="00A63DF4"/>
    <w:rsid w:val="00A646A4"/>
    <w:rsid w:val="00A64DDA"/>
    <w:rsid w:val="00A64FBA"/>
    <w:rsid w:val="00A6501B"/>
    <w:rsid w:val="00A657B3"/>
    <w:rsid w:val="00A65D2A"/>
    <w:rsid w:val="00A66034"/>
    <w:rsid w:val="00A66C22"/>
    <w:rsid w:val="00A672FB"/>
    <w:rsid w:val="00A673F6"/>
    <w:rsid w:val="00A675DF"/>
    <w:rsid w:val="00A67A49"/>
    <w:rsid w:val="00A67DDC"/>
    <w:rsid w:val="00A67E1A"/>
    <w:rsid w:val="00A700BB"/>
    <w:rsid w:val="00A70A0B"/>
    <w:rsid w:val="00A70A4C"/>
    <w:rsid w:val="00A70A92"/>
    <w:rsid w:val="00A70BAB"/>
    <w:rsid w:val="00A70D67"/>
    <w:rsid w:val="00A711CD"/>
    <w:rsid w:val="00A7121C"/>
    <w:rsid w:val="00A712FA"/>
    <w:rsid w:val="00A71953"/>
    <w:rsid w:val="00A719DB"/>
    <w:rsid w:val="00A71A73"/>
    <w:rsid w:val="00A71AD9"/>
    <w:rsid w:val="00A71D76"/>
    <w:rsid w:val="00A71F61"/>
    <w:rsid w:val="00A71FEF"/>
    <w:rsid w:val="00A734B6"/>
    <w:rsid w:val="00A73575"/>
    <w:rsid w:val="00A73707"/>
    <w:rsid w:val="00A73D1D"/>
    <w:rsid w:val="00A73E35"/>
    <w:rsid w:val="00A73EF7"/>
    <w:rsid w:val="00A7405E"/>
    <w:rsid w:val="00A740A8"/>
    <w:rsid w:val="00A741D3"/>
    <w:rsid w:val="00A74354"/>
    <w:rsid w:val="00A7453B"/>
    <w:rsid w:val="00A7463E"/>
    <w:rsid w:val="00A74965"/>
    <w:rsid w:val="00A7536B"/>
    <w:rsid w:val="00A755AE"/>
    <w:rsid w:val="00A75837"/>
    <w:rsid w:val="00A75D24"/>
    <w:rsid w:val="00A76449"/>
    <w:rsid w:val="00A779A3"/>
    <w:rsid w:val="00A77E76"/>
    <w:rsid w:val="00A77FE9"/>
    <w:rsid w:val="00A802B0"/>
    <w:rsid w:val="00A8039A"/>
    <w:rsid w:val="00A80BAA"/>
    <w:rsid w:val="00A80F14"/>
    <w:rsid w:val="00A810B2"/>
    <w:rsid w:val="00A81571"/>
    <w:rsid w:val="00A82153"/>
    <w:rsid w:val="00A8256A"/>
    <w:rsid w:val="00A83063"/>
    <w:rsid w:val="00A83084"/>
    <w:rsid w:val="00A836AC"/>
    <w:rsid w:val="00A83754"/>
    <w:rsid w:val="00A83B87"/>
    <w:rsid w:val="00A83C9F"/>
    <w:rsid w:val="00A83D10"/>
    <w:rsid w:val="00A83DC3"/>
    <w:rsid w:val="00A8412B"/>
    <w:rsid w:val="00A84818"/>
    <w:rsid w:val="00A84A90"/>
    <w:rsid w:val="00A84D22"/>
    <w:rsid w:val="00A84EB0"/>
    <w:rsid w:val="00A851CF"/>
    <w:rsid w:val="00A8658A"/>
    <w:rsid w:val="00A86A6B"/>
    <w:rsid w:val="00A86C6B"/>
    <w:rsid w:val="00A86CFE"/>
    <w:rsid w:val="00A876A6"/>
    <w:rsid w:val="00A9049F"/>
    <w:rsid w:val="00A90605"/>
    <w:rsid w:val="00A90B6F"/>
    <w:rsid w:val="00A90DA2"/>
    <w:rsid w:val="00A90DC6"/>
    <w:rsid w:val="00A915C1"/>
    <w:rsid w:val="00A91BD1"/>
    <w:rsid w:val="00A91BFD"/>
    <w:rsid w:val="00A9234C"/>
    <w:rsid w:val="00A9235D"/>
    <w:rsid w:val="00A92422"/>
    <w:rsid w:val="00A92461"/>
    <w:rsid w:val="00A9270F"/>
    <w:rsid w:val="00A92944"/>
    <w:rsid w:val="00A92D66"/>
    <w:rsid w:val="00A92EE9"/>
    <w:rsid w:val="00A934DA"/>
    <w:rsid w:val="00A93619"/>
    <w:rsid w:val="00A94096"/>
    <w:rsid w:val="00A94934"/>
    <w:rsid w:val="00A9499A"/>
    <w:rsid w:val="00A94CB3"/>
    <w:rsid w:val="00A95292"/>
    <w:rsid w:val="00A95301"/>
    <w:rsid w:val="00A95C08"/>
    <w:rsid w:val="00A95C60"/>
    <w:rsid w:val="00A95D1C"/>
    <w:rsid w:val="00A9611B"/>
    <w:rsid w:val="00A96B8C"/>
    <w:rsid w:val="00A96EBA"/>
    <w:rsid w:val="00A97542"/>
    <w:rsid w:val="00A9798E"/>
    <w:rsid w:val="00AA0122"/>
    <w:rsid w:val="00AA01E6"/>
    <w:rsid w:val="00AA0477"/>
    <w:rsid w:val="00AA0AB3"/>
    <w:rsid w:val="00AA121E"/>
    <w:rsid w:val="00AA141D"/>
    <w:rsid w:val="00AA18B1"/>
    <w:rsid w:val="00AA1ED4"/>
    <w:rsid w:val="00AA2177"/>
    <w:rsid w:val="00AA2AAF"/>
    <w:rsid w:val="00AA313E"/>
    <w:rsid w:val="00AA3168"/>
    <w:rsid w:val="00AA33A2"/>
    <w:rsid w:val="00AA38A9"/>
    <w:rsid w:val="00AA3B67"/>
    <w:rsid w:val="00AA43A9"/>
    <w:rsid w:val="00AA5086"/>
    <w:rsid w:val="00AA51C1"/>
    <w:rsid w:val="00AA5418"/>
    <w:rsid w:val="00AA54BC"/>
    <w:rsid w:val="00AA56F3"/>
    <w:rsid w:val="00AA5E46"/>
    <w:rsid w:val="00AA5EA0"/>
    <w:rsid w:val="00AA62C7"/>
    <w:rsid w:val="00AA673B"/>
    <w:rsid w:val="00AA6B62"/>
    <w:rsid w:val="00AA6B6D"/>
    <w:rsid w:val="00AA6C7E"/>
    <w:rsid w:val="00AA7115"/>
    <w:rsid w:val="00AA7369"/>
    <w:rsid w:val="00AA7554"/>
    <w:rsid w:val="00AA7AA8"/>
    <w:rsid w:val="00AA7EDC"/>
    <w:rsid w:val="00AB00C4"/>
    <w:rsid w:val="00AB0413"/>
    <w:rsid w:val="00AB0A9C"/>
    <w:rsid w:val="00AB0EE3"/>
    <w:rsid w:val="00AB14B0"/>
    <w:rsid w:val="00AB14E4"/>
    <w:rsid w:val="00AB1501"/>
    <w:rsid w:val="00AB18ED"/>
    <w:rsid w:val="00AB1946"/>
    <w:rsid w:val="00AB2148"/>
    <w:rsid w:val="00AB2727"/>
    <w:rsid w:val="00AB2918"/>
    <w:rsid w:val="00AB295F"/>
    <w:rsid w:val="00AB29CA"/>
    <w:rsid w:val="00AB2C98"/>
    <w:rsid w:val="00AB2F74"/>
    <w:rsid w:val="00AB3001"/>
    <w:rsid w:val="00AB318B"/>
    <w:rsid w:val="00AB320B"/>
    <w:rsid w:val="00AB35FF"/>
    <w:rsid w:val="00AB3A1D"/>
    <w:rsid w:val="00AB3BBB"/>
    <w:rsid w:val="00AB3FEC"/>
    <w:rsid w:val="00AB4391"/>
    <w:rsid w:val="00AB44C2"/>
    <w:rsid w:val="00AB4549"/>
    <w:rsid w:val="00AB4BC2"/>
    <w:rsid w:val="00AB4D2A"/>
    <w:rsid w:val="00AB4EAB"/>
    <w:rsid w:val="00AB51CF"/>
    <w:rsid w:val="00AB5278"/>
    <w:rsid w:val="00AB52FD"/>
    <w:rsid w:val="00AB5631"/>
    <w:rsid w:val="00AB57F0"/>
    <w:rsid w:val="00AB5C1C"/>
    <w:rsid w:val="00AB6791"/>
    <w:rsid w:val="00AB6EAC"/>
    <w:rsid w:val="00AB70FC"/>
    <w:rsid w:val="00AB7CA4"/>
    <w:rsid w:val="00AC0DD7"/>
    <w:rsid w:val="00AC0EC8"/>
    <w:rsid w:val="00AC12A4"/>
    <w:rsid w:val="00AC154A"/>
    <w:rsid w:val="00AC15A0"/>
    <w:rsid w:val="00AC1702"/>
    <w:rsid w:val="00AC1D78"/>
    <w:rsid w:val="00AC1F7E"/>
    <w:rsid w:val="00AC2103"/>
    <w:rsid w:val="00AC22F5"/>
    <w:rsid w:val="00AC26D9"/>
    <w:rsid w:val="00AC2834"/>
    <w:rsid w:val="00AC29D0"/>
    <w:rsid w:val="00AC2AD2"/>
    <w:rsid w:val="00AC2E8C"/>
    <w:rsid w:val="00AC33D7"/>
    <w:rsid w:val="00AC3415"/>
    <w:rsid w:val="00AC348F"/>
    <w:rsid w:val="00AC3A59"/>
    <w:rsid w:val="00AC3BBC"/>
    <w:rsid w:val="00AC3BD8"/>
    <w:rsid w:val="00AC3D61"/>
    <w:rsid w:val="00AC3E75"/>
    <w:rsid w:val="00AC4988"/>
    <w:rsid w:val="00AC5127"/>
    <w:rsid w:val="00AC5543"/>
    <w:rsid w:val="00AC59DC"/>
    <w:rsid w:val="00AC5B2B"/>
    <w:rsid w:val="00AC5CBE"/>
    <w:rsid w:val="00AC62AD"/>
    <w:rsid w:val="00AC635D"/>
    <w:rsid w:val="00AC67CD"/>
    <w:rsid w:val="00AC6880"/>
    <w:rsid w:val="00AC6964"/>
    <w:rsid w:val="00AC6D76"/>
    <w:rsid w:val="00AC7007"/>
    <w:rsid w:val="00AC73ED"/>
    <w:rsid w:val="00AC75DF"/>
    <w:rsid w:val="00AC781D"/>
    <w:rsid w:val="00AC782D"/>
    <w:rsid w:val="00AC7ADE"/>
    <w:rsid w:val="00AC7B66"/>
    <w:rsid w:val="00AD0378"/>
    <w:rsid w:val="00AD04E5"/>
    <w:rsid w:val="00AD0BD8"/>
    <w:rsid w:val="00AD14EE"/>
    <w:rsid w:val="00AD1A10"/>
    <w:rsid w:val="00AD1F46"/>
    <w:rsid w:val="00AD207C"/>
    <w:rsid w:val="00AD212C"/>
    <w:rsid w:val="00AD24ED"/>
    <w:rsid w:val="00AD2B37"/>
    <w:rsid w:val="00AD303D"/>
    <w:rsid w:val="00AD31D0"/>
    <w:rsid w:val="00AD3430"/>
    <w:rsid w:val="00AD3844"/>
    <w:rsid w:val="00AD3F06"/>
    <w:rsid w:val="00AD3F30"/>
    <w:rsid w:val="00AD47B4"/>
    <w:rsid w:val="00AD48CC"/>
    <w:rsid w:val="00AD4E47"/>
    <w:rsid w:val="00AD5076"/>
    <w:rsid w:val="00AD50CB"/>
    <w:rsid w:val="00AD5470"/>
    <w:rsid w:val="00AD54CC"/>
    <w:rsid w:val="00AD56D9"/>
    <w:rsid w:val="00AD578D"/>
    <w:rsid w:val="00AD5ACF"/>
    <w:rsid w:val="00AD5CBE"/>
    <w:rsid w:val="00AD5DBA"/>
    <w:rsid w:val="00AD65CB"/>
    <w:rsid w:val="00AD6B83"/>
    <w:rsid w:val="00AD6B94"/>
    <w:rsid w:val="00AD6BE5"/>
    <w:rsid w:val="00AD7B24"/>
    <w:rsid w:val="00AE02ED"/>
    <w:rsid w:val="00AE034C"/>
    <w:rsid w:val="00AE06A5"/>
    <w:rsid w:val="00AE0849"/>
    <w:rsid w:val="00AE08DC"/>
    <w:rsid w:val="00AE0B26"/>
    <w:rsid w:val="00AE11B7"/>
    <w:rsid w:val="00AE1315"/>
    <w:rsid w:val="00AE2564"/>
    <w:rsid w:val="00AE2698"/>
    <w:rsid w:val="00AE26C2"/>
    <w:rsid w:val="00AE2B70"/>
    <w:rsid w:val="00AE36C2"/>
    <w:rsid w:val="00AE429B"/>
    <w:rsid w:val="00AE4AA8"/>
    <w:rsid w:val="00AE4D95"/>
    <w:rsid w:val="00AE507B"/>
    <w:rsid w:val="00AE53E6"/>
    <w:rsid w:val="00AE58CC"/>
    <w:rsid w:val="00AE5A60"/>
    <w:rsid w:val="00AE5B6A"/>
    <w:rsid w:val="00AE5E0D"/>
    <w:rsid w:val="00AE6239"/>
    <w:rsid w:val="00AE64A0"/>
    <w:rsid w:val="00AE6CD2"/>
    <w:rsid w:val="00AE6F12"/>
    <w:rsid w:val="00AE738A"/>
    <w:rsid w:val="00AE7420"/>
    <w:rsid w:val="00AE7A5D"/>
    <w:rsid w:val="00AE7A7E"/>
    <w:rsid w:val="00AE7AA8"/>
    <w:rsid w:val="00AE7BAB"/>
    <w:rsid w:val="00AE7EA2"/>
    <w:rsid w:val="00AE7EBA"/>
    <w:rsid w:val="00AE7FE2"/>
    <w:rsid w:val="00AF01F2"/>
    <w:rsid w:val="00AF0358"/>
    <w:rsid w:val="00AF0ABB"/>
    <w:rsid w:val="00AF0B09"/>
    <w:rsid w:val="00AF0B9D"/>
    <w:rsid w:val="00AF10B6"/>
    <w:rsid w:val="00AF1358"/>
    <w:rsid w:val="00AF1D53"/>
    <w:rsid w:val="00AF1FBC"/>
    <w:rsid w:val="00AF208A"/>
    <w:rsid w:val="00AF2454"/>
    <w:rsid w:val="00AF26FC"/>
    <w:rsid w:val="00AF2A14"/>
    <w:rsid w:val="00AF35E3"/>
    <w:rsid w:val="00AF3F59"/>
    <w:rsid w:val="00AF3FC6"/>
    <w:rsid w:val="00AF42F8"/>
    <w:rsid w:val="00AF47C0"/>
    <w:rsid w:val="00AF47EA"/>
    <w:rsid w:val="00AF49E1"/>
    <w:rsid w:val="00AF50F8"/>
    <w:rsid w:val="00AF5137"/>
    <w:rsid w:val="00AF55F0"/>
    <w:rsid w:val="00AF575E"/>
    <w:rsid w:val="00AF5F15"/>
    <w:rsid w:val="00AF61BF"/>
    <w:rsid w:val="00AF631A"/>
    <w:rsid w:val="00AF68F0"/>
    <w:rsid w:val="00AF7114"/>
    <w:rsid w:val="00AF7750"/>
    <w:rsid w:val="00AF77BD"/>
    <w:rsid w:val="00AF7DFC"/>
    <w:rsid w:val="00B00126"/>
    <w:rsid w:val="00B00446"/>
    <w:rsid w:val="00B00653"/>
    <w:rsid w:val="00B0066F"/>
    <w:rsid w:val="00B016E4"/>
    <w:rsid w:val="00B01893"/>
    <w:rsid w:val="00B01980"/>
    <w:rsid w:val="00B01DB1"/>
    <w:rsid w:val="00B02747"/>
    <w:rsid w:val="00B02D4A"/>
    <w:rsid w:val="00B02ED7"/>
    <w:rsid w:val="00B030E4"/>
    <w:rsid w:val="00B034C0"/>
    <w:rsid w:val="00B03D16"/>
    <w:rsid w:val="00B03DA8"/>
    <w:rsid w:val="00B04004"/>
    <w:rsid w:val="00B04706"/>
    <w:rsid w:val="00B055CE"/>
    <w:rsid w:val="00B057E1"/>
    <w:rsid w:val="00B059D8"/>
    <w:rsid w:val="00B05B65"/>
    <w:rsid w:val="00B05DF5"/>
    <w:rsid w:val="00B05E4D"/>
    <w:rsid w:val="00B064CA"/>
    <w:rsid w:val="00B064F0"/>
    <w:rsid w:val="00B06E41"/>
    <w:rsid w:val="00B0784A"/>
    <w:rsid w:val="00B07A10"/>
    <w:rsid w:val="00B07CBB"/>
    <w:rsid w:val="00B103C3"/>
    <w:rsid w:val="00B10A06"/>
    <w:rsid w:val="00B10AB8"/>
    <w:rsid w:val="00B10B0B"/>
    <w:rsid w:val="00B11215"/>
    <w:rsid w:val="00B112BC"/>
    <w:rsid w:val="00B1132A"/>
    <w:rsid w:val="00B115DF"/>
    <w:rsid w:val="00B117AD"/>
    <w:rsid w:val="00B11B72"/>
    <w:rsid w:val="00B11C3C"/>
    <w:rsid w:val="00B11EEE"/>
    <w:rsid w:val="00B120E7"/>
    <w:rsid w:val="00B12105"/>
    <w:rsid w:val="00B123BA"/>
    <w:rsid w:val="00B12917"/>
    <w:rsid w:val="00B12D18"/>
    <w:rsid w:val="00B12D68"/>
    <w:rsid w:val="00B1324C"/>
    <w:rsid w:val="00B137E9"/>
    <w:rsid w:val="00B14848"/>
    <w:rsid w:val="00B1499D"/>
    <w:rsid w:val="00B14DFB"/>
    <w:rsid w:val="00B15189"/>
    <w:rsid w:val="00B16117"/>
    <w:rsid w:val="00B162BD"/>
    <w:rsid w:val="00B163AA"/>
    <w:rsid w:val="00B163E8"/>
    <w:rsid w:val="00B167BA"/>
    <w:rsid w:val="00B167F2"/>
    <w:rsid w:val="00B1680B"/>
    <w:rsid w:val="00B16967"/>
    <w:rsid w:val="00B17090"/>
    <w:rsid w:val="00B17175"/>
    <w:rsid w:val="00B17AB2"/>
    <w:rsid w:val="00B17D9E"/>
    <w:rsid w:val="00B20375"/>
    <w:rsid w:val="00B2051B"/>
    <w:rsid w:val="00B205E2"/>
    <w:rsid w:val="00B20633"/>
    <w:rsid w:val="00B20736"/>
    <w:rsid w:val="00B208F4"/>
    <w:rsid w:val="00B20C97"/>
    <w:rsid w:val="00B20F7D"/>
    <w:rsid w:val="00B21961"/>
    <w:rsid w:val="00B219BA"/>
    <w:rsid w:val="00B21BDD"/>
    <w:rsid w:val="00B21E0A"/>
    <w:rsid w:val="00B227F2"/>
    <w:rsid w:val="00B22A96"/>
    <w:rsid w:val="00B22E8C"/>
    <w:rsid w:val="00B231A2"/>
    <w:rsid w:val="00B23202"/>
    <w:rsid w:val="00B23492"/>
    <w:rsid w:val="00B234F0"/>
    <w:rsid w:val="00B23BAF"/>
    <w:rsid w:val="00B23BD0"/>
    <w:rsid w:val="00B23D63"/>
    <w:rsid w:val="00B23DCA"/>
    <w:rsid w:val="00B244F0"/>
    <w:rsid w:val="00B24D0E"/>
    <w:rsid w:val="00B25000"/>
    <w:rsid w:val="00B25340"/>
    <w:rsid w:val="00B253E2"/>
    <w:rsid w:val="00B25835"/>
    <w:rsid w:val="00B258AC"/>
    <w:rsid w:val="00B25D95"/>
    <w:rsid w:val="00B26507"/>
    <w:rsid w:val="00B26564"/>
    <w:rsid w:val="00B26849"/>
    <w:rsid w:val="00B26D27"/>
    <w:rsid w:val="00B26DCC"/>
    <w:rsid w:val="00B26E42"/>
    <w:rsid w:val="00B27019"/>
    <w:rsid w:val="00B276CD"/>
    <w:rsid w:val="00B27D88"/>
    <w:rsid w:val="00B30616"/>
    <w:rsid w:val="00B309D2"/>
    <w:rsid w:val="00B3110D"/>
    <w:rsid w:val="00B311A5"/>
    <w:rsid w:val="00B31587"/>
    <w:rsid w:val="00B31596"/>
    <w:rsid w:val="00B31939"/>
    <w:rsid w:val="00B31970"/>
    <w:rsid w:val="00B31B2F"/>
    <w:rsid w:val="00B31C34"/>
    <w:rsid w:val="00B31DBB"/>
    <w:rsid w:val="00B31DCA"/>
    <w:rsid w:val="00B3211F"/>
    <w:rsid w:val="00B32385"/>
    <w:rsid w:val="00B323B3"/>
    <w:rsid w:val="00B32516"/>
    <w:rsid w:val="00B32589"/>
    <w:rsid w:val="00B33365"/>
    <w:rsid w:val="00B33929"/>
    <w:rsid w:val="00B340B8"/>
    <w:rsid w:val="00B3441F"/>
    <w:rsid w:val="00B349ED"/>
    <w:rsid w:val="00B34B10"/>
    <w:rsid w:val="00B35071"/>
    <w:rsid w:val="00B35561"/>
    <w:rsid w:val="00B356D2"/>
    <w:rsid w:val="00B35923"/>
    <w:rsid w:val="00B3595A"/>
    <w:rsid w:val="00B35CB5"/>
    <w:rsid w:val="00B3694E"/>
    <w:rsid w:val="00B36D2F"/>
    <w:rsid w:val="00B36D88"/>
    <w:rsid w:val="00B370D0"/>
    <w:rsid w:val="00B372C8"/>
    <w:rsid w:val="00B37351"/>
    <w:rsid w:val="00B37551"/>
    <w:rsid w:val="00B404FA"/>
    <w:rsid w:val="00B41884"/>
    <w:rsid w:val="00B418FB"/>
    <w:rsid w:val="00B423B4"/>
    <w:rsid w:val="00B42629"/>
    <w:rsid w:val="00B42682"/>
    <w:rsid w:val="00B4287F"/>
    <w:rsid w:val="00B42946"/>
    <w:rsid w:val="00B42C8F"/>
    <w:rsid w:val="00B42D03"/>
    <w:rsid w:val="00B42D88"/>
    <w:rsid w:val="00B42F46"/>
    <w:rsid w:val="00B431E3"/>
    <w:rsid w:val="00B43A56"/>
    <w:rsid w:val="00B44006"/>
    <w:rsid w:val="00B44508"/>
    <w:rsid w:val="00B448A9"/>
    <w:rsid w:val="00B44B36"/>
    <w:rsid w:val="00B44CA9"/>
    <w:rsid w:val="00B44D27"/>
    <w:rsid w:val="00B44DFB"/>
    <w:rsid w:val="00B45109"/>
    <w:rsid w:val="00B4521B"/>
    <w:rsid w:val="00B454F0"/>
    <w:rsid w:val="00B4550E"/>
    <w:rsid w:val="00B455D6"/>
    <w:rsid w:val="00B45937"/>
    <w:rsid w:val="00B45B0F"/>
    <w:rsid w:val="00B45B94"/>
    <w:rsid w:val="00B4628C"/>
    <w:rsid w:val="00B464E7"/>
    <w:rsid w:val="00B46539"/>
    <w:rsid w:val="00B465D3"/>
    <w:rsid w:val="00B46837"/>
    <w:rsid w:val="00B46853"/>
    <w:rsid w:val="00B46C5F"/>
    <w:rsid w:val="00B474FA"/>
    <w:rsid w:val="00B47574"/>
    <w:rsid w:val="00B47582"/>
    <w:rsid w:val="00B4792C"/>
    <w:rsid w:val="00B502B9"/>
    <w:rsid w:val="00B5031B"/>
    <w:rsid w:val="00B5038E"/>
    <w:rsid w:val="00B50946"/>
    <w:rsid w:val="00B50A78"/>
    <w:rsid w:val="00B50AB8"/>
    <w:rsid w:val="00B5100A"/>
    <w:rsid w:val="00B510B8"/>
    <w:rsid w:val="00B511AF"/>
    <w:rsid w:val="00B5120D"/>
    <w:rsid w:val="00B51757"/>
    <w:rsid w:val="00B51966"/>
    <w:rsid w:val="00B519EE"/>
    <w:rsid w:val="00B52362"/>
    <w:rsid w:val="00B5255C"/>
    <w:rsid w:val="00B52CCB"/>
    <w:rsid w:val="00B52F8F"/>
    <w:rsid w:val="00B53101"/>
    <w:rsid w:val="00B531AC"/>
    <w:rsid w:val="00B5344E"/>
    <w:rsid w:val="00B53613"/>
    <w:rsid w:val="00B53FE4"/>
    <w:rsid w:val="00B543A5"/>
    <w:rsid w:val="00B54810"/>
    <w:rsid w:val="00B548A4"/>
    <w:rsid w:val="00B549B6"/>
    <w:rsid w:val="00B551B8"/>
    <w:rsid w:val="00B55637"/>
    <w:rsid w:val="00B556E7"/>
    <w:rsid w:val="00B557D4"/>
    <w:rsid w:val="00B55A35"/>
    <w:rsid w:val="00B55B9F"/>
    <w:rsid w:val="00B56177"/>
    <w:rsid w:val="00B56182"/>
    <w:rsid w:val="00B5653C"/>
    <w:rsid w:val="00B56993"/>
    <w:rsid w:val="00B56A2D"/>
    <w:rsid w:val="00B56C81"/>
    <w:rsid w:val="00B56E24"/>
    <w:rsid w:val="00B57563"/>
    <w:rsid w:val="00B577B5"/>
    <w:rsid w:val="00B6028D"/>
    <w:rsid w:val="00B609B7"/>
    <w:rsid w:val="00B60A3E"/>
    <w:rsid w:val="00B60C63"/>
    <w:rsid w:val="00B60DBE"/>
    <w:rsid w:val="00B60EAA"/>
    <w:rsid w:val="00B60F14"/>
    <w:rsid w:val="00B611DA"/>
    <w:rsid w:val="00B61495"/>
    <w:rsid w:val="00B618ED"/>
    <w:rsid w:val="00B61CAD"/>
    <w:rsid w:val="00B62753"/>
    <w:rsid w:val="00B627C4"/>
    <w:rsid w:val="00B627F0"/>
    <w:rsid w:val="00B63161"/>
    <w:rsid w:val="00B631B8"/>
    <w:rsid w:val="00B6332B"/>
    <w:rsid w:val="00B63945"/>
    <w:rsid w:val="00B63F02"/>
    <w:rsid w:val="00B63F2D"/>
    <w:rsid w:val="00B63F70"/>
    <w:rsid w:val="00B640C0"/>
    <w:rsid w:val="00B644F3"/>
    <w:rsid w:val="00B64697"/>
    <w:rsid w:val="00B64AE7"/>
    <w:rsid w:val="00B64CF1"/>
    <w:rsid w:val="00B64DFE"/>
    <w:rsid w:val="00B64E0D"/>
    <w:rsid w:val="00B64F85"/>
    <w:rsid w:val="00B64FBD"/>
    <w:rsid w:val="00B65123"/>
    <w:rsid w:val="00B651EB"/>
    <w:rsid w:val="00B65307"/>
    <w:rsid w:val="00B65980"/>
    <w:rsid w:val="00B65A04"/>
    <w:rsid w:val="00B6661C"/>
    <w:rsid w:val="00B669C8"/>
    <w:rsid w:val="00B66A59"/>
    <w:rsid w:val="00B67108"/>
    <w:rsid w:val="00B673FE"/>
    <w:rsid w:val="00B6784C"/>
    <w:rsid w:val="00B67942"/>
    <w:rsid w:val="00B67BA1"/>
    <w:rsid w:val="00B67C51"/>
    <w:rsid w:val="00B67F31"/>
    <w:rsid w:val="00B67FE7"/>
    <w:rsid w:val="00B70319"/>
    <w:rsid w:val="00B70331"/>
    <w:rsid w:val="00B705BC"/>
    <w:rsid w:val="00B70809"/>
    <w:rsid w:val="00B70B7D"/>
    <w:rsid w:val="00B7122D"/>
    <w:rsid w:val="00B71BA5"/>
    <w:rsid w:val="00B71E08"/>
    <w:rsid w:val="00B72AA5"/>
    <w:rsid w:val="00B72B61"/>
    <w:rsid w:val="00B72BB3"/>
    <w:rsid w:val="00B72D5E"/>
    <w:rsid w:val="00B73324"/>
    <w:rsid w:val="00B7339B"/>
    <w:rsid w:val="00B733E3"/>
    <w:rsid w:val="00B7358C"/>
    <w:rsid w:val="00B73849"/>
    <w:rsid w:val="00B7388D"/>
    <w:rsid w:val="00B738B3"/>
    <w:rsid w:val="00B73F2C"/>
    <w:rsid w:val="00B73FE6"/>
    <w:rsid w:val="00B749EE"/>
    <w:rsid w:val="00B74C1C"/>
    <w:rsid w:val="00B74D5C"/>
    <w:rsid w:val="00B75312"/>
    <w:rsid w:val="00B754AD"/>
    <w:rsid w:val="00B755C4"/>
    <w:rsid w:val="00B75738"/>
    <w:rsid w:val="00B7593B"/>
    <w:rsid w:val="00B764F6"/>
    <w:rsid w:val="00B7674F"/>
    <w:rsid w:val="00B76F0B"/>
    <w:rsid w:val="00B7737B"/>
    <w:rsid w:val="00B778D2"/>
    <w:rsid w:val="00B77911"/>
    <w:rsid w:val="00B779E0"/>
    <w:rsid w:val="00B77D52"/>
    <w:rsid w:val="00B8024D"/>
    <w:rsid w:val="00B80539"/>
    <w:rsid w:val="00B8060E"/>
    <w:rsid w:val="00B80718"/>
    <w:rsid w:val="00B80CB7"/>
    <w:rsid w:val="00B81092"/>
    <w:rsid w:val="00B810BF"/>
    <w:rsid w:val="00B81272"/>
    <w:rsid w:val="00B81330"/>
    <w:rsid w:val="00B81D1F"/>
    <w:rsid w:val="00B81D81"/>
    <w:rsid w:val="00B81F37"/>
    <w:rsid w:val="00B82271"/>
    <w:rsid w:val="00B8227F"/>
    <w:rsid w:val="00B82557"/>
    <w:rsid w:val="00B825C2"/>
    <w:rsid w:val="00B827E7"/>
    <w:rsid w:val="00B82AC3"/>
    <w:rsid w:val="00B832D1"/>
    <w:rsid w:val="00B8336B"/>
    <w:rsid w:val="00B835D4"/>
    <w:rsid w:val="00B836EC"/>
    <w:rsid w:val="00B83A4B"/>
    <w:rsid w:val="00B83BCE"/>
    <w:rsid w:val="00B8411E"/>
    <w:rsid w:val="00B84394"/>
    <w:rsid w:val="00B852D2"/>
    <w:rsid w:val="00B85831"/>
    <w:rsid w:val="00B865C8"/>
    <w:rsid w:val="00B8667B"/>
    <w:rsid w:val="00B8679D"/>
    <w:rsid w:val="00B8696C"/>
    <w:rsid w:val="00B8698D"/>
    <w:rsid w:val="00B86E50"/>
    <w:rsid w:val="00B86FA1"/>
    <w:rsid w:val="00B87AFC"/>
    <w:rsid w:val="00B91241"/>
    <w:rsid w:val="00B91D84"/>
    <w:rsid w:val="00B91DBD"/>
    <w:rsid w:val="00B92437"/>
    <w:rsid w:val="00B924F0"/>
    <w:rsid w:val="00B924F1"/>
    <w:rsid w:val="00B925ED"/>
    <w:rsid w:val="00B9285E"/>
    <w:rsid w:val="00B93801"/>
    <w:rsid w:val="00B94172"/>
    <w:rsid w:val="00B942E0"/>
    <w:rsid w:val="00B94892"/>
    <w:rsid w:val="00B94E10"/>
    <w:rsid w:val="00B9536D"/>
    <w:rsid w:val="00B9557A"/>
    <w:rsid w:val="00B95839"/>
    <w:rsid w:val="00B958F8"/>
    <w:rsid w:val="00B95AF6"/>
    <w:rsid w:val="00B95FE5"/>
    <w:rsid w:val="00B96284"/>
    <w:rsid w:val="00B96AE1"/>
    <w:rsid w:val="00B96BB6"/>
    <w:rsid w:val="00B96BC1"/>
    <w:rsid w:val="00B97681"/>
    <w:rsid w:val="00BA1192"/>
    <w:rsid w:val="00BA1341"/>
    <w:rsid w:val="00BA13E9"/>
    <w:rsid w:val="00BA1B03"/>
    <w:rsid w:val="00BA1DE4"/>
    <w:rsid w:val="00BA1EA5"/>
    <w:rsid w:val="00BA215B"/>
    <w:rsid w:val="00BA28B2"/>
    <w:rsid w:val="00BA2B01"/>
    <w:rsid w:val="00BA2C0F"/>
    <w:rsid w:val="00BA2F07"/>
    <w:rsid w:val="00BA3C1C"/>
    <w:rsid w:val="00BA4410"/>
    <w:rsid w:val="00BA49B6"/>
    <w:rsid w:val="00BA4AF8"/>
    <w:rsid w:val="00BA4EDF"/>
    <w:rsid w:val="00BA599F"/>
    <w:rsid w:val="00BA5CD0"/>
    <w:rsid w:val="00BA5D92"/>
    <w:rsid w:val="00BA60E5"/>
    <w:rsid w:val="00BA66CD"/>
    <w:rsid w:val="00BA6729"/>
    <w:rsid w:val="00BA67DB"/>
    <w:rsid w:val="00BA6DC1"/>
    <w:rsid w:val="00BA6E45"/>
    <w:rsid w:val="00BA7198"/>
    <w:rsid w:val="00BA72DB"/>
    <w:rsid w:val="00BA75E3"/>
    <w:rsid w:val="00BB0151"/>
    <w:rsid w:val="00BB08B9"/>
    <w:rsid w:val="00BB0CA2"/>
    <w:rsid w:val="00BB12BB"/>
    <w:rsid w:val="00BB18EF"/>
    <w:rsid w:val="00BB1A3F"/>
    <w:rsid w:val="00BB1FA0"/>
    <w:rsid w:val="00BB23A4"/>
    <w:rsid w:val="00BB23EA"/>
    <w:rsid w:val="00BB29F2"/>
    <w:rsid w:val="00BB2C67"/>
    <w:rsid w:val="00BB2C72"/>
    <w:rsid w:val="00BB2F31"/>
    <w:rsid w:val="00BB3927"/>
    <w:rsid w:val="00BB3D5C"/>
    <w:rsid w:val="00BB421F"/>
    <w:rsid w:val="00BB4791"/>
    <w:rsid w:val="00BB47D0"/>
    <w:rsid w:val="00BB49C9"/>
    <w:rsid w:val="00BB4D3A"/>
    <w:rsid w:val="00BB4E55"/>
    <w:rsid w:val="00BB52B6"/>
    <w:rsid w:val="00BB5A7E"/>
    <w:rsid w:val="00BB5BA5"/>
    <w:rsid w:val="00BB5BFE"/>
    <w:rsid w:val="00BB5DB2"/>
    <w:rsid w:val="00BB61DF"/>
    <w:rsid w:val="00BB69C0"/>
    <w:rsid w:val="00BB6B85"/>
    <w:rsid w:val="00BB6E05"/>
    <w:rsid w:val="00BB7697"/>
    <w:rsid w:val="00BB7E48"/>
    <w:rsid w:val="00BB7F66"/>
    <w:rsid w:val="00BB7FEC"/>
    <w:rsid w:val="00BC00D8"/>
    <w:rsid w:val="00BC02BD"/>
    <w:rsid w:val="00BC0B7D"/>
    <w:rsid w:val="00BC0EB4"/>
    <w:rsid w:val="00BC15A0"/>
    <w:rsid w:val="00BC1893"/>
    <w:rsid w:val="00BC1E6F"/>
    <w:rsid w:val="00BC2F43"/>
    <w:rsid w:val="00BC309D"/>
    <w:rsid w:val="00BC31F0"/>
    <w:rsid w:val="00BC34CD"/>
    <w:rsid w:val="00BC3E2A"/>
    <w:rsid w:val="00BC3EC5"/>
    <w:rsid w:val="00BC4363"/>
    <w:rsid w:val="00BC44B2"/>
    <w:rsid w:val="00BC4AF7"/>
    <w:rsid w:val="00BC4C6A"/>
    <w:rsid w:val="00BC4F57"/>
    <w:rsid w:val="00BC50D4"/>
    <w:rsid w:val="00BC518F"/>
    <w:rsid w:val="00BC5BF9"/>
    <w:rsid w:val="00BC5E7C"/>
    <w:rsid w:val="00BC5EE0"/>
    <w:rsid w:val="00BC6373"/>
    <w:rsid w:val="00BC669B"/>
    <w:rsid w:val="00BC6712"/>
    <w:rsid w:val="00BC6D04"/>
    <w:rsid w:val="00BC6ED0"/>
    <w:rsid w:val="00BC70C2"/>
    <w:rsid w:val="00BC7634"/>
    <w:rsid w:val="00BC7872"/>
    <w:rsid w:val="00BC78E0"/>
    <w:rsid w:val="00BC7B6A"/>
    <w:rsid w:val="00BD0853"/>
    <w:rsid w:val="00BD0F90"/>
    <w:rsid w:val="00BD15FA"/>
    <w:rsid w:val="00BD177E"/>
    <w:rsid w:val="00BD1B2B"/>
    <w:rsid w:val="00BD1EF7"/>
    <w:rsid w:val="00BD2235"/>
    <w:rsid w:val="00BD22C0"/>
    <w:rsid w:val="00BD26BE"/>
    <w:rsid w:val="00BD26C1"/>
    <w:rsid w:val="00BD31F5"/>
    <w:rsid w:val="00BD3442"/>
    <w:rsid w:val="00BD3721"/>
    <w:rsid w:val="00BD3D9A"/>
    <w:rsid w:val="00BD3EF0"/>
    <w:rsid w:val="00BD3FB6"/>
    <w:rsid w:val="00BD40F3"/>
    <w:rsid w:val="00BD425A"/>
    <w:rsid w:val="00BD465C"/>
    <w:rsid w:val="00BD46E0"/>
    <w:rsid w:val="00BD46EC"/>
    <w:rsid w:val="00BD489F"/>
    <w:rsid w:val="00BD48AA"/>
    <w:rsid w:val="00BD48FC"/>
    <w:rsid w:val="00BD4C5A"/>
    <w:rsid w:val="00BD5145"/>
    <w:rsid w:val="00BD5A5C"/>
    <w:rsid w:val="00BD5DEC"/>
    <w:rsid w:val="00BD6503"/>
    <w:rsid w:val="00BD6FA6"/>
    <w:rsid w:val="00BD74F7"/>
    <w:rsid w:val="00BD7A4A"/>
    <w:rsid w:val="00BE00FB"/>
    <w:rsid w:val="00BE0793"/>
    <w:rsid w:val="00BE0F42"/>
    <w:rsid w:val="00BE0FDE"/>
    <w:rsid w:val="00BE11F7"/>
    <w:rsid w:val="00BE16F4"/>
    <w:rsid w:val="00BE1B9E"/>
    <w:rsid w:val="00BE2216"/>
    <w:rsid w:val="00BE24BE"/>
    <w:rsid w:val="00BE298E"/>
    <w:rsid w:val="00BE2C8D"/>
    <w:rsid w:val="00BE2FCA"/>
    <w:rsid w:val="00BE3102"/>
    <w:rsid w:val="00BE32E9"/>
    <w:rsid w:val="00BE33AC"/>
    <w:rsid w:val="00BE34FD"/>
    <w:rsid w:val="00BE397E"/>
    <w:rsid w:val="00BE402A"/>
    <w:rsid w:val="00BE41BD"/>
    <w:rsid w:val="00BE4D1D"/>
    <w:rsid w:val="00BE56F8"/>
    <w:rsid w:val="00BE579C"/>
    <w:rsid w:val="00BE58FF"/>
    <w:rsid w:val="00BE597E"/>
    <w:rsid w:val="00BE5D81"/>
    <w:rsid w:val="00BE5EB1"/>
    <w:rsid w:val="00BE5F77"/>
    <w:rsid w:val="00BE6584"/>
    <w:rsid w:val="00BE6782"/>
    <w:rsid w:val="00BE6B70"/>
    <w:rsid w:val="00BE6BCE"/>
    <w:rsid w:val="00BE6C6D"/>
    <w:rsid w:val="00BE6DC9"/>
    <w:rsid w:val="00BE6FA4"/>
    <w:rsid w:val="00BE706C"/>
    <w:rsid w:val="00BE70E9"/>
    <w:rsid w:val="00BE7166"/>
    <w:rsid w:val="00BE7177"/>
    <w:rsid w:val="00BE7501"/>
    <w:rsid w:val="00BE755F"/>
    <w:rsid w:val="00BE75B6"/>
    <w:rsid w:val="00BE7774"/>
    <w:rsid w:val="00BE7822"/>
    <w:rsid w:val="00BE78C1"/>
    <w:rsid w:val="00BE78D2"/>
    <w:rsid w:val="00BE79FA"/>
    <w:rsid w:val="00BE7A17"/>
    <w:rsid w:val="00BE7A57"/>
    <w:rsid w:val="00BE7D51"/>
    <w:rsid w:val="00BF0283"/>
    <w:rsid w:val="00BF053B"/>
    <w:rsid w:val="00BF07A2"/>
    <w:rsid w:val="00BF085E"/>
    <w:rsid w:val="00BF09FC"/>
    <w:rsid w:val="00BF1417"/>
    <w:rsid w:val="00BF1453"/>
    <w:rsid w:val="00BF1A6F"/>
    <w:rsid w:val="00BF21DF"/>
    <w:rsid w:val="00BF268B"/>
    <w:rsid w:val="00BF26FE"/>
    <w:rsid w:val="00BF29D9"/>
    <w:rsid w:val="00BF2A7C"/>
    <w:rsid w:val="00BF2C19"/>
    <w:rsid w:val="00BF2F0B"/>
    <w:rsid w:val="00BF303A"/>
    <w:rsid w:val="00BF306E"/>
    <w:rsid w:val="00BF3497"/>
    <w:rsid w:val="00BF3716"/>
    <w:rsid w:val="00BF4165"/>
    <w:rsid w:val="00BF5255"/>
    <w:rsid w:val="00BF56D4"/>
    <w:rsid w:val="00BF5755"/>
    <w:rsid w:val="00BF5A4E"/>
    <w:rsid w:val="00BF5BB8"/>
    <w:rsid w:val="00BF5C03"/>
    <w:rsid w:val="00BF5CEE"/>
    <w:rsid w:val="00BF5FF6"/>
    <w:rsid w:val="00BF609B"/>
    <w:rsid w:val="00BF764E"/>
    <w:rsid w:val="00BF77D9"/>
    <w:rsid w:val="00BF7DFB"/>
    <w:rsid w:val="00C001A5"/>
    <w:rsid w:val="00C00AB5"/>
    <w:rsid w:val="00C00B6A"/>
    <w:rsid w:val="00C00F2E"/>
    <w:rsid w:val="00C01C0E"/>
    <w:rsid w:val="00C01E93"/>
    <w:rsid w:val="00C023B5"/>
    <w:rsid w:val="00C025DD"/>
    <w:rsid w:val="00C029A0"/>
    <w:rsid w:val="00C02EF3"/>
    <w:rsid w:val="00C03AB6"/>
    <w:rsid w:val="00C04CFB"/>
    <w:rsid w:val="00C052E8"/>
    <w:rsid w:val="00C058AF"/>
    <w:rsid w:val="00C05903"/>
    <w:rsid w:val="00C05A95"/>
    <w:rsid w:val="00C05C84"/>
    <w:rsid w:val="00C06075"/>
    <w:rsid w:val="00C061A1"/>
    <w:rsid w:val="00C06283"/>
    <w:rsid w:val="00C06622"/>
    <w:rsid w:val="00C06A55"/>
    <w:rsid w:val="00C06E12"/>
    <w:rsid w:val="00C06FA2"/>
    <w:rsid w:val="00C070B4"/>
    <w:rsid w:val="00C071BE"/>
    <w:rsid w:val="00C07486"/>
    <w:rsid w:val="00C075B7"/>
    <w:rsid w:val="00C076D1"/>
    <w:rsid w:val="00C07737"/>
    <w:rsid w:val="00C07A29"/>
    <w:rsid w:val="00C07A52"/>
    <w:rsid w:val="00C1026B"/>
    <w:rsid w:val="00C1047B"/>
    <w:rsid w:val="00C104F9"/>
    <w:rsid w:val="00C10BAC"/>
    <w:rsid w:val="00C10C2E"/>
    <w:rsid w:val="00C10CF1"/>
    <w:rsid w:val="00C10FCB"/>
    <w:rsid w:val="00C11539"/>
    <w:rsid w:val="00C11544"/>
    <w:rsid w:val="00C1177D"/>
    <w:rsid w:val="00C11ACA"/>
    <w:rsid w:val="00C11B13"/>
    <w:rsid w:val="00C1222D"/>
    <w:rsid w:val="00C123A1"/>
    <w:rsid w:val="00C12621"/>
    <w:rsid w:val="00C12AFF"/>
    <w:rsid w:val="00C12C32"/>
    <w:rsid w:val="00C12E07"/>
    <w:rsid w:val="00C12F3B"/>
    <w:rsid w:val="00C1300B"/>
    <w:rsid w:val="00C13157"/>
    <w:rsid w:val="00C132EF"/>
    <w:rsid w:val="00C13545"/>
    <w:rsid w:val="00C13656"/>
    <w:rsid w:val="00C13676"/>
    <w:rsid w:val="00C13B07"/>
    <w:rsid w:val="00C13BF3"/>
    <w:rsid w:val="00C13D37"/>
    <w:rsid w:val="00C144AF"/>
    <w:rsid w:val="00C14556"/>
    <w:rsid w:val="00C14597"/>
    <w:rsid w:val="00C14EEA"/>
    <w:rsid w:val="00C151AB"/>
    <w:rsid w:val="00C153D3"/>
    <w:rsid w:val="00C154C1"/>
    <w:rsid w:val="00C158CA"/>
    <w:rsid w:val="00C15B84"/>
    <w:rsid w:val="00C1610C"/>
    <w:rsid w:val="00C16284"/>
    <w:rsid w:val="00C162BF"/>
    <w:rsid w:val="00C16C53"/>
    <w:rsid w:val="00C16D86"/>
    <w:rsid w:val="00C16D87"/>
    <w:rsid w:val="00C16F14"/>
    <w:rsid w:val="00C16F4B"/>
    <w:rsid w:val="00C175A8"/>
    <w:rsid w:val="00C17C39"/>
    <w:rsid w:val="00C209D1"/>
    <w:rsid w:val="00C20BA8"/>
    <w:rsid w:val="00C21003"/>
    <w:rsid w:val="00C21B00"/>
    <w:rsid w:val="00C21CA9"/>
    <w:rsid w:val="00C22536"/>
    <w:rsid w:val="00C2257D"/>
    <w:rsid w:val="00C22651"/>
    <w:rsid w:val="00C229E2"/>
    <w:rsid w:val="00C22EC1"/>
    <w:rsid w:val="00C231C8"/>
    <w:rsid w:val="00C234F4"/>
    <w:rsid w:val="00C238D6"/>
    <w:rsid w:val="00C23A20"/>
    <w:rsid w:val="00C23B9A"/>
    <w:rsid w:val="00C23BA8"/>
    <w:rsid w:val="00C23CFC"/>
    <w:rsid w:val="00C24062"/>
    <w:rsid w:val="00C24227"/>
    <w:rsid w:val="00C2503B"/>
    <w:rsid w:val="00C252C5"/>
    <w:rsid w:val="00C255A8"/>
    <w:rsid w:val="00C25B57"/>
    <w:rsid w:val="00C25C48"/>
    <w:rsid w:val="00C25C76"/>
    <w:rsid w:val="00C25CE5"/>
    <w:rsid w:val="00C25CEA"/>
    <w:rsid w:val="00C25EA0"/>
    <w:rsid w:val="00C2618C"/>
    <w:rsid w:val="00C261C4"/>
    <w:rsid w:val="00C26339"/>
    <w:rsid w:val="00C26669"/>
    <w:rsid w:val="00C26C06"/>
    <w:rsid w:val="00C26D8A"/>
    <w:rsid w:val="00C2725B"/>
    <w:rsid w:val="00C27A3E"/>
    <w:rsid w:val="00C27C15"/>
    <w:rsid w:val="00C27F39"/>
    <w:rsid w:val="00C301A5"/>
    <w:rsid w:val="00C301B1"/>
    <w:rsid w:val="00C3049D"/>
    <w:rsid w:val="00C3164F"/>
    <w:rsid w:val="00C3194D"/>
    <w:rsid w:val="00C31C28"/>
    <w:rsid w:val="00C32083"/>
    <w:rsid w:val="00C32244"/>
    <w:rsid w:val="00C323EC"/>
    <w:rsid w:val="00C32811"/>
    <w:rsid w:val="00C32CC9"/>
    <w:rsid w:val="00C336EF"/>
    <w:rsid w:val="00C33779"/>
    <w:rsid w:val="00C33B96"/>
    <w:rsid w:val="00C3408C"/>
    <w:rsid w:val="00C34999"/>
    <w:rsid w:val="00C34AC3"/>
    <w:rsid w:val="00C34BA3"/>
    <w:rsid w:val="00C34FD5"/>
    <w:rsid w:val="00C350C9"/>
    <w:rsid w:val="00C3510F"/>
    <w:rsid w:val="00C35376"/>
    <w:rsid w:val="00C35407"/>
    <w:rsid w:val="00C36256"/>
    <w:rsid w:val="00C3628B"/>
    <w:rsid w:val="00C3630A"/>
    <w:rsid w:val="00C36608"/>
    <w:rsid w:val="00C36AB0"/>
    <w:rsid w:val="00C36F14"/>
    <w:rsid w:val="00C37287"/>
    <w:rsid w:val="00C3761B"/>
    <w:rsid w:val="00C3773B"/>
    <w:rsid w:val="00C37871"/>
    <w:rsid w:val="00C379F3"/>
    <w:rsid w:val="00C37E73"/>
    <w:rsid w:val="00C40492"/>
    <w:rsid w:val="00C40A1B"/>
    <w:rsid w:val="00C40C5F"/>
    <w:rsid w:val="00C41341"/>
    <w:rsid w:val="00C417CC"/>
    <w:rsid w:val="00C41C08"/>
    <w:rsid w:val="00C41C95"/>
    <w:rsid w:val="00C41D0D"/>
    <w:rsid w:val="00C42047"/>
    <w:rsid w:val="00C420B3"/>
    <w:rsid w:val="00C4230C"/>
    <w:rsid w:val="00C42435"/>
    <w:rsid w:val="00C42653"/>
    <w:rsid w:val="00C42752"/>
    <w:rsid w:val="00C427A1"/>
    <w:rsid w:val="00C427DE"/>
    <w:rsid w:val="00C43A30"/>
    <w:rsid w:val="00C43A96"/>
    <w:rsid w:val="00C43BDA"/>
    <w:rsid w:val="00C43C61"/>
    <w:rsid w:val="00C4401B"/>
    <w:rsid w:val="00C4427E"/>
    <w:rsid w:val="00C44455"/>
    <w:rsid w:val="00C44639"/>
    <w:rsid w:val="00C44C5A"/>
    <w:rsid w:val="00C4513A"/>
    <w:rsid w:val="00C4513B"/>
    <w:rsid w:val="00C4580C"/>
    <w:rsid w:val="00C45B7D"/>
    <w:rsid w:val="00C466C6"/>
    <w:rsid w:val="00C4692C"/>
    <w:rsid w:val="00C46C1A"/>
    <w:rsid w:val="00C46E72"/>
    <w:rsid w:val="00C46F0E"/>
    <w:rsid w:val="00C47081"/>
    <w:rsid w:val="00C470A7"/>
    <w:rsid w:val="00C470BD"/>
    <w:rsid w:val="00C47652"/>
    <w:rsid w:val="00C476EC"/>
    <w:rsid w:val="00C47A0B"/>
    <w:rsid w:val="00C47B1F"/>
    <w:rsid w:val="00C47FFA"/>
    <w:rsid w:val="00C5011E"/>
    <w:rsid w:val="00C501E4"/>
    <w:rsid w:val="00C5020D"/>
    <w:rsid w:val="00C50670"/>
    <w:rsid w:val="00C50CFE"/>
    <w:rsid w:val="00C50EC0"/>
    <w:rsid w:val="00C513DA"/>
    <w:rsid w:val="00C51529"/>
    <w:rsid w:val="00C51568"/>
    <w:rsid w:val="00C51682"/>
    <w:rsid w:val="00C516FE"/>
    <w:rsid w:val="00C518D5"/>
    <w:rsid w:val="00C51B06"/>
    <w:rsid w:val="00C52203"/>
    <w:rsid w:val="00C52689"/>
    <w:rsid w:val="00C52AF7"/>
    <w:rsid w:val="00C52C2C"/>
    <w:rsid w:val="00C52F15"/>
    <w:rsid w:val="00C52FDD"/>
    <w:rsid w:val="00C5318C"/>
    <w:rsid w:val="00C533AB"/>
    <w:rsid w:val="00C5395D"/>
    <w:rsid w:val="00C539A5"/>
    <w:rsid w:val="00C53F0D"/>
    <w:rsid w:val="00C54337"/>
    <w:rsid w:val="00C544E0"/>
    <w:rsid w:val="00C546F6"/>
    <w:rsid w:val="00C54A59"/>
    <w:rsid w:val="00C54B0F"/>
    <w:rsid w:val="00C54E4A"/>
    <w:rsid w:val="00C5519E"/>
    <w:rsid w:val="00C55541"/>
    <w:rsid w:val="00C556F9"/>
    <w:rsid w:val="00C559E0"/>
    <w:rsid w:val="00C56586"/>
    <w:rsid w:val="00C568B0"/>
    <w:rsid w:val="00C56F04"/>
    <w:rsid w:val="00C56FD5"/>
    <w:rsid w:val="00C5713B"/>
    <w:rsid w:val="00C57FED"/>
    <w:rsid w:val="00C60074"/>
    <w:rsid w:val="00C6015D"/>
    <w:rsid w:val="00C60557"/>
    <w:rsid w:val="00C605EA"/>
    <w:rsid w:val="00C6068F"/>
    <w:rsid w:val="00C60BE0"/>
    <w:rsid w:val="00C60C9C"/>
    <w:rsid w:val="00C61940"/>
    <w:rsid w:val="00C61957"/>
    <w:rsid w:val="00C61EC5"/>
    <w:rsid w:val="00C62109"/>
    <w:rsid w:val="00C6222B"/>
    <w:rsid w:val="00C62350"/>
    <w:rsid w:val="00C62B8E"/>
    <w:rsid w:val="00C63108"/>
    <w:rsid w:val="00C6326A"/>
    <w:rsid w:val="00C6383C"/>
    <w:rsid w:val="00C638FF"/>
    <w:rsid w:val="00C63A9D"/>
    <w:rsid w:val="00C63DC6"/>
    <w:rsid w:val="00C63F10"/>
    <w:rsid w:val="00C64500"/>
    <w:rsid w:val="00C6453E"/>
    <w:rsid w:val="00C6488A"/>
    <w:rsid w:val="00C64C99"/>
    <w:rsid w:val="00C657F6"/>
    <w:rsid w:val="00C65C8F"/>
    <w:rsid w:val="00C65E11"/>
    <w:rsid w:val="00C661E5"/>
    <w:rsid w:val="00C66384"/>
    <w:rsid w:val="00C66467"/>
    <w:rsid w:val="00C664D1"/>
    <w:rsid w:val="00C66761"/>
    <w:rsid w:val="00C66956"/>
    <w:rsid w:val="00C66D6F"/>
    <w:rsid w:val="00C66EB0"/>
    <w:rsid w:val="00C67740"/>
    <w:rsid w:val="00C67811"/>
    <w:rsid w:val="00C67860"/>
    <w:rsid w:val="00C67BC3"/>
    <w:rsid w:val="00C67FD3"/>
    <w:rsid w:val="00C70135"/>
    <w:rsid w:val="00C70AF4"/>
    <w:rsid w:val="00C70FC8"/>
    <w:rsid w:val="00C717EC"/>
    <w:rsid w:val="00C7194F"/>
    <w:rsid w:val="00C71B9C"/>
    <w:rsid w:val="00C71C75"/>
    <w:rsid w:val="00C71C82"/>
    <w:rsid w:val="00C71D70"/>
    <w:rsid w:val="00C71E80"/>
    <w:rsid w:val="00C72005"/>
    <w:rsid w:val="00C72123"/>
    <w:rsid w:val="00C72249"/>
    <w:rsid w:val="00C72320"/>
    <w:rsid w:val="00C72414"/>
    <w:rsid w:val="00C72684"/>
    <w:rsid w:val="00C727CC"/>
    <w:rsid w:val="00C7320D"/>
    <w:rsid w:val="00C73555"/>
    <w:rsid w:val="00C73834"/>
    <w:rsid w:val="00C73E08"/>
    <w:rsid w:val="00C742A6"/>
    <w:rsid w:val="00C74584"/>
    <w:rsid w:val="00C74E7C"/>
    <w:rsid w:val="00C75511"/>
    <w:rsid w:val="00C75FAC"/>
    <w:rsid w:val="00C76087"/>
    <w:rsid w:val="00C7619D"/>
    <w:rsid w:val="00C7623D"/>
    <w:rsid w:val="00C76864"/>
    <w:rsid w:val="00C76B31"/>
    <w:rsid w:val="00C76CB6"/>
    <w:rsid w:val="00C76EE0"/>
    <w:rsid w:val="00C772D1"/>
    <w:rsid w:val="00C77CF3"/>
    <w:rsid w:val="00C77DDB"/>
    <w:rsid w:val="00C77E03"/>
    <w:rsid w:val="00C80329"/>
    <w:rsid w:val="00C80651"/>
    <w:rsid w:val="00C8087D"/>
    <w:rsid w:val="00C80EB2"/>
    <w:rsid w:val="00C81081"/>
    <w:rsid w:val="00C8135A"/>
    <w:rsid w:val="00C81631"/>
    <w:rsid w:val="00C81AA9"/>
    <w:rsid w:val="00C81AD9"/>
    <w:rsid w:val="00C81E54"/>
    <w:rsid w:val="00C82082"/>
    <w:rsid w:val="00C822C7"/>
    <w:rsid w:val="00C82574"/>
    <w:rsid w:val="00C830D9"/>
    <w:rsid w:val="00C83101"/>
    <w:rsid w:val="00C83126"/>
    <w:rsid w:val="00C836E9"/>
    <w:rsid w:val="00C83973"/>
    <w:rsid w:val="00C839E4"/>
    <w:rsid w:val="00C83CD7"/>
    <w:rsid w:val="00C83DA2"/>
    <w:rsid w:val="00C8401D"/>
    <w:rsid w:val="00C84E3F"/>
    <w:rsid w:val="00C859E5"/>
    <w:rsid w:val="00C85C05"/>
    <w:rsid w:val="00C85C7D"/>
    <w:rsid w:val="00C8627D"/>
    <w:rsid w:val="00C86B52"/>
    <w:rsid w:val="00C86ECB"/>
    <w:rsid w:val="00C87262"/>
    <w:rsid w:val="00C8776B"/>
    <w:rsid w:val="00C878C9"/>
    <w:rsid w:val="00C879F7"/>
    <w:rsid w:val="00C87CA0"/>
    <w:rsid w:val="00C901FE"/>
    <w:rsid w:val="00C90EAA"/>
    <w:rsid w:val="00C91158"/>
    <w:rsid w:val="00C9118C"/>
    <w:rsid w:val="00C913CB"/>
    <w:rsid w:val="00C91769"/>
    <w:rsid w:val="00C9197F"/>
    <w:rsid w:val="00C924A5"/>
    <w:rsid w:val="00C92976"/>
    <w:rsid w:val="00C9297F"/>
    <w:rsid w:val="00C929F3"/>
    <w:rsid w:val="00C92A43"/>
    <w:rsid w:val="00C92AFA"/>
    <w:rsid w:val="00C92E27"/>
    <w:rsid w:val="00C93077"/>
    <w:rsid w:val="00C9384B"/>
    <w:rsid w:val="00C93908"/>
    <w:rsid w:val="00C93BCF"/>
    <w:rsid w:val="00C93BE1"/>
    <w:rsid w:val="00C93F3E"/>
    <w:rsid w:val="00C94494"/>
    <w:rsid w:val="00C946BE"/>
    <w:rsid w:val="00C94CEA"/>
    <w:rsid w:val="00C954DE"/>
    <w:rsid w:val="00C95774"/>
    <w:rsid w:val="00C9594E"/>
    <w:rsid w:val="00C961C4"/>
    <w:rsid w:val="00C9641E"/>
    <w:rsid w:val="00C967AF"/>
    <w:rsid w:val="00C96837"/>
    <w:rsid w:val="00C969CE"/>
    <w:rsid w:val="00C96A26"/>
    <w:rsid w:val="00C96B26"/>
    <w:rsid w:val="00C96BDD"/>
    <w:rsid w:val="00C96E09"/>
    <w:rsid w:val="00C97A3F"/>
    <w:rsid w:val="00CA005F"/>
    <w:rsid w:val="00CA0468"/>
    <w:rsid w:val="00CA051F"/>
    <w:rsid w:val="00CA09C0"/>
    <w:rsid w:val="00CA1165"/>
    <w:rsid w:val="00CA185E"/>
    <w:rsid w:val="00CA1905"/>
    <w:rsid w:val="00CA1A93"/>
    <w:rsid w:val="00CA1B81"/>
    <w:rsid w:val="00CA1D7C"/>
    <w:rsid w:val="00CA1DB8"/>
    <w:rsid w:val="00CA1EA7"/>
    <w:rsid w:val="00CA1EC2"/>
    <w:rsid w:val="00CA2512"/>
    <w:rsid w:val="00CA2552"/>
    <w:rsid w:val="00CA264D"/>
    <w:rsid w:val="00CA30CB"/>
    <w:rsid w:val="00CA34A2"/>
    <w:rsid w:val="00CA34D3"/>
    <w:rsid w:val="00CA364E"/>
    <w:rsid w:val="00CA37EE"/>
    <w:rsid w:val="00CA38D9"/>
    <w:rsid w:val="00CA45AD"/>
    <w:rsid w:val="00CA4B3C"/>
    <w:rsid w:val="00CA57EB"/>
    <w:rsid w:val="00CA5C05"/>
    <w:rsid w:val="00CA613B"/>
    <w:rsid w:val="00CA6B47"/>
    <w:rsid w:val="00CA6E96"/>
    <w:rsid w:val="00CA725E"/>
    <w:rsid w:val="00CA7649"/>
    <w:rsid w:val="00CA78C8"/>
    <w:rsid w:val="00CA7A08"/>
    <w:rsid w:val="00CA7F1D"/>
    <w:rsid w:val="00CB006A"/>
    <w:rsid w:val="00CB0343"/>
    <w:rsid w:val="00CB07AD"/>
    <w:rsid w:val="00CB0979"/>
    <w:rsid w:val="00CB09CE"/>
    <w:rsid w:val="00CB0E0F"/>
    <w:rsid w:val="00CB10A4"/>
    <w:rsid w:val="00CB1291"/>
    <w:rsid w:val="00CB12C4"/>
    <w:rsid w:val="00CB145D"/>
    <w:rsid w:val="00CB148E"/>
    <w:rsid w:val="00CB1DA2"/>
    <w:rsid w:val="00CB1EFB"/>
    <w:rsid w:val="00CB1F6B"/>
    <w:rsid w:val="00CB20AE"/>
    <w:rsid w:val="00CB26AF"/>
    <w:rsid w:val="00CB2749"/>
    <w:rsid w:val="00CB2B4C"/>
    <w:rsid w:val="00CB3137"/>
    <w:rsid w:val="00CB34E6"/>
    <w:rsid w:val="00CB391A"/>
    <w:rsid w:val="00CB39C9"/>
    <w:rsid w:val="00CB3D61"/>
    <w:rsid w:val="00CB4678"/>
    <w:rsid w:val="00CB4719"/>
    <w:rsid w:val="00CB4C42"/>
    <w:rsid w:val="00CB4CC2"/>
    <w:rsid w:val="00CB4DCC"/>
    <w:rsid w:val="00CB4DFB"/>
    <w:rsid w:val="00CB548C"/>
    <w:rsid w:val="00CB602E"/>
    <w:rsid w:val="00CB612C"/>
    <w:rsid w:val="00CB6145"/>
    <w:rsid w:val="00CB62FB"/>
    <w:rsid w:val="00CB646E"/>
    <w:rsid w:val="00CB6C52"/>
    <w:rsid w:val="00CB73A9"/>
    <w:rsid w:val="00CB7711"/>
    <w:rsid w:val="00CC0472"/>
    <w:rsid w:val="00CC0495"/>
    <w:rsid w:val="00CC09E1"/>
    <w:rsid w:val="00CC0F49"/>
    <w:rsid w:val="00CC11BC"/>
    <w:rsid w:val="00CC121C"/>
    <w:rsid w:val="00CC209C"/>
    <w:rsid w:val="00CC2298"/>
    <w:rsid w:val="00CC25AA"/>
    <w:rsid w:val="00CC2603"/>
    <w:rsid w:val="00CC29AB"/>
    <w:rsid w:val="00CC2B19"/>
    <w:rsid w:val="00CC2DF0"/>
    <w:rsid w:val="00CC3138"/>
    <w:rsid w:val="00CC3B94"/>
    <w:rsid w:val="00CC3D2F"/>
    <w:rsid w:val="00CC41DB"/>
    <w:rsid w:val="00CC453A"/>
    <w:rsid w:val="00CC45A9"/>
    <w:rsid w:val="00CC4B26"/>
    <w:rsid w:val="00CC4FEB"/>
    <w:rsid w:val="00CC533B"/>
    <w:rsid w:val="00CC53D3"/>
    <w:rsid w:val="00CC5A68"/>
    <w:rsid w:val="00CC67EB"/>
    <w:rsid w:val="00CC6D1F"/>
    <w:rsid w:val="00CC7236"/>
    <w:rsid w:val="00CC7C80"/>
    <w:rsid w:val="00CD028C"/>
    <w:rsid w:val="00CD04F3"/>
    <w:rsid w:val="00CD0B0F"/>
    <w:rsid w:val="00CD0BD0"/>
    <w:rsid w:val="00CD0CC8"/>
    <w:rsid w:val="00CD0E73"/>
    <w:rsid w:val="00CD0FB9"/>
    <w:rsid w:val="00CD0FEA"/>
    <w:rsid w:val="00CD14E7"/>
    <w:rsid w:val="00CD2449"/>
    <w:rsid w:val="00CD2BB5"/>
    <w:rsid w:val="00CD2BB7"/>
    <w:rsid w:val="00CD35AA"/>
    <w:rsid w:val="00CD3644"/>
    <w:rsid w:val="00CD3962"/>
    <w:rsid w:val="00CD3A8B"/>
    <w:rsid w:val="00CD3D2C"/>
    <w:rsid w:val="00CD4063"/>
    <w:rsid w:val="00CD4BAD"/>
    <w:rsid w:val="00CD4FA8"/>
    <w:rsid w:val="00CD51C5"/>
    <w:rsid w:val="00CD58AC"/>
    <w:rsid w:val="00CD591D"/>
    <w:rsid w:val="00CD6183"/>
    <w:rsid w:val="00CD67EE"/>
    <w:rsid w:val="00CD6813"/>
    <w:rsid w:val="00CD7DA7"/>
    <w:rsid w:val="00CE0478"/>
    <w:rsid w:val="00CE0637"/>
    <w:rsid w:val="00CE078F"/>
    <w:rsid w:val="00CE0AEE"/>
    <w:rsid w:val="00CE0F32"/>
    <w:rsid w:val="00CE0F71"/>
    <w:rsid w:val="00CE1046"/>
    <w:rsid w:val="00CE11AE"/>
    <w:rsid w:val="00CE11CB"/>
    <w:rsid w:val="00CE1941"/>
    <w:rsid w:val="00CE1BE9"/>
    <w:rsid w:val="00CE1D34"/>
    <w:rsid w:val="00CE1E5C"/>
    <w:rsid w:val="00CE1E67"/>
    <w:rsid w:val="00CE1FEC"/>
    <w:rsid w:val="00CE26D4"/>
    <w:rsid w:val="00CE272E"/>
    <w:rsid w:val="00CE29E8"/>
    <w:rsid w:val="00CE2BEE"/>
    <w:rsid w:val="00CE2C7F"/>
    <w:rsid w:val="00CE2E95"/>
    <w:rsid w:val="00CE2EE0"/>
    <w:rsid w:val="00CE3137"/>
    <w:rsid w:val="00CE344A"/>
    <w:rsid w:val="00CE3562"/>
    <w:rsid w:val="00CE3900"/>
    <w:rsid w:val="00CE4360"/>
    <w:rsid w:val="00CE44F6"/>
    <w:rsid w:val="00CE4708"/>
    <w:rsid w:val="00CE487F"/>
    <w:rsid w:val="00CE4B6F"/>
    <w:rsid w:val="00CE4DE9"/>
    <w:rsid w:val="00CE4F2B"/>
    <w:rsid w:val="00CE5257"/>
    <w:rsid w:val="00CE53F1"/>
    <w:rsid w:val="00CE54DD"/>
    <w:rsid w:val="00CE559D"/>
    <w:rsid w:val="00CE5CD3"/>
    <w:rsid w:val="00CE5FA0"/>
    <w:rsid w:val="00CE6C10"/>
    <w:rsid w:val="00CE6C93"/>
    <w:rsid w:val="00CE6D4A"/>
    <w:rsid w:val="00CE718C"/>
    <w:rsid w:val="00CE7B43"/>
    <w:rsid w:val="00CE7C16"/>
    <w:rsid w:val="00CE7F36"/>
    <w:rsid w:val="00CE7F67"/>
    <w:rsid w:val="00CF0009"/>
    <w:rsid w:val="00CF001B"/>
    <w:rsid w:val="00CF03DF"/>
    <w:rsid w:val="00CF0524"/>
    <w:rsid w:val="00CF05BC"/>
    <w:rsid w:val="00CF0705"/>
    <w:rsid w:val="00CF0791"/>
    <w:rsid w:val="00CF09C6"/>
    <w:rsid w:val="00CF0ABA"/>
    <w:rsid w:val="00CF0DAD"/>
    <w:rsid w:val="00CF11DC"/>
    <w:rsid w:val="00CF1470"/>
    <w:rsid w:val="00CF17F2"/>
    <w:rsid w:val="00CF1B79"/>
    <w:rsid w:val="00CF1EF3"/>
    <w:rsid w:val="00CF1F32"/>
    <w:rsid w:val="00CF2034"/>
    <w:rsid w:val="00CF232C"/>
    <w:rsid w:val="00CF2940"/>
    <w:rsid w:val="00CF3372"/>
    <w:rsid w:val="00CF33E8"/>
    <w:rsid w:val="00CF3761"/>
    <w:rsid w:val="00CF3AF7"/>
    <w:rsid w:val="00CF3CB3"/>
    <w:rsid w:val="00CF3E96"/>
    <w:rsid w:val="00CF40B7"/>
    <w:rsid w:val="00CF4194"/>
    <w:rsid w:val="00CF41F5"/>
    <w:rsid w:val="00CF44EC"/>
    <w:rsid w:val="00CF491C"/>
    <w:rsid w:val="00CF4A2F"/>
    <w:rsid w:val="00CF4CCC"/>
    <w:rsid w:val="00CF4D0E"/>
    <w:rsid w:val="00CF4FDC"/>
    <w:rsid w:val="00CF51B5"/>
    <w:rsid w:val="00CF53B6"/>
    <w:rsid w:val="00CF59A6"/>
    <w:rsid w:val="00CF5A16"/>
    <w:rsid w:val="00CF5C01"/>
    <w:rsid w:val="00CF7F8A"/>
    <w:rsid w:val="00D00014"/>
    <w:rsid w:val="00D001F6"/>
    <w:rsid w:val="00D00536"/>
    <w:rsid w:val="00D013F1"/>
    <w:rsid w:val="00D018D0"/>
    <w:rsid w:val="00D01AE3"/>
    <w:rsid w:val="00D020C7"/>
    <w:rsid w:val="00D0281F"/>
    <w:rsid w:val="00D028F9"/>
    <w:rsid w:val="00D02D91"/>
    <w:rsid w:val="00D03530"/>
    <w:rsid w:val="00D037CA"/>
    <w:rsid w:val="00D04923"/>
    <w:rsid w:val="00D04941"/>
    <w:rsid w:val="00D04BE9"/>
    <w:rsid w:val="00D04F39"/>
    <w:rsid w:val="00D0500B"/>
    <w:rsid w:val="00D05357"/>
    <w:rsid w:val="00D05D3F"/>
    <w:rsid w:val="00D06B78"/>
    <w:rsid w:val="00D070F8"/>
    <w:rsid w:val="00D0711B"/>
    <w:rsid w:val="00D0736B"/>
    <w:rsid w:val="00D07D1C"/>
    <w:rsid w:val="00D10969"/>
    <w:rsid w:val="00D109F0"/>
    <w:rsid w:val="00D10C71"/>
    <w:rsid w:val="00D11018"/>
    <w:rsid w:val="00D11060"/>
    <w:rsid w:val="00D11561"/>
    <w:rsid w:val="00D1159A"/>
    <w:rsid w:val="00D117F7"/>
    <w:rsid w:val="00D119BA"/>
    <w:rsid w:val="00D1221C"/>
    <w:rsid w:val="00D12871"/>
    <w:rsid w:val="00D12BC4"/>
    <w:rsid w:val="00D132D4"/>
    <w:rsid w:val="00D1366F"/>
    <w:rsid w:val="00D13702"/>
    <w:rsid w:val="00D13730"/>
    <w:rsid w:val="00D13D6F"/>
    <w:rsid w:val="00D14C78"/>
    <w:rsid w:val="00D14FE1"/>
    <w:rsid w:val="00D152CC"/>
    <w:rsid w:val="00D1533E"/>
    <w:rsid w:val="00D15458"/>
    <w:rsid w:val="00D15486"/>
    <w:rsid w:val="00D165EE"/>
    <w:rsid w:val="00D176B7"/>
    <w:rsid w:val="00D177BA"/>
    <w:rsid w:val="00D179F8"/>
    <w:rsid w:val="00D17B25"/>
    <w:rsid w:val="00D20132"/>
    <w:rsid w:val="00D204A3"/>
    <w:rsid w:val="00D2051D"/>
    <w:rsid w:val="00D208A9"/>
    <w:rsid w:val="00D20CCA"/>
    <w:rsid w:val="00D2136D"/>
    <w:rsid w:val="00D21DAC"/>
    <w:rsid w:val="00D22156"/>
    <w:rsid w:val="00D22CA6"/>
    <w:rsid w:val="00D22DC2"/>
    <w:rsid w:val="00D22E9C"/>
    <w:rsid w:val="00D23191"/>
    <w:rsid w:val="00D23739"/>
    <w:rsid w:val="00D2395B"/>
    <w:rsid w:val="00D23A7B"/>
    <w:rsid w:val="00D23CED"/>
    <w:rsid w:val="00D24140"/>
    <w:rsid w:val="00D24189"/>
    <w:rsid w:val="00D24243"/>
    <w:rsid w:val="00D24B06"/>
    <w:rsid w:val="00D2530C"/>
    <w:rsid w:val="00D25861"/>
    <w:rsid w:val="00D25A00"/>
    <w:rsid w:val="00D26590"/>
    <w:rsid w:val="00D266E2"/>
    <w:rsid w:val="00D2673D"/>
    <w:rsid w:val="00D26EFA"/>
    <w:rsid w:val="00D27265"/>
    <w:rsid w:val="00D27932"/>
    <w:rsid w:val="00D27F36"/>
    <w:rsid w:val="00D3039F"/>
    <w:rsid w:val="00D304C9"/>
    <w:rsid w:val="00D30575"/>
    <w:rsid w:val="00D30630"/>
    <w:rsid w:val="00D30E56"/>
    <w:rsid w:val="00D31067"/>
    <w:rsid w:val="00D31C8B"/>
    <w:rsid w:val="00D31EE1"/>
    <w:rsid w:val="00D3200B"/>
    <w:rsid w:val="00D32072"/>
    <w:rsid w:val="00D3221B"/>
    <w:rsid w:val="00D32221"/>
    <w:rsid w:val="00D32223"/>
    <w:rsid w:val="00D32ED7"/>
    <w:rsid w:val="00D332D5"/>
    <w:rsid w:val="00D33508"/>
    <w:rsid w:val="00D3357B"/>
    <w:rsid w:val="00D33699"/>
    <w:rsid w:val="00D3379A"/>
    <w:rsid w:val="00D33A04"/>
    <w:rsid w:val="00D33CA1"/>
    <w:rsid w:val="00D344C7"/>
    <w:rsid w:val="00D34519"/>
    <w:rsid w:val="00D346EF"/>
    <w:rsid w:val="00D34881"/>
    <w:rsid w:val="00D34B94"/>
    <w:rsid w:val="00D34F40"/>
    <w:rsid w:val="00D353B4"/>
    <w:rsid w:val="00D35B2A"/>
    <w:rsid w:val="00D365AF"/>
    <w:rsid w:val="00D36646"/>
    <w:rsid w:val="00D367E6"/>
    <w:rsid w:val="00D36E33"/>
    <w:rsid w:val="00D36EA5"/>
    <w:rsid w:val="00D37346"/>
    <w:rsid w:val="00D373B5"/>
    <w:rsid w:val="00D37A80"/>
    <w:rsid w:val="00D37C6F"/>
    <w:rsid w:val="00D37D96"/>
    <w:rsid w:val="00D4013B"/>
    <w:rsid w:val="00D4043C"/>
    <w:rsid w:val="00D4064B"/>
    <w:rsid w:val="00D40B64"/>
    <w:rsid w:val="00D40BA5"/>
    <w:rsid w:val="00D41112"/>
    <w:rsid w:val="00D418EA"/>
    <w:rsid w:val="00D419EF"/>
    <w:rsid w:val="00D41A8A"/>
    <w:rsid w:val="00D41AF0"/>
    <w:rsid w:val="00D41F73"/>
    <w:rsid w:val="00D420CD"/>
    <w:rsid w:val="00D42ADE"/>
    <w:rsid w:val="00D42B41"/>
    <w:rsid w:val="00D4317C"/>
    <w:rsid w:val="00D43715"/>
    <w:rsid w:val="00D43AE6"/>
    <w:rsid w:val="00D43B3C"/>
    <w:rsid w:val="00D43E2B"/>
    <w:rsid w:val="00D43E36"/>
    <w:rsid w:val="00D43FC7"/>
    <w:rsid w:val="00D454DE"/>
    <w:rsid w:val="00D4571D"/>
    <w:rsid w:val="00D4577C"/>
    <w:rsid w:val="00D4587A"/>
    <w:rsid w:val="00D45A44"/>
    <w:rsid w:val="00D45E2B"/>
    <w:rsid w:val="00D4606B"/>
    <w:rsid w:val="00D46668"/>
    <w:rsid w:val="00D46823"/>
    <w:rsid w:val="00D46ABA"/>
    <w:rsid w:val="00D46E78"/>
    <w:rsid w:val="00D46F3A"/>
    <w:rsid w:val="00D47BD2"/>
    <w:rsid w:val="00D50577"/>
    <w:rsid w:val="00D50709"/>
    <w:rsid w:val="00D50726"/>
    <w:rsid w:val="00D5091A"/>
    <w:rsid w:val="00D50A73"/>
    <w:rsid w:val="00D50C6A"/>
    <w:rsid w:val="00D50F8E"/>
    <w:rsid w:val="00D51065"/>
    <w:rsid w:val="00D51B49"/>
    <w:rsid w:val="00D520A6"/>
    <w:rsid w:val="00D52ED1"/>
    <w:rsid w:val="00D53079"/>
    <w:rsid w:val="00D5309F"/>
    <w:rsid w:val="00D530B4"/>
    <w:rsid w:val="00D5311E"/>
    <w:rsid w:val="00D532AA"/>
    <w:rsid w:val="00D53BE0"/>
    <w:rsid w:val="00D540F1"/>
    <w:rsid w:val="00D5472C"/>
    <w:rsid w:val="00D54C54"/>
    <w:rsid w:val="00D54CDC"/>
    <w:rsid w:val="00D54DFA"/>
    <w:rsid w:val="00D55053"/>
    <w:rsid w:val="00D55137"/>
    <w:rsid w:val="00D551B7"/>
    <w:rsid w:val="00D552A0"/>
    <w:rsid w:val="00D55337"/>
    <w:rsid w:val="00D55CE5"/>
    <w:rsid w:val="00D55DBC"/>
    <w:rsid w:val="00D55DCF"/>
    <w:rsid w:val="00D55F15"/>
    <w:rsid w:val="00D56217"/>
    <w:rsid w:val="00D56301"/>
    <w:rsid w:val="00D56455"/>
    <w:rsid w:val="00D5698F"/>
    <w:rsid w:val="00D57768"/>
    <w:rsid w:val="00D57C7E"/>
    <w:rsid w:val="00D57CC0"/>
    <w:rsid w:val="00D602DA"/>
    <w:rsid w:val="00D60D30"/>
    <w:rsid w:val="00D61865"/>
    <w:rsid w:val="00D61B58"/>
    <w:rsid w:val="00D6209C"/>
    <w:rsid w:val="00D62573"/>
    <w:rsid w:val="00D6284A"/>
    <w:rsid w:val="00D62DBB"/>
    <w:rsid w:val="00D6395E"/>
    <w:rsid w:val="00D63B7C"/>
    <w:rsid w:val="00D654C8"/>
    <w:rsid w:val="00D6550D"/>
    <w:rsid w:val="00D6595A"/>
    <w:rsid w:val="00D65A83"/>
    <w:rsid w:val="00D65EF7"/>
    <w:rsid w:val="00D6641F"/>
    <w:rsid w:val="00D66590"/>
    <w:rsid w:val="00D66B2E"/>
    <w:rsid w:val="00D66B88"/>
    <w:rsid w:val="00D66E59"/>
    <w:rsid w:val="00D6731B"/>
    <w:rsid w:val="00D677F2"/>
    <w:rsid w:val="00D70019"/>
    <w:rsid w:val="00D70556"/>
    <w:rsid w:val="00D70617"/>
    <w:rsid w:val="00D70A65"/>
    <w:rsid w:val="00D70D91"/>
    <w:rsid w:val="00D712AA"/>
    <w:rsid w:val="00D71440"/>
    <w:rsid w:val="00D71643"/>
    <w:rsid w:val="00D72456"/>
    <w:rsid w:val="00D72461"/>
    <w:rsid w:val="00D7277F"/>
    <w:rsid w:val="00D7282C"/>
    <w:rsid w:val="00D72945"/>
    <w:rsid w:val="00D72998"/>
    <w:rsid w:val="00D72CBF"/>
    <w:rsid w:val="00D72FF1"/>
    <w:rsid w:val="00D730CF"/>
    <w:rsid w:val="00D73859"/>
    <w:rsid w:val="00D73C0A"/>
    <w:rsid w:val="00D74051"/>
    <w:rsid w:val="00D7405B"/>
    <w:rsid w:val="00D74313"/>
    <w:rsid w:val="00D74419"/>
    <w:rsid w:val="00D749A3"/>
    <w:rsid w:val="00D74AC2"/>
    <w:rsid w:val="00D74C69"/>
    <w:rsid w:val="00D74C87"/>
    <w:rsid w:val="00D74F44"/>
    <w:rsid w:val="00D74FDE"/>
    <w:rsid w:val="00D7560E"/>
    <w:rsid w:val="00D75673"/>
    <w:rsid w:val="00D75A17"/>
    <w:rsid w:val="00D765E0"/>
    <w:rsid w:val="00D772CF"/>
    <w:rsid w:val="00D77309"/>
    <w:rsid w:val="00D77B1F"/>
    <w:rsid w:val="00D77D5A"/>
    <w:rsid w:val="00D77DA8"/>
    <w:rsid w:val="00D8037E"/>
    <w:rsid w:val="00D804FA"/>
    <w:rsid w:val="00D8057E"/>
    <w:rsid w:val="00D8058F"/>
    <w:rsid w:val="00D8068B"/>
    <w:rsid w:val="00D806C0"/>
    <w:rsid w:val="00D80B73"/>
    <w:rsid w:val="00D812A8"/>
    <w:rsid w:val="00D814F4"/>
    <w:rsid w:val="00D81761"/>
    <w:rsid w:val="00D8254F"/>
    <w:rsid w:val="00D8255B"/>
    <w:rsid w:val="00D825C3"/>
    <w:rsid w:val="00D82F7A"/>
    <w:rsid w:val="00D83C2D"/>
    <w:rsid w:val="00D83C31"/>
    <w:rsid w:val="00D83D37"/>
    <w:rsid w:val="00D83EDB"/>
    <w:rsid w:val="00D83FE9"/>
    <w:rsid w:val="00D840AD"/>
    <w:rsid w:val="00D8440F"/>
    <w:rsid w:val="00D8474D"/>
    <w:rsid w:val="00D84801"/>
    <w:rsid w:val="00D84813"/>
    <w:rsid w:val="00D84848"/>
    <w:rsid w:val="00D84B67"/>
    <w:rsid w:val="00D84BAB"/>
    <w:rsid w:val="00D84CC8"/>
    <w:rsid w:val="00D84DB8"/>
    <w:rsid w:val="00D85984"/>
    <w:rsid w:val="00D85F3F"/>
    <w:rsid w:val="00D860EB"/>
    <w:rsid w:val="00D86634"/>
    <w:rsid w:val="00D866CC"/>
    <w:rsid w:val="00D86936"/>
    <w:rsid w:val="00D86E2D"/>
    <w:rsid w:val="00D86E95"/>
    <w:rsid w:val="00D8713F"/>
    <w:rsid w:val="00D874CC"/>
    <w:rsid w:val="00D901F1"/>
    <w:rsid w:val="00D90450"/>
    <w:rsid w:val="00D9058A"/>
    <w:rsid w:val="00D905AE"/>
    <w:rsid w:val="00D90AE0"/>
    <w:rsid w:val="00D90C0F"/>
    <w:rsid w:val="00D911B9"/>
    <w:rsid w:val="00D91626"/>
    <w:rsid w:val="00D91714"/>
    <w:rsid w:val="00D91FB5"/>
    <w:rsid w:val="00D9361C"/>
    <w:rsid w:val="00D93883"/>
    <w:rsid w:val="00D938B9"/>
    <w:rsid w:val="00D94223"/>
    <w:rsid w:val="00D9433B"/>
    <w:rsid w:val="00D9494C"/>
    <w:rsid w:val="00D94A78"/>
    <w:rsid w:val="00D94B85"/>
    <w:rsid w:val="00D94C23"/>
    <w:rsid w:val="00D94E3A"/>
    <w:rsid w:val="00D95439"/>
    <w:rsid w:val="00D957BD"/>
    <w:rsid w:val="00D95D9D"/>
    <w:rsid w:val="00D9637A"/>
    <w:rsid w:val="00D96515"/>
    <w:rsid w:val="00D96B1F"/>
    <w:rsid w:val="00D97016"/>
    <w:rsid w:val="00D973C2"/>
    <w:rsid w:val="00D97478"/>
    <w:rsid w:val="00D97628"/>
    <w:rsid w:val="00DA04D4"/>
    <w:rsid w:val="00DA1071"/>
    <w:rsid w:val="00DA10CA"/>
    <w:rsid w:val="00DA169A"/>
    <w:rsid w:val="00DA1B69"/>
    <w:rsid w:val="00DA1B82"/>
    <w:rsid w:val="00DA1D03"/>
    <w:rsid w:val="00DA1D9A"/>
    <w:rsid w:val="00DA20C4"/>
    <w:rsid w:val="00DA2582"/>
    <w:rsid w:val="00DA2C63"/>
    <w:rsid w:val="00DA3007"/>
    <w:rsid w:val="00DA3A8C"/>
    <w:rsid w:val="00DA3AA3"/>
    <w:rsid w:val="00DA3EA8"/>
    <w:rsid w:val="00DA4465"/>
    <w:rsid w:val="00DA44B8"/>
    <w:rsid w:val="00DA44C1"/>
    <w:rsid w:val="00DA4864"/>
    <w:rsid w:val="00DA5223"/>
    <w:rsid w:val="00DA5E72"/>
    <w:rsid w:val="00DA633F"/>
    <w:rsid w:val="00DA6650"/>
    <w:rsid w:val="00DA6662"/>
    <w:rsid w:val="00DA7070"/>
    <w:rsid w:val="00DA70A6"/>
    <w:rsid w:val="00DA72E9"/>
    <w:rsid w:val="00DA78FC"/>
    <w:rsid w:val="00DA7900"/>
    <w:rsid w:val="00DA7AD1"/>
    <w:rsid w:val="00DB053B"/>
    <w:rsid w:val="00DB0A25"/>
    <w:rsid w:val="00DB109B"/>
    <w:rsid w:val="00DB133D"/>
    <w:rsid w:val="00DB1A99"/>
    <w:rsid w:val="00DB1B25"/>
    <w:rsid w:val="00DB1F42"/>
    <w:rsid w:val="00DB203F"/>
    <w:rsid w:val="00DB2BDE"/>
    <w:rsid w:val="00DB2DF0"/>
    <w:rsid w:val="00DB2FB9"/>
    <w:rsid w:val="00DB2FCC"/>
    <w:rsid w:val="00DB2FE8"/>
    <w:rsid w:val="00DB31D6"/>
    <w:rsid w:val="00DB3331"/>
    <w:rsid w:val="00DB395E"/>
    <w:rsid w:val="00DB3EAA"/>
    <w:rsid w:val="00DB445F"/>
    <w:rsid w:val="00DB5116"/>
    <w:rsid w:val="00DB53F2"/>
    <w:rsid w:val="00DB5732"/>
    <w:rsid w:val="00DB583C"/>
    <w:rsid w:val="00DB5B84"/>
    <w:rsid w:val="00DB5E82"/>
    <w:rsid w:val="00DB5FD5"/>
    <w:rsid w:val="00DB6962"/>
    <w:rsid w:val="00DB6C7C"/>
    <w:rsid w:val="00DB6E1E"/>
    <w:rsid w:val="00DB720F"/>
    <w:rsid w:val="00DB7C66"/>
    <w:rsid w:val="00DC00FC"/>
    <w:rsid w:val="00DC022A"/>
    <w:rsid w:val="00DC0463"/>
    <w:rsid w:val="00DC04EF"/>
    <w:rsid w:val="00DC0E7D"/>
    <w:rsid w:val="00DC1220"/>
    <w:rsid w:val="00DC1326"/>
    <w:rsid w:val="00DC139F"/>
    <w:rsid w:val="00DC145C"/>
    <w:rsid w:val="00DC1713"/>
    <w:rsid w:val="00DC19AF"/>
    <w:rsid w:val="00DC1B37"/>
    <w:rsid w:val="00DC1EDE"/>
    <w:rsid w:val="00DC2072"/>
    <w:rsid w:val="00DC2271"/>
    <w:rsid w:val="00DC22CD"/>
    <w:rsid w:val="00DC2D6E"/>
    <w:rsid w:val="00DC2FFE"/>
    <w:rsid w:val="00DC3B27"/>
    <w:rsid w:val="00DC4755"/>
    <w:rsid w:val="00DC4C70"/>
    <w:rsid w:val="00DC55CC"/>
    <w:rsid w:val="00DC56A8"/>
    <w:rsid w:val="00DC5708"/>
    <w:rsid w:val="00DC5B32"/>
    <w:rsid w:val="00DC5E21"/>
    <w:rsid w:val="00DC5FD3"/>
    <w:rsid w:val="00DC6E30"/>
    <w:rsid w:val="00DC6EB2"/>
    <w:rsid w:val="00DC7025"/>
    <w:rsid w:val="00DC716E"/>
    <w:rsid w:val="00DC7B56"/>
    <w:rsid w:val="00DC7E85"/>
    <w:rsid w:val="00DD0081"/>
    <w:rsid w:val="00DD044E"/>
    <w:rsid w:val="00DD04D0"/>
    <w:rsid w:val="00DD0CD8"/>
    <w:rsid w:val="00DD0D78"/>
    <w:rsid w:val="00DD0EDF"/>
    <w:rsid w:val="00DD0EE7"/>
    <w:rsid w:val="00DD0F0B"/>
    <w:rsid w:val="00DD1C14"/>
    <w:rsid w:val="00DD1DDE"/>
    <w:rsid w:val="00DD2092"/>
    <w:rsid w:val="00DD20DA"/>
    <w:rsid w:val="00DD2170"/>
    <w:rsid w:val="00DD2225"/>
    <w:rsid w:val="00DD2371"/>
    <w:rsid w:val="00DD23D5"/>
    <w:rsid w:val="00DD3189"/>
    <w:rsid w:val="00DD342D"/>
    <w:rsid w:val="00DD3A7C"/>
    <w:rsid w:val="00DD414D"/>
    <w:rsid w:val="00DD4816"/>
    <w:rsid w:val="00DD5774"/>
    <w:rsid w:val="00DD598D"/>
    <w:rsid w:val="00DD5EF8"/>
    <w:rsid w:val="00DD60FB"/>
    <w:rsid w:val="00DD6287"/>
    <w:rsid w:val="00DD6690"/>
    <w:rsid w:val="00DD695C"/>
    <w:rsid w:val="00DD72CE"/>
    <w:rsid w:val="00DD781A"/>
    <w:rsid w:val="00DE06A6"/>
    <w:rsid w:val="00DE07FC"/>
    <w:rsid w:val="00DE0881"/>
    <w:rsid w:val="00DE0CCD"/>
    <w:rsid w:val="00DE0E76"/>
    <w:rsid w:val="00DE0F7D"/>
    <w:rsid w:val="00DE196D"/>
    <w:rsid w:val="00DE21C9"/>
    <w:rsid w:val="00DE2242"/>
    <w:rsid w:val="00DE274B"/>
    <w:rsid w:val="00DE2830"/>
    <w:rsid w:val="00DE2A4B"/>
    <w:rsid w:val="00DE2CAE"/>
    <w:rsid w:val="00DE325B"/>
    <w:rsid w:val="00DE38ED"/>
    <w:rsid w:val="00DE39FE"/>
    <w:rsid w:val="00DE3A88"/>
    <w:rsid w:val="00DE3E41"/>
    <w:rsid w:val="00DE4188"/>
    <w:rsid w:val="00DE4800"/>
    <w:rsid w:val="00DE4BA3"/>
    <w:rsid w:val="00DE4D51"/>
    <w:rsid w:val="00DE524D"/>
    <w:rsid w:val="00DE587B"/>
    <w:rsid w:val="00DE5A97"/>
    <w:rsid w:val="00DE5AEA"/>
    <w:rsid w:val="00DE62FB"/>
    <w:rsid w:val="00DE6823"/>
    <w:rsid w:val="00DE6A4C"/>
    <w:rsid w:val="00DE6B29"/>
    <w:rsid w:val="00DE6FDA"/>
    <w:rsid w:val="00DE7520"/>
    <w:rsid w:val="00DE793D"/>
    <w:rsid w:val="00DE7B67"/>
    <w:rsid w:val="00DF014C"/>
    <w:rsid w:val="00DF0560"/>
    <w:rsid w:val="00DF08BF"/>
    <w:rsid w:val="00DF0AD7"/>
    <w:rsid w:val="00DF0E27"/>
    <w:rsid w:val="00DF124A"/>
    <w:rsid w:val="00DF13A6"/>
    <w:rsid w:val="00DF1406"/>
    <w:rsid w:val="00DF20E8"/>
    <w:rsid w:val="00DF214F"/>
    <w:rsid w:val="00DF255F"/>
    <w:rsid w:val="00DF25CB"/>
    <w:rsid w:val="00DF290F"/>
    <w:rsid w:val="00DF2BB2"/>
    <w:rsid w:val="00DF2D6D"/>
    <w:rsid w:val="00DF3D3D"/>
    <w:rsid w:val="00DF3EA1"/>
    <w:rsid w:val="00DF4146"/>
    <w:rsid w:val="00DF4760"/>
    <w:rsid w:val="00DF4CFF"/>
    <w:rsid w:val="00DF4F2F"/>
    <w:rsid w:val="00DF52D3"/>
    <w:rsid w:val="00DF59E0"/>
    <w:rsid w:val="00DF5B88"/>
    <w:rsid w:val="00DF5C5E"/>
    <w:rsid w:val="00DF5CAB"/>
    <w:rsid w:val="00DF5E96"/>
    <w:rsid w:val="00DF6099"/>
    <w:rsid w:val="00DF61FF"/>
    <w:rsid w:val="00DF62EF"/>
    <w:rsid w:val="00DF6704"/>
    <w:rsid w:val="00DF6F63"/>
    <w:rsid w:val="00DF6FD6"/>
    <w:rsid w:val="00DF7088"/>
    <w:rsid w:val="00DF749E"/>
    <w:rsid w:val="00DF767F"/>
    <w:rsid w:val="00DF788D"/>
    <w:rsid w:val="00DF7C7F"/>
    <w:rsid w:val="00DF7CC0"/>
    <w:rsid w:val="00E00665"/>
    <w:rsid w:val="00E009D6"/>
    <w:rsid w:val="00E00A91"/>
    <w:rsid w:val="00E00B91"/>
    <w:rsid w:val="00E01416"/>
    <w:rsid w:val="00E01D41"/>
    <w:rsid w:val="00E02683"/>
    <w:rsid w:val="00E026B9"/>
    <w:rsid w:val="00E02A06"/>
    <w:rsid w:val="00E02CE5"/>
    <w:rsid w:val="00E02D7F"/>
    <w:rsid w:val="00E02E88"/>
    <w:rsid w:val="00E03069"/>
    <w:rsid w:val="00E037C4"/>
    <w:rsid w:val="00E044AF"/>
    <w:rsid w:val="00E0472A"/>
    <w:rsid w:val="00E04B84"/>
    <w:rsid w:val="00E04DC5"/>
    <w:rsid w:val="00E055E8"/>
    <w:rsid w:val="00E056B7"/>
    <w:rsid w:val="00E059F4"/>
    <w:rsid w:val="00E05E5F"/>
    <w:rsid w:val="00E06039"/>
    <w:rsid w:val="00E06135"/>
    <w:rsid w:val="00E064ED"/>
    <w:rsid w:val="00E06A51"/>
    <w:rsid w:val="00E06CE5"/>
    <w:rsid w:val="00E071E7"/>
    <w:rsid w:val="00E0765C"/>
    <w:rsid w:val="00E07665"/>
    <w:rsid w:val="00E079D3"/>
    <w:rsid w:val="00E07F90"/>
    <w:rsid w:val="00E1003A"/>
    <w:rsid w:val="00E11937"/>
    <w:rsid w:val="00E11D9E"/>
    <w:rsid w:val="00E120F7"/>
    <w:rsid w:val="00E1242C"/>
    <w:rsid w:val="00E12702"/>
    <w:rsid w:val="00E12A04"/>
    <w:rsid w:val="00E1327D"/>
    <w:rsid w:val="00E13A3E"/>
    <w:rsid w:val="00E13D10"/>
    <w:rsid w:val="00E14096"/>
    <w:rsid w:val="00E146C7"/>
    <w:rsid w:val="00E14A0B"/>
    <w:rsid w:val="00E14ABA"/>
    <w:rsid w:val="00E14BAE"/>
    <w:rsid w:val="00E14E33"/>
    <w:rsid w:val="00E1515B"/>
    <w:rsid w:val="00E15622"/>
    <w:rsid w:val="00E1585A"/>
    <w:rsid w:val="00E15A62"/>
    <w:rsid w:val="00E15BEE"/>
    <w:rsid w:val="00E16478"/>
    <w:rsid w:val="00E16922"/>
    <w:rsid w:val="00E16CC5"/>
    <w:rsid w:val="00E16FE1"/>
    <w:rsid w:val="00E170D5"/>
    <w:rsid w:val="00E172F2"/>
    <w:rsid w:val="00E17730"/>
    <w:rsid w:val="00E17AC7"/>
    <w:rsid w:val="00E17C4E"/>
    <w:rsid w:val="00E17E18"/>
    <w:rsid w:val="00E17E57"/>
    <w:rsid w:val="00E17FFC"/>
    <w:rsid w:val="00E20094"/>
    <w:rsid w:val="00E20543"/>
    <w:rsid w:val="00E20FE3"/>
    <w:rsid w:val="00E21023"/>
    <w:rsid w:val="00E21458"/>
    <w:rsid w:val="00E216EA"/>
    <w:rsid w:val="00E21D4B"/>
    <w:rsid w:val="00E21E67"/>
    <w:rsid w:val="00E225F0"/>
    <w:rsid w:val="00E22AD4"/>
    <w:rsid w:val="00E22DDD"/>
    <w:rsid w:val="00E231E3"/>
    <w:rsid w:val="00E23292"/>
    <w:rsid w:val="00E2343A"/>
    <w:rsid w:val="00E23854"/>
    <w:rsid w:val="00E238A4"/>
    <w:rsid w:val="00E239F0"/>
    <w:rsid w:val="00E24EC4"/>
    <w:rsid w:val="00E252BB"/>
    <w:rsid w:val="00E2555B"/>
    <w:rsid w:val="00E25C94"/>
    <w:rsid w:val="00E260FE"/>
    <w:rsid w:val="00E261F9"/>
    <w:rsid w:val="00E26324"/>
    <w:rsid w:val="00E2650A"/>
    <w:rsid w:val="00E26B75"/>
    <w:rsid w:val="00E26B99"/>
    <w:rsid w:val="00E2731C"/>
    <w:rsid w:val="00E27551"/>
    <w:rsid w:val="00E2764F"/>
    <w:rsid w:val="00E303D3"/>
    <w:rsid w:val="00E3096E"/>
    <w:rsid w:val="00E30F64"/>
    <w:rsid w:val="00E314AE"/>
    <w:rsid w:val="00E316AE"/>
    <w:rsid w:val="00E319DB"/>
    <w:rsid w:val="00E31C47"/>
    <w:rsid w:val="00E31D33"/>
    <w:rsid w:val="00E32452"/>
    <w:rsid w:val="00E3275E"/>
    <w:rsid w:val="00E3282C"/>
    <w:rsid w:val="00E32A86"/>
    <w:rsid w:val="00E32FCB"/>
    <w:rsid w:val="00E333D1"/>
    <w:rsid w:val="00E341D2"/>
    <w:rsid w:val="00E342BF"/>
    <w:rsid w:val="00E3431C"/>
    <w:rsid w:val="00E34920"/>
    <w:rsid w:val="00E34CE6"/>
    <w:rsid w:val="00E35364"/>
    <w:rsid w:val="00E35577"/>
    <w:rsid w:val="00E359F1"/>
    <w:rsid w:val="00E35C18"/>
    <w:rsid w:val="00E361CB"/>
    <w:rsid w:val="00E3635C"/>
    <w:rsid w:val="00E3636B"/>
    <w:rsid w:val="00E36786"/>
    <w:rsid w:val="00E36A2A"/>
    <w:rsid w:val="00E36BC4"/>
    <w:rsid w:val="00E36F8A"/>
    <w:rsid w:val="00E36FA9"/>
    <w:rsid w:val="00E3759C"/>
    <w:rsid w:val="00E37D25"/>
    <w:rsid w:val="00E40809"/>
    <w:rsid w:val="00E40BFF"/>
    <w:rsid w:val="00E40DB4"/>
    <w:rsid w:val="00E40EBC"/>
    <w:rsid w:val="00E4139C"/>
    <w:rsid w:val="00E417F6"/>
    <w:rsid w:val="00E41CF6"/>
    <w:rsid w:val="00E42618"/>
    <w:rsid w:val="00E42FDD"/>
    <w:rsid w:val="00E4381D"/>
    <w:rsid w:val="00E4393C"/>
    <w:rsid w:val="00E439DC"/>
    <w:rsid w:val="00E43D78"/>
    <w:rsid w:val="00E43E74"/>
    <w:rsid w:val="00E43EBA"/>
    <w:rsid w:val="00E43FD6"/>
    <w:rsid w:val="00E4419F"/>
    <w:rsid w:val="00E441DA"/>
    <w:rsid w:val="00E444DB"/>
    <w:rsid w:val="00E445D3"/>
    <w:rsid w:val="00E447B4"/>
    <w:rsid w:val="00E44C09"/>
    <w:rsid w:val="00E4509A"/>
    <w:rsid w:val="00E4510C"/>
    <w:rsid w:val="00E45FE4"/>
    <w:rsid w:val="00E461EE"/>
    <w:rsid w:val="00E471F8"/>
    <w:rsid w:val="00E4751D"/>
    <w:rsid w:val="00E47B61"/>
    <w:rsid w:val="00E506AA"/>
    <w:rsid w:val="00E50B80"/>
    <w:rsid w:val="00E51473"/>
    <w:rsid w:val="00E514B6"/>
    <w:rsid w:val="00E52928"/>
    <w:rsid w:val="00E52975"/>
    <w:rsid w:val="00E538B8"/>
    <w:rsid w:val="00E539A5"/>
    <w:rsid w:val="00E53DDF"/>
    <w:rsid w:val="00E53FAE"/>
    <w:rsid w:val="00E54063"/>
    <w:rsid w:val="00E5416D"/>
    <w:rsid w:val="00E54539"/>
    <w:rsid w:val="00E54948"/>
    <w:rsid w:val="00E54F8F"/>
    <w:rsid w:val="00E551AF"/>
    <w:rsid w:val="00E55A90"/>
    <w:rsid w:val="00E55E1A"/>
    <w:rsid w:val="00E569FB"/>
    <w:rsid w:val="00E56B68"/>
    <w:rsid w:val="00E56DB6"/>
    <w:rsid w:val="00E57EC4"/>
    <w:rsid w:val="00E600F0"/>
    <w:rsid w:val="00E60684"/>
    <w:rsid w:val="00E606B5"/>
    <w:rsid w:val="00E6085A"/>
    <w:rsid w:val="00E609DB"/>
    <w:rsid w:val="00E6140D"/>
    <w:rsid w:val="00E6230E"/>
    <w:rsid w:val="00E62758"/>
    <w:rsid w:val="00E6290F"/>
    <w:rsid w:val="00E636A2"/>
    <w:rsid w:val="00E637A8"/>
    <w:rsid w:val="00E637B2"/>
    <w:rsid w:val="00E63B34"/>
    <w:rsid w:val="00E63C22"/>
    <w:rsid w:val="00E63D6C"/>
    <w:rsid w:val="00E63F2E"/>
    <w:rsid w:val="00E64136"/>
    <w:rsid w:val="00E64721"/>
    <w:rsid w:val="00E64B82"/>
    <w:rsid w:val="00E65179"/>
    <w:rsid w:val="00E65195"/>
    <w:rsid w:val="00E65661"/>
    <w:rsid w:val="00E65A73"/>
    <w:rsid w:val="00E65B1C"/>
    <w:rsid w:val="00E66055"/>
    <w:rsid w:val="00E666E2"/>
    <w:rsid w:val="00E6680B"/>
    <w:rsid w:val="00E66856"/>
    <w:rsid w:val="00E668EB"/>
    <w:rsid w:val="00E67059"/>
    <w:rsid w:val="00E67DD3"/>
    <w:rsid w:val="00E67F72"/>
    <w:rsid w:val="00E70283"/>
    <w:rsid w:val="00E70379"/>
    <w:rsid w:val="00E70F9A"/>
    <w:rsid w:val="00E710BB"/>
    <w:rsid w:val="00E7252D"/>
    <w:rsid w:val="00E7262F"/>
    <w:rsid w:val="00E72E45"/>
    <w:rsid w:val="00E72EAE"/>
    <w:rsid w:val="00E73D42"/>
    <w:rsid w:val="00E74368"/>
    <w:rsid w:val="00E745C9"/>
    <w:rsid w:val="00E74903"/>
    <w:rsid w:val="00E74AEE"/>
    <w:rsid w:val="00E74BE7"/>
    <w:rsid w:val="00E74D81"/>
    <w:rsid w:val="00E75381"/>
    <w:rsid w:val="00E7548A"/>
    <w:rsid w:val="00E75BE2"/>
    <w:rsid w:val="00E75CFD"/>
    <w:rsid w:val="00E75E6D"/>
    <w:rsid w:val="00E760E4"/>
    <w:rsid w:val="00E7616E"/>
    <w:rsid w:val="00E763CF"/>
    <w:rsid w:val="00E76A2B"/>
    <w:rsid w:val="00E77016"/>
    <w:rsid w:val="00E77602"/>
    <w:rsid w:val="00E77781"/>
    <w:rsid w:val="00E77897"/>
    <w:rsid w:val="00E77C39"/>
    <w:rsid w:val="00E77C8E"/>
    <w:rsid w:val="00E77F34"/>
    <w:rsid w:val="00E80018"/>
    <w:rsid w:val="00E80354"/>
    <w:rsid w:val="00E80696"/>
    <w:rsid w:val="00E806B8"/>
    <w:rsid w:val="00E808B6"/>
    <w:rsid w:val="00E80945"/>
    <w:rsid w:val="00E80BF8"/>
    <w:rsid w:val="00E81190"/>
    <w:rsid w:val="00E812D5"/>
    <w:rsid w:val="00E81641"/>
    <w:rsid w:val="00E81873"/>
    <w:rsid w:val="00E81A1D"/>
    <w:rsid w:val="00E81B57"/>
    <w:rsid w:val="00E82242"/>
    <w:rsid w:val="00E8243B"/>
    <w:rsid w:val="00E824B7"/>
    <w:rsid w:val="00E82553"/>
    <w:rsid w:val="00E82813"/>
    <w:rsid w:val="00E82982"/>
    <w:rsid w:val="00E82EB1"/>
    <w:rsid w:val="00E831BF"/>
    <w:rsid w:val="00E83DC1"/>
    <w:rsid w:val="00E8436B"/>
    <w:rsid w:val="00E845CE"/>
    <w:rsid w:val="00E84625"/>
    <w:rsid w:val="00E84B19"/>
    <w:rsid w:val="00E854F3"/>
    <w:rsid w:val="00E85544"/>
    <w:rsid w:val="00E85964"/>
    <w:rsid w:val="00E85F83"/>
    <w:rsid w:val="00E86530"/>
    <w:rsid w:val="00E86A65"/>
    <w:rsid w:val="00E87177"/>
    <w:rsid w:val="00E8782F"/>
    <w:rsid w:val="00E87A23"/>
    <w:rsid w:val="00E87B22"/>
    <w:rsid w:val="00E900B7"/>
    <w:rsid w:val="00E906E7"/>
    <w:rsid w:val="00E90A2A"/>
    <w:rsid w:val="00E90E4F"/>
    <w:rsid w:val="00E9159B"/>
    <w:rsid w:val="00E91E03"/>
    <w:rsid w:val="00E91EF6"/>
    <w:rsid w:val="00E923B8"/>
    <w:rsid w:val="00E9257E"/>
    <w:rsid w:val="00E925BF"/>
    <w:rsid w:val="00E9268F"/>
    <w:rsid w:val="00E9272C"/>
    <w:rsid w:val="00E9299B"/>
    <w:rsid w:val="00E92D3B"/>
    <w:rsid w:val="00E93341"/>
    <w:rsid w:val="00E93636"/>
    <w:rsid w:val="00E93AA7"/>
    <w:rsid w:val="00E93EDE"/>
    <w:rsid w:val="00E93F4E"/>
    <w:rsid w:val="00E94D50"/>
    <w:rsid w:val="00E951CD"/>
    <w:rsid w:val="00E952A3"/>
    <w:rsid w:val="00E952B3"/>
    <w:rsid w:val="00E95370"/>
    <w:rsid w:val="00E9580F"/>
    <w:rsid w:val="00E9586F"/>
    <w:rsid w:val="00E95A56"/>
    <w:rsid w:val="00E95BFE"/>
    <w:rsid w:val="00E95C3F"/>
    <w:rsid w:val="00E96D63"/>
    <w:rsid w:val="00E96E05"/>
    <w:rsid w:val="00E96F30"/>
    <w:rsid w:val="00E97216"/>
    <w:rsid w:val="00E97CEA"/>
    <w:rsid w:val="00EA01DF"/>
    <w:rsid w:val="00EA040B"/>
    <w:rsid w:val="00EA0683"/>
    <w:rsid w:val="00EA075F"/>
    <w:rsid w:val="00EA0901"/>
    <w:rsid w:val="00EA0A2A"/>
    <w:rsid w:val="00EA0AC0"/>
    <w:rsid w:val="00EA0F56"/>
    <w:rsid w:val="00EA1F59"/>
    <w:rsid w:val="00EA2632"/>
    <w:rsid w:val="00EA2D2D"/>
    <w:rsid w:val="00EA340E"/>
    <w:rsid w:val="00EA341F"/>
    <w:rsid w:val="00EA3754"/>
    <w:rsid w:val="00EA3F2D"/>
    <w:rsid w:val="00EA4087"/>
    <w:rsid w:val="00EA41FC"/>
    <w:rsid w:val="00EA4646"/>
    <w:rsid w:val="00EA4747"/>
    <w:rsid w:val="00EA49E4"/>
    <w:rsid w:val="00EA5122"/>
    <w:rsid w:val="00EA53E8"/>
    <w:rsid w:val="00EA58BC"/>
    <w:rsid w:val="00EA5C79"/>
    <w:rsid w:val="00EA5CCE"/>
    <w:rsid w:val="00EA646A"/>
    <w:rsid w:val="00EA67F0"/>
    <w:rsid w:val="00EA712D"/>
    <w:rsid w:val="00EA758A"/>
    <w:rsid w:val="00EB0324"/>
    <w:rsid w:val="00EB05A4"/>
    <w:rsid w:val="00EB06AA"/>
    <w:rsid w:val="00EB06D4"/>
    <w:rsid w:val="00EB0AD5"/>
    <w:rsid w:val="00EB0B70"/>
    <w:rsid w:val="00EB0DE3"/>
    <w:rsid w:val="00EB0F5F"/>
    <w:rsid w:val="00EB100D"/>
    <w:rsid w:val="00EB14F0"/>
    <w:rsid w:val="00EB1981"/>
    <w:rsid w:val="00EB1B2A"/>
    <w:rsid w:val="00EB1B76"/>
    <w:rsid w:val="00EB212A"/>
    <w:rsid w:val="00EB2498"/>
    <w:rsid w:val="00EB2641"/>
    <w:rsid w:val="00EB2976"/>
    <w:rsid w:val="00EB30DB"/>
    <w:rsid w:val="00EB3111"/>
    <w:rsid w:val="00EB32E9"/>
    <w:rsid w:val="00EB36D5"/>
    <w:rsid w:val="00EB3979"/>
    <w:rsid w:val="00EB3D17"/>
    <w:rsid w:val="00EB476E"/>
    <w:rsid w:val="00EB4F35"/>
    <w:rsid w:val="00EB5789"/>
    <w:rsid w:val="00EB5C6F"/>
    <w:rsid w:val="00EB5F07"/>
    <w:rsid w:val="00EB6878"/>
    <w:rsid w:val="00EB6CAA"/>
    <w:rsid w:val="00EB6ED9"/>
    <w:rsid w:val="00EB6F0E"/>
    <w:rsid w:val="00EB771F"/>
    <w:rsid w:val="00EB7865"/>
    <w:rsid w:val="00EB797E"/>
    <w:rsid w:val="00EB7A22"/>
    <w:rsid w:val="00EB7CCA"/>
    <w:rsid w:val="00EC08F0"/>
    <w:rsid w:val="00EC0C35"/>
    <w:rsid w:val="00EC0C4A"/>
    <w:rsid w:val="00EC1465"/>
    <w:rsid w:val="00EC1E00"/>
    <w:rsid w:val="00EC2333"/>
    <w:rsid w:val="00EC2DA5"/>
    <w:rsid w:val="00EC2DAB"/>
    <w:rsid w:val="00EC2EAD"/>
    <w:rsid w:val="00EC2EBD"/>
    <w:rsid w:val="00EC3142"/>
    <w:rsid w:val="00EC3265"/>
    <w:rsid w:val="00EC3788"/>
    <w:rsid w:val="00EC3DAC"/>
    <w:rsid w:val="00EC45E8"/>
    <w:rsid w:val="00EC493A"/>
    <w:rsid w:val="00EC4AC1"/>
    <w:rsid w:val="00EC4DF8"/>
    <w:rsid w:val="00EC5CB0"/>
    <w:rsid w:val="00EC5E99"/>
    <w:rsid w:val="00EC6A81"/>
    <w:rsid w:val="00EC6B38"/>
    <w:rsid w:val="00EC6D32"/>
    <w:rsid w:val="00EC6FD5"/>
    <w:rsid w:val="00EC71AF"/>
    <w:rsid w:val="00EC73FB"/>
    <w:rsid w:val="00EC766C"/>
    <w:rsid w:val="00EC76B0"/>
    <w:rsid w:val="00EC76CC"/>
    <w:rsid w:val="00EC7B0A"/>
    <w:rsid w:val="00EC7DE5"/>
    <w:rsid w:val="00ED025F"/>
    <w:rsid w:val="00ED0563"/>
    <w:rsid w:val="00ED0969"/>
    <w:rsid w:val="00ED0B12"/>
    <w:rsid w:val="00ED0CFE"/>
    <w:rsid w:val="00ED0D4B"/>
    <w:rsid w:val="00ED0F1D"/>
    <w:rsid w:val="00ED10DC"/>
    <w:rsid w:val="00ED14F4"/>
    <w:rsid w:val="00ED1931"/>
    <w:rsid w:val="00ED1DB7"/>
    <w:rsid w:val="00ED1DE4"/>
    <w:rsid w:val="00ED1EE7"/>
    <w:rsid w:val="00ED22F4"/>
    <w:rsid w:val="00ED2957"/>
    <w:rsid w:val="00ED2DEE"/>
    <w:rsid w:val="00ED322D"/>
    <w:rsid w:val="00ED327C"/>
    <w:rsid w:val="00ED3650"/>
    <w:rsid w:val="00ED3D7A"/>
    <w:rsid w:val="00ED4CBC"/>
    <w:rsid w:val="00ED4D5C"/>
    <w:rsid w:val="00ED56B8"/>
    <w:rsid w:val="00ED5AD2"/>
    <w:rsid w:val="00ED5F35"/>
    <w:rsid w:val="00ED6664"/>
    <w:rsid w:val="00ED6771"/>
    <w:rsid w:val="00ED6B0B"/>
    <w:rsid w:val="00ED6C50"/>
    <w:rsid w:val="00ED6C6D"/>
    <w:rsid w:val="00ED6F65"/>
    <w:rsid w:val="00ED76DB"/>
    <w:rsid w:val="00ED784D"/>
    <w:rsid w:val="00ED7B5C"/>
    <w:rsid w:val="00ED7D8D"/>
    <w:rsid w:val="00EE0019"/>
    <w:rsid w:val="00EE0402"/>
    <w:rsid w:val="00EE045E"/>
    <w:rsid w:val="00EE04C3"/>
    <w:rsid w:val="00EE0568"/>
    <w:rsid w:val="00EE07B5"/>
    <w:rsid w:val="00EE08E5"/>
    <w:rsid w:val="00EE0A2D"/>
    <w:rsid w:val="00EE0D30"/>
    <w:rsid w:val="00EE0DB1"/>
    <w:rsid w:val="00EE1055"/>
    <w:rsid w:val="00EE173E"/>
    <w:rsid w:val="00EE1858"/>
    <w:rsid w:val="00EE19A5"/>
    <w:rsid w:val="00EE1C11"/>
    <w:rsid w:val="00EE1F01"/>
    <w:rsid w:val="00EE22FE"/>
    <w:rsid w:val="00EE2357"/>
    <w:rsid w:val="00EE241C"/>
    <w:rsid w:val="00EE24AE"/>
    <w:rsid w:val="00EE258B"/>
    <w:rsid w:val="00EE2AB4"/>
    <w:rsid w:val="00EE37F7"/>
    <w:rsid w:val="00EE39FD"/>
    <w:rsid w:val="00EE3F5C"/>
    <w:rsid w:val="00EE410C"/>
    <w:rsid w:val="00EE430F"/>
    <w:rsid w:val="00EE4C78"/>
    <w:rsid w:val="00EE4FF1"/>
    <w:rsid w:val="00EE573E"/>
    <w:rsid w:val="00EE5A95"/>
    <w:rsid w:val="00EE5DC5"/>
    <w:rsid w:val="00EE5E2B"/>
    <w:rsid w:val="00EE604F"/>
    <w:rsid w:val="00EE6608"/>
    <w:rsid w:val="00EE67D8"/>
    <w:rsid w:val="00EE6CD0"/>
    <w:rsid w:val="00EE6DD6"/>
    <w:rsid w:val="00EE726F"/>
    <w:rsid w:val="00EE741A"/>
    <w:rsid w:val="00EE7635"/>
    <w:rsid w:val="00EE793C"/>
    <w:rsid w:val="00EE7AC5"/>
    <w:rsid w:val="00EF03BA"/>
    <w:rsid w:val="00EF058F"/>
    <w:rsid w:val="00EF10CD"/>
    <w:rsid w:val="00EF1791"/>
    <w:rsid w:val="00EF1E01"/>
    <w:rsid w:val="00EF2621"/>
    <w:rsid w:val="00EF2BE1"/>
    <w:rsid w:val="00EF2C62"/>
    <w:rsid w:val="00EF2FCE"/>
    <w:rsid w:val="00EF3338"/>
    <w:rsid w:val="00EF3453"/>
    <w:rsid w:val="00EF364F"/>
    <w:rsid w:val="00EF37DE"/>
    <w:rsid w:val="00EF394E"/>
    <w:rsid w:val="00EF39F7"/>
    <w:rsid w:val="00EF3FDB"/>
    <w:rsid w:val="00EF4016"/>
    <w:rsid w:val="00EF42A9"/>
    <w:rsid w:val="00EF43D6"/>
    <w:rsid w:val="00EF48E5"/>
    <w:rsid w:val="00EF4AD8"/>
    <w:rsid w:val="00EF4B40"/>
    <w:rsid w:val="00EF4C3C"/>
    <w:rsid w:val="00EF5011"/>
    <w:rsid w:val="00EF50AD"/>
    <w:rsid w:val="00EF52BA"/>
    <w:rsid w:val="00EF5804"/>
    <w:rsid w:val="00EF5820"/>
    <w:rsid w:val="00EF58A9"/>
    <w:rsid w:val="00EF591B"/>
    <w:rsid w:val="00EF5A20"/>
    <w:rsid w:val="00EF60CE"/>
    <w:rsid w:val="00EF648D"/>
    <w:rsid w:val="00EF64EA"/>
    <w:rsid w:val="00EF6E20"/>
    <w:rsid w:val="00EF6E33"/>
    <w:rsid w:val="00EF72DD"/>
    <w:rsid w:val="00EF78CB"/>
    <w:rsid w:val="00EF794F"/>
    <w:rsid w:val="00EF79C1"/>
    <w:rsid w:val="00EF7A3B"/>
    <w:rsid w:val="00EF7B98"/>
    <w:rsid w:val="00EF7DE3"/>
    <w:rsid w:val="00F0007C"/>
    <w:rsid w:val="00F006B1"/>
    <w:rsid w:val="00F0120C"/>
    <w:rsid w:val="00F0120E"/>
    <w:rsid w:val="00F01276"/>
    <w:rsid w:val="00F01294"/>
    <w:rsid w:val="00F0153D"/>
    <w:rsid w:val="00F01658"/>
    <w:rsid w:val="00F017B4"/>
    <w:rsid w:val="00F01C24"/>
    <w:rsid w:val="00F01EE2"/>
    <w:rsid w:val="00F024CA"/>
    <w:rsid w:val="00F0282C"/>
    <w:rsid w:val="00F0298B"/>
    <w:rsid w:val="00F02BDD"/>
    <w:rsid w:val="00F03429"/>
    <w:rsid w:val="00F035A0"/>
    <w:rsid w:val="00F03695"/>
    <w:rsid w:val="00F03F07"/>
    <w:rsid w:val="00F0467E"/>
    <w:rsid w:val="00F04F53"/>
    <w:rsid w:val="00F04FC3"/>
    <w:rsid w:val="00F05119"/>
    <w:rsid w:val="00F05170"/>
    <w:rsid w:val="00F0521E"/>
    <w:rsid w:val="00F05873"/>
    <w:rsid w:val="00F0593C"/>
    <w:rsid w:val="00F059E8"/>
    <w:rsid w:val="00F05FB3"/>
    <w:rsid w:val="00F068F2"/>
    <w:rsid w:val="00F06B28"/>
    <w:rsid w:val="00F06CA7"/>
    <w:rsid w:val="00F06FC0"/>
    <w:rsid w:val="00F070D8"/>
    <w:rsid w:val="00F0773C"/>
    <w:rsid w:val="00F07806"/>
    <w:rsid w:val="00F07A7C"/>
    <w:rsid w:val="00F07AEB"/>
    <w:rsid w:val="00F07D4E"/>
    <w:rsid w:val="00F10109"/>
    <w:rsid w:val="00F10D39"/>
    <w:rsid w:val="00F10E49"/>
    <w:rsid w:val="00F10F59"/>
    <w:rsid w:val="00F110B9"/>
    <w:rsid w:val="00F110E3"/>
    <w:rsid w:val="00F11946"/>
    <w:rsid w:val="00F11B31"/>
    <w:rsid w:val="00F12637"/>
    <w:rsid w:val="00F127A6"/>
    <w:rsid w:val="00F1283E"/>
    <w:rsid w:val="00F1285A"/>
    <w:rsid w:val="00F12886"/>
    <w:rsid w:val="00F128C3"/>
    <w:rsid w:val="00F133C8"/>
    <w:rsid w:val="00F133EF"/>
    <w:rsid w:val="00F13B37"/>
    <w:rsid w:val="00F13FBD"/>
    <w:rsid w:val="00F1410F"/>
    <w:rsid w:val="00F14539"/>
    <w:rsid w:val="00F14612"/>
    <w:rsid w:val="00F147AF"/>
    <w:rsid w:val="00F149E6"/>
    <w:rsid w:val="00F14A4B"/>
    <w:rsid w:val="00F14A59"/>
    <w:rsid w:val="00F14B5A"/>
    <w:rsid w:val="00F14FA2"/>
    <w:rsid w:val="00F15134"/>
    <w:rsid w:val="00F156E1"/>
    <w:rsid w:val="00F158FE"/>
    <w:rsid w:val="00F15ADF"/>
    <w:rsid w:val="00F15B3E"/>
    <w:rsid w:val="00F15EDB"/>
    <w:rsid w:val="00F15F5B"/>
    <w:rsid w:val="00F16AB9"/>
    <w:rsid w:val="00F17703"/>
    <w:rsid w:val="00F179EA"/>
    <w:rsid w:val="00F17A4F"/>
    <w:rsid w:val="00F17AE5"/>
    <w:rsid w:val="00F17E43"/>
    <w:rsid w:val="00F17F3D"/>
    <w:rsid w:val="00F2043F"/>
    <w:rsid w:val="00F20568"/>
    <w:rsid w:val="00F2082A"/>
    <w:rsid w:val="00F21F99"/>
    <w:rsid w:val="00F2202A"/>
    <w:rsid w:val="00F22245"/>
    <w:rsid w:val="00F225DE"/>
    <w:rsid w:val="00F22F7D"/>
    <w:rsid w:val="00F2345D"/>
    <w:rsid w:val="00F23508"/>
    <w:rsid w:val="00F243E3"/>
    <w:rsid w:val="00F245C3"/>
    <w:rsid w:val="00F248AE"/>
    <w:rsid w:val="00F24B01"/>
    <w:rsid w:val="00F24C1C"/>
    <w:rsid w:val="00F24E73"/>
    <w:rsid w:val="00F252E2"/>
    <w:rsid w:val="00F253D5"/>
    <w:rsid w:val="00F25473"/>
    <w:rsid w:val="00F25923"/>
    <w:rsid w:val="00F25AF6"/>
    <w:rsid w:val="00F25FB2"/>
    <w:rsid w:val="00F26313"/>
    <w:rsid w:val="00F2645B"/>
    <w:rsid w:val="00F26752"/>
    <w:rsid w:val="00F26C3E"/>
    <w:rsid w:val="00F26FC2"/>
    <w:rsid w:val="00F2719B"/>
    <w:rsid w:val="00F27273"/>
    <w:rsid w:val="00F27388"/>
    <w:rsid w:val="00F273A1"/>
    <w:rsid w:val="00F27703"/>
    <w:rsid w:val="00F30043"/>
    <w:rsid w:val="00F3032A"/>
    <w:rsid w:val="00F3082A"/>
    <w:rsid w:val="00F309FD"/>
    <w:rsid w:val="00F30B4C"/>
    <w:rsid w:val="00F30DAC"/>
    <w:rsid w:val="00F31162"/>
    <w:rsid w:val="00F31AA7"/>
    <w:rsid w:val="00F31CB3"/>
    <w:rsid w:val="00F3209A"/>
    <w:rsid w:val="00F325FE"/>
    <w:rsid w:val="00F328AF"/>
    <w:rsid w:val="00F338D6"/>
    <w:rsid w:val="00F33904"/>
    <w:rsid w:val="00F33E94"/>
    <w:rsid w:val="00F34454"/>
    <w:rsid w:val="00F34514"/>
    <w:rsid w:val="00F34DA9"/>
    <w:rsid w:val="00F35439"/>
    <w:rsid w:val="00F35ABD"/>
    <w:rsid w:val="00F361B0"/>
    <w:rsid w:val="00F362AA"/>
    <w:rsid w:val="00F363DD"/>
    <w:rsid w:val="00F36B9A"/>
    <w:rsid w:val="00F36CAE"/>
    <w:rsid w:val="00F375F1"/>
    <w:rsid w:val="00F37A4F"/>
    <w:rsid w:val="00F4027B"/>
    <w:rsid w:val="00F403DD"/>
    <w:rsid w:val="00F40B5B"/>
    <w:rsid w:val="00F40F5C"/>
    <w:rsid w:val="00F41110"/>
    <w:rsid w:val="00F413CB"/>
    <w:rsid w:val="00F4199F"/>
    <w:rsid w:val="00F41BE8"/>
    <w:rsid w:val="00F41C48"/>
    <w:rsid w:val="00F420D7"/>
    <w:rsid w:val="00F421CE"/>
    <w:rsid w:val="00F427C0"/>
    <w:rsid w:val="00F42ACF"/>
    <w:rsid w:val="00F42E6E"/>
    <w:rsid w:val="00F4305D"/>
    <w:rsid w:val="00F43553"/>
    <w:rsid w:val="00F43733"/>
    <w:rsid w:val="00F43852"/>
    <w:rsid w:val="00F4440A"/>
    <w:rsid w:val="00F44A7A"/>
    <w:rsid w:val="00F4511C"/>
    <w:rsid w:val="00F4587C"/>
    <w:rsid w:val="00F45CEE"/>
    <w:rsid w:val="00F45CF4"/>
    <w:rsid w:val="00F46020"/>
    <w:rsid w:val="00F461A0"/>
    <w:rsid w:val="00F4629A"/>
    <w:rsid w:val="00F46672"/>
    <w:rsid w:val="00F46B08"/>
    <w:rsid w:val="00F46B59"/>
    <w:rsid w:val="00F46C69"/>
    <w:rsid w:val="00F46C96"/>
    <w:rsid w:val="00F46D68"/>
    <w:rsid w:val="00F474DE"/>
    <w:rsid w:val="00F47893"/>
    <w:rsid w:val="00F500CD"/>
    <w:rsid w:val="00F502B8"/>
    <w:rsid w:val="00F517DF"/>
    <w:rsid w:val="00F51B3A"/>
    <w:rsid w:val="00F52511"/>
    <w:rsid w:val="00F52943"/>
    <w:rsid w:val="00F52A9C"/>
    <w:rsid w:val="00F536F3"/>
    <w:rsid w:val="00F5383D"/>
    <w:rsid w:val="00F539E5"/>
    <w:rsid w:val="00F53E6E"/>
    <w:rsid w:val="00F54504"/>
    <w:rsid w:val="00F54558"/>
    <w:rsid w:val="00F54883"/>
    <w:rsid w:val="00F54940"/>
    <w:rsid w:val="00F54B4C"/>
    <w:rsid w:val="00F554DC"/>
    <w:rsid w:val="00F55B1E"/>
    <w:rsid w:val="00F55E1D"/>
    <w:rsid w:val="00F55FDA"/>
    <w:rsid w:val="00F5694F"/>
    <w:rsid w:val="00F56A82"/>
    <w:rsid w:val="00F56BF3"/>
    <w:rsid w:val="00F570DB"/>
    <w:rsid w:val="00F5747E"/>
    <w:rsid w:val="00F57B45"/>
    <w:rsid w:val="00F6010B"/>
    <w:rsid w:val="00F601C5"/>
    <w:rsid w:val="00F60923"/>
    <w:rsid w:val="00F60A0B"/>
    <w:rsid w:val="00F60B41"/>
    <w:rsid w:val="00F60D2A"/>
    <w:rsid w:val="00F60D60"/>
    <w:rsid w:val="00F61762"/>
    <w:rsid w:val="00F62088"/>
    <w:rsid w:val="00F622D0"/>
    <w:rsid w:val="00F6239C"/>
    <w:rsid w:val="00F62635"/>
    <w:rsid w:val="00F62944"/>
    <w:rsid w:val="00F62B72"/>
    <w:rsid w:val="00F6317E"/>
    <w:rsid w:val="00F63271"/>
    <w:rsid w:val="00F63344"/>
    <w:rsid w:val="00F6344D"/>
    <w:rsid w:val="00F6397A"/>
    <w:rsid w:val="00F63E93"/>
    <w:rsid w:val="00F647B3"/>
    <w:rsid w:val="00F64A5F"/>
    <w:rsid w:val="00F64D5B"/>
    <w:rsid w:val="00F64D91"/>
    <w:rsid w:val="00F65247"/>
    <w:rsid w:val="00F6537C"/>
    <w:rsid w:val="00F65BB7"/>
    <w:rsid w:val="00F65BFB"/>
    <w:rsid w:val="00F65C6C"/>
    <w:rsid w:val="00F65EC7"/>
    <w:rsid w:val="00F666F5"/>
    <w:rsid w:val="00F66813"/>
    <w:rsid w:val="00F66849"/>
    <w:rsid w:val="00F6689F"/>
    <w:rsid w:val="00F66A1F"/>
    <w:rsid w:val="00F66F8F"/>
    <w:rsid w:val="00F67021"/>
    <w:rsid w:val="00F678DF"/>
    <w:rsid w:val="00F67E22"/>
    <w:rsid w:val="00F701A0"/>
    <w:rsid w:val="00F701CE"/>
    <w:rsid w:val="00F70372"/>
    <w:rsid w:val="00F703C6"/>
    <w:rsid w:val="00F7049A"/>
    <w:rsid w:val="00F705E4"/>
    <w:rsid w:val="00F7098F"/>
    <w:rsid w:val="00F70E3F"/>
    <w:rsid w:val="00F7130F"/>
    <w:rsid w:val="00F7156E"/>
    <w:rsid w:val="00F7186D"/>
    <w:rsid w:val="00F71A40"/>
    <w:rsid w:val="00F71C45"/>
    <w:rsid w:val="00F71C99"/>
    <w:rsid w:val="00F71FC1"/>
    <w:rsid w:val="00F72078"/>
    <w:rsid w:val="00F723C0"/>
    <w:rsid w:val="00F72648"/>
    <w:rsid w:val="00F726F5"/>
    <w:rsid w:val="00F72817"/>
    <w:rsid w:val="00F72935"/>
    <w:rsid w:val="00F72EBE"/>
    <w:rsid w:val="00F72F10"/>
    <w:rsid w:val="00F730D1"/>
    <w:rsid w:val="00F73499"/>
    <w:rsid w:val="00F739EC"/>
    <w:rsid w:val="00F740D7"/>
    <w:rsid w:val="00F742D1"/>
    <w:rsid w:val="00F746D1"/>
    <w:rsid w:val="00F74739"/>
    <w:rsid w:val="00F74CE1"/>
    <w:rsid w:val="00F74F72"/>
    <w:rsid w:val="00F751C7"/>
    <w:rsid w:val="00F75505"/>
    <w:rsid w:val="00F7595C"/>
    <w:rsid w:val="00F759C1"/>
    <w:rsid w:val="00F75A55"/>
    <w:rsid w:val="00F75DE7"/>
    <w:rsid w:val="00F7619B"/>
    <w:rsid w:val="00F76674"/>
    <w:rsid w:val="00F768CF"/>
    <w:rsid w:val="00F76D84"/>
    <w:rsid w:val="00F77B6F"/>
    <w:rsid w:val="00F80309"/>
    <w:rsid w:val="00F809F3"/>
    <w:rsid w:val="00F80B5A"/>
    <w:rsid w:val="00F80F3D"/>
    <w:rsid w:val="00F8100E"/>
    <w:rsid w:val="00F818D3"/>
    <w:rsid w:val="00F82208"/>
    <w:rsid w:val="00F82428"/>
    <w:rsid w:val="00F82469"/>
    <w:rsid w:val="00F8270A"/>
    <w:rsid w:val="00F82C33"/>
    <w:rsid w:val="00F8309C"/>
    <w:rsid w:val="00F83233"/>
    <w:rsid w:val="00F8333C"/>
    <w:rsid w:val="00F8360C"/>
    <w:rsid w:val="00F83A7B"/>
    <w:rsid w:val="00F83D5D"/>
    <w:rsid w:val="00F83E34"/>
    <w:rsid w:val="00F83E57"/>
    <w:rsid w:val="00F84289"/>
    <w:rsid w:val="00F844C6"/>
    <w:rsid w:val="00F84966"/>
    <w:rsid w:val="00F84BEA"/>
    <w:rsid w:val="00F84F44"/>
    <w:rsid w:val="00F84FDF"/>
    <w:rsid w:val="00F8511D"/>
    <w:rsid w:val="00F8521D"/>
    <w:rsid w:val="00F852A4"/>
    <w:rsid w:val="00F852B1"/>
    <w:rsid w:val="00F854B3"/>
    <w:rsid w:val="00F86A5A"/>
    <w:rsid w:val="00F86AD7"/>
    <w:rsid w:val="00F8714C"/>
    <w:rsid w:val="00F87458"/>
    <w:rsid w:val="00F875BB"/>
    <w:rsid w:val="00F878F6"/>
    <w:rsid w:val="00F904E1"/>
    <w:rsid w:val="00F9094E"/>
    <w:rsid w:val="00F91103"/>
    <w:rsid w:val="00F91125"/>
    <w:rsid w:val="00F9139E"/>
    <w:rsid w:val="00F914CE"/>
    <w:rsid w:val="00F91D2B"/>
    <w:rsid w:val="00F920A1"/>
    <w:rsid w:val="00F92DA4"/>
    <w:rsid w:val="00F92F58"/>
    <w:rsid w:val="00F93275"/>
    <w:rsid w:val="00F935D4"/>
    <w:rsid w:val="00F93990"/>
    <w:rsid w:val="00F93C47"/>
    <w:rsid w:val="00F940D1"/>
    <w:rsid w:val="00F94129"/>
    <w:rsid w:val="00F942AF"/>
    <w:rsid w:val="00F9492E"/>
    <w:rsid w:val="00F94C78"/>
    <w:rsid w:val="00F94F54"/>
    <w:rsid w:val="00F9559B"/>
    <w:rsid w:val="00F957DA"/>
    <w:rsid w:val="00F958A6"/>
    <w:rsid w:val="00F95B1B"/>
    <w:rsid w:val="00F96674"/>
    <w:rsid w:val="00F9685E"/>
    <w:rsid w:val="00F96F5A"/>
    <w:rsid w:val="00F970BF"/>
    <w:rsid w:val="00F9739D"/>
    <w:rsid w:val="00F97912"/>
    <w:rsid w:val="00F97D06"/>
    <w:rsid w:val="00FA018D"/>
    <w:rsid w:val="00FA01BF"/>
    <w:rsid w:val="00FA0347"/>
    <w:rsid w:val="00FA0AC8"/>
    <w:rsid w:val="00FA1124"/>
    <w:rsid w:val="00FA1A1D"/>
    <w:rsid w:val="00FA1EFD"/>
    <w:rsid w:val="00FA2033"/>
    <w:rsid w:val="00FA238B"/>
    <w:rsid w:val="00FA24EC"/>
    <w:rsid w:val="00FA26B3"/>
    <w:rsid w:val="00FA2D9C"/>
    <w:rsid w:val="00FA2DE0"/>
    <w:rsid w:val="00FA2E7D"/>
    <w:rsid w:val="00FA2ED5"/>
    <w:rsid w:val="00FA300E"/>
    <w:rsid w:val="00FA310F"/>
    <w:rsid w:val="00FA3420"/>
    <w:rsid w:val="00FA36B4"/>
    <w:rsid w:val="00FA3878"/>
    <w:rsid w:val="00FA3A66"/>
    <w:rsid w:val="00FA3C4F"/>
    <w:rsid w:val="00FA3F58"/>
    <w:rsid w:val="00FA497C"/>
    <w:rsid w:val="00FA514F"/>
    <w:rsid w:val="00FA5556"/>
    <w:rsid w:val="00FA5AB2"/>
    <w:rsid w:val="00FA612D"/>
    <w:rsid w:val="00FA6317"/>
    <w:rsid w:val="00FA70CA"/>
    <w:rsid w:val="00FA7370"/>
    <w:rsid w:val="00FA7700"/>
    <w:rsid w:val="00FA776B"/>
    <w:rsid w:val="00FA7809"/>
    <w:rsid w:val="00FA786D"/>
    <w:rsid w:val="00FA7A10"/>
    <w:rsid w:val="00FA7C43"/>
    <w:rsid w:val="00FA7EB3"/>
    <w:rsid w:val="00FB065E"/>
    <w:rsid w:val="00FB07C5"/>
    <w:rsid w:val="00FB0B41"/>
    <w:rsid w:val="00FB0CAE"/>
    <w:rsid w:val="00FB0D3F"/>
    <w:rsid w:val="00FB1033"/>
    <w:rsid w:val="00FB1085"/>
    <w:rsid w:val="00FB10E1"/>
    <w:rsid w:val="00FB140F"/>
    <w:rsid w:val="00FB1E18"/>
    <w:rsid w:val="00FB23B5"/>
    <w:rsid w:val="00FB24B0"/>
    <w:rsid w:val="00FB2871"/>
    <w:rsid w:val="00FB2C1C"/>
    <w:rsid w:val="00FB2EEA"/>
    <w:rsid w:val="00FB2F33"/>
    <w:rsid w:val="00FB2F3C"/>
    <w:rsid w:val="00FB2FBC"/>
    <w:rsid w:val="00FB3163"/>
    <w:rsid w:val="00FB3443"/>
    <w:rsid w:val="00FB394D"/>
    <w:rsid w:val="00FB3B11"/>
    <w:rsid w:val="00FB3E56"/>
    <w:rsid w:val="00FB425D"/>
    <w:rsid w:val="00FB4460"/>
    <w:rsid w:val="00FB44A6"/>
    <w:rsid w:val="00FB4532"/>
    <w:rsid w:val="00FB4C44"/>
    <w:rsid w:val="00FB4FA8"/>
    <w:rsid w:val="00FB527A"/>
    <w:rsid w:val="00FB52E6"/>
    <w:rsid w:val="00FB5440"/>
    <w:rsid w:val="00FB56B4"/>
    <w:rsid w:val="00FB5C44"/>
    <w:rsid w:val="00FB5E0C"/>
    <w:rsid w:val="00FB60AB"/>
    <w:rsid w:val="00FB617F"/>
    <w:rsid w:val="00FB63CE"/>
    <w:rsid w:val="00FB6462"/>
    <w:rsid w:val="00FB6567"/>
    <w:rsid w:val="00FB6625"/>
    <w:rsid w:val="00FB673F"/>
    <w:rsid w:val="00FB68DA"/>
    <w:rsid w:val="00FB6E1F"/>
    <w:rsid w:val="00FB6F0A"/>
    <w:rsid w:val="00FB6F3A"/>
    <w:rsid w:val="00FB70FE"/>
    <w:rsid w:val="00FB74B5"/>
    <w:rsid w:val="00FB7514"/>
    <w:rsid w:val="00FC0081"/>
    <w:rsid w:val="00FC00B6"/>
    <w:rsid w:val="00FC021B"/>
    <w:rsid w:val="00FC05F7"/>
    <w:rsid w:val="00FC0834"/>
    <w:rsid w:val="00FC0ECF"/>
    <w:rsid w:val="00FC0F34"/>
    <w:rsid w:val="00FC1024"/>
    <w:rsid w:val="00FC1536"/>
    <w:rsid w:val="00FC15C4"/>
    <w:rsid w:val="00FC1FE1"/>
    <w:rsid w:val="00FC23F2"/>
    <w:rsid w:val="00FC25E1"/>
    <w:rsid w:val="00FC2A7E"/>
    <w:rsid w:val="00FC2B65"/>
    <w:rsid w:val="00FC3111"/>
    <w:rsid w:val="00FC3348"/>
    <w:rsid w:val="00FC3431"/>
    <w:rsid w:val="00FC3B35"/>
    <w:rsid w:val="00FC4001"/>
    <w:rsid w:val="00FC451D"/>
    <w:rsid w:val="00FC46D4"/>
    <w:rsid w:val="00FC5435"/>
    <w:rsid w:val="00FC5443"/>
    <w:rsid w:val="00FC54F7"/>
    <w:rsid w:val="00FC592F"/>
    <w:rsid w:val="00FC5C29"/>
    <w:rsid w:val="00FC5CDF"/>
    <w:rsid w:val="00FC5F5A"/>
    <w:rsid w:val="00FC6A1C"/>
    <w:rsid w:val="00FC6A1F"/>
    <w:rsid w:val="00FC7004"/>
    <w:rsid w:val="00FC7984"/>
    <w:rsid w:val="00FC798D"/>
    <w:rsid w:val="00FD02E1"/>
    <w:rsid w:val="00FD0BCA"/>
    <w:rsid w:val="00FD0CF5"/>
    <w:rsid w:val="00FD1DAA"/>
    <w:rsid w:val="00FD2542"/>
    <w:rsid w:val="00FD2715"/>
    <w:rsid w:val="00FD2A25"/>
    <w:rsid w:val="00FD2AA2"/>
    <w:rsid w:val="00FD2C03"/>
    <w:rsid w:val="00FD3071"/>
    <w:rsid w:val="00FD32DD"/>
    <w:rsid w:val="00FD32ED"/>
    <w:rsid w:val="00FD345A"/>
    <w:rsid w:val="00FD351C"/>
    <w:rsid w:val="00FD41B5"/>
    <w:rsid w:val="00FD4590"/>
    <w:rsid w:val="00FD4667"/>
    <w:rsid w:val="00FD4DD3"/>
    <w:rsid w:val="00FD4F1C"/>
    <w:rsid w:val="00FD4FCF"/>
    <w:rsid w:val="00FD5276"/>
    <w:rsid w:val="00FD5486"/>
    <w:rsid w:val="00FD5746"/>
    <w:rsid w:val="00FD63AF"/>
    <w:rsid w:val="00FD6A1E"/>
    <w:rsid w:val="00FD6CF4"/>
    <w:rsid w:val="00FD72E6"/>
    <w:rsid w:val="00FD72FA"/>
    <w:rsid w:val="00FD7337"/>
    <w:rsid w:val="00FD762F"/>
    <w:rsid w:val="00FD77A7"/>
    <w:rsid w:val="00FD79C7"/>
    <w:rsid w:val="00FD7BBE"/>
    <w:rsid w:val="00FE00FD"/>
    <w:rsid w:val="00FE0209"/>
    <w:rsid w:val="00FE0B80"/>
    <w:rsid w:val="00FE0E43"/>
    <w:rsid w:val="00FE11A0"/>
    <w:rsid w:val="00FE158E"/>
    <w:rsid w:val="00FE17F3"/>
    <w:rsid w:val="00FE1F02"/>
    <w:rsid w:val="00FE21B4"/>
    <w:rsid w:val="00FE22CC"/>
    <w:rsid w:val="00FE2805"/>
    <w:rsid w:val="00FE2CAD"/>
    <w:rsid w:val="00FE3A1C"/>
    <w:rsid w:val="00FE4A3C"/>
    <w:rsid w:val="00FE4C79"/>
    <w:rsid w:val="00FE51C6"/>
    <w:rsid w:val="00FE560C"/>
    <w:rsid w:val="00FE5852"/>
    <w:rsid w:val="00FE5987"/>
    <w:rsid w:val="00FE5C79"/>
    <w:rsid w:val="00FE5E41"/>
    <w:rsid w:val="00FE5EE0"/>
    <w:rsid w:val="00FE6CB2"/>
    <w:rsid w:val="00FE7066"/>
    <w:rsid w:val="00FE79B6"/>
    <w:rsid w:val="00FE7F4F"/>
    <w:rsid w:val="00FF008F"/>
    <w:rsid w:val="00FF02EE"/>
    <w:rsid w:val="00FF0480"/>
    <w:rsid w:val="00FF057E"/>
    <w:rsid w:val="00FF0700"/>
    <w:rsid w:val="00FF08E3"/>
    <w:rsid w:val="00FF0AEF"/>
    <w:rsid w:val="00FF0F33"/>
    <w:rsid w:val="00FF12DB"/>
    <w:rsid w:val="00FF1410"/>
    <w:rsid w:val="00FF18BA"/>
    <w:rsid w:val="00FF1923"/>
    <w:rsid w:val="00FF1AF4"/>
    <w:rsid w:val="00FF1E59"/>
    <w:rsid w:val="00FF203E"/>
    <w:rsid w:val="00FF20E0"/>
    <w:rsid w:val="00FF2C6D"/>
    <w:rsid w:val="00FF346D"/>
    <w:rsid w:val="00FF353D"/>
    <w:rsid w:val="00FF36F5"/>
    <w:rsid w:val="00FF3763"/>
    <w:rsid w:val="00FF3975"/>
    <w:rsid w:val="00FF3B76"/>
    <w:rsid w:val="00FF413E"/>
    <w:rsid w:val="00FF42E2"/>
    <w:rsid w:val="00FF45B3"/>
    <w:rsid w:val="00FF4E0E"/>
    <w:rsid w:val="00FF4E22"/>
    <w:rsid w:val="00FF5037"/>
    <w:rsid w:val="00FF51B3"/>
    <w:rsid w:val="00FF58FE"/>
    <w:rsid w:val="00FF5958"/>
    <w:rsid w:val="00FF5986"/>
    <w:rsid w:val="00FF5A11"/>
    <w:rsid w:val="00FF5E93"/>
    <w:rsid w:val="00FF5FA2"/>
    <w:rsid w:val="00FF65CE"/>
    <w:rsid w:val="00FF68FE"/>
    <w:rsid w:val="00FF6EBC"/>
    <w:rsid w:val="00FF70A9"/>
    <w:rsid w:val="00FF7108"/>
    <w:rsid w:val="00FF76A8"/>
    <w:rsid w:val="00FF7704"/>
    <w:rsid w:val="00FF779A"/>
    <w:rsid w:val="00FF78BA"/>
    <w:rsid w:val="00FF7998"/>
    <w:rsid w:val="00FF79CC"/>
    <w:rsid w:val="00FF7A39"/>
    <w:rsid w:val="00FF7A7C"/>
    <w:rsid w:val="00FF7A87"/>
    <w:rsid w:val="0AF73544"/>
    <w:rsid w:val="11BD5F71"/>
    <w:rsid w:val="15C308C8"/>
    <w:rsid w:val="1ECB8641"/>
    <w:rsid w:val="2FBC3051"/>
    <w:rsid w:val="39EED18F"/>
    <w:rsid w:val="5C4B3EC1"/>
    <w:rsid w:val="6B86392A"/>
    <w:rsid w:val="6BCEF521"/>
    <w:rsid w:val="6DFF622F"/>
    <w:rsid w:val="6F9492CE"/>
    <w:rsid w:val="6FDD4798"/>
    <w:rsid w:val="73DED843"/>
    <w:rsid w:val="74DE043F"/>
    <w:rsid w:val="77F073CB"/>
    <w:rsid w:val="7ACF0DBE"/>
    <w:rsid w:val="7BBBFDAB"/>
    <w:rsid w:val="7BF772B7"/>
    <w:rsid w:val="7E7A2CAA"/>
    <w:rsid w:val="7F6598DD"/>
    <w:rsid w:val="7FBDDB5B"/>
    <w:rsid w:val="7FD19ED6"/>
    <w:rsid w:val="7FFEC2A9"/>
    <w:rsid w:val="7FFEFE54"/>
    <w:rsid w:val="7FFF5271"/>
    <w:rsid w:val="7FFFE2B3"/>
    <w:rsid w:val="8EFFBF3E"/>
    <w:rsid w:val="9DFF6D5B"/>
    <w:rsid w:val="9FF7F463"/>
    <w:rsid w:val="A5DF1E3A"/>
    <w:rsid w:val="B2F28372"/>
    <w:rsid w:val="B3D960B3"/>
    <w:rsid w:val="B5FBBC36"/>
    <w:rsid w:val="B6F875C4"/>
    <w:rsid w:val="B7A510BB"/>
    <w:rsid w:val="BF7B0F22"/>
    <w:rsid w:val="BFFFF4A9"/>
    <w:rsid w:val="C37D2D76"/>
    <w:rsid w:val="CD6F56C5"/>
    <w:rsid w:val="CFE7B490"/>
    <w:rsid w:val="D4FFC86E"/>
    <w:rsid w:val="DACFF77A"/>
    <w:rsid w:val="DB7FF83D"/>
    <w:rsid w:val="DBF20FB3"/>
    <w:rsid w:val="DEDBAE30"/>
    <w:rsid w:val="DF75AF06"/>
    <w:rsid w:val="DFC78298"/>
    <w:rsid w:val="DFEE1B51"/>
    <w:rsid w:val="DFFB6F20"/>
    <w:rsid w:val="E73F3A49"/>
    <w:rsid w:val="EADBBCF5"/>
    <w:rsid w:val="EFB59E26"/>
    <w:rsid w:val="EFBBD242"/>
    <w:rsid w:val="F7FF58E4"/>
    <w:rsid w:val="FBCF7152"/>
    <w:rsid w:val="FCD7FB33"/>
    <w:rsid w:val="FCF6F2E9"/>
    <w:rsid w:val="FDDF69D0"/>
    <w:rsid w:val="FE47694E"/>
    <w:rsid w:val="FEBF9AF2"/>
    <w:rsid w:val="FF2F693C"/>
    <w:rsid w:val="FF782C08"/>
    <w:rsid w:val="FFF734E6"/>
    <w:rsid w:val="FFFF1B4F"/>
    <w:rsid w:val="FFFFD7D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2"/>
    <w:qFormat/>
    <w:uiPriority w:val="9"/>
    <w:pPr>
      <w:keepNext/>
      <w:keepLines/>
      <w:spacing w:before="340" w:after="330" w:line="578" w:lineRule="auto"/>
      <w:outlineLvl w:val="0"/>
    </w:pPr>
    <w:rPr>
      <w:b/>
      <w:bCs/>
      <w:kern w:val="44"/>
      <w:sz w:val="44"/>
      <w:szCs w:val="44"/>
    </w:rPr>
  </w:style>
  <w:style w:type="paragraph" w:styleId="3">
    <w:name w:val="heading 2"/>
    <w:next w:val="1"/>
    <w:link w:val="23"/>
    <w:unhideWhenUsed/>
    <w:qFormat/>
    <w:uiPriority w:val="9"/>
    <w:pPr>
      <w:keepNext/>
      <w:keepLines/>
      <w:spacing w:before="240" w:after="240"/>
      <w:jc w:val="center"/>
      <w:outlineLvl w:val="1"/>
    </w:pPr>
    <w:rPr>
      <w:rFonts w:eastAsia="楷体" w:asciiTheme="majorHAnsi" w:hAnsiTheme="majorHAnsi" w:cstheme="majorBidi"/>
      <w:bCs/>
      <w:kern w:val="2"/>
      <w:sz w:val="32"/>
      <w:szCs w:val="32"/>
      <w:lang w:val="en-US" w:eastAsia="zh-CN" w:bidi="ar-SA"/>
    </w:rPr>
  </w:style>
  <w:style w:type="character" w:default="1" w:styleId="17">
    <w:name w:val="Default Paragraph Font"/>
    <w:semiHidden/>
    <w:unhideWhenUsed/>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4">
    <w:name w:val="Document Map"/>
    <w:basedOn w:val="1"/>
    <w:link w:val="45"/>
    <w:semiHidden/>
    <w:unhideWhenUsed/>
    <w:qFormat/>
    <w:uiPriority w:val="99"/>
    <w:rPr>
      <w:rFonts w:ascii="宋体" w:eastAsia="宋体"/>
      <w:sz w:val="18"/>
      <w:szCs w:val="18"/>
    </w:rPr>
  </w:style>
  <w:style w:type="paragraph" w:styleId="5">
    <w:name w:val="annotation text"/>
    <w:basedOn w:val="1"/>
    <w:link w:val="24"/>
    <w:unhideWhenUsed/>
    <w:qFormat/>
    <w:uiPriority w:val="99"/>
    <w:pPr>
      <w:jc w:val="left"/>
    </w:pPr>
  </w:style>
  <w:style w:type="paragraph" w:styleId="6">
    <w:name w:val="toc 3"/>
    <w:basedOn w:val="1"/>
    <w:next w:val="1"/>
    <w:autoRedefine/>
    <w:semiHidden/>
    <w:unhideWhenUsed/>
    <w:qFormat/>
    <w:uiPriority w:val="39"/>
    <w:pPr>
      <w:widowControl/>
      <w:spacing w:after="100" w:line="276" w:lineRule="auto"/>
      <w:ind w:left="440"/>
      <w:jc w:val="left"/>
    </w:pPr>
    <w:rPr>
      <w:kern w:val="0"/>
      <w:sz w:val="22"/>
    </w:rPr>
  </w:style>
  <w:style w:type="paragraph" w:styleId="7">
    <w:name w:val="Plain Text"/>
    <w:basedOn w:val="1"/>
    <w:link w:val="26"/>
    <w:unhideWhenUsed/>
    <w:qFormat/>
    <w:uiPriority w:val="0"/>
    <w:pPr>
      <w:snapToGrid w:val="0"/>
      <w:spacing w:line="300" w:lineRule="auto"/>
      <w:ind w:firstLine="200" w:firstLineChars="200"/>
    </w:pPr>
    <w:rPr>
      <w:rFonts w:ascii="宋体" w:hAnsi="Courier New" w:eastAsia="宋体" w:cs="Courier New"/>
      <w:szCs w:val="21"/>
    </w:rPr>
  </w:style>
  <w:style w:type="paragraph" w:styleId="8">
    <w:name w:val="Date"/>
    <w:basedOn w:val="1"/>
    <w:next w:val="1"/>
    <w:link w:val="103"/>
    <w:semiHidden/>
    <w:unhideWhenUsed/>
    <w:qFormat/>
    <w:uiPriority w:val="99"/>
    <w:pPr>
      <w:ind w:left="100" w:leftChars="2500"/>
    </w:pPr>
  </w:style>
  <w:style w:type="paragraph" w:styleId="9">
    <w:name w:val="Balloon Text"/>
    <w:basedOn w:val="1"/>
    <w:link w:val="27"/>
    <w:unhideWhenUsed/>
    <w:qFormat/>
    <w:uiPriority w:val="99"/>
    <w:rPr>
      <w:sz w:val="18"/>
      <w:szCs w:val="18"/>
    </w:rPr>
  </w:style>
  <w:style w:type="paragraph" w:styleId="10">
    <w:name w:val="footer"/>
    <w:basedOn w:val="1"/>
    <w:link w:val="28"/>
    <w:unhideWhenUsed/>
    <w:qFormat/>
    <w:uiPriority w:val="99"/>
    <w:pPr>
      <w:tabs>
        <w:tab w:val="center" w:pos="4153"/>
        <w:tab w:val="right" w:pos="8306"/>
      </w:tabs>
      <w:snapToGrid w:val="0"/>
      <w:jc w:val="left"/>
    </w:pPr>
    <w:rPr>
      <w:sz w:val="18"/>
      <w:szCs w:val="18"/>
    </w:rPr>
  </w:style>
  <w:style w:type="paragraph" w:styleId="11">
    <w:name w:val="header"/>
    <w:basedOn w:val="1"/>
    <w:link w:val="29"/>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unhideWhenUsed/>
    <w:qFormat/>
    <w:uiPriority w:val="39"/>
    <w:pPr>
      <w:tabs>
        <w:tab w:val="left" w:pos="1050"/>
        <w:tab w:val="right" w:leader="dot" w:pos="8296"/>
      </w:tabs>
      <w:spacing w:line="420" w:lineRule="exact"/>
    </w:pPr>
  </w:style>
  <w:style w:type="paragraph" w:styleId="13">
    <w:name w:val="toc 2"/>
    <w:basedOn w:val="1"/>
    <w:next w:val="1"/>
    <w:unhideWhenUsed/>
    <w:qFormat/>
    <w:uiPriority w:val="39"/>
    <w:pPr>
      <w:ind w:left="420" w:leftChars="200"/>
    </w:pPr>
  </w:style>
  <w:style w:type="paragraph" w:styleId="14">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5">
    <w:name w:val="annotation subject"/>
    <w:basedOn w:val="5"/>
    <w:next w:val="5"/>
    <w:link w:val="25"/>
    <w:unhideWhenUsed/>
    <w:qFormat/>
    <w:uiPriority w:val="99"/>
    <w:rPr>
      <w:b/>
      <w:bCs/>
    </w:rPr>
  </w:style>
  <w:style w:type="character" w:styleId="18">
    <w:name w:val="Strong"/>
    <w:basedOn w:val="17"/>
    <w:qFormat/>
    <w:uiPriority w:val="22"/>
    <w:rPr>
      <w:b/>
      <w:bCs/>
    </w:rPr>
  </w:style>
  <w:style w:type="character" w:styleId="19">
    <w:name w:val="FollowedHyperlink"/>
    <w:basedOn w:val="17"/>
    <w:semiHidden/>
    <w:unhideWhenUsed/>
    <w:qFormat/>
    <w:uiPriority w:val="99"/>
    <w:rPr>
      <w:color w:val="800080"/>
      <w:u w:val="single"/>
    </w:rPr>
  </w:style>
  <w:style w:type="character" w:styleId="20">
    <w:name w:val="Hyperlink"/>
    <w:basedOn w:val="17"/>
    <w:unhideWhenUsed/>
    <w:qFormat/>
    <w:uiPriority w:val="99"/>
    <w:rPr>
      <w:color w:val="0000FF"/>
      <w:u w:val="single"/>
    </w:rPr>
  </w:style>
  <w:style w:type="character" w:styleId="21">
    <w:name w:val="annotation reference"/>
    <w:basedOn w:val="17"/>
    <w:unhideWhenUsed/>
    <w:qFormat/>
    <w:uiPriority w:val="99"/>
    <w:rPr>
      <w:sz w:val="21"/>
      <w:szCs w:val="21"/>
    </w:rPr>
  </w:style>
  <w:style w:type="character" w:customStyle="1" w:styleId="22">
    <w:name w:val="标题 1 Char"/>
    <w:basedOn w:val="17"/>
    <w:link w:val="2"/>
    <w:qFormat/>
    <w:uiPriority w:val="9"/>
    <w:rPr>
      <w:b/>
      <w:bCs/>
      <w:kern w:val="44"/>
      <w:sz w:val="44"/>
      <w:szCs w:val="44"/>
    </w:rPr>
  </w:style>
  <w:style w:type="character" w:customStyle="1" w:styleId="23">
    <w:name w:val="标题 2 Char"/>
    <w:basedOn w:val="17"/>
    <w:link w:val="3"/>
    <w:uiPriority w:val="9"/>
    <w:rPr>
      <w:rFonts w:eastAsia="楷体" w:asciiTheme="majorHAnsi" w:hAnsiTheme="majorHAnsi" w:cstheme="majorBidi"/>
      <w:bCs/>
      <w:sz w:val="32"/>
      <w:szCs w:val="32"/>
    </w:rPr>
  </w:style>
  <w:style w:type="character" w:customStyle="1" w:styleId="24">
    <w:name w:val="批注文字 Char"/>
    <w:basedOn w:val="17"/>
    <w:link w:val="5"/>
    <w:semiHidden/>
    <w:qFormat/>
    <w:uiPriority w:val="99"/>
  </w:style>
  <w:style w:type="character" w:customStyle="1" w:styleId="25">
    <w:name w:val="批注主题 Char"/>
    <w:basedOn w:val="24"/>
    <w:link w:val="15"/>
    <w:semiHidden/>
    <w:qFormat/>
    <w:uiPriority w:val="99"/>
    <w:rPr>
      <w:b/>
      <w:bCs/>
    </w:rPr>
  </w:style>
  <w:style w:type="character" w:customStyle="1" w:styleId="26">
    <w:name w:val="纯文本 Char"/>
    <w:basedOn w:val="17"/>
    <w:link w:val="7"/>
    <w:qFormat/>
    <w:uiPriority w:val="0"/>
    <w:rPr>
      <w:rFonts w:ascii="宋体" w:hAnsi="Courier New" w:eastAsia="宋体" w:cs="Courier New"/>
      <w:szCs w:val="21"/>
    </w:rPr>
  </w:style>
  <w:style w:type="character" w:customStyle="1" w:styleId="27">
    <w:name w:val="批注框文本 Char"/>
    <w:basedOn w:val="17"/>
    <w:link w:val="9"/>
    <w:semiHidden/>
    <w:qFormat/>
    <w:uiPriority w:val="99"/>
    <w:rPr>
      <w:sz w:val="18"/>
      <w:szCs w:val="18"/>
    </w:rPr>
  </w:style>
  <w:style w:type="character" w:customStyle="1" w:styleId="28">
    <w:name w:val="页脚 Char"/>
    <w:basedOn w:val="17"/>
    <w:link w:val="10"/>
    <w:qFormat/>
    <w:uiPriority w:val="99"/>
    <w:rPr>
      <w:sz w:val="18"/>
      <w:szCs w:val="18"/>
    </w:rPr>
  </w:style>
  <w:style w:type="character" w:customStyle="1" w:styleId="29">
    <w:name w:val="页眉 Char"/>
    <w:basedOn w:val="17"/>
    <w:link w:val="11"/>
    <w:semiHidden/>
    <w:qFormat/>
    <w:uiPriority w:val="99"/>
    <w:rPr>
      <w:sz w:val="18"/>
      <w:szCs w:val="18"/>
    </w:rPr>
  </w:style>
  <w:style w:type="paragraph" w:customStyle="1" w:styleId="30">
    <w:name w:val="列出段落1"/>
    <w:basedOn w:val="1"/>
    <w:qFormat/>
    <w:uiPriority w:val="34"/>
    <w:pPr>
      <w:snapToGrid w:val="0"/>
      <w:spacing w:line="300" w:lineRule="auto"/>
      <w:ind w:firstLine="420" w:firstLineChars="200"/>
    </w:pPr>
    <w:rPr>
      <w:rFonts w:ascii="Calibri" w:hAnsi="Calibri" w:eastAsia="微软雅黑" w:cs="Times New Roman"/>
    </w:rPr>
  </w:style>
  <w:style w:type="paragraph" w:customStyle="1" w:styleId="31">
    <w:name w:val="一级标题"/>
    <w:qFormat/>
    <w:uiPriority w:val="0"/>
    <w:pPr>
      <w:jc w:val="center"/>
      <w:outlineLvl w:val="0"/>
    </w:pPr>
    <w:rPr>
      <w:rFonts w:ascii="黑体" w:hAnsi="Times New Roman" w:eastAsia="黑体" w:cs="Times New Roman"/>
      <w:b/>
      <w:kern w:val="2"/>
      <w:sz w:val="30"/>
      <w:szCs w:val="30"/>
      <w:lang w:val="en-US" w:eastAsia="zh-CN" w:bidi="ar-SA"/>
    </w:rPr>
  </w:style>
  <w:style w:type="paragraph" w:customStyle="1" w:styleId="32">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33">
    <w:name w:val="A-标题1"/>
    <w:basedOn w:val="1"/>
    <w:link w:val="34"/>
    <w:qFormat/>
    <w:uiPriority w:val="0"/>
    <w:pPr>
      <w:keepNext/>
      <w:keepLines/>
      <w:spacing w:beforeLines="200" w:afterLines="100" w:line="360" w:lineRule="auto"/>
      <w:jc w:val="center"/>
      <w:outlineLvl w:val="0"/>
    </w:pPr>
    <w:rPr>
      <w:rFonts w:ascii="Times New Roman" w:hAnsi="Times New Roman" w:eastAsia="黑体" w:cs="Times New Roman"/>
      <w:b/>
      <w:kern w:val="0"/>
      <w:sz w:val="36"/>
      <w:szCs w:val="20"/>
    </w:rPr>
  </w:style>
  <w:style w:type="character" w:customStyle="1" w:styleId="34">
    <w:name w:val="A-标题1 Char"/>
    <w:link w:val="33"/>
    <w:qFormat/>
    <w:uiPriority w:val="0"/>
    <w:rPr>
      <w:rFonts w:ascii="Times New Roman" w:hAnsi="Times New Roman" w:eastAsia="黑体" w:cs="Times New Roman"/>
      <w:b/>
      <w:kern w:val="0"/>
      <w:sz w:val="36"/>
      <w:szCs w:val="20"/>
    </w:rPr>
  </w:style>
  <w:style w:type="paragraph" w:customStyle="1" w:styleId="35">
    <w:name w:val="TOC 标题1"/>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paragraph" w:customStyle="1" w:styleId="36">
    <w:name w:val="二级标题"/>
    <w:next w:val="1"/>
    <w:qFormat/>
    <w:uiPriority w:val="0"/>
    <w:pPr>
      <w:ind w:firstLine="562" w:firstLineChars="200"/>
      <w:outlineLvl w:val="1"/>
    </w:pPr>
    <w:rPr>
      <w:rFonts w:ascii="仿宋" w:hAnsi="仿宋" w:eastAsia="仿宋" w:cs="Times New Roman"/>
      <w:b/>
      <w:sz w:val="28"/>
      <w:szCs w:val="28"/>
      <w:lang w:val="en-US" w:eastAsia="zh-CN" w:bidi="ar-SA"/>
    </w:rPr>
  </w:style>
  <w:style w:type="paragraph" w:customStyle="1" w:styleId="37">
    <w:name w:val="contentfont"/>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38">
    <w:name w:val="bjh-strong"/>
    <w:basedOn w:val="17"/>
    <w:qFormat/>
    <w:uiPriority w:val="0"/>
  </w:style>
  <w:style w:type="character" w:customStyle="1" w:styleId="39">
    <w:name w:val="bjh-p"/>
    <w:basedOn w:val="17"/>
    <w:qFormat/>
    <w:uiPriority w:val="0"/>
  </w:style>
  <w:style w:type="paragraph" w:customStyle="1" w:styleId="40">
    <w:name w:val="修订1"/>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41">
    <w:name w:val="NormalCharacter"/>
    <w:qFormat/>
    <w:uiPriority w:val="99"/>
  </w:style>
  <w:style w:type="paragraph" w:customStyle="1" w:styleId="42">
    <w:name w:val="正文新"/>
    <w:link w:val="43"/>
    <w:qFormat/>
    <w:uiPriority w:val="0"/>
    <w:pPr>
      <w:ind w:firstLine="200" w:firstLineChars="200"/>
      <w:contextualSpacing/>
      <w:jc w:val="both"/>
    </w:pPr>
    <w:rPr>
      <w:rFonts w:ascii="仿宋_GB2312" w:hAnsi="Times New Roman" w:eastAsia="仿宋_GB2312" w:cs="Times New Roman"/>
      <w:kern w:val="2"/>
      <w:sz w:val="28"/>
      <w:szCs w:val="28"/>
      <w:lang w:val="en-US" w:eastAsia="zh-CN" w:bidi="ar-SA"/>
    </w:rPr>
  </w:style>
  <w:style w:type="character" w:customStyle="1" w:styleId="43">
    <w:name w:val="正文新 Char"/>
    <w:link w:val="42"/>
    <w:qFormat/>
    <w:uiPriority w:val="0"/>
    <w:rPr>
      <w:rFonts w:ascii="仿宋_GB2312" w:hAnsi="Times New Roman" w:eastAsia="仿宋_GB2312" w:cs="Times New Roman"/>
      <w:sz w:val="28"/>
      <w:szCs w:val="28"/>
    </w:rPr>
  </w:style>
  <w:style w:type="paragraph" w:styleId="44">
    <w:name w:val="List Paragraph"/>
    <w:basedOn w:val="1"/>
    <w:unhideWhenUsed/>
    <w:qFormat/>
    <w:uiPriority w:val="34"/>
    <w:pPr>
      <w:ind w:firstLine="420" w:firstLineChars="200"/>
    </w:pPr>
  </w:style>
  <w:style w:type="character" w:customStyle="1" w:styleId="45">
    <w:name w:val="文档结构图 Char"/>
    <w:basedOn w:val="17"/>
    <w:link w:val="4"/>
    <w:semiHidden/>
    <w:qFormat/>
    <w:uiPriority w:val="99"/>
    <w:rPr>
      <w:rFonts w:ascii="宋体" w:hAnsiTheme="minorHAnsi" w:cstheme="minorBidi"/>
      <w:kern w:val="2"/>
      <w:sz w:val="18"/>
      <w:szCs w:val="18"/>
    </w:rPr>
  </w:style>
  <w:style w:type="paragraph" w:customStyle="1" w:styleId="46">
    <w:name w:val="TOC Heading"/>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paragraph" w:customStyle="1" w:styleId="47">
    <w:name w:val="font5"/>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48">
    <w:name w:val="xl65"/>
    <w:basedOn w:val="1"/>
    <w:qFormat/>
    <w:uiPriority w:val="0"/>
    <w:pPr>
      <w:widowControl/>
      <w:shd w:val="clear" w:color="000000" w:fill="FFF3CB"/>
      <w:spacing w:before="100" w:beforeAutospacing="1" w:after="100" w:afterAutospacing="1"/>
      <w:jc w:val="left"/>
    </w:pPr>
    <w:rPr>
      <w:rFonts w:ascii="宋体" w:hAnsi="宋体" w:eastAsia="宋体" w:cs="宋体"/>
      <w:kern w:val="0"/>
      <w:sz w:val="24"/>
      <w:szCs w:val="24"/>
    </w:rPr>
  </w:style>
  <w:style w:type="paragraph" w:customStyle="1" w:styleId="49">
    <w:name w:val="xl66"/>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E2EFD9"/>
      <w:spacing w:before="100" w:beforeAutospacing="1" w:after="100" w:afterAutospacing="1"/>
      <w:jc w:val="center"/>
    </w:pPr>
    <w:rPr>
      <w:rFonts w:ascii="微软雅黑" w:hAnsi="微软雅黑" w:eastAsia="微软雅黑" w:cs="宋体"/>
      <w:kern w:val="0"/>
      <w:sz w:val="18"/>
      <w:szCs w:val="18"/>
    </w:rPr>
  </w:style>
  <w:style w:type="paragraph" w:customStyle="1" w:styleId="50">
    <w:name w:val="xl67"/>
    <w:basedOn w:val="1"/>
    <w:qFormat/>
    <w:uiPriority w:val="0"/>
    <w:pPr>
      <w:widowControl/>
      <w:pBdr>
        <w:top w:val="single" w:color="auto" w:sz="4" w:space="0"/>
        <w:left w:val="single" w:color="auto" w:sz="4" w:space="0"/>
        <w:bottom w:val="single" w:color="auto" w:sz="4" w:space="0"/>
        <w:right w:val="single" w:color="auto" w:sz="4" w:space="0"/>
      </w:pBdr>
      <w:shd w:val="clear" w:color="000000" w:fill="E2EFD9"/>
      <w:spacing w:before="100" w:beforeAutospacing="1" w:after="100" w:afterAutospacing="1"/>
      <w:jc w:val="center"/>
    </w:pPr>
    <w:rPr>
      <w:rFonts w:ascii="微软雅黑" w:hAnsi="微软雅黑" w:eastAsia="微软雅黑" w:cs="宋体"/>
      <w:kern w:val="0"/>
      <w:sz w:val="18"/>
      <w:szCs w:val="18"/>
    </w:rPr>
  </w:style>
  <w:style w:type="paragraph" w:customStyle="1" w:styleId="51">
    <w:name w:val="xl68"/>
    <w:basedOn w:val="1"/>
    <w:qFormat/>
    <w:uiPriority w:val="0"/>
    <w:pPr>
      <w:widowControl/>
      <w:pBdr>
        <w:top w:val="single" w:color="000000" w:sz="4" w:space="0"/>
        <w:left w:val="single" w:color="000000" w:sz="4" w:space="0"/>
        <w:bottom w:val="single" w:color="000000" w:sz="4" w:space="0"/>
      </w:pBdr>
      <w:shd w:val="clear" w:color="000000" w:fill="E2EFD9"/>
      <w:spacing w:before="100" w:beforeAutospacing="1" w:after="100" w:afterAutospacing="1"/>
      <w:jc w:val="center"/>
    </w:pPr>
    <w:rPr>
      <w:rFonts w:ascii="微软雅黑" w:hAnsi="微软雅黑" w:eastAsia="微软雅黑" w:cs="宋体"/>
      <w:kern w:val="0"/>
      <w:sz w:val="18"/>
      <w:szCs w:val="18"/>
    </w:rPr>
  </w:style>
  <w:style w:type="paragraph" w:customStyle="1" w:styleId="52">
    <w:name w:val="xl69"/>
    <w:basedOn w:val="1"/>
    <w:qFormat/>
    <w:uiPriority w:val="0"/>
    <w:pPr>
      <w:widowControl/>
      <w:pBdr>
        <w:top w:val="single" w:color="000000" w:sz="4" w:space="0"/>
        <w:left w:val="single" w:color="000000" w:sz="4" w:space="0"/>
      </w:pBdr>
      <w:shd w:val="clear" w:color="000000" w:fill="E2EFD9"/>
      <w:spacing w:before="100" w:beforeAutospacing="1" w:after="100" w:afterAutospacing="1"/>
      <w:jc w:val="center"/>
    </w:pPr>
    <w:rPr>
      <w:rFonts w:ascii="微软雅黑" w:hAnsi="微软雅黑" w:eastAsia="微软雅黑" w:cs="宋体"/>
      <w:kern w:val="0"/>
      <w:sz w:val="18"/>
      <w:szCs w:val="18"/>
    </w:rPr>
  </w:style>
  <w:style w:type="paragraph" w:customStyle="1" w:styleId="53">
    <w:name w:val="xl70"/>
    <w:basedOn w:val="1"/>
    <w:qFormat/>
    <w:uiPriority w:val="0"/>
    <w:pPr>
      <w:widowControl/>
      <w:pBdr>
        <w:left w:val="single" w:color="000000" w:sz="4" w:space="0"/>
        <w:bottom w:val="single" w:color="000000" w:sz="4" w:space="0"/>
        <w:right w:val="single" w:color="000000" w:sz="4" w:space="0"/>
      </w:pBdr>
      <w:shd w:val="clear" w:color="000000" w:fill="E2EFD9"/>
      <w:spacing w:before="100" w:beforeAutospacing="1" w:after="100" w:afterAutospacing="1"/>
      <w:jc w:val="center"/>
    </w:pPr>
    <w:rPr>
      <w:rFonts w:ascii="微软雅黑" w:hAnsi="微软雅黑" w:eastAsia="微软雅黑" w:cs="宋体"/>
      <w:kern w:val="0"/>
      <w:sz w:val="18"/>
      <w:szCs w:val="18"/>
    </w:rPr>
  </w:style>
  <w:style w:type="paragraph" w:customStyle="1" w:styleId="54">
    <w:name w:val="xl71"/>
    <w:basedOn w:val="1"/>
    <w:qFormat/>
    <w:uiPriority w:val="0"/>
    <w:pPr>
      <w:widowControl/>
      <w:pBdr>
        <w:top w:val="single" w:color="000000" w:sz="4" w:space="0"/>
        <w:left w:val="single" w:color="000000" w:sz="4" w:space="0"/>
        <w:right w:val="single" w:color="000000" w:sz="4" w:space="0"/>
      </w:pBdr>
      <w:shd w:val="clear" w:color="000000" w:fill="E2EFD9"/>
      <w:spacing w:before="100" w:beforeAutospacing="1" w:after="100" w:afterAutospacing="1"/>
      <w:jc w:val="center"/>
    </w:pPr>
    <w:rPr>
      <w:rFonts w:ascii="微软雅黑" w:hAnsi="微软雅黑" w:eastAsia="微软雅黑" w:cs="宋体"/>
      <w:kern w:val="0"/>
      <w:sz w:val="18"/>
      <w:szCs w:val="18"/>
    </w:rPr>
  </w:style>
  <w:style w:type="paragraph" w:customStyle="1" w:styleId="55">
    <w:name w:val="xl72"/>
    <w:basedOn w:val="1"/>
    <w:qFormat/>
    <w:uiPriority w:val="0"/>
    <w:pPr>
      <w:widowControl/>
      <w:pBdr>
        <w:left w:val="single" w:color="000000" w:sz="4" w:space="0"/>
        <w:right w:val="single" w:color="000000" w:sz="4" w:space="0"/>
      </w:pBdr>
      <w:shd w:val="clear" w:color="000000" w:fill="E2EFD9"/>
      <w:spacing w:before="100" w:beforeAutospacing="1" w:after="100" w:afterAutospacing="1"/>
      <w:jc w:val="center"/>
    </w:pPr>
    <w:rPr>
      <w:rFonts w:ascii="微软雅黑" w:hAnsi="微软雅黑" w:eastAsia="微软雅黑" w:cs="宋体"/>
      <w:kern w:val="0"/>
      <w:sz w:val="18"/>
      <w:szCs w:val="18"/>
    </w:rPr>
  </w:style>
  <w:style w:type="paragraph" w:customStyle="1" w:styleId="56">
    <w:name w:val="xl73"/>
    <w:basedOn w:val="1"/>
    <w:qFormat/>
    <w:uiPriority w:val="0"/>
    <w:pPr>
      <w:widowControl/>
      <w:pBdr>
        <w:left w:val="single" w:color="000000" w:sz="4" w:space="0"/>
        <w:bottom w:val="single" w:color="000000" w:sz="4" w:space="0"/>
        <w:right w:val="single" w:color="000000" w:sz="4" w:space="0"/>
      </w:pBdr>
      <w:shd w:val="clear" w:color="000000" w:fill="FFF3CB"/>
      <w:spacing w:before="100" w:beforeAutospacing="1" w:after="100" w:afterAutospacing="1"/>
      <w:jc w:val="center"/>
    </w:pPr>
    <w:rPr>
      <w:rFonts w:ascii="微软雅黑" w:hAnsi="微软雅黑" w:eastAsia="微软雅黑" w:cs="宋体"/>
      <w:kern w:val="0"/>
      <w:sz w:val="18"/>
      <w:szCs w:val="18"/>
    </w:rPr>
  </w:style>
  <w:style w:type="paragraph" w:customStyle="1" w:styleId="57">
    <w:name w:val="xl74"/>
    <w:basedOn w:val="1"/>
    <w:qFormat/>
    <w:uiPriority w:val="0"/>
    <w:pPr>
      <w:widowControl/>
      <w:pBdr>
        <w:top w:val="single" w:color="auto" w:sz="4" w:space="0"/>
        <w:left w:val="single" w:color="auto" w:sz="4" w:space="0"/>
        <w:bottom w:val="single" w:color="auto" w:sz="4" w:space="0"/>
        <w:right w:val="single" w:color="auto" w:sz="4" w:space="0"/>
      </w:pBdr>
      <w:shd w:val="clear" w:color="000000" w:fill="FFF3CB"/>
      <w:spacing w:before="100" w:beforeAutospacing="1" w:after="100" w:afterAutospacing="1"/>
      <w:jc w:val="center"/>
    </w:pPr>
    <w:rPr>
      <w:rFonts w:ascii="微软雅黑" w:hAnsi="微软雅黑" w:eastAsia="微软雅黑" w:cs="宋体"/>
      <w:kern w:val="0"/>
      <w:sz w:val="18"/>
      <w:szCs w:val="18"/>
    </w:rPr>
  </w:style>
  <w:style w:type="paragraph" w:customStyle="1" w:styleId="58">
    <w:name w:val="xl75"/>
    <w:basedOn w:val="1"/>
    <w:qFormat/>
    <w:uiPriority w:val="0"/>
    <w:pPr>
      <w:widowControl/>
      <w:pBdr>
        <w:top w:val="single" w:color="000000" w:sz="4" w:space="0"/>
        <w:left w:val="single" w:color="000000" w:sz="4" w:space="0"/>
        <w:bottom w:val="single" w:color="000000" w:sz="4" w:space="0"/>
      </w:pBdr>
      <w:shd w:val="clear" w:color="000000" w:fill="FFF3CB"/>
      <w:spacing w:before="100" w:beforeAutospacing="1" w:after="100" w:afterAutospacing="1"/>
      <w:jc w:val="center"/>
    </w:pPr>
    <w:rPr>
      <w:rFonts w:ascii="微软雅黑" w:hAnsi="微软雅黑" w:eastAsia="微软雅黑" w:cs="宋体"/>
      <w:kern w:val="0"/>
      <w:sz w:val="18"/>
      <w:szCs w:val="18"/>
    </w:rPr>
  </w:style>
  <w:style w:type="paragraph" w:customStyle="1" w:styleId="59">
    <w:name w:val="xl76"/>
    <w:basedOn w:val="1"/>
    <w:qFormat/>
    <w:uiPriority w:val="0"/>
    <w:pPr>
      <w:widowControl/>
      <w:pBdr>
        <w:left w:val="single" w:color="000000" w:sz="4" w:space="0"/>
        <w:bottom w:val="single" w:color="000000" w:sz="4" w:space="0"/>
        <w:right w:val="single" w:color="000000" w:sz="4" w:space="0"/>
      </w:pBdr>
      <w:shd w:val="clear" w:color="000000" w:fill="FFF3CB"/>
      <w:spacing w:before="100" w:beforeAutospacing="1" w:after="100" w:afterAutospacing="1"/>
      <w:jc w:val="center"/>
    </w:pPr>
    <w:rPr>
      <w:rFonts w:ascii="微软雅黑" w:hAnsi="微软雅黑" w:eastAsia="微软雅黑" w:cs="宋体"/>
      <w:kern w:val="0"/>
      <w:sz w:val="18"/>
      <w:szCs w:val="18"/>
    </w:rPr>
  </w:style>
  <w:style w:type="paragraph" w:customStyle="1" w:styleId="60">
    <w:name w:val="xl77"/>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FF3CB"/>
      <w:spacing w:before="100" w:beforeAutospacing="1" w:after="100" w:afterAutospacing="1"/>
      <w:jc w:val="center"/>
    </w:pPr>
    <w:rPr>
      <w:rFonts w:ascii="微软雅黑" w:hAnsi="微软雅黑" w:eastAsia="微软雅黑" w:cs="宋体"/>
      <w:kern w:val="0"/>
      <w:sz w:val="18"/>
      <w:szCs w:val="18"/>
    </w:rPr>
  </w:style>
  <w:style w:type="paragraph" w:customStyle="1" w:styleId="61">
    <w:name w:val="xl78"/>
    <w:basedOn w:val="1"/>
    <w:qFormat/>
    <w:uiPriority w:val="0"/>
    <w:pPr>
      <w:widowControl/>
      <w:pBdr>
        <w:top w:val="single" w:color="000000" w:sz="4" w:space="0"/>
        <w:left w:val="single" w:color="000000" w:sz="4" w:space="0"/>
      </w:pBdr>
      <w:shd w:val="clear" w:color="000000" w:fill="FFF3CB"/>
      <w:spacing w:before="100" w:beforeAutospacing="1" w:after="100" w:afterAutospacing="1"/>
      <w:jc w:val="center"/>
    </w:pPr>
    <w:rPr>
      <w:rFonts w:ascii="微软雅黑" w:hAnsi="微软雅黑" w:eastAsia="微软雅黑" w:cs="宋体"/>
      <w:kern w:val="0"/>
      <w:sz w:val="18"/>
      <w:szCs w:val="18"/>
    </w:rPr>
  </w:style>
  <w:style w:type="paragraph" w:customStyle="1" w:styleId="62">
    <w:name w:val="xl79"/>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FF3CB"/>
      <w:spacing w:before="100" w:beforeAutospacing="1" w:after="100" w:afterAutospacing="1"/>
      <w:jc w:val="center"/>
    </w:pPr>
    <w:rPr>
      <w:rFonts w:ascii="微软雅黑" w:hAnsi="微软雅黑" w:eastAsia="微软雅黑" w:cs="宋体"/>
      <w:kern w:val="0"/>
      <w:sz w:val="18"/>
      <w:szCs w:val="18"/>
    </w:rPr>
  </w:style>
  <w:style w:type="paragraph" w:customStyle="1" w:styleId="63">
    <w:name w:val="xl80"/>
    <w:basedOn w:val="1"/>
    <w:qFormat/>
    <w:uiPriority w:val="0"/>
    <w:pPr>
      <w:widowControl/>
      <w:pBdr>
        <w:top w:val="single" w:color="000000" w:sz="4" w:space="0"/>
        <w:left w:val="single" w:color="000000" w:sz="4" w:space="0"/>
        <w:right w:val="single" w:color="000000" w:sz="4" w:space="0"/>
      </w:pBdr>
      <w:shd w:val="clear" w:color="000000" w:fill="FFF3CB"/>
      <w:spacing w:before="100" w:beforeAutospacing="1" w:after="100" w:afterAutospacing="1"/>
      <w:jc w:val="center"/>
    </w:pPr>
    <w:rPr>
      <w:rFonts w:ascii="微软雅黑" w:hAnsi="微软雅黑" w:eastAsia="微软雅黑" w:cs="宋体"/>
      <w:kern w:val="0"/>
      <w:sz w:val="18"/>
      <w:szCs w:val="18"/>
    </w:rPr>
  </w:style>
  <w:style w:type="paragraph" w:customStyle="1" w:styleId="64">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D9E2F3"/>
      <w:spacing w:before="100" w:beforeAutospacing="1" w:after="100" w:afterAutospacing="1"/>
      <w:jc w:val="center"/>
    </w:pPr>
    <w:rPr>
      <w:rFonts w:ascii="微软雅黑" w:hAnsi="微软雅黑" w:eastAsia="微软雅黑" w:cs="宋体"/>
      <w:kern w:val="0"/>
      <w:sz w:val="18"/>
      <w:szCs w:val="18"/>
    </w:rPr>
  </w:style>
  <w:style w:type="paragraph" w:customStyle="1" w:styleId="65">
    <w:name w:val="xl82"/>
    <w:basedOn w:val="1"/>
    <w:qFormat/>
    <w:uiPriority w:val="0"/>
    <w:pPr>
      <w:widowControl/>
      <w:pBdr>
        <w:left w:val="single" w:color="000000" w:sz="4" w:space="0"/>
        <w:bottom w:val="single" w:color="000000" w:sz="4" w:space="0"/>
        <w:right w:val="single" w:color="000000" w:sz="4" w:space="0"/>
      </w:pBdr>
      <w:shd w:val="clear" w:color="000000" w:fill="D9E2F3"/>
      <w:spacing w:before="100" w:beforeAutospacing="1" w:after="100" w:afterAutospacing="1"/>
      <w:jc w:val="center"/>
    </w:pPr>
    <w:rPr>
      <w:rFonts w:ascii="微软雅黑" w:hAnsi="微软雅黑" w:eastAsia="微软雅黑" w:cs="宋体"/>
      <w:kern w:val="0"/>
      <w:sz w:val="18"/>
      <w:szCs w:val="18"/>
    </w:rPr>
  </w:style>
  <w:style w:type="paragraph" w:customStyle="1" w:styleId="66">
    <w:name w:val="xl83"/>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D9E2F3"/>
      <w:spacing w:before="100" w:beforeAutospacing="1" w:after="100" w:afterAutospacing="1"/>
      <w:jc w:val="center"/>
    </w:pPr>
    <w:rPr>
      <w:rFonts w:ascii="微软雅黑" w:hAnsi="微软雅黑" w:eastAsia="微软雅黑" w:cs="宋体"/>
      <w:kern w:val="0"/>
      <w:sz w:val="18"/>
      <w:szCs w:val="18"/>
    </w:rPr>
  </w:style>
  <w:style w:type="paragraph" w:customStyle="1" w:styleId="67">
    <w:name w:val="xl84"/>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D9E2F3"/>
      <w:spacing w:before="100" w:beforeAutospacing="1" w:after="100" w:afterAutospacing="1"/>
      <w:jc w:val="center"/>
    </w:pPr>
    <w:rPr>
      <w:rFonts w:ascii="微软雅黑" w:hAnsi="微软雅黑" w:eastAsia="微软雅黑" w:cs="宋体"/>
      <w:kern w:val="0"/>
      <w:sz w:val="18"/>
      <w:szCs w:val="18"/>
    </w:rPr>
  </w:style>
  <w:style w:type="paragraph" w:customStyle="1" w:styleId="68">
    <w:name w:val="xl85"/>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D9E2F3"/>
      <w:spacing w:before="100" w:beforeAutospacing="1" w:after="100" w:afterAutospacing="1"/>
      <w:jc w:val="center"/>
    </w:pPr>
    <w:rPr>
      <w:rFonts w:ascii="微软雅黑" w:hAnsi="微软雅黑" w:eastAsia="微软雅黑" w:cs="宋体"/>
      <w:kern w:val="0"/>
      <w:sz w:val="18"/>
      <w:szCs w:val="18"/>
    </w:rPr>
  </w:style>
  <w:style w:type="paragraph" w:customStyle="1" w:styleId="69">
    <w:name w:val="xl86"/>
    <w:basedOn w:val="1"/>
    <w:qFormat/>
    <w:uiPriority w:val="0"/>
    <w:pPr>
      <w:widowControl/>
      <w:pBdr>
        <w:top w:val="single" w:color="000000" w:sz="4" w:space="0"/>
        <w:left w:val="single" w:color="000000" w:sz="4" w:space="0"/>
      </w:pBdr>
      <w:shd w:val="clear" w:color="000000" w:fill="D9E2F3"/>
      <w:spacing w:before="100" w:beforeAutospacing="1" w:after="100" w:afterAutospacing="1"/>
      <w:jc w:val="center"/>
    </w:pPr>
    <w:rPr>
      <w:rFonts w:ascii="微软雅黑" w:hAnsi="微软雅黑" w:eastAsia="微软雅黑" w:cs="宋体"/>
      <w:kern w:val="0"/>
      <w:sz w:val="18"/>
      <w:szCs w:val="18"/>
    </w:rPr>
  </w:style>
  <w:style w:type="paragraph" w:customStyle="1" w:styleId="70">
    <w:name w:val="xl87"/>
    <w:basedOn w:val="1"/>
    <w:qFormat/>
    <w:uiPriority w:val="0"/>
    <w:pPr>
      <w:widowControl/>
      <w:pBdr>
        <w:top w:val="single" w:color="000000" w:sz="4" w:space="0"/>
        <w:left w:val="single" w:color="000000" w:sz="4" w:space="0"/>
        <w:right w:val="single" w:color="000000" w:sz="4" w:space="0"/>
      </w:pBdr>
      <w:shd w:val="clear" w:color="000000" w:fill="D9E2F3"/>
      <w:spacing w:before="100" w:beforeAutospacing="1" w:after="100" w:afterAutospacing="1"/>
      <w:jc w:val="center"/>
    </w:pPr>
    <w:rPr>
      <w:rFonts w:ascii="微软雅黑" w:hAnsi="微软雅黑" w:eastAsia="微软雅黑" w:cs="宋体"/>
      <w:kern w:val="0"/>
      <w:sz w:val="18"/>
      <w:szCs w:val="18"/>
    </w:rPr>
  </w:style>
  <w:style w:type="paragraph" w:customStyle="1" w:styleId="71">
    <w:name w:val="xl88"/>
    <w:basedOn w:val="1"/>
    <w:qFormat/>
    <w:uiPriority w:val="0"/>
    <w:pPr>
      <w:widowControl/>
      <w:pBdr>
        <w:top w:val="single" w:color="auto" w:sz="4" w:space="0"/>
        <w:left w:val="single" w:color="auto" w:sz="4" w:space="0"/>
        <w:right w:val="single" w:color="auto" w:sz="4" w:space="0"/>
      </w:pBdr>
      <w:shd w:val="clear" w:color="000000" w:fill="E2EFD9"/>
      <w:spacing w:before="100" w:beforeAutospacing="1" w:after="100" w:afterAutospacing="1"/>
      <w:jc w:val="center"/>
    </w:pPr>
    <w:rPr>
      <w:rFonts w:ascii="微软雅黑" w:hAnsi="微软雅黑" w:eastAsia="微软雅黑" w:cs="宋体"/>
      <w:kern w:val="0"/>
      <w:sz w:val="18"/>
      <w:szCs w:val="18"/>
    </w:rPr>
  </w:style>
  <w:style w:type="paragraph" w:customStyle="1" w:styleId="72">
    <w:name w:val="xl89"/>
    <w:basedOn w:val="1"/>
    <w:qFormat/>
    <w:uiPriority w:val="0"/>
    <w:pPr>
      <w:widowControl/>
      <w:pBdr>
        <w:top w:val="single" w:color="auto" w:sz="4" w:space="0"/>
        <w:left w:val="single" w:color="auto" w:sz="4" w:space="0"/>
        <w:right w:val="single" w:color="auto" w:sz="4" w:space="0"/>
      </w:pBdr>
      <w:shd w:val="clear" w:color="000000" w:fill="FFF3CB"/>
      <w:spacing w:before="100" w:beforeAutospacing="1" w:after="100" w:afterAutospacing="1"/>
      <w:jc w:val="center"/>
    </w:pPr>
    <w:rPr>
      <w:rFonts w:ascii="微软雅黑" w:hAnsi="微软雅黑" w:eastAsia="微软雅黑" w:cs="宋体"/>
      <w:kern w:val="0"/>
      <w:sz w:val="18"/>
      <w:szCs w:val="18"/>
    </w:rPr>
  </w:style>
  <w:style w:type="paragraph" w:customStyle="1" w:styleId="73">
    <w:name w:val="xl90"/>
    <w:basedOn w:val="1"/>
    <w:qFormat/>
    <w:uiPriority w:val="0"/>
    <w:pPr>
      <w:widowControl/>
      <w:pBdr>
        <w:top w:val="single" w:color="auto" w:sz="4" w:space="0"/>
        <w:left w:val="single" w:color="auto" w:sz="4" w:space="0"/>
      </w:pBdr>
      <w:shd w:val="clear" w:color="000000" w:fill="FFF3CB"/>
      <w:spacing w:before="100" w:beforeAutospacing="1" w:after="100" w:afterAutospacing="1"/>
      <w:jc w:val="center"/>
    </w:pPr>
    <w:rPr>
      <w:rFonts w:ascii="微软雅黑" w:hAnsi="微软雅黑" w:eastAsia="微软雅黑" w:cs="宋体"/>
      <w:kern w:val="0"/>
      <w:sz w:val="18"/>
      <w:szCs w:val="18"/>
    </w:rPr>
  </w:style>
  <w:style w:type="paragraph" w:customStyle="1" w:styleId="74">
    <w:name w:val="xl91"/>
    <w:basedOn w:val="1"/>
    <w:qFormat/>
    <w:uiPriority w:val="0"/>
    <w:pPr>
      <w:widowControl/>
      <w:pBdr>
        <w:top w:val="single" w:color="auto" w:sz="4" w:space="0"/>
        <w:left w:val="single" w:color="auto" w:sz="4" w:space="0"/>
        <w:bottom w:val="single" w:color="auto" w:sz="4" w:space="0"/>
      </w:pBdr>
      <w:shd w:val="clear" w:color="000000" w:fill="FFF3CB"/>
      <w:spacing w:before="100" w:beforeAutospacing="1" w:after="100" w:afterAutospacing="1"/>
      <w:jc w:val="center"/>
    </w:pPr>
    <w:rPr>
      <w:rFonts w:ascii="微软雅黑" w:hAnsi="微软雅黑" w:eastAsia="微软雅黑" w:cs="宋体"/>
      <w:kern w:val="0"/>
      <w:sz w:val="18"/>
      <w:szCs w:val="18"/>
    </w:rPr>
  </w:style>
  <w:style w:type="paragraph" w:customStyle="1" w:styleId="75">
    <w:name w:val="xl92"/>
    <w:basedOn w:val="1"/>
    <w:qFormat/>
    <w:uiPriority w:val="0"/>
    <w:pPr>
      <w:widowControl/>
      <w:pBdr>
        <w:top w:val="single" w:color="000000" w:sz="4" w:space="0"/>
        <w:right w:val="single" w:color="000000" w:sz="4" w:space="0"/>
      </w:pBdr>
      <w:shd w:val="clear" w:color="000000" w:fill="FFF3CB"/>
      <w:spacing w:before="100" w:beforeAutospacing="1" w:after="100" w:afterAutospacing="1"/>
      <w:jc w:val="center"/>
    </w:pPr>
    <w:rPr>
      <w:rFonts w:ascii="微软雅黑" w:hAnsi="微软雅黑" w:eastAsia="微软雅黑" w:cs="宋体"/>
      <w:kern w:val="0"/>
      <w:sz w:val="18"/>
      <w:szCs w:val="18"/>
    </w:rPr>
  </w:style>
  <w:style w:type="paragraph" w:customStyle="1" w:styleId="76">
    <w:name w:val="xl93"/>
    <w:basedOn w:val="1"/>
    <w:qFormat/>
    <w:uiPriority w:val="0"/>
    <w:pPr>
      <w:widowControl/>
      <w:pBdr>
        <w:top w:val="single" w:color="auto" w:sz="4" w:space="0"/>
        <w:right w:val="single" w:color="auto" w:sz="4" w:space="0"/>
      </w:pBdr>
      <w:shd w:val="clear" w:color="000000" w:fill="FFF3CB"/>
      <w:spacing w:before="100" w:beforeAutospacing="1" w:after="100" w:afterAutospacing="1"/>
      <w:jc w:val="center"/>
    </w:pPr>
    <w:rPr>
      <w:rFonts w:ascii="微软雅黑" w:hAnsi="微软雅黑" w:eastAsia="微软雅黑" w:cs="宋体"/>
      <w:kern w:val="0"/>
      <w:sz w:val="18"/>
      <w:szCs w:val="18"/>
    </w:rPr>
  </w:style>
  <w:style w:type="paragraph" w:customStyle="1" w:styleId="77">
    <w:name w:val="xl94"/>
    <w:basedOn w:val="1"/>
    <w:qFormat/>
    <w:uiPriority w:val="0"/>
    <w:pPr>
      <w:widowControl/>
      <w:pBdr>
        <w:top w:val="single" w:color="auto" w:sz="4" w:space="0"/>
        <w:right w:val="single" w:color="auto" w:sz="4" w:space="0"/>
      </w:pBdr>
      <w:shd w:val="clear" w:color="000000" w:fill="D9E2F3"/>
      <w:spacing w:before="100" w:beforeAutospacing="1" w:after="100" w:afterAutospacing="1"/>
      <w:jc w:val="center"/>
    </w:pPr>
    <w:rPr>
      <w:rFonts w:ascii="微软雅黑" w:hAnsi="微软雅黑" w:eastAsia="微软雅黑" w:cs="宋体"/>
      <w:kern w:val="0"/>
      <w:sz w:val="18"/>
      <w:szCs w:val="18"/>
    </w:rPr>
  </w:style>
  <w:style w:type="paragraph" w:customStyle="1" w:styleId="78">
    <w:name w:val="xl95"/>
    <w:basedOn w:val="1"/>
    <w:qFormat/>
    <w:uiPriority w:val="0"/>
    <w:pPr>
      <w:widowControl/>
      <w:pBdr>
        <w:top w:val="single" w:color="auto" w:sz="4" w:space="0"/>
        <w:left w:val="single" w:color="auto" w:sz="4" w:space="0"/>
        <w:right w:val="single" w:color="auto" w:sz="4" w:space="0"/>
      </w:pBdr>
      <w:shd w:val="clear" w:color="000000" w:fill="D9E2F3"/>
      <w:spacing w:before="100" w:beforeAutospacing="1" w:after="100" w:afterAutospacing="1"/>
      <w:jc w:val="center"/>
    </w:pPr>
    <w:rPr>
      <w:rFonts w:ascii="微软雅黑" w:hAnsi="微软雅黑" w:eastAsia="微软雅黑" w:cs="宋体"/>
      <w:kern w:val="0"/>
      <w:sz w:val="18"/>
      <w:szCs w:val="18"/>
    </w:rPr>
  </w:style>
  <w:style w:type="paragraph" w:customStyle="1" w:styleId="79">
    <w:name w:val="xl96"/>
    <w:basedOn w:val="1"/>
    <w:qFormat/>
    <w:uiPriority w:val="0"/>
    <w:pPr>
      <w:widowControl/>
      <w:pBdr>
        <w:top w:val="single" w:color="auto" w:sz="4" w:space="0"/>
        <w:left w:val="single" w:color="auto" w:sz="4" w:space="0"/>
      </w:pBdr>
      <w:shd w:val="clear" w:color="000000" w:fill="D9E2F3"/>
      <w:spacing w:before="100" w:beforeAutospacing="1" w:after="100" w:afterAutospacing="1"/>
      <w:jc w:val="center"/>
    </w:pPr>
    <w:rPr>
      <w:rFonts w:ascii="微软雅黑" w:hAnsi="微软雅黑" w:eastAsia="微软雅黑" w:cs="宋体"/>
      <w:kern w:val="0"/>
      <w:sz w:val="18"/>
      <w:szCs w:val="18"/>
    </w:rPr>
  </w:style>
  <w:style w:type="paragraph" w:customStyle="1" w:styleId="80">
    <w:name w:val="xl97"/>
    <w:basedOn w:val="1"/>
    <w:qFormat/>
    <w:uiPriority w:val="0"/>
    <w:pPr>
      <w:widowControl/>
      <w:pBdr>
        <w:top w:val="single" w:color="auto" w:sz="4" w:space="0"/>
        <w:left w:val="single" w:color="auto" w:sz="4" w:space="0"/>
        <w:bottom w:val="single" w:color="auto" w:sz="4" w:space="0"/>
      </w:pBdr>
      <w:shd w:val="clear" w:color="000000" w:fill="D9E2F3"/>
      <w:spacing w:before="100" w:beforeAutospacing="1" w:after="100" w:afterAutospacing="1"/>
      <w:jc w:val="center"/>
    </w:pPr>
    <w:rPr>
      <w:rFonts w:ascii="微软雅黑" w:hAnsi="微软雅黑" w:eastAsia="微软雅黑" w:cs="宋体"/>
      <w:kern w:val="0"/>
      <w:sz w:val="18"/>
      <w:szCs w:val="18"/>
    </w:rPr>
  </w:style>
  <w:style w:type="paragraph" w:customStyle="1" w:styleId="81">
    <w:name w:val="xl98"/>
    <w:basedOn w:val="1"/>
    <w:qFormat/>
    <w:uiPriority w:val="0"/>
    <w:pPr>
      <w:widowControl/>
      <w:pBdr>
        <w:top w:val="single" w:color="000000" w:sz="4" w:space="0"/>
        <w:left w:val="single" w:color="000000" w:sz="4" w:space="0"/>
        <w:bottom w:val="single" w:color="000000" w:sz="4" w:space="0"/>
      </w:pBdr>
      <w:shd w:val="clear" w:color="000000" w:fill="D9E2F3"/>
      <w:spacing w:before="100" w:beforeAutospacing="1" w:after="100" w:afterAutospacing="1"/>
      <w:jc w:val="center"/>
    </w:pPr>
    <w:rPr>
      <w:rFonts w:ascii="微软雅黑" w:hAnsi="微软雅黑" w:eastAsia="微软雅黑" w:cs="宋体"/>
      <w:kern w:val="0"/>
      <w:sz w:val="18"/>
      <w:szCs w:val="18"/>
    </w:rPr>
  </w:style>
  <w:style w:type="paragraph" w:customStyle="1" w:styleId="82">
    <w:name w:val="xl99"/>
    <w:basedOn w:val="1"/>
    <w:qFormat/>
    <w:uiPriority w:val="0"/>
    <w:pPr>
      <w:widowControl/>
      <w:pBdr>
        <w:top w:val="single" w:color="auto" w:sz="4" w:space="0"/>
        <w:left w:val="single" w:color="auto" w:sz="4" w:space="0"/>
        <w:bottom w:val="single" w:color="auto" w:sz="4" w:space="0"/>
        <w:right w:val="single" w:color="auto" w:sz="4" w:space="0"/>
      </w:pBdr>
      <w:shd w:val="clear" w:color="000000" w:fill="D9E2F3"/>
      <w:spacing w:before="100" w:beforeAutospacing="1" w:after="100" w:afterAutospacing="1"/>
      <w:jc w:val="center"/>
    </w:pPr>
    <w:rPr>
      <w:rFonts w:ascii="微软雅黑" w:hAnsi="微软雅黑" w:eastAsia="微软雅黑" w:cs="宋体"/>
      <w:kern w:val="0"/>
      <w:sz w:val="18"/>
      <w:szCs w:val="18"/>
    </w:rPr>
  </w:style>
  <w:style w:type="paragraph" w:customStyle="1" w:styleId="83">
    <w:name w:val="xl100"/>
    <w:basedOn w:val="1"/>
    <w:qFormat/>
    <w:uiPriority w:val="0"/>
    <w:pPr>
      <w:widowControl/>
      <w:pBdr>
        <w:left w:val="single" w:color="000000" w:sz="4" w:space="0"/>
        <w:bottom w:val="single" w:color="000000" w:sz="4" w:space="0"/>
      </w:pBdr>
      <w:shd w:val="clear" w:color="000000" w:fill="D9E2F3"/>
      <w:spacing w:before="100" w:beforeAutospacing="1" w:after="100" w:afterAutospacing="1"/>
      <w:jc w:val="center"/>
    </w:pPr>
    <w:rPr>
      <w:rFonts w:ascii="微软雅黑" w:hAnsi="微软雅黑" w:eastAsia="微软雅黑" w:cs="宋体"/>
      <w:kern w:val="0"/>
      <w:sz w:val="18"/>
      <w:szCs w:val="18"/>
    </w:rPr>
  </w:style>
  <w:style w:type="paragraph" w:customStyle="1" w:styleId="84">
    <w:name w:val="xl101"/>
    <w:basedOn w:val="1"/>
    <w:qFormat/>
    <w:uiPriority w:val="0"/>
    <w:pPr>
      <w:widowControl/>
      <w:pBdr>
        <w:top w:val="single" w:color="auto" w:sz="4" w:space="0"/>
        <w:left w:val="single" w:color="auto" w:sz="4" w:space="0"/>
        <w:bottom w:val="single" w:color="auto" w:sz="4" w:space="0"/>
        <w:right w:val="single" w:color="auto" w:sz="4" w:space="0"/>
      </w:pBdr>
      <w:shd w:val="clear" w:color="000000" w:fill="FFF3CB"/>
      <w:spacing w:before="100" w:beforeAutospacing="1" w:after="100" w:afterAutospacing="1"/>
      <w:jc w:val="center"/>
    </w:pPr>
    <w:rPr>
      <w:rFonts w:ascii="微软雅黑" w:hAnsi="微软雅黑" w:eastAsia="微软雅黑" w:cs="宋体"/>
      <w:kern w:val="0"/>
      <w:sz w:val="18"/>
      <w:szCs w:val="18"/>
    </w:rPr>
  </w:style>
  <w:style w:type="paragraph" w:customStyle="1" w:styleId="85">
    <w:name w:val="xl102"/>
    <w:basedOn w:val="1"/>
    <w:qFormat/>
    <w:uiPriority w:val="0"/>
    <w:pPr>
      <w:widowControl/>
      <w:pBdr>
        <w:top w:val="single" w:color="auto" w:sz="4" w:space="0"/>
        <w:left w:val="single" w:color="auto" w:sz="4" w:space="0"/>
        <w:bottom w:val="single" w:color="auto" w:sz="4" w:space="0"/>
        <w:right w:val="single" w:color="auto" w:sz="4" w:space="0"/>
      </w:pBdr>
      <w:shd w:val="clear" w:color="000000" w:fill="FFF3CB"/>
      <w:spacing w:before="100" w:beforeAutospacing="1" w:after="100" w:afterAutospacing="1"/>
      <w:jc w:val="center"/>
    </w:pPr>
    <w:rPr>
      <w:rFonts w:ascii="微软雅黑" w:hAnsi="微软雅黑" w:eastAsia="微软雅黑" w:cs="宋体"/>
      <w:kern w:val="0"/>
      <w:sz w:val="18"/>
      <w:szCs w:val="18"/>
    </w:rPr>
  </w:style>
  <w:style w:type="paragraph" w:customStyle="1" w:styleId="86">
    <w:name w:val="xl103"/>
    <w:basedOn w:val="1"/>
    <w:qFormat/>
    <w:uiPriority w:val="0"/>
    <w:pPr>
      <w:widowControl/>
      <w:pBdr>
        <w:top w:val="single" w:color="000000" w:sz="4" w:space="0"/>
        <w:bottom w:val="single" w:color="000000" w:sz="4" w:space="0"/>
        <w:right w:val="single" w:color="000000" w:sz="4" w:space="0"/>
      </w:pBdr>
      <w:shd w:val="clear" w:color="000000" w:fill="D9E2F3"/>
      <w:spacing w:before="100" w:beforeAutospacing="1" w:after="100" w:afterAutospacing="1"/>
      <w:jc w:val="center"/>
    </w:pPr>
    <w:rPr>
      <w:rFonts w:ascii="微软雅黑" w:hAnsi="微软雅黑" w:eastAsia="微软雅黑" w:cs="宋体"/>
      <w:kern w:val="0"/>
      <w:sz w:val="18"/>
      <w:szCs w:val="18"/>
    </w:rPr>
  </w:style>
  <w:style w:type="paragraph" w:customStyle="1" w:styleId="87">
    <w:name w:val="xl104"/>
    <w:basedOn w:val="1"/>
    <w:qFormat/>
    <w:uiPriority w:val="0"/>
    <w:pPr>
      <w:widowControl/>
      <w:pBdr>
        <w:top w:val="single" w:color="000000" w:sz="4" w:space="0"/>
        <w:bottom w:val="single" w:color="000000" w:sz="4" w:space="0"/>
        <w:right w:val="single" w:color="000000" w:sz="4" w:space="0"/>
      </w:pBdr>
      <w:shd w:val="clear" w:color="000000" w:fill="FFF3CB"/>
      <w:spacing w:before="100" w:beforeAutospacing="1" w:after="100" w:afterAutospacing="1"/>
      <w:jc w:val="center"/>
    </w:pPr>
    <w:rPr>
      <w:rFonts w:ascii="微软雅黑" w:hAnsi="微软雅黑" w:eastAsia="微软雅黑" w:cs="宋体"/>
      <w:kern w:val="0"/>
      <w:sz w:val="18"/>
      <w:szCs w:val="18"/>
    </w:rPr>
  </w:style>
  <w:style w:type="paragraph" w:customStyle="1" w:styleId="88">
    <w:name w:val="xl105"/>
    <w:basedOn w:val="1"/>
    <w:qFormat/>
    <w:uiPriority w:val="0"/>
    <w:pPr>
      <w:widowControl/>
      <w:pBdr>
        <w:top w:val="single" w:color="auto" w:sz="4" w:space="0"/>
        <w:left w:val="single" w:color="auto" w:sz="4" w:space="0"/>
        <w:bottom w:val="single" w:color="auto" w:sz="4" w:space="0"/>
        <w:right w:val="single" w:color="auto" w:sz="4" w:space="0"/>
      </w:pBdr>
      <w:shd w:val="clear" w:color="000000" w:fill="FFF3CB"/>
      <w:spacing w:before="100" w:beforeAutospacing="1" w:after="100" w:afterAutospacing="1"/>
      <w:jc w:val="center"/>
    </w:pPr>
    <w:rPr>
      <w:rFonts w:ascii="微软雅黑" w:hAnsi="微软雅黑" w:eastAsia="微软雅黑" w:cs="宋体"/>
      <w:kern w:val="0"/>
      <w:sz w:val="18"/>
      <w:szCs w:val="18"/>
    </w:rPr>
  </w:style>
  <w:style w:type="paragraph" w:customStyle="1" w:styleId="89">
    <w:name w:val="xl106"/>
    <w:basedOn w:val="1"/>
    <w:qFormat/>
    <w:uiPriority w:val="0"/>
    <w:pPr>
      <w:widowControl/>
      <w:pBdr>
        <w:top w:val="single" w:color="000000" w:sz="4" w:space="0"/>
        <w:left w:val="single" w:color="000000" w:sz="4" w:space="0"/>
        <w:right w:val="single" w:color="000000" w:sz="4" w:space="0"/>
      </w:pBdr>
      <w:shd w:val="clear" w:color="000000" w:fill="E2EFD9"/>
      <w:spacing w:before="100" w:beforeAutospacing="1" w:after="100" w:afterAutospacing="1"/>
      <w:jc w:val="center"/>
    </w:pPr>
    <w:rPr>
      <w:rFonts w:ascii="微软雅黑" w:hAnsi="微软雅黑" w:eastAsia="微软雅黑" w:cs="宋体"/>
      <w:color w:val="000000"/>
      <w:kern w:val="0"/>
      <w:sz w:val="18"/>
      <w:szCs w:val="18"/>
    </w:rPr>
  </w:style>
  <w:style w:type="paragraph" w:customStyle="1" w:styleId="90">
    <w:name w:val="xl107"/>
    <w:basedOn w:val="1"/>
    <w:qFormat/>
    <w:uiPriority w:val="0"/>
    <w:pPr>
      <w:widowControl/>
      <w:pBdr>
        <w:left w:val="single" w:color="000000" w:sz="4" w:space="0"/>
        <w:bottom w:val="single" w:color="000000" w:sz="4" w:space="0"/>
        <w:right w:val="single" w:color="000000" w:sz="4" w:space="0"/>
      </w:pBdr>
      <w:shd w:val="clear" w:color="000000" w:fill="E2EFD9"/>
      <w:spacing w:before="100" w:beforeAutospacing="1" w:after="100" w:afterAutospacing="1"/>
      <w:jc w:val="center"/>
    </w:pPr>
    <w:rPr>
      <w:rFonts w:ascii="微软雅黑" w:hAnsi="微软雅黑" w:eastAsia="微软雅黑" w:cs="宋体"/>
      <w:color w:val="000000"/>
      <w:kern w:val="0"/>
      <w:sz w:val="18"/>
      <w:szCs w:val="18"/>
    </w:rPr>
  </w:style>
  <w:style w:type="paragraph" w:customStyle="1" w:styleId="91">
    <w:name w:val="xl108"/>
    <w:basedOn w:val="1"/>
    <w:qFormat/>
    <w:uiPriority w:val="0"/>
    <w:pPr>
      <w:widowControl/>
      <w:pBdr>
        <w:top w:val="single" w:color="000000" w:sz="4" w:space="0"/>
        <w:left w:val="single" w:color="000000" w:sz="4" w:space="0"/>
      </w:pBdr>
      <w:shd w:val="clear" w:color="000000" w:fill="E2EFD9"/>
      <w:spacing w:before="100" w:beforeAutospacing="1" w:after="100" w:afterAutospacing="1"/>
      <w:jc w:val="center"/>
    </w:pPr>
    <w:rPr>
      <w:rFonts w:ascii="微软雅黑" w:hAnsi="微软雅黑" w:eastAsia="微软雅黑" w:cs="宋体"/>
      <w:color w:val="000000"/>
      <w:kern w:val="0"/>
      <w:sz w:val="18"/>
      <w:szCs w:val="18"/>
    </w:rPr>
  </w:style>
  <w:style w:type="paragraph" w:customStyle="1" w:styleId="92">
    <w:name w:val="xl109"/>
    <w:basedOn w:val="1"/>
    <w:qFormat/>
    <w:uiPriority w:val="0"/>
    <w:pPr>
      <w:widowControl/>
      <w:pBdr>
        <w:left w:val="single" w:color="000000" w:sz="4" w:space="0"/>
        <w:bottom w:val="single" w:color="000000" w:sz="4" w:space="0"/>
      </w:pBdr>
      <w:shd w:val="clear" w:color="000000" w:fill="E2EFD9"/>
      <w:spacing w:before="100" w:beforeAutospacing="1" w:after="100" w:afterAutospacing="1"/>
      <w:jc w:val="center"/>
    </w:pPr>
    <w:rPr>
      <w:rFonts w:ascii="微软雅黑" w:hAnsi="微软雅黑" w:eastAsia="微软雅黑" w:cs="宋体"/>
      <w:color w:val="000000"/>
      <w:kern w:val="0"/>
      <w:sz w:val="18"/>
      <w:szCs w:val="18"/>
    </w:rPr>
  </w:style>
  <w:style w:type="paragraph" w:customStyle="1" w:styleId="93">
    <w:name w:val="xl110"/>
    <w:basedOn w:val="1"/>
    <w:qFormat/>
    <w:uiPriority w:val="0"/>
    <w:pPr>
      <w:widowControl/>
      <w:pBdr>
        <w:top w:val="single" w:color="auto" w:sz="4" w:space="0"/>
        <w:left w:val="single" w:color="auto" w:sz="4" w:space="0"/>
        <w:bottom w:val="single" w:color="auto" w:sz="4" w:space="0"/>
        <w:right w:val="single" w:color="auto" w:sz="4" w:space="0"/>
      </w:pBdr>
      <w:shd w:val="clear" w:color="000000" w:fill="E2EFD9"/>
      <w:spacing w:before="100" w:beforeAutospacing="1" w:after="100" w:afterAutospacing="1"/>
      <w:jc w:val="center"/>
    </w:pPr>
    <w:rPr>
      <w:rFonts w:ascii="微软雅黑" w:hAnsi="微软雅黑" w:eastAsia="微软雅黑" w:cs="宋体"/>
      <w:color w:val="000000"/>
      <w:kern w:val="0"/>
      <w:sz w:val="18"/>
      <w:szCs w:val="18"/>
    </w:rPr>
  </w:style>
  <w:style w:type="paragraph" w:customStyle="1" w:styleId="94">
    <w:name w:val="xl111"/>
    <w:basedOn w:val="1"/>
    <w:qFormat/>
    <w:uiPriority w:val="0"/>
    <w:pPr>
      <w:widowControl/>
      <w:pBdr>
        <w:top w:val="single" w:color="auto" w:sz="4" w:space="0"/>
        <w:left w:val="single" w:color="auto" w:sz="4" w:space="0"/>
        <w:bottom w:val="single" w:color="auto" w:sz="4" w:space="0"/>
      </w:pBdr>
      <w:shd w:val="clear" w:color="000000" w:fill="E2EFD9"/>
      <w:spacing w:before="100" w:beforeAutospacing="1" w:after="100" w:afterAutospacing="1"/>
      <w:jc w:val="center"/>
    </w:pPr>
    <w:rPr>
      <w:rFonts w:ascii="微软雅黑" w:hAnsi="微软雅黑" w:eastAsia="微软雅黑" w:cs="宋体"/>
      <w:color w:val="000000"/>
      <w:kern w:val="0"/>
      <w:sz w:val="18"/>
      <w:szCs w:val="18"/>
    </w:rPr>
  </w:style>
  <w:style w:type="paragraph" w:customStyle="1" w:styleId="95">
    <w:name w:val="xl112"/>
    <w:basedOn w:val="1"/>
    <w:qFormat/>
    <w:uiPriority w:val="0"/>
    <w:pPr>
      <w:widowControl/>
      <w:pBdr>
        <w:top w:val="single" w:color="000000" w:sz="4" w:space="0"/>
        <w:right w:val="single" w:color="000000" w:sz="4" w:space="0"/>
      </w:pBdr>
      <w:shd w:val="clear" w:color="000000" w:fill="E2EFD9"/>
      <w:spacing w:before="100" w:beforeAutospacing="1" w:after="100" w:afterAutospacing="1"/>
      <w:jc w:val="center"/>
    </w:pPr>
    <w:rPr>
      <w:rFonts w:ascii="微软雅黑" w:hAnsi="微软雅黑" w:eastAsia="微软雅黑" w:cs="宋体"/>
      <w:color w:val="000000"/>
      <w:kern w:val="0"/>
      <w:sz w:val="18"/>
      <w:szCs w:val="18"/>
    </w:rPr>
  </w:style>
  <w:style w:type="paragraph" w:customStyle="1" w:styleId="96">
    <w:name w:val="xl113"/>
    <w:basedOn w:val="1"/>
    <w:qFormat/>
    <w:uiPriority w:val="0"/>
    <w:pPr>
      <w:widowControl/>
      <w:pBdr>
        <w:bottom w:val="single" w:color="000000" w:sz="4" w:space="0"/>
        <w:right w:val="single" w:color="000000" w:sz="4" w:space="0"/>
      </w:pBdr>
      <w:shd w:val="clear" w:color="000000" w:fill="E2EFD9"/>
      <w:spacing w:before="100" w:beforeAutospacing="1" w:after="100" w:afterAutospacing="1"/>
      <w:jc w:val="center"/>
    </w:pPr>
    <w:rPr>
      <w:rFonts w:ascii="微软雅黑" w:hAnsi="微软雅黑" w:eastAsia="微软雅黑" w:cs="宋体"/>
      <w:color w:val="000000"/>
      <w:kern w:val="0"/>
      <w:sz w:val="18"/>
      <w:szCs w:val="18"/>
    </w:rPr>
  </w:style>
  <w:style w:type="paragraph" w:customStyle="1" w:styleId="97">
    <w:name w:val="xl114"/>
    <w:basedOn w:val="1"/>
    <w:qFormat/>
    <w:uiPriority w:val="0"/>
    <w:pPr>
      <w:widowControl/>
      <w:shd w:val="clear" w:color="000000" w:fill="E2EFD9"/>
      <w:spacing w:before="100" w:beforeAutospacing="1" w:after="100" w:afterAutospacing="1"/>
      <w:jc w:val="left"/>
    </w:pPr>
    <w:rPr>
      <w:rFonts w:ascii="宋体" w:hAnsi="宋体" w:eastAsia="宋体" w:cs="宋体"/>
      <w:kern w:val="0"/>
      <w:sz w:val="24"/>
      <w:szCs w:val="24"/>
    </w:rPr>
  </w:style>
  <w:style w:type="paragraph" w:customStyle="1" w:styleId="98">
    <w:name w:val="xl115"/>
    <w:basedOn w:val="1"/>
    <w:qFormat/>
    <w:uiPriority w:val="0"/>
    <w:pPr>
      <w:widowControl/>
      <w:shd w:val="clear" w:color="000000" w:fill="FFF3CB"/>
      <w:spacing w:before="100" w:beforeAutospacing="1" w:after="100" w:afterAutospacing="1"/>
      <w:jc w:val="left"/>
    </w:pPr>
    <w:rPr>
      <w:rFonts w:ascii="宋体" w:hAnsi="宋体" w:eastAsia="宋体" w:cs="宋体"/>
      <w:kern w:val="0"/>
      <w:sz w:val="24"/>
      <w:szCs w:val="24"/>
    </w:rPr>
  </w:style>
  <w:style w:type="paragraph" w:customStyle="1" w:styleId="99">
    <w:name w:val="xl116"/>
    <w:basedOn w:val="1"/>
    <w:qFormat/>
    <w:uiPriority w:val="0"/>
    <w:pPr>
      <w:widowControl/>
      <w:shd w:val="clear" w:color="000000" w:fill="D9E2F3"/>
      <w:spacing w:before="100" w:beforeAutospacing="1" w:after="100" w:afterAutospacing="1"/>
      <w:jc w:val="left"/>
    </w:pPr>
    <w:rPr>
      <w:rFonts w:ascii="宋体" w:hAnsi="宋体" w:eastAsia="宋体" w:cs="宋体"/>
      <w:kern w:val="0"/>
      <w:sz w:val="24"/>
      <w:szCs w:val="24"/>
    </w:rPr>
  </w:style>
  <w:style w:type="paragraph" w:customStyle="1" w:styleId="100">
    <w:name w:val="font6"/>
    <w:basedOn w:val="1"/>
    <w:qFormat/>
    <w:uiPriority w:val="0"/>
    <w:pPr>
      <w:widowControl/>
      <w:spacing w:before="100" w:beforeAutospacing="1" w:after="100" w:afterAutospacing="1"/>
      <w:jc w:val="left"/>
    </w:pPr>
    <w:rPr>
      <w:rFonts w:ascii="宋体" w:hAnsi="宋体" w:eastAsia="宋体" w:cs="宋体"/>
      <w:color w:val="000000"/>
      <w:kern w:val="0"/>
      <w:sz w:val="22"/>
    </w:rPr>
  </w:style>
  <w:style w:type="paragraph" w:customStyle="1" w:styleId="101">
    <w:name w:val="xl63"/>
    <w:basedOn w:val="1"/>
    <w:qFormat/>
    <w:uiPriority w:val="0"/>
    <w:pPr>
      <w:widowControl/>
      <w:pBdr>
        <w:top w:val="single" w:color="auto" w:sz="4" w:space="0"/>
        <w:left w:val="single" w:color="auto" w:sz="4" w:space="0"/>
        <w:bottom w:val="single" w:color="auto" w:sz="4" w:space="0"/>
        <w:right w:val="single" w:color="auto" w:sz="4" w:space="0"/>
      </w:pBdr>
      <w:shd w:val="clear" w:color="000000" w:fill="D8D8D8"/>
      <w:spacing w:before="100" w:beforeAutospacing="1" w:after="100" w:afterAutospacing="1"/>
      <w:jc w:val="center"/>
    </w:pPr>
    <w:rPr>
      <w:rFonts w:ascii="宋体" w:hAnsi="宋体" w:eastAsia="宋体" w:cs="宋体"/>
      <w:b/>
      <w:bCs/>
      <w:kern w:val="0"/>
      <w:sz w:val="24"/>
      <w:szCs w:val="24"/>
    </w:rPr>
  </w:style>
  <w:style w:type="paragraph" w:customStyle="1" w:styleId="102">
    <w:name w:val="xl64"/>
    <w:basedOn w:val="1"/>
    <w:qFormat/>
    <w:uiPriority w:val="0"/>
    <w:pPr>
      <w:widowControl/>
      <w:pBdr>
        <w:top w:val="single" w:color="auto" w:sz="4" w:space="0"/>
        <w:left w:val="single" w:color="auto" w:sz="4" w:space="0"/>
        <w:bottom w:val="single" w:color="auto" w:sz="4" w:space="0"/>
        <w:right w:val="single" w:color="auto" w:sz="4" w:space="0"/>
      </w:pBdr>
      <w:shd w:val="clear" w:color="000000" w:fill="D8D8D8"/>
      <w:spacing w:before="100" w:beforeAutospacing="1" w:after="100" w:afterAutospacing="1"/>
      <w:jc w:val="center"/>
    </w:pPr>
    <w:rPr>
      <w:rFonts w:ascii="宋体" w:hAnsi="宋体" w:eastAsia="宋体" w:cs="宋体"/>
      <w:b/>
      <w:bCs/>
      <w:kern w:val="0"/>
      <w:sz w:val="24"/>
      <w:szCs w:val="24"/>
    </w:rPr>
  </w:style>
  <w:style w:type="character" w:customStyle="1" w:styleId="103">
    <w:name w:val="日期 Char"/>
    <w:basedOn w:val="17"/>
    <w:link w:val="8"/>
    <w:semiHidden/>
    <w:qFormat/>
    <w:uiPriority w:val="99"/>
    <w:rPr>
      <w:rFonts w:asciiTheme="minorHAnsi" w:hAnsiTheme="minorHAnsi" w:eastAsiaTheme="minorEastAsia" w:cstheme="minorBidi"/>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numbering" Target="numbering.xml"/><Relationship Id="rId13" Type="http://schemas.openxmlformats.org/officeDocument/2006/relationships/image" Target="media/image3.jpe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70E0E1-0CAE-4412-BF3D-F245B33560DC}">
  <ds:schemaRefs/>
</ds:datastoreItem>
</file>

<file path=docProps/app.xml><?xml version="1.0" encoding="utf-8"?>
<Properties xmlns="http://schemas.openxmlformats.org/officeDocument/2006/extended-properties" xmlns:vt="http://schemas.openxmlformats.org/officeDocument/2006/docPropsVTypes">
  <Template>Normal.dotm</Template>
  <Pages>182</Pages>
  <Words>123116</Words>
  <Characters>136749</Characters>
  <Lines>1062</Lines>
  <Paragraphs>299</Paragraphs>
  <TotalTime>26</TotalTime>
  <ScaleCrop>false</ScaleCrop>
  <LinksUpToDate>false</LinksUpToDate>
  <CharactersWithSpaces>137216</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2022-03-10T17:39:00Z</dcterms:created>
  <dc:creator>Cmcu; Hahawang</dc:creator>
  <cp:lastModifiedBy>Liuliu</cp:lastModifiedBy>
  <cp:lastPrinted>2023-11-08T09:41:00Z</cp:lastPrinted>
  <dcterms:modified xsi:type="dcterms:W3CDTF">2024-05-30T03:00:49Z</dcterms:modified>
  <dc:subject>多镇合一乡村空间规划</dc:subject>
  <cp:revision>18545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5D5C5A91FB5B432F9BCAFDF76979BF6B_13</vt:lpwstr>
  </property>
</Properties>
</file>