
<file path=[Content_Types].xml><?xml version="1.0" encoding="utf-8"?>
<Types xmlns="http://schemas.openxmlformats.org/package/2006/content-types">
  <Default Extension="xml" ContentType="application/xml"/>
  <Default Extension="png" ContentType="image/png"/>
  <Default Extension="wdp" ContentType="image/vnd.ms-photo"/>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rPr>
          <w:rFonts w:asciiTheme="minorEastAsia" w:hAnsiTheme="minorEastAsia"/>
          <w:b/>
          <w:bCs/>
          <w:sz w:val="44"/>
          <w:szCs w:val="48"/>
        </w:rPr>
      </w:pPr>
      <w:r>
        <w:rPr>
          <w:rFonts w:hint="eastAsia" w:asciiTheme="minorEastAsia" w:hAnsiTheme="minorEastAsia"/>
          <w:b/>
          <w:bCs/>
          <w:sz w:val="44"/>
          <w:szCs w:val="48"/>
        </w:rPr>
        <w:t>大英县遂大融城发展片区</w:t>
      </w:r>
    </w:p>
    <w:p>
      <w:pPr>
        <w:spacing w:line="240" w:lineRule="exact"/>
        <w:jc w:val="center"/>
        <w:rPr>
          <w:rFonts w:hint="eastAsia" w:asciiTheme="minorEastAsia" w:hAnsiTheme="minorEastAsia"/>
          <w:b/>
          <w:bCs/>
          <w:sz w:val="8"/>
          <w:szCs w:val="10"/>
        </w:rPr>
      </w:pPr>
    </w:p>
    <w:p>
      <w:pPr>
        <w:spacing w:line="360" w:lineRule="auto"/>
        <w:jc w:val="center"/>
        <w:rPr>
          <w:rFonts w:asciiTheme="minorEastAsia" w:hAnsiTheme="minorEastAsia"/>
          <w:b/>
          <w:bCs/>
          <w:sz w:val="44"/>
          <w:szCs w:val="48"/>
        </w:rPr>
      </w:pPr>
      <w:r>
        <w:rPr>
          <w:rFonts w:hint="eastAsia" w:asciiTheme="minorEastAsia" w:hAnsiTheme="minorEastAsia"/>
          <w:b/>
          <w:bCs/>
          <w:sz w:val="44"/>
          <w:szCs w:val="48"/>
        </w:rPr>
        <w:t>国土空间总体规划（2021—2035年）</w:t>
      </w:r>
    </w:p>
    <w:p>
      <w:pPr>
        <w:spacing w:line="240" w:lineRule="exact"/>
        <w:jc w:val="center"/>
        <w:rPr>
          <w:rFonts w:hint="eastAsia" w:asciiTheme="minorEastAsia" w:hAnsiTheme="minorEastAsia"/>
          <w:sz w:val="8"/>
          <w:szCs w:val="8"/>
        </w:rPr>
      </w:pPr>
    </w:p>
    <w:p>
      <w:pPr>
        <w:spacing w:line="360" w:lineRule="auto"/>
        <w:jc w:val="center"/>
        <w:rPr>
          <w:rFonts w:asciiTheme="minorEastAsia" w:hAnsiTheme="minorEastAsia"/>
          <w:sz w:val="44"/>
          <w:szCs w:val="48"/>
        </w:rPr>
      </w:pPr>
      <w:r>
        <w:rPr>
          <w:rFonts w:hint="eastAsia" w:asciiTheme="minorEastAsia" w:hAnsiTheme="minorEastAsia"/>
          <w:b/>
          <w:bCs/>
          <w:sz w:val="44"/>
          <w:szCs w:val="48"/>
        </w:rPr>
        <w:t>文本·图集</w:t>
      </w:r>
    </w:p>
    <w:p>
      <w:pPr>
        <w:spacing w:line="360" w:lineRule="auto"/>
        <w:jc w:val="center"/>
      </w:pPr>
    </w:p>
    <w:p>
      <w:pPr>
        <w:spacing w:line="360" w:lineRule="auto"/>
        <w:jc w:val="center"/>
      </w:pPr>
    </w:p>
    <w:p>
      <w:pPr>
        <w:spacing w:line="360" w:lineRule="auto"/>
        <w:jc w:val="center"/>
      </w:pPr>
    </w:p>
    <w:p>
      <w:pPr>
        <w:spacing w:line="360" w:lineRule="auto"/>
        <w:jc w:val="center"/>
      </w:pPr>
    </w:p>
    <w:p>
      <w:pPr>
        <w:spacing w:before="156" w:beforeLines="50" w:line="360" w:lineRule="auto"/>
        <w:jc w:val="center"/>
        <w:rPr>
          <w:rFonts w:ascii="宋体" w:hAnsi="宋体" w:eastAsia="宋体"/>
          <w:b/>
          <w:bCs/>
          <w:sz w:val="32"/>
          <w:szCs w:val="32"/>
        </w:rPr>
      </w:pPr>
    </w:p>
    <w:p>
      <w:pPr>
        <w:spacing w:before="156" w:beforeLines="50" w:line="360" w:lineRule="auto"/>
        <w:jc w:val="center"/>
        <w:rPr>
          <w:rFonts w:ascii="宋体" w:hAnsi="宋体" w:eastAsia="宋体"/>
          <w:b/>
          <w:bCs/>
          <w:sz w:val="32"/>
          <w:szCs w:val="32"/>
        </w:rPr>
      </w:pPr>
    </w:p>
    <w:p>
      <w:pPr>
        <w:spacing w:before="156" w:beforeLines="50" w:line="360" w:lineRule="auto"/>
        <w:jc w:val="center"/>
        <w:rPr>
          <w:rFonts w:ascii="宋体" w:hAnsi="宋体" w:eastAsia="宋体"/>
          <w:b/>
          <w:bCs/>
          <w:sz w:val="32"/>
          <w:szCs w:val="32"/>
        </w:rPr>
      </w:pPr>
    </w:p>
    <w:p>
      <w:pPr>
        <w:spacing w:before="156" w:beforeLines="50" w:line="360" w:lineRule="auto"/>
        <w:jc w:val="center"/>
        <w:rPr>
          <w:rFonts w:ascii="宋体" w:hAnsi="宋体" w:eastAsia="宋体"/>
          <w:b/>
          <w:bCs/>
          <w:sz w:val="32"/>
          <w:szCs w:val="32"/>
        </w:rPr>
      </w:pPr>
    </w:p>
    <w:p>
      <w:pPr>
        <w:spacing w:before="156" w:beforeLines="50" w:line="360" w:lineRule="auto"/>
        <w:jc w:val="center"/>
        <w:rPr>
          <w:rFonts w:hint="eastAsia" w:ascii="宋体" w:hAnsi="宋体" w:eastAsia="宋体"/>
          <w:b/>
          <w:bCs/>
          <w:sz w:val="32"/>
          <w:szCs w:val="32"/>
        </w:rPr>
      </w:pPr>
    </w:p>
    <w:p>
      <w:pPr>
        <w:spacing w:before="156" w:beforeLines="50" w:line="360" w:lineRule="auto"/>
        <w:jc w:val="center"/>
        <w:rPr>
          <w:rFonts w:ascii="宋体" w:hAnsi="宋体" w:eastAsia="宋体"/>
          <w:sz w:val="32"/>
          <w:szCs w:val="32"/>
        </w:rPr>
      </w:pPr>
    </w:p>
    <w:p>
      <w:pPr>
        <w:spacing w:before="156" w:beforeLines="50"/>
        <w:jc w:val="center"/>
        <w:rPr>
          <w:rFonts w:ascii="宋体" w:hAnsi="宋体" w:eastAsia="宋体"/>
          <w:sz w:val="24"/>
          <w:szCs w:val="24"/>
        </w:rPr>
      </w:pPr>
      <w:r>
        <w:rPr>
          <w:rFonts w:hint="eastAsia" w:ascii="宋体" w:hAnsi="宋体" w:eastAsia="宋体"/>
          <w:sz w:val="24"/>
          <w:szCs w:val="24"/>
        </w:rPr>
        <w:t>大英县自然资源和规划局</w:t>
      </w:r>
    </w:p>
    <w:p>
      <w:pPr>
        <w:spacing w:before="156" w:beforeLines="50"/>
        <w:jc w:val="center"/>
        <w:rPr>
          <w:rFonts w:ascii="宋体" w:hAnsi="宋体" w:eastAsia="宋体"/>
          <w:sz w:val="24"/>
          <w:szCs w:val="24"/>
        </w:rPr>
      </w:pPr>
      <w:r>
        <w:rPr>
          <w:rFonts w:hint="eastAsia" w:ascii="宋体" w:hAnsi="宋体" w:eastAsia="宋体"/>
          <w:sz w:val="24"/>
          <w:szCs w:val="24"/>
        </w:rPr>
        <w:t>重庆大学建筑规划设计研究总院有限公司</w:t>
      </w:r>
    </w:p>
    <w:p>
      <w:pPr>
        <w:spacing w:before="156" w:beforeLines="50"/>
        <w:jc w:val="center"/>
        <w:rPr>
          <w:rFonts w:hint="eastAsia" w:ascii="宋体" w:hAnsi="宋体" w:eastAsia="宋体"/>
          <w:sz w:val="24"/>
          <w:szCs w:val="24"/>
        </w:rPr>
      </w:pPr>
      <w:r>
        <w:rPr>
          <w:rFonts w:hint="eastAsia" w:ascii="宋体" w:hAnsi="宋体" w:eastAsia="宋体"/>
          <w:sz w:val="24"/>
          <w:szCs w:val="24"/>
        </w:rPr>
        <w:t>2024年 5月</w:t>
      </w:r>
    </w:p>
    <w:p>
      <w:pPr>
        <w:spacing w:line="360" w:lineRule="auto"/>
        <w:jc w:val="center"/>
      </w:pPr>
    </w:p>
    <w:p>
      <w:pPr>
        <w:spacing w:line="360" w:lineRule="auto"/>
        <w:jc w:val="center"/>
        <w:sectPr>
          <w:headerReference r:id="rId3" w:type="default"/>
          <w:footerReference r:id="rId4" w:type="default"/>
          <w:type w:val="continuous"/>
          <w:pgSz w:w="11906" w:h="16838"/>
          <w:pgMar w:top="1797" w:right="1440" w:bottom="1797" w:left="1440" w:header="851" w:footer="992" w:gutter="0"/>
          <w:pgNumType w:fmt="upperRoman" w:start="1"/>
          <w:cols w:space="1264" w:num="1"/>
          <w:titlePg/>
          <w:docGrid w:type="lines" w:linePitch="312" w:charSpace="0"/>
        </w:sectP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rPr>
          <w:rFonts w:asciiTheme="minorEastAsia" w:hAnsiTheme="minorEastAsia"/>
        </w:rPr>
      </w:pPr>
    </w:p>
    <w:p>
      <w:pPr>
        <w:spacing w:line="360" w:lineRule="auto"/>
        <w:jc w:val="center"/>
        <w:rPr>
          <w:rFonts w:asciiTheme="minorEastAsia" w:hAnsiTheme="minorEastAsia"/>
          <w:b/>
          <w:bCs/>
          <w:sz w:val="44"/>
          <w:szCs w:val="48"/>
        </w:rPr>
      </w:pPr>
      <w:r>
        <w:rPr>
          <w:rFonts w:hint="eastAsia" w:asciiTheme="minorEastAsia" w:hAnsiTheme="minorEastAsia"/>
          <w:b/>
          <w:bCs/>
          <w:sz w:val="44"/>
          <w:szCs w:val="48"/>
        </w:rPr>
        <w:t>大英县遂大融城发展片区</w:t>
      </w:r>
    </w:p>
    <w:p>
      <w:pPr>
        <w:spacing w:line="240" w:lineRule="exact"/>
        <w:jc w:val="center"/>
        <w:rPr>
          <w:rFonts w:hint="eastAsia" w:asciiTheme="minorEastAsia" w:hAnsiTheme="minorEastAsia"/>
          <w:b/>
          <w:bCs/>
          <w:sz w:val="8"/>
          <w:szCs w:val="10"/>
        </w:rPr>
      </w:pPr>
    </w:p>
    <w:p>
      <w:pPr>
        <w:spacing w:line="360" w:lineRule="auto"/>
        <w:jc w:val="center"/>
        <w:rPr>
          <w:rFonts w:asciiTheme="minorEastAsia" w:hAnsiTheme="minorEastAsia"/>
          <w:b/>
          <w:bCs/>
          <w:sz w:val="44"/>
          <w:szCs w:val="48"/>
        </w:rPr>
      </w:pPr>
      <w:r>
        <w:rPr>
          <w:rFonts w:hint="eastAsia" w:asciiTheme="minorEastAsia" w:hAnsiTheme="minorEastAsia"/>
          <w:b/>
          <w:bCs/>
          <w:sz w:val="44"/>
          <w:szCs w:val="48"/>
        </w:rPr>
        <w:t>国土空间总体规划（2021—2035年）</w:t>
      </w:r>
    </w:p>
    <w:p>
      <w:pPr>
        <w:spacing w:line="240" w:lineRule="exact"/>
        <w:jc w:val="center"/>
        <w:rPr>
          <w:rFonts w:hint="eastAsia" w:asciiTheme="minorEastAsia" w:hAnsiTheme="minorEastAsia"/>
          <w:sz w:val="8"/>
          <w:szCs w:val="8"/>
        </w:rPr>
      </w:pPr>
    </w:p>
    <w:p>
      <w:pPr>
        <w:spacing w:line="360" w:lineRule="auto"/>
        <w:jc w:val="center"/>
      </w:pPr>
      <w:r>
        <w:rPr>
          <w:rFonts w:hint="eastAsia" w:asciiTheme="minorEastAsia" w:hAnsiTheme="minorEastAsia"/>
          <w:b/>
          <w:bCs/>
          <w:sz w:val="44"/>
          <w:szCs w:val="48"/>
        </w:rPr>
        <w:t>文本</w:t>
      </w:r>
    </w:p>
    <w:p>
      <w:pPr>
        <w:spacing w:line="360" w:lineRule="auto"/>
        <w:jc w:val="center"/>
      </w:pPr>
    </w:p>
    <w:p>
      <w:pPr>
        <w:spacing w:line="360" w:lineRule="auto"/>
        <w:jc w:val="center"/>
      </w:pPr>
    </w:p>
    <w:p>
      <w:pPr>
        <w:spacing w:line="360" w:lineRule="auto"/>
        <w:jc w:val="center"/>
      </w:pPr>
    </w:p>
    <w:p>
      <w:pPr>
        <w:spacing w:before="156" w:beforeLines="50" w:line="360" w:lineRule="auto"/>
        <w:jc w:val="center"/>
        <w:rPr>
          <w:rFonts w:ascii="宋体" w:hAnsi="宋体" w:eastAsia="宋体"/>
          <w:b/>
          <w:bCs/>
          <w:sz w:val="32"/>
          <w:szCs w:val="32"/>
        </w:rPr>
      </w:pPr>
    </w:p>
    <w:p>
      <w:pPr>
        <w:spacing w:before="156" w:beforeLines="50" w:line="360" w:lineRule="auto"/>
        <w:jc w:val="center"/>
        <w:rPr>
          <w:rFonts w:ascii="宋体" w:hAnsi="宋体" w:eastAsia="宋体"/>
          <w:b/>
          <w:bCs/>
          <w:sz w:val="32"/>
          <w:szCs w:val="32"/>
        </w:rPr>
      </w:pPr>
    </w:p>
    <w:p>
      <w:pPr>
        <w:spacing w:before="156" w:beforeLines="50" w:line="360" w:lineRule="auto"/>
        <w:jc w:val="center"/>
        <w:rPr>
          <w:rFonts w:ascii="宋体" w:hAnsi="宋体" w:eastAsia="宋体"/>
          <w:b/>
          <w:bCs/>
          <w:sz w:val="32"/>
          <w:szCs w:val="32"/>
        </w:rPr>
      </w:pPr>
    </w:p>
    <w:p>
      <w:pPr>
        <w:spacing w:before="156" w:beforeLines="50" w:line="360" w:lineRule="auto"/>
        <w:jc w:val="center"/>
        <w:rPr>
          <w:rFonts w:ascii="宋体" w:hAnsi="宋体" w:eastAsia="宋体"/>
          <w:b/>
          <w:bCs/>
          <w:sz w:val="32"/>
          <w:szCs w:val="32"/>
        </w:rPr>
      </w:pPr>
    </w:p>
    <w:p>
      <w:pPr>
        <w:spacing w:before="156" w:beforeLines="50" w:line="360" w:lineRule="auto"/>
        <w:jc w:val="center"/>
        <w:rPr>
          <w:rFonts w:hint="eastAsia" w:ascii="宋体" w:hAnsi="宋体" w:eastAsia="宋体"/>
          <w:b/>
          <w:bCs/>
          <w:sz w:val="32"/>
          <w:szCs w:val="32"/>
        </w:rPr>
      </w:pPr>
    </w:p>
    <w:p>
      <w:pPr>
        <w:spacing w:before="156" w:beforeLines="50" w:line="360" w:lineRule="auto"/>
        <w:jc w:val="center"/>
        <w:rPr>
          <w:rFonts w:ascii="宋体" w:hAnsi="宋体" w:eastAsia="宋体"/>
          <w:sz w:val="32"/>
          <w:szCs w:val="32"/>
        </w:rPr>
      </w:pPr>
    </w:p>
    <w:p>
      <w:pPr>
        <w:spacing w:before="156" w:beforeLines="50"/>
        <w:jc w:val="center"/>
        <w:rPr>
          <w:rFonts w:ascii="宋体" w:hAnsi="宋体" w:eastAsia="宋体"/>
          <w:sz w:val="24"/>
          <w:szCs w:val="24"/>
        </w:rPr>
      </w:pPr>
      <w:r>
        <w:rPr>
          <w:rFonts w:hint="eastAsia" w:ascii="宋体" w:hAnsi="宋体" w:eastAsia="宋体"/>
          <w:sz w:val="24"/>
          <w:szCs w:val="24"/>
        </w:rPr>
        <w:t>大英县自然资源和规划局</w:t>
      </w:r>
    </w:p>
    <w:p>
      <w:pPr>
        <w:spacing w:before="156" w:beforeLines="50"/>
        <w:jc w:val="center"/>
        <w:rPr>
          <w:rFonts w:ascii="宋体" w:hAnsi="宋体" w:eastAsia="宋体"/>
          <w:sz w:val="24"/>
          <w:szCs w:val="24"/>
        </w:rPr>
      </w:pPr>
      <w:r>
        <w:rPr>
          <w:rFonts w:hint="eastAsia" w:ascii="宋体" w:hAnsi="宋体" w:eastAsia="宋体"/>
          <w:sz w:val="24"/>
          <w:szCs w:val="24"/>
        </w:rPr>
        <w:t>重庆大学建筑规划设计研究总院有限公司</w:t>
      </w:r>
    </w:p>
    <w:p>
      <w:pPr>
        <w:spacing w:before="156" w:beforeLines="50"/>
        <w:jc w:val="center"/>
        <w:rPr>
          <w:rFonts w:hint="eastAsia" w:ascii="宋体" w:hAnsi="宋体" w:eastAsia="宋体"/>
          <w:sz w:val="24"/>
          <w:szCs w:val="24"/>
        </w:rPr>
      </w:pPr>
      <w:r>
        <w:rPr>
          <w:rFonts w:hint="eastAsia" w:ascii="宋体" w:hAnsi="宋体" w:eastAsia="宋体"/>
          <w:sz w:val="24"/>
          <w:szCs w:val="24"/>
        </w:rPr>
        <w:t>2024年 5月</w:t>
      </w:r>
    </w:p>
    <w:p>
      <w:pPr>
        <w:spacing w:before="156" w:beforeLines="50" w:line="360" w:lineRule="auto"/>
        <w:jc w:val="center"/>
        <w:rPr>
          <w:rFonts w:ascii="宋体" w:hAnsi="宋体" w:eastAsia="宋体"/>
          <w:b/>
          <w:bCs/>
          <w:sz w:val="32"/>
          <w:szCs w:val="32"/>
        </w:rPr>
        <w:sectPr>
          <w:pgSz w:w="11906" w:h="16838"/>
          <w:pgMar w:top="1797" w:right="1440" w:bottom="1797" w:left="1440" w:header="851" w:footer="992" w:gutter="0"/>
          <w:pgNumType w:fmt="upperRoman" w:start="1"/>
          <w:cols w:space="1264" w:num="1"/>
          <w:titlePg/>
          <w:docGrid w:type="lines" w:linePitch="312" w:charSpace="0"/>
        </w:sectPr>
      </w:pPr>
    </w:p>
    <w:p>
      <w:pPr>
        <w:spacing w:before="156" w:beforeLines="50" w:line="360" w:lineRule="auto"/>
        <w:jc w:val="center"/>
        <w:rPr>
          <w:rFonts w:ascii="宋体" w:hAnsi="宋体" w:eastAsia="宋体"/>
          <w:b/>
          <w:bCs/>
          <w:sz w:val="32"/>
          <w:szCs w:val="32"/>
        </w:rPr>
      </w:pPr>
      <w:r>
        <w:rPr>
          <w:rFonts w:hint="eastAsia" w:eastAsia="黑体"/>
          <w:b/>
          <w:bCs/>
          <w:sz w:val="28"/>
        </w:rPr>
        <w:drawing>
          <wp:inline distT="0" distB="0" distL="0" distR="0">
            <wp:extent cx="5206365" cy="3742690"/>
            <wp:effectExtent l="0" t="0" r="0" b="0"/>
            <wp:docPr id="3" name="图片 3" descr="QQ图片20240102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40102100039"/>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4695" t="3834" r="4105" b="3424"/>
                    <a:stretch>
                      <a:fillRect/>
                    </a:stretch>
                  </pic:blipFill>
                  <pic:spPr>
                    <a:xfrm>
                      <a:off x="0" y="0"/>
                      <a:ext cx="5215166" cy="3748723"/>
                    </a:xfrm>
                    <a:prstGeom prst="rect">
                      <a:avLst/>
                    </a:prstGeom>
                    <a:noFill/>
                    <a:ln>
                      <a:noFill/>
                    </a:ln>
                  </pic:spPr>
                </pic:pic>
              </a:graphicData>
            </a:graphic>
          </wp:inline>
        </w:drawing>
      </w:r>
    </w:p>
    <w:p>
      <w:pPr>
        <w:spacing w:line="480" w:lineRule="auto"/>
        <w:jc w:val="left"/>
        <w:rPr>
          <w:rFonts w:eastAsia="黑体"/>
          <w:bCs/>
          <w:sz w:val="30"/>
        </w:rPr>
      </w:pPr>
    </w:p>
    <w:p>
      <w:pPr>
        <w:spacing w:line="480" w:lineRule="auto"/>
        <w:jc w:val="left"/>
        <w:rPr>
          <w:rFonts w:eastAsia="黑体"/>
          <w:bCs/>
          <w:sz w:val="30"/>
        </w:rPr>
      </w:pPr>
    </w:p>
    <w:p>
      <w:pPr>
        <w:spacing w:line="480" w:lineRule="auto"/>
        <w:ind w:left="1500" w:hanging="1500" w:hangingChars="500"/>
        <w:jc w:val="left"/>
        <w:rPr>
          <w:rFonts w:eastAsia="黑体"/>
          <w:bCs/>
          <w:sz w:val="30"/>
        </w:rPr>
      </w:pPr>
      <w:r>
        <w:rPr>
          <w:rFonts w:hint="eastAsia" w:eastAsia="黑体"/>
          <w:bCs/>
          <w:sz w:val="30"/>
        </w:rPr>
        <w:t>项目名称： 大英县遂大融城发展片区国土空间总体规划</w:t>
      </w:r>
      <w:r>
        <w:rPr>
          <w:rFonts w:hint="eastAsia" w:ascii="黑体" w:hAnsi="黑体" w:eastAsia="黑体"/>
          <w:bCs/>
          <w:sz w:val="30"/>
        </w:rPr>
        <w:t>（</w:t>
      </w:r>
      <w:r>
        <w:rPr>
          <w:rFonts w:ascii="黑体" w:hAnsi="黑体" w:eastAsia="黑体"/>
          <w:bCs/>
          <w:sz w:val="30"/>
        </w:rPr>
        <w:t>2021-2035年</w:t>
      </w:r>
      <w:r>
        <w:rPr>
          <w:rFonts w:hint="eastAsia" w:ascii="黑体" w:hAnsi="黑体" w:eastAsia="黑体"/>
          <w:bCs/>
          <w:sz w:val="30"/>
        </w:rPr>
        <w:t>）</w:t>
      </w:r>
    </w:p>
    <w:p>
      <w:pPr>
        <w:spacing w:line="480" w:lineRule="auto"/>
        <w:jc w:val="left"/>
        <w:rPr>
          <w:rFonts w:eastAsia="黑体"/>
          <w:bCs/>
          <w:sz w:val="30"/>
        </w:rPr>
      </w:pPr>
      <w:r>
        <w:rPr>
          <w:rFonts w:hint="eastAsia" w:eastAsia="黑体"/>
          <w:bCs/>
          <w:sz w:val="30"/>
        </w:rPr>
        <w:t>委托单位： 大英县自然资源和规划局</w:t>
      </w:r>
    </w:p>
    <w:p>
      <w:pPr>
        <w:spacing w:line="480" w:lineRule="auto"/>
        <w:jc w:val="left"/>
        <w:rPr>
          <w:rFonts w:eastAsia="黑体"/>
          <w:bCs/>
          <w:sz w:val="30"/>
        </w:rPr>
      </w:pPr>
      <w:r>
        <w:rPr>
          <w:rFonts w:hint="eastAsia" w:eastAsia="黑体"/>
          <w:bCs/>
          <w:sz w:val="30"/>
        </w:rPr>
        <w:t>设计单位： 重庆大学建筑规划设计研究总院有限公司</w:t>
      </w:r>
    </w:p>
    <w:p>
      <w:pPr>
        <w:spacing w:line="480" w:lineRule="auto"/>
        <w:jc w:val="left"/>
        <w:rPr>
          <w:rFonts w:ascii="黑体" w:hAnsi="黑体" w:eastAsia="黑体"/>
          <w:bCs/>
          <w:sz w:val="30"/>
        </w:rPr>
      </w:pPr>
      <w:r>
        <w:rPr>
          <w:rFonts w:hint="eastAsia" w:eastAsia="黑体"/>
          <w:bCs/>
          <w:sz w:val="30"/>
        </w:rPr>
        <w:t>设计编号</w:t>
      </w:r>
      <w:r>
        <w:rPr>
          <w:rFonts w:hint="eastAsia" w:ascii="黑体" w:hAnsi="黑体" w:eastAsia="黑体"/>
          <w:bCs/>
          <w:sz w:val="30"/>
        </w:rPr>
        <w:t xml:space="preserve">： </w:t>
      </w:r>
      <w:r>
        <w:rPr>
          <w:rFonts w:ascii="黑体" w:hAnsi="黑体" w:eastAsia="黑体"/>
          <w:bCs/>
          <w:sz w:val="30"/>
        </w:rPr>
        <w:t>21G0108</w:t>
      </w:r>
    </w:p>
    <w:p>
      <w:pPr>
        <w:spacing w:line="360" w:lineRule="auto"/>
        <w:jc w:val="left"/>
        <w:rPr>
          <w:rFonts w:eastAsia="黑体"/>
          <w:bCs/>
          <w:sz w:val="30"/>
        </w:rPr>
      </w:pPr>
    </w:p>
    <w:p>
      <w:pPr>
        <w:spacing w:line="360" w:lineRule="auto"/>
        <w:jc w:val="left"/>
        <w:rPr>
          <w:rFonts w:eastAsia="黑体"/>
          <w:bCs/>
          <w:sz w:val="30"/>
        </w:rPr>
      </w:pPr>
    </w:p>
    <w:p>
      <w:pPr>
        <w:spacing w:line="360" w:lineRule="auto"/>
        <w:jc w:val="left"/>
        <w:rPr>
          <w:rFonts w:hint="eastAsia" w:eastAsia="黑体"/>
          <w:bCs/>
          <w:sz w:val="30"/>
        </w:rPr>
      </w:pPr>
    </w:p>
    <w:p>
      <w:pPr>
        <w:snapToGrid w:val="0"/>
        <w:spacing w:line="360" w:lineRule="auto"/>
        <w:jc w:val="left"/>
        <w:rPr>
          <w:rFonts w:eastAsia="黑体"/>
          <w:b/>
          <w:bCs/>
          <w:sz w:val="28"/>
        </w:rPr>
      </w:pPr>
    </w:p>
    <w:p>
      <w:pPr>
        <w:snapToGrid w:val="0"/>
        <w:spacing w:line="360" w:lineRule="auto"/>
        <w:jc w:val="left"/>
        <w:rPr>
          <w:rFonts w:eastAsia="黑体"/>
          <w:b/>
          <w:bCs/>
          <w:sz w:val="28"/>
        </w:rPr>
      </w:pPr>
    </w:p>
    <w:p>
      <w:pPr>
        <w:snapToGrid w:val="0"/>
        <w:spacing w:line="360" w:lineRule="auto"/>
        <w:jc w:val="left"/>
        <w:rPr>
          <w:rFonts w:ascii="黑体" w:hAnsi="黑体" w:eastAsia="黑体" w:cs="黑体"/>
          <w:b/>
          <w:bCs/>
          <w:sz w:val="28"/>
        </w:rPr>
        <w:sectPr>
          <w:pgSz w:w="11906" w:h="16838"/>
          <w:pgMar w:top="1797" w:right="1440" w:bottom="1797" w:left="1440" w:header="851" w:footer="992" w:gutter="0"/>
          <w:pgNumType w:fmt="upperRoman" w:start="1"/>
          <w:cols w:space="1264" w:num="1"/>
          <w:titlePg/>
          <w:docGrid w:type="lines" w:linePitch="312" w:charSpace="0"/>
        </w:sectPr>
      </w:pPr>
    </w:p>
    <w:p>
      <w:pPr>
        <w:snapToGrid w:val="0"/>
        <w:spacing w:line="360" w:lineRule="auto"/>
        <w:jc w:val="left"/>
        <w:rPr>
          <w:rFonts w:ascii="宋体" w:hAnsi="宋体" w:eastAsia="宋体" w:cs="宋体"/>
          <w:sz w:val="28"/>
        </w:rPr>
      </w:pPr>
      <w:r>
        <w:rPr>
          <w:rFonts w:hint="eastAsia" w:ascii="黑体" w:hAnsi="黑体" w:eastAsia="黑体" w:cs="黑体"/>
          <w:b/>
          <w:bCs/>
          <w:sz w:val="28"/>
        </w:rPr>
        <w:t>法定代表人：</w:t>
      </w:r>
      <w:r>
        <w:rPr>
          <w:rFonts w:hint="eastAsia" w:ascii="宋体" w:hAnsi="宋体" w:eastAsia="宋体" w:cs="宋体"/>
          <w:sz w:val="28"/>
        </w:rPr>
        <w:t xml:space="preserve"> 赵  彬</w:t>
      </w:r>
    </w:p>
    <w:p>
      <w:pPr>
        <w:snapToGrid w:val="0"/>
        <w:spacing w:line="360" w:lineRule="auto"/>
        <w:jc w:val="left"/>
        <w:rPr>
          <w:sz w:val="28"/>
        </w:rPr>
      </w:pPr>
      <w:r>
        <w:rPr>
          <w:rFonts w:hint="eastAsia" w:ascii="黑体" w:hAnsi="黑体" w:eastAsia="黑体" w:cs="黑体"/>
          <w:b/>
          <w:bCs/>
          <w:sz w:val="28"/>
        </w:rPr>
        <w:t>技术负责人：</w:t>
      </w:r>
      <w:r>
        <w:rPr>
          <w:rFonts w:hint="eastAsia" w:ascii="宋体" w:hAnsi="宋体" w:cs="宋体"/>
          <w:sz w:val="28"/>
        </w:rPr>
        <w:t xml:space="preserve"> 苟基佐</w:t>
      </w:r>
      <w:r>
        <w:rPr>
          <w:rFonts w:hint="eastAsia" w:ascii="宋体" w:hAnsi="宋体" w:cs="宋体"/>
          <w:sz w:val="28"/>
          <w:szCs w:val="28"/>
        </w:rPr>
        <w:t xml:space="preserve">  </w:t>
      </w:r>
      <w:r>
        <w:rPr>
          <w:rFonts w:hint="eastAsia"/>
          <w:sz w:val="28"/>
        </w:rPr>
        <w:t xml:space="preserve"> </w:t>
      </w:r>
    </w:p>
    <w:p>
      <w:pPr>
        <w:snapToGrid w:val="0"/>
        <w:spacing w:line="360" w:lineRule="auto"/>
        <w:jc w:val="left"/>
        <w:rPr>
          <w:sz w:val="28"/>
        </w:rPr>
      </w:pPr>
      <w:r>
        <w:rPr>
          <w:rFonts w:hint="eastAsia" w:ascii="黑体" w:hAnsi="黑体" w:eastAsia="黑体" w:cs="黑体"/>
          <w:b/>
          <w:bCs/>
          <w:sz w:val="28"/>
        </w:rPr>
        <w:t xml:space="preserve">项目总工： </w:t>
      </w:r>
      <w:r>
        <w:rPr>
          <w:rFonts w:ascii="黑体" w:hAnsi="黑体" w:eastAsia="黑体" w:cs="黑体"/>
          <w:b/>
          <w:bCs/>
          <w:sz w:val="28"/>
        </w:rPr>
        <w:t xml:space="preserve"> </w:t>
      </w:r>
      <w:r>
        <w:rPr>
          <w:rFonts w:hint="eastAsia" w:eastAsia="黑体"/>
          <w:b/>
          <w:bCs/>
          <w:sz w:val="28"/>
        </w:rPr>
        <w:t xml:space="preserve"> </w:t>
      </w:r>
      <w:r>
        <w:rPr>
          <w:rFonts w:hint="eastAsia"/>
          <w:sz w:val="28"/>
        </w:rPr>
        <w:t xml:space="preserve">许剑峰  正高级工程师 </w:t>
      </w:r>
      <w:r>
        <w:rPr>
          <w:sz w:val="28"/>
        </w:rPr>
        <w:t xml:space="preserve"> </w:t>
      </w:r>
      <w:r>
        <w:rPr>
          <w:rFonts w:hint="eastAsia"/>
          <w:sz w:val="28"/>
        </w:rPr>
        <w:t>注册城乡规划师</w:t>
      </w:r>
    </w:p>
    <w:p>
      <w:pPr>
        <w:snapToGrid w:val="0"/>
        <w:spacing w:line="360" w:lineRule="auto"/>
        <w:ind w:firstLine="1687" w:firstLineChars="600"/>
        <w:jc w:val="left"/>
        <w:rPr>
          <w:sz w:val="28"/>
        </w:rPr>
      </w:pPr>
      <w:r>
        <w:rPr>
          <w:rFonts w:hint="eastAsia" w:eastAsia="黑体"/>
          <w:b/>
          <w:bCs/>
          <w:sz w:val="28"/>
        </w:rPr>
        <w:t xml:space="preserve"> </w:t>
      </w:r>
      <w:r>
        <w:rPr>
          <w:rFonts w:hint="eastAsia"/>
          <w:sz w:val="28"/>
        </w:rPr>
        <w:t>徐煜辉  教授、注册城乡规划师</w:t>
      </w:r>
    </w:p>
    <w:p>
      <w:pPr>
        <w:snapToGrid w:val="0"/>
        <w:spacing w:line="360" w:lineRule="auto"/>
        <w:ind w:firstLine="588" w:firstLineChars="210"/>
        <w:jc w:val="left"/>
        <w:rPr>
          <w:sz w:val="28"/>
        </w:rPr>
      </w:pPr>
      <w:r>
        <w:rPr>
          <w:rFonts w:hint="eastAsia"/>
          <w:sz w:val="28"/>
        </w:rPr>
        <w:t xml:space="preserve">      </w:t>
      </w:r>
      <w:r>
        <w:rPr>
          <w:sz w:val="28"/>
        </w:rPr>
        <w:t xml:space="preserve">  </w:t>
      </w:r>
      <w:r>
        <w:rPr>
          <w:rFonts w:hint="eastAsia"/>
          <w:sz w:val="28"/>
        </w:rPr>
        <w:t xml:space="preserve"> 邱  宇  高级工程师、注册城乡规划师</w:t>
      </w:r>
    </w:p>
    <w:p>
      <w:pPr>
        <w:snapToGrid w:val="0"/>
        <w:spacing w:line="360" w:lineRule="auto"/>
        <w:ind w:firstLine="588" w:firstLineChars="210"/>
        <w:jc w:val="left"/>
        <w:rPr>
          <w:sz w:val="28"/>
        </w:rPr>
      </w:pPr>
      <w:r>
        <w:rPr>
          <w:rFonts w:hint="eastAsia"/>
          <w:sz w:val="28"/>
        </w:rPr>
        <w:t xml:space="preserve">     </w:t>
      </w:r>
      <w:r>
        <w:rPr>
          <w:sz w:val="28"/>
        </w:rPr>
        <w:t xml:space="preserve">  </w:t>
      </w:r>
      <w:r>
        <w:rPr>
          <w:rFonts w:hint="eastAsia"/>
          <w:sz w:val="28"/>
        </w:rPr>
        <w:t xml:space="preserve">  陈  静  市政总工  高级工程师</w:t>
      </w:r>
    </w:p>
    <w:p>
      <w:pPr>
        <w:snapToGrid w:val="0"/>
        <w:spacing w:line="360" w:lineRule="auto"/>
        <w:ind w:firstLine="588" w:firstLineChars="210"/>
        <w:jc w:val="left"/>
        <w:rPr>
          <w:sz w:val="28"/>
        </w:rPr>
      </w:pPr>
    </w:p>
    <w:p>
      <w:pPr>
        <w:snapToGrid w:val="0"/>
        <w:spacing w:line="360" w:lineRule="auto"/>
        <w:ind w:firstLine="588" w:firstLineChars="210"/>
        <w:jc w:val="left"/>
        <w:rPr>
          <w:rFonts w:hint="eastAsia"/>
          <w:sz w:val="28"/>
        </w:rPr>
      </w:pPr>
    </w:p>
    <w:p>
      <w:pPr>
        <w:snapToGrid w:val="0"/>
        <w:spacing w:line="360" w:lineRule="auto"/>
        <w:jc w:val="left"/>
        <w:rPr>
          <w:rFonts w:eastAsia="黑体"/>
          <w:b/>
          <w:bCs/>
          <w:sz w:val="28"/>
        </w:rPr>
      </w:pPr>
      <w:r>
        <w:rPr>
          <w:rFonts w:hint="eastAsia" w:eastAsia="黑体"/>
          <w:b/>
          <w:bCs/>
          <w:sz w:val="28"/>
        </w:rPr>
        <w:t xml:space="preserve">执行分院： </w:t>
      </w:r>
      <w:r>
        <w:rPr>
          <w:rFonts w:eastAsia="黑体"/>
          <w:b/>
          <w:bCs/>
          <w:sz w:val="28"/>
        </w:rPr>
        <w:t xml:space="preserve">     </w:t>
      </w:r>
      <w:r>
        <w:rPr>
          <w:rFonts w:hint="eastAsia" w:eastAsia="黑体"/>
          <w:b/>
          <w:bCs/>
          <w:sz w:val="28"/>
        </w:rPr>
        <w:t xml:space="preserve"> </w:t>
      </w:r>
      <w:r>
        <w:rPr>
          <w:rFonts w:hint="eastAsia"/>
          <w:sz w:val="28"/>
        </w:rPr>
        <w:t xml:space="preserve">李 </w:t>
      </w:r>
      <w:r>
        <w:rPr>
          <w:sz w:val="28"/>
        </w:rPr>
        <w:t xml:space="preserve"> </w:t>
      </w:r>
      <w:r>
        <w:rPr>
          <w:rFonts w:hint="eastAsia"/>
          <w:sz w:val="28"/>
        </w:rPr>
        <w:t xml:space="preserve">进 </w:t>
      </w:r>
      <w:r>
        <w:rPr>
          <w:sz w:val="28"/>
        </w:rPr>
        <w:t xml:space="preserve">   </w:t>
      </w:r>
      <w:r>
        <w:rPr>
          <w:rFonts w:hint="eastAsia"/>
          <w:sz w:val="28"/>
        </w:rPr>
        <w:t>规划二分院院长</w:t>
      </w:r>
    </w:p>
    <w:p>
      <w:pPr>
        <w:snapToGrid w:val="0"/>
        <w:spacing w:line="360" w:lineRule="auto"/>
        <w:jc w:val="left"/>
        <w:rPr>
          <w:sz w:val="28"/>
        </w:rPr>
      </w:pPr>
      <w:r>
        <w:rPr>
          <w:rFonts w:hint="eastAsia" w:eastAsia="黑体"/>
          <w:b/>
          <w:bCs/>
          <w:sz w:val="28"/>
        </w:rPr>
        <w:t>项目负责人：</w:t>
      </w:r>
      <w:r>
        <w:rPr>
          <w:sz w:val="28"/>
        </w:rPr>
        <w:t xml:space="preserve">     </w:t>
      </w:r>
      <w:r>
        <w:rPr>
          <w:rFonts w:hint="eastAsia"/>
          <w:sz w:val="28"/>
        </w:rPr>
        <w:t xml:space="preserve">李 </w:t>
      </w:r>
      <w:r>
        <w:rPr>
          <w:sz w:val="28"/>
        </w:rPr>
        <w:t xml:space="preserve"> </w:t>
      </w:r>
      <w:r>
        <w:rPr>
          <w:rFonts w:hint="eastAsia"/>
          <w:sz w:val="28"/>
        </w:rPr>
        <w:t xml:space="preserve">进 </w:t>
      </w:r>
      <w:r>
        <w:rPr>
          <w:sz w:val="28"/>
        </w:rPr>
        <w:t xml:space="preserve">   </w:t>
      </w:r>
      <w:r>
        <w:rPr>
          <w:rFonts w:hint="eastAsia"/>
          <w:sz w:val="28"/>
        </w:rPr>
        <w:t>高级工程师</w:t>
      </w:r>
    </w:p>
    <w:p>
      <w:pPr>
        <w:snapToGrid w:val="0"/>
        <w:spacing w:line="360" w:lineRule="auto"/>
        <w:jc w:val="left"/>
        <w:rPr>
          <w:color w:val="FF0000"/>
          <w:sz w:val="28"/>
        </w:rPr>
      </w:pPr>
      <w:r>
        <w:rPr>
          <w:rFonts w:hint="eastAsia" w:ascii="黑体" w:hAnsi="黑体" w:eastAsia="黑体" w:cs="黑体"/>
          <w:b/>
          <w:bCs/>
          <w:sz w:val="28"/>
        </w:rPr>
        <w:t>项目专业负责人</w:t>
      </w:r>
      <w:r>
        <w:rPr>
          <w:rFonts w:hint="eastAsia"/>
          <w:sz w:val="28"/>
        </w:rPr>
        <w:t>：</w:t>
      </w:r>
      <w:r>
        <w:rPr>
          <w:rFonts w:hint="eastAsia"/>
          <w:color w:val="FF0000"/>
          <w:sz w:val="28"/>
        </w:rPr>
        <w:t xml:space="preserve"> </w:t>
      </w:r>
      <w:r>
        <w:rPr>
          <w:rFonts w:hint="eastAsia"/>
          <w:sz w:val="28"/>
        </w:rPr>
        <w:t xml:space="preserve">段 </w:t>
      </w:r>
      <w:r>
        <w:rPr>
          <w:sz w:val="28"/>
        </w:rPr>
        <w:t xml:space="preserve"> </w:t>
      </w:r>
      <w:r>
        <w:rPr>
          <w:rFonts w:hint="eastAsia"/>
          <w:sz w:val="28"/>
        </w:rPr>
        <w:t>炼</w:t>
      </w:r>
      <w:r>
        <w:rPr>
          <w:sz w:val="28"/>
        </w:rPr>
        <w:t xml:space="preserve">    </w:t>
      </w:r>
      <w:r>
        <w:rPr>
          <w:rFonts w:hint="eastAsia"/>
          <w:sz w:val="28"/>
        </w:rPr>
        <w:t xml:space="preserve">副教授  </w:t>
      </w:r>
      <w:r>
        <w:rPr>
          <w:sz w:val="28"/>
        </w:rPr>
        <w:t xml:space="preserve">      </w:t>
      </w:r>
      <w:r>
        <w:rPr>
          <w:rFonts w:hint="eastAsia"/>
          <w:sz w:val="28"/>
        </w:rPr>
        <w:t>注册城乡规划师</w:t>
      </w:r>
    </w:p>
    <w:p>
      <w:pPr>
        <w:snapToGrid w:val="0"/>
        <w:spacing w:line="360" w:lineRule="auto"/>
        <w:jc w:val="left"/>
        <w:rPr>
          <w:sz w:val="28"/>
        </w:rPr>
      </w:pPr>
      <w:r>
        <w:rPr>
          <w:rFonts w:hint="eastAsia" w:eastAsia="黑体"/>
          <w:b/>
          <w:bCs/>
          <w:sz w:val="28"/>
        </w:rPr>
        <w:t xml:space="preserve">项目组成员： </w:t>
      </w:r>
      <w:r>
        <w:rPr>
          <w:rFonts w:eastAsia="黑体"/>
          <w:b/>
          <w:bCs/>
          <w:sz w:val="28"/>
        </w:rPr>
        <w:t xml:space="preserve">   </w:t>
      </w:r>
      <w:r>
        <w:rPr>
          <w:sz w:val="28"/>
        </w:rPr>
        <w:t xml:space="preserve"> </w:t>
      </w:r>
      <w:r>
        <w:rPr>
          <w:rFonts w:hint="eastAsia"/>
          <w:sz w:val="28"/>
        </w:rPr>
        <w:t xml:space="preserve">赵煜阳 </w:t>
      </w:r>
      <w:r>
        <w:rPr>
          <w:sz w:val="28"/>
        </w:rPr>
        <w:t xml:space="preserve">   </w:t>
      </w:r>
      <w:r>
        <w:rPr>
          <w:rFonts w:hint="eastAsia"/>
          <w:sz w:val="28"/>
        </w:rPr>
        <w:t xml:space="preserve">工程师 </w:t>
      </w:r>
      <w:r>
        <w:rPr>
          <w:sz w:val="28"/>
        </w:rPr>
        <w:t xml:space="preserve">       </w:t>
      </w:r>
      <w:r>
        <w:rPr>
          <w:rFonts w:hint="eastAsia"/>
          <w:sz w:val="28"/>
        </w:rPr>
        <w:t>主任设计师</w:t>
      </w:r>
    </w:p>
    <w:p>
      <w:pPr>
        <w:snapToGrid w:val="0"/>
        <w:spacing w:line="360" w:lineRule="auto"/>
        <w:jc w:val="left"/>
        <w:rPr>
          <w:sz w:val="28"/>
        </w:rPr>
      </w:pPr>
      <w:r>
        <w:rPr>
          <w:rFonts w:hint="eastAsia"/>
          <w:sz w:val="28"/>
        </w:rPr>
        <w:t xml:space="preserve"> </w:t>
      </w:r>
      <w:r>
        <w:rPr>
          <w:sz w:val="28"/>
        </w:rPr>
        <w:t xml:space="preserve">                </w:t>
      </w:r>
      <w:r>
        <w:rPr>
          <w:rFonts w:hint="eastAsia"/>
          <w:sz w:val="28"/>
        </w:rPr>
        <w:t>刘聪颖</w:t>
      </w:r>
      <w:r>
        <w:rPr>
          <w:sz w:val="28"/>
        </w:rPr>
        <w:t xml:space="preserve">    高级工程师    注册城乡规划师</w:t>
      </w:r>
    </w:p>
    <w:p>
      <w:pPr>
        <w:snapToGrid w:val="0"/>
        <w:spacing w:line="360" w:lineRule="auto"/>
        <w:jc w:val="left"/>
        <w:rPr>
          <w:sz w:val="28"/>
        </w:rPr>
      </w:pPr>
      <w:r>
        <w:rPr>
          <w:rFonts w:hint="eastAsia"/>
          <w:sz w:val="28"/>
        </w:rPr>
        <w:t xml:space="preserve"> </w:t>
      </w:r>
      <w:r>
        <w:rPr>
          <w:sz w:val="28"/>
        </w:rPr>
        <w:t xml:space="preserve">                </w:t>
      </w:r>
      <w:r>
        <w:rPr>
          <w:rFonts w:hint="eastAsia"/>
          <w:sz w:val="28"/>
        </w:rPr>
        <w:t xml:space="preserve">陈前池 </w:t>
      </w:r>
      <w:r>
        <w:rPr>
          <w:sz w:val="28"/>
        </w:rPr>
        <w:t xml:space="preserve">  </w:t>
      </w:r>
      <w:r>
        <w:rPr>
          <w:rFonts w:hint="eastAsia"/>
          <w:sz w:val="28"/>
        </w:rPr>
        <w:t xml:space="preserve"> 高级工程师</w:t>
      </w:r>
      <w:r>
        <w:rPr>
          <w:sz w:val="28"/>
        </w:rPr>
        <w:t xml:space="preserve">    注册城乡规划师 </w:t>
      </w:r>
      <w:r>
        <w:rPr>
          <w:rFonts w:hint="eastAsia"/>
          <w:sz w:val="28"/>
        </w:rPr>
        <w:t xml:space="preserve"> </w:t>
      </w:r>
      <w:r>
        <w:rPr>
          <w:sz w:val="28"/>
        </w:rPr>
        <w:t xml:space="preserve">          </w:t>
      </w:r>
    </w:p>
    <w:p>
      <w:pPr>
        <w:snapToGrid w:val="0"/>
        <w:spacing w:line="360" w:lineRule="auto"/>
        <w:jc w:val="left"/>
        <w:rPr>
          <w:sz w:val="28"/>
        </w:rPr>
      </w:pPr>
      <w:r>
        <w:rPr>
          <w:rFonts w:hint="eastAsia"/>
          <w:sz w:val="28"/>
        </w:rPr>
        <w:t xml:space="preserve"> </w:t>
      </w:r>
      <w:r>
        <w:rPr>
          <w:sz w:val="28"/>
        </w:rPr>
        <w:t xml:space="preserve">                </w:t>
      </w:r>
      <w:r>
        <w:rPr>
          <w:rFonts w:hint="eastAsia"/>
          <w:sz w:val="28"/>
        </w:rPr>
        <w:t xml:space="preserve">曾小飞 </w:t>
      </w:r>
      <w:r>
        <w:rPr>
          <w:sz w:val="28"/>
        </w:rPr>
        <w:t xml:space="preserve">   </w:t>
      </w:r>
      <w:r>
        <w:rPr>
          <w:rFonts w:hint="eastAsia"/>
          <w:sz w:val="28"/>
        </w:rPr>
        <w:t xml:space="preserve">工程师 </w:t>
      </w:r>
      <w:r>
        <w:rPr>
          <w:sz w:val="28"/>
        </w:rPr>
        <w:t xml:space="preserve">       </w:t>
      </w:r>
      <w:r>
        <w:rPr>
          <w:rFonts w:hint="eastAsia"/>
          <w:sz w:val="28"/>
        </w:rPr>
        <w:t>注册城乡规划师</w:t>
      </w:r>
    </w:p>
    <w:p>
      <w:pPr>
        <w:snapToGrid w:val="0"/>
        <w:spacing w:line="360" w:lineRule="auto"/>
        <w:jc w:val="left"/>
        <w:rPr>
          <w:sz w:val="28"/>
        </w:rPr>
      </w:pPr>
      <w:r>
        <w:rPr>
          <w:rFonts w:hint="eastAsia"/>
          <w:sz w:val="28"/>
        </w:rPr>
        <w:t xml:space="preserve"> </w:t>
      </w:r>
      <w:r>
        <w:rPr>
          <w:sz w:val="28"/>
        </w:rPr>
        <w:t xml:space="preserve">                </w:t>
      </w:r>
      <w:r>
        <w:rPr>
          <w:rFonts w:hint="eastAsia"/>
          <w:sz w:val="28"/>
        </w:rPr>
        <w:t>徐</w:t>
      </w:r>
      <w:r>
        <w:rPr>
          <w:sz w:val="28"/>
        </w:rPr>
        <w:t xml:space="preserve">  静    硕士          </w:t>
      </w:r>
      <w:r>
        <w:rPr>
          <w:rFonts w:hint="eastAsia"/>
          <w:sz w:val="28"/>
        </w:rPr>
        <w:t>高级工程师</w:t>
      </w:r>
    </w:p>
    <w:p>
      <w:pPr>
        <w:snapToGrid w:val="0"/>
        <w:spacing w:line="360" w:lineRule="auto"/>
        <w:jc w:val="left"/>
        <w:rPr>
          <w:sz w:val="28"/>
        </w:rPr>
      </w:pPr>
      <w:r>
        <w:rPr>
          <w:rFonts w:hint="eastAsia"/>
          <w:sz w:val="28"/>
        </w:rPr>
        <w:t xml:space="preserve"> </w:t>
      </w:r>
      <w:r>
        <w:rPr>
          <w:sz w:val="28"/>
        </w:rPr>
        <w:t xml:space="preserve">                </w:t>
      </w:r>
      <w:r>
        <w:rPr>
          <w:rFonts w:hint="eastAsia"/>
          <w:sz w:val="28"/>
        </w:rPr>
        <w:t>曾</w:t>
      </w:r>
      <w:r>
        <w:rPr>
          <w:sz w:val="28"/>
        </w:rPr>
        <w:t xml:space="preserve">  姗    硕士          工程师</w:t>
      </w:r>
    </w:p>
    <w:p>
      <w:pPr>
        <w:snapToGrid w:val="0"/>
        <w:spacing w:line="360" w:lineRule="auto"/>
        <w:jc w:val="left"/>
        <w:rPr>
          <w:sz w:val="28"/>
        </w:rPr>
      </w:pPr>
      <w:r>
        <w:rPr>
          <w:rFonts w:hint="eastAsia"/>
          <w:sz w:val="28"/>
        </w:rPr>
        <w:t xml:space="preserve"> </w:t>
      </w:r>
      <w:r>
        <w:rPr>
          <w:sz w:val="28"/>
        </w:rPr>
        <w:t xml:space="preserve">                黄  锋    学士          工程师</w:t>
      </w:r>
      <w:r>
        <w:rPr>
          <w:rFonts w:hint="eastAsia"/>
          <w:sz w:val="28"/>
        </w:rPr>
        <w:t xml:space="preserve"> </w:t>
      </w:r>
      <w:r>
        <w:rPr>
          <w:sz w:val="28"/>
        </w:rPr>
        <w:t xml:space="preserve"> </w:t>
      </w:r>
    </w:p>
    <w:p>
      <w:pPr>
        <w:snapToGrid w:val="0"/>
        <w:spacing w:line="360" w:lineRule="auto"/>
        <w:jc w:val="left"/>
        <w:rPr>
          <w:sz w:val="28"/>
        </w:rPr>
      </w:pPr>
      <w:r>
        <w:rPr>
          <w:rFonts w:hint="eastAsia"/>
          <w:sz w:val="28"/>
        </w:rPr>
        <w:t xml:space="preserve"> </w:t>
      </w:r>
      <w:r>
        <w:rPr>
          <w:sz w:val="28"/>
        </w:rPr>
        <w:t xml:space="preserve">                </w:t>
      </w:r>
      <w:r>
        <w:rPr>
          <w:rFonts w:hint="eastAsia"/>
          <w:sz w:val="28"/>
        </w:rPr>
        <w:t>陈美君</w:t>
      </w:r>
      <w:r>
        <w:rPr>
          <w:sz w:val="28"/>
        </w:rPr>
        <w:t xml:space="preserve">    学士          助理工程师</w:t>
      </w:r>
    </w:p>
    <w:p>
      <w:pPr>
        <w:snapToGrid w:val="0"/>
        <w:spacing w:line="360" w:lineRule="auto"/>
        <w:jc w:val="left"/>
        <w:rPr>
          <w:sz w:val="28"/>
        </w:rPr>
      </w:pPr>
      <w:r>
        <w:rPr>
          <w:rFonts w:hint="eastAsia"/>
          <w:sz w:val="28"/>
        </w:rPr>
        <w:t xml:space="preserve"> </w:t>
      </w:r>
      <w:r>
        <w:rPr>
          <w:sz w:val="28"/>
        </w:rPr>
        <w:t xml:space="preserve">                </w:t>
      </w:r>
      <w:r>
        <w:rPr>
          <w:rFonts w:hint="eastAsia"/>
          <w:sz w:val="28"/>
        </w:rPr>
        <w:t>王立田</w:t>
      </w:r>
      <w:r>
        <w:rPr>
          <w:sz w:val="28"/>
        </w:rPr>
        <w:t xml:space="preserve">    </w:t>
      </w:r>
      <w:r>
        <w:rPr>
          <w:rFonts w:hint="eastAsia"/>
          <w:sz w:val="28"/>
        </w:rPr>
        <w:t>学士</w:t>
      </w:r>
      <w:r>
        <w:rPr>
          <w:sz w:val="28"/>
        </w:rPr>
        <w:t xml:space="preserve">          </w:t>
      </w:r>
      <w:r>
        <w:rPr>
          <w:rFonts w:hint="eastAsia"/>
          <w:sz w:val="28"/>
        </w:rPr>
        <w:t>助理工程师</w:t>
      </w:r>
      <w:r>
        <w:rPr>
          <w:sz w:val="28"/>
        </w:rPr>
        <w:t xml:space="preserve">          </w:t>
      </w:r>
    </w:p>
    <w:p>
      <w:pPr>
        <w:snapToGrid w:val="0"/>
        <w:spacing w:line="360" w:lineRule="auto"/>
        <w:jc w:val="left"/>
        <w:rPr>
          <w:sz w:val="28"/>
        </w:rPr>
      </w:pPr>
      <w:r>
        <w:rPr>
          <w:rFonts w:hint="eastAsia"/>
          <w:sz w:val="28"/>
        </w:rPr>
        <w:t xml:space="preserve"> </w:t>
      </w:r>
      <w:r>
        <w:rPr>
          <w:sz w:val="28"/>
        </w:rPr>
        <w:t xml:space="preserve">                刘皓月    学士          助理工程师</w:t>
      </w:r>
    </w:p>
    <w:p>
      <w:pPr>
        <w:snapToGrid w:val="0"/>
        <w:spacing w:line="360" w:lineRule="auto"/>
        <w:jc w:val="left"/>
        <w:rPr>
          <w:sz w:val="28"/>
        </w:rPr>
      </w:pPr>
      <w:r>
        <w:rPr>
          <w:rFonts w:hint="eastAsia"/>
          <w:sz w:val="28"/>
        </w:rPr>
        <w:t xml:space="preserve"> </w:t>
      </w:r>
      <w:r>
        <w:rPr>
          <w:sz w:val="28"/>
        </w:rPr>
        <w:t xml:space="preserve">                </w:t>
      </w:r>
      <w:r>
        <w:rPr>
          <w:rFonts w:hint="eastAsia"/>
          <w:sz w:val="28"/>
        </w:rPr>
        <w:t xml:space="preserve">高 </w:t>
      </w:r>
      <w:r>
        <w:rPr>
          <w:sz w:val="28"/>
        </w:rPr>
        <w:t xml:space="preserve"> </w:t>
      </w:r>
      <w:r>
        <w:rPr>
          <w:rFonts w:hint="eastAsia"/>
          <w:sz w:val="28"/>
        </w:rPr>
        <w:t xml:space="preserve">畅 </w:t>
      </w:r>
      <w:r>
        <w:rPr>
          <w:sz w:val="28"/>
        </w:rPr>
        <w:t xml:space="preserve">  </w:t>
      </w:r>
      <w:r>
        <w:rPr>
          <w:rFonts w:hint="eastAsia"/>
          <w:sz w:val="28"/>
        </w:rPr>
        <w:t xml:space="preserve"> 学士 </w:t>
      </w:r>
      <w:r>
        <w:rPr>
          <w:sz w:val="28"/>
        </w:rPr>
        <w:t xml:space="preserve">         </w:t>
      </w:r>
      <w:r>
        <w:rPr>
          <w:rFonts w:hint="eastAsia"/>
          <w:sz w:val="28"/>
        </w:rPr>
        <w:t>助理工程师</w:t>
      </w:r>
    </w:p>
    <w:p>
      <w:pPr>
        <w:snapToGrid w:val="0"/>
        <w:spacing w:line="360" w:lineRule="auto"/>
        <w:jc w:val="left"/>
        <w:rPr>
          <w:sz w:val="28"/>
        </w:rPr>
      </w:pPr>
      <w:r>
        <w:rPr>
          <w:rFonts w:hint="eastAsia"/>
          <w:sz w:val="28"/>
        </w:rPr>
        <w:t xml:space="preserve"> </w:t>
      </w:r>
      <w:r>
        <w:rPr>
          <w:sz w:val="28"/>
        </w:rPr>
        <w:t xml:space="preserve">                </w:t>
      </w:r>
      <w:r>
        <w:rPr>
          <w:rFonts w:hint="eastAsia"/>
          <w:sz w:val="28"/>
        </w:rPr>
        <w:t xml:space="preserve">秦 </w:t>
      </w:r>
      <w:r>
        <w:rPr>
          <w:sz w:val="28"/>
        </w:rPr>
        <w:t xml:space="preserve"> </w:t>
      </w:r>
      <w:r>
        <w:rPr>
          <w:rFonts w:hint="eastAsia"/>
          <w:sz w:val="28"/>
        </w:rPr>
        <w:t xml:space="preserve">发 </w:t>
      </w:r>
      <w:r>
        <w:rPr>
          <w:sz w:val="28"/>
        </w:rPr>
        <w:t xml:space="preserve">   </w:t>
      </w:r>
      <w:r>
        <w:rPr>
          <w:rFonts w:hint="eastAsia"/>
          <w:sz w:val="28"/>
        </w:rPr>
        <w:t xml:space="preserve">学士 </w:t>
      </w:r>
      <w:r>
        <w:rPr>
          <w:sz w:val="28"/>
        </w:rPr>
        <w:t xml:space="preserve">         </w:t>
      </w:r>
      <w:r>
        <w:rPr>
          <w:rFonts w:hint="eastAsia"/>
          <w:sz w:val="28"/>
        </w:rPr>
        <w:t>助理工程师</w:t>
      </w:r>
      <w:r>
        <w:rPr>
          <w:sz w:val="28"/>
        </w:rPr>
        <w:t xml:space="preserve">         </w:t>
      </w:r>
    </w:p>
    <w:p>
      <w:pPr>
        <w:snapToGrid w:val="0"/>
        <w:spacing w:line="360" w:lineRule="auto"/>
        <w:jc w:val="left"/>
        <w:rPr>
          <w:rFonts w:ascii="黑体" w:hAnsi="黑体" w:eastAsia="黑体"/>
          <w:sz w:val="52"/>
          <w:szCs w:val="52"/>
        </w:rPr>
        <w:sectPr>
          <w:pgSz w:w="11906" w:h="16838"/>
          <w:pgMar w:top="1797" w:right="1440" w:bottom="1797" w:left="1440" w:header="851" w:footer="992" w:gutter="0"/>
          <w:pgNumType w:fmt="upperRoman" w:start="1"/>
          <w:cols w:space="1264" w:num="1"/>
          <w:titlePg/>
          <w:docGrid w:type="lines" w:linePitch="312" w:charSpace="0"/>
        </w:sectPr>
      </w:pPr>
      <w:r>
        <w:rPr>
          <w:rFonts w:hint="eastAsia" w:eastAsia="黑体"/>
          <w:b/>
          <w:bCs/>
          <w:sz w:val="28"/>
        </w:rPr>
        <w:t>校对：</w:t>
      </w:r>
      <w:r>
        <w:rPr>
          <w:sz w:val="28"/>
        </w:rPr>
        <w:t xml:space="preserve">           钟右建    工程师        注册城乡规划师</w:t>
      </w:r>
      <w:r>
        <w:rPr>
          <w:rFonts w:ascii="黑体" w:hAnsi="黑体" w:eastAsia="黑体"/>
          <w:sz w:val="52"/>
          <w:szCs w:val="52"/>
        </w:rPr>
        <w:br w:type="page"/>
      </w:r>
    </w:p>
    <w:p>
      <w:pPr>
        <w:jc w:val="center"/>
        <w:rPr>
          <w:b/>
          <w:sz w:val="32"/>
        </w:rPr>
      </w:pPr>
      <w:r>
        <w:rPr>
          <w:rFonts w:hint="eastAsia"/>
          <w:b/>
          <w:sz w:val="32"/>
        </w:rPr>
        <w:t>目   录</w:t>
      </w:r>
    </w:p>
    <w:p>
      <w:pPr>
        <w:pStyle w:val="28"/>
        <w:rPr>
          <w:sz w:val="21"/>
        </w:rPr>
      </w:pPr>
      <w:r>
        <w:rPr>
          <w:bCs/>
          <w:szCs w:val="24"/>
        </w:rPr>
        <w:fldChar w:fldCharType="begin"/>
      </w:r>
      <w:r>
        <w:rPr>
          <w:bCs/>
          <w:szCs w:val="24"/>
        </w:rPr>
        <w:instrText xml:space="preserve"> TOC \o "1-2" \h \z \u </w:instrText>
      </w:r>
      <w:r>
        <w:rPr>
          <w:bCs/>
          <w:szCs w:val="24"/>
        </w:rPr>
        <w:fldChar w:fldCharType="separate"/>
      </w:r>
      <w:r>
        <w:fldChar w:fldCharType="begin"/>
      </w:r>
      <w:r>
        <w:instrText xml:space="preserve"> HYPERLINK \l "_Toc141369714" </w:instrText>
      </w:r>
      <w:r>
        <w:fldChar w:fldCharType="separate"/>
      </w:r>
      <w:r>
        <w:rPr>
          <w:rStyle w:val="49"/>
          <w:rFonts w:ascii="黑体" w:hAnsi="黑体" w:eastAsia="黑体"/>
          <w:b/>
          <w:bCs/>
          <w:color w:val="auto"/>
        </w:rPr>
        <w:t>前   言</w:t>
      </w:r>
      <w:r>
        <w:tab/>
      </w:r>
      <w:r>
        <w:fldChar w:fldCharType="begin"/>
      </w:r>
      <w:r>
        <w:instrText xml:space="preserve"> PAGEREF _Toc141369714 \h </w:instrText>
      </w:r>
      <w:r>
        <w:fldChar w:fldCharType="separate"/>
      </w:r>
      <w:r>
        <w:t>1</w:t>
      </w:r>
      <w:r>
        <w:fldChar w:fldCharType="end"/>
      </w:r>
      <w:r>
        <w:fldChar w:fldCharType="end"/>
      </w:r>
    </w:p>
    <w:p>
      <w:pPr>
        <w:pStyle w:val="28"/>
        <w:rPr>
          <w:sz w:val="21"/>
        </w:rPr>
      </w:pPr>
      <w:r>
        <w:fldChar w:fldCharType="begin"/>
      </w:r>
      <w:r>
        <w:instrText xml:space="preserve"> HYPERLINK \l "_Toc141369715" </w:instrText>
      </w:r>
      <w:r>
        <w:fldChar w:fldCharType="separate"/>
      </w:r>
      <w:r>
        <w:rPr>
          <w:rStyle w:val="49"/>
          <w:rFonts w:ascii="黑体" w:hAnsi="黑体" w:eastAsia="黑体"/>
          <w:b/>
          <w:color w:val="auto"/>
        </w:rPr>
        <w:t>第一章</w:t>
      </w:r>
      <w:r>
        <w:rPr>
          <w:sz w:val="21"/>
        </w:rPr>
        <w:tab/>
      </w:r>
      <w:r>
        <w:rPr>
          <w:rStyle w:val="49"/>
          <w:rFonts w:ascii="黑体" w:hAnsi="黑体" w:eastAsia="黑体"/>
          <w:b/>
          <w:color w:val="auto"/>
        </w:rPr>
        <w:t>总则</w:t>
      </w:r>
      <w:r>
        <w:tab/>
      </w:r>
      <w:r>
        <w:fldChar w:fldCharType="begin"/>
      </w:r>
      <w:r>
        <w:instrText xml:space="preserve"> PAGEREF _Toc141369715 \h </w:instrText>
      </w:r>
      <w:r>
        <w:fldChar w:fldCharType="separate"/>
      </w:r>
      <w:r>
        <w:t>2</w:t>
      </w:r>
      <w:r>
        <w:fldChar w:fldCharType="end"/>
      </w:r>
      <w:r>
        <w:fldChar w:fldCharType="end"/>
      </w:r>
    </w:p>
    <w:p>
      <w:pPr>
        <w:pStyle w:val="28"/>
        <w:rPr>
          <w:sz w:val="21"/>
        </w:rPr>
      </w:pPr>
      <w:r>
        <w:fldChar w:fldCharType="begin"/>
      </w:r>
      <w:r>
        <w:instrText xml:space="preserve"> HYPERLINK \l "_Toc141369716" </w:instrText>
      </w:r>
      <w:r>
        <w:fldChar w:fldCharType="separate"/>
      </w:r>
      <w:r>
        <w:rPr>
          <w:rStyle w:val="49"/>
          <w:rFonts w:ascii="黑体" w:hAnsi="黑体" w:eastAsia="黑体"/>
          <w:b/>
          <w:color w:val="auto"/>
        </w:rPr>
        <w:t>第二章</w:t>
      </w:r>
      <w:r>
        <w:rPr>
          <w:sz w:val="21"/>
        </w:rPr>
        <w:tab/>
      </w:r>
      <w:r>
        <w:rPr>
          <w:rStyle w:val="49"/>
          <w:rFonts w:ascii="黑体" w:hAnsi="黑体" w:eastAsia="黑体"/>
          <w:b/>
          <w:color w:val="auto"/>
        </w:rPr>
        <w:t>片区基础特征分析</w:t>
      </w:r>
      <w:r>
        <w:tab/>
      </w:r>
      <w:r>
        <w:fldChar w:fldCharType="begin"/>
      </w:r>
      <w:r>
        <w:instrText xml:space="preserve"> PAGEREF _Toc141369716 \h </w:instrText>
      </w:r>
      <w:r>
        <w:fldChar w:fldCharType="separate"/>
      </w:r>
      <w:r>
        <w:t>6</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"_Toc141369717" </w:instrText>
      </w:r>
      <w:r>
        <w:fldChar w:fldCharType="separate"/>
      </w:r>
      <w:r>
        <w:rPr>
          <w:rStyle w:val="49"/>
          <w:b/>
          <w:color w:val="auto"/>
        </w:rPr>
        <w:t>第一节</w:t>
      </w:r>
      <w:r>
        <w:rPr>
          <w:rFonts w:asciiTheme="minorHAnsi" w:hAnsiTheme="minorHAnsi" w:eastAsiaTheme="minorEastAsia" w:cstheme="minorBidi"/>
          <w:smallCaps w:val="0"/>
          <w:sz w:val="21"/>
          <w:szCs w:val="22"/>
        </w:rPr>
        <w:tab/>
      </w:r>
      <w:r>
        <w:rPr>
          <w:rStyle w:val="49"/>
          <w:b/>
          <w:color w:val="auto"/>
        </w:rPr>
        <w:t>现状基础分析</w:t>
      </w:r>
      <w:r>
        <w:tab/>
      </w:r>
      <w:r>
        <w:fldChar w:fldCharType="begin"/>
      </w:r>
      <w:r>
        <w:instrText xml:space="preserve"> PAGEREF _Toc141369717 \h </w:instrText>
      </w:r>
      <w:r>
        <w:fldChar w:fldCharType="separate"/>
      </w:r>
      <w:r>
        <w:t>6</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"_Toc141369718" </w:instrText>
      </w:r>
      <w:r>
        <w:fldChar w:fldCharType="separate"/>
      </w:r>
      <w:r>
        <w:rPr>
          <w:rStyle w:val="49"/>
          <w:b/>
          <w:color w:val="auto"/>
        </w:rPr>
        <w:t>第二节</w:t>
      </w:r>
      <w:r>
        <w:rPr>
          <w:rFonts w:asciiTheme="minorHAnsi" w:hAnsiTheme="minorHAnsi" w:eastAsiaTheme="minorEastAsia" w:cstheme="minorBidi"/>
          <w:smallCaps w:val="0"/>
          <w:sz w:val="21"/>
          <w:szCs w:val="22"/>
        </w:rPr>
        <w:tab/>
      </w:r>
      <w:r>
        <w:rPr>
          <w:rStyle w:val="49"/>
          <w:b/>
          <w:color w:val="auto"/>
        </w:rPr>
        <w:t>规划评价与评估</w:t>
      </w:r>
      <w:r>
        <w:tab/>
      </w:r>
      <w:r>
        <w:fldChar w:fldCharType="begin"/>
      </w:r>
      <w:r>
        <w:instrText xml:space="preserve"> PAGEREF _Toc141369718 \h </w:instrText>
      </w:r>
      <w:r>
        <w:fldChar w:fldCharType="separate"/>
      </w:r>
      <w:r>
        <w:t>15</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"_Toc141369719" </w:instrText>
      </w:r>
      <w:r>
        <w:fldChar w:fldCharType="separate"/>
      </w:r>
      <w:r>
        <w:rPr>
          <w:rStyle w:val="49"/>
          <w:b/>
          <w:color w:val="auto"/>
        </w:rPr>
        <w:t>第三节</w:t>
      </w:r>
      <w:r>
        <w:rPr>
          <w:rFonts w:asciiTheme="minorHAnsi" w:hAnsiTheme="minorHAnsi" w:eastAsiaTheme="minorEastAsia" w:cstheme="minorBidi"/>
          <w:smallCaps w:val="0"/>
          <w:sz w:val="21"/>
          <w:szCs w:val="22"/>
        </w:rPr>
        <w:tab/>
      </w:r>
      <w:r>
        <w:rPr>
          <w:rStyle w:val="49"/>
          <w:b/>
          <w:color w:val="auto"/>
        </w:rPr>
        <w:t>主要问题</w:t>
      </w:r>
      <w:r>
        <w:tab/>
      </w:r>
      <w:r>
        <w:fldChar w:fldCharType="begin"/>
      </w:r>
      <w:r>
        <w:instrText xml:space="preserve"> PAGEREF _Toc141369719 \h </w:instrText>
      </w:r>
      <w:r>
        <w:fldChar w:fldCharType="separate"/>
      </w:r>
      <w:r>
        <w:t>17</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"_Toc141369720" </w:instrText>
      </w:r>
      <w:r>
        <w:fldChar w:fldCharType="separate"/>
      </w:r>
      <w:r>
        <w:rPr>
          <w:rStyle w:val="49"/>
          <w:b/>
          <w:color w:val="auto"/>
        </w:rPr>
        <w:t>第四节</w:t>
      </w:r>
      <w:r>
        <w:rPr>
          <w:rFonts w:asciiTheme="minorHAnsi" w:hAnsiTheme="minorHAnsi" w:eastAsiaTheme="minorEastAsia" w:cstheme="minorBidi"/>
          <w:smallCaps w:val="0"/>
          <w:sz w:val="21"/>
          <w:szCs w:val="22"/>
        </w:rPr>
        <w:tab/>
      </w:r>
      <w:r>
        <w:rPr>
          <w:rStyle w:val="49"/>
          <w:b/>
          <w:color w:val="auto"/>
        </w:rPr>
        <w:t>发展机遇分析</w:t>
      </w:r>
      <w:r>
        <w:tab/>
      </w:r>
      <w:r>
        <w:fldChar w:fldCharType="begin"/>
      </w:r>
      <w:r>
        <w:instrText xml:space="preserve"> PAGEREF _Toc141369720 \h </w:instrText>
      </w:r>
      <w:r>
        <w:fldChar w:fldCharType="separate"/>
      </w:r>
      <w:r>
        <w:t>19</w:t>
      </w:r>
      <w:r>
        <w:fldChar w:fldCharType="end"/>
      </w:r>
      <w:r>
        <w:fldChar w:fldCharType="end"/>
      </w:r>
    </w:p>
    <w:p>
      <w:pPr>
        <w:pStyle w:val="28"/>
        <w:rPr>
          <w:sz w:val="21"/>
        </w:rPr>
      </w:pPr>
      <w:r>
        <w:fldChar w:fldCharType="begin"/>
      </w:r>
      <w:r>
        <w:instrText xml:space="preserve"> HYPERLINK \l "_Toc141369721" </w:instrText>
      </w:r>
      <w:r>
        <w:fldChar w:fldCharType="separate"/>
      </w:r>
      <w:r>
        <w:rPr>
          <w:rStyle w:val="49"/>
          <w:rFonts w:ascii="黑体" w:hAnsi="黑体" w:eastAsia="黑体"/>
          <w:b/>
          <w:color w:val="auto"/>
        </w:rPr>
        <w:t>第三章</w:t>
      </w:r>
      <w:r>
        <w:rPr>
          <w:sz w:val="21"/>
        </w:rPr>
        <w:tab/>
      </w:r>
      <w:r>
        <w:rPr>
          <w:rStyle w:val="49"/>
          <w:rFonts w:ascii="黑体" w:hAnsi="黑体" w:eastAsia="黑体"/>
          <w:b/>
          <w:color w:val="auto"/>
        </w:rPr>
        <w:t>片区规划</w:t>
      </w:r>
      <w:r>
        <w:tab/>
      </w:r>
      <w:r>
        <w:fldChar w:fldCharType="begin"/>
      </w:r>
      <w:r>
        <w:instrText xml:space="preserve"> PAGEREF _Toc141369721 \h </w:instrText>
      </w:r>
      <w:r>
        <w:fldChar w:fldCharType="separate"/>
      </w:r>
      <w:r>
        <w:t>21</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"_Toc141369722" </w:instrText>
      </w:r>
      <w:r>
        <w:fldChar w:fldCharType="separate"/>
      </w:r>
      <w:r>
        <w:rPr>
          <w:rStyle w:val="49"/>
          <w:b/>
          <w:color w:val="auto"/>
        </w:rPr>
        <w:t>第一节</w:t>
      </w:r>
      <w:r>
        <w:rPr>
          <w:rFonts w:asciiTheme="minorHAnsi" w:hAnsiTheme="minorHAnsi" w:eastAsiaTheme="minorEastAsia" w:cstheme="minorBidi"/>
          <w:smallCaps w:val="0"/>
          <w:sz w:val="21"/>
          <w:szCs w:val="22"/>
        </w:rPr>
        <w:tab/>
      </w:r>
      <w:r>
        <w:rPr>
          <w:rStyle w:val="49"/>
          <w:b/>
          <w:color w:val="auto"/>
        </w:rPr>
        <w:t>功能定位</w:t>
      </w:r>
      <w:r>
        <w:tab/>
      </w:r>
      <w:r>
        <w:fldChar w:fldCharType="begin"/>
      </w:r>
      <w:r>
        <w:instrText xml:space="preserve"> PAGEREF _Toc141369722 \h </w:instrText>
      </w:r>
      <w:r>
        <w:fldChar w:fldCharType="separate"/>
      </w:r>
      <w:r>
        <w:t>21</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"_Toc141369723" </w:instrText>
      </w:r>
      <w:r>
        <w:fldChar w:fldCharType="separate"/>
      </w:r>
      <w:r>
        <w:rPr>
          <w:rStyle w:val="49"/>
          <w:b/>
          <w:color w:val="auto"/>
        </w:rPr>
        <w:t>第二节</w:t>
      </w:r>
      <w:r>
        <w:rPr>
          <w:rFonts w:asciiTheme="minorHAnsi" w:hAnsiTheme="minorHAnsi" w:eastAsiaTheme="minorEastAsia" w:cstheme="minorBidi"/>
          <w:smallCaps w:val="0"/>
          <w:sz w:val="21"/>
          <w:szCs w:val="22"/>
        </w:rPr>
        <w:tab/>
      </w:r>
      <w:r>
        <w:rPr>
          <w:rStyle w:val="49"/>
          <w:b/>
          <w:color w:val="auto"/>
        </w:rPr>
        <w:t>底线约束</w:t>
      </w:r>
      <w:r>
        <w:tab/>
      </w:r>
      <w:r>
        <w:fldChar w:fldCharType="begin"/>
      </w:r>
      <w:r>
        <w:instrText xml:space="preserve"> PAGEREF _Toc141369723 \h </w:instrText>
      </w:r>
      <w:r>
        <w:fldChar w:fldCharType="separate"/>
      </w:r>
      <w:r>
        <w:t>24</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"_Toc141369724" </w:instrText>
      </w:r>
      <w:r>
        <w:fldChar w:fldCharType="separate"/>
      </w:r>
      <w:r>
        <w:rPr>
          <w:rStyle w:val="49"/>
          <w:b/>
          <w:color w:val="auto"/>
        </w:rPr>
        <w:t>第三节</w:t>
      </w:r>
      <w:r>
        <w:rPr>
          <w:rFonts w:asciiTheme="minorHAnsi" w:hAnsiTheme="minorHAnsi" w:eastAsiaTheme="minorEastAsia" w:cstheme="minorBidi"/>
          <w:smallCaps w:val="0"/>
          <w:sz w:val="21"/>
          <w:szCs w:val="22"/>
        </w:rPr>
        <w:tab/>
      </w:r>
      <w:r>
        <w:rPr>
          <w:rStyle w:val="49"/>
          <w:b/>
          <w:color w:val="auto"/>
        </w:rPr>
        <w:t>用地布局优化调整</w:t>
      </w:r>
      <w:r>
        <w:tab/>
      </w:r>
      <w:r>
        <w:fldChar w:fldCharType="begin"/>
      </w:r>
      <w:r>
        <w:instrText xml:space="preserve"> PAGEREF _Toc141369724 \h </w:instrText>
      </w:r>
      <w:r>
        <w:fldChar w:fldCharType="separate"/>
      </w:r>
      <w:r>
        <w:t>27</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"_Toc141369725" </w:instrText>
      </w:r>
      <w:r>
        <w:fldChar w:fldCharType="separate"/>
      </w:r>
      <w:r>
        <w:rPr>
          <w:rStyle w:val="49"/>
          <w:b/>
          <w:color w:val="auto"/>
        </w:rPr>
        <w:t>第四节</w:t>
      </w:r>
      <w:r>
        <w:rPr>
          <w:rFonts w:asciiTheme="minorHAnsi" w:hAnsiTheme="minorHAnsi" w:eastAsiaTheme="minorEastAsia" w:cstheme="minorBidi"/>
          <w:smallCaps w:val="0"/>
          <w:sz w:val="21"/>
          <w:szCs w:val="22"/>
        </w:rPr>
        <w:tab/>
      </w:r>
      <w:r>
        <w:rPr>
          <w:rStyle w:val="49"/>
          <w:b/>
          <w:color w:val="auto"/>
        </w:rPr>
        <w:t>产业发展规划</w:t>
      </w:r>
      <w:r>
        <w:tab/>
      </w:r>
      <w:r>
        <w:fldChar w:fldCharType="begin"/>
      </w:r>
      <w:r>
        <w:instrText xml:space="preserve"> PAGEREF _Toc141369725 \h </w:instrText>
      </w:r>
      <w:r>
        <w:fldChar w:fldCharType="separate"/>
      </w:r>
      <w:r>
        <w:t>33</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"_Toc141369726" </w:instrText>
      </w:r>
      <w:r>
        <w:fldChar w:fldCharType="separate"/>
      </w:r>
      <w:r>
        <w:rPr>
          <w:rStyle w:val="49"/>
          <w:b/>
          <w:color w:val="auto"/>
        </w:rPr>
        <w:t>第五节</w:t>
      </w:r>
      <w:r>
        <w:rPr>
          <w:rFonts w:asciiTheme="minorHAnsi" w:hAnsiTheme="minorHAnsi" w:eastAsiaTheme="minorEastAsia" w:cstheme="minorBidi"/>
          <w:smallCaps w:val="0"/>
          <w:sz w:val="21"/>
          <w:szCs w:val="22"/>
        </w:rPr>
        <w:tab/>
      </w:r>
      <w:r>
        <w:rPr>
          <w:rStyle w:val="49"/>
          <w:b/>
          <w:color w:val="auto"/>
        </w:rPr>
        <w:t>镇村建设</w:t>
      </w:r>
      <w:r>
        <w:tab/>
      </w:r>
      <w:r>
        <w:fldChar w:fldCharType="begin"/>
      </w:r>
      <w:r>
        <w:instrText xml:space="preserve"> PAGEREF _Toc141369726 \h </w:instrText>
      </w:r>
      <w:r>
        <w:fldChar w:fldCharType="separate"/>
      </w:r>
      <w:r>
        <w:t>36</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"_Toc141369727" </w:instrText>
      </w:r>
      <w:r>
        <w:fldChar w:fldCharType="separate"/>
      </w:r>
      <w:r>
        <w:rPr>
          <w:rStyle w:val="49"/>
          <w:b/>
          <w:color w:val="auto"/>
        </w:rPr>
        <w:t>第六节</w:t>
      </w:r>
      <w:r>
        <w:rPr>
          <w:rFonts w:asciiTheme="minorHAnsi" w:hAnsiTheme="minorHAnsi" w:eastAsiaTheme="minorEastAsia" w:cstheme="minorBidi"/>
          <w:smallCaps w:val="0"/>
          <w:sz w:val="21"/>
          <w:szCs w:val="22"/>
        </w:rPr>
        <w:tab/>
      </w:r>
      <w:r>
        <w:rPr>
          <w:rStyle w:val="49"/>
          <w:b/>
          <w:color w:val="auto"/>
        </w:rPr>
        <w:t>设施配套规划</w:t>
      </w:r>
      <w:r>
        <w:tab/>
      </w:r>
      <w:r>
        <w:fldChar w:fldCharType="begin"/>
      </w:r>
      <w:r>
        <w:instrText xml:space="preserve"> PAGEREF _Toc141369727 \h </w:instrText>
      </w:r>
      <w:r>
        <w:fldChar w:fldCharType="separate"/>
      </w:r>
      <w:r>
        <w:t>38</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"_Toc141369728" </w:instrText>
      </w:r>
      <w:r>
        <w:fldChar w:fldCharType="separate"/>
      </w:r>
      <w:r>
        <w:rPr>
          <w:rStyle w:val="49"/>
          <w:b/>
          <w:color w:val="auto"/>
        </w:rPr>
        <w:t>第七节</w:t>
      </w:r>
      <w:r>
        <w:rPr>
          <w:rFonts w:asciiTheme="minorHAnsi" w:hAnsiTheme="minorHAnsi" w:eastAsiaTheme="minorEastAsia" w:cstheme="minorBidi"/>
          <w:smallCaps w:val="0"/>
          <w:sz w:val="21"/>
          <w:szCs w:val="22"/>
        </w:rPr>
        <w:tab/>
      </w:r>
      <w:r>
        <w:rPr>
          <w:rStyle w:val="49"/>
          <w:b/>
          <w:color w:val="auto"/>
        </w:rPr>
        <w:t>品质提升规划</w:t>
      </w:r>
      <w:r>
        <w:tab/>
      </w:r>
      <w:r>
        <w:fldChar w:fldCharType="begin"/>
      </w:r>
      <w:r>
        <w:instrText xml:space="preserve"> PAGEREF _Toc141369728 \h </w:instrText>
      </w:r>
      <w:r>
        <w:fldChar w:fldCharType="separate"/>
      </w:r>
      <w:r>
        <w:t>50</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"_Toc141369729" </w:instrText>
      </w:r>
      <w:r>
        <w:fldChar w:fldCharType="separate"/>
      </w:r>
      <w:r>
        <w:rPr>
          <w:rStyle w:val="49"/>
          <w:b/>
          <w:color w:val="auto"/>
        </w:rPr>
        <w:t>第八节</w:t>
      </w:r>
      <w:r>
        <w:rPr>
          <w:rFonts w:asciiTheme="minorHAnsi" w:hAnsiTheme="minorHAnsi" w:eastAsiaTheme="minorEastAsia" w:cstheme="minorBidi"/>
          <w:smallCaps w:val="0"/>
          <w:sz w:val="21"/>
          <w:szCs w:val="22"/>
        </w:rPr>
        <w:tab/>
      </w:r>
      <w:r>
        <w:rPr>
          <w:rStyle w:val="49"/>
          <w:b/>
          <w:color w:val="auto"/>
        </w:rPr>
        <w:t>乡村振兴规划</w:t>
      </w:r>
      <w:r>
        <w:tab/>
      </w:r>
      <w:r>
        <w:fldChar w:fldCharType="begin"/>
      </w:r>
      <w:r>
        <w:instrText xml:space="preserve"> PAGEREF _Toc141369729 \h </w:instrText>
      </w:r>
      <w:r>
        <w:fldChar w:fldCharType="separate"/>
      </w:r>
      <w:r>
        <w:t>54</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"_Toc141369730" </w:instrText>
      </w:r>
      <w:r>
        <w:fldChar w:fldCharType="separate"/>
      </w:r>
      <w:r>
        <w:rPr>
          <w:rStyle w:val="49"/>
          <w:b/>
          <w:color w:val="auto"/>
        </w:rPr>
        <w:t>第九节</w:t>
      </w:r>
      <w:r>
        <w:rPr>
          <w:rFonts w:asciiTheme="minorHAnsi" w:hAnsiTheme="minorHAnsi" w:eastAsiaTheme="minorEastAsia" w:cstheme="minorBidi"/>
          <w:smallCaps w:val="0"/>
          <w:sz w:val="21"/>
          <w:szCs w:val="22"/>
        </w:rPr>
        <w:tab/>
      </w:r>
      <w:r>
        <w:rPr>
          <w:rStyle w:val="49"/>
          <w:b/>
          <w:color w:val="auto"/>
        </w:rPr>
        <w:t>规划传导</w:t>
      </w:r>
      <w:r>
        <w:tab/>
      </w:r>
      <w:r>
        <w:fldChar w:fldCharType="begin"/>
      </w:r>
      <w:r>
        <w:instrText xml:space="preserve"> PAGEREF _Toc141369730 \h </w:instrText>
      </w:r>
      <w:r>
        <w:fldChar w:fldCharType="separate"/>
      </w:r>
      <w:r>
        <w:t>61</w:t>
      </w:r>
      <w:r>
        <w:fldChar w:fldCharType="end"/>
      </w:r>
      <w:r>
        <w:fldChar w:fldCharType="end"/>
      </w:r>
    </w:p>
    <w:p>
      <w:pPr>
        <w:pStyle w:val="28"/>
        <w:rPr>
          <w:sz w:val="21"/>
        </w:rPr>
      </w:pPr>
      <w:r>
        <w:fldChar w:fldCharType="begin"/>
      </w:r>
      <w:r>
        <w:instrText xml:space="preserve"> HYPERLINK \l "_Toc141369731" </w:instrText>
      </w:r>
      <w:r>
        <w:fldChar w:fldCharType="separate"/>
      </w:r>
      <w:r>
        <w:rPr>
          <w:rStyle w:val="49"/>
          <w:rFonts w:ascii="黑体" w:hAnsi="黑体" w:eastAsia="黑体"/>
          <w:b/>
          <w:color w:val="auto"/>
        </w:rPr>
        <w:t>第四章</w:t>
      </w:r>
      <w:r>
        <w:rPr>
          <w:sz w:val="21"/>
        </w:rPr>
        <w:tab/>
      </w:r>
      <w:r>
        <w:rPr>
          <w:rStyle w:val="49"/>
          <w:rFonts w:ascii="黑体" w:hAnsi="黑体" w:eastAsia="黑体"/>
          <w:b/>
          <w:color w:val="auto"/>
        </w:rPr>
        <w:t>镇区规划</w:t>
      </w:r>
      <w:r>
        <w:tab/>
      </w:r>
      <w:r>
        <w:fldChar w:fldCharType="begin"/>
      </w:r>
      <w:r>
        <w:instrText xml:space="preserve"> PAGEREF _Toc141369731 \h </w:instrText>
      </w:r>
      <w:r>
        <w:fldChar w:fldCharType="separate"/>
      </w:r>
      <w:r>
        <w:t>63</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"_Toc141369732" </w:instrText>
      </w:r>
      <w:r>
        <w:fldChar w:fldCharType="separate"/>
      </w:r>
      <w:r>
        <w:rPr>
          <w:rStyle w:val="49"/>
          <w:b/>
          <w:color w:val="auto"/>
        </w:rPr>
        <w:t>第一节</w:t>
      </w:r>
      <w:r>
        <w:rPr>
          <w:rFonts w:asciiTheme="minorHAnsi" w:hAnsiTheme="minorHAnsi" w:eastAsiaTheme="minorEastAsia" w:cstheme="minorBidi"/>
          <w:smallCaps w:val="0"/>
          <w:sz w:val="21"/>
          <w:szCs w:val="22"/>
        </w:rPr>
        <w:tab/>
      </w:r>
      <w:r>
        <w:rPr>
          <w:rStyle w:val="49"/>
          <w:b/>
          <w:color w:val="auto"/>
        </w:rPr>
        <w:t>隆盛镇镇区规划</w:t>
      </w:r>
      <w:r>
        <w:tab/>
      </w:r>
      <w:r>
        <w:fldChar w:fldCharType="begin"/>
      </w:r>
      <w:r>
        <w:instrText xml:space="preserve"> PAGEREF _Toc141369732 \h </w:instrText>
      </w:r>
      <w:r>
        <w:fldChar w:fldCharType="separate"/>
      </w:r>
      <w:r>
        <w:t>63</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"_Toc141369733" </w:instrText>
      </w:r>
      <w:r>
        <w:fldChar w:fldCharType="separate"/>
      </w:r>
      <w:r>
        <w:rPr>
          <w:rStyle w:val="49"/>
          <w:b/>
          <w:color w:val="auto"/>
        </w:rPr>
        <w:t>第二节</w:t>
      </w:r>
      <w:r>
        <w:rPr>
          <w:rFonts w:asciiTheme="minorHAnsi" w:hAnsiTheme="minorHAnsi" w:eastAsiaTheme="minorEastAsia" w:cstheme="minorBidi"/>
          <w:smallCaps w:val="0"/>
          <w:sz w:val="21"/>
          <w:szCs w:val="22"/>
        </w:rPr>
        <w:tab/>
      </w:r>
      <w:r>
        <w:rPr>
          <w:rStyle w:val="49"/>
          <w:b/>
          <w:color w:val="auto"/>
        </w:rPr>
        <w:t>回马镇镇区规划</w:t>
      </w:r>
      <w:r>
        <w:tab/>
      </w:r>
      <w:r>
        <w:fldChar w:fldCharType="begin"/>
      </w:r>
      <w:r>
        <w:instrText xml:space="preserve"> PAGEREF _Toc141369733 \h </w:instrText>
      </w:r>
      <w:r>
        <w:fldChar w:fldCharType="separate"/>
      </w:r>
      <w:r>
        <w:t>74</w:t>
      </w:r>
      <w:r>
        <w:fldChar w:fldCharType="end"/>
      </w:r>
      <w:r>
        <w:fldChar w:fldCharType="end"/>
      </w:r>
    </w:p>
    <w:p>
      <w:pPr>
        <w:pStyle w:val="33"/>
        <w:tabs>
          <w:tab w:val="left" w:pos="1050"/>
        </w:tabs>
        <w:rPr>
          <w:rFonts w:asciiTheme="minorHAnsi" w:hAnsiTheme="minorHAnsi" w:eastAsiaTheme="minorEastAsia" w:cstheme="minorBidi"/>
          <w:smallCaps w:val="0"/>
          <w:sz w:val="21"/>
          <w:szCs w:val="22"/>
        </w:rPr>
      </w:pPr>
      <w:r>
        <w:fldChar w:fldCharType="begin"/>
      </w:r>
      <w:r>
        <w:instrText xml:space="preserve"> HYPERLINK \l "_Toc141369734" </w:instrText>
      </w:r>
      <w:r>
        <w:fldChar w:fldCharType="separate"/>
      </w:r>
      <w:r>
        <w:rPr>
          <w:rStyle w:val="49"/>
          <w:b/>
          <w:color w:val="auto"/>
        </w:rPr>
        <w:t>第三节</w:t>
      </w:r>
      <w:r>
        <w:rPr>
          <w:rFonts w:asciiTheme="minorHAnsi" w:hAnsiTheme="minorHAnsi" w:eastAsiaTheme="minorEastAsia" w:cstheme="minorBidi"/>
          <w:smallCaps w:val="0"/>
          <w:sz w:val="21"/>
          <w:szCs w:val="22"/>
        </w:rPr>
        <w:tab/>
      </w:r>
      <w:r>
        <w:rPr>
          <w:rStyle w:val="49"/>
          <w:b/>
          <w:color w:val="auto"/>
        </w:rPr>
        <w:t>金元镇镇区规划</w:t>
      </w:r>
      <w:r>
        <w:tab/>
      </w:r>
      <w:r>
        <w:fldChar w:fldCharType="begin"/>
      </w:r>
      <w:r>
        <w:instrText xml:space="preserve"> PAGEREF _Toc141369734 \h </w:instrText>
      </w:r>
      <w:r>
        <w:fldChar w:fldCharType="separate"/>
      </w:r>
      <w:r>
        <w:t>84</w:t>
      </w:r>
      <w:r>
        <w:fldChar w:fldCharType="end"/>
      </w:r>
      <w:r>
        <w:fldChar w:fldCharType="end"/>
      </w:r>
    </w:p>
    <w:p>
      <w:pPr>
        <w:pStyle w:val="28"/>
        <w:rPr>
          <w:sz w:val="21"/>
        </w:rPr>
      </w:pPr>
      <w:r>
        <w:fldChar w:fldCharType="begin"/>
      </w:r>
      <w:r>
        <w:instrText xml:space="preserve"> HYPERLINK \l "_Toc141369735" </w:instrText>
      </w:r>
      <w:r>
        <w:fldChar w:fldCharType="separate"/>
      </w:r>
      <w:r>
        <w:rPr>
          <w:rStyle w:val="49"/>
          <w:rFonts w:ascii="黑体" w:hAnsi="黑体" w:eastAsia="黑体"/>
          <w:b/>
          <w:color w:val="auto"/>
        </w:rPr>
        <w:t>第五章</w:t>
      </w:r>
      <w:r>
        <w:rPr>
          <w:sz w:val="21"/>
        </w:rPr>
        <w:tab/>
      </w:r>
      <w:r>
        <w:rPr>
          <w:rStyle w:val="49"/>
          <w:rFonts w:ascii="黑体" w:hAnsi="黑体" w:eastAsia="黑体"/>
          <w:b/>
          <w:color w:val="auto"/>
        </w:rPr>
        <w:t>实施保障</w:t>
      </w:r>
      <w:r>
        <w:tab/>
      </w:r>
      <w:r>
        <w:fldChar w:fldCharType="begin"/>
      </w:r>
      <w:r>
        <w:instrText xml:space="preserve"> PAGEREF _Toc141369735 \h </w:instrText>
      </w:r>
      <w:r>
        <w:fldChar w:fldCharType="separate"/>
      </w:r>
      <w:r>
        <w:t>95</w:t>
      </w:r>
      <w:r>
        <w:fldChar w:fldCharType="end"/>
      </w:r>
      <w:r>
        <w:fldChar w:fldCharType="end"/>
      </w:r>
    </w:p>
    <w:p>
      <w:pPr>
        <w:pStyle w:val="28"/>
        <w:rPr>
          <w:sz w:val="21"/>
        </w:rPr>
      </w:pPr>
      <w:r>
        <w:fldChar w:fldCharType="begin"/>
      </w:r>
      <w:r>
        <w:instrText xml:space="preserve"> HYPERLINK \l "_Toc141369736" </w:instrText>
      </w:r>
      <w:r>
        <w:fldChar w:fldCharType="separate"/>
      </w:r>
      <w:r>
        <w:rPr>
          <w:rStyle w:val="49"/>
          <w:rFonts w:ascii="黑体" w:hAnsi="黑体" w:eastAsia="黑体"/>
          <w:color w:val="auto"/>
        </w:rPr>
        <w:t>附表1  片区国土空间保护利用现状表</w:t>
      </w:r>
      <w:r>
        <w:tab/>
      </w:r>
      <w:r>
        <w:fldChar w:fldCharType="begin"/>
      </w:r>
      <w:r>
        <w:instrText xml:space="preserve"> PAGEREF _Toc141369736 \h </w:instrText>
      </w:r>
      <w:r>
        <w:fldChar w:fldCharType="separate"/>
      </w:r>
      <w:r>
        <w:t>98</w:t>
      </w:r>
      <w:r>
        <w:fldChar w:fldCharType="end"/>
      </w:r>
      <w:r>
        <w:fldChar w:fldCharType="end"/>
      </w:r>
    </w:p>
    <w:p>
      <w:pPr>
        <w:pStyle w:val="28"/>
        <w:rPr>
          <w:sz w:val="21"/>
        </w:rPr>
      </w:pPr>
      <w:r>
        <w:fldChar w:fldCharType="begin"/>
      </w:r>
      <w:r>
        <w:instrText xml:space="preserve"> HYPERLINK \l "_Toc141369737" </w:instrText>
      </w:r>
      <w:r>
        <w:fldChar w:fldCharType="separate"/>
      </w:r>
      <w:r>
        <w:rPr>
          <w:rStyle w:val="49"/>
          <w:rFonts w:ascii="黑体" w:hAnsi="黑体" w:eastAsia="黑体"/>
          <w:color w:val="auto"/>
        </w:rPr>
        <w:t>附表2  片区规划指标体系表</w:t>
      </w:r>
      <w:r>
        <w:tab/>
      </w:r>
      <w:r>
        <w:fldChar w:fldCharType="begin"/>
      </w:r>
      <w:r>
        <w:instrText xml:space="preserve"> PAGEREF _Toc141369737 \h </w:instrText>
      </w:r>
      <w:r>
        <w:fldChar w:fldCharType="separate"/>
      </w:r>
      <w:r>
        <w:t>99</w:t>
      </w:r>
      <w:r>
        <w:fldChar w:fldCharType="end"/>
      </w:r>
      <w:r>
        <w:fldChar w:fldCharType="end"/>
      </w:r>
    </w:p>
    <w:p>
      <w:pPr>
        <w:pStyle w:val="28"/>
        <w:rPr>
          <w:sz w:val="21"/>
        </w:rPr>
      </w:pPr>
      <w:r>
        <w:fldChar w:fldCharType="begin"/>
      </w:r>
      <w:r>
        <w:instrText xml:space="preserve"> HYPERLINK \l "_Toc141369738" </w:instrText>
      </w:r>
      <w:r>
        <w:fldChar w:fldCharType="separate"/>
      </w:r>
      <w:r>
        <w:rPr>
          <w:rStyle w:val="49"/>
          <w:rFonts w:ascii="黑体" w:hAnsi="黑体" w:eastAsia="黑体"/>
          <w:color w:val="auto"/>
        </w:rPr>
        <w:t>附表3  片区国土空间用途结构调整表</w:t>
      </w:r>
      <w:r>
        <w:tab/>
      </w:r>
      <w:r>
        <w:fldChar w:fldCharType="begin"/>
      </w:r>
      <w:r>
        <w:instrText xml:space="preserve"> PAGEREF _Toc141369738 \h </w:instrText>
      </w:r>
      <w:r>
        <w:fldChar w:fldCharType="separate"/>
      </w:r>
      <w:r>
        <w:t>100</w:t>
      </w:r>
      <w:r>
        <w:fldChar w:fldCharType="end"/>
      </w:r>
      <w:r>
        <w:fldChar w:fldCharType="end"/>
      </w:r>
    </w:p>
    <w:p>
      <w:pPr>
        <w:pStyle w:val="28"/>
        <w:rPr>
          <w:sz w:val="21"/>
        </w:rPr>
      </w:pPr>
      <w:r>
        <w:fldChar w:fldCharType="begin"/>
      </w:r>
      <w:r>
        <w:instrText xml:space="preserve"> HYPERLINK \l "_Toc141369739" </w:instrText>
      </w:r>
      <w:r>
        <w:fldChar w:fldCharType="separate"/>
      </w:r>
      <w:r>
        <w:rPr>
          <w:rStyle w:val="49"/>
          <w:rFonts w:ascii="黑体" w:hAnsi="黑体" w:eastAsia="黑体"/>
          <w:color w:val="auto"/>
        </w:rPr>
        <w:t>附表4 不可移动文物保护范围划定一览表</w:t>
      </w:r>
      <w:r>
        <w:tab/>
      </w:r>
      <w:r>
        <w:fldChar w:fldCharType="begin"/>
      </w:r>
      <w:r>
        <w:instrText xml:space="preserve"> PAGEREF _Toc141369739 \h </w:instrText>
      </w:r>
      <w:r>
        <w:fldChar w:fldCharType="separate"/>
      </w:r>
      <w:r>
        <w:t>100</w:t>
      </w:r>
      <w:r>
        <w:fldChar w:fldCharType="end"/>
      </w:r>
      <w:r>
        <w:fldChar w:fldCharType="end"/>
      </w:r>
    </w:p>
    <w:p>
      <w:pPr>
        <w:pStyle w:val="28"/>
        <w:rPr>
          <w:sz w:val="21"/>
        </w:rPr>
      </w:pPr>
      <w:r>
        <w:fldChar w:fldCharType="begin"/>
      </w:r>
      <w:r>
        <w:instrText xml:space="preserve"> HYPERLINK \l "_Toc141369740" </w:instrText>
      </w:r>
      <w:r>
        <w:fldChar w:fldCharType="separate"/>
      </w:r>
      <w:r>
        <w:rPr>
          <w:rStyle w:val="49"/>
          <w:rFonts w:ascii="黑体" w:hAnsi="黑体" w:eastAsia="黑体"/>
          <w:color w:val="auto"/>
        </w:rPr>
        <w:t>附表5 村级片区规划指标分解表</w:t>
      </w:r>
      <w:r>
        <w:tab/>
      </w:r>
      <w:r>
        <w:fldChar w:fldCharType="begin"/>
      </w:r>
      <w:r>
        <w:instrText xml:space="preserve"> PAGEREF _Toc141369740 \h </w:instrText>
      </w:r>
      <w:r>
        <w:fldChar w:fldCharType="separate"/>
      </w:r>
      <w:r>
        <w:t>102</w:t>
      </w:r>
      <w:r>
        <w:fldChar w:fldCharType="end"/>
      </w:r>
      <w:r>
        <w:fldChar w:fldCharType="end"/>
      </w:r>
    </w:p>
    <w:p>
      <w:pPr>
        <w:pStyle w:val="28"/>
        <w:rPr>
          <w:sz w:val="21"/>
        </w:rPr>
      </w:pPr>
      <w:r>
        <w:fldChar w:fldCharType="begin"/>
      </w:r>
      <w:r>
        <w:instrText xml:space="preserve"> HYPERLINK \l "_Toc141369741" </w:instrText>
      </w:r>
      <w:r>
        <w:fldChar w:fldCharType="separate"/>
      </w:r>
      <w:r>
        <w:rPr>
          <w:rStyle w:val="49"/>
          <w:rFonts w:ascii="黑体" w:hAnsi="黑体" w:eastAsia="黑体"/>
          <w:color w:val="auto"/>
        </w:rPr>
        <w:t>附表6  村级片区规划发展指引表</w:t>
      </w:r>
      <w:r>
        <w:tab/>
      </w:r>
      <w:r>
        <w:fldChar w:fldCharType="begin"/>
      </w:r>
      <w:r>
        <w:instrText xml:space="preserve"> PAGEREF _Toc141369741 \h </w:instrText>
      </w:r>
      <w:r>
        <w:fldChar w:fldCharType="separate"/>
      </w:r>
      <w:r>
        <w:t>103</w:t>
      </w:r>
      <w:r>
        <w:fldChar w:fldCharType="end"/>
      </w:r>
      <w:r>
        <w:fldChar w:fldCharType="end"/>
      </w:r>
    </w:p>
    <w:p>
      <w:pPr>
        <w:pStyle w:val="28"/>
        <w:rPr>
          <w:sz w:val="21"/>
        </w:rPr>
      </w:pPr>
      <w:r>
        <w:fldChar w:fldCharType="begin"/>
      </w:r>
      <w:r>
        <w:instrText xml:space="preserve"> HYPERLINK \l "_Toc141369742" </w:instrText>
      </w:r>
      <w:r>
        <w:fldChar w:fldCharType="separate"/>
      </w:r>
      <w:r>
        <w:rPr>
          <w:rStyle w:val="49"/>
          <w:rFonts w:ascii="黑体" w:hAnsi="黑体" w:eastAsia="黑体"/>
          <w:color w:val="auto"/>
        </w:rPr>
        <w:t>附表7  农房风貌管控指引表</w:t>
      </w:r>
      <w:r>
        <w:tab/>
      </w:r>
      <w:r>
        <w:fldChar w:fldCharType="begin"/>
      </w:r>
      <w:r>
        <w:instrText xml:space="preserve"> PAGEREF _Toc141369742 \h </w:instrText>
      </w:r>
      <w:r>
        <w:fldChar w:fldCharType="separate"/>
      </w:r>
      <w:r>
        <w:t>103</w:t>
      </w:r>
      <w:r>
        <w:fldChar w:fldCharType="end"/>
      </w:r>
      <w:r>
        <w:fldChar w:fldCharType="end"/>
      </w:r>
    </w:p>
    <w:p>
      <w:pPr>
        <w:pStyle w:val="28"/>
        <w:rPr>
          <w:sz w:val="21"/>
        </w:rPr>
      </w:pPr>
      <w:r>
        <w:fldChar w:fldCharType="begin"/>
      </w:r>
      <w:r>
        <w:instrText xml:space="preserve"> HYPERLINK \l "_Toc141369743" </w:instrText>
      </w:r>
      <w:r>
        <w:fldChar w:fldCharType="separate"/>
      </w:r>
      <w:r>
        <w:rPr>
          <w:rStyle w:val="49"/>
          <w:rFonts w:ascii="黑体" w:hAnsi="黑体" w:eastAsia="黑体"/>
          <w:color w:val="auto"/>
        </w:rPr>
        <w:t>附表8  隆盛镇镇区用地结构现状表</w:t>
      </w:r>
      <w:r>
        <w:tab/>
      </w:r>
      <w:r>
        <w:fldChar w:fldCharType="begin"/>
      </w:r>
      <w:r>
        <w:instrText xml:space="preserve"> PAGEREF _Toc141369743 \h </w:instrText>
      </w:r>
      <w:r>
        <w:fldChar w:fldCharType="separate"/>
      </w:r>
      <w:r>
        <w:t>106</w:t>
      </w:r>
      <w:r>
        <w:fldChar w:fldCharType="end"/>
      </w:r>
      <w:r>
        <w:fldChar w:fldCharType="end"/>
      </w:r>
    </w:p>
    <w:p>
      <w:pPr>
        <w:pStyle w:val="28"/>
        <w:rPr>
          <w:sz w:val="21"/>
        </w:rPr>
      </w:pPr>
      <w:r>
        <w:fldChar w:fldCharType="begin"/>
      </w:r>
      <w:r>
        <w:instrText xml:space="preserve"> HYPERLINK \l "_Toc141369744" </w:instrText>
      </w:r>
      <w:r>
        <w:fldChar w:fldCharType="separate"/>
      </w:r>
      <w:r>
        <w:rPr>
          <w:rStyle w:val="49"/>
          <w:rFonts w:ascii="黑体" w:hAnsi="黑体" w:eastAsia="黑体"/>
          <w:color w:val="auto"/>
        </w:rPr>
        <w:t>附表9  回马镇镇区用地结构现状表</w:t>
      </w:r>
      <w:r>
        <w:tab/>
      </w:r>
      <w:r>
        <w:fldChar w:fldCharType="begin"/>
      </w:r>
      <w:r>
        <w:instrText xml:space="preserve"> PAGEREF _Toc141369744 \h </w:instrText>
      </w:r>
      <w:r>
        <w:fldChar w:fldCharType="separate"/>
      </w:r>
      <w:r>
        <w:t>107</w:t>
      </w:r>
      <w:r>
        <w:fldChar w:fldCharType="end"/>
      </w:r>
      <w:r>
        <w:fldChar w:fldCharType="end"/>
      </w:r>
    </w:p>
    <w:p>
      <w:pPr>
        <w:pStyle w:val="28"/>
        <w:rPr>
          <w:sz w:val="21"/>
        </w:rPr>
      </w:pPr>
      <w:r>
        <w:fldChar w:fldCharType="begin"/>
      </w:r>
      <w:r>
        <w:instrText xml:space="preserve"> HYPERLINK \l "_Toc141369745" </w:instrText>
      </w:r>
      <w:r>
        <w:fldChar w:fldCharType="separate"/>
      </w:r>
      <w:r>
        <w:rPr>
          <w:rStyle w:val="49"/>
          <w:rFonts w:ascii="黑体" w:hAnsi="黑体" w:eastAsia="黑体"/>
          <w:color w:val="auto"/>
        </w:rPr>
        <w:t>附表10  金元镇镇区用地结构现状表</w:t>
      </w:r>
      <w:r>
        <w:tab/>
      </w:r>
      <w:r>
        <w:fldChar w:fldCharType="begin"/>
      </w:r>
      <w:r>
        <w:instrText xml:space="preserve"> PAGEREF _Toc141369745 \h </w:instrText>
      </w:r>
      <w:r>
        <w:fldChar w:fldCharType="separate"/>
      </w:r>
      <w:r>
        <w:t>108</w:t>
      </w:r>
      <w:r>
        <w:fldChar w:fldCharType="end"/>
      </w:r>
      <w:r>
        <w:fldChar w:fldCharType="end"/>
      </w:r>
    </w:p>
    <w:p>
      <w:pPr>
        <w:pStyle w:val="28"/>
        <w:rPr>
          <w:sz w:val="21"/>
        </w:rPr>
      </w:pPr>
      <w:r>
        <w:fldChar w:fldCharType="begin"/>
      </w:r>
      <w:r>
        <w:instrText xml:space="preserve"> HYPERLINK \l "_Toc141369746" </w:instrText>
      </w:r>
      <w:r>
        <w:fldChar w:fldCharType="separate"/>
      </w:r>
      <w:r>
        <w:rPr>
          <w:rStyle w:val="49"/>
          <w:rFonts w:ascii="黑体" w:hAnsi="黑体" w:eastAsia="黑体"/>
          <w:color w:val="auto"/>
        </w:rPr>
        <w:t>附表11  隆盛镇镇区用地结构规划表</w:t>
      </w:r>
      <w:r>
        <w:tab/>
      </w:r>
      <w:r>
        <w:fldChar w:fldCharType="begin"/>
      </w:r>
      <w:r>
        <w:instrText xml:space="preserve"> PAGEREF _Toc141369746 \h </w:instrText>
      </w:r>
      <w:r>
        <w:fldChar w:fldCharType="separate"/>
      </w:r>
      <w:r>
        <w:t>109</w:t>
      </w:r>
      <w:r>
        <w:fldChar w:fldCharType="end"/>
      </w:r>
      <w:r>
        <w:fldChar w:fldCharType="end"/>
      </w:r>
    </w:p>
    <w:p>
      <w:pPr>
        <w:pStyle w:val="28"/>
        <w:rPr>
          <w:sz w:val="21"/>
        </w:rPr>
      </w:pPr>
      <w:r>
        <w:fldChar w:fldCharType="begin"/>
      </w:r>
      <w:r>
        <w:instrText xml:space="preserve"> HYPERLINK \l "_Toc141369747" </w:instrText>
      </w:r>
      <w:r>
        <w:fldChar w:fldCharType="separate"/>
      </w:r>
      <w:r>
        <w:rPr>
          <w:rStyle w:val="49"/>
          <w:rFonts w:ascii="黑体" w:hAnsi="黑体" w:eastAsia="黑体"/>
          <w:color w:val="auto"/>
        </w:rPr>
        <w:t>附表12  回马镇镇区用地结构规划表</w:t>
      </w:r>
      <w:r>
        <w:tab/>
      </w:r>
      <w:r>
        <w:fldChar w:fldCharType="begin"/>
      </w:r>
      <w:r>
        <w:instrText xml:space="preserve"> PAGEREF _Toc141369747 \h </w:instrText>
      </w:r>
      <w:r>
        <w:fldChar w:fldCharType="separate"/>
      </w:r>
      <w:r>
        <w:t>110</w:t>
      </w:r>
      <w:r>
        <w:fldChar w:fldCharType="end"/>
      </w:r>
      <w:r>
        <w:fldChar w:fldCharType="end"/>
      </w:r>
    </w:p>
    <w:p>
      <w:pPr>
        <w:pStyle w:val="28"/>
        <w:rPr>
          <w:sz w:val="21"/>
        </w:rPr>
      </w:pPr>
      <w:r>
        <w:fldChar w:fldCharType="begin"/>
      </w:r>
      <w:r>
        <w:instrText xml:space="preserve"> HYPERLINK \l "_Toc141369748" </w:instrText>
      </w:r>
      <w:r>
        <w:fldChar w:fldCharType="separate"/>
      </w:r>
      <w:r>
        <w:rPr>
          <w:rStyle w:val="49"/>
          <w:rFonts w:ascii="黑体" w:hAnsi="黑体" w:eastAsia="黑体"/>
          <w:color w:val="auto"/>
        </w:rPr>
        <w:t>附表13  金元镇镇区用地结构规划表</w:t>
      </w:r>
      <w:r>
        <w:tab/>
      </w:r>
      <w:r>
        <w:fldChar w:fldCharType="begin"/>
      </w:r>
      <w:r>
        <w:instrText xml:space="preserve"> PAGEREF _Toc141369748 \h </w:instrText>
      </w:r>
      <w:r>
        <w:fldChar w:fldCharType="separate"/>
      </w:r>
      <w:r>
        <w:t>112</w:t>
      </w:r>
      <w:r>
        <w:fldChar w:fldCharType="end"/>
      </w:r>
      <w:r>
        <w:fldChar w:fldCharType="end"/>
      </w:r>
    </w:p>
    <w:p>
      <w:pPr>
        <w:pStyle w:val="28"/>
        <w:rPr>
          <w:sz w:val="21"/>
        </w:rPr>
      </w:pPr>
      <w:r>
        <w:fldChar w:fldCharType="begin"/>
      </w:r>
      <w:r>
        <w:instrText xml:space="preserve"> HYPERLINK \l "_Toc141369749" </w:instrText>
      </w:r>
      <w:r>
        <w:fldChar w:fldCharType="separate"/>
      </w:r>
      <w:r>
        <w:rPr>
          <w:rStyle w:val="49"/>
          <w:rFonts w:ascii="黑体" w:hAnsi="黑体" w:eastAsia="黑体"/>
          <w:color w:val="auto"/>
        </w:rPr>
        <w:t>附表14  隆盛镇镇区地块指标控制一览表</w:t>
      </w:r>
      <w:r>
        <w:tab/>
      </w:r>
      <w:r>
        <w:fldChar w:fldCharType="begin"/>
      </w:r>
      <w:r>
        <w:instrText xml:space="preserve"> PAGEREF _Toc141369749 \h </w:instrText>
      </w:r>
      <w:r>
        <w:fldChar w:fldCharType="separate"/>
      </w:r>
      <w:r>
        <w:t>113</w:t>
      </w:r>
      <w:r>
        <w:fldChar w:fldCharType="end"/>
      </w:r>
      <w:r>
        <w:fldChar w:fldCharType="end"/>
      </w:r>
    </w:p>
    <w:p>
      <w:pPr>
        <w:pStyle w:val="28"/>
        <w:rPr>
          <w:sz w:val="21"/>
        </w:rPr>
      </w:pPr>
      <w:r>
        <w:fldChar w:fldCharType="begin"/>
      </w:r>
      <w:r>
        <w:instrText xml:space="preserve"> HYPERLINK \l "_Toc141369750" </w:instrText>
      </w:r>
      <w:r>
        <w:fldChar w:fldCharType="separate"/>
      </w:r>
      <w:r>
        <w:rPr>
          <w:rStyle w:val="49"/>
          <w:rFonts w:ascii="黑体" w:hAnsi="黑体" w:eastAsia="黑体"/>
          <w:color w:val="auto"/>
        </w:rPr>
        <w:t>附表15  回马镇镇区地块指标控制一览表</w:t>
      </w:r>
      <w:r>
        <w:tab/>
      </w:r>
      <w:r>
        <w:fldChar w:fldCharType="begin"/>
      </w:r>
      <w:r>
        <w:instrText xml:space="preserve"> PAGEREF _Toc141369750 \h </w:instrText>
      </w:r>
      <w:r>
        <w:fldChar w:fldCharType="separate"/>
      </w:r>
      <w:r>
        <w:t>113</w:t>
      </w:r>
      <w:r>
        <w:fldChar w:fldCharType="end"/>
      </w:r>
      <w:r>
        <w:fldChar w:fldCharType="end"/>
      </w:r>
    </w:p>
    <w:p>
      <w:pPr>
        <w:pStyle w:val="28"/>
        <w:rPr>
          <w:sz w:val="21"/>
        </w:rPr>
      </w:pPr>
      <w:r>
        <w:fldChar w:fldCharType="begin"/>
      </w:r>
      <w:r>
        <w:instrText xml:space="preserve"> HYPERLINK \l "_Toc141369751" </w:instrText>
      </w:r>
      <w:r>
        <w:fldChar w:fldCharType="separate"/>
      </w:r>
      <w:r>
        <w:rPr>
          <w:rStyle w:val="49"/>
          <w:rFonts w:ascii="黑体" w:hAnsi="黑体" w:eastAsia="黑体"/>
          <w:color w:val="auto"/>
        </w:rPr>
        <w:t>附表16  金元镇镇区地块指标控制一览表</w:t>
      </w:r>
      <w:r>
        <w:tab/>
      </w:r>
      <w:r>
        <w:fldChar w:fldCharType="begin"/>
      </w:r>
      <w:r>
        <w:instrText xml:space="preserve"> PAGEREF _Toc141369751 \h </w:instrText>
      </w:r>
      <w:r>
        <w:fldChar w:fldCharType="separate"/>
      </w:r>
      <w:r>
        <w:t>118</w:t>
      </w:r>
      <w:r>
        <w:fldChar w:fldCharType="end"/>
      </w:r>
      <w:r>
        <w:fldChar w:fldCharType="end"/>
      </w:r>
    </w:p>
    <w:p>
      <w:pPr>
        <w:pStyle w:val="28"/>
        <w:rPr>
          <w:sz w:val="21"/>
        </w:rPr>
      </w:pPr>
      <w:r>
        <w:fldChar w:fldCharType="begin"/>
      </w:r>
      <w:r>
        <w:instrText xml:space="preserve"> HYPERLINK \l "_Toc141369752" </w:instrText>
      </w:r>
      <w:r>
        <w:fldChar w:fldCharType="separate"/>
      </w:r>
      <w:r>
        <w:rPr>
          <w:rStyle w:val="49"/>
          <w:rFonts w:ascii="黑体" w:hAnsi="黑体" w:eastAsia="黑体"/>
          <w:color w:val="auto"/>
        </w:rPr>
        <w:t>附表17  片区近期建设项目表</w:t>
      </w:r>
      <w:r>
        <w:tab/>
      </w:r>
      <w:r>
        <w:fldChar w:fldCharType="begin"/>
      </w:r>
      <w:r>
        <w:instrText xml:space="preserve"> PAGEREF _Toc141369752 \h </w:instrText>
      </w:r>
      <w:r>
        <w:fldChar w:fldCharType="separate"/>
      </w:r>
      <w:r>
        <w:t>120</w:t>
      </w:r>
      <w:r>
        <w:fldChar w:fldCharType="end"/>
      </w:r>
      <w:r>
        <w:fldChar w:fldCharType="end"/>
      </w:r>
    </w:p>
    <w:p>
      <w:pPr>
        <w:pStyle w:val="28"/>
        <w:rPr>
          <w:sz w:val="21"/>
        </w:rPr>
      </w:pPr>
      <w:r>
        <w:fldChar w:fldCharType="begin"/>
      </w:r>
      <w:r>
        <w:instrText xml:space="preserve"> HYPERLINK \l "_Toc141369753" </w:instrText>
      </w:r>
      <w:r>
        <w:fldChar w:fldCharType="separate"/>
      </w:r>
      <w:r>
        <w:rPr>
          <w:rStyle w:val="49"/>
          <w:rFonts w:ascii="黑体" w:hAnsi="黑体" w:eastAsia="黑体"/>
          <w:color w:val="auto"/>
        </w:rPr>
        <w:t>附表18  镇区近期建设项目表</w:t>
      </w:r>
      <w:r>
        <w:tab/>
      </w:r>
      <w:r>
        <w:fldChar w:fldCharType="begin"/>
      </w:r>
      <w:r>
        <w:instrText xml:space="preserve"> PAGEREF _Toc141369753 \h </w:instrText>
      </w:r>
      <w:r>
        <w:fldChar w:fldCharType="separate"/>
      </w:r>
      <w:r>
        <w:t>120</w:t>
      </w:r>
      <w:r>
        <w:fldChar w:fldCharType="end"/>
      </w:r>
      <w:r>
        <w:fldChar w:fldCharType="end"/>
      </w:r>
    </w:p>
    <w:p>
      <w:pPr>
        <w:widowControl/>
        <w:jc w:val="left"/>
        <w:rPr>
          <w:bCs/>
          <w:sz w:val="24"/>
          <w:szCs w:val="24"/>
        </w:rPr>
        <w:sectPr>
          <w:headerReference r:id="rId6" w:type="first"/>
          <w:footerReference r:id="rId8" w:type="first"/>
          <w:headerReference r:id="rId5" w:type="default"/>
          <w:footerReference r:id="rId7" w:type="default"/>
          <w:type w:val="continuous"/>
          <w:pgSz w:w="11906" w:h="16838"/>
          <w:pgMar w:top="1797" w:right="1440" w:bottom="1797" w:left="1440" w:header="851" w:footer="992" w:gutter="0"/>
          <w:pgNumType w:fmt="upperRoman" w:start="1"/>
          <w:cols w:space="1264" w:num="1"/>
          <w:titlePg/>
          <w:docGrid w:type="lines" w:linePitch="312" w:charSpace="0"/>
        </w:sectPr>
      </w:pPr>
      <w:r>
        <w:rPr>
          <w:bCs/>
          <w:sz w:val="24"/>
          <w:szCs w:val="24"/>
        </w:rPr>
        <w:fldChar w:fldCharType="end"/>
      </w:r>
    </w:p>
    <w:p>
      <w:pPr>
        <w:widowControl/>
        <w:jc w:val="left"/>
        <w:rPr>
          <w:sz w:val="24"/>
          <w:szCs w:val="24"/>
        </w:rPr>
      </w:pPr>
      <w:r>
        <w:rPr>
          <w:sz w:val="24"/>
          <w:szCs w:val="24"/>
        </w:rPr>
        <w:br w:type="page"/>
      </w:r>
    </w:p>
    <w:p>
      <w:pPr>
        <w:widowControl/>
        <w:jc w:val="center"/>
        <w:outlineLvl w:val="0"/>
        <w:rPr>
          <w:sz w:val="24"/>
          <w:szCs w:val="24"/>
        </w:rPr>
        <w:sectPr>
          <w:type w:val="continuous"/>
          <w:pgSz w:w="11906" w:h="16838"/>
          <w:pgMar w:top="1440" w:right="1797" w:bottom="1440" w:left="1797" w:header="851" w:footer="992" w:gutter="0"/>
          <w:pgNumType w:start="1"/>
          <w:cols w:space="1264" w:num="1"/>
          <w:docGrid w:type="lines" w:linePitch="312" w:charSpace="0"/>
        </w:sectPr>
      </w:pPr>
    </w:p>
    <w:p>
      <w:pPr>
        <w:widowControl/>
        <w:jc w:val="center"/>
        <w:outlineLvl w:val="0"/>
        <w:rPr>
          <w:rFonts w:ascii="黑体" w:hAnsi="黑体" w:eastAsia="黑体"/>
          <w:b/>
          <w:bCs/>
          <w:sz w:val="32"/>
          <w:szCs w:val="32"/>
        </w:rPr>
      </w:pPr>
      <w:bookmarkStart w:id="0" w:name="_Toc107163824"/>
      <w:bookmarkStart w:id="1" w:name="_Toc141369714"/>
      <w:bookmarkStart w:id="2" w:name="_Toc106973057"/>
      <w:r>
        <w:rPr>
          <w:rFonts w:hint="eastAsia" w:ascii="黑体" w:hAnsi="黑体" w:eastAsia="黑体"/>
          <w:b/>
          <w:bCs/>
          <w:sz w:val="32"/>
          <w:szCs w:val="32"/>
        </w:rPr>
        <w:t>前   言</w:t>
      </w:r>
      <w:bookmarkEnd w:id="0"/>
      <w:bookmarkEnd w:id="1"/>
      <w:bookmarkEnd w:id="2"/>
    </w:p>
    <w:p>
      <w:pPr>
        <w:spacing w:line="360" w:lineRule="auto"/>
        <w:ind w:firstLine="480" w:firstLineChars="200"/>
        <w:rPr>
          <w:rFonts w:ascii="宋体" w:hAnsi="宋体"/>
          <w:sz w:val="24"/>
          <w:szCs w:val="24"/>
        </w:rPr>
      </w:pPr>
    </w:p>
    <w:p>
      <w:pPr>
        <w:spacing w:line="360" w:lineRule="auto"/>
        <w:ind w:firstLine="480" w:firstLineChars="200"/>
        <w:rPr>
          <w:rFonts w:ascii="宋体" w:hAnsi="宋体"/>
          <w:sz w:val="24"/>
          <w:szCs w:val="24"/>
        </w:rPr>
      </w:pPr>
      <w:r>
        <w:rPr>
          <w:rFonts w:hint="eastAsia" w:ascii="宋体" w:hAnsi="宋体"/>
          <w:sz w:val="24"/>
          <w:szCs w:val="24"/>
        </w:rPr>
        <w:t>深入贯彻国家生态文明建设要求，</w:t>
      </w:r>
      <w:bookmarkStart w:id="3" w:name="_Hlk148618778"/>
      <w:r>
        <w:rPr>
          <w:rFonts w:hint="eastAsia" w:ascii="宋体" w:hAnsi="宋体"/>
          <w:sz w:val="24"/>
          <w:szCs w:val="24"/>
        </w:rPr>
        <w:t>全面落实中央和四川省关于建立国土空间规划体系并监督实施的重大战略部署，以及四川省委省政府两项改革“后半篇”文章的决策部署，</w:t>
      </w:r>
      <w:bookmarkEnd w:id="3"/>
      <w:bookmarkStart w:id="4" w:name="_Hlk148618827"/>
      <w:r>
        <w:rPr>
          <w:rFonts w:hint="eastAsia" w:ascii="宋体" w:hAnsi="宋体"/>
          <w:sz w:val="24"/>
          <w:szCs w:val="24"/>
        </w:rPr>
        <w:t>围绕优化资源配置、提升发展质量、强化服务功能、提高治理效能四大任务，在大英县片区划分方案对本片区提出的“遂大融城发展片区”总体定位和《大英县国土空间总体规划（2021—2035年）》的指导下，为实现片区的融城发展目标，特编制《大英县遂大融城发展片区国土空间总体规划（2021—2035）》</w:t>
      </w:r>
      <w:bookmarkEnd w:id="4"/>
      <w:bookmarkStart w:id="5" w:name="_Hlk148621002"/>
      <w:r>
        <w:rPr>
          <w:rFonts w:hint="eastAsia" w:ascii="宋体" w:hAnsi="宋体"/>
          <w:sz w:val="24"/>
          <w:szCs w:val="24"/>
        </w:rPr>
        <w:t>（以下简称“本规划”）</w:t>
      </w:r>
      <w:bookmarkEnd w:id="5"/>
      <w:r>
        <w:rPr>
          <w:rFonts w:hint="eastAsia" w:ascii="宋体" w:hAnsi="宋体"/>
          <w:sz w:val="24"/>
          <w:szCs w:val="24"/>
        </w:rPr>
        <w:t>。</w:t>
      </w:r>
    </w:p>
    <w:p>
      <w:pPr>
        <w:pStyle w:val="85"/>
        <w:spacing w:line="360" w:lineRule="auto"/>
        <w:ind w:firstLine="480"/>
        <w:rPr>
          <w:lang w:val="zh-CN"/>
        </w:rPr>
      </w:pPr>
      <w:r>
        <w:rPr>
          <w:rFonts w:hint="eastAsia"/>
        </w:rPr>
        <w:t>围绕“成遂协同发展先行区、全国知名旅游度假目的地、全国县城新型城镇化示范县”的县域建设发展目标，全方位融入遂宁主城区经济发展极核，把大英建设成遂宁都市区“一体两翼”中的坚强一翼，按照</w:t>
      </w:r>
      <w:r>
        <w:rPr>
          <w:rFonts w:hint="eastAsia"/>
          <w:lang w:val="zh-CN"/>
        </w:rPr>
        <w:t>宜大则大、宜小则小的原则，大英县共划分为遂大融城发展片区、大英极核发展片区、成遂协同绿色发展片区，形成隆盛镇、卓筒井镇、</w:t>
      </w:r>
      <w:r>
        <w:rPr>
          <w:rFonts w:hint="eastAsia"/>
        </w:rPr>
        <w:t>河边</w:t>
      </w:r>
      <w:r>
        <w:rPr>
          <w:rFonts w:hint="eastAsia"/>
          <w:lang w:val="zh-CN"/>
        </w:rPr>
        <w:t>镇三个中心镇带动的</w:t>
      </w:r>
      <w:r>
        <w:rPr>
          <w:rFonts w:hint="eastAsia"/>
        </w:rPr>
        <w:t>片区发展</w:t>
      </w:r>
      <w:r>
        <w:rPr>
          <w:rFonts w:hint="eastAsia"/>
          <w:lang w:val="zh-CN"/>
        </w:rPr>
        <w:t>格局。</w:t>
      </w:r>
    </w:p>
    <w:p>
      <w:pPr>
        <w:pStyle w:val="85"/>
        <w:spacing w:line="360" w:lineRule="auto"/>
        <w:ind w:firstLine="480"/>
        <w:rPr>
          <w:lang w:val="zh-CN"/>
        </w:rPr>
      </w:pPr>
      <w:r>
        <w:rPr>
          <w:rFonts w:hint="eastAsia"/>
          <w:lang w:val="zh-CN"/>
        </w:rPr>
        <w:t>遂大融城发展片区位于大英县东部，西邻大英中心城区，东隔涪江与蓬溪</w:t>
      </w:r>
      <w:r>
        <w:rPr>
          <w:rFonts w:hint="eastAsia"/>
        </w:rPr>
        <w:t>相</w:t>
      </w:r>
      <w:r>
        <w:rPr>
          <w:rFonts w:hint="eastAsia"/>
          <w:lang w:val="zh-CN"/>
        </w:rPr>
        <w:t>望，紧邻船山与安居，南连天保镇，北接射洪沱牌镇、明星镇，处于遂宁主城区半小时经济圈内。片区规划范围包括隆盛镇、回马镇和金元镇的行政辖区范围，</w:t>
      </w:r>
      <w:r>
        <w:rPr>
          <w:rFonts w:hint="eastAsia" w:ascii="宋体" w:hAnsi="宋体"/>
          <w:lang w:val="zh-CN"/>
        </w:rPr>
        <w:t>总面积</w:t>
      </w:r>
      <w:r>
        <w:rPr>
          <w:rFonts w:ascii="宋体" w:hAnsi="宋体"/>
        </w:rPr>
        <w:t>214.66</w:t>
      </w:r>
      <w:r>
        <w:rPr>
          <w:rFonts w:hint="eastAsia" w:ascii="宋体" w:hAnsi="宋体"/>
          <w:lang w:val="zh-CN"/>
        </w:rPr>
        <w:t>平方公里</w:t>
      </w:r>
      <w:r>
        <w:rPr>
          <w:rFonts w:hint="eastAsia" w:ascii="宋体" w:hAnsi="宋体"/>
        </w:rPr>
        <w:t>，</w:t>
      </w:r>
      <w:r>
        <w:rPr>
          <w:rFonts w:hint="eastAsia" w:ascii="宋体" w:hAnsi="宋体"/>
          <w:lang w:val="zh-CN"/>
        </w:rPr>
        <w:t>其中</w:t>
      </w:r>
      <w:r>
        <w:rPr>
          <w:rFonts w:hint="eastAsia" w:ascii="宋体" w:hAnsi="宋体"/>
        </w:rPr>
        <w:t>经开区在隆盛镇和金元镇行政辖区范围内的</w:t>
      </w:r>
      <w:r>
        <w:rPr>
          <w:rFonts w:ascii="宋体" w:hAnsi="宋体"/>
        </w:rPr>
        <w:t>5.04</w:t>
      </w:r>
      <w:r>
        <w:rPr>
          <w:rFonts w:hint="eastAsia" w:ascii="宋体" w:hAnsi="宋体"/>
        </w:rPr>
        <w:t>平方公里用地已纳入中心城区，相应用地指标不在片区内统计</w:t>
      </w:r>
      <w:r>
        <w:rPr>
          <w:rFonts w:hint="eastAsia"/>
          <w:lang w:val="zh-CN"/>
        </w:rPr>
        <w:t>。两项改革前有7个社区和</w:t>
      </w:r>
      <w:r>
        <w:rPr>
          <w:lang w:val="zh-CN"/>
        </w:rPr>
        <w:t>91</w:t>
      </w:r>
      <w:r>
        <w:rPr>
          <w:rFonts w:hint="eastAsia"/>
        </w:rPr>
        <w:t>个建制</w:t>
      </w:r>
      <w:r>
        <w:rPr>
          <w:rFonts w:hint="eastAsia"/>
          <w:lang w:val="zh-CN"/>
        </w:rPr>
        <w:t>村，改革后合并为5个社区和</w:t>
      </w:r>
      <w:r>
        <w:rPr>
          <w:lang w:val="zh-CN"/>
        </w:rPr>
        <w:t>54</w:t>
      </w:r>
      <w:r>
        <w:rPr>
          <w:rFonts w:hint="eastAsia"/>
        </w:rPr>
        <w:t>个建制</w:t>
      </w:r>
      <w:r>
        <w:rPr>
          <w:rFonts w:hint="eastAsia"/>
          <w:lang w:val="zh-CN"/>
        </w:rPr>
        <w:t>村。</w:t>
      </w:r>
    </w:p>
    <w:p>
      <w:pPr>
        <w:pStyle w:val="85"/>
        <w:spacing w:line="360" w:lineRule="auto"/>
        <w:ind w:firstLine="480"/>
      </w:pPr>
      <w:r>
        <w:rPr>
          <w:rFonts w:hint="eastAsia"/>
        </w:rPr>
        <w:t>本规划是对遂大融城发展片区国土空间开发、保护、利用、修复的行动纲领，是指导片区国土空间发展的指南和可持续发展的空间蓝图，是各类开发保护建设活动的基本依据。凡在本规划范围内涉及国土空间和自然资源保护利用的各类规划、建设、管理和政策制定等，均应符合本规划。</w:t>
      </w:r>
      <w:r>
        <w:br w:type="page"/>
      </w:r>
    </w:p>
    <w:p>
      <w:pPr>
        <w:pStyle w:val="81"/>
        <w:numPr>
          <w:ilvl w:val="0"/>
          <w:numId w:val="3"/>
        </w:numPr>
        <w:spacing w:before="312" w:beforeLines="100" w:after="312" w:afterLines="100" w:line="360" w:lineRule="auto"/>
        <w:ind w:firstLineChars="0"/>
        <w:jc w:val="center"/>
        <w:outlineLvl w:val="0"/>
        <w:rPr>
          <w:rFonts w:ascii="黑体" w:hAnsi="黑体" w:eastAsia="黑体"/>
          <w:b/>
          <w:sz w:val="32"/>
          <w:szCs w:val="32"/>
        </w:rPr>
      </w:pPr>
      <w:bookmarkStart w:id="6" w:name="_Toc107332648"/>
      <w:bookmarkEnd w:id="6"/>
      <w:bookmarkStart w:id="7" w:name="_Toc106630074"/>
      <w:bookmarkEnd w:id="7"/>
      <w:bookmarkStart w:id="8" w:name="_Toc106399282"/>
      <w:bookmarkEnd w:id="8"/>
      <w:bookmarkStart w:id="9" w:name="_Toc106959972"/>
      <w:bookmarkEnd w:id="9"/>
      <w:bookmarkStart w:id="10" w:name="_Toc106931852"/>
      <w:bookmarkEnd w:id="10"/>
      <w:bookmarkStart w:id="11" w:name="_Toc105688651"/>
      <w:bookmarkEnd w:id="11"/>
      <w:bookmarkStart w:id="12" w:name="_Toc106630117"/>
      <w:bookmarkEnd w:id="12"/>
      <w:bookmarkStart w:id="13" w:name="_Toc107332967"/>
      <w:bookmarkEnd w:id="13"/>
      <w:bookmarkStart w:id="14" w:name="_Toc106959973"/>
      <w:bookmarkStart w:id="15" w:name="_Toc141369715"/>
      <w:r>
        <w:rPr>
          <w:rFonts w:hint="eastAsia" w:ascii="黑体" w:hAnsi="黑体" w:eastAsia="黑体"/>
          <w:b/>
          <w:sz w:val="32"/>
          <w:szCs w:val="32"/>
        </w:rPr>
        <w:t>总则</w:t>
      </w:r>
      <w:bookmarkEnd w:id="14"/>
      <w:bookmarkEnd w:id="15"/>
    </w:p>
    <w:p>
      <w:pPr>
        <w:pStyle w:val="5"/>
        <w:numPr>
          <w:ilvl w:val="0"/>
          <w:numId w:val="4"/>
        </w:numPr>
        <w:spacing w:line="360" w:lineRule="auto"/>
        <w:rPr>
          <w:b/>
          <w:bCs/>
        </w:rPr>
      </w:pPr>
      <w:r>
        <w:rPr>
          <w:rFonts w:hint="eastAsia"/>
          <w:b/>
          <w:bCs/>
        </w:rPr>
        <w:t>规划依据</w:t>
      </w:r>
    </w:p>
    <w:p>
      <w:pPr>
        <w:pStyle w:val="81"/>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《中华人民共和国城乡规划法（</w:t>
      </w:r>
      <w:r>
        <w:rPr>
          <w:rFonts w:asciiTheme="minorEastAsia" w:hAnsiTheme="minorEastAsia"/>
          <w:sz w:val="24"/>
          <w:szCs w:val="24"/>
        </w:rPr>
        <w:t>2019</w:t>
      </w:r>
      <w:r>
        <w:rPr>
          <w:rFonts w:hint="eastAsia" w:asciiTheme="minorEastAsia" w:hAnsiTheme="minorEastAsia"/>
          <w:sz w:val="24"/>
          <w:szCs w:val="24"/>
        </w:rPr>
        <w:t>年修正）》；</w:t>
      </w:r>
    </w:p>
    <w:p>
      <w:pPr>
        <w:pStyle w:val="81"/>
        <w:numPr>
          <w:ilvl w:val="0"/>
          <w:numId w:val="5"/>
        </w:numPr>
        <w:tabs>
          <w:tab w:val="left" w:pos="0"/>
        </w:tabs>
        <w:adjustRightInd w:val="0"/>
        <w:spacing w:line="360" w:lineRule="auto"/>
        <w:ind w:firstLineChars="0"/>
        <w:rPr>
          <w:rFonts w:asciiTheme="minorEastAsia" w:hAnsiTheme="minorEastAsia"/>
          <w:sz w:val="24"/>
          <w:szCs w:val="24"/>
        </w:rPr>
      </w:pPr>
      <w:r>
        <w:rPr>
          <w:rFonts w:hint="eastAsia" w:asciiTheme="minorEastAsia" w:hAnsiTheme="minorEastAsia"/>
          <w:sz w:val="24"/>
          <w:szCs w:val="24"/>
        </w:rPr>
        <w:t>《中华人民共和国土地管理法》（</w:t>
      </w:r>
      <w:r>
        <w:rPr>
          <w:rFonts w:asciiTheme="minorEastAsia" w:hAnsiTheme="minorEastAsia"/>
          <w:sz w:val="24"/>
          <w:szCs w:val="24"/>
        </w:rPr>
        <w:t>2019</w:t>
      </w:r>
      <w:r>
        <w:rPr>
          <w:rFonts w:hint="eastAsia" w:asciiTheme="minorEastAsia" w:hAnsiTheme="minorEastAsia"/>
          <w:sz w:val="24"/>
          <w:szCs w:val="24"/>
        </w:rPr>
        <w:t>年修正）；</w:t>
      </w:r>
    </w:p>
    <w:p>
      <w:pPr>
        <w:pStyle w:val="81"/>
        <w:numPr>
          <w:ilvl w:val="0"/>
          <w:numId w:val="5"/>
        </w:numPr>
        <w:tabs>
          <w:tab w:val="left" w:pos="0"/>
        </w:tabs>
        <w:adjustRightInd w:val="0"/>
        <w:spacing w:line="360" w:lineRule="auto"/>
        <w:ind w:firstLineChars="0"/>
        <w:rPr>
          <w:rFonts w:asciiTheme="minorEastAsia" w:hAnsiTheme="minorEastAsia"/>
          <w:sz w:val="24"/>
          <w:szCs w:val="24"/>
        </w:rPr>
      </w:pPr>
      <w:r>
        <w:rPr>
          <w:rFonts w:hint="eastAsia" w:asciiTheme="minorEastAsia" w:hAnsiTheme="minorEastAsia"/>
          <w:sz w:val="24"/>
          <w:szCs w:val="24"/>
        </w:rPr>
        <w:t>《中华人民共和国土地管理法实施条例》（</w:t>
      </w:r>
      <w:r>
        <w:rPr>
          <w:rFonts w:asciiTheme="minorEastAsia" w:hAnsiTheme="minorEastAsia"/>
          <w:sz w:val="24"/>
          <w:szCs w:val="24"/>
        </w:rPr>
        <w:t>2021</w:t>
      </w:r>
      <w:r>
        <w:rPr>
          <w:rFonts w:hint="eastAsia" w:asciiTheme="minorEastAsia" w:hAnsiTheme="minorEastAsia"/>
          <w:sz w:val="24"/>
          <w:szCs w:val="24"/>
        </w:rPr>
        <w:t>年修订）；</w:t>
      </w:r>
    </w:p>
    <w:p>
      <w:pPr>
        <w:pStyle w:val="81"/>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《城市、镇控制性详细规划编制审批办法》（</w:t>
      </w:r>
      <w:r>
        <w:rPr>
          <w:rFonts w:asciiTheme="minorEastAsia" w:hAnsiTheme="minorEastAsia"/>
          <w:sz w:val="24"/>
          <w:szCs w:val="24"/>
        </w:rPr>
        <w:t>2011）</w:t>
      </w:r>
      <w:r>
        <w:rPr>
          <w:rFonts w:hint="eastAsia" w:asciiTheme="minorEastAsia" w:hAnsiTheme="minorEastAsia"/>
          <w:sz w:val="24"/>
          <w:szCs w:val="24"/>
        </w:rPr>
        <w:t>；</w:t>
      </w:r>
    </w:p>
    <w:p>
      <w:pPr>
        <w:pStyle w:val="81"/>
        <w:numPr>
          <w:ilvl w:val="0"/>
          <w:numId w:val="5"/>
        </w:numPr>
        <w:spacing w:line="360" w:lineRule="auto"/>
        <w:ind w:firstLineChars="0"/>
        <w:rPr>
          <w:rFonts w:ascii="宋体" w:hAnsi="宋体"/>
          <w:sz w:val="24"/>
          <w:szCs w:val="24"/>
        </w:rPr>
      </w:pPr>
      <w:r>
        <w:rPr>
          <w:rFonts w:hint="eastAsia" w:ascii="宋体" w:hAnsi="宋体"/>
          <w:sz w:val="24"/>
          <w:szCs w:val="24"/>
        </w:rPr>
        <w:t>《四川省城乡规划条例》（</w:t>
      </w:r>
      <w:r>
        <w:rPr>
          <w:rFonts w:ascii="宋体" w:hAnsi="宋体"/>
          <w:sz w:val="24"/>
          <w:szCs w:val="24"/>
        </w:rPr>
        <w:t>2012</w:t>
      </w:r>
      <w:r>
        <w:rPr>
          <w:rFonts w:hint="eastAsia" w:ascii="宋体" w:hAnsi="宋体"/>
          <w:sz w:val="24"/>
          <w:szCs w:val="24"/>
        </w:rPr>
        <w:t>）；</w:t>
      </w:r>
    </w:p>
    <w:p>
      <w:pPr>
        <w:pStyle w:val="81"/>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《国土空间调查、规划、用途管制用地用海分类指南（试行）》（</w:t>
      </w:r>
      <w:r>
        <w:rPr>
          <w:rFonts w:asciiTheme="minorEastAsia" w:hAnsiTheme="minorEastAsia"/>
          <w:sz w:val="24"/>
          <w:szCs w:val="24"/>
        </w:rPr>
        <w:t>2020</w:t>
      </w:r>
      <w:r>
        <w:rPr>
          <w:rFonts w:hint="eastAsia" w:asciiTheme="minorEastAsia" w:hAnsiTheme="minorEastAsia"/>
          <w:sz w:val="24"/>
          <w:szCs w:val="24"/>
        </w:rPr>
        <w:t>）；</w:t>
      </w:r>
    </w:p>
    <w:p>
      <w:pPr>
        <w:pStyle w:val="81"/>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《中共中央</w:t>
      </w:r>
      <w:r>
        <w:rPr>
          <w:rFonts w:asciiTheme="minorEastAsia" w:hAnsiTheme="minorEastAsia"/>
          <w:sz w:val="24"/>
          <w:szCs w:val="24"/>
        </w:rPr>
        <w:t xml:space="preserve"> </w:t>
      </w:r>
      <w:r>
        <w:rPr>
          <w:rFonts w:hint="eastAsia" w:asciiTheme="minorEastAsia" w:hAnsiTheme="minorEastAsia"/>
          <w:sz w:val="24"/>
          <w:szCs w:val="24"/>
        </w:rPr>
        <w:t>国务院关于建立国土空间规划体系并监督实施的若干意见》（中发〔</w:t>
      </w:r>
      <w:r>
        <w:rPr>
          <w:rFonts w:asciiTheme="minorEastAsia" w:hAnsiTheme="minorEastAsia"/>
          <w:sz w:val="24"/>
          <w:szCs w:val="24"/>
        </w:rPr>
        <w:t>2019〕18号）；</w:t>
      </w:r>
    </w:p>
    <w:p>
      <w:pPr>
        <w:pStyle w:val="81"/>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《关于加强和改进永久基本农田保护工作的通知》（自然资规〔</w:t>
      </w:r>
      <w:r>
        <w:rPr>
          <w:rFonts w:asciiTheme="minorEastAsia" w:hAnsiTheme="minorEastAsia"/>
          <w:sz w:val="24"/>
          <w:szCs w:val="24"/>
        </w:rPr>
        <w:t>2019〕1号）；</w:t>
      </w:r>
    </w:p>
    <w:p>
      <w:pPr>
        <w:pStyle w:val="81"/>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《关于全面开展国土空间规划工作的通知》（自然资发〔</w:t>
      </w:r>
      <w:r>
        <w:rPr>
          <w:rFonts w:asciiTheme="minorEastAsia" w:hAnsiTheme="minorEastAsia"/>
          <w:sz w:val="24"/>
          <w:szCs w:val="24"/>
        </w:rPr>
        <w:t>2019〕87号）；</w:t>
      </w:r>
    </w:p>
    <w:p>
      <w:pPr>
        <w:pStyle w:val="81"/>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《国土空间调查、规划、用途管制用地用海分类指南（试行）》（自然资办发〔</w:t>
      </w:r>
      <w:r>
        <w:rPr>
          <w:rFonts w:asciiTheme="minorEastAsia" w:hAnsiTheme="minorEastAsia"/>
          <w:sz w:val="24"/>
          <w:szCs w:val="24"/>
        </w:rPr>
        <w:t>2020〕51号）；</w:t>
      </w:r>
    </w:p>
    <w:p>
      <w:pPr>
        <w:pStyle w:val="81"/>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中共四川省委办公厅、四川省人民政府办公厅</w:t>
      </w:r>
      <w:r>
        <w:rPr>
          <w:rFonts w:asciiTheme="minorEastAsia" w:hAnsiTheme="minorEastAsia"/>
          <w:sz w:val="24"/>
          <w:szCs w:val="24"/>
        </w:rPr>
        <w:t>《四川省建立国土空间规划体系并监督实施的实施方案》</w:t>
      </w:r>
      <w:r>
        <w:rPr>
          <w:rFonts w:hint="eastAsia" w:asciiTheme="minorEastAsia" w:hAnsiTheme="minorEastAsia"/>
          <w:sz w:val="24"/>
          <w:szCs w:val="24"/>
        </w:rPr>
        <w:t>（</w:t>
      </w:r>
      <w:r>
        <w:rPr>
          <w:rFonts w:asciiTheme="minorEastAsia" w:hAnsiTheme="minorEastAsia"/>
          <w:sz w:val="24"/>
          <w:szCs w:val="24"/>
        </w:rPr>
        <w:t>川委厅〔2020〕8号</w:t>
      </w:r>
      <w:r>
        <w:rPr>
          <w:rFonts w:hint="eastAsia" w:asciiTheme="minorEastAsia" w:hAnsiTheme="minorEastAsia"/>
          <w:sz w:val="24"/>
          <w:szCs w:val="24"/>
        </w:rPr>
        <w:t>）；</w:t>
      </w:r>
    </w:p>
    <w:p>
      <w:pPr>
        <w:pStyle w:val="81"/>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省委办公厅、省政府办公厅《关于以乡村国土空间规划引领县域内片区高质量发展的指导意见》；</w:t>
      </w:r>
    </w:p>
    <w:p>
      <w:pPr>
        <w:pStyle w:val="81"/>
        <w:numPr>
          <w:ilvl w:val="0"/>
          <w:numId w:val="5"/>
        </w:numPr>
        <w:spacing w:line="360" w:lineRule="auto"/>
        <w:ind w:firstLineChars="0"/>
        <w:rPr>
          <w:rFonts w:asciiTheme="minorEastAsia" w:hAnsiTheme="minorEastAsia"/>
          <w:sz w:val="24"/>
          <w:szCs w:val="24"/>
        </w:rPr>
      </w:pPr>
      <w:r>
        <w:rPr>
          <w:rFonts w:hint="eastAsia" w:asciiTheme="minorEastAsia" w:hAnsiTheme="minorEastAsia"/>
          <w:sz w:val="24"/>
          <w:szCs w:val="24"/>
        </w:rPr>
        <w:t>省政府办公厅《关于推进全域土地综合整治试点工作的通知》（川办发〔</w:t>
      </w:r>
      <w:r>
        <w:rPr>
          <w:rFonts w:asciiTheme="minorEastAsia" w:hAnsiTheme="minorEastAsia"/>
          <w:sz w:val="24"/>
          <w:szCs w:val="24"/>
        </w:rPr>
        <w:t>2020〕55号）；</w:t>
      </w:r>
    </w:p>
    <w:p>
      <w:pPr>
        <w:pStyle w:val="81"/>
        <w:numPr>
          <w:ilvl w:val="0"/>
          <w:numId w:val="5"/>
        </w:numPr>
        <w:spacing w:line="360" w:lineRule="auto"/>
        <w:ind w:firstLineChars="0"/>
        <w:rPr>
          <w:rFonts w:asciiTheme="minorEastAsia" w:hAnsiTheme="minorEastAsia"/>
          <w:sz w:val="24"/>
          <w:szCs w:val="24"/>
        </w:rPr>
      </w:pPr>
      <w:r>
        <w:rPr>
          <w:rFonts w:asciiTheme="minorEastAsia" w:hAnsiTheme="minorEastAsia"/>
          <w:sz w:val="24"/>
          <w:szCs w:val="24"/>
        </w:rPr>
        <w:t>四川省自然资源厅《</w:t>
      </w:r>
      <w:r>
        <w:rPr>
          <w:rFonts w:hint="eastAsia" w:asciiTheme="minorEastAsia" w:hAnsiTheme="minorEastAsia"/>
          <w:sz w:val="24"/>
          <w:szCs w:val="24"/>
        </w:rPr>
        <w:t>关于以片区为单元编制乡村国土空间规划的指导意见</w:t>
      </w:r>
      <w:r>
        <w:rPr>
          <w:rFonts w:asciiTheme="minorEastAsia" w:hAnsiTheme="minorEastAsia"/>
          <w:sz w:val="24"/>
          <w:szCs w:val="24"/>
        </w:rPr>
        <w:t>》；</w:t>
      </w:r>
    </w:p>
    <w:p>
      <w:pPr>
        <w:pStyle w:val="81"/>
        <w:numPr>
          <w:ilvl w:val="0"/>
          <w:numId w:val="5"/>
        </w:numPr>
        <w:spacing w:line="360" w:lineRule="auto"/>
        <w:ind w:firstLineChars="0"/>
        <w:rPr>
          <w:rFonts w:ascii="宋体" w:hAnsi="宋体"/>
          <w:sz w:val="24"/>
          <w:szCs w:val="24"/>
        </w:rPr>
      </w:pPr>
      <w:r>
        <w:rPr>
          <w:rFonts w:asciiTheme="minorEastAsia" w:hAnsiTheme="minorEastAsia"/>
          <w:sz w:val="24"/>
          <w:szCs w:val="24"/>
        </w:rPr>
        <w:t>四川省自然资源厅</w:t>
      </w:r>
      <w:r>
        <w:rPr>
          <w:rFonts w:hint="eastAsia" w:asciiTheme="minorEastAsia" w:hAnsiTheme="minorEastAsia"/>
          <w:sz w:val="24"/>
          <w:szCs w:val="24"/>
        </w:rPr>
        <w:t>《四川省乡镇级国土空间总体规划编制指南》</w:t>
      </w:r>
      <w:r>
        <w:rPr>
          <w:rFonts w:hint="eastAsia" w:ascii="宋体" w:hAnsi="宋体"/>
          <w:sz w:val="24"/>
          <w:szCs w:val="24"/>
        </w:rPr>
        <w:t>（</w:t>
      </w:r>
      <w:r>
        <w:rPr>
          <w:rFonts w:ascii="宋体" w:hAnsi="宋体"/>
          <w:sz w:val="24"/>
          <w:szCs w:val="24"/>
        </w:rPr>
        <w:t>2021</w:t>
      </w:r>
      <w:r>
        <w:rPr>
          <w:rFonts w:hint="eastAsia" w:ascii="宋体" w:hAnsi="宋体"/>
          <w:sz w:val="24"/>
          <w:szCs w:val="24"/>
        </w:rPr>
        <w:t>年修订版）；</w:t>
      </w:r>
    </w:p>
    <w:p>
      <w:pPr>
        <w:pStyle w:val="81"/>
        <w:numPr>
          <w:ilvl w:val="0"/>
          <w:numId w:val="5"/>
        </w:numPr>
        <w:spacing w:line="360" w:lineRule="auto"/>
        <w:ind w:firstLineChars="0"/>
        <w:rPr>
          <w:rFonts w:ascii="宋体" w:hAnsi="宋体"/>
          <w:sz w:val="24"/>
          <w:szCs w:val="24"/>
        </w:rPr>
      </w:pPr>
      <w:r>
        <w:rPr>
          <w:rFonts w:hint="eastAsia" w:ascii="宋体" w:hAnsi="宋体"/>
          <w:sz w:val="24"/>
          <w:szCs w:val="24"/>
        </w:rPr>
        <w:t>《四川省城市控制性详细规划管理办法》（</w:t>
      </w:r>
      <w:r>
        <w:rPr>
          <w:rFonts w:ascii="宋体" w:hAnsi="宋体"/>
          <w:sz w:val="24"/>
          <w:szCs w:val="24"/>
        </w:rPr>
        <w:t>2007</w:t>
      </w:r>
      <w:r>
        <w:rPr>
          <w:rFonts w:hint="eastAsia" w:ascii="宋体" w:hAnsi="宋体"/>
          <w:sz w:val="24"/>
          <w:szCs w:val="24"/>
        </w:rPr>
        <w:t>）；</w:t>
      </w:r>
    </w:p>
    <w:p>
      <w:pPr>
        <w:pStyle w:val="81"/>
        <w:numPr>
          <w:ilvl w:val="0"/>
          <w:numId w:val="5"/>
        </w:numPr>
        <w:ind w:firstLineChars="0"/>
        <w:rPr>
          <w:rFonts w:ascii="宋体" w:hAnsi="宋体"/>
          <w:sz w:val="24"/>
          <w:szCs w:val="24"/>
        </w:rPr>
      </w:pPr>
      <w:r>
        <w:rPr>
          <w:rFonts w:hint="eastAsia" w:ascii="宋体" w:hAnsi="宋体"/>
          <w:sz w:val="24"/>
          <w:szCs w:val="24"/>
        </w:rPr>
        <w:t>《大英县国土空间总体规划（2021—2035年）》；</w:t>
      </w:r>
    </w:p>
    <w:p>
      <w:pPr>
        <w:pStyle w:val="81"/>
        <w:numPr>
          <w:ilvl w:val="0"/>
          <w:numId w:val="5"/>
        </w:numPr>
        <w:spacing w:line="360" w:lineRule="auto"/>
        <w:ind w:firstLineChars="0"/>
        <w:rPr>
          <w:rFonts w:ascii="宋体" w:hAnsi="宋体"/>
          <w:sz w:val="24"/>
          <w:szCs w:val="24"/>
        </w:rPr>
      </w:pPr>
      <w:r>
        <w:rPr>
          <w:rFonts w:hint="eastAsia" w:ascii="宋体" w:hAnsi="宋体"/>
          <w:sz w:val="24"/>
          <w:szCs w:val="24"/>
        </w:rPr>
        <w:t>国家、四川省、遂宁市和大英县其他相关法规、条例和政策文件，经批准的“十四五”规划及其他相关规划成果。</w:t>
      </w:r>
    </w:p>
    <w:p>
      <w:pPr>
        <w:pStyle w:val="5"/>
        <w:numPr>
          <w:ilvl w:val="0"/>
          <w:numId w:val="4"/>
        </w:numPr>
        <w:spacing w:line="360" w:lineRule="auto"/>
        <w:ind w:left="902"/>
        <w:rPr>
          <w:b/>
          <w:bCs/>
        </w:rPr>
      </w:pPr>
      <w:r>
        <w:rPr>
          <w:rFonts w:hint="eastAsia"/>
          <w:b/>
          <w:bCs/>
        </w:rPr>
        <w:t>规划原则</w:t>
      </w:r>
    </w:p>
    <w:p>
      <w:pPr>
        <w:pStyle w:val="81"/>
        <w:numPr>
          <w:ilvl w:val="0"/>
          <w:numId w:val="6"/>
        </w:numPr>
        <w:spacing w:line="360" w:lineRule="auto"/>
        <w:ind w:firstLineChars="0"/>
        <w:rPr>
          <w:rFonts w:ascii="宋体" w:hAnsi="宋体"/>
          <w:b/>
          <w:bCs/>
          <w:sz w:val="24"/>
          <w:szCs w:val="24"/>
        </w:rPr>
      </w:pPr>
      <w:r>
        <w:rPr>
          <w:rFonts w:ascii="宋体" w:hAnsi="宋体"/>
          <w:b/>
          <w:bCs/>
          <w:sz w:val="24"/>
          <w:szCs w:val="24"/>
        </w:rPr>
        <w:t>底线思维、绿色发展</w:t>
      </w:r>
    </w:p>
    <w:p>
      <w:pPr>
        <w:spacing w:line="360" w:lineRule="auto"/>
        <w:ind w:firstLine="480" w:firstLineChars="200"/>
        <w:rPr>
          <w:rFonts w:ascii="宋体" w:hAnsi="宋体"/>
          <w:sz w:val="24"/>
          <w:szCs w:val="24"/>
        </w:rPr>
      </w:pPr>
      <w:r>
        <w:rPr>
          <w:rFonts w:ascii="宋体" w:hAnsi="宋体"/>
          <w:sz w:val="24"/>
          <w:szCs w:val="24"/>
        </w:rPr>
        <w:t>根据</w:t>
      </w:r>
      <w:r>
        <w:rPr>
          <w:rFonts w:hint="eastAsia" w:ascii="宋体" w:hAnsi="宋体"/>
          <w:sz w:val="24"/>
          <w:szCs w:val="24"/>
        </w:rPr>
        <w:t>上位规划传导</w:t>
      </w:r>
      <w:r>
        <w:rPr>
          <w:rFonts w:ascii="宋体" w:hAnsi="宋体"/>
          <w:sz w:val="24"/>
          <w:szCs w:val="24"/>
        </w:rPr>
        <w:t xml:space="preserve">的目标任务，合理划定耕地和永久基本农田保护线、生态保护红线和城镇开发边界。明确规划措施，切实维护粮食安全和生态安全、全面提高土地等资源的利用效率，促进人与自然和谐共生。提出地质灾害、洪涝灾害等风险隐患管控的具体举措，确保人民群众生命财产安全。 </w:t>
      </w:r>
    </w:p>
    <w:p>
      <w:pPr>
        <w:pStyle w:val="81"/>
        <w:numPr>
          <w:ilvl w:val="0"/>
          <w:numId w:val="6"/>
        </w:numPr>
        <w:spacing w:line="360" w:lineRule="auto"/>
        <w:ind w:firstLineChars="0"/>
        <w:rPr>
          <w:rFonts w:ascii="宋体" w:hAnsi="宋体"/>
          <w:b/>
          <w:bCs/>
          <w:sz w:val="24"/>
          <w:szCs w:val="24"/>
        </w:rPr>
      </w:pPr>
      <w:r>
        <w:rPr>
          <w:rFonts w:hint="eastAsia" w:ascii="宋体" w:hAnsi="宋体"/>
          <w:b/>
          <w:bCs/>
          <w:sz w:val="24"/>
          <w:szCs w:val="24"/>
        </w:rPr>
        <w:t>片区</w:t>
      </w:r>
      <w:r>
        <w:rPr>
          <w:rFonts w:ascii="宋体" w:hAnsi="宋体"/>
          <w:b/>
          <w:bCs/>
          <w:sz w:val="24"/>
          <w:szCs w:val="24"/>
        </w:rPr>
        <w:t>协调、优化布局</w:t>
      </w:r>
    </w:p>
    <w:p>
      <w:pPr>
        <w:spacing w:line="360" w:lineRule="auto"/>
        <w:ind w:firstLine="480" w:firstLineChars="200"/>
        <w:rPr>
          <w:rFonts w:ascii="宋体" w:hAnsi="宋体"/>
          <w:sz w:val="24"/>
          <w:szCs w:val="24"/>
        </w:rPr>
      </w:pPr>
      <w:r>
        <w:rPr>
          <w:rFonts w:ascii="宋体" w:hAnsi="宋体"/>
          <w:sz w:val="24"/>
          <w:szCs w:val="24"/>
        </w:rPr>
        <w:t>充分衔接上位经济社会发展规划和国土空间规划，根据两项改革“后半篇”文章专项工作方案的要求，对片区专项规划进行统筹整合，全面优化片区国土空间布局、生产力布局、基础设施布局、公共服务设施布局，以及新型城镇化和乡村振兴发展布局，推动片区一体化发展。</w:t>
      </w:r>
    </w:p>
    <w:p>
      <w:pPr>
        <w:pStyle w:val="81"/>
        <w:numPr>
          <w:ilvl w:val="0"/>
          <w:numId w:val="6"/>
        </w:numPr>
        <w:spacing w:line="360" w:lineRule="auto"/>
        <w:ind w:firstLineChars="0"/>
        <w:rPr>
          <w:rFonts w:ascii="宋体" w:hAnsi="宋体"/>
          <w:b/>
          <w:bCs/>
          <w:sz w:val="24"/>
          <w:szCs w:val="24"/>
        </w:rPr>
      </w:pPr>
      <w:r>
        <w:rPr>
          <w:rFonts w:hint="eastAsia" w:ascii="宋体" w:hAnsi="宋体"/>
          <w:b/>
          <w:bCs/>
          <w:sz w:val="24"/>
          <w:szCs w:val="24"/>
        </w:rPr>
        <w:t>三产融合</w:t>
      </w:r>
      <w:r>
        <w:rPr>
          <w:rFonts w:ascii="宋体" w:hAnsi="宋体"/>
          <w:b/>
          <w:bCs/>
          <w:sz w:val="24"/>
          <w:szCs w:val="24"/>
        </w:rPr>
        <w:t>、彰显特色</w:t>
      </w:r>
    </w:p>
    <w:p>
      <w:pPr>
        <w:spacing w:line="360" w:lineRule="auto"/>
        <w:ind w:firstLine="480" w:firstLineChars="200"/>
        <w:rPr>
          <w:rFonts w:ascii="宋体" w:hAnsi="宋体"/>
          <w:sz w:val="24"/>
          <w:szCs w:val="24"/>
        </w:rPr>
      </w:pPr>
      <w:r>
        <w:rPr>
          <w:rFonts w:ascii="宋体" w:hAnsi="宋体"/>
          <w:sz w:val="24"/>
          <w:szCs w:val="24"/>
        </w:rPr>
        <w:t>充分</w:t>
      </w:r>
      <w:r>
        <w:rPr>
          <w:rFonts w:hint="eastAsia" w:ascii="宋体" w:hAnsi="宋体"/>
          <w:sz w:val="24"/>
          <w:szCs w:val="24"/>
        </w:rPr>
        <w:t>发挥片区自身的优势条件，</w:t>
      </w:r>
      <w:r>
        <w:rPr>
          <w:rFonts w:ascii="宋体" w:hAnsi="宋体"/>
          <w:sz w:val="24"/>
          <w:szCs w:val="24"/>
        </w:rPr>
        <w:t>准确把握片区发展方向和</w:t>
      </w:r>
      <w:r>
        <w:rPr>
          <w:rFonts w:hint="eastAsia" w:ascii="宋体" w:hAnsi="宋体"/>
          <w:sz w:val="24"/>
          <w:szCs w:val="24"/>
        </w:rPr>
        <w:t>产业</w:t>
      </w:r>
      <w:r>
        <w:rPr>
          <w:rFonts w:ascii="宋体" w:hAnsi="宋体"/>
          <w:sz w:val="24"/>
          <w:szCs w:val="24"/>
        </w:rPr>
        <w:t>定位，相应确定编制片区国土空间规划的思路、对策、布局与管控要求，推动片区</w:t>
      </w:r>
      <w:r>
        <w:rPr>
          <w:rFonts w:hint="eastAsia" w:ascii="宋体" w:hAnsi="宋体"/>
          <w:sz w:val="24"/>
          <w:szCs w:val="24"/>
        </w:rPr>
        <w:t>以一产为支柱、二产为补充、三产为特色的产业融合发展，</w:t>
      </w:r>
      <w:r>
        <w:rPr>
          <w:rFonts w:ascii="宋体" w:hAnsi="宋体"/>
          <w:sz w:val="24"/>
          <w:szCs w:val="24"/>
        </w:rPr>
        <w:t>优势互补、彰显特色，实现</w:t>
      </w:r>
      <w:r>
        <w:rPr>
          <w:rFonts w:hint="eastAsia" w:ascii="宋体" w:hAnsi="宋体"/>
          <w:sz w:val="24"/>
          <w:szCs w:val="24"/>
        </w:rPr>
        <w:t>差异</w:t>
      </w:r>
      <w:r>
        <w:rPr>
          <w:rFonts w:ascii="宋体" w:hAnsi="宋体"/>
          <w:sz w:val="24"/>
          <w:szCs w:val="24"/>
        </w:rPr>
        <w:t>化发展。</w:t>
      </w:r>
    </w:p>
    <w:p>
      <w:pPr>
        <w:pStyle w:val="81"/>
        <w:numPr>
          <w:ilvl w:val="0"/>
          <w:numId w:val="6"/>
        </w:numPr>
        <w:spacing w:line="360" w:lineRule="auto"/>
        <w:ind w:firstLineChars="0"/>
        <w:rPr>
          <w:rFonts w:ascii="宋体" w:hAnsi="宋体"/>
          <w:b/>
          <w:bCs/>
          <w:sz w:val="24"/>
          <w:szCs w:val="24"/>
        </w:rPr>
      </w:pPr>
      <w:r>
        <w:rPr>
          <w:rFonts w:ascii="宋体" w:hAnsi="宋体"/>
          <w:b/>
          <w:bCs/>
          <w:sz w:val="24"/>
          <w:szCs w:val="24"/>
        </w:rPr>
        <w:t>以人为本、民主决策</w:t>
      </w:r>
    </w:p>
    <w:p>
      <w:pPr>
        <w:spacing w:line="360" w:lineRule="auto"/>
        <w:ind w:firstLine="480" w:firstLineChars="200"/>
        <w:rPr>
          <w:rFonts w:ascii="宋体" w:hAnsi="宋体"/>
          <w:sz w:val="24"/>
          <w:szCs w:val="24"/>
        </w:rPr>
      </w:pPr>
      <w:r>
        <w:rPr>
          <w:rFonts w:ascii="宋体" w:hAnsi="宋体"/>
          <w:sz w:val="24"/>
          <w:szCs w:val="24"/>
        </w:rPr>
        <w:t>坚持以人民为中心的发展思想，在顺应群众诉求期盼、把握发展阶段及其特征的基础上，按照尊重规律、依法依规、严格程序的要求，进一步完善公众参与机制，将共谋、共建、共享、共治贯穿到规划编制的全过程，切实增强规划工作的战略性、权威性、科学性和可操作性</w:t>
      </w:r>
      <w:r>
        <w:rPr>
          <w:rFonts w:hint="eastAsia" w:ascii="宋体" w:hAnsi="宋体"/>
          <w:sz w:val="24"/>
          <w:szCs w:val="24"/>
        </w:rPr>
        <w:t>。</w:t>
      </w:r>
    </w:p>
    <w:p>
      <w:pPr>
        <w:pStyle w:val="5"/>
        <w:numPr>
          <w:ilvl w:val="0"/>
          <w:numId w:val="4"/>
        </w:numPr>
        <w:spacing w:line="360" w:lineRule="auto"/>
        <w:ind w:left="902"/>
        <w:rPr>
          <w:b/>
          <w:bCs/>
        </w:rPr>
      </w:pPr>
      <w:r>
        <w:rPr>
          <w:rFonts w:hint="eastAsia"/>
          <w:b/>
          <w:bCs/>
        </w:rPr>
        <w:t>规划范围与层级</w:t>
      </w:r>
    </w:p>
    <w:p>
      <w:pPr>
        <w:spacing w:line="360" w:lineRule="auto"/>
        <w:ind w:firstLine="480" w:firstLineChars="200"/>
        <w:rPr>
          <w:rFonts w:ascii="宋体" w:hAnsi="宋体"/>
          <w:sz w:val="24"/>
          <w:szCs w:val="24"/>
        </w:rPr>
      </w:pPr>
      <w:bookmarkStart w:id="16" w:name="_Hlk148623505"/>
      <w:r>
        <w:rPr>
          <w:rFonts w:hint="eastAsia" w:ascii="宋体" w:hAnsi="宋体"/>
          <w:sz w:val="24"/>
          <w:szCs w:val="24"/>
        </w:rPr>
        <w:t>本次规划范围分为片区和镇区两个层级，片区层级包括隆盛、回马、金元三镇行政辖区范围，总面积</w:t>
      </w:r>
      <w:r>
        <w:rPr>
          <w:rFonts w:ascii="宋体" w:hAnsi="宋体"/>
          <w:sz w:val="24"/>
          <w:szCs w:val="24"/>
        </w:rPr>
        <w:t>214.66</w:t>
      </w:r>
      <w:r>
        <w:rPr>
          <w:rFonts w:hint="eastAsia" w:ascii="宋体" w:hAnsi="宋体"/>
          <w:sz w:val="24"/>
          <w:szCs w:val="24"/>
        </w:rPr>
        <w:t>平方公里，其中隆盛镇</w:t>
      </w:r>
      <w:r>
        <w:rPr>
          <w:rFonts w:ascii="宋体" w:hAnsi="宋体"/>
          <w:sz w:val="24"/>
          <w:szCs w:val="24"/>
        </w:rPr>
        <w:t>109.05</w:t>
      </w:r>
      <w:r>
        <w:rPr>
          <w:rFonts w:hint="eastAsia" w:ascii="宋体" w:hAnsi="宋体"/>
          <w:sz w:val="24"/>
          <w:szCs w:val="24"/>
        </w:rPr>
        <w:t>平方公里，回马镇52.08平方公里，金元镇53.53平方公里（规划用地指标统计总面积2</w:t>
      </w:r>
      <w:r>
        <w:rPr>
          <w:rFonts w:ascii="宋体" w:hAnsi="宋体"/>
          <w:sz w:val="24"/>
          <w:szCs w:val="24"/>
        </w:rPr>
        <w:t>09.62</w:t>
      </w:r>
      <w:r>
        <w:rPr>
          <w:rFonts w:hint="eastAsia" w:ascii="宋体" w:hAnsi="宋体"/>
          <w:sz w:val="24"/>
          <w:szCs w:val="24"/>
        </w:rPr>
        <w:t>平方公里，经开区在隆盛镇和金元镇行政辖区范围内的</w:t>
      </w:r>
      <w:r>
        <w:rPr>
          <w:rFonts w:ascii="宋体" w:hAnsi="宋体"/>
          <w:sz w:val="24"/>
          <w:szCs w:val="24"/>
        </w:rPr>
        <w:t>5.04</w:t>
      </w:r>
      <w:r>
        <w:rPr>
          <w:rFonts w:hint="eastAsia" w:ascii="宋体" w:hAnsi="宋体"/>
          <w:sz w:val="24"/>
          <w:szCs w:val="24"/>
        </w:rPr>
        <w:t>平方公里用地已纳入中心城区，相应用地指标不在片区内统计）；镇区层级包括三镇镇政府所在地的城镇开发边界和未来镇区建设发展实行规划控制的区域</w:t>
      </w:r>
      <w:bookmarkEnd w:id="16"/>
      <w:r>
        <w:rPr>
          <w:rFonts w:hint="eastAsia" w:ascii="宋体" w:hAnsi="宋体"/>
          <w:sz w:val="24"/>
          <w:szCs w:val="24"/>
        </w:rPr>
        <w:t>。</w:t>
      </w:r>
    </w:p>
    <w:p>
      <w:pPr>
        <w:pStyle w:val="5"/>
        <w:numPr>
          <w:ilvl w:val="0"/>
          <w:numId w:val="4"/>
        </w:numPr>
        <w:spacing w:line="360" w:lineRule="auto"/>
        <w:ind w:left="902"/>
        <w:rPr>
          <w:b/>
          <w:bCs/>
        </w:rPr>
      </w:pPr>
      <w:r>
        <w:rPr>
          <w:rFonts w:hint="eastAsia"/>
          <w:b/>
          <w:bCs/>
        </w:rPr>
        <w:t>规划期限</w:t>
      </w:r>
    </w:p>
    <w:p>
      <w:pPr>
        <w:spacing w:line="360" w:lineRule="auto"/>
        <w:ind w:firstLine="480" w:firstLineChars="200"/>
        <w:rPr>
          <w:rFonts w:ascii="宋体" w:hAnsi="宋体"/>
          <w:sz w:val="24"/>
          <w:szCs w:val="24"/>
        </w:rPr>
      </w:pPr>
      <w:r>
        <w:rPr>
          <w:rFonts w:hint="eastAsia" w:ascii="宋体" w:hAnsi="宋体"/>
          <w:sz w:val="24"/>
          <w:szCs w:val="24"/>
        </w:rPr>
        <w:t>本规划基期年为</w:t>
      </w:r>
      <w:r>
        <w:rPr>
          <w:rFonts w:ascii="宋体" w:hAnsi="宋体"/>
          <w:sz w:val="24"/>
          <w:szCs w:val="24"/>
        </w:rPr>
        <w:t>202</w:t>
      </w:r>
      <w:r>
        <w:rPr>
          <w:rFonts w:hint="eastAsia" w:ascii="宋体" w:hAnsi="宋体"/>
          <w:sz w:val="24"/>
          <w:szCs w:val="24"/>
        </w:rPr>
        <w:t>0年，规划目标年为</w:t>
      </w:r>
      <w:r>
        <w:rPr>
          <w:rFonts w:ascii="宋体" w:hAnsi="宋体"/>
          <w:sz w:val="24"/>
          <w:szCs w:val="24"/>
        </w:rPr>
        <w:t>2035</w:t>
      </w:r>
      <w:r>
        <w:rPr>
          <w:rFonts w:hint="eastAsia" w:ascii="宋体" w:hAnsi="宋体"/>
          <w:sz w:val="24"/>
          <w:szCs w:val="24"/>
        </w:rPr>
        <w:t>年，其中近期到</w:t>
      </w:r>
      <w:r>
        <w:rPr>
          <w:rFonts w:ascii="宋体" w:hAnsi="宋体"/>
          <w:sz w:val="24"/>
          <w:szCs w:val="24"/>
        </w:rPr>
        <w:t>2025</w:t>
      </w:r>
      <w:r>
        <w:rPr>
          <w:rFonts w:hint="eastAsia" w:ascii="宋体" w:hAnsi="宋体"/>
          <w:sz w:val="24"/>
          <w:szCs w:val="24"/>
        </w:rPr>
        <w:t>年，远期到</w:t>
      </w:r>
      <w:r>
        <w:rPr>
          <w:rFonts w:ascii="宋体" w:hAnsi="宋体"/>
          <w:sz w:val="24"/>
          <w:szCs w:val="24"/>
        </w:rPr>
        <w:t>2035</w:t>
      </w:r>
      <w:r>
        <w:rPr>
          <w:rFonts w:hint="eastAsia" w:ascii="宋体" w:hAnsi="宋体"/>
          <w:sz w:val="24"/>
          <w:szCs w:val="24"/>
        </w:rPr>
        <w:t>年。</w:t>
      </w:r>
    </w:p>
    <w:p>
      <w:pPr>
        <w:pStyle w:val="5"/>
        <w:numPr>
          <w:ilvl w:val="0"/>
          <w:numId w:val="4"/>
        </w:numPr>
        <w:spacing w:line="360" w:lineRule="auto"/>
        <w:ind w:left="902"/>
        <w:rPr>
          <w:b/>
          <w:bCs/>
        </w:rPr>
      </w:pPr>
      <w:r>
        <w:rPr>
          <w:rFonts w:hint="eastAsia"/>
          <w:b/>
          <w:bCs/>
        </w:rPr>
        <w:t>规划成果</w:t>
      </w:r>
    </w:p>
    <w:p>
      <w:pPr>
        <w:pStyle w:val="85"/>
        <w:spacing w:line="360" w:lineRule="auto"/>
        <w:ind w:firstLine="480"/>
      </w:pPr>
      <w:r>
        <w:rPr>
          <w:rFonts w:hint="eastAsia"/>
        </w:rPr>
        <w:t>本规划成果包括文本、表格、规划图件、矢量数据库和规划附件（包括审查意见、批复文件等）。其中文本和规划图件是遂大融城发展片区国土空间总体规划的法定文件，具有同等法律效力。</w:t>
      </w:r>
    </w:p>
    <w:p>
      <w:pPr>
        <w:pStyle w:val="5"/>
        <w:numPr>
          <w:ilvl w:val="0"/>
          <w:numId w:val="4"/>
        </w:numPr>
        <w:spacing w:line="360" w:lineRule="auto"/>
        <w:ind w:left="902"/>
        <w:rPr>
          <w:b/>
          <w:bCs/>
        </w:rPr>
      </w:pPr>
      <w:r>
        <w:rPr>
          <w:rFonts w:hint="eastAsia"/>
          <w:b/>
          <w:bCs/>
        </w:rPr>
        <w:t>强制性内容</w:t>
      </w:r>
    </w:p>
    <w:p>
      <w:pPr>
        <w:pStyle w:val="85"/>
        <w:spacing w:line="360" w:lineRule="auto"/>
        <w:ind w:firstLine="482"/>
      </w:pPr>
      <w:r>
        <w:rPr>
          <w:rFonts w:hint="eastAsia"/>
          <w:b/>
          <w:u w:val="single"/>
        </w:rPr>
        <w:t>本规划中下划加粗字体为强制性内容</w:t>
      </w:r>
      <w:r>
        <w:t>，包括片区永久基本农田、生态保护红线、城镇开发边界划定范围、面积及管控要求；耕地保有量、建设用地总面积、城乡建设用地面积、林地保有量等规划指标体系中的约束性指标落实及分解下达至各村的情况；重要生态廊道及生态系统保护控制要求；历史文化</w:t>
      </w:r>
      <w:r>
        <w:rPr>
          <w:rFonts w:hint="eastAsia"/>
          <w:lang w:val="en-US" w:eastAsia="zh-CN"/>
        </w:rPr>
        <w:t>遗产</w:t>
      </w:r>
      <w:r>
        <w:t>保护范围和控制要求；教育、医疗卫生、社会福利等主要公共服务设施的布局；重大交通枢纽、重要线性工程网络、邻避设施等基础设施布局。镇区公共服务设施、市政基础设施和防灾减灾设施的配建标准和布局，绿线、蓝线、紫线、黄线的控制要求等。强制性内容任何单位和个人未经法定程序不得修改。</w:t>
      </w:r>
    </w:p>
    <w:p>
      <w:pPr>
        <w:pStyle w:val="5"/>
        <w:numPr>
          <w:ilvl w:val="0"/>
          <w:numId w:val="4"/>
        </w:numPr>
        <w:spacing w:line="360" w:lineRule="auto"/>
        <w:ind w:left="902"/>
        <w:rPr>
          <w:b/>
          <w:bCs/>
        </w:rPr>
      </w:pPr>
      <w:r>
        <w:rPr>
          <w:rFonts w:hint="eastAsia"/>
          <w:b/>
          <w:bCs/>
        </w:rPr>
        <w:t>规划生效日期</w:t>
      </w:r>
    </w:p>
    <w:p>
      <w:pPr>
        <w:pStyle w:val="85"/>
        <w:spacing w:line="360" w:lineRule="auto"/>
        <w:ind w:firstLine="480"/>
        <w:rPr>
          <w:lang w:val="zh-CN"/>
        </w:rPr>
      </w:pPr>
      <w:r>
        <w:rPr>
          <w:rFonts w:hint="eastAsia"/>
          <w:lang w:val="zh-CN"/>
        </w:rPr>
        <w:t>本规划自遂宁市人民政府批准之日起生效执行。</w:t>
      </w:r>
    </w:p>
    <w:p>
      <w:pPr>
        <w:pStyle w:val="5"/>
        <w:numPr>
          <w:ilvl w:val="0"/>
          <w:numId w:val="4"/>
        </w:numPr>
        <w:spacing w:line="360" w:lineRule="auto"/>
        <w:ind w:left="902"/>
        <w:rPr>
          <w:b/>
          <w:bCs/>
        </w:rPr>
      </w:pPr>
      <w:r>
        <w:rPr>
          <w:rFonts w:hint="eastAsia"/>
          <w:b/>
          <w:bCs/>
        </w:rPr>
        <w:t>管理实施及变更要求</w:t>
      </w:r>
    </w:p>
    <w:p>
      <w:pPr>
        <w:pStyle w:val="85"/>
        <w:spacing w:line="360" w:lineRule="auto"/>
        <w:ind w:firstLine="480"/>
      </w:pPr>
      <w:r>
        <w:rPr>
          <w:rFonts w:hint="eastAsia"/>
        </w:rPr>
        <w:t>本规划经遂宁市人民政府审批，由隆盛镇、回马镇和金元镇人民政府共同组织实施，大英县自然资源和规划局依法按照本规划进行规划管理。任何单位和个人不得擅自修改本规划，确需修改本规划的，应当依照法定程序进行修改，并及时更新国土空间基础信息平台数据。</w:t>
      </w:r>
    </w:p>
    <w:p>
      <w:pPr>
        <w:pStyle w:val="5"/>
        <w:numPr>
          <w:ilvl w:val="0"/>
          <w:numId w:val="4"/>
        </w:numPr>
        <w:spacing w:line="360" w:lineRule="auto"/>
        <w:ind w:left="902"/>
        <w:rPr>
          <w:b/>
          <w:bCs/>
        </w:rPr>
      </w:pPr>
      <w:r>
        <w:rPr>
          <w:rFonts w:hint="eastAsia"/>
          <w:b/>
          <w:bCs/>
        </w:rPr>
        <w:t>规划解释权</w:t>
      </w:r>
    </w:p>
    <w:p>
      <w:pPr>
        <w:pStyle w:val="85"/>
        <w:spacing w:line="360" w:lineRule="auto"/>
        <w:ind w:firstLine="480"/>
        <w:rPr>
          <w:lang w:val="zh-CN"/>
        </w:rPr>
      </w:pPr>
      <w:r>
        <w:rPr>
          <w:rFonts w:hint="eastAsia"/>
          <w:lang w:val="zh-CN"/>
        </w:rPr>
        <w:t>本规划由大英县自然资源</w:t>
      </w:r>
      <w:r>
        <w:rPr>
          <w:rFonts w:hint="eastAsia"/>
        </w:rPr>
        <w:t>和规划局</w:t>
      </w:r>
      <w:r>
        <w:rPr>
          <w:rFonts w:hint="eastAsia"/>
          <w:lang w:val="zh-CN"/>
        </w:rPr>
        <w:t>负责解释。</w:t>
      </w:r>
    </w:p>
    <w:p>
      <w:pPr>
        <w:widowControl/>
        <w:jc w:val="left"/>
        <w:rPr>
          <w:rFonts w:ascii="黑体" w:hAnsi="黑体" w:eastAsia="黑体"/>
          <w:b/>
          <w:bCs/>
          <w:sz w:val="32"/>
          <w:szCs w:val="32"/>
        </w:rPr>
      </w:pPr>
      <w:r>
        <w:rPr>
          <w:rFonts w:ascii="黑体" w:hAnsi="黑体" w:eastAsia="黑体"/>
          <w:b/>
          <w:bCs/>
          <w:sz w:val="32"/>
          <w:szCs w:val="32"/>
        </w:rPr>
        <w:br w:type="page"/>
      </w:r>
    </w:p>
    <w:p>
      <w:pPr>
        <w:pStyle w:val="81"/>
        <w:numPr>
          <w:ilvl w:val="0"/>
          <w:numId w:val="3"/>
        </w:numPr>
        <w:spacing w:before="312" w:beforeLines="100" w:after="312" w:afterLines="100" w:line="360" w:lineRule="auto"/>
        <w:ind w:firstLineChars="0"/>
        <w:jc w:val="center"/>
        <w:outlineLvl w:val="0"/>
        <w:rPr>
          <w:rFonts w:ascii="黑体" w:hAnsi="黑体" w:eastAsia="黑体"/>
          <w:b/>
          <w:sz w:val="32"/>
          <w:szCs w:val="32"/>
        </w:rPr>
      </w:pPr>
      <w:bookmarkStart w:id="17" w:name="_Toc106959974"/>
      <w:bookmarkStart w:id="18" w:name="_Toc141369716"/>
      <w:r>
        <w:rPr>
          <w:rFonts w:hint="eastAsia" w:ascii="黑体" w:hAnsi="黑体" w:eastAsia="黑体"/>
          <w:b/>
          <w:sz w:val="32"/>
          <w:szCs w:val="32"/>
        </w:rPr>
        <w:t>片区基础特征分析</w:t>
      </w:r>
      <w:bookmarkEnd w:id="17"/>
      <w:bookmarkEnd w:id="18"/>
    </w:p>
    <w:p>
      <w:pPr>
        <w:numPr>
          <w:ilvl w:val="1"/>
          <w:numId w:val="7"/>
        </w:numPr>
        <w:tabs>
          <w:tab w:val="left" w:pos="680"/>
          <w:tab w:val="left" w:pos="840"/>
        </w:tabs>
        <w:spacing w:before="312" w:beforeLines="100" w:after="312" w:afterLines="100" w:line="440" w:lineRule="exact"/>
        <w:jc w:val="left"/>
        <w:outlineLvl w:val="1"/>
        <w:rPr>
          <w:rFonts w:hAnsi="宋体"/>
          <w:b/>
          <w:sz w:val="28"/>
          <w:szCs w:val="28"/>
        </w:rPr>
      </w:pPr>
      <w:bookmarkStart w:id="19" w:name="_Toc106959975"/>
      <w:bookmarkStart w:id="20" w:name="_Toc141369717"/>
      <w:r>
        <w:rPr>
          <w:rFonts w:hint="eastAsia" w:hAnsi="宋体"/>
          <w:b/>
          <w:sz w:val="28"/>
          <w:szCs w:val="28"/>
        </w:rPr>
        <w:t>现状基础分析</w:t>
      </w:r>
      <w:bookmarkEnd w:id="19"/>
      <w:bookmarkEnd w:id="20"/>
    </w:p>
    <w:p>
      <w:pPr>
        <w:pStyle w:val="5"/>
        <w:numPr>
          <w:ilvl w:val="0"/>
          <w:numId w:val="8"/>
        </w:numPr>
        <w:spacing w:line="360" w:lineRule="auto"/>
        <w:rPr>
          <w:b/>
          <w:bCs/>
        </w:rPr>
      </w:pPr>
      <w:r>
        <w:rPr>
          <w:rFonts w:hint="eastAsia"/>
          <w:b/>
          <w:bCs/>
        </w:rPr>
        <w:t>区位分析</w:t>
      </w:r>
      <w:r>
        <w:rPr>
          <w:b/>
          <w:bCs/>
        </w:rPr>
        <w:t xml:space="preserve"> </w:t>
      </w:r>
    </w:p>
    <w:p>
      <w:pPr>
        <w:pStyle w:val="85"/>
        <w:numPr>
          <w:ilvl w:val="0"/>
          <w:numId w:val="9"/>
        </w:numPr>
        <w:spacing w:line="360" w:lineRule="auto"/>
        <w:ind w:firstLineChars="0"/>
        <w:rPr>
          <w:b/>
          <w:bCs/>
          <w:lang w:val="zh-CN"/>
        </w:rPr>
      </w:pPr>
      <w:r>
        <w:rPr>
          <w:rFonts w:hint="eastAsia"/>
          <w:b/>
          <w:bCs/>
          <w:lang w:val="zh-CN"/>
        </w:rPr>
        <w:t>地理区位</w:t>
      </w:r>
    </w:p>
    <w:p>
      <w:pPr>
        <w:pStyle w:val="85"/>
        <w:spacing w:line="360" w:lineRule="auto"/>
        <w:ind w:firstLine="480"/>
        <w:rPr>
          <w:lang w:val="zh-CN"/>
        </w:rPr>
      </w:pPr>
      <w:r>
        <w:rPr>
          <w:rFonts w:hint="eastAsia"/>
          <w:lang w:val="zh-CN"/>
        </w:rPr>
        <w:t>大英县位于四川省东部，遂宁市西部，东隔涪江，与蓬溪相望，南与遂宁船山区、安居区接壤，西南与乐至县连界，西毗中江县，西北与三台县交界，北与射洪为邻，西距成都1</w:t>
      </w:r>
      <w:r>
        <w:rPr>
          <w:lang w:val="zh-CN"/>
        </w:rPr>
        <w:t>14</w:t>
      </w:r>
      <w:r>
        <w:rPr>
          <w:rFonts w:hint="eastAsia"/>
          <w:lang w:val="zh-CN"/>
        </w:rPr>
        <w:t>公里，东南距重庆2</w:t>
      </w:r>
      <w:r>
        <w:rPr>
          <w:lang w:val="zh-CN"/>
        </w:rPr>
        <w:t>10</w:t>
      </w:r>
      <w:r>
        <w:rPr>
          <w:rFonts w:hint="eastAsia"/>
          <w:lang w:val="zh-CN"/>
        </w:rPr>
        <w:t>公里，是成渝地区双城经济圈中轴线上重要的节点城市。遂大融城发展片区位于大英县东部，紧邻大英县经开区，是遂大融城发展中间重要空间节点。</w:t>
      </w:r>
    </w:p>
    <w:p>
      <w:pPr>
        <w:pStyle w:val="85"/>
        <w:numPr>
          <w:ilvl w:val="0"/>
          <w:numId w:val="9"/>
        </w:numPr>
        <w:spacing w:line="360" w:lineRule="auto"/>
        <w:ind w:firstLineChars="0"/>
        <w:rPr>
          <w:b/>
          <w:bCs/>
          <w:lang w:val="zh-CN"/>
        </w:rPr>
      </w:pPr>
      <w:r>
        <w:rPr>
          <w:rFonts w:hint="eastAsia"/>
          <w:b/>
          <w:bCs/>
          <w:lang w:val="zh-CN"/>
        </w:rPr>
        <w:t>交通区位</w:t>
      </w:r>
    </w:p>
    <w:p>
      <w:pPr>
        <w:pStyle w:val="85"/>
        <w:spacing w:line="360" w:lineRule="auto"/>
        <w:ind w:firstLine="480"/>
        <w:rPr>
          <w:lang w:val="zh-CN"/>
        </w:rPr>
      </w:pPr>
      <w:r>
        <w:rPr>
          <w:rFonts w:hint="eastAsia"/>
          <w:lang w:val="zh-CN"/>
        </w:rPr>
        <w:t>成南高速横贯片区中部，设有隆盛镇高速下道口，连接成都、南充等地，遂德高速（在建）纵穿片区东北部，设有回马镇高速下道口，连接德阳、潼南、重庆等地。通过片区中部遂大快速通道，半小时内可到达大英东站、遂宁站等区域交通枢纽设施，通过高速、高铁，两小时可到达成都重庆，交通区位优势明显。</w:t>
      </w:r>
    </w:p>
    <w:p>
      <w:pPr>
        <w:pStyle w:val="85"/>
        <w:numPr>
          <w:ilvl w:val="0"/>
          <w:numId w:val="9"/>
        </w:numPr>
        <w:spacing w:line="360" w:lineRule="auto"/>
        <w:ind w:firstLineChars="0"/>
        <w:rPr>
          <w:b/>
          <w:bCs/>
          <w:lang w:val="zh-CN"/>
        </w:rPr>
      </w:pPr>
      <w:r>
        <w:rPr>
          <w:rFonts w:hint="eastAsia"/>
          <w:b/>
          <w:bCs/>
          <w:lang w:val="zh-CN"/>
        </w:rPr>
        <w:t>产业区位</w:t>
      </w:r>
    </w:p>
    <w:p>
      <w:pPr>
        <w:pStyle w:val="85"/>
        <w:spacing w:line="360" w:lineRule="auto"/>
        <w:ind w:firstLine="480"/>
        <w:rPr>
          <w:lang w:val="zh-CN"/>
        </w:rPr>
      </w:pPr>
      <w:r>
        <w:rPr>
          <w:rFonts w:hint="eastAsia"/>
          <w:lang w:val="zh-CN"/>
        </w:rPr>
        <w:t>成渝地区双城经济圈构建了“一轴三带四区”农业空间格局，本片区位于成渝双城经济圈中渝遂绵优质蔬菜生产带核心区，是遂宁市重要的时鲜蔬菜生产区，同时也是遂宁市道地药材产业带核心区，产业区位优势明显。</w:t>
      </w:r>
    </w:p>
    <w:p>
      <w:pPr>
        <w:pStyle w:val="5"/>
        <w:numPr>
          <w:ilvl w:val="0"/>
          <w:numId w:val="8"/>
        </w:numPr>
        <w:spacing w:line="360" w:lineRule="auto"/>
        <w:rPr>
          <w:b/>
          <w:bCs/>
        </w:rPr>
      </w:pPr>
      <w:r>
        <w:rPr>
          <w:rFonts w:hint="eastAsia"/>
          <w:b/>
          <w:bCs/>
        </w:rPr>
        <w:t>土地现状分析</w:t>
      </w:r>
    </w:p>
    <w:p>
      <w:pPr>
        <w:pStyle w:val="85"/>
        <w:spacing w:line="360" w:lineRule="auto"/>
        <w:ind w:firstLine="480"/>
        <w:rPr>
          <w:lang w:val="zh-CN"/>
        </w:rPr>
      </w:pPr>
      <w:r>
        <w:rPr>
          <w:rFonts w:hint="eastAsia"/>
          <w:lang w:val="zh-CN"/>
        </w:rPr>
        <w:t>片区土地现状以“</w:t>
      </w:r>
      <w:bookmarkStart w:id="21" w:name="_Hlk149661201"/>
      <w:r>
        <w:rPr>
          <w:rFonts w:hint="eastAsia"/>
          <w:lang w:val="zh-CN"/>
        </w:rPr>
        <w:t>2020年度国土变更调查数据</w:t>
      </w:r>
      <w:bookmarkEnd w:id="21"/>
      <w:r>
        <w:rPr>
          <w:rFonts w:hint="eastAsia"/>
          <w:lang w:val="zh-CN"/>
        </w:rPr>
        <w:t>”为基础，按用地分类转换规则并结合实地调研情况，将变更调查地类进行基数转换，片区用地细化至二级地类，镇区用地细分至三级地类。转换后片区土地总面积</w:t>
      </w:r>
      <w:r>
        <w:rPr>
          <w:rFonts w:hint="eastAsia"/>
        </w:rPr>
        <w:t>20961.56</w:t>
      </w:r>
      <w:r>
        <w:rPr>
          <w:rFonts w:hint="eastAsia"/>
          <w:lang w:val="zh-CN"/>
        </w:rPr>
        <w:t>公顷，其中，农用地</w:t>
      </w:r>
      <w:r>
        <w:rPr>
          <w:rFonts w:hint="eastAsia"/>
        </w:rPr>
        <w:t>17495.60</w:t>
      </w:r>
      <w:r>
        <w:rPr>
          <w:rFonts w:hint="eastAsia"/>
          <w:lang w:val="zh-CN"/>
        </w:rPr>
        <w:t>公顷，占土地总面积的</w:t>
      </w:r>
      <w:r>
        <w:rPr>
          <w:rFonts w:hint="eastAsia"/>
        </w:rPr>
        <w:t>83.47</w:t>
      </w:r>
      <w:r>
        <w:rPr>
          <w:rFonts w:hint="eastAsia"/>
          <w:lang w:val="zh-CN"/>
        </w:rPr>
        <w:t>%，包括耕地</w:t>
      </w:r>
      <w:r>
        <w:rPr>
          <w:rFonts w:hint="eastAsia"/>
        </w:rPr>
        <w:t>9655.80</w:t>
      </w:r>
      <w:r>
        <w:rPr>
          <w:rFonts w:hint="eastAsia"/>
          <w:lang w:val="zh-CN"/>
        </w:rPr>
        <w:t>公顷，园地</w:t>
      </w:r>
      <w:r>
        <w:rPr>
          <w:rFonts w:hint="eastAsia"/>
        </w:rPr>
        <w:t>472.64</w:t>
      </w:r>
      <w:r>
        <w:rPr>
          <w:rFonts w:hint="eastAsia"/>
          <w:lang w:val="zh-CN"/>
        </w:rPr>
        <w:t>公顷，林地</w:t>
      </w:r>
      <w:r>
        <w:rPr>
          <w:rFonts w:hint="eastAsia"/>
        </w:rPr>
        <w:t>6926.40</w:t>
      </w:r>
      <w:r>
        <w:rPr>
          <w:rFonts w:hint="eastAsia"/>
          <w:lang w:val="zh-CN"/>
        </w:rPr>
        <w:t>公顷，草地</w:t>
      </w:r>
      <w:r>
        <w:rPr>
          <w:rFonts w:hint="eastAsia"/>
        </w:rPr>
        <w:t>29.70</w:t>
      </w:r>
      <w:r>
        <w:rPr>
          <w:rFonts w:hint="eastAsia"/>
          <w:lang w:val="zh-CN"/>
        </w:rPr>
        <w:t>公顷，</w:t>
      </w:r>
      <w:r>
        <w:rPr>
          <w:rFonts w:hint="eastAsia"/>
        </w:rPr>
        <w:t>湿地57.05公顷，</w:t>
      </w:r>
      <w:r>
        <w:rPr>
          <w:rFonts w:hint="eastAsia"/>
          <w:lang w:val="zh-CN"/>
        </w:rPr>
        <w:t>农业设施</w:t>
      </w:r>
      <w:r>
        <w:rPr>
          <w:rFonts w:hint="eastAsia"/>
        </w:rPr>
        <w:t>建设</w:t>
      </w:r>
      <w:r>
        <w:rPr>
          <w:rFonts w:hint="eastAsia"/>
          <w:lang w:val="zh-CN"/>
        </w:rPr>
        <w:t>用地</w:t>
      </w:r>
      <w:r>
        <w:rPr>
          <w:rFonts w:hint="eastAsia"/>
        </w:rPr>
        <w:t>354.01</w:t>
      </w:r>
      <w:r>
        <w:rPr>
          <w:rFonts w:hint="eastAsia"/>
          <w:lang w:val="zh-CN"/>
        </w:rPr>
        <w:t>公顷；建设用地22</w:t>
      </w:r>
      <w:r>
        <w:rPr>
          <w:rFonts w:hint="eastAsia"/>
        </w:rPr>
        <w:t>70.54</w:t>
      </w:r>
      <w:r>
        <w:rPr>
          <w:rFonts w:hint="eastAsia"/>
          <w:lang w:val="zh-CN"/>
        </w:rPr>
        <w:t>公顷，占土地总面积的10.</w:t>
      </w:r>
      <w:r>
        <w:rPr>
          <w:rFonts w:hint="eastAsia"/>
        </w:rPr>
        <w:t>83</w:t>
      </w:r>
      <w:r>
        <w:rPr>
          <w:rFonts w:hint="eastAsia"/>
          <w:lang w:val="zh-CN"/>
        </w:rPr>
        <w:t>%，包括城乡建设用地面积18</w:t>
      </w:r>
      <w:r>
        <w:rPr>
          <w:rFonts w:hint="eastAsia"/>
        </w:rPr>
        <w:t>19.73</w:t>
      </w:r>
      <w:r>
        <w:rPr>
          <w:rFonts w:hint="eastAsia"/>
          <w:lang w:val="zh-CN"/>
        </w:rPr>
        <w:t>公顷，区域基础设施用地面积</w:t>
      </w:r>
      <w:r>
        <w:rPr>
          <w:rFonts w:hint="eastAsia"/>
        </w:rPr>
        <w:t>304.83</w:t>
      </w:r>
      <w:r>
        <w:rPr>
          <w:rFonts w:hint="eastAsia"/>
          <w:lang w:val="zh-CN"/>
        </w:rPr>
        <w:t>公顷，其他建设用地面积14</w:t>
      </w:r>
      <w:r>
        <w:rPr>
          <w:rFonts w:hint="eastAsia"/>
        </w:rPr>
        <w:t>5.98</w:t>
      </w:r>
      <w:r>
        <w:rPr>
          <w:rFonts w:hint="eastAsia"/>
          <w:lang w:val="zh-CN"/>
        </w:rPr>
        <w:t>公顷；未利用地11</w:t>
      </w:r>
      <w:r>
        <w:rPr>
          <w:rFonts w:hint="eastAsia"/>
        </w:rPr>
        <w:t>95.42</w:t>
      </w:r>
      <w:r>
        <w:rPr>
          <w:rFonts w:hint="eastAsia"/>
          <w:lang w:val="zh-CN"/>
        </w:rPr>
        <w:t>公顷，占土地总面积的5.</w:t>
      </w:r>
      <w:r>
        <w:rPr>
          <w:rFonts w:hint="eastAsia"/>
        </w:rPr>
        <w:t>70</w:t>
      </w:r>
      <w:r>
        <w:rPr>
          <w:rFonts w:hint="eastAsia"/>
          <w:lang w:val="zh-CN"/>
        </w:rPr>
        <w:t>%，包括陆地水域11</w:t>
      </w:r>
      <w:r>
        <w:rPr>
          <w:rFonts w:hint="eastAsia"/>
        </w:rPr>
        <w:t>95.34</w:t>
      </w:r>
      <w:r>
        <w:rPr>
          <w:rFonts w:hint="eastAsia"/>
          <w:lang w:val="zh-CN"/>
        </w:rPr>
        <w:t>公顷，其他土地</w:t>
      </w:r>
      <w:r>
        <w:rPr>
          <w:rFonts w:hint="eastAsia"/>
        </w:rPr>
        <w:t>0.08</w:t>
      </w:r>
      <w:r>
        <w:rPr>
          <w:rFonts w:hint="eastAsia"/>
          <w:lang w:val="zh-CN"/>
        </w:rPr>
        <w:t>公顷。各类用地面积和占比详见附表1。</w:t>
      </w:r>
    </w:p>
    <w:p>
      <w:pPr>
        <w:pStyle w:val="85"/>
        <w:numPr>
          <w:ilvl w:val="0"/>
          <w:numId w:val="10"/>
        </w:numPr>
        <w:spacing w:line="360" w:lineRule="auto"/>
        <w:ind w:firstLineChars="0"/>
        <w:rPr>
          <w:b/>
          <w:bCs/>
          <w:lang w:val="zh-CN"/>
        </w:rPr>
      </w:pPr>
      <w:r>
        <w:rPr>
          <w:rFonts w:hint="eastAsia"/>
          <w:b/>
          <w:bCs/>
          <w:lang w:val="zh-CN"/>
        </w:rPr>
        <w:t>耕地</w:t>
      </w:r>
    </w:p>
    <w:p>
      <w:pPr>
        <w:pStyle w:val="85"/>
        <w:spacing w:line="360" w:lineRule="auto"/>
        <w:ind w:firstLine="480"/>
        <w:rPr>
          <w:lang w:val="zh-CN"/>
        </w:rPr>
      </w:pPr>
      <w:r>
        <w:rPr>
          <w:rFonts w:hint="eastAsia"/>
          <w:lang w:val="zh-CN"/>
        </w:rPr>
        <w:t>片区内现状耕地总面积</w:t>
      </w:r>
      <w:r>
        <w:rPr>
          <w:rFonts w:hint="eastAsia"/>
        </w:rPr>
        <w:t>9655.80</w:t>
      </w:r>
      <w:r>
        <w:rPr>
          <w:rFonts w:hint="eastAsia"/>
          <w:lang w:val="zh-CN"/>
        </w:rPr>
        <w:t>公顷，其中，旱地</w:t>
      </w:r>
      <w:r>
        <w:rPr>
          <w:rFonts w:hint="eastAsia"/>
        </w:rPr>
        <w:t>7105.40</w:t>
      </w:r>
      <w:r>
        <w:rPr>
          <w:rFonts w:hint="eastAsia"/>
          <w:lang w:val="zh-CN"/>
        </w:rPr>
        <w:t>公顷，占耕地总面积73.</w:t>
      </w:r>
      <w:r>
        <w:rPr>
          <w:rFonts w:hint="eastAsia"/>
        </w:rPr>
        <w:t>59</w:t>
      </w:r>
      <w:r>
        <w:rPr>
          <w:rFonts w:hint="eastAsia"/>
          <w:lang w:val="zh-CN"/>
        </w:rPr>
        <w:t>%，水田24</w:t>
      </w:r>
      <w:r>
        <w:rPr>
          <w:rFonts w:hint="eastAsia"/>
        </w:rPr>
        <w:t>99.07</w:t>
      </w:r>
      <w:r>
        <w:rPr>
          <w:rFonts w:hint="eastAsia"/>
          <w:lang w:val="zh-CN"/>
        </w:rPr>
        <w:t>公顷，占耕地总面积</w:t>
      </w:r>
      <w:r>
        <w:rPr>
          <w:rFonts w:hint="eastAsia"/>
        </w:rPr>
        <w:t>25.88</w:t>
      </w:r>
      <w:r>
        <w:rPr>
          <w:rFonts w:hint="eastAsia"/>
          <w:lang w:val="zh-CN"/>
        </w:rPr>
        <w:t>%，水浇地51.33公顷，占耕地总面积0.5</w:t>
      </w:r>
      <w:r>
        <w:rPr>
          <w:rFonts w:hint="eastAsia"/>
        </w:rPr>
        <w:t>3</w:t>
      </w:r>
      <w:r>
        <w:rPr>
          <w:rFonts w:hint="eastAsia"/>
          <w:lang w:val="zh-CN"/>
        </w:rPr>
        <w:t>%。</w:t>
      </w:r>
    </w:p>
    <w:p>
      <w:pPr>
        <w:pStyle w:val="85"/>
        <w:spacing w:line="360" w:lineRule="auto"/>
        <w:ind w:firstLine="480"/>
        <w:rPr>
          <w:lang w:val="zh-CN"/>
        </w:rPr>
      </w:pPr>
      <w:r>
        <w:rPr>
          <w:rFonts w:hint="eastAsia"/>
          <w:lang w:val="zh-CN"/>
        </w:rPr>
        <w:t>片区内现状耕地坡度以缓坡耕地为主，其中，6°及以下耕地面积37</w:t>
      </w:r>
      <w:r>
        <w:rPr>
          <w:rFonts w:hint="eastAsia"/>
        </w:rPr>
        <w:t>87.24</w:t>
      </w:r>
      <w:r>
        <w:rPr>
          <w:rFonts w:hint="eastAsia"/>
          <w:lang w:val="zh-CN"/>
        </w:rPr>
        <w:t>公顷，占总耕地面积的39.</w:t>
      </w:r>
      <w:r>
        <w:rPr>
          <w:rFonts w:hint="eastAsia"/>
        </w:rPr>
        <w:t>22</w:t>
      </w:r>
      <w:r>
        <w:rPr>
          <w:rFonts w:hint="eastAsia"/>
          <w:lang w:val="zh-CN"/>
        </w:rPr>
        <w:t>%，6°～25°耕地面积</w:t>
      </w:r>
      <w:r>
        <w:rPr>
          <w:rFonts w:hint="eastAsia"/>
        </w:rPr>
        <w:t>5660.30</w:t>
      </w:r>
      <w:r>
        <w:rPr>
          <w:rFonts w:hint="eastAsia"/>
          <w:lang w:val="zh-CN"/>
        </w:rPr>
        <w:t>公顷，占总耕地面积的58.</w:t>
      </w:r>
      <w:r>
        <w:rPr>
          <w:rFonts w:hint="eastAsia"/>
        </w:rPr>
        <w:t>62</w:t>
      </w:r>
      <w:r>
        <w:rPr>
          <w:rFonts w:hint="eastAsia"/>
          <w:lang w:val="zh-CN"/>
        </w:rPr>
        <w:t>%，25°以上耕地面积</w:t>
      </w:r>
      <w:r>
        <w:rPr>
          <w:rFonts w:hint="eastAsia"/>
        </w:rPr>
        <w:t>208.26</w:t>
      </w:r>
      <w:r>
        <w:rPr>
          <w:rFonts w:hint="eastAsia"/>
          <w:lang w:val="zh-CN"/>
        </w:rPr>
        <w:t>公顷，占总耕地面积的2.16%。</w:t>
      </w:r>
    </w:p>
    <w:p>
      <w:pPr>
        <w:pStyle w:val="85"/>
        <w:spacing w:line="360" w:lineRule="auto"/>
        <w:ind w:firstLine="480"/>
        <w:rPr>
          <w:lang w:val="zh-CN"/>
        </w:rPr>
      </w:pPr>
      <w:r>
        <w:rPr>
          <w:rFonts w:hint="eastAsia"/>
          <w:lang w:val="zh-CN"/>
        </w:rPr>
        <w:t>现状耕地质量以中等地和高等地为主，其中，高等地有26</w:t>
      </w:r>
      <w:r>
        <w:rPr>
          <w:rFonts w:hint="eastAsia"/>
        </w:rPr>
        <w:t>28.29</w:t>
      </w:r>
      <w:r>
        <w:rPr>
          <w:rFonts w:hint="eastAsia"/>
          <w:lang w:val="zh-CN"/>
        </w:rPr>
        <w:t>公顷，占总耕地面积的27.</w:t>
      </w:r>
      <w:r>
        <w:rPr>
          <w:rFonts w:hint="eastAsia"/>
        </w:rPr>
        <w:t>22</w:t>
      </w:r>
      <w:r>
        <w:rPr>
          <w:rFonts w:hint="eastAsia"/>
          <w:lang w:val="zh-CN"/>
        </w:rPr>
        <w:t>%，主要位于文武、长江坝、郪口、光明、</w:t>
      </w:r>
      <w:r>
        <w:rPr>
          <w:rFonts w:hint="eastAsia"/>
        </w:rPr>
        <w:t>山河、罗家沟、五龙桥、飞钟、</w:t>
      </w:r>
      <w:r>
        <w:rPr>
          <w:rFonts w:hint="eastAsia"/>
          <w:lang w:val="zh-CN"/>
        </w:rPr>
        <w:t>黄土岭、百盛、青坪、五一、郪江上、</w:t>
      </w:r>
      <w:r>
        <w:rPr>
          <w:rFonts w:hint="eastAsia"/>
        </w:rPr>
        <w:t>双河口、望龙、</w:t>
      </w:r>
      <w:r>
        <w:rPr>
          <w:rFonts w:hint="eastAsia"/>
          <w:lang w:val="zh-CN"/>
        </w:rPr>
        <w:t>明月、</w:t>
      </w:r>
      <w:r>
        <w:rPr>
          <w:rFonts w:hint="eastAsia"/>
        </w:rPr>
        <w:t>金山、</w:t>
      </w:r>
      <w:r>
        <w:rPr>
          <w:rFonts w:hint="eastAsia"/>
          <w:lang w:val="zh-CN"/>
        </w:rPr>
        <w:t>松林沟、</w:t>
      </w:r>
      <w:r>
        <w:rPr>
          <w:rFonts w:hint="eastAsia"/>
        </w:rPr>
        <w:t>宝祥、金容寨</w:t>
      </w:r>
      <w:r>
        <w:rPr>
          <w:rFonts w:hint="eastAsia"/>
          <w:lang w:val="zh-CN"/>
        </w:rPr>
        <w:t>等村；中等地有</w:t>
      </w:r>
      <w:r>
        <w:rPr>
          <w:rFonts w:hint="eastAsia"/>
        </w:rPr>
        <w:t>6450.49</w:t>
      </w:r>
      <w:r>
        <w:rPr>
          <w:rFonts w:hint="eastAsia"/>
          <w:lang w:val="zh-CN"/>
        </w:rPr>
        <w:t>公顷，占总耕地面积6</w:t>
      </w:r>
      <w:r>
        <w:rPr>
          <w:rFonts w:hint="eastAsia"/>
        </w:rPr>
        <w:t>6.80</w:t>
      </w:r>
      <w:r>
        <w:rPr>
          <w:rFonts w:hint="eastAsia"/>
          <w:lang w:val="zh-CN"/>
        </w:rPr>
        <w:t>%的，主要分布于片区中部和北部等区域；低等地有</w:t>
      </w:r>
      <w:r>
        <w:rPr>
          <w:rFonts w:hint="eastAsia"/>
        </w:rPr>
        <w:t>577.02</w:t>
      </w:r>
      <w:r>
        <w:rPr>
          <w:rFonts w:hint="eastAsia"/>
          <w:lang w:val="zh-CN"/>
        </w:rPr>
        <w:t>公顷，占总耕地面积</w:t>
      </w:r>
      <w:r>
        <w:rPr>
          <w:rFonts w:hint="eastAsia"/>
        </w:rPr>
        <w:t>5.98</w:t>
      </w:r>
      <w:r>
        <w:rPr>
          <w:rFonts w:hint="eastAsia"/>
          <w:lang w:val="zh-CN"/>
        </w:rPr>
        <w:t>%，主要分布于夏家沟、明溪、望龙等村。</w:t>
      </w:r>
    </w:p>
    <w:p>
      <w:pPr>
        <w:pStyle w:val="85"/>
        <w:spacing w:line="360" w:lineRule="auto"/>
        <w:ind w:firstLine="480"/>
        <w:rPr>
          <w:lang w:val="zh-CN"/>
        </w:rPr>
      </w:pPr>
      <w:r>
        <w:rPr>
          <w:rFonts w:hint="eastAsia"/>
          <w:lang w:val="zh-CN"/>
        </w:rPr>
        <w:t>片区内现状撂荒耕地15</w:t>
      </w:r>
      <w:r>
        <w:rPr>
          <w:rFonts w:hint="eastAsia"/>
        </w:rPr>
        <w:t>85.51</w:t>
      </w:r>
      <w:r>
        <w:rPr>
          <w:rFonts w:hint="eastAsia"/>
          <w:lang w:val="zh-CN"/>
        </w:rPr>
        <w:t>公顷，占总耕地面积的</w:t>
      </w:r>
      <w:r>
        <w:rPr>
          <w:lang w:val="zh-CN"/>
        </w:rPr>
        <w:t>16.</w:t>
      </w:r>
      <w:r>
        <w:rPr>
          <w:rFonts w:hint="eastAsia"/>
        </w:rPr>
        <w:t>42</w:t>
      </w:r>
      <w:r>
        <w:rPr>
          <w:rFonts w:hint="eastAsia"/>
          <w:lang w:val="zh-CN"/>
        </w:rPr>
        <w:t>%，主要分布于片区南部、中部。</w:t>
      </w:r>
    </w:p>
    <w:p>
      <w:pPr>
        <w:pStyle w:val="85"/>
        <w:spacing w:line="360" w:lineRule="auto"/>
        <w:ind w:firstLine="480"/>
        <w:rPr>
          <w:lang w:val="zh-CN"/>
        </w:rPr>
      </w:pPr>
      <w:r>
        <w:rPr>
          <w:rFonts w:hint="eastAsia"/>
          <w:lang w:val="zh-CN"/>
        </w:rPr>
        <w:t>现状耕地平均地块面积约0.78公顷，低于大英县平均耕地地块面积大小（0.91公顷）。其中，1公顷以下地块共</w:t>
      </w:r>
      <w:r>
        <w:t>9799</w:t>
      </w:r>
      <w:r>
        <w:rPr>
          <w:rFonts w:hint="eastAsia"/>
          <w:lang w:val="zh-CN"/>
        </w:rPr>
        <w:t>个，数量占比</w:t>
      </w:r>
      <w:r>
        <w:t>79.6</w:t>
      </w:r>
      <w:r>
        <w:rPr>
          <w:rFonts w:hint="eastAsia"/>
        </w:rPr>
        <w:t>0</w:t>
      </w:r>
      <w:r>
        <w:rPr>
          <w:rFonts w:hint="eastAsia"/>
          <w:lang w:val="zh-CN"/>
        </w:rPr>
        <w:t>%；面积2</w:t>
      </w:r>
      <w:r>
        <w:rPr>
          <w:lang w:val="zh-CN"/>
        </w:rPr>
        <w:t>75</w:t>
      </w:r>
      <w:r>
        <w:rPr>
          <w:rFonts w:hint="eastAsia"/>
        </w:rPr>
        <w:t>1.06</w:t>
      </w:r>
      <w:r>
        <w:rPr>
          <w:rFonts w:hint="eastAsia"/>
          <w:lang w:val="zh-CN"/>
        </w:rPr>
        <w:t>公顷，占比2</w:t>
      </w:r>
      <w:r>
        <w:rPr>
          <w:lang w:val="zh-CN"/>
        </w:rPr>
        <w:t>8.49</w:t>
      </w:r>
      <w:r>
        <w:rPr>
          <w:rFonts w:hint="eastAsia"/>
          <w:lang w:val="zh-CN"/>
        </w:rPr>
        <w:t>%。</w:t>
      </w:r>
    </w:p>
    <w:p>
      <w:pPr>
        <w:pStyle w:val="85"/>
        <w:numPr>
          <w:ilvl w:val="0"/>
          <w:numId w:val="10"/>
        </w:numPr>
        <w:spacing w:line="360" w:lineRule="auto"/>
        <w:ind w:firstLineChars="0"/>
        <w:rPr>
          <w:b/>
          <w:bCs/>
          <w:lang w:val="zh-CN"/>
        </w:rPr>
      </w:pPr>
      <w:r>
        <w:rPr>
          <w:rFonts w:hint="eastAsia"/>
          <w:b/>
          <w:bCs/>
          <w:lang w:val="zh-CN"/>
        </w:rPr>
        <w:t>林地</w:t>
      </w:r>
    </w:p>
    <w:p>
      <w:pPr>
        <w:pStyle w:val="85"/>
        <w:spacing w:line="360" w:lineRule="auto"/>
        <w:ind w:firstLine="480"/>
        <w:rPr>
          <w:lang w:val="zh-CN"/>
        </w:rPr>
      </w:pPr>
      <w:r>
        <w:rPr>
          <w:rFonts w:hint="eastAsia"/>
          <w:lang w:val="zh-CN"/>
        </w:rPr>
        <w:t>片区内现状林地总面积6</w:t>
      </w:r>
      <w:r>
        <w:rPr>
          <w:rFonts w:hint="eastAsia"/>
        </w:rPr>
        <w:t>926.40</w:t>
      </w:r>
      <w:r>
        <w:rPr>
          <w:rFonts w:hint="eastAsia"/>
          <w:lang w:val="zh-CN"/>
        </w:rPr>
        <w:t>公顷，其中乔木林地面积为5</w:t>
      </w:r>
      <w:r>
        <w:rPr>
          <w:rFonts w:hint="eastAsia"/>
        </w:rPr>
        <w:t>377.03</w:t>
      </w:r>
      <w:r>
        <w:rPr>
          <w:rFonts w:hint="eastAsia"/>
          <w:lang w:val="zh-CN"/>
        </w:rPr>
        <w:t>公顷，占林地总面积的77.</w:t>
      </w:r>
      <w:r>
        <w:rPr>
          <w:rFonts w:hint="eastAsia"/>
        </w:rPr>
        <w:t>63</w:t>
      </w:r>
      <w:r>
        <w:rPr>
          <w:rFonts w:hint="eastAsia"/>
          <w:lang w:val="zh-CN"/>
        </w:rPr>
        <w:t>%；灌木林地面积为1</w:t>
      </w:r>
      <w:r>
        <w:rPr>
          <w:rFonts w:hint="eastAsia"/>
        </w:rPr>
        <w:t>162.91</w:t>
      </w:r>
      <w:r>
        <w:rPr>
          <w:rFonts w:hint="eastAsia"/>
          <w:lang w:val="zh-CN"/>
        </w:rPr>
        <w:t>公顷，占林地总面积的1</w:t>
      </w:r>
      <w:r>
        <w:rPr>
          <w:rFonts w:hint="eastAsia"/>
        </w:rPr>
        <w:t>6.79</w:t>
      </w:r>
      <w:r>
        <w:rPr>
          <w:rFonts w:hint="eastAsia"/>
          <w:lang w:val="zh-CN"/>
        </w:rPr>
        <w:t>%；竹林地面积为26</w:t>
      </w:r>
      <w:r>
        <w:rPr>
          <w:rFonts w:hint="eastAsia"/>
        </w:rPr>
        <w:t>9.07</w:t>
      </w:r>
      <w:r>
        <w:rPr>
          <w:rFonts w:hint="eastAsia"/>
          <w:lang w:val="zh-CN"/>
        </w:rPr>
        <w:t>公顷，占林地总面积的3.</w:t>
      </w:r>
      <w:r>
        <w:rPr>
          <w:rFonts w:hint="eastAsia"/>
        </w:rPr>
        <w:t>88</w:t>
      </w:r>
      <w:r>
        <w:rPr>
          <w:rFonts w:hint="eastAsia"/>
          <w:lang w:val="zh-CN"/>
        </w:rPr>
        <w:t>%；其他林地面积为11</w:t>
      </w:r>
      <w:r>
        <w:rPr>
          <w:rFonts w:hint="eastAsia"/>
        </w:rPr>
        <w:t>7.39</w:t>
      </w:r>
      <w:r>
        <w:rPr>
          <w:rFonts w:hint="eastAsia"/>
          <w:lang w:val="zh-CN"/>
        </w:rPr>
        <w:t>公顷，占林地总面积的1.7</w:t>
      </w:r>
      <w:r>
        <w:rPr>
          <w:rFonts w:hint="eastAsia"/>
        </w:rPr>
        <w:t>0</w:t>
      </w:r>
      <w:r>
        <w:rPr>
          <w:rFonts w:hint="eastAsia"/>
          <w:lang w:val="zh-CN"/>
        </w:rPr>
        <w:t>%。片区内的林地主要分布在海拔较高和坡度较大的区域，其中，王家堰、金容寨、峡码口、江柏等村林地比较集中。</w:t>
      </w:r>
    </w:p>
    <w:p>
      <w:pPr>
        <w:pStyle w:val="85"/>
        <w:spacing w:line="360" w:lineRule="auto"/>
        <w:ind w:firstLine="480"/>
        <w:rPr>
          <w:lang w:val="zh-CN"/>
        </w:rPr>
      </w:pPr>
      <w:r>
        <w:rPr>
          <w:rFonts w:hint="eastAsia"/>
          <w:lang w:val="zh-CN"/>
        </w:rPr>
        <w:t>片区内有两片重点公益林，分别位于金容寨村和江柏村，面积共6</w:t>
      </w:r>
      <w:r>
        <w:rPr>
          <w:lang w:val="zh-CN"/>
        </w:rPr>
        <w:t>7.1</w:t>
      </w:r>
      <w:r>
        <w:rPr>
          <w:rFonts w:hint="eastAsia"/>
        </w:rPr>
        <w:t>1</w:t>
      </w:r>
      <w:r>
        <w:rPr>
          <w:rFonts w:hint="eastAsia"/>
          <w:lang w:val="zh-CN"/>
        </w:rPr>
        <w:t>公顷。其他林地全为商品林，其中重点商品林</w:t>
      </w:r>
      <w:r>
        <w:rPr>
          <w:rFonts w:hint="eastAsia"/>
        </w:rPr>
        <w:t>4507.86</w:t>
      </w:r>
      <w:r>
        <w:rPr>
          <w:rFonts w:hint="eastAsia"/>
          <w:lang w:val="zh-CN"/>
        </w:rPr>
        <w:t>公顷，一般商品林</w:t>
      </w:r>
      <w:r>
        <w:rPr>
          <w:rFonts w:hint="eastAsia"/>
        </w:rPr>
        <w:t>2351.43</w:t>
      </w:r>
      <w:r>
        <w:rPr>
          <w:rFonts w:hint="eastAsia"/>
          <w:lang w:val="zh-CN"/>
        </w:rPr>
        <w:t>公顷，均匀分布于各村。</w:t>
      </w:r>
    </w:p>
    <w:p>
      <w:pPr>
        <w:pStyle w:val="85"/>
        <w:spacing w:line="360" w:lineRule="auto"/>
        <w:ind w:firstLine="480"/>
        <w:rPr>
          <w:lang w:val="zh-CN"/>
        </w:rPr>
      </w:pPr>
      <w:r>
        <w:rPr>
          <w:rFonts w:hint="eastAsia"/>
          <w:lang w:val="zh-CN"/>
        </w:rPr>
        <w:t>依据“2020年度国土变更调查数据”基数转换结果，片区内可通过工程恢复为耕地的林地9</w:t>
      </w:r>
      <w:r>
        <w:rPr>
          <w:rFonts w:hint="eastAsia"/>
        </w:rPr>
        <w:t>73.42</w:t>
      </w:r>
      <w:r>
        <w:rPr>
          <w:rFonts w:hint="eastAsia"/>
          <w:lang w:val="zh-CN"/>
        </w:rPr>
        <w:t>公顷，主要分布于元龙、江柏、金容寨、前明、百盛等村；即可恢复为耕地的林地6</w:t>
      </w:r>
      <w:r>
        <w:rPr>
          <w:rFonts w:hint="eastAsia"/>
        </w:rPr>
        <w:t>8.59</w:t>
      </w:r>
      <w:r>
        <w:rPr>
          <w:rFonts w:hint="eastAsia"/>
          <w:lang w:val="zh-CN"/>
        </w:rPr>
        <w:t>公顷，主要分布于道祖、五龙桥、明溪、长滩市、望龙、百盛等村。</w:t>
      </w:r>
    </w:p>
    <w:p>
      <w:pPr>
        <w:pStyle w:val="85"/>
        <w:numPr>
          <w:ilvl w:val="0"/>
          <w:numId w:val="10"/>
        </w:numPr>
        <w:spacing w:line="360" w:lineRule="auto"/>
        <w:ind w:firstLineChars="0"/>
        <w:rPr>
          <w:b/>
          <w:bCs/>
          <w:lang w:val="zh-CN"/>
        </w:rPr>
      </w:pPr>
      <w:r>
        <w:rPr>
          <w:rFonts w:hint="eastAsia"/>
          <w:b/>
          <w:bCs/>
          <w:lang w:val="zh-CN"/>
        </w:rPr>
        <w:t>园地</w:t>
      </w:r>
    </w:p>
    <w:p>
      <w:pPr>
        <w:pStyle w:val="85"/>
        <w:spacing w:line="360" w:lineRule="auto"/>
        <w:ind w:firstLine="480"/>
        <w:rPr>
          <w:lang w:val="zh-CN"/>
        </w:rPr>
      </w:pPr>
      <w:r>
        <w:rPr>
          <w:rFonts w:hint="eastAsia"/>
          <w:lang w:val="zh-CN"/>
        </w:rPr>
        <w:t>片区内现状园地总面积4</w:t>
      </w:r>
      <w:r>
        <w:rPr>
          <w:rFonts w:hint="eastAsia"/>
        </w:rPr>
        <w:t>72.64</w:t>
      </w:r>
      <w:r>
        <w:rPr>
          <w:rFonts w:hint="eastAsia"/>
          <w:lang w:val="zh-CN"/>
        </w:rPr>
        <w:t>公顷，其中果园25</w:t>
      </w:r>
      <w:r>
        <w:rPr>
          <w:rFonts w:hint="eastAsia"/>
        </w:rPr>
        <w:t>9.61</w:t>
      </w:r>
      <w:r>
        <w:rPr>
          <w:rFonts w:hint="eastAsia"/>
          <w:lang w:val="zh-CN"/>
        </w:rPr>
        <w:t>公顷，占园地总面积的5</w:t>
      </w:r>
      <w:r>
        <w:rPr>
          <w:rFonts w:hint="eastAsia"/>
        </w:rPr>
        <w:t>4.93</w:t>
      </w:r>
      <w:r>
        <w:rPr>
          <w:rFonts w:hint="eastAsia"/>
          <w:lang w:val="zh-CN"/>
        </w:rPr>
        <w:t>%，其他园地</w:t>
      </w:r>
      <w:r>
        <w:rPr>
          <w:rFonts w:hint="eastAsia"/>
        </w:rPr>
        <w:t>213.03</w:t>
      </w:r>
      <w:r>
        <w:rPr>
          <w:rFonts w:hint="eastAsia"/>
          <w:lang w:val="zh-CN"/>
        </w:rPr>
        <w:t>公顷，占园地总面积的</w:t>
      </w:r>
      <w:r>
        <w:rPr>
          <w:rFonts w:hint="eastAsia"/>
        </w:rPr>
        <w:t>45.07</w:t>
      </w:r>
      <w:r>
        <w:rPr>
          <w:rFonts w:hint="eastAsia"/>
          <w:lang w:val="zh-CN"/>
        </w:rPr>
        <w:t>%。片区内园地在土门垭、平安寨、花园、金容寨和松林沟等村分布比较集中，其余村分布相对零散。</w:t>
      </w:r>
    </w:p>
    <w:p>
      <w:pPr>
        <w:pStyle w:val="85"/>
        <w:spacing w:line="360" w:lineRule="auto"/>
        <w:ind w:firstLine="480"/>
        <w:rPr>
          <w:lang w:val="zh-CN"/>
        </w:rPr>
      </w:pPr>
      <w:r>
        <w:rPr>
          <w:rFonts w:hint="eastAsia"/>
          <w:lang w:val="zh-CN"/>
        </w:rPr>
        <w:t>依据“2020年度国土变更调查数据”基数转换结果，片区内可通过工程恢复为耕地的园地</w:t>
      </w:r>
      <w:r>
        <w:rPr>
          <w:rFonts w:hint="eastAsia"/>
        </w:rPr>
        <w:t>188.87</w:t>
      </w:r>
      <w:r>
        <w:rPr>
          <w:rFonts w:hint="eastAsia"/>
          <w:lang w:val="zh-CN"/>
        </w:rPr>
        <w:t>公顷，主要分布于 平安寨、土门垭、金容寨、松林沟等村；即可恢复为耕地的园地</w:t>
      </w:r>
      <w:r>
        <w:rPr>
          <w:rFonts w:hint="eastAsia"/>
        </w:rPr>
        <w:t>207.99</w:t>
      </w:r>
      <w:r>
        <w:rPr>
          <w:rFonts w:hint="eastAsia"/>
          <w:lang w:val="zh-CN"/>
        </w:rPr>
        <w:t>公顷，主要分布于平安寨、罗家沟、土门垭、百盛花园等村。</w:t>
      </w:r>
    </w:p>
    <w:p>
      <w:pPr>
        <w:pStyle w:val="85"/>
        <w:numPr>
          <w:ilvl w:val="0"/>
          <w:numId w:val="10"/>
        </w:numPr>
        <w:spacing w:line="360" w:lineRule="auto"/>
        <w:ind w:firstLineChars="0"/>
        <w:rPr>
          <w:b/>
          <w:bCs/>
          <w:lang w:val="zh-CN"/>
        </w:rPr>
      </w:pPr>
      <w:r>
        <w:rPr>
          <w:rFonts w:hint="eastAsia"/>
          <w:b/>
          <w:bCs/>
          <w:lang w:val="zh-CN"/>
        </w:rPr>
        <w:t>草地</w:t>
      </w:r>
    </w:p>
    <w:p>
      <w:pPr>
        <w:pStyle w:val="85"/>
        <w:spacing w:line="360" w:lineRule="auto"/>
        <w:ind w:firstLine="480"/>
        <w:rPr>
          <w:lang w:val="zh-CN"/>
        </w:rPr>
      </w:pPr>
      <w:r>
        <w:rPr>
          <w:rFonts w:hint="eastAsia"/>
          <w:lang w:val="zh-CN"/>
        </w:rPr>
        <w:t>片区内现状草地总面积2</w:t>
      </w:r>
      <w:r>
        <w:rPr>
          <w:rFonts w:hint="eastAsia"/>
        </w:rPr>
        <w:t>9.70</w:t>
      </w:r>
      <w:r>
        <w:rPr>
          <w:rFonts w:hint="eastAsia"/>
          <w:lang w:val="zh-CN"/>
        </w:rPr>
        <w:t>公顷，主要为其他草地，片区内分布比较零散。</w:t>
      </w:r>
    </w:p>
    <w:p>
      <w:pPr>
        <w:pStyle w:val="85"/>
        <w:numPr>
          <w:ilvl w:val="0"/>
          <w:numId w:val="10"/>
        </w:numPr>
        <w:spacing w:line="360" w:lineRule="auto"/>
        <w:ind w:firstLineChars="0"/>
        <w:rPr>
          <w:b/>
          <w:bCs/>
          <w:lang w:val="zh-CN"/>
        </w:rPr>
      </w:pPr>
      <w:r>
        <w:rPr>
          <w:rFonts w:hint="eastAsia"/>
          <w:b/>
          <w:bCs/>
          <w:lang w:val="zh-CN"/>
        </w:rPr>
        <w:t>湿地</w:t>
      </w:r>
    </w:p>
    <w:p>
      <w:pPr>
        <w:pStyle w:val="85"/>
        <w:spacing w:line="360" w:lineRule="auto"/>
        <w:ind w:firstLine="480"/>
        <w:rPr>
          <w:lang w:val="zh-CN"/>
        </w:rPr>
      </w:pPr>
      <w:r>
        <w:rPr>
          <w:rFonts w:hint="eastAsia"/>
          <w:lang w:val="zh-CN"/>
        </w:rPr>
        <w:t>片区现状湿地总面积57.</w:t>
      </w:r>
      <w:r>
        <w:rPr>
          <w:lang w:val="zh-CN"/>
        </w:rPr>
        <w:t>05</w:t>
      </w:r>
      <w:r>
        <w:rPr>
          <w:rFonts w:hint="eastAsia"/>
          <w:lang w:val="zh-CN"/>
        </w:rPr>
        <w:t>公顷，为内陆滩涂用地，集中分布于回马镇涪江沿岸区域。</w:t>
      </w:r>
    </w:p>
    <w:p>
      <w:pPr>
        <w:pStyle w:val="85"/>
        <w:numPr>
          <w:ilvl w:val="0"/>
          <w:numId w:val="10"/>
        </w:numPr>
        <w:spacing w:line="360" w:lineRule="auto"/>
        <w:ind w:firstLineChars="0"/>
        <w:rPr>
          <w:b/>
          <w:bCs/>
          <w:lang w:val="zh-CN"/>
        </w:rPr>
      </w:pPr>
      <w:r>
        <w:rPr>
          <w:rFonts w:hint="eastAsia"/>
          <w:b/>
          <w:bCs/>
          <w:lang w:val="zh-CN"/>
        </w:rPr>
        <w:t>农业设施建设用地</w:t>
      </w:r>
    </w:p>
    <w:p>
      <w:pPr>
        <w:pStyle w:val="85"/>
        <w:spacing w:line="360" w:lineRule="auto"/>
        <w:ind w:firstLine="480"/>
        <w:rPr>
          <w:lang w:val="zh-CN"/>
        </w:rPr>
      </w:pPr>
      <w:r>
        <w:rPr>
          <w:rFonts w:hint="eastAsia"/>
          <w:lang w:val="zh-CN"/>
        </w:rPr>
        <w:t>片区内现状农业设施用地总面积35</w:t>
      </w:r>
      <w:r>
        <w:rPr>
          <w:rFonts w:hint="eastAsia"/>
        </w:rPr>
        <w:t>4.01</w:t>
      </w:r>
      <w:r>
        <w:rPr>
          <w:rFonts w:hint="eastAsia"/>
          <w:lang w:val="zh-CN"/>
        </w:rPr>
        <w:t>公顷，其中，乡村道路用地28</w:t>
      </w:r>
      <w:r>
        <w:rPr>
          <w:rFonts w:hint="eastAsia"/>
        </w:rPr>
        <w:t>5.97</w:t>
      </w:r>
      <w:r>
        <w:rPr>
          <w:rFonts w:hint="eastAsia"/>
          <w:lang w:val="zh-CN"/>
        </w:rPr>
        <w:t>公顷，占农业设施用地总面积的80.</w:t>
      </w:r>
      <w:r>
        <w:rPr>
          <w:rFonts w:hint="eastAsia"/>
        </w:rPr>
        <w:t>78</w:t>
      </w:r>
      <w:r>
        <w:rPr>
          <w:rFonts w:hint="eastAsia"/>
          <w:lang w:val="zh-CN"/>
        </w:rPr>
        <w:t>%；种植、养殖设施建设用地68.0</w:t>
      </w:r>
      <w:r>
        <w:rPr>
          <w:rFonts w:hint="eastAsia"/>
        </w:rPr>
        <w:t>4</w:t>
      </w:r>
      <w:r>
        <w:rPr>
          <w:rFonts w:hint="eastAsia"/>
          <w:lang w:val="zh-CN"/>
        </w:rPr>
        <w:t>公顷，占农业设施用地总面积的19.</w:t>
      </w:r>
      <w:r>
        <w:rPr>
          <w:rFonts w:hint="eastAsia"/>
        </w:rPr>
        <w:t>22</w:t>
      </w:r>
      <w:r>
        <w:rPr>
          <w:rFonts w:hint="eastAsia"/>
          <w:lang w:val="zh-CN"/>
        </w:rPr>
        <w:t>%。</w:t>
      </w:r>
    </w:p>
    <w:p>
      <w:pPr>
        <w:pStyle w:val="85"/>
        <w:numPr>
          <w:ilvl w:val="0"/>
          <w:numId w:val="10"/>
        </w:numPr>
        <w:spacing w:line="360" w:lineRule="auto"/>
        <w:ind w:firstLineChars="0"/>
        <w:rPr>
          <w:b/>
          <w:bCs/>
          <w:lang w:val="zh-CN"/>
        </w:rPr>
      </w:pPr>
      <w:r>
        <w:rPr>
          <w:rFonts w:hint="eastAsia"/>
          <w:b/>
          <w:bCs/>
          <w:lang w:val="zh-CN"/>
        </w:rPr>
        <w:t>城乡建设用地</w:t>
      </w:r>
    </w:p>
    <w:p>
      <w:pPr>
        <w:pStyle w:val="85"/>
        <w:spacing w:line="360" w:lineRule="auto"/>
        <w:ind w:firstLine="480"/>
        <w:rPr>
          <w:lang w:val="zh-CN"/>
        </w:rPr>
      </w:pPr>
      <w:r>
        <w:rPr>
          <w:rFonts w:hint="eastAsia"/>
          <w:lang w:val="zh-CN"/>
        </w:rPr>
        <w:t>片区内现状城乡建设用地总面积</w:t>
      </w:r>
      <w:r>
        <w:rPr>
          <w:rFonts w:hint="eastAsia"/>
        </w:rPr>
        <w:t>1819.73</w:t>
      </w:r>
      <w:r>
        <w:rPr>
          <w:rFonts w:hint="eastAsia"/>
          <w:lang w:val="zh-CN"/>
        </w:rPr>
        <w:t>公顷，其中，城镇建设用地</w:t>
      </w:r>
      <w:r>
        <w:rPr>
          <w:rFonts w:hint="eastAsia"/>
        </w:rPr>
        <w:t>127.0</w:t>
      </w:r>
      <w:r>
        <w:rPr>
          <w:rFonts w:hint="eastAsia"/>
          <w:lang w:val="zh-CN"/>
        </w:rPr>
        <w:t>公顷，占城乡建设用地总面积的</w:t>
      </w:r>
      <w:r>
        <w:rPr>
          <w:rFonts w:hint="eastAsia"/>
        </w:rPr>
        <w:t>6.98</w:t>
      </w:r>
      <w:r>
        <w:rPr>
          <w:rFonts w:hint="eastAsia"/>
          <w:lang w:val="zh-CN"/>
        </w:rPr>
        <w:t>%，主要集中分布于三镇镇区；村庄建设用地</w:t>
      </w:r>
      <w:r>
        <w:rPr>
          <w:rFonts w:hint="eastAsia"/>
        </w:rPr>
        <w:t>1692.73</w:t>
      </w:r>
      <w:r>
        <w:rPr>
          <w:rFonts w:hint="eastAsia"/>
          <w:lang w:val="zh-CN"/>
        </w:rPr>
        <w:t>公顷，占城乡建设用地总面积的</w:t>
      </w:r>
      <w:r>
        <w:rPr>
          <w:rFonts w:hint="eastAsia"/>
        </w:rPr>
        <w:t>93.02</w:t>
      </w:r>
      <w:r>
        <w:rPr>
          <w:rFonts w:hint="eastAsia"/>
          <w:lang w:val="zh-CN"/>
        </w:rPr>
        <w:t>%，主要为宅基地，面积159</w:t>
      </w:r>
      <w:r>
        <w:rPr>
          <w:rFonts w:hint="eastAsia"/>
        </w:rPr>
        <w:t>4.60</w:t>
      </w:r>
      <w:r>
        <w:rPr>
          <w:rFonts w:hint="eastAsia"/>
          <w:lang w:val="zh-CN"/>
        </w:rPr>
        <w:t>公顷，在平坝区域分布较为集中，丘陵区域分布较为零散。农村户均宅基地面积</w:t>
      </w:r>
      <w:r>
        <w:rPr>
          <w:lang w:val="zh-CN"/>
        </w:rPr>
        <w:t>311.</w:t>
      </w:r>
      <w:r>
        <w:rPr>
          <w:rFonts w:hint="eastAsia"/>
        </w:rPr>
        <w:t>6</w:t>
      </w:r>
      <w:r>
        <w:rPr>
          <w:lang w:val="zh-CN"/>
        </w:rPr>
        <w:t>5</w:t>
      </w:r>
      <w:r>
        <w:rPr>
          <w:rFonts w:hint="eastAsia"/>
          <w:lang w:val="zh-CN"/>
        </w:rPr>
        <w:t>m</w:t>
      </w:r>
      <w:r>
        <w:rPr>
          <w:rFonts w:hint="eastAsia"/>
          <w:vertAlign w:val="superscript"/>
          <w:lang w:val="zh-CN"/>
        </w:rPr>
        <w:t>2</w:t>
      </w:r>
      <w:r>
        <w:rPr>
          <w:rFonts w:hint="eastAsia"/>
          <w:lang w:val="zh-CN"/>
        </w:rPr>
        <w:t>/户，农村户籍人口人均宅基地面积</w:t>
      </w:r>
      <w:r>
        <w:rPr>
          <w:rFonts w:hint="eastAsia"/>
        </w:rPr>
        <w:t>131.68</w:t>
      </w:r>
      <w:r>
        <w:rPr>
          <w:rFonts w:hint="eastAsia"/>
          <w:lang w:val="zh-CN"/>
        </w:rPr>
        <w:t>m</w:t>
      </w:r>
      <w:r>
        <w:rPr>
          <w:rFonts w:hint="eastAsia"/>
          <w:vertAlign w:val="superscript"/>
          <w:lang w:val="zh-CN"/>
        </w:rPr>
        <w:t>2</w:t>
      </w:r>
      <w:r>
        <w:rPr>
          <w:rFonts w:hint="eastAsia"/>
          <w:lang w:val="zh-CN"/>
        </w:rPr>
        <w:t>/人，农村常住人口人均宅基地面积</w:t>
      </w:r>
      <w:r>
        <w:rPr>
          <w:rFonts w:hint="eastAsia"/>
        </w:rPr>
        <w:t>223.72</w:t>
      </w:r>
      <w:r>
        <w:rPr>
          <w:rFonts w:hint="eastAsia"/>
          <w:lang w:val="zh-CN"/>
        </w:rPr>
        <w:t>m</w:t>
      </w:r>
      <w:r>
        <w:rPr>
          <w:rFonts w:hint="eastAsia"/>
          <w:vertAlign w:val="superscript"/>
          <w:lang w:val="zh-CN"/>
        </w:rPr>
        <w:t>2</w:t>
      </w:r>
      <w:r>
        <w:rPr>
          <w:rFonts w:hint="eastAsia"/>
          <w:lang w:val="zh-CN"/>
        </w:rPr>
        <w:t>/人，高于全县平均水平（</w:t>
      </w:r>
      <w:r>
        <w:rPr>
          <w:lang w:val="zh-CN"/>
        </w:rPr>
        <w:t>182.69</w:t>
      </w:r>
      <w:r>
        <w:rPr>
          <w:rFonts w:hint="eastAsia"/>
          <w:lang w:val="zh-CN"/>
        </w:rPr>
        <w:t xml:space="preserve"> m</w:t>
      </w:r>
      <w:r>
        <w:rPr>
          <w:rFonts w:hint="eastAsia"/>
          <w:vertAlign w:val="superscript"/>
          <w:lang w:val="zh-CN"/>
        </w:rPr>
        <w:t>2</w:t>
      </w:r>
      <w:r>
        <w:rPr>
          <w:rFonts w:hint="eastAsia"/>
          <w:lang w:val="zh-CN"/>
        </w:rPr>
        <w:t>/人），闲置情况较为突出。</w:t>
      </w:r>
    </w:p>
    <w:p>
      <w:pPr>
        <w:pStyle w:val="85"/>
        <w:spacing w:line="360" w:lineRule="auto"/>
        <w:ind w:firstLine="480"/>
        <w:rPr>
          <w:lang w:val="zh-CN"/>
        </w:rPr>
      </w:pPr>
      <w:r>
        <w:rPr>
          <w:rFonts w:hint="eastAsia"/>
          <w:lang w:val="zh-CN"/>
        </w:rPr>
        <w:t>通过现场调研收集，目前片区内还存在公共闲置低效用地</w:t>
      </w:r>
      <w:r>
        <w:rPr>
          <w:lang w:val="zh-CN"/>
        </w:rPr>
        <w:t>6</w:t>
      </w:r>
      <w:r>
        <w:rPr>
          <w:rFonts w:hint="eastAsia"/>
          <w:lang w:val="zh-CN"/>
        </w:rPr>
        <w:t>处，面积约</w:t>
      </w:r>
      <w:r>
        <w:rPr>
          <w:lang w:val="zh-CN"/>
        </w:rPr>
        <w:t>4.99</w:t>
      </w:r>
      <w:r>
        <w:rPr>
          <w:rFonts w:hint="eastAsia"/>
          <w:lang w:val="zh-CN"/>
        </w:rPr>
        <w:t>公顷，集中在片区内各镇区。</w:t>
      </w:r>
    </w:p>
    <w:p>
      <w:pPr>
        <w:pStyle w:val="85"/>
        <w:numPr>
          <w:ilvl w:val="0"/>
          <w:numId w:val="10"/>
        </w:numPr>
        <w:spacing w:line="360" w:lineRule="auto"/>
        <w:ind w:firstLineChars="0"/>
        <w:rPr>
          <w:b/>
          <w:bCs/>
          <w:lang w:val="zh-CN"/>
        </w:rPr>
      </w:pPr>
      <w:r>
        <w:rPr>
          <w:rFonts w:hint="eastAsia"/>
          <w:b/>
          <w:bCs/>
          <w:lang w:val="zh-CN"/>
        </w:rPr>
        <w:t>区域基础设施用地</w:t>
      </w:r>
    </w:p>
    <w:p>
      <w:pPr>
        <w:pStyle w:val="85"/>
        <w:spacing w:line="360" w:lineRule="auto"/>
        <w:ind w:firstLine="480"/>
        <w:rPr>
          <w:lang w:val="zh-CN"/>
        </w:rPr>
      </w:pPr>
      <w:r>
        <w:rPr>
          <w:rFonts w:hint="eastAsia"/>
          <w:lang w:val="zh-CN"/>
        </w:rPr>
        <w:t>片区内现状区域基础设施用地总面积</w:t>
      </w:r>
      <w:r>
        <w:rPr>
          <w:rFonts w:hint="eastAsia"/>
        </w:rPr>
        <w:t>304.83</w:t>
      </w:r>
      <w:r>
        <w:rPr>
          <w:rFonts w:hint="eastAsia"/>
          <w:lang w:val="zh-CN"/>
        </w:rPr>
        <w:t>公顷，其中，铁路用地37.53公顷，公路用地2</w:t>
      </w:r>
      <w:r>
        <w:rPr>
          <w:rFonts w:hint="eastAsia"/>
        </w:rPr>
        <w:t>61.70</w:t>
      </w:r>
      <w:r>
        <w:rPr>
          <w:rFonts w:hint="eastAsia"/>
          <w:lang w:val="zh-CN"/>
        </w:rPr>
        <w:t>公顷，水工设施用地5.60公顷。</w:t>
      </w:r>
    </w:p>
    <w:p>
      <w:pPr>
        <w:pStyle w:val="85"/>
        <w:numPr>
          <w:ilvl w:val="0"/>
          <w:numId w:val="10"/>
        </w:numPr>
        <w:spacing w:line="360" w:lineRule="auto"/>
        <w:ind w:firstLineChars="0"/>
        <w:rPr>
          <w:b/>
          <w:bCs/>
          <w:lang w:val="zh-CN"/>
        </w:rPr>
      </w:pPr>
      <w:r>
        <w:rPr>
          <w:rFonts w:hint="eastAsia"/>
          <w:b/>
          <w:bCs/>
          <w:lang w:val="zh-CN"/>
        </w:rPr>
        <w:t>其他建设用地</w:t>
      </w:r>
    </w:p>
    <w:p>
      <w:pPr>
        <w:pStyle w:val="85"/>
        <w:spacing w:line="360" w:lineRule="auto"/>
        <w:ind w:firstLine="480"/>
        <w:rPr>
          <w:lang w:val="zh-CN"/>
        </w:rPr>
      </w:pPr>
      <w:r>
        <w:rPr>
          <w:rFonts w:hint="eastAsia"/>
          <w:lang w:val="zh-CN"/>
        </w:rPr>
        <w:t>片区内其他建设用地总面积146.2</w:t>
      </w:r>
      <w:r>
        <w:rPr>
          <w:rFonts w:hint="eastAsia"/>
        </w:rPr>
        <w:t>0</w:t>
      </w:r>
      <w:r>
        <w:rPr>
          <w:rFonts w:hint="eastAsia"/>
          <w:lang w:val="zh-CN"/>
        </w:rPr>
        <w:t>公顷，包括采矿用地134.</w:t>
      </w:r>
      <w:r>
        <w:rPr>
          <w:rFonts w:hint="eastAsia"/>
        </w:rPr>
        <w:t>34</w:t>
      </w:r>
      <w:r>
        <w:rPr>
          <w:rFonts w:hint="eastAsia"/>
          <w:lang w:val="zh-CN"/>
        </w:rPr>
        <w:t>公顷和特殊用地1</w:t>
      </w:r>
      <w:r>
        <w:rPr>
          <w:rFonts w:hint="eastAsia"/>
        </w:rPr>
        <w:t>1</w:t>
      </w:r>
      <w:r>
        <w:rPr>
          <w:rFonts w:hint="eastAsia"/>
          <w:lang w:val="zh-CN"/>
        </w:rPr>
        <w:t>.64公顷。</w:t>
      </w:r>
    </w:p>
    <w:p>
      <w:pPr>
        <w:pStyle w:val="85"/>
        <w:numPr>
          <w:ilvl w:val="0"/>
          <w:numId w:val="10"/>
        </w:numPr>
        <w:spacing w:line="360" w:lineRule="auto"/>
        <w:ind w:firstLineChars="0"/>
        <w:rPr>
          <w:b/>
          <w:bCs/>
          <w:lang w:val="zh-CN"/>
        </w:rPr>
      </w:pPr>
      <w:r>
        <w:rPr>
          <w:rFonts w:hint="eastAsia"/>
          <w:b/>
          <w:bCs/>
          <w:lang w:val="zh-CN"/>
        </w:rPr>
        <w:t>陆地水域</w:t>
      </w:r>
    </w:p>
    <w:p>
      <w:pPr>
        <w:pStyle w:val="85"/>
        <w:spacing w:line="360" w:lineRule="auto"/>
        <w:ind w:firstLine="480"/>
        <w:rPr>
          <w:lang w:val="zh-CN"/>
        </w:rPr>
      </w:pPr>
      <w:r>
        <w:rPr>
          <w:rFonts w:hint="eastAsia"/>
          <w:lang w:val="zh-CN"/>
        </w:rPr>
        <w:t>片区内陆地水域总面积11</w:t>
      </w:r>
      <w:r>
        <w:rPr>
          <w:rFonts w:hint="eastAsia"/>
        </w:rPr>
        <w:t>95.34</w:t>
      </w:r>
      <w:r>
        <w:rPr>
          <w:rFonts w:hint="eastAsia"/>
          <w:lang w:val="zh-CN"/>
        </w:rPr>
        <w:t>公顷，包括河流水面6</w:t>
      </w:r>
      <w:r>
        <w:rPr>
          <w:rFonts w:hint="eastAsia"/>
        </w:rPr>
        <w:t>60.16</w:t>
      </w:r>
      <w:r>
        <w:rPr>
          <w:rFonts w:hint="eastAsia"/>
          <w:lang w:val="zh-CN"/>
        </w:rPr>
        <w:t>公顷，水库水面84.7</w:t>
      </w:r>
      <w:r>
        <w:rPr>
          <w:rFonts w:hint="eastAsia"/>
        </w:rPr>
        <w:t>0</w:t>
      </w:r>
      <w:r>
        <w:rPr>
          <w:rFonts w:hint="eastAsia"/>
          <w:lang w:val="zh-CN"/>
        </w:rPr>
        <w:t>公顷，坑塘水面38</w:t>
      </w:r>
      <w:r>
        <w:rPr>
          <w:rFonts w:hint="eastAsia"/>
        </w:rPr>
        <w:t>6.24</w:t>
      </w:r>
      <w:r>
        <w:rPr>
          <w:rFonts w:hint="eastAsia"/>
          <w:lang w:val="zh-CN"/>
        </w:rPr>
        <w:t>公顷以及沟渠6</w:t>
      </w:r>
      <w:r>
        <w:rPr>
          <w:rFonts w:hint="eastAsia"/>
        </w:rPr>
        <w:t>4.24</w:t>
      </w:r>
      <w:r>
        <w:rPr>
          <w:rFonts w:hint="eastAsia"/>
          <w:lang w:val="zh-CN"/>
        </w:rPr>
        <w:t>公顷。</w:t>
      </w:r>
    </w:p>
    <w:p>
      <w:pPr>
        <w:pStyle w:val="5"/>
        <w:numPr>
          <w:ilvl w:val="0"/>
          <w:numId w:val="8"/>
        </w:numPr>
        <w:spacing w:line="360" w:lineRule="auto"/>
        <w:rPr>
          <w:b/>
          <w:bCs/>
        </w:rPr>
      </w:pPr>
      <w:r>
        <w:rPr>
          <w:rFonts w:hint="eastAsia"/>
          <w:b/>
          <w:bCs/>
        </w:rPr>
        <w:t>资源环境分析</w:t>
      </w:r>
    </w:p>
    <w:p>
      <w:pPr>
        <w:pStyle w:val="85"/>
        <w:numPr>
          <w:ilvl w:val="0"/>
          <w:numId w:val="11"/>
        </w:numPr>
        <w:spacing w:line="360" w:lineRule="auto"/>
        <w:ind w:firstLineChars="0"/>
        <w:rPr>
          <w:b/>
          <w:bCs/>
          <w:lang w:val="zh-CN"/>
        </w:rPr>
      </w:pPr>
      <w:r>
        <w:rPr>
          <w:rFonts w:hint="eastAsia"/>
          <w:b/>
          <w:bCs/>
          <w:lang w:val="zh-CN"/>
        </w:rPr>
        <w:t>农文旅资源</w:t>
      </w:r>
    </w:p>
    <w:p>
      <w:pPr>
        <w:pStyle w:val="85"/>
        <w:spacing w:line="360" w:lineRule="auto"/>
        <w:ind w:firstLine="480"/>
        <w:rPr>
          <w:lang w:val="zh-CN"/>
        </w:rPr>
      </w:pPr>
      <w:r>
        <w:rPr>
          <w:rFonts w:hint="eastAsia"/>
          <w:lang w:val="zh-CN"/>
        </w:rPr>
        <w:t>本片区拥有各级文物保护单位</w:t>
      </w:r>
      <w:r>
        <w:rPr>
          <w:lang w:val="zh-CN"/>
        </w:rPr>
        <w:t>115</w:t>
      </w:r>
      <w:r>
        <w:rPr>
          <w:rFonts w:hint="eastAsia"/>
          <w:lang w:val="zh-CN"/>
        </w:rPr>
        <w:t>处，类型主要以古建筑、古墓葬、石窟寺及石刻为主，其中省级3处，分别为长江坝遗址、金鹏寺摩崖造像和郭氏家族墓地；市级4处，分别为席书墓、五显庙、陈家大桥和双龙桥；县级14处，包括农林村窑址、哑铃寨遗址、花古坟墓群等，县级以上文物保护单位数量占比超过大英县1/3，其余未定级不可移动文物共计</w:t>
      </w:r>
      <w:r>
        <w:rPr>
          <w:lang w:val="zh-CN"/>
        </w:rPr>
        <w:t>94</w:t>
      </w:r>
      <w:r>
        <w:rPr>
          <w:rFonts w:hint="eastAsia"/>
          <w:lang w:val="zh-CN"/>
        </w:rPr>
        <w:t>处。自然资源以涪江、郪江、小型水库等生态观光资源为主；农旅资源有大英县中药材现代农业园、大英绿色蔬菜现代农业园以及红豆杉养生谷、军辉农场等。</w:t>
      </w:r>
    </w:p>
    <w:p>
      <w:pPr>
        <w:pStyle w:val="85"/>
        <w:numPr>
          <w:ilvl w:val="0"/>
          <w:numId w:val="11"/>
        </w:numPr>
        <w:spacing w:line="360" w:lineRule="auto"/>
        <w:ind w:firstLineChars="0"/>
        <w:rPr>
          <w:b/>
          <w:bCs/>
          <w:lang w:val="zh-CN"/>
        </w:rPr>
      </w:pPr>
      <w:r>
        <w:rPr>
          <w:rFonts w:hint="eastAsia"/>
          <w:b/>
          <w:bCs/>
          <w:lang w:val="zh-CN"/>
        </w:rPr>
        <w:t>矿产资源</w:t>
      </w:r>
    </w:p>
    <w:p>
      <w:pPr>
        <w:pStyle w:val="85"/>
        <w:spacing w:line="360" w:lineRule="auto"/>
        <w:ind w:firstLine="480"/>
        <w:rPr>
          <w:lang w:val="zh-CN"/>
        </w:rPr>
      </w:pPr>
      <w:r>
        <w:rPr>
          <w:rFonts w:hint="eastAsia"/>
          <w:lang w:val="zh-CN"/>
        </w:rPr>
        <w:t>本片区矿产资源主要为采沙场和砖瓦用页岩小型矿区，总面积1</w:t>
      </w:r>
      <w:r>
        <w:rPr>
          <w:lang w:val="zh-CN"/>
        </w:rPr>
        <w:t>4.51</w:t>
      </w:r>
      <w:r>
        <w:rPr>
          <w:rFonts w:hint="eastAsia"/>
          <w:lang w:val="zh-CN"/>
        </w:rPr>
        <w:t>公顷。其中采沙场主要集中在涪江沿岸，砖瓦用页岩矿区各镇均有分布。</w:t>
      </w:r>
    </w:p>
    <w:p>
      <w:pPr>
        <w:pStyle w:val="85"/>
        <w:numPr>
          <w:ilvl w:val="0"/>
          <w:numId w:val="11"/>
        </w:numPr>
        <w:spacing w:line="360" w:lineRule="auto"/>
        <w:ind w:firstLineChars="0"/>
        <w:rPr>
          <w:b/>
          <w:bCs/>
          <w:lang w:val="zh-CN"/>
        </w:rPr>
      </w:pPr>
      <w:r>
        <w:rPr>
          <w:rFonts w:hint="eastAsia"/>
          <w:b/>
          <w:bCs/>
          <w:lang w:val="zh-CN"/>
        </w:rPr>
        <w:t>生态环境</w:t>
      </w:r>
    </w:p>
    <w:p>
      <w:pPr>
        <w:pStyle w:val="85"/>
        <w:spacing w:line="360" w:lineRule="auto"/>
        <w:ind w:firstLine="480"/>
        <w:rPr>
          <w:lang w:val="zh-CN"/>
        </w:rPr>
      </w:pPr>
      <w:r>
        <w:rPr>
          <w:rFonts w:hint="eastAsia"/>
          <w:lang w:val="zh-CN"/>
        </w:rPr>
        <w:t>片区地貌呈现“缓丘浅丘多谷、两江三溪多坝”的自然山水格局。山以低山丘陵为主，地形呈南北高、中部低，最高点海拔447米，位于隆盛镇五龙桥村，最低点海拔</w:t>
      </w:r>
      <w:r>
        <w:rPr>
          <w:lang w:val="zh-CN"/>
        </w:rPr>
        <w:t>287</w:t>
      </w:r>
      <w:r>
        <w:rPr>
          <w:rFonts w:hint="eastAsia"/>
          <w:lang w:val="zh-CN"/>
        </w:rPr>
        <w:t>米，位于回马镇郪口村，相对高差</w:t>
      </w:r>
      <w:r>
        <w:rPr>
          <w:lang w:val="zh-CN"/>
        </w:rPr>
        <w:t>160</w:t>
      </w:r>
      <w:r>
        <w:rPr>
          <w:rFonts w:hint="eastAsia"/>
          <w:lang w:val="zh-CN"/>
        </w:rPr>
        <w:t>米。片区内水资源较为丰富，分布有嘉陵江一级支流涪江和二级支流郪江，另有瑰溪、小蒜溪、黄腊溪等数条嘉陵江三级支流，以及百家桥水库、鹅颈项水库、高滩子水库、江关咀水库4座小型水库。片区内林地占比高于全县平均水平，集中分布在海拔较高的区域。</w:t>
      </w:r>
    </w:p>
    <w:p>
      <w:pPr>
        <w:pStyle w:val="85"/>
        <w:spacing w:line="360" w:lineRule="auto"/>
        <w:ind w:firstLine="480"/>
        <w:rPr>
          <w:lang w:val="zh-CN"/>
        </w:rPr>
      </w:pPr>
      <w:r>
        <w:rPr>
          <w:rFonts w:hint="eastAsia"/>
          <w:lang w:val="zh-CN"/>
        </w:rPr>
        <w:t>片区属亚热带湿润季风气候，年平均气温17.3℃，四季分明，雨量充沛，无霜期长达297天。空气质量达到《环境空气质量标准》（GB 3095—2012）二级标准，区域内AQI优良天数比例达到95.5%，且无酸雨出现。片区内郪江口地表水河流水环境断面监测显示郪江水质不稳定，超一半时间水质类别低于Ⅲ类，水环境质量稳定性有待进一步提升。</w:t>
      </w:r>
    </w:p>
    <w:p>
      <w:pPr>
        <w:pStyle w:val="5"/>
        <w:numPr>
          <w:ilvl w:val="0"/>
          <w:numId w:val="8"/>
        </w:numPr>
        <w:spacing w:line="360" w:lineRule="auto"/>
        <w:rPr>
          <w:b/>
          <w:bCs/>
        </w:rPr>
      </w:pPr>
      <w:r>
        <w:rPr>
          <w:rFonts w:hint="eastAsia"/>
          <w:b/>
          <w:bCs/>
        </w:rPr>
        <w:t>产业现状分析</w:t>
      </w:r>
    </w:p>
    <w:p>
      <w:pPr>
        <w:pStyle w:val="85"/>
        <w:numPr>
          <w:ilvl w:val="0"/>
          <w:numId w:val="12"/>
        </w:numPr>
        <w:spacing w:line="360" w:lineRule="auto"/>
        <w:ind w:firstLineChars="0"/>
        <w:rPr>
          <w:b/>
          <w:bCs/>
          <w:lang w:val="zh-CN"/>
        </w:rPr>
      </w:pPr>
      <w:r>
        <w:rPr>
          <w:rFonts w:hint="eastAsia"/>
          <w:b/>
          <w:bCs/>
          <w:lang w:val="zh-CN"/>
        </w:rPr>
        <w:t>第一产业</w:t>
      </w:r>
    </w:p>
    <w:p>
      <w:pPr>
        <w:pStyle w:val="85"/>
        <w:spacing w:line="360" w:lineRule="auto"/>
        <w:ind w:firstLine="480"/>
        <w:rPr>
          <w:lang w:val="zh-CN"/>
        </w:rPr>
      </w:pPr>
      <w:r>
        <w:rPr>
          <w:rFonts w:hint="eastAsia"/>
          <w:lang w:val="zh-CN"/>
        </w:rPr>
        <w:t>农业为片区支柱产业，现状基础条件较好，目前已建成大英县中药材和绿色蔬菜两个现代农业园区。</w:t>
      </w:r>
      <w:bookmarkStart w:id="22" w:name="_Hlk128145947"/>
      <w:r>
        <w:rPr>
          <w:rFonts w:hint="eastAsia"/>
          <w:lang w:val="zh-CN"/>
        </w:rPr>
        <w:t>大英县中药材现代农业园区已评定为省级三星级现代农业园区，以中药材枳壳和刺梨作为主导产业，采用“枳壳+中、粮、蔬”的套种模式，以“国有公司+药业公司+村集体+农户”的发展模式，在土门垭村、双龙桥村、干柏树村、新民村、望龙村、百盛村等核心区域发展枳壳、刺梨7</w:t>
      </w:r>
      <w:r>
        <w:rPr>
          <w:lang w:val="zh-CN"/>
        </w:rPr>
        <w:t>256</w:t>
      </w:r>
      <w:r>
        <w:rPr>
          <w:rFonts w:hint="eastAsia"/>
          <w:lang w:val="zh-CN"/>
        </w:rPr>
        <w:t>亩，并建有中药材初加工中心和良种繁育中心，辐射带动全县中药材产业发展</w:t>
      </w:r>
      <w:bookmarkEnd w:id="22"/>
      <w:r>
        <w:rPr>
          <w:rFonts w:hint="eastAsia"/>
          <w:lang w:val="zh-CN"/>
        </w:rPr>
        <w:t>。大英绿色蔬菜现代农业园区已评定为市级三星现代农业园区，以文武村、团结村、长江坝村、花园村、郪口村等村为核心区域，发展绿色蔬菜约1万亩，全镇蔬菜种植面积达2</w:t>
      </w:r>
      <w:r>
        <w:rPr>
          <w:lang w:val="zh-CN"/>
        </w:rPr>
        <w:t>.7</w:t>
      </w:r>
      <w:r>
        <w:rPr>
          <w:rFonts w:hint="eastAsia"/>
          <w:lang w:val="zh-CN"/>
        </w:rPr>
        <w:t>万亩。另外，片区发展有优质水果约</w:t>
      </w:r>
      <w:r>
        <w:rPr>
          <w:lang w:val="zh-CN"/>
        </w:rPr>
        <w:t>6200</w:t>
      </w:r>
      <w:r>
        <w:rPr>
          <w:rFonts w:hint="eastAsia"/>
          <w:lang w:val="zh-CN"/>
        </w:rPr>
        <w:t>亩，九叶青花椒</w:t>
      </w:r>
      <w:r>
        <w:rPr>
          <w:lang w:val="zh-CN"/>
        </w:rPr>
        <w:t>1000</w:t>
      </w:r>
      <w:r>
        <w:rPr>
          <w:rFonts w:hint="eastAsia"/>
          <w:lang w:val="zh-CN"/>
        </w:rPr>
        <w:t>亩以及建成以金元镇齐全农牧为龙头的2</w:t>
      </w:r>
      <w:r>
        <w:rPr>
          <w:lang w:val="zh-CN"/>
        </w:rPr>
        <w:t>0</w:t>
      </w:r>
      <w:r>
        <w:rPr>
          <w:rFonts w:hint="eastAsia"/>
          <w:lang w:val="zh-CN"/>
        </w:rPr>
        <w:t>万头生猪育种和6万头生猪养殖基地。</w:t>
      </w:r>
    </w:p>
    <w:p>
      <w:pPr>
        <w:pStyle w:val="85"/>
        <w:numPr>
          <w:ilvl w:val="0"/>
          <w:numId w:val="12"/>
        </w:numPr>
        <w:spacing w:line="360" w:lineRule="auto"/>
        <w:ind w:firstLineChars="0"/>
        <w:rPr>
          <w:b/>
          <w:bCs/>
          <w:lang w:val="zh-CN"/>
        </w:rPr>
      </w:pPr>
      <w:r>
        <w:rPr>
          <w:rFonts w:hint="eastAsia"/>
          <w:b/>
          <w:bCs/>
          <w:lang w:val="zh-CN"/>
        </w:rPr>
        <w:t>第二产业</w:t>
      </w:r>
    </w:p>
    <w:p>
      <w:pPr>
        <w:pStyle w:val="85"/>
        <w:spacing w:line="360" w:lineRule="auto"/>
        <w:ind w:firstLine="480"/>
        <w:rPr>
          <w:lang w:val="zh-CN"/>
        </w:rPr>
      </w:pPr>
      <w:r>
        <w:rPr>
          <w:rFonts w:hint="eastAsia"/>
          <w:lang w:val="zh-CN"/>
        </w:rPr>
        <w:t>现状隆盛和回马均有一定的工业基础，其中回马工业园区正处于转型期，原有企业以二三类污染工业为主，且多个企业处于停产或停工状态；隆盛现状工业以建材为主，中药材相关企业仅滋宁药业一家，目前作为中药材加工龙头企业培育。</w:t>
      </w:r>
    </w:p>
    <w:p>
      <w:pPr>
        <w:pStyle w:val="85"/>
        <w:numPr>
          <w:ilvl w:val="0"/>
          <w:numId w:val="12"/>
        </w:numPr>
        <w:spacing w:line="360" w:lineRule="auto"/>
        <w:ind w:firstLineChars="0"/>
        <w:rPr>
          <w:b/>
          <w:bCs/>
          <w:lang w:val="zh-CN"/>
        </w:rPr>
      </w:pPr>
      <w:r>
        <w:rPr>
          <w:rFonts w:hint="eastAsia"/>
          <w:b/>
          <w:bCs/>
          <w:lang w:val="zh-CN"/>
        </w:rPr>
        <w:t>第三产业</w:t>
      </w:r>
    </w:p>
    <w:p>
      <w:pPr>
        <w:pStyle w:val="85"/>
        <w:spacing w:line="360" w:lineRule="auto"/>
        <w:ind w:firstLine="480"/>
        <w:rPr>
          <w:lang w:val="zh-CN"/>
        </w:rPr>
      </w:pPr>
      <w:r>
        <w:rPr>
          <w:rFonts w:hint="eastAsia"/>
          <w:lang w:val="zh-CN"/>
        </w:rPr>
        <w:t>隆盛镇休闲康养旅游发展势头较好，大英药香康养园成功创建省级中医药健康旅游示范基地，现有军辉农场、红豆杉养生谷、QQ农场、猕园等多个星级农家乐，目前正积极推进土门垭精品示范村建设，重点打造省级项目土门香街、奇异果农场、百草园、刺梨文化园等。回马和金元乡村旅游处于起步阶段，需进一步挖掘潜力。</w:t>
      </w:r>
    </w:p>
    <w:p>
      <w:pPr>
        <w:pStyle w:val="5"/>
        <w:numPr>
          <w:ilvl w:val="0"/>
          <w:numId w:val="8"/>
        </w:numPr>
        <w:spacing w:line="360" w:lineRule="auto"/>
        <w:rPr>
          <w:b/>
          <w:bCs/>
        </w:rPr>
      </w:pPr>
      <w:r>
        <w:rPr>
          <w:rFonts w:hint="eastAsia"/>
          <w:b/>
          <w:bCs/>
        </w:rPr>
        <w:t>人口现状分析</w:t>
      </w:r>
    </w:p>
    <w:p>
      <w:pPr>
        <w:pStyle w:val="85"/>
        <w:spacing w:line="360" w:lineRule="auto"/>
        <w:ind w:firstLine="480"/>
        <w:rPr>
          <w:lang w:val="zh-CN"/>
        </w:rPr>
      </w:pPr>
      <w:r>
        <w:rPr>
          <w:rFonts w:hint="eastAsia"/>
          <w:lang w:val="zh-CN"/>
        </w:rPr>
        <w:t>人口外流现象严重，呈负增长趋势。依据第七次人口普查，片区2020年户籍总人口143510人，</w:t>
      </w:r>
      <w:bookmarkStart w:id="23" w:name="_Hlk148623879"/>
      <w:r>
        <w:rPr>
          <w:rFonts w:hint="eastAsia"/>
          <w:lang w:val="zh-CN"/>
        </w:rPr>
        <w:t>常住总人口81040人，</w:t>
      </w:r>
      <w:bookmarkEnd w:id="23"/>
      <w:r>
        <w:rPr>
          <w:rFonts w:hint="eastAsia"/>
          <w:lang w:val="zh-CN"/>
        </w:rPr>
        <w:t>净流出人口62470人，占比高达43.53%。流出主要原因为外出打工，流出方向包括大英县城、遂宁市区、成都、重庆、新疆、沿海等地区。从2</w:t>
      </w:r>
      <w:r>
        <w:rPr>
          <w:lang w:val="zh-CN"/>
        </w:rPr>
        <w:t>015</w:t>
      </w:r>
      <w:r>
        <w:rPr>
          <w:rFonts w:hint="eastAsia"/>
          <w:lang w:val="zh-CN"/>
        </w:rPr>
        <w:t>年至2</w:t>
      </w:r>
      <w:r>
        <w:rPr>
          <w:lang w:val="zh-CN"/>
        </w:rPr>
        <w:t>020</w:t>
      </w:r>
      <w:r>
        <w:rPr>
          <w:rFonts w:hint="eastAsia"/>
          <w:lang w:val="zh-CN"/>
        </w:rPr>
        <w:t>年，片区常住人口减少约3</w:t>
      </w:r>
      <w:r>
        <w:rPr>
          <w:lang w:val="zh-CN"/>
        </w:rPr>
        <w:t>.1</w:t>
      </w:r>
      <w:r>
        <w:rPr>
          <w:rFonts w:hint="eastAsia"/>
          <w:lang w:val="zh-CN"/>
        </w:rPr>
        <w:t>万人，综合增长率为-62.62‰。</w:t>
      </w:r>
    </w:p>
    <w:p>
      <w:pPr>
        <w:pStyle w:val="85"/>
        <w:spacing w:line="360" w:lineRule="auto"/>
        <w:ind w:firstLine="480"/>
        <w:rPr>
          <w:lang w:val="zh-CN"/>
        </w:rPr>
      </w:pPr>
      <w:r>
        <w:rPr>
          <w:rFonts w:hint="eastAsia"/>
          <w:lang w:val="zh-CN"/>
        </w:rPr>
        <w:t>人口老龄化现象突出。依据第七次人口普查，片区</w:t>
      </w:r>
      <w:r>
        <w:rPr>
          <w:lang w:val="zh-CN"/>
        </w:rPr>
        <w:t>60</w:t>
      </w:r>
      <w:r>
        <w:rPr>
          <w:rFonts w:hint="eastAsia"/>
          <w:lang w:val="zh-CN"/>
        </w:rPr>
        <w:t>岁以上常住人口</w:t>
      </w:r>
      <w:r>
        <w:rPr>
          <w:lang w:val="zh-CN"/>
        </w:rPr>
        <w:t>24624</w:t>
      </w:r>
      <w:r>
        <w:rPr>
          <w:rFonts w:hint="eastAsia"/>
          <w:lang w:val="zh-CN"/>
        </w:rPr>
        <w:t>人，占常住总人口的</w:t>
      </w:r>
      <w:r>
        <w:rPr>
          <w:lang w:val="zh-CN"/>
        </w:rPr>
        <w:t>30.38%</w:t>
      </w:r>
      <w:r>
        <w:rPr>
          <w:rFonts w:hint="eastAsia"/>
          <w:lang w:val="zh-CN"/>
        </w:rPr>
        <w:t>；6</w:t>
      </w:r>
      <w:r>
        <w:rPr>
          <w:lang w:val="zh-CN"/>
        </w:rPr>
        <w:t>5</w:t>
      </w:r>
      <w:r>
        <w:rPr>
          <w:rFonts w:hint="eastAsia"/>
          <w:lang w:val="zh-CN"/>
        </w:rPr>
        <w:t>岁以上常住人口2</w:t>
      </w:r>
      <w:r>
        <w:rPr>
          <w:lang w:val="zh-CN"/>
        </w:rPr>
        <w:t>0018</w:t>
      </w:r>
      <w:r>
        <w:rPr>
          <w:rFonts w:hint="eastAsia"/>
          <w:lang w:val="zh-CN"/>
        </w:rPr>
        <w:t>人，占常住总人口的</w:t>
      </w:r>
      <w:r>
        <w:rPr>
          <w:lang w:val="zh-CN"/>
        </w:rPr>
        <w:t>24.7%</w:t>
      </w:r>
      <w:r>
        <w:rPr>
          <w:rFonts w:hint="eastAsia"/>
          <w:lang w:val="zh-CN"/>
        </w:rPr>
        <w:t>，远高于国际老龄化标准（60岁以上人口占比达10%）。</w:t>
      </w:r>
    </w:p>
    <w:p>
      <w:pPr>
        <w:pStyle w:val="85"/>
        <w:spacing w:line="360" w:lineRule="auto"/>
        <w:ind w:firstLine="480"/>
        <w:rPr>
          <w:lang w:val="zh-CN"/>
        </w:rPr>
      </w:pPr>
      <w:r>
        <w:rPr>
          <w:rFonts w:hint="eastAsia"/>
          <w:lang w:val="zh-CN"/>
        </w:rPr>
        <w:t>在人口地理水平分布方面，回马镇各村常住人口整体高于隆盛镇和金元镇，邻近镇区各村常住人口相对较多；在人口地理垂直分布方面，海拔较低的沿涪江和郪江平坝区域人口比较集中，聚居程度较高，30户及以上居民点主要集中在这个区域，海拔较高的丘陵地带分布较为零散。</w:t>
      </w:r>
    </w:p>
    <w:p>
      <w:pPr>
        <w:pStyle w:val="5"/>
        <w:numPr>
          <w:ilvl w:val="0"/>
          <w:numId w:val="8"/>
        </w:numPr>
        <w:spacing w:line="360" w:lineRule="auto"/>
        <w:rPr>
          <w:b/>
          <w:bCs/>
        </w:rPr>
      </w:pPr>
      <w:r>
        <w:rPr>
          <w:rFonts w:hint="eastAsia"/>
          <w:b/>
          <w:bCs/>
        </w:rPr>
        <w:t>公共服务设施和市政基础设施现状分析</w:t>
      </w:r>
    </w:p>
    <w:p>
      <w:pPr>
        <w:pStyle w:val="85"/>
        <w:numPr>
          <w:ilvl w:val="0"/>
          <w:numId w:val="13"/>
        </w:numPr>
        <w:spacing w:line="360" w:lineRule="auto"/>
        <w:ind w:firstLineChars="0"/>
        <w:rPr>
          <w:b/>
          <w:bCs/>
          <w:lang w:val="zh-CN"/>
        </w:rPr>
      </w:pPr>
      <w:r>
        <w:rPr>
          <w:rFonts w:hint="eastAsia"/>
          <w:b/>
          <w:bCs/>
          <w:lang w:val="zh-CN"/>
        </w:rPr>
        <w:t>公共服务设施</w:t>
      </w:r>
    </w:p>
    <w:p>
      <w:pPr>
        <w:pStyle w:val="85"/>
        <w:spacing w:line="360" w:lineRule="auto"/>
        <w:ind w:firstLine="480"/>
        <w:rPr>
          <w:lang w:val="zh-CN"/>
        </w:rPr>
      </w:pPr>
      <w:r>
        <w:rPr>
          <w:rFonts w:hint="eastAsia"/>
          <w:lang w:val="zh-CN"/>
        </w:rPr>
        <w:t>教育、医疗、文化体育等公共服务设施配置比较完善。片区内教育设施包括九年一贯制学校1所（民办）、中学4所、小学</w:t>
      </w:r>
      <w:r>
        <w:rPr>
          <w:lang w:val="zh-CN"/>
        </w:rPr>
        <w:t>14</w:t>
      </w:r>
      <w:r>
        <w:rPr>
          <w:rFonts w:hint="eastAsia"/>
          <w:lang w:val="zh-CN"/>
        </w:rPr>
        <w:t>所和幼儿园9所（含民办），小学及幼儿园基本满足现状教育需求；随着中学生逐步向镇区聚集，隆盛镇初级中学用地紧张，亟需扩建。医疗设施方面，三镇镇区均有一处卫生院，床位数共</w:t>
      </w:r>
      <w:r>
        <w:rPr>
          <w:lang w:val="zh-CN"/>
        </w:rPr>
        <w:t>219</w:t>
      </w:r>
      <w:r>
        <w:rPr>
          <w:rFonts w:hint="eastAsia"/>
          <w:lang w:val="zh-CN"/>
        </w:rPr>
        <w:t>个；除斑竹山村、峡码口村、夏家沟村等</w:t>
      </w:r>
      <w:r>
        <w:rPr>
          <w:lang w:val="zh-CN"/>
        </w:rPr>
        <w:t>5</w:t>
      </w:r>
      <w:r>
        <w:rPr>
          <w:rFonts w:hint="eastAsia"/>
          <w:lang w:val="zh-CN"/>
        </w:rPr>
        <w:t>个村外，其余各村均配有村卫生室，基本满足村民日常就医需求；文化体育设施方面， 9</w:t>
      </w:r>
      <w:r>
        <w:rPr>
          <w:lang w:val="zh-CN"/>
        </w:rPr>
        <w:t>0</w:t>
      </w:r>
      <w:r>
        <w:rPr>
          <w:rFonts w:hint="eastAsia"/>
          <w:lang w:val="zh-CN"/>
        </w:rPr>
        <w:t>%以上行政村配置有文化活动室和体育健身活动场地，基本满足村民日常文化体育活动需求。</w:t>
      </w:r>
    </w:p>
    <w:p>
      <w:pPr>
        <w:pStyle w:val="85"/>
        <w:spacing w:line="360" w:lineRule="auto"/>
        <w:ind w:firstLine="480"/>
        <w:rPr>
          <w:lang w:val="zh-CN"/>
        </w:rPr>
      </w:pPr>
      <w:r>
        <w:rPr>
          <w:rFonts w:hint="eastAsia"/>
          <w:lang w:val="zh-CN"/>
        </w:rPr>
        <w:t>养老、商业等公共服务设施村级层面配套不足。养老设施方面，各镇均有一处敬老院，基本满足各镇集中养老服务需求，但村级日间照料中心配套不足，目前有7</w:t>
      </w:r>
      <w:r>
        <w:rPr>
          <w:lang w:val="zh-CN"/>
        </w:rPr>
        <w:t>4</w:t>
      </w:r>
      <w:r>
        <w:rPr>
          <w:rFonts w:hint="eastAsia"/>
          <w:lang w:val="zh-CN"/>
        </w:rPr>
        <w:t>%的村未配置，从现状人口老龄化以及未来人口变化趋势来看，养老服务需求会逐年变大，各村养老服务设施需进一步完善。商业设施方面，各镇镇区均配置有农贸市场，结合临街商业，基本满足镇区商业服务需求，但是，在村级层面缺少农村电商网点等新业态设施。</w:t>
      </w:r>
    </w:p>
    <w:p>
      <w:pPr>
        <w:pStyle w:val="85"/>
        <w:numPr>
          <w:ilvl w:val="0"/>
          <w:numId w:val="13"/>
        </w:numPr>
        <w:spacing w:line="360" w:lineRule="auto"/>
        <w:ind w:firstLineChars="0"/>
        <w:rPr>
          <w:b/>
          <w:bCs/>
          <w:lang w:val="zh-CN"/>
        </w:rPr>
      </w:pPr>
      <w:r>
        <w:rPr>
          <w:rFonts w:hint="eastAsia"/>
          <w:b/>
          <w:bCs/>
          <w:lang w:val="zh-CN"/>
        </w:rPr>
        <w:t>市政基础设施</w:t>
      </w:r>
    </w:p>
    <w:p>
      <w:pPr>
        <w:pStyle w:val="85"/>
        <w:ind w:firstLine="480"/>
      </w:pPr>
      <w:r>
        <w:rPr>
          <w:rFonts w:hint="eastAsia"/>
        </w:rPr>
        <w:t>供水方面，片区分为两个供水分区，金元镇、隆盛镇属于五五供水分区，回马镇位于回马供水分区。现状主要供水站有3处，分别为永和供水站、犀牛石供水站和金元供水站，其中，永和供水站位于回马镇镇区北侧，采用地下水作为饮用水源，供水规模800m³/d；犀牛石供水站位于隆盛镇镇区中部，采用地表水作为饮用水源，水源地为大英县黄腊溪，供水规模800m³/d；金元供水站位于金元镇镇区东南侧，采用地表水作为饮用水源，水源地为大英县黄腊溪，供水规模</w:t>
      </w:r>
      <w:r>
        <w:t>36</w:t>
      </w:r>
      <w:r>
        <w:rPr>
          <w:rFonts w:hint="eastAsia"/>
        </w:rPr>
        <w:t>0m³/d。现状问题主要为自来水普及率不高，近一半的行政村自来水普及率不足5</w:t>
      </w:r>
      <w:r>
        <w:t>0</w:t>
      </w:r>
      <w:r>
        <w:rPr>
          <w:rFonts w:hint="eastAsia"/>
        </w:rPr>
        <w:t>%；供水设施老化严重，管网漏水率大。</w:t>
      </w:r>
    </w:p>
    <w:p>
      <w:pPr>
        <w:pStyle w:val="85"/>
        <w:ind w:firstLine="480"/>
      </w:pPr>
      <w:r>
        <w:rPr>
          <w:rFonts w:hint="eastAsia"/>
        </w:rPr>
        <w:t>排水方面，农村地区雨水以自然排放为主，雨水沟渠与道路边沟结合，就近排放至临近溪流；各镇镇区除金元镇通过排水沟排水外，均已敷设雨水管，雨水就近排放至河流水系。农村区域生活污水集中处理设施有1</w:t>
      </w:r>
      <w:r>
        <w:t>4</w:t>
      </w:r>
      <w:r>
        <w:rPr>
          <w:rFonts w:hint="eastAsia"/>
        </w:rPr>
        <w:t>个，其中隆盛镇8个，回马镇4个，金元镇2个，主要为新建居民点以及撤并后的乡场处理污水，其他农村居民点生活污水处理以沼气池为主。城镇区域生活污水通过各镇污水处理站进行处理，其中隆盛镇污水处理站设计处理规模</w:t>
      </w:r>
      <w:r>
        <w:t>10</w:t>
      </w:r>
      <w:r>
        <w:rPr>
          <w:rFonts w:hint="eastAsia"/>
        </w:rPr>
        <w:t>00m³/d，实际处理规模</w:t>
      </w:r>
      <w:r>
        <w:t>51</w:t>
      </w:r>
      <w:r>
        <w:rPr>
          <w:rFonts w:hint="eastAsia"/>
        </w:rPr>
        <w:t>0m³/d；回马镇污水处理站设计处理规模1200m³/d，实际处理规模</w:t>
      </w:r>
      <w:r>
        <w:t>4</w:t>
      </w:r>
      <w:r>
        <w:rPr>
          <w:rFonts w:hint="eastAsia"/>
        </w:rPr>
        <w:t>40m³/d；金元镇污水处理站设计处理规模</w:t>
      </w:r>
      <w:r>
        <w:t>3</w:t>
      </w:r>
      <w:r>
        <w:rPr>
          <w:rFonts w:hint="eastAsia"/>
        </w:rPr>
        <w:t>00m³/d，实际处理规模</w:t>
      </w:r>
      <w:r>
        <w:t>17</w:t>
      </w:r>
      <w:r>
        <w:rPr>
          <w:rFonts w:hint="eastAsia"/>
        </w:rPr>
        <w:t>0m³/d，均满足现状生活污水处理要求。现状问题主要为城镇排水存在雨污混流的情况，污水管网破损，需要进行改造。</w:t>
      </w:r>
    </w:p>
    <w:p>
      <w:pPr>
        <w:pStyle w:val="85"/>
        <w:ind w:firstLine="480"/>
      </w:pPr>
      <w:r>
        <w:rPr>
          <w:rFonts w:hint="eastAsia"/>
        </w:rPr>
        <w:t>电力方面，片区内现状供电电源包括一处发电站和三处变电站。发电站为鸡公滩水电站，位于隆盛镇区西侧，并网电压等级10kV，装机容量0.75MW，年发电量0.0025 亿kWh，发电利用346 小时，厂用电率1.65%，非分布式电源。变电站分别为220kV石门变电站、110kV 回马变电站和35kV 隆盛变电站，其中石门变电站位于隆盛镇五一村，主变容量为150000kVA+150000kVA；回马变电站位于回马镇区西侧，主变容量为150000kVA+150000kVA；隆盛变电站位于隆盛镇区永隆街东侧，主变容量为5000kVA。总体上各镇供电基本满足现状，用电高峰期，隆盛变电站重载，最大负载率为82%。</w:t>
      </w:r>
    </w:p>
    <w:p>
      <w:pPr>
        <w:pStyle w:val="85"/>
        <w:ind w:firstLine="480"/>
      </w:pPr>
      <w:r>
        <w:rPr>
          <w:rFonts w:hint="eastAsia"/>
        </w:rPr>
        <w:t>通信方面，片区内各镇区均有一处邮政设施，其中隆盛镇与回马镇为邮政支局，金元镇为邮政所。片区内有一处电信支局，位于隆盛镇镇区。片区通信基站共有123 座，其中，隆盛镇8</w:t>
      </w:r>
      <w:r>
        <w:t>6</w:t>
      </w:r>
      <w:r>
        <w:rPr>
          <w:rFonts w:hint="eastAsia"/>
        </w:rPr>
        <w:t>座，回马镇2</w:t>
      </w:r>
      <w:r>
        <w:t>1</w:t>
      </w:r>
      <w:r>
        <w:rPr>
          <w:rFonts w:hint="eastAsia"/>
        </w:rPr>
        <w:t>座，金元镇1</w:t>
      </w:r>
      <w:r>
        <w:t>6</w:t>
      </w:r>
      <w:r>
        <w:rPr>
          <w:rFonts w:hint="eastAsia"/>
        </w:rPr>
        <w:t>座，站点分布较为分散，隆盛镇与回马镇覆盖范围较为全面，金元镇部分区域覆盖不足。各镇三大移动网络通讯并入市网，已实现村村通电话，公众移动通信设施配套齐全。</w:t>
      </w:r>
    </w:p>
    <w:p>
      <w:pPr>
        <w:pStyle w:val="85"/>
        <w:ind w:firstLine="480"/>
      </w:pPr>
      <w:r>
        <w:rPr>
          <w:rFonts w:hint="eastAsia"/>
        </w:rPr>
        <w:t>燃气方面，片区现状气源主要有大英配气站和桂花中心站，其中隆盛镇、金元镇由大英配气站供气，回马镇由桂花中心站供气。各镇镇区燃气干管均已铺设完成，大部分农村地区燃气主干管已铺设，近8</w:t>
      </w:r>
      <w:r>
        <w:t>0</w:t>
      </w:r>
      <w:r>
        <w:rPr>
          <w:rFonts w:hint="eastAsia"/>
        </w:rPr>
        <w:t>%的行政村燃气入户率超过5</w:t>
      </w:r>
      <w:r>
        <w:t>0</w:t>
      </w:r>
      <w:r>
        <w:rPr>
          <w:rFonts w:hint="eastAsia"/>
        </w:rPr>
        <w:t>%，燃气入户率较高。</w:t>
      </w:r>
    </w:p>
    <w:p>
      <w:pPr>
        <w:pStyle w:val="85"/>
        <w:ind w:firstLine="480"/>
      </w:pPr>
      <w:r>
        <w:rPr>
          <w:rFonts w:hint="eastAsia"/>
        </w:rPr>
        <w:t>环卫方面，片区内有两处垃圾转运站，分别为隆盛镇垃圾转运站和回马镇垃圾转运站，日最大转运量分别为3</w:t>
      </w:r>
      <w:r>
        <w:t>6</w:t>
      </w:r>
      <w:r>
        <w:rPr>
          <w:rFonts w:hint="eastAsia"/>
        </w:rPr>
        <w:t>吨和3</w:t>
      </w:r>
      <w:r>
        <w:t>0</w:t>
      </w:r>
      <w:r>
        <w:rPr>
          <w:rFonts w:hint="eastAsia"/>
        </w:rPr>
        <w:t>吨；垃圾收集点主要分布在居民点附近，镇区内共有31 处垃圾收集点，均匀分布于三个镇区。通过“村收集、镇转运” 城乡垃圾清运一体化模式，镇村垃圾统一收集至垃圾转运站，经压缩处理后统一由三方公司（遂宁川能环卫公司）打包运至射洪发电厂进行焚烧发电。各村户用厕所改造普及情况较好，村级公共厕所基本全覆盖；镇区公共厕所共有1</w:t>
      </w:r>
      <w:r>
        <w:t>3</w:t>
      </w:r>
      <w:r>
        <w:rPr>
          <w:rFonts w:hint="eastAsia"/>
        </w:rPr>
        <w:t>处，其中金元镇镇区仅有1 处公厕，其余两镇镇区各6 处公共厕所。</w:t>
      </w:r>
    </w:p>
    <w:p>
      <w:pPr>
        <w:pStyle w:val="5"/>
        <w:numPr>
          <w:ilvl w:val="0"/>
          <w:numId w:val="8"/>
        </w:numPr>
        <w:spacing w:line="360" w:lineRule="auto"/>
        <w:rPr>
          <w:b/>
          <w:bCs/>
        </w:rPr>
      </w:pPr>
      <w:r>
        <w:rPr>
          <w:rFonts w:hint="eastAsia"/>
          <w:b/>
          <w:bCs/>
        </w:rPr>
        <w:t>道路交通分析</w:t>
      </w:r>
    </w:p>
    <w:p>
      <w:pPr>
        <w:pStyle w:val="85"/>
        <w:ind w:firstLine="480"/>
      </w:pPr>
      <w:r>
        <w:rPr>
          <w:rFonts w:hint="eastAsia"/>
        </w:rPr>
        <w:t>片区交通骨架已基本形成，交通优势初显。</w:t>
      </w:r>
    </w:p>
    <w:p>
      <w:pPr>
        <w:pStyle w:val="85"/>
        <w:numPr>
          <w:ilvl w:val="0"/>
          <w:numId w:val="14"/>
        </w:numPr>
        <w:ind w:firstLineChars="0"/>
        <w:rPr>
          <w:b/>
          <w:bCs/>
        </w:rPr>
      </w:pPr>
      <w:r>
        <w:rPr>
          <w:rFonts w:hint="eastAsia"/>
          <w:b/>
          <w:bCs/>
        </w:rPr>
        <w:t>高速公路、快速路</w:t>
      </w:r>
    </w:p>
    <w:p>
      <w:pPr>
        <w:pStyle w:val="85"/>
        <w:ind w:firstLine="480"/>
      </w:pPr>
      <w:r>
        <w:rPr>
          <w:rFonts w:hint="eastAsia"/>
        </w:rPr>
        <w:t>片区已形成“两横一纵”高速、快速交通格局，两条高速（沪蓉高速、遂德高速）和一条快速路（遂大快速通道）已建成通车，并在回马和隆盛各设有</w:t>
      </w:r>
      <w:r>
        <w:t>1</w:t>
      </w:r>
      <w:r>
        <w:rPr>
          <w:rFonts w:hint="eastAsia"/>
        </w:rPr>
        <w:t>处下道口，打通了本片区向东通往遂宁市区、南充，向西通往成都，向南通往潼南、重庆，向北通往德阳、绵阳等地的大通道。</w:t>
      </w:r>
    </w:p>
    <w:p>
      <w:pPr>
        <w:pStyle w:val="85"/>
        <w:numPr>
          <w:ilvl w:val="0"/>
          <w:numId w:val="14"/>
        </w:numPr>
        <w:ind w:firstLineChars="0"/>
        <w:rPr>
          <w:b/>
          <w:bCs/>
        </w:rPr>
      </w:pPr>
      <w:r>
        <w:rPr>
          <w:rFonts w:hint="eastAsia"/>
          <w:b/>
          <w:bCs/>
        </w:rPr>
        <w:t>国道、省道</w:t>
      </w:r>
    </w:p>
    <w:p>
      <w:pPr>
        <w:pStyle w:val="85"/>
        <w:ind w:firstLine="480"/>
      </w:pPr>
      <w:r>
        <w:rPr>
          <w:rFonts w:hint="eastAsia"/>
        </w:rPr>
        <w:t>已形成“一横两纵”国省干道交通格局，中部有国道</w:t>
      </w:r>
      <w:r>
        <w:t>G350</w:t>
      </w:r>
      <w:r>
        <w:rPr>
          <w:rFonts w:hint="eastAsia"/>
        </w:rPr>
        <w:t>横贯隆盛镇，联系大英城区和遂宁市区；东北部有国道</w:t>
      </w:r>
      <w:r>
        <w:t>G247</w:t>
      </w:r>
      <w:r>
        <w:rPr>
          <w:rFonts w:hint="eastAsia"/>
        </w:rPr>
        <w:t>纵穿回马镇，联系射洪城区和遂宁市区；省道</w:t>
      </w:r>
      <w:r>
        <w:t>S207</w:t>
      </w:r>
      <w:r>
        <w:rPr>
          <w:rFonts w:hint="eastAsia"/>
        </w:rPr>
        <w:t>纵向穿过隆盛镇和金元镇，联系天保镇和射洪明星镇。</w:t>
      </w:r>
    </w:p>
    <w:p>
      <w:pPr>
        <w:pStyle w:val="85"/>
        <w:numPr>
          <w:ilvl w:val="0"/>
          <w:numId w:val="14"/>
        </w:numPr>
        <w:ind w:firstLineChars="0"/>
        <w:rPr>
          <w:b/>
          <w:bCs/>
        </w:rPr>
      </w:pPr>
      <w:r>
        <w:rPr>
          <w:rFonts w:hint="eastAsia"/>
          <w:b/>
          <w:bCs/>
        </w:rPr>
        <w:t>县道及乡村道路</w:t>
      </w:r>
    </w:p>
    <w:p>
      <w:pPr>
        <w:pStyle w:val="85"/>
        <w:ind w:firstLine="480"/>
      </w:pPr>
      <w:r>
        <w:rPr>
          <w:rFonts w:hint="eastAsia"/>
        </w:rPr>
        <w:t>片区内县道路网已基本形成，但宽度和路面质量有待升级；村村通公路均已完成，大部分路面已完成硬化，呈枝状通往各个行政村，但道路宽度不均，多数村组道路宽度低于3</w:t>
      </w:r>
      <w:r>
        <w:t>.5</w:t>
      </w:r>
      <w:r>
        <w:rPr>
          <w:rFonts w:hint="eastAsia"/>
        </w:rPr>
        <w:t>m；生产性道路存在道路不完备、路面宽度不够和路面质量较差的情况。</w:t>
      </w:r>
    </w:p>
    <w:p>
      <w:pPr>
        <w:pStyle w:val="5"/>
        <w:numPr>
          <w:ilvl w:val="0"/>
          <w:numId w:val="8"/>
        </w:numPr>
        <w:spacing w:line="360" w:lineRule="auto"/>
        <w:rPr>
          <w:b/>
          <w:bCs/>
        </w:rPr>
      </w:pPr>
      <w:r>
        <w:rPr>
          <w:rFonts w:hint="eastAsia"/>
          <w:b/>
          <w:bCs/>
        </w:rPr>
        <w:t>人居环境分析</w:t>
      </w:r>
    </w:p>
    <w:p>
      <w:pPr>
        <w:pStyle w:val="85"/>
        <w:numPr>
          <w:ilvl w:val="0"/>
          <w:numId w:val="15"/>
        </w:numPr>
        <w:ind w:firstLineChars="0"/>
        <w:rPr>
          <w:b/>
          <w:bCs/>
          <w:lang w:val="zh-CN"/>
        </w:rPr>
      </w:pPr>
      <w:r>
        <w:rPr>
          <w:rFonts w:hint="eastAsia"/>
          <w:b/>
          <w:bCs/>
          <w:lang w:val="zh-CN"/>
        </w:rPr>
        <w:t>乡村环境</w:t>
      </w:r>
    </w:p>
    <w:p>
      <w:pPr>
        <w:pStyle w:val="85"/>
        <w:ind w:firstLine="480"/>
        <w:rPr>
          <w:lang w:val="zh-CN"/>
        </w:rPr>
      </w:pPr>
      <w:r>
        <w:rPr>
          <w:rFonts w:hint="eastAsia"/>
          <w:lang w:val="zh-CN"/>
        </w:rPr>
        <w:t>乡村人居环境建设成效明显，生活环境大为改善。截至2020年底，大英县农村生活垃圾得到有效治理率达95%，农村生活污水得到有效处理的行政村达65%，农村户用卫生厕所普及率达95%，畜禽粪污综合利用率达92%以上，村容村貌明显改善，农村居民文明素养显著提升。但农村基础设施和公服设施仍有欠缺，需进一步补足和完善。</w:t>
      </w:r>
    </w:p>
    <w:p>
      <w:pPr>
        <w:pStyle w:val="85"/>
        <w:numPr>
          <w:ilvl w:val="0"/>
          <w:numId w:val="15"/>
        </w:numPr>
        <w:ind w:firstLineChars="0"/>
        <w:rPr>
          <w:b/>
          <w:bCs/>
          <w:lang w:val="zh-CN"/>
        </w:rPr>
      </w:pPr>
      <w:r>
        <w:rPr>
          <w:rFonts w:hint="eastAsia"/>
          <w:b/>
          <w:bCs/>
          <w:lang w:val="zh-CN"/>
        </w:rPr>
        <w:t>乡村风貌</w:t>
      </w:r>
    </w:p>
    <w:p>
      <w:pPr>
        <w:pStyle w:val="85"/>
        <w:ind w:firstLine="480"/>
        <w:rPr>
          <w:lang w:val="zh-CN"/>
        </w:rPr>
      </w:pPr>
      <w:r>
        <w:rPr>
          <w:rFonts w:hint="eastAsia"/>
          <w:lang w:val="zh-CN"/>
        </w:rPr>
        <w:t>新建聚居点风貌特色鲜明，其余乡村建筑缺乏风貌管控。现状乡村新建聚居点建筑风貌管控较好，建筑多运用瓦、木、石、竹等乡土材料，形成“坡屋顶、小青瓦、白粉墙”的建筑特色，符合丘陵川中民居风貌要求。但也存在部分乡村建筑房屋破旧、随意搭建蓝色彩钢棚、风貌杂乱等问题，缺乏建筑风貌有效管控。</w:t>
      </w:r>
    </w:p>
    <w:p>
      <w:pPr>
        <w:pStyle w:val="5"/>
        <w:numPr>
          <w:ilvl w:val="0"/>
          <w:numId w:val="8"/>
        </w:numPr>
        <w:spacing w:line="360" w:lineRule="auto"/>
        <w:rPr>
          <w:b/>
          <w:bCs/>
        </w:rPr>
      </w:pPr>
      <w:r>
        <w:rPr>
          <w:rFonts w:hint="eastAsia"/>
          <w:b/>
          <w:bCs/>
        </w:rPr>
        <w:t>片区主要特征</w:t>
      </w:r>
    </w:p>
    <w:p>
      <w:pPr>
        <w:pStyle w:val="81"/>
        <w:numPr>
          <w:ilvl w:val="0"/>
          <w:numId w:val="16"/>
        </w:numPr>
        <w:spacing w:line="360" w:lineRule="auto"/>
        <w:ind w:firstLineChars="0"/>
        <w:rPr>
          <w:rFonts w:ascii="宋体" w:hAnsi="宋体"/>
          <w:b/>
          <w:bCs/>
        </w:rPr>
      </w:pPr>
      <w:r>
        <w:rPr>
          <w:rFonts w:hint="eastAsia" w:ascii="宋体" w:hAnsi="宋体"/>
          <w:b/>
          <w:bCs/>
          <w:sz w:val="24"/>
          <w:szCs w:val="24"/>
        </w:rPr>
        <w:t>区位特征——遂大融城节点，交通区位优势明显</w:t>
      </w:r>
    </w:p>
    <w:p>
      <w:pPr>
        <w:pStyle w:val="85"/>
        <w:spacing w:line="360" w:lineRule="auto"/>
        <w:ind w:firstLine="480"/>
        <w:rPr>
          <w:lang w:val="zh-CN"/>
        </w:rPr>
      </w:pPr>
      <w:r>
        <w:rPr>
          <w:rFonts w:hint="eastAsia"/>
          <w:lang w:val="zh-CN"/>
        </w:rPr>
        <w:t>本片区在空间上位于遂大融城发展轴线上，是遂大快速通道上唯一城镇空间，将作为大英融城发展重要节点。同时，本片区又处于大英县城和遂宁市区半小时交通辐射圈内，属于典型的城市近郊区域，适宜承接城区部分产业外溢，并作为双城近郊重要旅游服务区域。通过“两高一快”对外交通以及大英东站、遂宁站等综合交通枢纽转换，本片区进一步融入成渝发展中轴北线，整体区位优势明显。</w:t>
      </w:r>
    </w:p>
    <w:p>
      <w:pPr>
        <w:pStyle w:val="81"/>
        <w:numPr>
          <w:ilvl w:val="0"/>
          <w:numId w:val="16"/>
        </w:numPr>
        <w:spacing w:line="360" w:lineRule="auto"/>
        <w:ind w:firstLineChars="0"/>
        <w:rPr>
          <w:rFonts w:ascii="宋体" w:hAnsi="宋体"/>
          <w:b/>
          <w:bCs/>
        </w:rPr>
      </w:pPr>
      <w:r>
        <w:rPr>
          <w:rFonts w:hint="eastAsia" w:ascii="宋体" w:hAnsi="宋体"/>
          <w:b/>
          <w:bCs/>
          <w:sz w:val="24"/>
          <w:szCs w:val="24"/>
        </w:rPr>
        <w:t>空间特征——缓丘浅丘多谷、两江三溪多坝</w:t>
      </w:r>
    </w:p>
    <w:p>
      <w:pPr>
        <w:pStyle w:val="85"/>
        <w:spacing w:line="360" w:lineRule="auto"/>
        <w:ind w:firstLine="480"/>
        <w:rPr>
          <w:lang w:val="zh-CN"/>
        </w:rPr>
      </w:pPr>
      <w:r>
        <w:rPr>
          <w:rFonts w:hint="eastAsia"/>
          <w:lang w:val="zh-CN"/>
        </w:rPr>
        <w:t>片区属于典型的低山丘陵地区，除沿江和沿溪分布较多缓丘平坝外，其余大部分区域以浅丘为主。典型的地形地貌影响片区的土地空间分布，在水平空间上，沿江平坝区域居民点集中连片，聚集程度较高，其他浅丘区域居民点分布相对零散，规模较小；在垂直空间上，形成了“丘上林、丘下居、丘谷田”空间特征。</w:t>
      </w:r>
    </w:p>
    <w:p>
      <w:pPr>
        <w:pStyle w:val="81"/>
        <w:numPr>
          <w:ilvl w:val="0"/>
          <w:numId w:val="16"/>
        </w:numPr>
        <w:spacing w:line="360" w:lineRule="auto"/>
        <w:ind w:firstLineChars="0"/>
        <w:rPr>
          <w:rFonts w:ascii="宋体" w:hAnsi="宋体"/>
          <w:b/>
          <w:bCs/>
        </w:rPr>
      </w:pPr>
      <w:r>
        <w:rPr>
          <w:rFonts w:hint="eastAsia" w:ascii="宋体" w:hAnsi="宋体"/>
          <w:b/>
          <w:bCs/>
          <w:sz w:val="24"/>
          <w:szCs w:val="24"/>
        </w:rPr>
        <w:t>资源特征——农文旅资源丰富多样，良好的旅游康养产业基础</w:t>
      </w:r>
    </w:p>
    <w:p>
      <w:pPr>
        <w:pStyle w:val="85"/>
        <w:spacing w:line="360" w:lineRule="auto"/>
        <w:ind w:firstLine="480"/>
        <w:rPr>
          <w:lang w:val="zh-CN"/>
        </w:rPr>
      </w:pPr>
      <w:r>
        <w:rPr>
          <w:rFonts w:hint="eastAsia"/>
          <w:lang w:val="zh-CN"/>
        </w:rPr>
        <w:t>片区内资源类型包括文化资源、自然资源、农旅资源等，种类丰富多样，其中县级以上文物保护单位数量超过大英县</w:t>
      </w:r>
      <w:r>
        <w:rPr>
          <w:lang w:val="zh-CN"/>
        </w:rPr>
        <w:t>1/3</w:t>
      </w:r>
      <w:r>
        <w:rPr>
          <w:rFonts w:hint="eastAsia"/>
          <w:lang w:val="zh-CN"/>
        </w:rPr>
        <w:t>，自然资源以涪江、郪江、小型水库等生态观光资源为主，农旅资源有大英县中药材现代农业园、大英绿色蔬菜现代农业园以及红豆杉养生谷、军辉农场等。</w:t>
      </w:r>
    </w:p>
    <w:p>
      <w:pPr>
        <w:pStyle w:val="81"/>
        <w:numPr>
          <w:ilvl w:val="0"/>
          <w:numId w:val="16"/>
        </w:numPr>
        <w:spacing w:line="360" w:lineRule="auto"/>
        <w:ind w:firstLineChars="0"/>
        <w:rPr>
          <w:rFonts w:ascii="宋体" w:hAnsi="宋体"/>
          <w:b/>
          <w:bCs/>
        </w:rPr>
      </w:pPr>
      <w:r>
        <w:rPr>
          <w:rFonts w:hint="eastAsia" w:ascii="宋体" w:hAnsi="宋体"/>
          <w:b/>
          <w:bCs/>
          <w:sz w:val="24"/>
          <w:szCs w:val="24"/>
        </w:rPr>
        <w:t>产业特征——农业园区化发展趋势明显，一、二、三产融合潜力大</w:t>
      </w:r>
    </w:p>
    <w:p>
      <w:pPr>
        <w:pStyle w:val="85"/>
        <w:spacing w:line="360" w:lineRule="auto"/>
        <w:ind w:firstLine="480"/>
        <w:rPr>
          <w:lang w:val="zh-CN"/>
        </w:rPr>
      </w:pPr>
      <w:r>
        <w:rPr>
          <w:rFonts w:hint="eastAsia"/>
          <w:lang w:val="zh-CN"/>
        </w:rPr>
        <w:t>片区未来将建设形成三大现代农业园区，包括已建成的以隆盛为核心的大英县中药材现代农业园区和以回马为核心的大英县绿色蔬菜现代农业园区，以及在“十四五”规划中将要建设的以金元为核心的种养循环现代农业园区。依托扎实的一产基础条件、便利的交通条件和作为城市近郊空间的区位优势，为片区未来一二产、一三产融合发展创造了较好的条件。</w:t>
      </w:r>
    </w:p>
    <w:p>
      <w:pPr>
        <w:numPr>
          <w:ilvl w:val="1"/>
          <w:numId w:val="7"/>
        </w:numPr>
        <w:tabs>
          <w:tab w:val="left" w:pos="680"/>
          <w:tab w:val="left" w:pos="840"/>
        </w:tabs>
        <w:spacing w:before="312" w:beforeLines="100" w:after="312" w:afterLines="100" w:line="440" w:lineRule="exact"/>
        <w:jc w:val="left"/>
        <w:outlineLvl w:val="1"/>
        <w:rPr>
          <w:rFonts w:hAnsi="宋体"/>
          <w:b/>
          <w:sz w:val="28"/>
          <w:szCs w:val="28"/>
        </w:rPr>
      </w:pPr>
      <w:bookmarkStart w:id="24" w:name="_Toc141369718"/>
      <w:bookmarkStart w:id="25" w:name="_Toc106959976"/>
      <w:r>
        <w:rPr>
          <w:rFonts w:hint="eastAsia" w:hAnsi="宋体"/>
          <w:b/>
          <w:sz w:val="28"/>
          <w:szCs w:val="28"/>
        </w:rPr>
        <w:t>规划评价与评估</w:t>
      </w:r>
      <w:bookmarkEnd w:id="24"/>
      <w:bookmarkEnd w:id="25"/>
    </w:p>
    <w:p>
      <w:pPr>
        <w:pStyle w:val="5"/>
        <w:numPr>
          <w:ilvl w:val="3"/>
          <w:numId w:val="7"/>
        </w:numPr>
        <w:spacing w:line="360" w:lineRule="auto"/>
        <w:ind w:left="420"/>
        <w:jc w:val="left"/>
        <w:rPr>
          <w:b/>
          <w:bCs/>
        </w:rPr>
      </w:pPr>
      <w:r>
        <w:rPr>
          <w:rFonts w:hint="eastAsia"/>
          <w:b/>
          <w:bCs/>
        </w:rPr>
        <w:t>国土空间适宜性评价</w:t>
      </w:r>
    </w:p>
    <w:p>
      <w:pPr>
        <w:pStyle w:val="85"/>
        <w:numPr>
          <w:ilvl w:val="0"/>
          <w:numId w:val="17"/>
        </w:numPr>
        <w:spacing w:line="360" w:lineRule="auto"/>
        <w:ind w:firstLineChars="0"/>
        <w:rPr>
          <w:b/>
          <w:bCs/>
          <w:lang w:val="zh-CN"/>
        </w:rPr>
      </w:pPr>
      <w:r>
        <w:rPr>
          <w:rFonts w:hint="eastAsia"/>
          <w:b/>
          <w:bCs/>
          <w:lang w:val="zh-CN"/>
        </w:rPr>
        <w:t>农业生产适宜性评价</w:t>
      </w:r>
    </w:p>
    <w:p>
      <w:pPr>
        <w:pStyle w:val="85"/>
        <w:spacing w:line="360" w:lineRule="auto"/>
        <w:ind w:firstLine="480"/>
        <w:rPr>
          <w:lang w:val="zh-CN"/>
        </w:rPr>
      </w:pPr>
      <w:r>
        <w:rPr>
          <w:rFonts w:hint="eastAsia"/>
          <w:lang w:val="zh-CN"/>
        </w:rPr>
        <w:t>农业生产适宜区面积</w:t>
      </w:r>
      <w:r>
        <w:rPr>
          <w:rFonts w:hint="eastAsia"/>
        </w:rPr>
        <w:t>11949.01</w:t>
      </w:r>
      <w:r>
        <w:rPr>
          <w:rFonts w:hint="eastAsia"/>
          <w:lang w:val="zh-CN"/>
        </w:rPr>
        <w:t>公顷，占全域面积的</w:t>
      </w:r>
      <w:r>
        <w:rPr>
          <w:rFonts w:hint="eastAsia"/>
        </w:rPr>
        <w:t>57.00</w:t>
      </w:r>
      <w:r>
        <w:rPr>
          <w:lang w:val="zh-CN"/>
        </w:rPr>
        <w:t>%</w:t>
      </w:r>
      <w:r>
        <w:rPr>
          <w:rFonts w:hint="eastAsia"/>
          <w:lang w:val="zh-CN"/>
        </w:rPr>
        <w:t>，主要分布于低山缓丘和河谷平坝区域。不适宜区面积</w:t>
      </w:r>
      <w:r>
        <w:rPr>
          <w:rFonts w:hint="eastAsia"/>
        </w:rPr>
        <w:t>4509.24</w:t>
      </w:r>
      <w:r>
        <w:rPr>
          <w:rFonts w:hint="eastAsia"/>
          <w:lang w:val="zh-CN"/>
        </w:rPr>
        <w:t>公顷，占全域面积的</w:t>
      </w:r>
      <w:r>
        <w:rPr>
          <w:rFonts w:hint="eastAsia"/>
        </w:rPr>
        <w:t>21.51</w:t>
      </w:r>
      <w:r>
        <w:rPr>
          <w:lang w:val="zh-CN"/>
        </w:rPr>
        <w:t>%</w:t>
      </w:r>
      <w:r>
        <w:rPr>
          <w:rFonts w:hint="eastAsia"/>
          <w:lang w:val="zh-CN"/>
        </w:rPr>
        <w:t>，主要分布于水域、现状建成区和海拔较高的区域。</w:t>
      </w:r>
    </w:p>
    <w:p>
      <w:pPr>
        <w:pStyle w:val="85"/>
        <w:numPr>
          <w:ilvl w:val="0"/>
          <w:numId w:val="17"/>
        </w:numPr>
        <w:spacing w:line="360" w:lineRule="auto"/>
        <w:ind w:firstLineChars="0"/>
        <w:rPr>
          <w:b/>
          <w:bCs/>
          <w:lang w:val="zh-CN"/>
        </w:rPr>
      </w:pPr>
      <w:r>
        <w:rPr>
          <w:rFonts w:hint="eastAsia"/>
          <w:b/>
          <w:bCs/>
          <w:lang w:val="zh-CN"/>
        </w:rPr>
        <w:t>生态保护重要性评价</w:t>
      </w:r>
    </w:p>
    <w:p>
      <w:pPr>
        <w:pStyle w:val="85"/>
        <w:spacing w:line="360" w:lineRule="auto"/>
        <w:ind w:firstLine="480"/>
        <w:rPr>
          <w:lang w:val="zh-CN"/>
        </w:rPr>
      </w:pPr>
      <w:r>
        <w:rPr>
          <w:rFonts w:hint="eastAsia"/>
          <w:lang w:val="zh-CN"/>
        </w:rPr>
        <w:t>根据生态保护重要性评价初步结果进行修正，结合本片区实际情况，确定生态保护集中区主要为水源涵养。本片区生态保护极重要区面积为</w:t>
      </w:r>
      <w:r>
        <w:rPr>
          <w:rFonts w:hint="eastAsia"/>
        </w:rPr>
        <w:t>17.68</w:t>
      </w:r>
      <w:r>
        <w:rPr>
          <w:rFonts w:hint="eastAsia"/>
          <w:lang w:val="zh-CN"/>
        </w:rPr>
        <w:t>公顷，占全域面积的</w:t>
      </w:r>
      <w:r>
        <w:rPr>
          <w:lang w:val="zh-CN"/>
        </w:rPr>
        <w:t>0.08%</w:t>
      </w:r>
      <w:r>
        <w:rPr>
          <w:rFonts w:hint="eastAsia"/>
          <w:lang w:val="zh-CN"/>
        </w:rPr>
        <w:t>，为回马镇</w:t>
      </w:r>
      <w:r>
        <w:rPr>
          <w:rFonts w:hint="eastAsia" w:ascii="宋体" w:hAnsi="宋体"/>
        </w:rPr>
        <w:t>涪江东山村集中式水源一级保护区</w:t>
      </w:r>
      <w:r>
        <w:rPr>
          <w:rFonts w:hint="eastAsia"/>
          <w:lang w:val="zh-CN"/>
        </w:rPr>
        <w:t>。</w:t>
      </w:r>
    </w:p>
    <w:p>
      <w:pPr>
        <w:pStyle w:val="85"/>
        <w:numPr>
          <w:ilvl w:val="0"/>
          <w:numId w:val="17"/>
        </w:numPr>
        <w:spacing w:line="360" w:lineRule="auto"/>
        <w:ind w:firstLineChars="0"/>
        <w:rPr>
          <w:b/>
          <w:bCs/>
          <w:lang w:val="zh-CN"/>
        </w:rPr>
      </w:pPr>
      <w:r>
        <w:rPr>
          <w:rFonts w:hint="eastAsia"/>
          <w:b/>
          <w:bCs/>
          <w:lang w:val="zh-CN"/>
        </w:rPr>
        <w:t>城镇建设适宜性评价</w:t>
      </w:r>
    </w:p>
    <w:p>
      <w:pPr>
        <w:pStyle w:val="85"/>
        <w:spacing w:line="360" w:lineRule="auto"/>
        <w:ind w:firstLine="480"/>
        <w:rPr>
          <w:lang w:val="zh-CN"/>
        </w:rPr>
      </w:pPr>
      <w:r>
        <w:rPr>
          <w:rFonts w:hint="eastAsia"/>
          <w:lang w:val="zh-CN"/>
        </w:rPr>
        <w:t>城镇建设适宜区面积为</w:t>
      </w:r>
      <w:r>
        <w:rPr>
          <w:rFonts w:hint="eastAsia"/>
        </w:rPr>
        <w:t>10337.21</w:t>
      </w:r>
      <w:r>
        <w:rPr>
          <w:rFonts w:hint="eastAsia"/>
          <w:lang w:val="zh-CN"/>
        </w:rPr>
        <w:t>公顷，占全域面积的</w:t>
      </w:r>
      <w:r>
        <w:rPr>
          <w:rFonts w:hint="eastAsia"/>
        </w:rPr>
        <w:t>49.37</w:t>
      </w:r>
      <w:r>
        <w:rPr>
          <w:lang w:val="zh-CN"/>
        </w:rPr>
        <w:t>%</w:t>
      </w:r>
      <w:r>
        <w:rPr>
          <w:rFonts w:hint="eastAsia"/>
          <w:lang w:val="zh-CN"/>
        </w:rPr>
        <w:t>，主要分布于河谷平坝区域。不适宜区面积为</w:t>
      </w:r>
      <w:r>
        <w:rPr>
          <w:rFonts w:hint="eastAsia"/>
        </w:rPr>
        <w:t>4593.06</w:t>
      </w:r>
      <w:r>
        <w:rPr>
          <w:rFonts w:hint="eastAsia"/>
          <w:lang w:val="zh-CN"/>
        </w:rPr>
        <w:t>公顷，占全域面积的</w:t>
      </w:r>
      <w:r>
        <w:rPr>
          <w:rFonts w:hint="eastAsia"/>
        </w:rPr>
        <w:t>21.91</w:t>
      </w:r>
      <w:r>
        <w:rPr>
          <w:lang w:val="zh-CN"/>
        </w:rPr>
        <w:t>%</w:t>
      </w:r>
      <w:r>
        <w:rPr>
          <w:rFonts w:hint="eastAsia"/>
          <w:lang w:val="zh-CN"/>
        </w:rPr>
        <w:t>。</w:t>
      </w:r>
    </w:p>
    <w:p>
      <w:pPr>
        <w:pStyle w:val="5"/>
        <w:numPr>
          <w:ilvl w:val="3"/>
          <w:numId w:val="7"/>
        </w:numPr>
        <w:spacing w:line="360" w:lineRule="auto"/>
        <w:ind w:left="420"/>
        <w:jc w:val="left"/>
        <w:rPr>
          <w:b/>
          <w:bCs/>
        </w:rPr>
      </w:pPr>
      <w:r>
        <w:rPr>
          <w:rFonts w:hint="eastAsia"/>
          <w:b/>
          <w:bCs/>
        </w:rPr>
        <w:t>规划评估</w:t>
      </w:r>
    </w:p>
    <w:p>
      <w:pPr>
        <w:pStyle w:val="85"/>
        <w:numPr>
          <w:ilvl w:val="0"/>
          <w:numId w:val="18"/>
        </w:numPr>
        <w:spacing w:line="360" w:lineRule="auto"/>
        <w:ind w:firstLineChars="0"/>
        <w:rPr>
          <w:b/>
          <w:bCs/>
          <w:lang w:val="zh-CN"/>
        </w:rPr>
      </w:pPr>
      <w:r>
        <w:rPr>
          <w:rFonts w:hint="eastAsia"/>
          <w:b/>
          <w:bCs/>
          <w:lang w:val="zh-CN"/>
        </w:rPr>
        <w:t>既有土地利用总体规划实施评估</w:t>
      </w:r>
    </w:p>
    <w:p>
      <w:pPr>
        <w:pStyle w:val="85"/>
        <w:spacing w:line="360" w:lineRule="auto"/>
        <w:ind w:firstLine="480"/>
        <w:rPr>
          <w:lang w:val="zh-CN"/>
        </w:rPr>
      </w:pPr>
      <w:r>
        <w:rPr>
          <w:rFonts w:hint="eastAsia"/>
          <w:lang w:val="zh-CN"/>
        </w:rPr>
        <w:t>片区规划范围内主要约束性指标为耕地保有量、永久基本农田保护目标、城乡建设用地规模。“2020年度国土变更调查数据”显示，片区现状耕地规模9</w:t>
      </w:r>
      <w:r>
        <w:rPr>
          <w:rFonts w:hint="eastAsia"/>
        </w:rPr>
        <w:t>655.80</w:t>
      </w:r>
      <w:r>
        <w:rPr>
          <w:rFonts w:hint="eastAsia"/>
          <w:lang w:val="zh-CN"/>
        </w:rPr>
        <w:t>公顷，相比土地利用总体规划确定的耕地保有量</w:t>
      </w:r>
      <w:r>
        <w:rPr>
          <w:lang w:val="zh-CN"/>
        </w:rPr>
        <w:t>12421.7</w:t>
      </w:r>
      <w:r>
        <w:rPr>
          <w:rFonts w:hint="eastAsia"/>
        </w:rPr>
        <w:t>0</w:t>
      </w:r>
      <w:r>
        <w:rPr>
          <w:rFonts w:hint="eastAsia"/>
          <w:lang w:val="zh-CN"/>
        </w:rPr>
        <w:t>公顷，减少约</w:t>
      </w:r>
      <w:r>
        <w:rPr>
          <w:lang w:val="zh-CN"/>
        </w:rPr>
        <w:t>22.</w:t>
      </w:r>
      <w:r>
        <w:rPr>
          <w:rFonts w:hint="eastAsia"/>
        </w:rPr>
        <w:t>27</w:t>
      </w:r>
      <w:r>
        <w:rPr>
          <w:lang w:val="zh-CN"/>
        </w:rPr>
        <w:t>%</w:t>
      </w:r>
      <w:r>
        <w:rPr>
          <w:rFonts w:hint="eastAsia"/>
          <w:lang w:val="zh-CN"/>
        </w:rPr>
        <w:t>；土地利用规划确定的永久基本农田保护目标为</w:t>
      </w:r>
      <w:r>
        <w:rPr>
          <w:lang w:val="zh-CN"/>
        </w:rPr>
        <w:t>10512.08</w:t>
      </w:r>
      <w:r>
        <w:rPr>
          <w:rFonts w:hint="eastAsia"/>
          <w:lang w:val="zh-CN"/>
        </w:rPr>
        <w:t>公顷，其中永久基本农田范围内现状仍为耕地的面积约</w:t>
      </w:r>
      <w:r>
        <w:rPr>
          <w:lang w:val="zh-CN"/>
        </w:rPr>
        <w:t>9223.42</w:t>
      </w:r>
      <w:r>
        <w:rPr>
          <w:rFonts w:hint="eastAsia"/>
          <w:lang w:val="zh-CN"/>
        </w:rPr>
        <w:t>公顷，非耕地占比</w:t>
      </w:r>
      <w:r>
        <w:rPr>
          <w:lang w:val="zh-CN"/>
        </w:rPr>
        <w:t>12.26%</w:t>
      </w:r>
      <w:r>
        <w:rPr>
          <w:rFonts w:hint="eastAsia"/>
          <w:lang w:val="zh-CN"/>
        </w:rPr>
        <w:t>，耕地与永久基本农田保护压力大。规划城乡建设用地规模</w:t>
      </w:r>
      <w:r>
        <w:rPr>
          <w:lang w:val="zh-CN"/>
        </w:rPr>
        <w:t>2660.66</w:t>
      </w:r>
      <w:r>
        <w:rPr>
          <w:rFonts w:hint="eastAsia"/>
          <w:lang w:val="zh-CN"/>
        </w:rPr>
        <w:t>公顷，现状城乡建设用地规模18</w:t>
      </w:r>
      <w:r>
        <w:rPr>
          <w:rFonts w:hint="eastAsia"/>
        </w:rPr>
        <w:t>19.73</w:t>
      </w:r>
      <w:r>
        <w:rPr>
          <w:rFonts w:hint="eastAsia"/>
          <w:lang w:val="zh-CN"/>
        </w:rPr>
        <w:t>公顷，未超过规划目标。</w:t>
      </w:r>
    </w:p>
    <w:p>
      <w:pPr>
        <w:pStyle w:val="85"/>
        <w:numPr>
          <w:ilvl w:val="0"/>
          <w:numId w:val="18"/>
        </w:numPr>
        <w:spacing w:line="360" w:lineRule="auto"/>
        <w:ind w:firstLineChars="0"/>
        <w:rPr>
          <w:b/>
          <w:bCs/>
          <w:lang w:val="zh-CN"/>
        </w:rPr>
      </w:pPr>
      <w:r>
        <w:rPr>
          <w:rFonts w:hint="eastAsia"/>
          <w:b/>
          <w:bCs/>
          <w:lang w:val="zh-CN"/>
        </w:rPr>
        <w:t>现行镇总体规划实施评估</w:t>
      </w:r>
    </w:p>
    <w:p>
      <w:pPr>
        <w:pStyle w:val="85"/>
        <w:spacing w:line="360" w:lineRule="auto"/>
        <w:ind w:firstLine="480"/>
        <w:rPr>
          <w:lang w:val="zh-CN"/>
        </w:rPr>
      </w:pPr>
      <w:r>
        <w:rPr>
          <w:rFonts w:hint="eastAsia"/>
          <w:lang w:val="zh-CN"/>
        </w:rPr>
        <w:t>目标定位方面，隆盛、回马发展方向较规划定位存在偏差，各镇近期目标完成情况均不理想。隆盛镇规划定位为“成渝走廊上以文化旅游为特色的生态田园宜居城市，四川省‘两化互动、产城一体’示范地”，现状隆盛积极建设“药香康养小镇”，建成省级道地中药材现代农业园区，发展方向与规划存在偏差；与规划近期目标相比，隆盛常住人口达成率为7</w:t>
      </w:r>
      <w:r>
        <w:rPr>
          <w:lang w:val="zh-CN"/>
        </w:rPr>
        <w:t>0.34</w:t>
      </w:r>
      <w:r>
        <w:rPr>
          <w:rFonts w:hint="eastAsia"/>
          <w:lang w:val="zh-CN"/>
        </w:rPr>
        <w:t>%，常住人口城镇化率达成率为3</w:t>
      </w:r>
      <w:r>
        <w:rPr>
          <w:lang w:val="zh-CN"/>
        </w:rPr>
        <w:t>1.39</w:t>
      </w:r>
      <w:r>
        <w:rPr>
          <w:rFonts w:hint="eastAsia"/>
          <w:lang w:val="zh-CN"/>
        </w:rPr>
        <w:t>%，</w:t>
      </w:r>
      <w:r>
        <w:t>国内生产总值</w:t>
      </w:r>
      <w:r>
        <w:rPr>
          <w:rFonts w:hint="eastAsia"/>
          <w:lang w:val="zh-CN"/>
        </w:rPr>
        <w:t>达成率为9</w:t>
      </w:r>
      <w:r>
        <w:rPr>
          <w:lang w:val="zh-CN"/>
        </w:rPr>
        <w:t>2</w:t>
      </w:r>
      <w:r>
        <w:rPr>
          <w:rFonts w:hint="eastAsia"/>
          <w:lang w:val="zh-CN"/>
        </w:rPr>
        <w:t>%，农村人均</w:t>
      </w:r>
      <w:r>
        <w:t>国内生产总值</w:t>
      </w:r>
      <w:r>
        <w:rPr>
          <w:rFonts w:hint="eastAsia"/>
          <w:lang w:val="zh-CN"/>
        </w:rPr>
        <w:t>达成率为3</w:t>
      </w:r>
      <w:r>
        <w:rPr>
          <w:lang w:val="zh-CN"/>
        </w:rPr>
        <w:t>7.78</w:t>
      </w:r>
      <w:r>
        <w:rPr>
          <w:rFonts w:hint="eastAsia"/>
          <w:lang w:val="zh-CN"/>
        </w:rPr>
        <w:t>%，人口发展目标不符合预期。回马规划定位为“以石油、天然气资源开发为主的工业城镇”，现状回马工业园闲置，石油化工企业全部退出，未来将重点发展农副产品加工与新型材料，发展方向与规划存在偏差；与规划近期目标相比，回马常住人口达成率为</w:t>
      </w:r>
      <w:r>
        <w:rPr>
          <w:lang w:val="zh-CN"/>
        </w:rPr>
        <w:t>51.70</w:t>
      </w:r>
      <w:r>
        <w:rPr>
          <w:rFonts w:hint="eastAsia"/>
          <w:lang w:val="zh-CN"/>
        </w:rPr>
        <w:t>%，常住人口城镇化率达成率</w:t>
      </w:r>
      <w:r>
        <w:rPr>
          <w:lang w:val="zh-CN"/>
        </w:rPr>
        <w:t>64.69</w:t>
      </w:r>
      <w:r>
        <w:rPr>
          <w:rFonts w:hint="eastAsia"/>
          <w:lang w:val="zh-CN"/>
        </w:rPr>
        <w:t>%，农村人均</w:t>
      </w:r>
      <w:r>
        <w:t>国内生产总值</w:t>
      </w:r>
      <w:r>
        <w:rPr>
          <w:rFonts w:hint="eastAsia"/>
          <w:lang w:val="zh-CN"/>
        </w:rPr>
        <w:t>达成率为</w:t>
      </w:r>
      <w:r>
        <w:rPr>
          <w:lang w:val="zh-CN"/>
        </w:rPr>
        <w:t>34.58</w:t>
      </w:r>
      <w:r>
        <w:rPr>
          <w:rFonts w:hint="eastAsia"/>
          <w:lang w:val="zh-CN"/>
        </w:rPr>
        <w:t>%，发展目标不符合预期。金元镇规划定位为“以生态绿色产业为引擎的田园休闲小镇”，现状金元正积极发展以生猪和九叶青花椒为主导的种养循环产业，发展发现基本符合规划定位；与规划近期目标相比，金元常住人口达成率为</w:t>
      </w:r>
      <w:r>
        <w:rPr>
          <w:lang w:val="zh-CN"/>
        </w:rPr>
        <w:t>56.79</w:t>
      </w:r>
      <w:r>
        <w:rPr>
          <w:rFonts w:hint="eastAsia"/>
          <w:lang w:val="zh-CN"/>
        </w:rPr>
        <w:t>%，常住人口城镇化率达成率</w:t>
      </w:r>
      <w:r>
        <w:rPr>
          <w:lang w:val="zh-CN"/>
        </w:rPr>
        <w:t>15</w:t>
      </w:r>
      <w:r>
        <w:rPr>
          <w:rFonts w:hint="eastAsia"/>
          <w:lang w:val="zh-CN"/>
        </w:rPr>
        <w:t>%，发展目标不符合预期。</w:t>
      </w:r>
    </w:p>
    <w:p>
      <w:pPr>
        <w:pStyle w:val="85"/>
        <w:spacing w:line="360" w:lineRule="auto"/>
        <w:ind w:firstLine="480"/>
        <w:rPr>
          <w:lang w:val="zh-CN"/>
        </w:rPr>
      </w:pPr>
      <w:r>
        <w:rPr>
          <w:rFonts w:hint="eastAsia"/>
          <w:lang w:val="zh-CN"/>
        </w:rPr>
        <w:t>镇域产业规划实施方面，各镇发展方向与规划基本一致，部分产业功能还未形成。其中，隆盛规划构建“一核、一带、三单元”产业格局，镇区作为“一核”，规划的旅游服务、现代物流和农副产品深加工等功能还未形成；以同心、永前和民主为核心构建的三个产村单元目前也未完全形成，具体产业空间布局与现状存在一定偏差。回马规划一产以种养业为主导，适量发展城郊农业，现状发展基本符合规划；规划二产围绕回马工业园区，以光碳科技、新型材料为主导，适当发展农副产品加工，目前还未形成；规划三产重点提升商贸服务业，积极引导物流业发展，目前物流业还未形成。金元规划构建“一核、三轴、三片”的产业发展布局，其中，道地中药材产业片、绿色农业与乡村旅游片暂未形成。</w:t>
      </w:r>
    </w:p>
    <w:p>
      <w:pPr>
        <w:pStyle w:val="85"/>
        <w:spacing w:line="360" w:lineRule="auto"/>
        <w:ind w:firstLine="480"/>
        <w:rPr>
          <w:lang w:val="zh-CN"/>
        </w:rPr>
      </w:pPr>
      <w:r>
        <w:rPr>
          <w:rFonts w:hint="eastAsia"/>
          <w:lang w:val="zh-CN"/>
        </w:rPr>
        <w:t>镇域交通规划实施方面，各镇规划新建改建道路大部分未实施。隆盛规划区域联系交通与现状基本一致，规划需优化改造的区内联系公路基本未实施；回马规划路网与现状存在较大差异，规划改造的S205并未实施，在建遂德高速未纳入规划当中；金元交通规划以升级改造为主，目前均未实施。</w:t>
      </w:r>
    </w:p>
    <w:p>
      <w:pPr>
        <w:pStyle w:val="85"/>
        <w:spacing w:line="360" w:lineRule="auto"/>
        <w:ind w:firstLine="480"/>
        <w:rPr>
          <w:lang w:val="zh-CN"/>
        </w:rPr>
      </w:pPr>
      <w:r>
        <w:rPr>
          <w:rFonts w:hint="eastAsia"/>
          <w:lang w:val="zh-CN"/>
        </w:rPr>
        <w:t>镇域公共服务设施规划实施方面，各镇整体规划落实情况较好。通过公共服务设施规划完成度因子评价分析，片区内</w:t>
      </w:r>
      <w:r>
        <w:rPr>
          <w:lang w:val="zh-CN"/>
        </w:rPr>
        <w:t>47</w:t>
      </w:r>
      <w:r>
        <w:rPr>
          <w:rFonts w:hint="eastAsia"/>
          <w:lang w:val="zh-CN"/>
        </w:rPr>
        <w:t xml:space="preserve"> %的村庄完全达到规划要求，82%的村庄达到规划要求的80%，其中，规划要求的文化、体育、医疗等公共服务设施实施情况较好，基本各村都有配置，村级养老、幼儿园等公共服务设施配置实施情况较差。</w:t>
      </w:r>
    </w:p>
    <w:p>
      <w:pPr>
        <w:pStyle w:val="85"/>
        <w:spacing w:line="360" w:lineRule="auto"/>
        <w:ind w:firstLine="480"/>
        <w:rPr>
          <w:lang w:val="zh-CN"/>
        </w:rPr>
      </w:pPr>
      <w:r>
        <w:rPr>
          <w:rFonts w:hint="eastAsia"/>
          <w:lang w:val="zh-CN"/>
        </w:rPr>
        <w:t>镇区规划实施方面，有效指导各镇区建设，但发展规模与规划目标差距较大。现行总体规划实施以来，三镇镇区建设用地共增加约</w:t>
      </w:r>
      <w:r>
        <w:rPr>
          <w:lang w:val="zh-CN"/>
        </w:rPr>
        <w:t>65</w:t>
      </w:r>
      <w:r>
        <w:rPr>
          <w:rFonts w:hint="eastAsia"/>
          <w:lang w:val="zh-CN"/>
        </w:rPr>
        <w:t>公顷，发展方向基本符合规划，城镇格局不断优化，城镇功能不断完善，规划对学校、卫生院等公共服务设施，污水处理厂、道路交通等基础设施的建设等方面，均发挥了积极指导作用。但是，近几年三镇镇区城镇建设推进缓慢，与近期规划目标相比，隆盛实施度为</w:t>
      </w:r>
      <w:r>
        <w:rPr>
          <w:lang w:val="zh-CN"/>
        </w:rPr>
        <w:t>51.21%</w:t>
      </w:r>
      <w:r>
        <w:rPr>
          <w:rFonts w:hint="eastAsia"/>
          <w:lang w:val="zh-CN"/>
        </w:rPr>
        <w:t>，回马实施度为</w:t>
      </w:r>
      <w:r>
        <w:rPr>
          <w:lang w:val="zh-CN"/>
        </w:rPr>
        <w:t>60.48%</w:t>
      </w:r>
      <w:r>
        <w:rPr>
          <w:rFonts w:hint="eastAsia"/>
          <w:lang w:val="zh-CN"/>
        </w:rPr>
        <w:t>，金元实施度为</w:t>
      </w:r>
      <w:r>
        <w:rPr>
          <w:lang w:val="zh-CN"/>
        </w:rPr>
        <w:t>60.53%</w:t>
      </w:r>
      <w:r>
        <w:rPr>
          <w:rFonts w:hint="eastAsia"/>
          <w:lang w:val="zh-CN"/>
        </w:rPr>
        <w:t>。</w:t>
      </w:r>
    </w:p>
    <w:p>
      <w:pPr>
        <w:pStyle w:val="5"/>
        <w:numPr>
          <w:ilvl w:val="3"/>
          <w:numId w:val="7"/>
        </w:numPr>
        <w:spacing w:line="360" w:lineRule="auto"/>
        <w:ind w:left="420"/>
        <w:jc w:val="left"/>
        <w:rPr>
          <w:b/>
          <w:bCs/>
        </w:rPr>
      </w:pPr>
      <w:r>
        <w:rPr>
          <w:rFonts w:hint="eastAsia"/>
          <w:b/>
          <w:bCs/>
        </w:rPr>
        <w:t>灾害风险评估</w:t>
      </w:r>
    </w:p>
    <w:p>
      <w:pPr>
        <w:pStyle w:val="85"/>
        <w:spacing w:line="360" w:lineRule="auto"/>
        <w:ind w:firstLine="480"/>
        <w:rPr>
          <w:lang w:val="zh-CN"/>
        </w:rPr>
      </w:pPr>
      <w:r>
        <w:rPr>
          <w:rFonts w:hint="eastAsia"/>
          <w:lang w:val="zh-CN"/>
        </w:rPr>
        <w:t>水土流失风险较高。本片区属于大英县水土流失重点预防区，该区域土壤侵蚀主要为水蚀，侵蚀面积达到</w:t>
      </w:r>
      <w:r>
        <w:rPr>
          <w:lang w:val="zh-CN"/>
        </w:rPr>
        <w:t>126.97 km</w:t>
      </w:r>
      <w:r>
        <w:rPr>
          <w:vertAlign w:val="superscript"/>
          <w:lang w:val="zh-CN"/>
        </w:rPr>
        <w:t>2</w:t>
      </w:r>
      <w:r>
        <w:rPr>
          <w:rFonts w:hint="eastAsia"/>
          <w:lang w:val="zh-CN"/>
        </w:rPr>
        <w:t>，占幅员面积的</w:t>
      </w:r>
      <w:r>
        <w:rPr>
          <w:lang w:val="zh-CN"/>
        </w:rPr>
        <w:t>59.15%</w:t>
      </w:r>
      <w:r>
        <w:rPr>
          <w:rFonts w:hint="eastAsia"/>
          <w:lang w:val="zh-CN"/>
        </w:rPr>
        <w:t>，占全县水土流失面积的</w:t>
      </w:r>
      <w:r>
        <w:rPr>
          <w:lang w:val="zh-CN"/>
        </w:rPr>
        <w:t>32.52%</w:t>
      </w:r>
      <w:r>
        <w:rPr>
          <w:rFonts w:hint="eastAsia"/>
          <w:lang w:val="zh-CN"/>
        </w:rPr>
        <w:t>，其中，侵蚀面积由大到小依次是中度侵蚀</w:t>
      </w:r>
      <w:r>
        <w:rPr>
          <w:lang w:val="zh-CN"/>
        </w:rPr>
        <w:t>41.54 km</w:t>
      </w:r>
      <w:r>
        <w:rPr>
          <w:vertAlign w:val="superscript"/>
          <w:lang w:val="zh-CN"/>
        </w:rPr>
        <w:t>2</w:t>
      </w:r>
      <w:r>
        <w:rPr>
          <w:rFonts w:hint="eastAsia"/>
          <w:lang w:val="zh-CN"/>
        </w:rPr>
        <w:t>、极强烈侵蚀</w:t>
      </w:r>
      <w:r>
        <w:rPr>
          <w:lang w:val="zh-CN"/>
        </w:rPr>
        <w:t>25.15km</w:t>
      </w:r>
      <w:r>
        <w:rPr>
          <w:vertAlign w:val="superscript"/>
          <w:lang w:val="zh-CN"/>
        </w:rPr>
        <w:t>2</w:t>
      </w:r>
      <w:r>
        <w:rPr>
          <w:rFonts w:hint="eastAsia"/>
          <w:lang w:val="zh-CN"/>
        </w:rPr>
        <w:t>、强烈侵蚀</w:t>
      </w:r>
      <w:r>
        <w:rPr>
          <w:lang w:val="zh-CN"/>
        </w:rPr>
        <w:t>23.85km</w:t>
      </w:r>
      <w:r>
        <w:rPr>
          <w:vertAlign w:val="superscript"/>
          <w:lang w:val="zh-CN"/>
        </w:rPr>
        <w:t>2</w:t>
      </w:r>
      <w:r>
        <w:rPr>
          <w:rFonts w:hint="eastAsia"/>
          <w:lang w:val="zh-CN"/>
        </w:rPr>
        <w:t>、剧烈侵蚀</w:t>
      </w:r>
      <w:r>
        <w:rPr>
          <w:lang w:val="zh-CN"/>
        </w:rPr>
        <w:t>20.25km</w:t>
      </w:r>
      <w:r>
        <w:rPr>
          <w:vertAlign w:val="superscript"/>
          <w:lang w:val="zh-CN"/>
        </w:rPr>
        <w:t>2</w:t>
      </w:r>
      <w:r>
        <w:rPr>
          <w:rFonts w:hint="eastAsia"/>
          <w:lang w:val="zh-CN"/>
        </w:rPr>
        <w:t>、轻度侵蚀</w:t>
      </w:r>
      <w:r>
        <w:rPr>
          <w:lang w:val="zh-CN"/>
        </w:rPr>
        <w:t>16.19km</w:t>
      </w:r>
      <w:r>
        <w:rPr>
          <w:vertAlign w:val="superscript"/>
          <w:lang w:val="zh-CN"/>
        </w:rPr>
        <w:t>2</w:t>
      </w:r>
      <w:r>
        <w:rPr>
          <w:rFonts w:hint="eastAsia"/>
          <w:lang w:val="zh-CN"/>
        </w:rPr>
        <w:t>，分别占侵蚀的</w:t>
      </w:r>
      <w:r>
        <w:rPr>
          <w:lang w:val="zh-CN"/>
        </w:rPr>
        <w:t>32.72%</w:t>
      </w:r>
      <w:r>
        <w:rPr>
          <w:rFonts w:hint="eastAsia"/>
          <w:lang w:val="zh-CN"/>
        </w:rPr>
        <w:t>、</w:t>
      </w:r>
      <w:r>
        <w:rPr>
          <w:lang w:val="zh-CN"/>
        </w:rPr>
        <w:t>19.81%</w:t>
      </w:r>
      <w:r>
        <w:rPr>
          <w:rFonts w:hint="eastAsia"/>
          <w:lang w:val="zh-CN"/>
        </w:rPr>
        <w:t>、</w:t>
      </w:r>
      <w:r>
        <w:rPr>
          <w:lang w:val="zh-CN"/>
        </w:rPr>
        <w:t>18.78%</w:t>
      </w:r>
      <w:r>
        <w:rPr>
          <w:rFonts w:hint="eastAsia"/>
          <w:lang w:val="zh-CN"/>
        </w:rPr>
        <w:t>、</w:t>
      </w:r>
      <w:r>
        <w:rPr>
          <w:lang w:val="zh-CN"/>
        </w:rPr>
        <w:t>15.95%</w:t>
      </w:r>
      <w:r>
        <w:rPr>
          <w:rFonts w:hint="eastAsia"/>
          <w:lang w:val="zh-CN"/>
        </w:rPr>
        <w:t>、</w:t>
      </w:r>
      <w:r>
        <w:rPr>
          <w:lang w:val="zh-CN"/>
        </w:rPr>
        <w:t>12.75%</w:t>
      </w:r>
      <w:r>
        <w:rPr>
          <w:rFonts w:hint="eastAsia"/>
          <w:lang w:val="zh-CN"/>
        </w:rPr>
        <w:t>，属于以中度侵蚀为主的区域。</w:t>
      </w:r>
    </w:p>
    <w:p>
      <w:pPr>
        <w:pStyle w:val="85"/>
        <w:spacing w:line="360" w:lineRule="auto"/>
        <w:ind w:firstLine="480"/>
        <w:rPr>
          <w:lang w:val="zh-CN"/>
        </w:rPr>
      </w:pPr>
      <w:r>
        <w:rPr>
          <w:rFonts w:hint="eastAsia"/>
          <w:lang w:val="zh-CN"/>
        </w:rPr>
        <w:t>存在一定洪涝灾害风险。近年来，郪江洪涝灾害频繁，给工农业生产、交通运输以及沿江居民生命财产造成了巨大损失。</w:t>
      </w:r>
    </w:p>
    <w:p>
      <w:pPr>
        <w:pStyle w:val="85"/>
        <w:spacing w:line="360" w:lineRule="auto"/>
        <w:ind w:firstLine="480"/>
        <w:rPr>
          <w:lang w:val="zh-CN"/>
        </w:rPr>
      </w:pPr>
      <w:r>
        <w:rPr>
          <w:rFonts w:hint="eastAsia"/>
          <w:lang w:val="zh-CN"/>
        </w:rPr>
        <w:t>存在零星地灾风险。研究区域属于川中丘陵地区，地质结构相对稳定，受地震断裂带断层影响较小。现有地灾隐患点</w:t>
      </w:r>
      <w:r>
        <w:rPr>
          <w:lang w:val="zh-CN"/>
        </w:rPr>
        <w:t>21</w:t>
      </w:r>
      <w:r>
        <w:rPr>
          <w:rFonts w:hint="eastAsia"/>
          <w:lang w:val="zh-CN"/>
        </w:rPr>
        <w:t>处，其中隆盛</w:t>
      </w:r>
      <w:r>
        <w:rPr>
          <w:lang w:val="zh-CN"/>
        </w:rPr>
        <w:t>8</w:t>
      </w:r>
      <w:r>
        <w:rPr>
          <w:rFonts w:hint="eastAsia"/>
          <w:lang w:val="zh-CN"/>
        </w:rPr>
        <w:t>处、回马</w:t>
      </w:r>
      <w:r>
        <w:rPr>
          <w:lang w:val="zh-CN"/>
        </w:rPr>
        <w:t>8</w:t>
      </w:r>
      <w:r>
        <w:rPr>
          <w:rFonts w:hint="eastAsia"/>
          <w:lang w:val="zh-CN"/>
        </w:rPr>
        <w:t>处、金元</w:t>
      </w:r>
      <w:r>
        <w:rPr>
          <w:lang w:val="zh-CN"/>
        </w:rPr>
        <w:t>12</w:t>
      </w:r>
      <w:r>
        <w:rPr>
          <w:rFonts w:hint="eastAsia"/>
          <w:lang w:val="zh-CN"/>
        </w:rPr>
        <w:t>处，主要类型为滑坡和崩塌，</w:t>
      </w:r>
      <w:bookmarkStart w:id="26" w:name="_Hlk141865640"/>
      <w:r>
        <w:rPr>
          <w:rFonts w:hint="eastAsia"/>
          <w:lang w:val="zh-CN"/>
        </w:rPr>
        <w:t>其中，滑坡1</w:t>
      </w:r>
      <w:r>
        <w:rPr>
          <w:lang w:val="zh-CN"/>
        </w:rPr>
        <w:t>4</w:t>
      </w:r>
      <w:r>
        <w:rPr>
          <w:rFonts w:hint="eastAsia"/>
          <w:lang w:val="zh-CN"/>
        </w:rPr>
        <w:t>处、崩塌1</w:t>
      </w:r>
      <w:r>
        <w:rPr>
          <w:lang w:val="zh-CN"/>
        </w:rPr>
        <w:t>4</w:t>
      </w:r>
      <w:r>
        <w:rPr>
          <w:rFonts w:hint="eastAsia"/>
          <w:lang w:val="zh-CN"/>
        </w:rPr>
        <w:t>处，</w:t>
      </w:r>
      <w:bookmarkEnd w:id="26"/>
      <w:r>
        <w:rPr>
          <w:rFonts w:hint="eastAsia"/>
          <w:lang w:val="zh-CN"/>
        </w:rPr>
        <w:t>致灾原因以降雨和不合理的人类工程活动为主。</w:t>
      </w:r>
    </w:p>
    <w:p>
      <w:pPr>
        <w:numPr>
          <w:ilvl w:val="1"/>
          <w:numId w:val="7"/>
        </w:numPr>
        <w:tabs>
          <w:tab w:val="left" w:pos="680"/>
          <w:tab w:val="left" w:pos="840"/>
        </w:tabs>
        <w:spacing w:before="312" w:beforeLines="100" w:after="312" w:afterLines="100" w:line="440" w:lineRule="exact"/>
        <w:jc w:val="left"/>
        <w:outlineLvl w:val="1"/>
        <w:rPr>
          <w:rFonts w:hAnsi="宋体"/>
          <w:b/>
          <w:sz w:val="28"/>
          <w:szCs w:val="28"/>
        </w:rPr>
      </w:pPr>
      <w:bookmarkStart w:id="27" w:name="_Toc141369719"/>
      <w:bookmarkStart w:id="28" w:name="_Toc106959977"/>
      <w:r>
        <w:rPr>
          <w:rFonts w:hint="eastAsia" w:hAnsi="宋体"/>
          <w:b/>
          <w:sz w:val="28"/>
          <w:szCs w:val="28"/>
        </w:rPr>
        <w:t>主要问题</w:t>
      </w:r>
      <w:bookmarkEnd w:id="27"/>
      <w:bookmarkEnd w:id="28"/>
    </w:p>
    <w:p>
      <w:pPr>
        <w:pStyle w:val="5"/>
        <w:numPr>
          <w:ilvl w:val="3"/>
          <w:numId w:val="19"/>
        </w:numPr>
        <w:spacing w:line="360" w:lineRule="auto"/>
        <w:ind w:left="420"/>
        <w:rPr>
          <w:b/>
          <w:bCs/>
        </w:rPr>
      </w:pPr>
      <w:r>
        <w:rPr>
          <w:rFonts w:hint="eastAsia"/>
          <w:b/>
          <w:bCs/>
        </w:rPr>
        <w:t>耕地撂荒现象突出，空间布局有待优化</w:t>
      </w:r>
    </w:p>
    <w:p>
      <w:pPr>
        <w:pStyle w:val="85"/>
        <w:spacing w:line="360" w:lineRule="auto"/>
        <w:ind w:firstLine="480"/>
      </w:pPr>
      <w:r>
        <w:rPr>
          <w:rFonts w:hint="eastAsia"/>
        </w:rPr>
        <w:t>根据“</w:t>
      </w:r>
      <w:r>
        <w:rPr>
          <w:rFonts w:hint="eastAsia"/>
          <w:lang w:val="zh-CN"/>
        </w:rPr>
        <w:t>2020年度国土变更调查数据</w:t>
      </w:r>
      <w:r>
        <w:rPr>
          <w:rFonts w:hint="eastAsia"/>
        </w:rPr>
        <w:t>”，片区 “未耕种”耕地面积1585.46公顷，占总耕地面积的1</w:t>
      </w:r>
      <w:r>
        <w:t>6.</w:t>
      </w:r>
      <w:r>
        <w:rPr>
          <w:rFonts w:hint="eastAsia"/>
        </w:rPr>
        <w:t>42%，主要原因为农村主要劳动力外出务工、农业水利设施存在短板、生产道路修建不完善、宜机化作业率低等。通过高标准农田建设，现状耕地连片度得到提升，但是其他区域耕地碎片化问题仍然比较突出，平均地块面积低于大英县平均水平；同时，还存在部分</w:t>
      </w:r>
      <w:r>
        <w:rPr>
          <w:rFonts w:hint="eastAsia"/>
          <w:lang w:val="zh-CN"/>
        </w:rPr>
        <w:t>25°以上坡耕地，</w:t>
      </w:r>
      <w:r>
        <w:rPr>
          <w:rFonts w:hint="eastAsia"/>
        </w:rPr>
        <w:t>有待通过土地综合整治，优化耕地空间布局。</w:t>
      </w:r>
    </w:p>
    <w:p>
      <w:pPr>
        <w:pStyle w:val="5"/>
        <w:numPr>
          <w:ilvl w:val="3"/>
          <w:numId w:val="19"/>
        </w:numPr>
        <w:spacing w:line="360" w:lineRule="auto"/>
        <w:ind w:left="420"/>
        <w:rPr>
          <w:b/>
          <w:bCs/>
        </w:rPr>
      </w:pPr>
      <w:r>
        <w:rPr>
          <w:rFonts w:hint="eastAsia"/>
          <w:b/>
          <w:bCs/>
          <w:lang w:val="en-US"/>
        </w:rPr>
        <w:t>村庄建设用地集约程度较低，宅基地闲置情况突出</w:t>
      </w:r>
    </w:p>
    <w:p>
      <w:pPr>
        <w:pStyle w:val="85"/>
        <w:spacing w:line="360" w:lineRule="auto"/>
        <w:ind w:firstLine="480"/>
        <w:rPr>
          <w:lang w:val="zh-CN"/>
        </w:rPr>
      </w:pPr>
      <w:r>
        <w:rPr>
          <w:rFonts w:hint="eastAsia"/>
          <w:lang w:val="zh-CN"/>
        </w:rPr>
        <w:t>片区现状农村居民点分布较为零散，其中3</w:t>
      </w:r>
      <w:r>
        <w:rPr>
          <w:lang w:val="zh-CN"/>
        </w:rPr>
        <w:t>0</w:t>
      </w:r>
      <w:r>
        <w:rPr>
          <w:rFonts w:hint="eastAsia"/>
          <w:lang w:val="zh-CN"/>
        </w:rPr>
        <w:t>户以上</w:t>
      </w:r>
      <w:r>
        <w:rPr>
          <w:rFonts w:hint="eastAsia" w:ascii="宋体" w:hAnsi="宋体" w:cs="宋体"/>
        </w:rPr>
        <w:t>集中居民点325处，占居民点数量的5</w:t>
      </w:r>
      <w:r>
        <w:rPr>
          <w:rFonts w:ascii="宋体" w:hAnsi="宋体" w:cs="宋体"/>
        </w:rPr>
        <w:t>.14</w:t>
      </w:r>
      <w:r>
        <w:rPr>
          <w:rFonts w:hint="eastAsia" w:ascii="宋体" w:hAnsi="宋体" w:cs="宋体"/>
        </w:rPr>
        <w:t>%，用地规模518.91公顷，占居民点总面积的32.54%；</w:t>
      </w:r>
      <w:r>
        <w:rPr>
          <w:rFonts w:hint="eastAsia"/>
          <w:lang w:val="zh-CN"/>
        </w:rPr>
        <w:t>现状农村户籍人口人均宅基地面积</w:t>
      </w:r>
      <w:r>
        <w:rPr>
          <w:lang w:val="zh-CN"/>
        </w:rPr>
        <w:t>131.68</w:t>
      </w:r>
      <w:r>
        <w:rPr>
          <w:rFonts w:hint="eastAsia"/>
          <w:lang w:val="zh-CN"/>
        </w:rPr>
        <w:t>㎡</w:t>
      </w:r>
      <w:r>
        <w:rPr>
          <w:lang w:val="zh-CN"/>
        </w:rPr>
        <w:t>/</w:t>
      </w:r>
      <w:r>
        <w:rPr>
          <w:rFonts w:hint="eastAsia"/>
          <w:lang w:val="zh-CN"/>
        </w:rPr>
        <w:t>人，远高于四川省人均农村居民点建设标准。片区内人口净流出率达</w:t>
      </w:r>
      <w:r>
        <w:rPr>
          <w:lang w:val="zh-CN"/>
        </w:rPr>
        <w:t>43.53%</w:t>
      </w:r>
      <w:r>
        <w:rPr>
          <w:rFonts w:hint="eastAsia"/>
          <w:lang w:val="zh-CN"/>
        </w:rPr>
        <w:t>，农村空心化程度高，实地调研发现各村都存在宅基地闲置与一户多宅的情况；随着城镇化的持续推进与农村老龄化的进一步加深，农村宅基地闲置情况将会更加突出。</w:t>
      </w:r>
    </w:p>
    <w:p>
      <w:pPr>
        <w:pStyle w:val="5"/>
        <w:numPr>
          <w:ilvl w:val="3"/>
          <w:numId w:val="19"/>
        </w:numPr>
        <w:spacing w:line="360" w:lineRule="auto"/>
        <w:ind w:left="420"/>
        <w:rPr>
          <w:b/>
          <w:bCs/>
        </w:rPr>
      </w:pPr>
      <w:r>
        <w:rPr>
          <w:rFonts w:hint="eastAsia"/>
          <w:b/>
          <w:bCs/>
        </w:rPr>
        <w:t>人口</w:t>
      </w:r>
      <w:r>
        <w:rPr>
          <w:rFonts w:hint="eastAsia"/>
          <w:b/>
          <w:bCs/>
          <w:lang w:val="en-US"/>
        </w:rPr>
        <w:t>外流现象突出，</w:t>
      </w:r>
      <w:r>
        <w:rPr>
          <w:rFonts w:hint="eastAsia"/>
          <w:b/>
          <w:bCs/>
        </w:rPr>
        <w:t>老龄化压力大</w:t>
      </w:r>
    </w:p>
    <w:p>
      <w:pPr>
        <w:pStyle w:val="85"/>
        <w:spacing w:line="360" w:lineRule="auto"/>
        <w:ind w:firstLine="480"/>
        <w:rPr>
          <w:lang w:val="zh-CN"/>
        </w:rPr>
      </w:pPr>
      <w:r>
        <w:rPr>
          <w:rFonts w:hint="eastAsia"/>
          <w:lang w:val="zh-CN"/>
        </w:rPr>
        <w:t>受大英县城和遂宁市区虹吸效应影响，以及便利的对外交通，片区人口外流显著，2</w:t>
      </w:r>
      <w:r>
        <w:rPr>
          <w:lang w:val="zh-CN"/>
        </w:rPr>
        <w:t>020</w:t>
      </w:r>
      <w:r>
        <w:rPr>
          <w:rFonts w:hint="eastAsia"/>
          <w:lang w:val="zh-CN"/>
        </w:rPr>
        <w:t>年人口净流出率达</w:t>
      </w:r>
      <w:r>
        <w:rPr>
          <w:lang w:val="zh-CN"/>
        </w:rPr>
        <w:t>43.53%</w:t>
      </w:r>
      <w:r>
        <w:rPr>
          <w:rFonts w:hint="eastAsia"/>
          <w:lang w:val="zh-CN"/>
        </w:rPr>
        <w:t>，多以外出务工和上学为主。片区6</w:t>
      </w:r>
      <w:r>
        <w:rPr>
          <w:lang w:val="zh-CN"/>
        </w:rPr>
        <w:t>0</w:t>
      </w:r>
      <w:r>
        <w:rPr>
          <w:rFonts w:hint="eastAsia"/>
          <w:lang w:val="zh-CN"/>
        </w:rPr>
        <w:t>岁以上常住人口占比达到</w:t>
      </w:r>
      <w:r>
        <w:rPr>
          <w:lang w:val="zh-CN"/>
        </w:rPr>
        <w:t>30.38%</w:t>
      </w:r>
      <w:r>
        <w:rPr>
          <w:rFonts w:hint="eastAsia"/>
          <w:lang w:val="zh-CN"/>
        </w:rPr>
        <w:t>，为重度老龄化，片区未来本地劳动力缺失问题将会更加突出，对养老服务设施的配置提出了更高的要求。</w:t>
      </w:r>
    </w:p>
    <w:p>
      <w:pPr>
        <w:pStyle w:val="5"/>
        <w:numPr>
          <w:ilvl w:val="3"/>
          <w:numId w:val="19"/>
        </w:numPr>
        <w:spacing w:line="360" w:lineRule="auto"/>
        <w:ind w:left="420"/>
        <w:rPr>
          <w:b/>
          <w:bCs/>
        </w:rPr>
      </w:pPr>
      <w:r>
        <w:rPr>
          <w:b/>
          <w:bCs/>
        </w:rPr>
        <w:t xml:space="preserve"> </w:t>
      </w:r>
      <w:r>
        <w:rPr>
          <w:rFonts w:hint="eastAsia"/>
          <w:b/>
          <w:bCs/>
        </w:rPr>
        <w:t>一、二、三产融合不足，农业附加值不高</w:t>
      </w:r>
    </w:p>
    <w:p>
      <w:pPr>
        <w:pStyle w:val="85"/>
        <w:spacing w:line="360" w:lineRule="auto"/>
        <w:ind w:firstLine="480"/>
        <w:rPr>
          <w:lang w:val="zh-CN"/>
        </w:rPr>
      </w:pPr>
      <w:r>
        <w:rPr>
          <w:rFonts w:hint="eastAsia"/>
          <w:lang w:val="zh-CN"/>
        </w:rPr>
        <w:t>片区现状农业基础条件较好，已建成两大现代农业园区，但农业园区现代化程度不高，农业设施配套不足；已有农业种类缺乏有影响力的品牌，农业品质有待进一步提升。片区农产品加工环节匮乏，隆盛道地中药材还处于前期投入阶段，规模化量产不足，无法支撑精深加工企业发展；回马绿色蔬菜规模较大，但缺少相应农副产品加工企业，回马工业园基本处于闲置状态，亟需加快相应企业招商引资。隆盛乡村旅游发展较好，回马、金元还处于起步阶段，农文旅资源有待进一步挖掘利用。</w:t>
      </w:r>
    </w:p>
    <w:p>
      <w:pPr>
        <w:pStyle w:val="5"/>
        <w:numPr>
          <w:ilvl w:val="3"/>
          <w:numId w:val="19"/>
        </w:numPr>
        <w:spacing w:line="360" w:lineRule="auto"/>
        <w:ind w:left="420"/>
        <w:rPr>
          <w:b/>
          <w:bCs/>
        </w:rPr>
      </w:pPr>
      <w:r>
        <w:rPr>
          <w:rFonts w:hint="eastAsia"/>
          <w:b/>
          <w:bCs/>
        </w:rPr>
        <w:t>公服设施配套待完善，基础设施存在短板</w:t>
      </w:r>
    </w:p>
    <w:p>
      <w:pPr>
        <w:pStyle w:val="85"/>
        <w:spacing w:line="360" w:lineRule="auto"/>
        <w:ind w:firstLine="480"/>
        <w:rPr>
          <w:lang w:val="zh-CN"/>
        </w:rPr>
      </w:pPr>
      <w:r>
        <w:rPr>
          <w:rFonts w:hint="eastAsia"/>
          <w:lang w:val="zh-CN"/>
        </w:rPr>
        <w:t>片区现状部分学校生源不足，随着城镇化持续推进，生源逐步向县城、镇区集中，乡村学校生源将进一步萎缩，在未来教育规划中继续优化调整；养老服务和村级商业设施配套不足，其中，74%的村未配置日间照料中心，随着老龄化程度加深，村级养老设施不足的情况会越来越突出；为了适宜乡村产业发展，相应的农村电商网点等新业态设施需要进一步完善。片区南部对外交通联系较弱，省道、县道技术等级较低，存在部分乡村公路宽度不够、路面质量较差以及道路未硬化等问题。片区供水、燃气区域主管覆盖不全，供水覆盖率较低，供水区域主管老化严重，镇区部分市政管线有待更新。</w:t>
      </w:r>
    </w:p>
    <w:p>
      <w:pPr>
        <w:pStyle w:val="5"/>
        <w:numPr>
          <w:ilvl w:val="3"/>
          <w:numId w:val="19"/>
        </w:numPr>
        <w:spacing w:line="360" w:lineRule="auto"/>
        <w:ind w:left="420"/>
        <w:rPr>
          <w:b/>
          <w:bCs/>
        </w:rPr>
      </w:pPr>
      <w:r>
        <w:rPr>
          <w:rFonts w:hint="eastAsia"/>
          <w:b/>
          <w:bCs/>
          <w:lang w:val="en-US"/>
        </w:rPr>
        <w:t>城乡风貌管控不够，</w:t>
      </w:r>
      <w:r>
        <w:rPr>
          <w:rFonts w:hint="eastAsia"/>
          <w:b/>
          <w:bCs/>
        </w:rPr>
        <w:t>人居环境品质不优</w:t>
      </w:r>
    </w:p>
    <w:p>
      <w:pPr>
        <w:pStyle w:val="85"/>
        <w:spacing w:line="360" w:lineRule="auto"/>
        <w:ind w:firstLine="480"/>
        <w:rPr>
          <w:lang w:val="zh-CN"/>
        </w:rPr>
      </w:pPr>
      <w:r>
        <w:rPr>
          <w:rFonts w:hint="eastAsia"/>
          <w:lang w:val="zh-CN"/>
        </w:rPr>
        <w:t>片区现状城乡建筑缺乏有效管理，风貌杂乱，私搭彩钢棚现象突出，缺乏地方风貌特色。农村基础设施和公服设施仍有欠缺，需进一步补足和完善，提升农村人居环境品质；镇区缺乏公共开敞活动空间，山水景观资源利用不充分。</w:t>
      </w:r>
    </w:p>
    <w:p>
      <w:pPr>
        <w:numPr>
          <w:ilvl w:val="1"/>
          <w:numId w:val="7"/>
        </w:numPr>
        <w:tabs>
          <w:tab w:val="left" w:pos="680"/>
          <w:tab w:val="left" w:pos="840"/>
        </w:tabs>
        <w:spacing w:before="312" w:beforeLines="100" w:after="312" w:afterLines="100" w:line="440" w:lineRule="exact"/>
        <w:jc w:val="left"/>
        <w:outlineLvl w:val="1"/>
        <w:rPr>
          <w:rFonts w:hAnsi="宋体"/>
          <w:b/>
          <w:sz w:val="28"/>
          <w:szCs w:val="28"/>
        </w:rPr>
      </w:pPr>
      <w:bookmarkStart w:id="29" w:name="_Toc106959978"/>
      <w:bookmarkStart w:id="30" w:name="_Toc141369720"/>
      <w:r>
        <w:rPr>
          <w:rFonts w:hint="eastAsia" w:hAnsi="宋体"/>
          <w:b/>
          <w:sz w:val="28"/>
          <w:szCs w:val="28"/>
        </w:rPr>
        <w:t>发展机遇分析</w:t>
      </w:r>
      <w:bookmarkEnd w:id="29"/>
      <w:bookmarkEnd w:id="30"/>
    </w:p>
    <w:p>
      <w:pPr>
        <w:pStyle w:val="5"/>
        <w:numPr>
          <w:ilvl w:val="3"/>
          <w:numId w:val="20"/>
        </w:numPr>
        <w:spacing w:line="360" w:lineRule="auto"/>
        <w:ind w:left="420"/>
        <w:rPr>
          <w:b/>
          <w:bCs/>
        </w:rPr>
      </w:pPr>
      <w:r>
        <w:rPr>
          <w:rFonts w:hint="eastAsia"/>
          <w:b/>
          <w:bCs/>
        </w:rPr>
        <w:t>上位及相关规划发展要求</w:t>
      </w:r>
    </w:p>
    <w:p>
      <w:pPr>
        <w:pStyle w:val="85"/>
        <w:numPr>
          <w:ilvl w:val="0"/>
          <w:numId w:val="21"/>
        </w:numPr>
        <w:spacing w:line="360" w:lineRule="auto"/>
        <w:ind w:firstLineChars="0"/>
        <w:rPr>
          <w:b/>
          <w:bCs/>
          <w:lang w:val="zh-CN"/>
        </w:rPr>
      </w:pPr>
      <w:r>
        <w:rPr>
          <w:rFonts w:hint="eastAsia"/>
          <w:b/>
          <w:bCs/>
          <w:lang w:val="zh-CN"/>
        </w:rPr>
        <w:t>《遂宁市国土空间总体规划（</w:t>
      </w:r>
      <w:r>
        <w:rPr>
          <w:b/>
          <w:bCs/>
          <w:lang w:val="zh-CN"/>
        </w:rPr>
        <w:t>2021—2035</w:t>
      </w:r>
      <w:r>
        <w:rPr>
          <w:rFonts w:hint="eastAsia"/>
          <w:b/>
          <w:bCs/>
          <w:lang w:val="zh-CN"/>
        </w:rPr>
        <w:t>）》</w:t>
      </w:r>
      <w:r>
        <w:rPr>
          <w:b/>
          <w:bCs/>
          <w:lang w:val="zh-CN"/>
        </w:rPr>
        <w:t xml:space="preserve"> </w:t>
      </w:r>
    </w:p>
    <w:p>
      <w:pPr>
        <w:pStyle w:val="85"/>
        <w:spacing w:line="360" w:lineRule="auto"/>
        <w:ind w:firstLine="480"/>
        <w:rPr>
          <w:lang w:val="zh-CN"/>
        </w:rPr>
      </w:pPr>
      <w:r>
        <w:rPr>
          <w:rFonts w:hint="eastAsia"/>
          <w:lang w:val="zh-CN"/>
        </w:rPr>
        <w:t>规划构建“一核三片多点”城镇发展格局，加快建设中心城区经济发展极核，不断放大辐射带动效应，推动大英、安居融城发展。本片区作为大英融城发展连接区域，对本片区人口流动、产业联系、设施承接等都会产生重要影响。另外，该规划确定本片区类型为农业片区，功能指引为融城发展片区，其中，隆盛为中心镇，城镇职能为商贸型城镇；回马为副中心镇，城镇职能为工业型城镇；金元为一般镇，城镇职能为农业型城镇。</w:t>
      </w:r>
    </w:p>
    <w:p>
      <w:pPr>
        <w:pStyle w:val="85"/>
        <w:numPr>
          <w:ilvl w:val="0"/>
          <w:numId w:val="21"/>
        </w:numPr>
        <w:spacing w:line="360" w:lineRule="auto"/>
        <w:ind w:firstLineChars="0"/>
        <w:rPr>
          <w:b/>
          <w:bCs/>
          <w:lang w:val="zh-CN"/>
        </w:rPr>
      </w:pPr>
      <w:r>
        <w:rPr>
          <w:rFonts w:hint="eastAsia"/>
          <w:b/>
          <w:bCs/>
          <w:lang w:val="zh-CN"/>
        </w:rPr>
        <w:t>《大英县国土空间总体规划（</w:t>
      </w:r>
      <w:r>
        <w:rPr>
          <w:b/>
          <w:bCs/>
          <w:lang w:val="zh-CN"/>
        </w:rPr>
        <w:t>20</w:t>
      </w:r>
      <w:r>
        <w:rPr>
          <w:rFonts w:hint="eastAsia"/>
          <w:b/>
          <w:bCs/>
          <w:lang w:val="zh-CN"/>
        </w:rPr>
        <w:t>2</w:t>
      </w:r>
      <w:r>
        <w:rPr>
          <w:b/>
          <w:bCs/>
          <w:lang w:val="zh-CN"/>
        </w:rPr>
        <w:t>1—2035</w:t>
      </w:r>
      <w:r>
        <w:rPr>
          <w:rFonts w:hint="eastAsia"/>
          <w:b/>
          <w:bCs/>
          <w:lang w:val="zh-CN"/>
        </w:rPr>
        <w:t>年）》</w:t>
      </w:r>
    </w:p>
    <w:p>
      <w:pPr>
        <w:pStyle w:val="85"/>
        <w:spacing w:line="360" w:lineRule="auto"/>
        <w:ind w:firstLine="480"/>
        <w:rPr>
          <w:lang w:val="zh-CN"/>
        </w:rPr>
      </w:pPr>
      <w:r>
        <w:rPr>
          <w:rFonts w:hint="eastAsia"/>
          <w:lang w:val="zh-CN"/>
        </w:rPr>
        <w:t>在底线约束方面，确定遂大融城发展片区永久基本农田保护面积不低于74.06 平方公里，耕地保有量不低于85.02 平方公里，生态保护红线面积0.18 平方公里，城镇开发边界面积290.53 公顷。</w:t>
      </w:r>
    </w:p>
    <w:p>
      <w:pPr>
        <w:pStyle w:val="85"/>
        <w:spacing w:line="360" w:lineRule="auto"/>
        <w:ind w:firstLine="480"/>
        <w:rPr>
          <w:lang w:val="zh-CN"/>
        </w:rPr>
      </w:pPr>
      <w:r>
        <w:rPr>
          <w:rFonts w:hint="eastAsia"/>
          <w:lang w:val="zh-CN"/>
        </w:rPr>
        <w:t>在发展定位方面，确定遂大融城发展片区为以道地中药材、绿色蔬菜种植和种养循环产业为特色的遂宁市现代农业示范区。</w:t>
      </w:r>
    </w:p>
    <w:p>
      <w:pPr>
        <w:pStyle w:val="85"/>
        <w:spacing w:line="360" w:lineRule="auto"/>
        <w:ind w:firstLine="480"/>
        <w:rPr>
          <w:lang w:val="zh-CN"/>
        </w:rPr>
      </w:pPr>
      <w:r>
        <w:rPr>
          <w:rFonts w:hint="eastAsia"/>
          <w:lang w:val="zh-CN"/>
        </w:rPr>
        <w:t>在规模控制方面，确定遂大融城发展片区常住人口规模应控制在6.3 万人，城镇人口规模应控制在2.05 万人，农村人口规模为4.25 万人。</w:t>
      </w:r>
    </w:p>
    <w:p>
      <w:pPr>
        <w:pStyle w:val="85"/>
        <w:spacing w:line="360" w:lineRule="auto"/>
        <w:ind w:firstLine="480"/>
        <w:rPr>
          <w:lang w:val="zh-CN"/>
        </w:rPr>
      </w:pPr>
      <w:r>
        <w:rPr>
          <w:rFonts w:hint="eastAsia"/>
          <w:lang w:val="zh-CN"/>
        </w:rPr>
        <w:t>在中心镇指引方面，确定隆盛镇为片区综合服务中心，集旅游服务、居住配套、中药材深加工于一体的农旅型城镇，2025 年城镇人口规模为0.55 万人，2035 年为0.85 万人，人均城镇建设用地控制在110 平方米以内。空间拓展方向以场镇为中心向东发展。产业发展重点建设农业产业示范园区，一、二、三产业良性互动，形成种植——深加工——销售为一体的发展模式。回马镇定位为片区装备制造、农副产品加工基地，集商贸、居住、工业一体的工贸型城镇，2025 年城镇人口规模为0.55 万人，2035 年为0.9 万人，人均城镇建设用地控制在120 平方米以内。空间拓展方向以场镇为中心向东发展。产业发展利用融入遂宁中心城区优势，依托回马工业园区建设，重点发展农副产品加工业、装备制造等特色产业。</w:t>
      </w:r>
    </w:p>
    <w:p>
      <w:pPr>
        <w:pStyle w:val="85"/>
        <w:numPr>
          <w:ilvl w:val="0"/>
          <w:numId w:val="21"/>
        </w:numPr>
        <w:spacing w:line="360" w:lineRule="auto"/>
        <w:ind w:firstLineChars="0"/>
        <w:rPr>
          <w:b/>
          <w:bCs/>
          <w:lang w:val="zh-CN"/>
        </w:rPr>
      </w:pPr>
      <w:r>
        <w:rPr>
          <w:rFonts w:hint="eastAsia"/>
          <w:b/>
          <w:bCs/>
          <w:lang w:val="zh-CN"/>
        </w:rPr>
        <w:t>部门“十四五”规划及十三个专项规划</w:t>
      </w:r>
    </w:p>
    <w:p>
      <w:pPr>
        <w:pStyle w:val="85"/>
        <w:spacing w:line="360" w:lineRule="auto"/>
        <w:ind w:firstLine="480"/>
        <w:rPr>
          <w:lang w:val="zh-CN"/>
        </w:rPr>
      </w:pPr>
      <w:r>
        <w:rPr>
          <w:rFonts w:hint="eastAsia"/>
          <w:lang w:val="zh-CN"/>
        </w:rPr>
        <w:t>通过梳理整合各部门“十四五”规划及十三个专项规划对本片区的相关要求，在定位上，提出将隆盛打造为以药香康养为主题的特色小镇；在产业上，提出片区围绕中药材、蔬菜、生态畜牧，建设现代农业园区，形成药香康养旅游产业带、生态畜牧示范带、乡村旅游示范带等。</w:t>
      </w:r>
    </w:p>
    <w:p>
      <w:pPr>
        <w:pStyle w:val="85"/>
        <w:numPr>
          <w:ilvl w:val="0"/>
          <w:numId w:val="21"/>
        </w:numPr>
        <w:spacing w:line="360" w:lineRule="auto"/>
        <w:ind w:firstLineChars="0"/>
        <w:rPr>
          <w:b/>
          <w:bCs/>
          <w:lang w:val="zh-CN"/>
        </w:rPr>
      </w:pPr>
      <w:r>
        <w:rPr>
          <w:rFonts w:hint="eastAsia"/>
          <w:b/>
          <w:bCs/>
          <w:lang w:val="zh-CN"/>
        </w:rPr>
        <w:t>大英县两项改革“后半篇”文章</w:t>
      </w:r>
      <w:r>
        <w:rPr>
          <w:b/>
          <w:bCs/>
          <w:lang w:val="zh-CN"/>
        </w:rPr>
        <w:t>29</w:t>
      </w:r>
      <w:r>
        <w:rPr>
          <w:rFonts w:hint="eastAsia"/>
          <w:b/>
          <w:bCs/>
          <w:lang w:val="zh-CN"/>
        </w:rPr>
        <w:t>个专项工作方案</w:t>
      </w:r>
    </w:p>
    <w:p>
      <w:pPr>
        <w:pStyle w:val="85"/>
        <w:spacing w:line="360" w:lineRule="auto"/>
        <w:ind w:firstLine="480"/>
        <w:rPr>
          <w:lang w:val="zh-CN"/>
        </w:rPr>
      </w:pPr>
      <w:r>
        <w:rPr>
          <w:rFonts w:hint="eastAsia"/>
          <w:lang w:val="zh-CN"/>
        </w:rPr>
        <w:t>规划充分衔接大英县</w:t>
      </w:r>
      <w:r>
        <w:rPr>
          <w:lang w:val="zh-CN"/>
        </w:rPr>
        <w:t>29</w:t>
      </w:r>
      <w:r>
        <w:rPr>
          <w:rFonts w:hint="eastAsia"/>
          <w:lang w:val="zh-CN"/>
        </w:rPr>
        <w:t>个专项工作方案，采用调查摸底、现场踏勘、意愿征集等方法明确项目的可实施性，最终通过土地优化调整的方式保障项目的落地。</w:t>
      </w:r>
    </w:p>
    <w:p>
      <w:pPr>
        <w:pStyle w:val="5"/>
        <w:numPr>
          <w:ilvl w:val="3"/>
          <w:numId w:val="20"/>
        </w:numPr>
        <w:spacing w:line="360" w:lineRule="auto"/>
        <w:ind w:left="420"/>
        <w:rPr>
          <w:b/>
          <w:bCs/>
        </w:rPr>
      </w:pPr>
      <w:r>
        <w:rPr>
          <w:rFonts w:hint="eastAsia"/>
          <w:b/>
          <w:bCs/>
        </w:rPr>
        <w:t>发展机遇分析</w:t>
      </w:r>
    </w:p>
    <w:p>
      <w:pPr>
        <w:pStyle w:val="85"/>
        <w:spacing w:line="360" w:lineRule="auto"/>
        <w:ind w:firstLine="480"/>
        <w:rPr>
          <w:lang w:val="zh-CN"/>
        </w:rPr>
      </w:pPr>
      <w:r>
        <w:rPr>
          <w:rFonts w:hint="eastAsia"/>
          <w:lang w:val="zh-CN"/>
        </w:rPr>
        <w:t>随着遂大一体化建设工作和遂潼川渝毗邻地区一体化发展先行区建设的加快推进，为大英带来重大设施建设等资源投放新机遇，遂大融城发展趋势愈发明显，对处于遂大双城发展轴上的本片区辐射带动作用明显提升，为片区带来产业承接、基础设施配套提升以及近郊旅游服务等发展新机遇。</w:t>
      </w:r>
    </w:p>
    <w:p>
      <w:pPr>
        <w:pStyle w:val="85"/>
        <w:spacing w:line="360" w:lineRule="auto"/>
        <w:ind w:firstLine="643"/>
        <w:rPr>
          <w:rFonts w:ascii="黑体" w:hAnsi="黑体" w:eastAsia="黑体"/>
          <w:b/>
          <w:bCs/>
          <w:sz w:val="32"/>
          <w:szCs w:val="32"/>
        </w:rPr>
      </w:pPr>
      <w:r>
        <w:rPr>
          <w:rFonts w:ascii="黑体" w:hAnsi="黑体" w:eastAsia="黑体"/>
          <w:b/>
          <w:bCs/>
          <w:sz w:val="32"/>
          <w:szCs w:val="32"/>
        </w:rPr>
        <w:br w:type="page"/>
      </w:r>
    </w:p>
    <w:p>
      <w:pPr>
        <w:pStyle w:val="81"/>
        <w:numPr>
          <w:ilvl w:val="0"/>
          <w:numId w:val="3"/>
        </w:numPr>
        <w:spacing w:before="312" w:beforeLines="100" w:after="312" w:afterLines="100" w:line="360" w:lineRule="auto"/>
        <w:ind w:firstLineChars="0"/>
        <w:jc w:val="center"/>
        <w:outlineLvl w:val="0"/>
        <w:rPr>
          <w:rFonts w:ascii="黑体" w:hAnsi="黑体" w:eastAsia="黑体"/>
          <w:b/>
          <w:sz w:val="32"/>
          <w:szCs w:val="32"/>
        </w:rPr>
      </w:pPr>
      <w:bookmarkStart w:id="31" w:name="_Toc106959979"/>
      <w:bookmarkStart w:id="32" w:name="_Toc141369721"/>
      <w:r>
        <w:rPr>
          <w:rFonts w:hint="eastAsia" w:ascii="黑体" w:hAnsi="黑体" w:eastAsia="黑体"/>
          <w:b/>
          <w:sz w:val="32"/>
          <w:szCs w:val="32"/>
        </w:rPr>
        <w:t>片区规划</w:t>
      </w:r>
      <w:bookmarkEnd w:id="31"/>
      <w:bookmarkEnd w:id="32"/>
    </w:p>
    <w:p>
      <w:pPr>
        <w:numPr>
          <w:ilvl w:val="1"/>
          <w:numId w:val="22"/>
        </w:numPr>
        <w:tabs>
          <w:tab w:val="left" w:pos="680"/>
          <w:tab w:val="left" w:pos="840"/>
        </w:tabs>
        <w:spacing w:before="312" w:beforeLines="100" w:after="312" w:afterLines="100" w:line="440" w:lineRule="exact"/>
        <w:jc w:val="left"/>
        <w:outlineLvl w:val="1"/>
        <w:rPr>
          <w:rFonts w:hAnsi="宋体"/>
          <w:b/>
          <w:sz w:val="28"/>
          <w:szCs w:val="28"/>
        </w:rPr>
      </w:pPr>
      <w:bookmarkStart w:id="33" w:name="_Toc141369722"/>
      <w:bookmarkStart w:id="34" w:name="_Toc106959980"/>
      <w:r>
        <w:rPr>
          <w:rFonts w:hint="eastAsia" w:hAnsi="宋体"/>
          <w:b/>
          <w:sz w:val="28"/>
          <w:szCs w:val="28"/>
        </w:rPr>
        <w:t>功能定位</w:t>
      </w:r>
      <w:bookmarkEnd w:id="33"/>
      <w:bookmarkEnd w:id="34"/>
    </w:p>
    <w:p>
      <w:pPr>
        <w:pStyle w:val="5"/>
        <w:numPr>
          <w:ilvl w:val="0"/>
          <w:numId w:val="23"/>
        </w:numPr>
        <w:spacing w:line="360" w:lineRule="auto"/>
        <w:rPr>
          <w:b/>
          <w:bCs/>
        </w:rPr>
      </w:pPr>
      <w:r>
        <w:rPr>
          <w:rFonts w:hint="eastAsia"/>
          <w:b/>
          <w:bCs/>
        </w:rPr>
        <w:t>发展定位</w:t>
      </w:r>
    </w:p>
    <w:p>
      <w:pPr>
        <w:tabs>
          <w:tab w:val="left" w:pos="720"/>
        </w:tabs>
        <w:spacing w:line="360" w:lineRule="auto"/>
        <w:ind w:firstLine="480" w:firstLineChars="200"/>
        <w:rPr>
          <w:rFonts w:ascii="Times New Roman" w:hAnsi="Times New Roman"/>
          <w:b/>
          <w:sz w:val="24"/>
        </w:rPr>
      </w:pPr>
      <w:bookmarkStart w:id="35" w:name="_Hlk148622804"/>
      <w:r>
        <w:rPr>
          <w:rFonts w:hint="eastAsia" w:ascii="宋体" w:hAnsi="宋体"/>
          <w:sz w:val="24"/>
          <w:szCs w:val="24"/>
        </w:rPr>
        <w:t>充分衔接《大英县国民经济和社会发展第十四个五年规划和二〇三五年远景目标纲要》和《大英县国土空间总体规划（2</w:t>
      </w:r>
      <w:r>
        <w:rPr>
          <w:rFonts w:ascii="宋体" w:hAnsi="宋体"/>
          <w:sz w:val="24"/>
          <w:szCs w:val="24"/>
        </w:rPr>
        <w:t>021—2035</w:t>
      </w:r>
      <w:r>
        <w:rPr>
          <w:rFonts w:hint="eastAsia" w:ascii="宋体" w:hAnsi="宋体"/>
          <w:sz w:val="24"/>
          <w:szCs w:val="24"/>
        </w:rPr>
        <w:t>年）》，发挥片区处于“遂大融城”发展主轴的区位优势和三大基础农业发展良好的产业优势，强化隆盛镇中心引领和回马镇副中心带动作用，促进片区人口、产业及各类生产要素合理流动和高效集聚，把片区打造成以道地中药材、绿色蔬菜种植和种养循环产业为特色的遂宁市现代农业示范区。</w:t>
      </w:r>
    </w:p>
    <w:bookmarkEnd w:id="35"/>
    <w:p>
      <w:pPr>
        <w:pStyle w:val="5"/>
        <w:numPr>
          <w:ilvl w:val="0"/>
          <w:numId w:val="23"/>
        </w:numPr>
        <w:spacing w:line="360" w:lineRule="auto"/>
        <w:rPr>
          <w:b/>
          <w:bCs/>
        </w:rPr>
      </w:pPr>
      <w:r>
        <w:rPr>
          <w:rFonts w:hint="eastAsia"/>
          <w:b/>
          <w:bCs/>
        </w:rPr>
        <w:t>规划目标</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到2</w:t>
      </w:r>
      <w:r>
        <w:rPr>
          <w:rFonts w:ascii="宋体" w:hAnsi="宋体"/>
          <w:sz w:val="24"/>
          <w:szCs w:val="24"/>
        </w:rPr>
        <w:t>025</w:t>
      </w:r>
      <w:r>
        <w:rPr>
          <w:rFonts w:hint="eastAsia" w:ascii="宋体" w:hAnsi="宋体"/>
          <w:sz w:val="24"/>
          <w:szCs w:val="24"/>
        </w:rPr>
        <w:t>年，国土空间开发保护格局不断优化，三大农业园区基本实现基地化、规模化建设，回马工业园区、隆盛中药材加工基地完成企业招商入驻，农产品加工转化率达到3</w:t>
      </w:r>
      <w:r>
        <w:rPr>
          <w:rFonts w:ascii="宋体" w:hAnsi="宋体"/>
          <w:sz w:val="24"/>
          <w:szCs w:val="24"/>
        </w:rPr>
        <w:t>0</w:t>
      </w:r>
      <w:r>
        <w:rPr>
          <w:rFonts w:hint="eastAsia" w:ascii="宋体" w:hAnsi="宋体"/>
          <w:sz w:val="24"/>
          <w:szCs w:val="24"/>
        </w:rPr>
        <w:t>%，医药康养旅游产业初具规模，到</w:t>
      </w:r>
      <w:r>
        <w:rPr>
          <w:rFonts w:ascii="宋体" w:hAnsi="宋体"/>
          <w:sz w:val="24"/>
          <w:szCs w:val="24"/>
        </w:rPr>
        <w:t>2035年，全面</w:t>
      </w:r>
      <w:r>
        <w:rPr>
          <w:rFonts w:hint="eastAsia" w:ascii="宋体" w:hAnsi="宋体"/>
          <w:sz w:val="24"/>
          <w:szCs w:val="24"/>
        </w:rPr>
        <w:t>实现三产融合发展，三大园区实现全面现代化，回马新材料、农副产品加工基地和隆盛中医药加工基地实现规模化生产，农副产品加工转化率达到8</w:t>
      </w:r>
      <w:r>
        <w:rPr>
          <w:rFonts w:ascii="宋体" w:hAnsi="宋体"/>
          <w:sz w:val="24"/>
          <w:szCs w:val="24"/>
        </w:rPr>
        <w:t>0</w:t>
      </w:r>
      <w:r>
        <w:rPr>
          <w:rFonts w:hint="eastAsia" w:ascii="宋体" w:hAnsi="宋体"/>
          <w:sz w:val="24"/>
          <w:szCs w:val="24"/>
        </w:rPr>
        <w:t>%，医药养身产业成为重要支柱产业，乡村产业蓬勃发展，人民实现共同富裕，经济社会和基础治理水平高于全省平均水平。</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分目标：规划</w:t>
      </w:r>
      <w:r>
        <w:rPr>
          <w:rFonts w:ascii="宋体" w:hAnsi="宋体"/>
          <w:sz w:val="24"/>
          <w:szCs w:val="24"/>
        </w:rPr>
        <w:t>从资源底线、发展质量、服务能力三个方面提出分目标。</w:t>
      </w:r>
    </w:p>
    <w:p>
      <w:pPr>
        <w:pStyle w:val="85"/>
        <w:numPr>
          <w:ilvl w:val="0"/>
          <w:numId w:val="24"/>
        </w:numPr>
        <w:spacing w:line="360" w:lineRule="auto"/>
        <w:ind w:firstLineChars="0"/>
        <w:rPr>
          <w:rFonts w:ascii="宋体" w:hAnsi="宋体"/>
          <w:b/>
          <w:bCs/>
        </w:rPr>
      </w:pPr>
      <w:r>
        <w:rPr>
          <w:rFonts w:hint="eastAsia"/>
          <w:b/>
          <w:bCs/>
          <w:lang w:val="zh-CN"/>
        </w:rPr>
        <w:t>资源</w:t>
      </w:r>
      <w:r>
        <w:rPr>
          <w:rFonts w:hint="eastAsia" w:ascii="宋体" w:hAnsi="宋体"/>
          <w:b/>
          <w:bCs/>
        </w:rPr>
        <w:t>底线</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永久基本农田数量不减少、质量不降低，生态红线面积不减少，国土生态安全格局、城镇开发格局全面优化，三条空间管制控制线全面落地，耕地保护指标得到落实；各级生态功能区保护和修复体系逐步建立，郪江、涪江重要生态廊道功能显著提升。</w:t>
      </w:r>
    </w:p>
    <w:p>
      <w:pPr>
        <w:pStyle w:val="85"/>
        <w:numPr>
          <w:ilvl w:val="0"/>
          <w:numId w:val="24"/>
        </w:numPr>
        <w:spacing w:line="360" w:lineRule="auto"/>
        <w:ind w:firstLineChars="0"/>
        <w:rPr>
          <w:b/>
          <w:bCs/>
          <w:lang w:val="zh-CN"/>
        </w:rPr>
      </w:pPr>
      <w:r>
        <w:rPr>
          <w:rFonts w:hint="eastAsia"/>
          <w:b/>
          <w:bCs/>
          <w:lang w:val="zh-CN"/>
        </w:rPr>
        <w:t>发展质量</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空间利用更加集约高效，建设空间保障更加有力；片区基础设施和公共服务设施资源配置更加合理，全面实现设施共建共享、互联互通，乡村产业发展更具活力，道地中药材、绿色蔬菜、生态畜牧等农产品现代化生产能力明显提升，种养循环产业成效明显，“三园四片一环两线两基地”</w:t>
      </w:r>
      <w:r>
        <w:rPr>
          <w:rFonts w:ascii="宋体" w:hAnsi="宋体"/>
          <w:sz w:val="24"/>
          <w:szCs w:val="24"/>
        </w:rPr>
        <w:t xml:space="preserve"> </w:t>
      </w:r>
      <w:r>
        <w:rPr>
          <w:rFonts w:hint="eastAsia" w:ascii="宋体" w:hAnsi="宋体"/>
          <w:sz w:val="24"/>
          <w:szCs w:val="24"/>
        </w:rPr>
        <w:t>产业格局不断优化，一二三产业深度融合的现代产业体系基本形成。</w:t>
      </w:r>
    </w:p>
    <w:p>
      <w:pPr>
        <w:pStyle w:val="85"/>
        <w:numPr>
          <w:ilvl w:val="0"/>
          <w:numId w:val="24"/>
        </w:numPr>
        <w:spacing w:line="360" w:lineRule="auto"/>
        <w:ind w:firstLineChars="0"/>
        <w:rPr>
          <w:b/>
          <w:bCs/>
          <w:lang w:val="zh-CN"/>
        </w:rPr>
      </w:pPr>
      <w:r>
        <w:rPr>
          <w:rFonts w:hint="eastAsia"/>
          <w:b/>
          <w:bCs/>
          <w:lang w:val="zh-CN"/>
        </w:rPr>
        <w:t>服务能力</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中心镇（村）功能更加完善，综合服务能力和发展带动能力显著提升，建成县域东部重要融城功能承载地，高效带动片区一体化发展。乡村人居环境品质明显提升，地域乡土文化彰显，城乡风貌特色基本形成，生态宜居美丽乡村全面建成。</w:t>
      </w:r>
    </w:p>
    <w:p>
      <w:pPr>
        <w:pStyle w:val="5"/>
        <w:numPr>
          <w:ilvl w:val="0"/>
          <w:numId w:val="23"/>
        </w:numPr>
        <w:spacing w:line="360" w:lineRule="auto"/>
        <w:rPr>
          <w:b/>
          <w:bCs/>
        </w:rPr>
      </w:pPr>
      <w:r>
        <w:rPr>
          <w:rFonts w:hint="eastAsia"/>
          <w:b/>
          <w:bCs/>
        </w:rPr>
        <w:t>人口规模预测</w:t>
      </w:r>
    </w:p>
    <w:p>
      <w:pPr>
        <w:pStyle w:val="85"/>
        <w:numPr>
          <w:ilvl w:val="0"/>
          <w:numId w:val="25"/>
        </w:numPr>
        <w:spacing w:line="360" w:lineRule="auto"/>
        <w:ind w:firstLineChars="0"/>
        <w:rPr>
          <w:rFonts w:ascii="宋体" w:hAnsi="宋体"/>
          <w:b/>
          <w:bCs/>
        </w:rPr>
      </w:pPr>
      <w:r>
        <w:rPr>
          <w:rFonts w:hint="eastAsia" w:ascii="宋体" w:hAnsi="宋体"/>
          <w:b/>
          <w:bCs/>
        </w:rPr>
        <w:t>人口优化策略</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优化人口布局，构建三级人口转移梯度。优先推进部分村民宅基地有偿退出，引导村民进入遂宁中心城区、大英城区或外出务工；其次，以隆盛镇、回马镇和金元镇镇区为核心，引导村民进镇集中居住；最后，以乡村规划居民点为核心，引导村民集中居住。</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优化人口结构，促进居民结构多元化。以产业和政策吸引外出农民返乡创业和市民下乡创业，老龄化农民逐步退休养老；建立职业农民系统化培训机制，扩大片区职业农民规模，提升人口整体素质，提高乡村发展活力。</w:t>
      </w:r>
    </w:p>
    <w:p>
      <w:pPr>
        <w:pStyle w:val="85"/>
        <w:numPr>
          <w:ilvl w:val="0"/>
          <w:numId w:val="25"/>
        </w:numPr>
        <w:spacing w:line="360" w:lineRule="auto"/>
        <w:ind w:firstLineChars="0"/>
        <w:rPr>
          <w:rFonts w:ascii="宋体" w:hAnsi="宋体"/>
          <w:b/>
          <w:bCs/>
        </w:rPr>
      </w:pPr>
      <w:r>
        <w:rPr>
          <w:rFonts w:hint="eastAsia" w:ascii="宋体" w:hAnsi="宋体"/>
          <w:b/>
          <w:bCs/>
        </w:rPr>
        <w:t>片区常住人口规模预测</w:t>
      </w:r>
    </w:p>
    <w:p>
      <w:pPr>
        <w:tabs>
          <w:tab w:val="left" w:pos="720"/>
        </w:tabs>
        <w:spacing w:line="360" w:lineRule="auto"/>
        <w:ind w:firstLine="480" w:firstLineChars="200"/>
        <w:rPr>
          <w:rFonts w:ascii="宋体" w:hAnsi="宋体"/>
          <w:sz w:val="24"/>
          <w:szCs w:val="24"/>
        </w:rPr>
      </w:pPr>
      <w:bookmarkStart w:id="36" w:name="_Hlk148624242"/>
      <w:r>
        <w:rPr>
          <w:rFonts w:hint="eastAsia" w:ascii="宋体" w:hAnsi="宋体"/>
          <w:sz w:val="24"/>
          <w:szCs w:val="24"/>
        </w:rPr>
        <w:t>片区常住人口呈逐渐减少趋势，</w:t>
      </w:r>
      <w:bookmarkEnd w:id="36"/>
      <w:r>
        <w:rPr>
          <w:rFonts w:ascii="宋体" w:hAnsi="宋体"/>
          <w:sz w:val="24"/>
          <w:szCs w:val="24"/>
        </w:rPr>
        <w:t>近五年综合增长率为-6.3</w:t>
      </w:r>
      <w:r>
        <w:rPr>
          <w:rFonts w:hint="eastAsia" w:ascii="宋体" w:hAnsi="宋体"/>
          <w:sz w:val="24"/>
          <w:szCs w:val="24"/>
        </w:rPr>
        <w:t>％</w:t>
      </w:r>
      <w:r>
        <w:rPr>
          <w:rFonts w:ascii="宋体" w:hAnsi="宋体"/>
          <w:sz w:val="24"/>
          <w:szCs w:val="24"/>
        </w:rPr>
        <w:t>，近10年综合增长率为-4.5</w:t>
      </w:r>
      <w:r>
        <w:rPr>
          <w:rFonts w:hint="eastAsia" w:ascii="宋体" w:hAnsi="宋体"/>
          <w:sz w:val="24"/>
          <w:szCs w:val="24"/>
        </w:rPr>
        <w:t>％。随着大英经开区和回马工业园的发展以及三大现代农业园区的加快建设，吸引外出务工农民返乡进园工作以及创业，人口存在一定回流，外流速度变缓，同时，乡村旅游业的发展带来一部分旅游暂住人口以及“三孩”政策带来的影响，预测近期片区常住人口综合增长率为-</w:t>
      </w:r>
      <w:r>
        <w:rPr>
          <w:rFonts w:ascii="宋体" w:hAnsi="宋体"/>
          <w:sz w:val="24"/>
          <w:szCs w:val="24"/>
        </w:rPr>
        <w:t>3.0</w:t>
      </w:r>
      <w:r>
        <w:rPr>
          <w:rFonts w:hint="eastAsia" w:ascii="宋体" w:hAnsi="宋体"/>
          <w:sz w:val="24"/>
          <w:szCs w:val="24"/>
        </w:rPr>
        <w:t>％。远期土地规模化发展进一步推进，现代农业园区建设逐步完善，务农人口趋于稳定，综合考虑远期育龄人口减少、老龄化程度进一步加深、进城养老以及死亡率提高等因素，预测远期片区常住人口综合增长率为</w:t>
      </w:r>
      <w:r>
        <w:rPr>
          <w:rFonts w:ascii="宋体" w:hAnsi="宋体"/>
          <w:sz w:val="24"/>
          <w:szCs w:val="24"/>
        </w:rPr>
        <w:t>-1.0</w:t>
      </w:r>
      <w:r>
        <w:rPr>
          <w:rFonts w:hint="eastAsia" w:ascii="宋体" w:hAnsi="宋体"/>
          <w:sz w:val="24"/>
          <w:szCs w:val="24"/>
        </w:rPr>
        <w:t>％。预测到2</w:t>
      </w:r>
      <w:r>
        <w:rPr>
          <w:rFonts w:ascii="宋体" w:hAnsi="宋体"/>
          <w:sz w:val="24"/>
          <w:szCs w:val="24"/>
        </w:rPr>
        <w:t>025</w:t>
      </w:r>
      <w:r>
        <w:rPr>
          <w:rFonts w:hint="eastAsia" w:ascii="宋体" w:hAnsi="宋体"/>
          <w:sz w:val="24"/>
          <w:szCs w:val="24"/>
        </w:rPr>
        <w:t>年，片区常住人口规模为6</w:t>
      </w:r>
      <w:r>
        <w:rPr>
          <w:rFonts w:ascii="宋体" w:hAnsi="宋体"/>
          <w:sz w:val="24"/>
          <w:szCs w:val="24"/>
        </w:rPr>
        <w:t>.96</w:t>
      </w:r>
      <w:r>
        <w:rPr>
          <w:rFonts w:hint="eastAsia" w:ascii="宋体" w:hAnsi="宋体"/>
          <w:sz w:val="24"/>
          <w:szCs w:val="24"/>
        </w:rPr>
        <w:t>万人，到2</w:t>
      </w:r>
      <w:r>
        <w:rPr>
          <w:rFonts w:ascii="宋体" w:hAnsi="宋体"/>
          <w:sz w:val="24"/>
          <w:szCs w:val="24"/>
        </w:rPr>
        <w:t>035</w:t>
      </w:r>
      <w:r>
        <w:rPr>
          <w:rFonts w:hint="eastAsia" w:ascii="宋体" w:hAnsi="宋体"/>
          <w:sz w:val="24"/>
          <w:szCs w:val="24"/>
        </w:rPr>
        <w:t>年，片区常住人口规模为6</w:t>
      </w:r>
      <w:r>
        <w:rPr>
          <w:rFonts w:ascii="宋体" w:hAnsi="宋体"/>
          <w:sz w:val="24"/>
          <w:szCs w:val="24"/>
        </w:rPr>
        <w:t>.29</w:t>
      </w:r>
      <w:r>
        <w:rPr>
          <w:rFonts w:hint="eastAsia" w:ascii="宋体" w:hAnsi="宋体"/>
          <w:sz w:val="24"/>
          <w:szCs w:val="24"/>
        </w:rPr>
        <w:t>万人。依据</w:t>
      </w:r>
      <w:bookmarkStart w:id="37" w:name="_Hlk148624272"/>
      <w:r>
        <w:rPr>
          <w:rFonts w:hint="eastAsia" w:ascii="宋体" w:hAnsi="宋体"/>
          <w:sz w:val="24"/>
          <w:szCs w:val="24"/>
        </w:rPr>
        <w:t>《大英县国土空间总体规划（2021—2035年）》</w:t>
      </w:r>
      <w:bookmarkEnd w:id="37"/>
      <w:r>
        <w:rPr>
          <w:rFonts w:hint="eastAsia" w:ascii="宋体" w:hAnsi="宋体"/>
          <w:sz w:val="24"/>
          <w:szCs w:val="24"/>
        </w:rPr>
        <w:t>，传导至本片区的常住人口规模为6</w:t>
      </w:r>
      <w:r>
        <w:rPr>
          <w:rFonts w:ascii="宋体" w:hAnsi="宋体"/>
          <w:sz w:val="24"/>
          <w:szCs w:val="24"/>
        </w:rPr>
        <w:t>.3</w:t>
      </w:r>
      <w:r>
        <w:rPr>
          <w:rFonts w:hint="eastAsia" w:ascii="宋体" w:hAnsi="宋体"/>
          <w:sz w:val="24"/>
          <w:szCs w:val="24"/>
        </w:rPr>
        <w:t>万人，与预测规模相近。综合确定本片区2</w:t>
      </w:r>
      <w:r>
        <w:rPr>
          <w:rFonts w:ascii="宋体" w:hAnsi="宋体"/>
          <w:sz w:val="24"/>
          <w:szCs w:val="24"/>
        </w:rPr>
        <w:t>035</w:t>
      </w:r>
      <w:r>
        <w:rPr>
          <w:rFonts w:hint="eastAsia" w:ascii="宋体" w:hAnsi="宋体"/>
          <w:sz w:val="24"/>
          <w:szCs w:val="24"/>
        </w:rPr>
        <w:t>年常住</w:t>
      </w:r>
      <w:bookmarkStart w:id="38" w:name="_Hlk148624392"/>
      <w:r>
        <w:rPr>
          <w:rFonts w:hint="eastAsia" w:ascii="宋体" w:hAnsi="宋体"/>
          <w:sz w:val="24"/>
          <w:szCs w:val="24"/>
        </w:rPr>
        <w:t>人口为6</w:t>
      </w:r>
      <w:r>
        <w:rPr>
          <w:rFonts w:ascii="宋体" w:hAnsi="宋体"/>
          <w:sz w:val="24"/>
          <w:szCs w:val="24"/>
        </w:rPr>
        <w:t>.3</w:t>
      </w:r>
      <w:r>
        <w:rPr>
          <w:rFonts w:hint="eastAsia" w:ascii="宋体" w:hAnsi="宋体"/>
          <w:sz w:val="24"/>
          <w:szCs w:val="24"/>
        </w:rPr>
        <w:t>万人，其中隆盛镇3</w:t>
      </w:r>
      <w:r>
        <w:rPr>
          <w:rFonts w:ascii="宋体" w:hAnsi="宋体"/>
          <w:sz w:val="24"/>
          <w:szCs w:val="24"/>
        </w:rPr>
        <w:t>.3</w:t>
      </w:r>
      <w:r>
        <w:rPr>
          <w:rFonts w:hint="eastAsia" w:ascii="宋体" w:hAnsi="宋体"/>
          <w:sz w:val="24"/>
          <w:szCs w:val="24"/>
        </w:rPr>
        <w:t>万人，回马镇</w:t>
      </w:r>
      <w:r>
        <w:rPr>
          <w:rFonts w:ascii="宋体" w:hAnsi="宋体"/>
          <w:sz w:val="24"/>
          <w:szCs w:val="24"/>
        </w:rPr>
        <w:t>2</w:t>
      </w:r>
      <w:r>
        <w:rPr>
          <w:rFonts w:hint="eastAsia" w:ascii="宋体" w:hAnsi="宋体"/>
          <w:sz w:val="24"/>
          <w:szCs w:val="24"/>
        </w:rPr>
        <w:t>万人，金元镇1万人</w:t>
      </w:r>
      <w:bookmarkEnd w:id="38"/>
      <w:r>
        <w:rPr>
          <w:rFonts w:hint="eastAsia" w:ascii="宋体" w:hAnsi="宋体"/>
          <w:sz w:val="24"/>
          <w:szCs w:val="24"/>
        </w:rPr>
        <w:t>。</w:t>
      </w:r>
    </w:p>
    <w:p>
      <w:pPr>
        <w:pStyle w:val="85"/>
        <w:numPr>
          <w:ilvl w:val="0"/>
          <w:numId w:val="25"/>
        </w:numPr>
        <w:spacing w:line="360" w:lineRule="auto"/>
        <w:ind w:firstLineChars="0"/>
        <w:rPr>
          <w:rFonts w:ascii="宋体" w:hAnsi="宋体"/>
          <w:b/>
          <w:bCs/>
        </w:rPr>
      </w:pPr>
      <w:r>
        <w:rPr>
          <w:rFonts w:hint="eastAsia" w:ascii="宋体" w:hAnsi="宋体"/>
          <w:b/>
          <w:bCs/>
        </w:rPr>
        <w:t>镇区常住人口预测</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根据下发城镇开发边界规模，隆盛镇镇区集中建设区面积6</w:t>
      </w:r>
      <w:r>
        <w:rPr>
          <w:rFonts w:ascii="宋体" w:hAnsi="宋体"/>
          <w:sz w:val="24"/>
          <w:szCs w:val="24"/>
        </w:rPr>
        <w:t>0.48</w:t>
      </w:r>
      <w:r>
        <w:rPr>
          <w:rFonts w:hint="eastAsia" w:ascii="宋体" w:hAnsi="宋体"/>
          <w:sz w:val="24"/>
          <w:szCs w:val="24"/>
        </w:rPr>
        <w:t>公顷，现状人均城镇建设用地面积为1</w:t>
      </w:r>
      <w:r>
        <w:rPr>
          <w:rFonts w:ascii="宋体" w:hAnsi="宋体"/>
          <w:sz w:val="24"/>
          <w:szCs w:val="24"/>
        </w:rPr>
        <w:t>12.1</w:t>
      </w:r>
      <w:r>
        <w:rPr>
          <w:rFonts w:hint="eastAsia" w:ascii="宋体" w:hAnsi="宋体"/>
          <w:sz w:val="24"/>
          <w:szCs w:val="24"/>
        </w:rPr>
        <w:t>㎡，依据《镇规划标准》（GB</w:t>
      </w:r>
      <w:r>
        <w:rPr>
          <w:rFonts w:ascii="宋体" w:hAnsi="宋体"/>
          <w:sz w:val="24"/>
          <w:szCs w:val="24"/>
        </w:rPr>
        <w:t>50188—2007</w:t>
      </w:r>
      <w:r>
        <w:rPr>
          <w:rFonts w:hint="eastAsia" w:ascii="宋体" w:hAnsi="宋体"/>
          <w:sz w:val="24"/>
          <w:szCs w:val="24"/>
        </w:rPr>
        <w:t>），规划人均建设用地指标调减0～</w:t>
      </w:r>
      <w:r>
        <w:rPr>
          <w:rFonts w:ascii="宋体" w:hAnsi="宋体"/>
          <w:sz w:val="24"/>
          <w:szCs w:val="24"/>
        </w:rPr>
        <w:t>10</w:t>
      </w:r>
      <w:r>
        <w:rPr>
          <w:rFonts w:hint="eastAsia" w:ascii="宋体" w:hAnsi="宋体"/>
          <w:sz w:val="24"/>
          <w:szCs w:val="24"/>
        </w:rPr>
        <w:t>㎡，则可承载城镇人口规模约0</w:t>
      </w:r>
      <w:r>
        <w:rPr>
          <w:rFonts w:ascii="宋体" w:hAnsi="宋体"/>
          <w:sz w:val="24"/>
          <w:szCs w:val="24"/>
        </w:rPr>
        <w:t>.54</w:t>
      </w:r>
      <w:r>
        <w:rPr>
          <w:rFonts w:hint="eastAsia" w:ascii="宋体" w:hAnsi="宋体"/>
          <w:sz w:val="24"/>
          <w:szCs w:val="24"/>
        </w:rPr>
        <w:t>～</w:t>
      </w:r>
      <w:r>
        <w:rPr>
          <w:rFonts w:ascii="宋体" w:hAnsi="宋体"/>
          <w:sz w:val="24"/>
          <w:szCs w:val="24"/>
        </w:rPr>
        <w:t>0.59</w:t>
      </w:r>
      <w:r>
        <w:rPr>
          <w:rFonts w:hint="eastAsia" w:ascii="宋体" w:hAnsi="宋体"/>
          <w:sz w:val="24"/>
          <w:szCs w:val="24"/>
        </w:rPr>
        <w:t>万人；回马镇镇区集中建设区面积1</w:t>
      </w:r>
      <w:r>
        <w:rPr>
          <w:rFonts w:ascii="宋体" w:hAnsi="宋体"/>
          <w:sz w:val="24"/>
          <w:szCs w:val="24"/>
        </w:rPr>
        <w:t>48.84</w:t>
      </w:r>
      <w:r>
        <w:rPr>
          <w:rFonts w:hint="eastAsia" w:ascii="宋体" w:hAnsi="宋体"/>
          <w:sz w:val="24"/>
          <w:szCs w:val="24"/>
        </w:rPr>
        <w:t>公顷，现状人均城镇建设用地面积为</w:t>
      </w:r>
      <w:r>
        <w:rPr>
          <w:rFonts w:ascii="宋体" w:hAnsi="宋体"/>
          <w:sz w:val="24"/>
          <w:szCs w:val="24"/>
        </w:rPr>
        <w:t>137.99</w:t>
      </w:r>
      <w:r>
        <w:rPr>
          <w:rFonts w:hint="eastAsia" w:ascii="宋体" w:hAnsi="宋体"/>
          <w:sz w:val="24"/>
          <w:szCs w:val="24"/>
        </w:rPr>
        <w:t>㎡，依据《镇规划标准》（GB</w:t>
      </w:r>
      <w:r>
        <w:rPr>
          <w:rFonts w:ascii="宋体" w:hAnsi="宋体"/>
          <w:sz w:val="24"/>
          <w:szCs w:val="24"/>
        </w:rPr>
        <w:t>50188—2007</w:t>
      </w:r>
      <w:r>
        <w:rPr>
          <w:rFonts w:hint="eastAsia" w:ascii="宋体" w:hAnsi="宋体"/>
          <w:sz w:val="24"/>
          <w:szCs w:val="24"/>
        </w:rPr>
        <w:t>），规划人均建设用地指标调减0～</w:t>
      </w:r>
      <w:r>
        <w:rPr>
          <w:rFonts w:ascii="宋体" w:hAnsi="宋体"/>
          <w:sz w:val="24"/>
          <w:szCs w:val="24"/>
        </w:rPr>
        <w:t>15</w:t>
      </w:r>
      <w:r>
        <w:rPr>
          <w:rFonts w:hint="eastAsia" w:ascii="宋体" w:hAnsi="宋体"/>
          <w:sz w:val="24"/>
          <w:szCs w:val="24"/>
        </w:rPr>
        <w:t>㎡，则可承载城镇人口规模约</w:t>
      </w:r>
      <w:r>
        <w:rPr>
          <w:rFonts w:ascii="宋体" w:hAnsi="宋体"/>
          <w:sz w:val="24"/>
          <w:szCs w:val="24"/>
        </w:rPr>
        <w:t>1.08</w:t>
      </w:r>
      <w:r>
        <w:rPr>
          <w:rFonts w:hint="eastAsia" w:ascii="宋体" w:hAnsi="宋体"/>
          <w:sz w:val="24"/>
          <w:szCs w:val="24"/>
        </w:rPr>
        <w:t>～</w:t>
      </w:r>
      <w:r>
        <w:rPr>
          <w:rFonts w:ascii="宋体" w:hAnsi="宋体"/>
          <w:sz w:val="24"/>
          <w:szCs w:val="24"/>
        </w:rPr>
        <w:t>1.21</w:t>
      </w:r>
      <w:r>
        <w:rPr>
          <w:rFonts w:hint="eastAsia" w:ascii="宋体" w:hAnsi="宋体"/>
          <w:sz w:val="24"/>
          <w:szCs w:val="24"/>
        </w:rPr>
        <w:t>万人；金元镇镇区集中建设区面积</w:t>
      </w:r>
      <w:r>
        <w:rPr>
          <w:rFonts w:ascii="宋体" w:hAnsi="宋体"/>
          <w:sz w:val="24"/>
          <w:szCs w:val="24"/>
        </w:rPr>
        <w:t>27.81</w:t>
      </w:r>
      <w:r>
        <w:rPr>
          <w:rFonts w:hint="eastAsia" w:ascii="宋体" w:hAnsi="宋体"/>
          <w:sz w:val="24"/>
          <w:szCs w:val="24"/>
        </w:rPr>
        <w:t>公顷，现状人均城镇建设用地面积为</w:t>
      </w:r>
      <w:r>
        <w:rPr>
          <w:rFonts w:ascii="宋体" w:hAnsi="宋体"/>
          <w:sz w:val="24"/>
          <w:szCs w:val="24"/>
        </w:rPr>
        <w:t>128.6</w:t>
      </w:r>
      <w:r>
        <w:rPr>
          <w:rFonts w:hint="eastAsia" w:ascii="宋体" w:hAnsi="宋体"/>
          <w:sz w:val="24"/>
          <w:szCs w:val="24"/>
        </w:rPr>
        <w:t>㎡，依据《镇规划标准》（GB</w:t>
      </w:r>
      <w:r>
        <w:rPr>
          <w:rFonts w:ascii="宋体" w:hAnsi="宋体"/>
          <w:sz w:val="24"/>
          <w:szCs w:val="24"/>
        </w:rPr>
        <w:t>50188—2007</w:t>
      </w:r>
      <w:r>
        <w:rPr>
          <w:rFonts w:hint="eastAsia" w:ascii="宋体" w:hAnsi="宋体"/>
          <w:sz w:val="24"/>
          <w:szCs w:val="24"/>
        </w:rPr>
        <w:t>），规划人均建设用地指标调减0～</w:t>
      </w:r>
      <w:r>
        <w:rPr>
          <w:rFonts w:ascii="宋体" w:hAnsi="宋体"/>
          <w:sz w:val="24"/>
          <w:szCs w:val="24"/>
        </w:rPr>
        <w:t>15</w:t>
      </w:r>
      <w:r>
        <w:rPr>
          <w:rFonts w:hint="eastAsia" w:ascii="宋体" w:hAnsi="宋体"/>
          <w:sz w:val="24"/>
          <w:szCs w:val="24"/>
        </w:rPr>
        <w:t>㎡，则可承载城镇人口规模约</w:t>
      </w:r>
      <w:r>
        <w:rPr>
          <w:rFonts w:ascii="宋体" w:hAnsi="宋体"/>
          <w:sz w:val="24"/>
          <w:szCs w:val="24"/>
        </w:rPr>
        <w:t>0.22</w:t>
      </w:r>
      <w:r>
        <w:rPr>
          <w:rFonts w:hint="eastAsia" w:ascii="宋体" w:hAnsi="宋体"/>
          <w:sz w:val="24"/>
          <w:szCs w:val="24"/>
        </w:rPr>
        <w:t>～</w:t>
      </w:r>
      <w:r>
        <w:rPr>
          <w:rFonts w:ascii="宋体" w:hAnsi="宋体"/>
          <w:sz w:val="24"/>
          <w:szCs w:val="24"/>
        </w:rPr>
        <w:t>0.24</w:t>
      </w:r>
      <w:r>
        <w:rPr>
          <w:rFonts w:hint="eastAsia" w:ascii="宋体" w:hAnsi="宋体"/>
          <w:sz w:val="24"/>
          <w:szCs w:val="24"/>
        </w:rPr>
        <w:t>万人。</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依据</w:t>
      </w:r>
      <w:r>
        <w:rPr>
          <w:rFonts w:hint="eastAsia" w:ascii="宋体" w:hAnsi="宋体"/>
          <w:bCs/>
          <w:sz w:val="24"/>
          <w:szCs w:val="24"/>
        </w:rPr>
        <w:t>《大英县国土空间总体规划（2021—2035年）》，传导至本片区的常住城镇人口规模为2</w:t>
      </w:r>
      <w:r>
        <w:rPr>
          <w:rFonts w:ascii="宋体" w:hAnsi="宋体"/>
          <w:bCs/>
          <w:sz w:val="24"/>
          <w:szCs w:val="24"/>
        </w:rPr>
        <w:t>.05</w:t>
      </w:r>
      <w:r>
        <w:rPr>
          <w:rFonts w:hint="eastAsia" w:ascii="宋体" w:hAnsi="宋体"/>
          <w:bCs/>
          <w:sz w:val="24"/>
          <w:szCs w:val="24"/>
        </w:rPr>
        <w:t>万人，其中隆盛镇0</w:t>
      </w:r>
      <w:r>
        <w:rPr>
          <w:rFonts w:ascii="宋体" w:hAnsi="宋体"/>
          <w:bCs/>
          <w:sz w:val="24"/>
          <w:szCs w:val="24"/>
        </w:rPr>
        <w:t>.85</w:t>
      </w:r>
      <w:r>
        <w:rPr>
          <w:rFonts w:hint="eastAsia" w:ascii="宋体" w:hAnsi="宋体"/>
          <w:bCs/>
          <w:sz w:val="24"/>
          <w:szCs w:val="24"/>
        </w:rPr>
        <w:t>万人，回马镇0</w:t>
      </w:r>
      <w:r>
        <w:rPr>
          <w:rFonts w:ascii="宋体" w:hAnsi="宋体"/>
          <w:bCs/>
          <w:sz w:val="24"/>
          <w:szCs w:val="24"/>
        </w:rPr>
        <w:t>.9</w:t>
      </w:r>
      <w:r>
        <w:rPr>
          <w:rFonts w:hint="eastAsia" w:ascii="宋体" w:hAnsi="宋体"/>
          <w:bCs/>
          <w:sz w:val="24"/>
          <w:szCs w:val="24"/>
        </w:rPr>
        <w:t>万人，金元镇0</w:t>
      </w:r>
      <w:r>
        <w:rPr>
          <w:rFonts w:ascii="宋体" w:hAnsi="宋体"/>
          <w:bCs/>
          <w:sz w:val="24"/>
          <w:szCs w:val="24"/>
        </w:rPr>
        <w:t>.3</w:t>
      </w:r>
      <w:r>
        <w:rPr>
          <w:rFonts w:hint="eastAsia" w:ascii="宋体" w:hAnsi="宋体"/>
          <w:bCs/>
          <w:sz w:val="24"/>
          <w:szCs w:val="24"/>
        </w:rPr>
        <w:t>万人。综合考虑回马镇工业园区造成实际人均城镇建设用地指标偏高和中心镇所承载的人口集聚功能等因素，最终确定到2</w:t>
      </w:r>
      <w:r>
        <w:rPr>
          <w:rFonts w:ascii="宋体" w:hAnsi="宋体"/>
          <w:bCs/>
          <w:sz w:val="24"/>
          <w:szCs w:val="24"/>
        </w:rPr>
        <w:t>035</w:t>
      </w:r>
      <w:r>
        <w:rPr>
          <w:rFonts w:hint="eastAsia" w:ascii="宋体" w:hAnsi="宋体"/>
          <w:bCs/>
          <w:sz w:val="24"/>
          <w:szCs w:val="24"/>
        </w:rPr>
        <w:t>年，片区</w:t>
      </w:r>
      <w:bookmarkStart w:id="39" w:name="_Hlk148624413"/>
      <w:r>
        <w:rPr>
          <w:rFonts w:hint="eastAsia" w:ascii="宋体" w:hAnsi="宋体"/>
          <w:bCs/>
          <w:sz w:val="24"/>
          <w:szCs w:val="24"/>
        </w:rPr>
        <w:t>常住城镇人口规模为2</w:t>
      </w:r>
      <w:r>
        <w:rPr>
          <w:rFonts w:ascii="宋体" w:hAnsi="宋体"/>
          <w:bCs/>
          <w:sz w:val="24"/>
          <w:szCs w:val="24"/>
        </w:rPr>
        <w:t>.05</w:t>
      </w:r>
      <w:r>
        <w:rPr>
          <w:rFonts w:hint="eastAsia" w:ascii="宋体" w:hAnsi="宋体"/>
          <w:bCs/>
          <w:sz w:val="24"/>
          <w:szCs w:val="24"/>
        </w:rPr>
        <w:t>万人，其中</w:t>
      </w:r>
      <w:r>
        <w:rPr>
          <w:rFonts w:hint="eastAsia" w:ascii="宋体" w:hAnsi="宋体"/>
          <w:sz w:val="24"/>
          <w:szCs w:val="24"/>
        </w:rPr>
        <w:t>隆盛镇0</w:t>
      </w:r>
      <w:r>
        <w:rPr>
          <w:rFonts w:ascii="宋体" w:hAnsi="宋体"/>
          <w:sz w:val="24"/>
          <w:szCs w:val="24"/>
        </w:rPr>
        <w:t>.85</w:t>
      </w:r>
      <w:r>
        <w:rPr>
          <w:rFonts w:hint="eastAsia" w:ascii="宋体" w:hAnsi="宋体"/>
          <w:sz w:val="24"/>
          <w:szCs w:val="24"/>
        </w:rPr>
        <w:t>万人，回马镇1</w:t>
      </w:r>
      <w:r>
        <w:rPr>
          <w:rFonts w:ascii="宋体" w:hAnsi="宋体"/>
          <w:sz w:val="24"/>
          <w:szCs w:val="24"/>
        </w:rPr>
        <w:t>.0</w:t>
      </w:r>
      <w:r>
        <w:rPr>
          <w:rFonts w:hint="eastAsia" w:ascii="宋体" w:hAnsi="宋体"/>
          <w:sz w:val="24"/>
          <w:szCs w:val="24"/>
        </w:rPr>
        <w:t>万人，金元镇0</w:t>
      </w:r>
      <w:r>
        <w:rPr>
          <w:rFonts w:ascii="宋体" w:hAnsi="宋体"/>
          <w:sz w:val="24"/>
          <w:szCs w:val="24"/>
        </w:rPr>
        <w:t>.2</w:t>
      </w:r>
      <w:r>
        <w:rPr>
          <w:rFonts w:hint="eastAsia" w:ascii="宋体" w:hAnsi="宋体"/>
          <w:sz w:val="24"/>
          <w:szCs w:val="24"/>
        </w:rPr>
        <w:t>万人</w:t>
      </w:r>
      <w:bookmarkEnd w:id="39"/>
      <w:r>
        <w:rPr>
          <w:rFonts w:hint="eastAsia" w:ascii="宋体" w:hAnsi="宋体"/>
          <w:sz w:val="24"/>
          <w:szCs w:val="24"/>
        </w:rPr>
        <w:t>。</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 xml:space="preserve"> </w:t>
      </w:r>
      <w:r>
        <w:rPr>
          <w:rFonts w:ascii="宋体" w:hAnsi="宋体"/>
          <w:sz w:val="24"/>
          <w:szCs w:val="24"/>
        </w:rPr>
        <w:t xml:space="preserve">                                                                                                                                                                                                                                                                                                                                                                                                                                                                              </w:t>
      </w:r>
    </w:p>
    <w:p>
      <w:pPr>
        <w:pStyle w:val="5"/>
        <w:numPr>
          <w:ilvl w:val="0"/>
          <w:numId w:val="23"/>
        </w:numPr>
        <w:spacing w:line="360" w:lineRule="auto"/>
        <w:rPr>
          <w:b/>
          <w:bCs/>
        </w:rPr>
      </w:pPr>
      <w:r>
        <w:rPr>
          <w:rFonts w:hint="eastAsia"/>
          <w:b/>
          <w:bCs/>
        </w:rPr>
        <w:t>发展思路</w:t>
      </w:r>
    </w:p>
    <w:p>
      <w:pPr>
        <w:pStyle w:val="85"/>
        <w:numPr>
          <w:ilvl w:val="0"/>
          <w:numId w:val="26"/>
        </w:numPr>
        <w:spacing w:line="360" w:lineRule="auto"/>
        <w:ind w:firstLineChars="0"/>
        <w:rPr>
          <w:b/>
          <w:bCs/>
          <w:lang w:val="zh-CN"/>
        </w:rPr>
      </w:pPr>
      <w:r>
        <w:rPr>
          <w:rFonts w:hint="eastAsia"/>
          <w:b/>
          <w:bCs/>
          <w:lang w:val="zh-CN"/>
        </w:rPr>
        <w:t>筑基础</w:t>
      </w:r>
    </w:p>
    <w:p>
      <w:pPr>
        <w:spacing w:line="360" w:lineRule="auto"/>
        <w:ind w:firstLine="480" w:firstLineChars="200"/>
        <w:rPr>
          <w:rFonts w:ascii="宋体" w:hAnsi="宋体"/>
          <w:sz w:val="24"/>
          <w:szCs w:val="24"/>
        </w:rPr>
      </w:pPr>
      <w:r>
        <w:rPr>
          <w:rFonts w:hint="eastAsia" w:ascii="宋体" w:hAnsi="宋体"/>
          <w:sz w:val="24"/>
          <w:szCs w:val="24"/>
        </w:rPr>
        <w:t>落实最严格耕地保护制度、生态环境保护制度和节约集约用地制度，强化粮食安全、生态安全的底线管控，划定落实“三区三线”，通过全域全要素统筹保护，筑牢现代农业农耕基底。</w:t>
      </w:r>
    </w:p>
    <w:p>
      <w:pPr>
        <w:pStyle w:val="85"/>
        <w:numPr>
          <w:ilvl w:val="0"/>
          <w:numId w:val="26"/>
        </w:numPr>
        <w:spacing w:line="360" w:lineRule="auto"/>
        <w:ind w:firstLineChars="0"/>
        <w:rPr>
          <w:b/>
          <w:bCs/>
          <w:lang w:val="zh-CN"/>
        </w:rPr>
      </w:pPr>
      <w:r>
        <w:rPr>
          <w:rFonts w:hint="eastAsia"/>
          <w:b/>
          <w:bCs/>
          <w:lang w:val="zh-CN"/>
        </w:rPr>
        <w:t>促产业</w:t>
      </w:r>
    </w:p>
    <w:p>
      <w:pPr>
        <w:pStyle w:val="85"/>
        <w:spacing w:line="360" w:lineRule="auto"/>
        <w:ind w:firstLine="480"/>
      </w:pPr>
      <w:r>
        <w:rPr>
          <w:rFonts w:hint="eastAsia"/>
        </w:rPr>
        <w:t>以优质粮油为基础，强化片区产业特色，推动道地中药材和绿色蔬菜农业园区的提星升级和设施完善，加快推进种养循环农业园区的创建工作，打造特色农产品地理标志；以一产为基础，通过纵向延伸、横向拓展，延伸产业链，促进一二产深度融合，加快回马工业园和隆盛中药材加工基地的建设和招商工作，精准投放土地要素，保障项目落地，同时从差异化发展思路出发，培育隆盛医药康养产业和回马乡村旅游、金元种养循环研学旅游，逐步实现三大产业融合发展，推动片区一体化发展。</w:t>
      </w:r>
    </w:p>
    <w:p>
      <w:pPr>
        <w:pStyle w:val="85"/>
        <w:numPr>
          <w:ilvl w:val="0"/>
          <w:numId w:val="26"/>
        </w:numPr>
        <w:spacing w:line="360" w:lineRule="auto"/>
        <w:ind w:firstLineChars="0"/>
        <w:rPr>
          <w:b/>
          <w:bCs/>
          <w:lang w:val="zh-CN"/>
        </w:rPr>
      </w:pPr>
      <w:r>
        <w:rPr>
          <w:rFonts w:hint="eastAsia"/>
          <w:b/>
          <w:bCs/>
          <w:lang w:val="zh-CN"/>
        </w:rPr>
        <w:t>强中心</w:t>
      </w:r>
    </w:p>
    <w:p>
      <w:pPr>
        <w:spacing w:line="360" w:lineRule="auto"/>
        <w:ind w:firstLine="480" w:firstLineChars="200"/>
        <w:rPr>
          <w:rFonts w:ascii="宋体" w:hAnsi="宋体"/>
          <w:sz w:val="24"/>
          <w:szCs w:val="24"/>
        </w:rPr>
      </w:pPr>
      <w:r>
        <w:rPr>
          <w:rFonts w:hint="eastAsia" w:ascii="宋体" w:hAnsi="宋体"/>
          <w:sz w:val="24"/>
          <w:szCs w:val="24"/>
        </w:rPr>
        <w:t>强化隆盛中心镇、回马副中心镇的辐射带动作用，加强隆盛、回马公服基础设施升级，提升服务能力，加强旅游服务中心功能，吸引农村人口适度向城镇聚集、资源向中心镇、中心村集聚。</w:t>
      </w:r>
    </w:p>
    <w:p>
      <w:pPr>
        <w:pStyle w:val="85"/>
        <w:numPr>
          <w:ilvl w:val="0"/>
          <w:numId w:val="26"/>
        </w:numPr>
        <w:spacing w:line="360" w:lineRule="auto"/>
        <w:ind w:firstLineChars="0"/>
        <w:rPr>
          <w:b/>
          <w:bCs/>
          <w:lang w:val="zh-CN"/>
        </w:rPr>
      </w:pPr>
      <w:r>
        <w:rPr>
          <w:rFonts w:hint="eastAsia"/>
          <w:b/>
          <w:bCs/>
          <w:lang w:val="zh-CN"/>
        </w:rPr>
        <w:t>优设施</w:t>
      </w:r>
    </w:p>
    <w:p>
      <w:pPr>
        <w:spacing w:line="360" w:lineRule="auto"/>
        <w:ind w:firstLine="480" w:firstLineChars="200"/>
        <w:rPr>
          <w:rFonts w:ascii="宋体" w:hAnsi="宋体"/>
          <w:sz w:val="24"/>
          <w:szCs w:val="24"/>
        </w:rPr>
      </w:pPr>
      <w:r>
        <w:rPr>
          <w:rFonts w:hint="eastAsia" w:ascii="宋体" w:hAnsi="宋体"/>
          <w:sz w:val="24"/>
          <w:szCs w:val="24"/>
        </w:rPr>
        <w:t>作为县城服务功能的补充，优化片区公共服务设施体系，强化中心镇、中心村的片区服务功能，补齐基础设施短板，促进片区设施共建共享，提升片区综合服务能力。</w:t>
      </w:r>
    </w:p>
    <w:p>
      <w:pPr>
        <w:pStyle w:val="85"/>
        <w:numPr>
          <w:ilvl w:val="0"/>
          <w:numId w:val="26"/>
        </w:numPr>
        <w:spacing w:line="360" w:lineRule="auto"/>
        <w:ind w:firstLineChars="0"/>
        <w:rPr>
          <w:b/>
          <w:bCs/>
          <w:lang w:val="zh-CN"/>
        </w:rPr>
      </w:pPr>
      <w:r>
        <w:rPr>
          <w:rFonts w:hint="eastAsia"/>
          <w:b/>
          <w:bCs/>
          <w:lang w:val="zh-CN"/>
        </w:rPr>
        <w:t>提品质</w:t>
      </w:r>
    </w:p>
    <w:p>
      <w:pPr>
        <w:spacing w:line="360" w:lineRule="auto"/>
        <w:ind w:firstLine="480" w:firstLineChars="200"/>
        <w:rPr>
          <w:rFonts w:ascii="宋体" w:hAnsi="宋体"/>
          <w:sz w:val="24"/>
          <w:szCs w:val="24"/>
        </w:rPr>
      </w:pPr>
      <w:r>
        <w:rPr>
          <w:rFonts w:hint="eastAsia" w:ascii="宋体" w:hAnsi="宋体"/>
          <w:sz w:val="24"/>
          <w:szCs w:val="24"/>
        </w:rPr>
        <w:t>延续传统丘陵川中风貌特征，构建“大田园、小城镇、微聚落”的城乡风貌格局，立足自身特点，加强特色小镇建设。完善乡村垃圾收集设施、污水处理设施，继续推进厕所革命，改善农村人居环境。</w:t>
      </w:r>
    </w:p>
    <w:p>
      <w:pPr>
        <w:pStyle w:val="85"/>
        <w:numPr>
          <w:ilvl w:val="0"/>
          <w:numId w:val="26"/>
        </w:numPr>
        <w:spacing w:line="360" w:lineRule="auto"/>
        <w:ind w:firstLineChars="0"/>
        <w:rPr>
          <w:b/>
          <w:bCs/>
          <w:lang w:val="zh-CN"/>
        </w:rPr>
      </w:pPr>
      <w:r>
        <w:rPr>
          <w:rFonts w:hint="eastAsia"/>
          <w:b/>
          <w:bCs/>
          <w:lang w:val="zh-CN"/>
        </w:rPr>
        <w:t>增效益</w:t>
      </w:r>
    </w:p>
    <w:p>
      <w:pPr>
        <w:spacing w:line="360" w:lineRule="auto"/>
        <w:ind w:firstLine="480" w:firstLineChars="200"/>
        <w:rPr>
          <w:rFonts w:ascii="宋体" w:hAnsi="宋体"/>
          <w:sz w:val="24"/>
          <w:szCs w:val="24"/>
        </w:rPr>
      </w:pPr>
      <w:r>
        <w:rPr>
          <w:rFonts w:hint="eastAsia" w:ascii="宋体" w:hAnsi="宋体"/>
          <w:sz w:val="24"/>
          <w:szCs w:val="24"/>
        </w:rPr>
        <w:t>科学推进全域土地综合整治，促进耕地集中连片，数量不减，质量提升；精准筛查闲置低效土地，清理一户多宅，利用增减挂钩、集体经营性土地入市等政策，盘活资产；尊重村民意愿，引导适度聚居，挖掘潜力，腾挪指标，发展壮大集体经济。</w:t>
      </w:r>
    </w:p>
    <w:p>
      <w:pPr>
        <w:pStyle w:val="5"/>
        <w:numPr>
          <w:ilvl w:val="0"/>
          <w:numId w:val="23"/>
        </w:numPr>
        <w:spacing w:line="360" w:lineRule="auto"/>
        <w:ind w:left="482" w:hanging="482" w:hangingChars="200"/>
        <w:rPr>
          <w:b/>
          <w:bCs/>
        </w:rPr>
      </w:pPr>
      <w:r>
        <w:rPr>
          <w:rFonts w:hint="eastAsia"/>
          <w:b/>
          <w:bCs/>
        </w:rPr>
        <w:t>指标体系</w:t>
      </w:r>
    </w:p>
    <w:p>
      <w:pPr>
        <w:spacing w:line="360" w:lineRule="auto"/>
        <w:ind w:firstLine="480" w:firstLineChars="200"/>
        <w:rPr>
          <w:rFonts w:ascii="宋体" w:hAnsi="宋体"/>
          <w:sz w:val="24"/>
          <w:szCs w:val="24"/>
        </w:rPr>
      </w:pPr>
      <w:r>
        <w:rPr>
          <w:rFonts w:hint="eastAsia" w:ascii="宋体" w:hAnsi="宋体"/>
          <w:sz w:val="24"/>
          <w:szCs w:val="24"/>
        </w:rPr>
        <w:t>落实上位规划明确的约束性指标，立足片区定位和规划目标，</w:t>
      </w:r>
      <w:r>
        <w:rPr>
          <w:rFonts w:hint="eastAsia" w:ascii="宋体" w:hAnsi="宋体"/>
          <w:b/>
          <w:sz w:val="24"/>
          <w:szCs w:val="24"/>
          <w:u w:val="single"/>
        </w:rPr>
        <w:t>确定资源底线、发展质量、服务能力三类</w:t>
      </w:r>
      <w:r>
        <w:rPr>
          <w:rFonts w:ascii="宋体" w:hAnsi="宋体"/>
          <w:b/>
          <w:sz w:val="24"/>
          <w:szCs w:val="24"/>
          <w:u w:val="single"/>
        </w:rPr>
        <w:t>16</w:t>
      </w:r>
      <w:r>
        <w:rPr>
          <w:rFonts w:hint="eastAsia" w:ascii="宋体" w:hAnsi="宋体"/>
          <w:b/>
          <w:sz w:val="24"/>
          <w:szCs w:val="24"/>
          <w:u w:val="single"/>
        </w:rPr>
        <w:t>项近远期规划指标，其中约束性指标</w:t>
      </w:r>
      <w:r>
        <w:rPr>
          <w:rFonts w:ascii="宋体" w:hAnsi="宋体"/>
          <w:b/>
          <w:sz w:val="24"/>
          <w:szCs w:val="24"/>
          <w:u w:val="single"/>
        </w:rPr>
        <w:t>7</w:t>
      </w:r>
      <w:r>
        <w:rPr>
          <w:rFonts w:hint="eastAsia" w:ascii="宋体" w:hAnsi="宋体"/>
          <w:b/>
          <w:sz w:val="24"/>
          <w:szCs w:val="24"/>
          <w:u w:val="single"/>
        </w:rPr>
        <w:t>项</w:t>
      </w:r>
      <w:r>
        <w:rPr>
          <w:rFonts w:hint="eastAsia" w:ascii="宋体" w:hAnsi="宋体"/>
          <w:sz w:val="24"/>
          <w:szCs w:val="24"/>
        </w:rPr>
        <w:t>，预期性指标</w:t>
      </w:r>
      <w:r>
        <w:rPr>
          <w:rFonts w:ascii="宋体" w:hAnsi="宋体"/>
          <w:sz w:val="24"/>
          <w:szCs w:val="24"/>
        </w:rPr>
        <w:t>9项</w:t>
      </w:r>
      <w:r>
        <w:rPr>
          <w:rFonts w:hint="eastAsia" w:ascii="宋体" w:hAnsi="宋体"/>
          <w:sz w:val="24"/>
          <w:szCs w:val="24"/>
        </w:rPr>
        <w:t>，详见附表</w:t>
      </w:r>
      <w:r>
        <w:rPr>
          <w:rFonts w:ascii="宋体" w:hAnsi="宋体"/>
          <w:sz w:val="24"/>
          <w:szCs w:val="24"/>
        </w:rPr>
        <w:t>2。</w:t>
      </w:r>
    </w:p>
    <w:p>
      <w:pPr>
        <w:numPr>
          <w:ilvl w:val="1"/>
          <w:numId w:val="22"/>
        </w:numPr>
        <w:tabs>
          <w:tab w:val="left" w:pos="680"/>
          <w:tab w:val="left" w:pos="840"/>
        </w:tabs>
        <w:spacing w:before="312" w:beforeLines="100" w:after="312" w:afterLines="100" w:line="440" w:lineRule="exact"/>
        <w:jc w:val="left"/>
        <w:outlineLvl w:val="1"/>
        <w:rPr>
          <w:rFonts w:hAnsi="宋体"/>
          <w:b/>
          <w:sz w:val="28"/>
          <w:szCs w:val="28"/>
        </w:rPr>
      </w:pPr>
      <w:bookmarkStart w:id="40" w:name="_Toc106959981"/>
      <w:bookmarkStart w:id="41" w:name="_Toc141369723"/>
      <w:r>
        <w:rPr>
          <w:rFonts w:hint="eastAsia" w:hAnsi="宋体"/>
          <w:b/>
          <w:sz w:val="28"/>
          <w:szCs w:val="28"/>
        </w:rPr>
        <w:t>底线约束</w:t>
      </w:r>
      <w:bookmarkEnd w:id="40"/>
      <w:bookmarkEnd w:id="41"/>
    </w:p>
    <w:p>
      <w:pPr>
        <w:pStyle w:val="5"/>
        <w:numPr>
          <w:ilvl w:val="3"/>
          <w:numId w:val="22"/>
        </w:numPr>
        <w:spacing w:line="360" w:lineRule="auto"/>
        <w:ind w:left="420"/>
        <w:rPr>
          <w:b/>
          <w:bCs/>
        </w:rPr>
      </w:pPr>
      <w:r>
        <w:rPr>
          <w:rFonts w:hint="eastAsia"/>
          <w:b/>
          <w:bCs/>
        </w:rPr>
        <w:t>“三区三线”规划</w:t>
      </w:r>
    </w:p>
    <w:p>
      <w:pPr>
        <w:pStyle w:val="81"/>
        <w:numPr>
          <w:ilvl w:val="0"/>
          <w:numId w:val="27"/>
        </w:numPr>
        <w:spacing w:line="360" w:lineRule="auto"/>
        <w:ind w:firstLineChars="0"/>
        <w:rPr>
          <w:rFonts w:ascii="宋体" w:hAnsi="宋体"/>
          <w:b/>
          <w:bCs/>
          <w:sz w:val="24"/>
          <w:szCs w:val="24"/>
        </w:rPr>
      </w:pPr>
      <w:r>
        <w:rPr>
          <w:rFonts w:hint="eastAsia" w:ascii="宋体" w:hAnsi="宋体"/>
          <w:b/>
          <w:bCs/>
          <w:sz w:val="24"/>
          <w:szCs w:val="24"/>
        </w:rPr>
        <w:t>“三线”划定</w:t>
      </w:r>
    </w:p>
    <w:p>
      <w:pPr>
        <w:spacing w:line="360" w:lineRule="auto"/>
        <w:ind w:firstLine="480" w:firstLineChars="200"/>
        <w:rPr>
          <w:rFonts w:ascii="宋体" w:hAnsi="宋体"/>
          <w:sz w:val="24"/>
          <w:szCs w:val="24"/>
        </w:rPr>
      </w:pPr>
      <w:r>
        <w:rPr>
          <w:rFonts w:hint="eastAsia" w:ascii="宋体" w:hAnsi="宋体"/>
          <w:sz w:val="24"/>
          <w:szCs w:val="24"/>
        </w:rPr>
        <w:t>统筹落实永久基本农田、生态保护红线和城镇开发边界划定结果，将其作为调整经济结构、发展产业、推进城镇化不可逾越的红线。</w:t>
      </w:r>
    </w:p>
    <w:p>
      <w:pPr>
        <w:pStyle w:val="81"/>
        <w:numPr>
          <w:ilvl w:val="0"/>
          <w:numId w:val="28"/>
        </w:numPr>
        <w:spacing w:line="360" w:lineRule="auto"/>
        <w:ind w:firstLineChars="0"/>
        <w:rPr>
          <w:rFonts w:ascii="宋体" w:hAnsi="宋体"/>
          <w:sz w:val="24"/>
          <w:szCs w:val="24"/>
        </w:rPr>
      </w:pPr>
      <w:r>
        <w:rPr>
          <w:rFonts w:hint="eastAsia" w:ascii="宋体" w:hAnsi="宋体"/>
          <w:sz w:val="24"/>
          <w:szCs w:val="24"/>
        </w:rPr>
        <w:t>永久基本农田</w:t>
      </w:r>
    </w:p>
    <w:p>
      <w:pPr>
        <w:spacing w:line="360" w:lineRule="auto"/>
        <w:ind w:firstLine="480" w:firstLineChars="200"/>
        <w:rPr>
          <w:rFonts w:ascii="宋体" w:hAnsi="宋体"/>
          <w:sz w:val="24"/>
          <w:szCs w:val="24"/>
        </w:rPr>
      </w:pPr>
      <w:bookmarkStart w:id="42" w:name="_Hlk148624605"/>
      <w:r>
        <w:rPr>
          <w:rFonts w:hint="eastAsia" w:ascii="宋体" w:hAnsi="宋体"/>
          <w:bCs/>
          <w:sz w:val="24"/>
          <w:szCs w:val="24"/>
        </w:rPr>
        <w:t>严格落实《大英县国土空间总体规划（2021—2035年）》底线约束性指标要求，</w:t>
      </w:r>
      <w:r>
        <w:rPr>
          <w:rFonts w:hint="eastAsia" w:ascii="宋体" w:hAnsi="宋体"/>
          <w:b/>
          <w:sz w:val="24"/>
          <w:szCs w:val="24"/>
          <w:u w:val="single"/>
        </w:rPr>
        <w:t>划定永久基本农田保护面积</w:t>
      </w:r>
      <w:r>
        <w:rPr>
          <w:rFonts w:ascii="宋体" w:hAnsi="宋体"/>
          <w:b/>
          <w:sz w:val="24"/>
          <w:szCs w:val="24"/>
          <w:u w:val="single"/>
        </w:rPr>
        <w:t>74.06</w:t>
      </w:r>
      <w:r>
        <w:rPr>
          <w:rFonts w:hint="eastAsia" w:ascii="宋体" w:hAnsi="宋体"/>
          <w:b/>
          <w:sz w:val="24"/>
          <w:szCs w:val="24"/>
          <w:u w:val="single"/>
        </w:rPr>
        <w:t>平方公里</w:t>
      </w:r>
      <w:r>
        <w:rPr>
          <w:rFonts w:hint="eastAsia" w:ascii="宋体" w:hAnsi="宋体"/>
          <w:b/>
          <w:bCs/>
          <w:sz w:val="24"/>
          <w:szCs w:val="24"/>
          <w:u w:val="single"/>
        </w:rPr>
        <w:t>。</w:t>
      </w:r>
      <w:bookmarkEnd w:id="42"/>
      <w:r>
        <w:rPr>
          <w:rFonts w:hint="eastAsia" w:ascii="宋体" w:hAnsi="宋体"/>
          <w:b/>
          <w:bCs/>
          <w:sz w:val="24"/>
          <w:szCs w:val="24"/>
          <w:u w:val="single"/>
        </w:rPr>
        <w:t>严格按照《基本农田保护条例》《四川省基本农田保护实施细则》等相关法律法规及现行的相关政策文件执行永久基本农田特殊保护制度。</w:t>
      </w:r>
    </w:p>
    <w:p>
      <w:pPr>
        <w:pStyle w:val="81"/>
        <w:numPr>
          <w:ilvl w:val="0"/>
          <w:numId w:val="28"/>
        </w:numPr>
        <w:spacing w:line="360" w:lineRule="auto"/>
        <w:ind w:firstLineChars="0"/>
        <w:rPr>
          <w:rFonts w:ascii="宋体" w:hAnsi="宋体"/>
          <w:sz w:val="24"/>
          <w:szCs w:val="24"/>
        </w:rPr>
      </w:pPr>
      <w:r>
        <w:rPr>
          <w:rFonts w:hint="eastAsia" w:ascii="宋体" w:hAnsi="宋体"/>
          <w:sz w:val="24"/>
          <w:szCs w:val="24"/>
        </w:rPr>
        <w:t>生态保护红线</w:t>
      </w:r>
    </w:p>
    <w:p>
      <w:pPr>
        <w:spacing w:line="360" w:lineRule="auto"/>
        <w:ind w:firstLine="480" w:firstLineChars="200"/>
        <w:rPr>
          <w:rFonts w:ascii="宋体" w:hAnsi="宋体"/>
          <w:sz w:val="24"/>
          <w:szCs w:val="24"/>
        </w:rPr>
      </w:pPr>
      <w:bookmarkStart w:id="43" w:name="_Hlk148624618"/>
      <w:r>
        <w:rPr>
          <w:rFonts w:hint="eastAsia" w:ascii="宋体" w:hAnsi="宋体"/>
          <w:bCs/>
          <w:sz w:val="24"/>
          <w:szCs w:val="24"/>
        </w:rPr>
        <w:t>严格落实《大英县国土空间总体规划（2021—2035年）》底线约束性指标要求，</w:t>
      </w:r>
      <w:r>
        <w:rPr>
          <w:rFonts w:hint="eastAsia" w:ascii="宋体" w:hAnsi="宋体"/>
          <w:b/>
          <w:sz w:val="24"/>
          <w:szCs w:val="24"/>
          <w:u w:val="single"/>
        </w:rPr>
        <w:t>划定涪江东山村集中式水源一级保护区生态保护红线，面积</w:t>
      </w:r>
      <w:r>
        <w:rPr>
          <w:rFonts w:ascii="宋体" w:hAnsi="宋体"/>
          <w:b/>
          <w:sz w:val="24"/>
          <w:szCs w:val="24"/>
          <w:u w:val="single"/>
        </w:rPr>
        <w:t>17.51公顷。</w:t>
      </w:r>
      <w:bookmarkEnd w:id="43"/>
      <w:r>
        <w:rPr>
          <w:rFonts w:hint="eastAsia" w:ascii="宋体" w:hAnsi="宋体"/>
          <w:b/>
          <w:sz w:val="24"/>
          <w:szCs w:val="24"/>
          <w:u w:val="single"/>
        </w:rPr>
        <w:t>实行最严格的生态环境保护制度，严格</w:t>
      </w:r>
      <w:r>
        <w:rPr>
          <w:rFonts w:hint="eastAsia" w:ascii="宋体" w:hAnsi="宋体"/>
          <w:b/>
          <w:bCs/>
          <w:sz w:val="24"/>
          <w:szCs w:val="24"/>
          <w:u w:val="single"/>
        </w:rPr>
        <w:t>按照《中华人民共和国环境保护法》《生态保护红线生态环境监督办法（试行）》《四川省饮用水水源保护管理条例》等相关法律法规及现行的相关政策文件对生态保护红线进行管控。</w:t>
      </w:r>
    </w:p>
    <w:p>
      <w:pPr>
        <w:pStyle w:val="81"/>
        <w:numPr>
          <w:ilvl w:val="0"/>
          <w:numId w:val="28"/>
        </w:numPr>
        <w:spacing w:line="360" w:lineRule="auto"/>
        <w:ind w:firstLineChars="0"/>
        <w:rPr>
          <w:rFonts w:ascii="宋体" w:hAnsi="宋体"/>
          <w:sz w:val="24"/>
          <w:szCs w:val="24"/>
        </w:rPr>
      </w:pPr>
      <w:r>
        <w:rPr>
          <w:rFonts w:hint="eastAsia" w:ascii="宋体" w:hAnsi="宋体"/>
          <w:sz w:val="24"/>
          <w:szCs w:val="24"/>
        </w:rPr>
        <w:t>城镇开发边界</w:t>
      </w:r>
    </w:p>
    <w:p>
      <w:pPr>
        <w:spacing w:line="360" w:lineRule="auto"/>
        <w:ind w:firstLine="480" w:firstLineChars="200"/>
        <w:rPr>
          <w:rFonts w:ascii="宋体" w:hAnsi="宋体"/>
          <w:sz w:val="24"/>
          <w:szCs w:val="24"/>
        </w:rPr>
      </w:pPr>
      <w:bookmarkStart w:id="44" w:name="_Hlk148624635"/>
      <w:r>
        <w:rPr>
          <w:rFonts w:hint="eastAsia" w:ascii="宋体" w:hAnsi="宋体"/>
          <w:bCs/>
          <w:sz w:val="24"/>
          <w:szCs w:val="24"/>
        </w:rPr>
        <w:t>严格落实《大英县国土空间总体规划（2021—2035年）》底线约束性指标要求，</w:t>
      </w:r>
      <w:r>
        <w:rPr>
          <w:rFonts w:hint="eastAsia" w:ascii="宋体" w:hAnsi="宋体"/>
          <w:b/>
          <w:sz w:val="24"/>
          <w:szCs w:val="24"/>
          <w:u w:val="single"/>
        </w:rPr>
        <w:t>落实最严格的节约集约用地制度，</w:t>
      </w:r>
      <w:r>
        <w:rPr>
          <w:rFonts w:hint="eastAsia" w:ascii="宋体" w:hAnsi="宋体"/>
          <w:b/>
          <w:bCs/>
          <w:sz w:val="24"/>
          <w:szCs w:val="24"/>
          <w:u w:val="single"/>
        </w:rPr>
        <w:t>划定片区</w:t>
      </w:r>
      <w:r>
        <w:rPr>
          <w:rFonts w:hint="eastAsia" w:ascii="宋体" w:hAnsi="宋体"/>
          <w:b/>
          <w:sz w:val="24"/>
          <w:szCs w:val="24"/>
          <w:u w:val="single"/>
        </w:rPr>
        <w:t>城镇开发边界面积</w:t>
      </w:r>
      <w:r>
        <w:rPr>
          <w:rFonts w:ascii="宋体" w:hAnsi="宋体"/>
          <w:b/>
          <w:sz w:val="24"/>
          <w:szCs w:val="24"/>
          <w:u w:val="single"/>
        </w:rPr>
        <w:t>290.53</w:t>
      </w:r>
      <w:r>
        <w:rPr>
          <w:rFonts w:hint="eastAsia" w:ascii="宋体" w:hAnsi="宋体"/>
          <w:b/>
          <w:sz w:val="24"/>
          <w:szCs w:val="24"/>
          <w:u w:val="single"/>
        </w:rPr>
        <w:t>公顷</w:t>
      </w:r>
      <w:r>
        <w:rPr>
          <w:rFonts w:hint="eastAsia" w:ascii="宋体" w:hAnsi="宋体"/>
          <w:b/>
          <w:bCs/>
          <w:sz w:val="24"/>
          <w:szCs w:val="24"/>
          <w:u w:val="single"/>
        </w:rPr>
        <w:t>，均为集中建设区</w:t>
      </w:r>
      <w:r>
        <w:rPr>
          <w:rFonts w:ascii="宋体" w:hAnsi="宋体"/>
          <w:b/>
          <w:bCs/>
          <w:sz w:val="24"/>
          <w:szCs w:val="24"/>
          <w:u w:val="single"/>
        </w:rPr>
        <w:t>。</w:t>
      </w:r>
      <w:bookmarkEnd w:id="44"/>
      <w:r>
        <w:rPr>
          <w:rFonts w:hint="eastAsia" w:ascii="宋体" w:hAnsi="宋体"/>
          <w:b/>
          <w:bCs/>
          <w:sz w:val="24"/>
          <w:szCs w:val="24"/>
          <w:u w:val="single"/>
        </w:rPr>
        <w:t>严格按照现行的相关政策文件对城镇开发边界进行管控。在城镇开发边界内的建设活动，实行“详细规划+规划许可”的用途管制方式。城镇开发边界外不得进行城镇集中建设，不得设立各类开发区。</w:t>
      </w:r>
    </w:p>
    <w:p>
      <w:pPr>
        <w:pStyle w:val="81"/>
        <w:numPr>
          <w:ilvl w:val="0"/>
          <w:numId w:val="27"/>
        </w:numPr>
        <w:spacing w:line="360" w:lineRule="auto"/>
        <w:ind w:firstLineChars="0"/>
        <w:rPr>
          <w:rFonts w:ascii="宋体" w:hAnsi="宋体"/>
          <w:b/>
          <w:bCs/>
          <w:sz w:val="24"/>
          <w:szCs w:val="24"/>
        </w:rPr>
      </w:pPr>
      <w:r>
        <w:rPr>
          <w:rFonts w:hint="eastAsia" w:ascii="宋体" w:hAnsi="宋体"/>
          <w:b/>
          <w:bCs/>
          <w:sz w:val="24"/>
          <w:szCs w:val="24"/>
        </w:rPr>
        <w:t>“三区”划定</w:t>
      </w:r>
    </w:p>
    <w:p>
      <w:pPr>
        <w:tabs>
          <w:tab w:val="left" w:pos="720"/>
        </w:tabs>
        <w:spacing w:line="360" w:lineRule="auto"/>
        <w:ind w:firstLine="480" w:firstLineChars="200"/>
        <w:rPr>
          <w:rFonts w:ascii="宋体" w:hAnsi="宋体"/>
        </w:rPr>
      </w:pPr>
      <w:r>
        <w:rPr>
          <w:rFonts w:hint="eastAsia" w:ascii="宋体" w:hAnsi="宋体"/>
          <w:sz w:val="24"/>
          <w:szCs w:val="24"/>
        </w:rPr>
        <w:t>综合考虑耕地、永久基本农田、公益林、河湖岸线保护、湿地保护等约束性指标，结合道路、水利等基础设施的规划布局，保障农业空间安全高效。</w:t>
      </w:r>
      <w:bookmarkStart w:id="45" w:name="_Hlk148624763"/>
      <w:r>
        <w:rPr>
          <w:rFonts w:hint="eastAsia" w:ascii="宋体" w:hAnsi="宋体"/>
          <w:sz w:val="24"/>
          <w:szCs w:val="24"/>
        </w:rPr>
        <w:t>将稳定耕地占比高、生态功能较弱、以农业生产和农业生活为主要功能的区域规划为农业空间，主要包括耕地、园地、农业设施建设用地和农村居民点等，面积</w:t>
      </w:r>
      <w:r>
        <w:rPr>
          <w:rFonts w:ascii="宋体" w:hAnsi="宋体"/>
          <w:sz w:val="24"/>
          <w:szCs w:val="24"/>
        </w:rPr>
        <w:t>1</w:t>
      </w:r>
      <w:r>
        <w:rPr>
          <w:rFonts w:hint="eastAsia" w:ascii="宋体" w:hAnsi="宋体"/>
          <w:sz w:val="24"/>
          <w:szCs w:val="24"/>
        </w:rPr>
        <w:t>2687.92公顷，占比60.53%</w:t>
      </w:r>
      <w:r>
        <w:rPr>
          <w:rFonts w:ascii="宋体" w:hAnsi="宋体"/>
          <w:sz w:val="24"/>
          <w:szCs w:val="24"/>
        </w:rPr>
        <w:t>。</w:t>
      </w:r>
      <w:bookmarkEnd w:id="45"/>
    </w:p>
    <w:p>
      <w:pPr>
        <w:tabs>
          <w:tab w:val="left" w:pos="720"/>
        </w:tabs>
        <w:spacing w:line="360" w:lineRule="auto"/>
        <w:ind w:firstLine="480" w:firstLineChars="200"/>
        <w:rPr>
          <w:rFonts w:ascii="宋体" w:hAnsi="宋体"/>
        </w:rPr>
      </w:pPr>
      <w:r>
        <w:rPr>
          <w:rFonts w:hint="eastAsia" w:ascii="宋体" w:hAnsi="宋体"/>
          <w:sz w:val="24"/>
          <w:szCs w:val="24"/>
        </w:rPr>
        <w:t>根据自然地理格局，坚持生态优先、绿色发展原则，以自然恢复为主，加强生态保育，提升区域水源涵养和生物多样性维护功能。</w:t>
      </w:r>
      <w:bookmarkStart w:id="46" w:name="_Hlk148624777"/>
      <w:r>
        <w:rPr>
          <w:rFonts w:hint="eastAsia" w:ascii="宋体" w:hAnsi="宋体"/>
          <w:sz w:val="24"/>
          <w:szCs w:val="24"/>
        </w:rPr>
        <w:t>将维护区域生态安全以及为本片区提供重要生态系统服务功能和生态环境敏感脆弱的区域划入生态空间，主要包括涪江、郪江、小蒜溪、黄腊溪、瑰溪等水域和集中连片林地空间，面积</w:t>
      </w:r>
      <w:r>
        <w:rPr>
          <w:rFonts w:ascii="宋体" w:hAnsi="宋体"/>
          <w:sz w:val="24"/>
          <w:szCs w:val="24"/>
        </w:rPr>
        <w:t>7997.74</w:t>
      </w:r>
      <w:r>
        <w:rPr>
          <w:rFonts w:hint="eastAsia" w:ascii="宋体" w:hAnsi="宋体"/>
          <w:sz w:val="24"/>
          <w:szCs w:val="24"/>
        </w:rPr>
        <w:t>公顷，占比38.</w:t>
      </w:r>
      <w:r>
        <w:rPr>
          <w:rFonts w:ascii="宋体" w:hAnsi="宋体"/>
          <w:sz w:val="24"/>
          <w:szCs w:val="24"/>
        </w:rPr>
        <w:t>15</w:t>
      </w:r>
      <w:r>
        <w:rPr>
          <w:rFonts w:hint="eastAsia" w:ascii="宋体" w:hAnsi="宋体"/>
          <w:sz w:val="24"/>
          <w:szCs w:val="24"/>
        </w:rPr>
        <w:t>%</w:t>
      </w:r>
      <w:r>
        <w:rPr>
          <w:rFonts w:ascii="宋体" w:hAnsi="宋体"/>
          <w:sz w:val="24"/>
          <w:szCs w:val="24"/>
        </w:rPr>
        <w:t>。</w:t>
      </w:r>
      <w:bookmarkEnd w:id="46"/>
    </w:p>
    <w:p>
      <w:pPr>
        <w:tabs>
          <w:tab w:val="left" w:pos="720"/>
        </w:tabs>
        <w:spacing w:line="360" w:lineRule="auto"/>
        <w:ind w:firstLine="480" w:firstLineChars="200"/>
        <w:rPr>
          <w:rFonts w:ascii="宋体" w:hAnsi="宋体"/>
          <w:sz w:val="24"/>
          <w:szCs w:val="24"/>
        </w:rPr>
      </w:pPr>
      <w:r>
        <w:rPr>
          <w:rFonts w:hint="eastAsia" w:ascii="宋体" w:hAnsi="宋体"/>
          <w:sz w:val="24"/>
          <w:szCs w:val="24"/>
        </w:rPr>
        <w:t>坚持底线思维，牢固</w:t>
      </w:r>
      <w:r>
        <w:rPr>
          <w:rFonts w:hint="eastAsia" w:ascii="宋体" w:hAnsi="宋体"/>
          <w:sz w:val="24"/>
          <w:szCs w:val="24"/>
          <w:lang w:val="en-US" w:eastAsia="zh-CN"/>
        </w:rPr>
        <w:t>树立</w:t>
      </w:r>
      <w:r>
        <w:rPr>
          <w:rFonts w:hint="eastAsia" w:ascii="宋体" w:hAnsi="宋体"/>
          <w:sz w:val="24"/>
          <w:szCs w:val="24"/>
        </w:rPr>
        <w:t>安全优先的思想，在不突破上位规划下达指标的前提下，结合土地适宜性分析和资源环境承载力评价结果，综合考虑地方发展需求，统筹谋划城镇空间。</w:t>
      </w:r>
      <w:bookmarkStart w:id="47" w:name="_Hlk148624788"/>
      <w:r>
        <w:rPr>
          <w:rFonts w:hint="eastAsia" w:ascii="宋体" w:hAnsi="宋体"/>
          <w:sz w:val="24"/>
          <w:szCs w:val="24"/>
        </w:rPr>
        <w:t>将以城镇居民生产生活为主要功能的区域规划为城镇空间，主要包括现状城镇建成区和城镇扩展区，面积</w:t>
      </w:r>
      <w:r>
        <w:rPr>
          <w:rFonts w:ascii="宋体" w:hAnsi="宋体"/>
          <w:sz w:val="24"/>
          <w:szCs w:val="24"/>
        </w:rPr>
        <w:t>275.9</w:t>
      </w:r>
      <w:r>
        <w:rPr>
          <w:rFonts w:hint="eastAsia" w:ascii="宋体" w:hAnsi="宋体"/>
          <w:sz w:val="24"/>
          <w:szCs w:val="24"/>
        </w:rPr>
        <w:t>公顷，占比1.3</w:t>
      </w:r>
      <w:r>
        <w:rPr>
          <w:rFonts w:ascii="宋体" w:hAnsi="宋体"/>
          <w:sz w:val="24"/>
          <w:szCs w:val="24"/>
        </w:rPr>
        <w:t>2</w:t>
      </w:r>
      <w:r>
        <w:rPr>
          <w:rFonts w:hint="eastAsia" w:ascii="宋体" w:hAnsi="宋体"/>
          <w:sz w:val="24"/>
          <w:szCs w:val="24"/>
        </w:rPr>
        <w:t>%。</w:t>
      </w:r>
      <w:bookmarkEnd w:id="47"/>
    </w:p>
    <w:p>
      <w:pPr>
        <w:pStyle w:val="5"/>
        <w:numPr>
          <w:ilvl w:val="3"/>
          <w:numId w:val="22"/>
        </w:numPr>
        <w:spacing w:line="360" w:lineRule="auto"/>
        <w:ind w:left="420"/>
        <w:rPr>
          <w:b/>
          <w:bCs/>
        </w:rPr>
      </w:pPr>
      <w:r>
        <w:rPr>
          <w:rFonts w:hint="eastAsia"/>
          <w:b/>
          <w:bCs/>
        </w:rPr>
        <w:t>其他保护线</w:t>
      </w:r>
    </w:p>
    <w:p>
      <w:pPr>
        <w:pStyle w:val="81"/>
        <w:numPr>
          <w:ilvl w:val="0"/>
          <w:numId w:val="29"/>
        </w:numPr>
        <w:spacing w:line="360" w:lineRule="auto"/>
        <w:ind w:firstLineChars="0"/>
        <w:rPr>
          <w:rFonts w:ascii="宋体" w:hAnsi="宋体"/>
          <w:b/>
          <w:bCs/>
          <w:sz w:val="24"/>
          <w:szCs w:val="24"/>
        </w:rPr>
      </w:pPr>
      <w:r>
        <w:rPr>
          <w:rFonts w:hint="eastAsia" w:ascii="宋体" w:hAnsi="宋体"/>
          <w:b/>
          <w:bCs/>
          <w:sz w:val="24"/>
          <w:szCs w:val="24"/>
        </w:rPr>
        <w:t>历史文化保护</w:t>
      </w:r>
    </w:p>
    <w:p>
      <w:pPr>
        <w:spacing w:line="360" w:lineRule="auto"/>
        <w:ind w:firstLine="480" w:firstLineChars="200"/>
        <w:rPr>
          <w:rFonts w:ascii="宋体" w:hAnsi="宋体"/>
          <w:b/>
          <w:bCs/>
          <w:sz w:val="24"/>
          <w:szCs w:val="24"/>
          <w:u w:val="single"/>
        </w:rPr>
      </w:pPr>
      <w:r>
        <w:rPr>
          <w:rFonts w:hint="eastAsia" w:ascii="宋体" w:hAnsi="宋体"/>
          <w:sz w:val="24"/>
          <w:szCs w:val="24"/>
        </w:rPr>
        <w:t>片区内有2</w:t>
      </w:r>
      <w:r>
        <w:rPr>
          <w:rFonts w:ascii="宋体" w:hAnsi="宋体"/>
          <w:sz w:val="24"/>
          <w:szCs w:val="24"/>
        </w:rPr>
        <w:t>1</w:t>
      </w:r>
      <w:r>
        <w:rPr>
          <w:rFonts w:hint="eastAsia" w:ascii="宋体" w:hAnsi="宋体"/>
          <w:sz w:val="24"/>
          <w:szCs w:val="24"/>
        </w:rPr>
        <w:t>处文物保护单位和9</w:t>
      </w:r>
      <w:r>
        <w:rPr>
          <w:rFonts w:ascii="宋体" w:hAnsi="宋体"/>
          <w:sz w:val="24"/>
          <w:szCs w:val="24"/>
        </w:rPr>
        <w:t>4</w:t>
      </w:r>
      <w:r>
        <w:rPr>
          <w:rFonts w:hint="eastAsia" w:ascii="宋体" w:hAnsi="宋体"/>
          <w:sz w:val="24"/>
          <w:szCs w:val="24"/>
        </w:rPr>
        <w:t>处文物点，其中</w:t>
      </w:r>
      <w:r>
        <w:rPr>
          <w:rFonts w:ascii="宋体" w:hAnsi="宋体"/>
          <w:sz w:val="24"/>
          <w:szCs w:val="24"/>
        </w:rPr>
        <w:t>省级文物保护单位3处</w:t>
      </w:r>
      <w:r>
        <w:rPr>
          <w:rFonts w:hint="eastAsia" w:ascii="宋体" w:hAnsi="宋体"/>
          <w:sz w:val="24"/>
          <w:szCs w:val="24"/>
        </w:rPr>
        <w:t>，即郭子仪后裔墓葬群、长江坝遗址和金鹏寺摩崖造像；</w:t>
      </w:r>
      <w:r>
        <w:rPr>
          <w:rFonts w:ascii="宋体" w:hAnsi="宋体"/>
          <w:sz w:val="24"/>
          <w:szCs w:val="24"/>
        </w:rPr>
        <w:t>市级文物保护单位4处</w:t>
      </w:r>
      <w:r>
        <w:rPr>
          <w:rFonts w:hint="eastAsia" w:ascii="宋体" w:hAnsi="宋体"/>
          <w:sz w:val="24"/>
          <w:szCs w:val="24"/>
        </w:rPr>
        <w:t>，包括陈家大桥、双龙桥、五显庙和席书墓；</w:t>
      </w:r>
      <w:r>
        <w:rPr>
          <w:rFonts w:ascii="宋体" w:hAnsi="宋体"/>
          <w:sz w:val="24"/>
          <w:szCs w:val="24"/>
        </w:rPr>
        <w:t>县级文物保护单位14处</w:t>
      </w:r>
      <w:r>
        <w:rPr>
          <w:rFonts w:hint="eastAsia" w:ascii="宋体" w:hAnsi="宋体"/>
          <w:sz w:val="24"/>
          <w:szCs w:val="24"/>
        </w:rPr>
        <w:t>。</w:t>
      </w:r>
      <w:r>
        <w:rPr>
          <w:rFonts w:ascii="宋体" w:hAnsi="宋体"/>
          <w:b/>
          <w:bCs/>
          <w:sz w:val="24"/>
          <w:szCs w:val="24"/>
          <w:u w:val="single"/>
        </w:rPr>
        <w:t>明确</w:t>
      </w:r>
      <w:r>
        <w:rPr>
          <w:rFonts w:hint="eastAsia" w:ascii="宋体" w:hAnsi="宋体"/>
          <w:b/>
          <w:bCs/>
          <w:sz w:val="24"/>
          <w:szCs w:val="24"/>
          <w:u w:val="single"/>
        </w:rPr>
        <w:t>文物保护单位和文物点的</w:t>
      </w:r>
      <w:r>
        <w:rPr>
          <w:rFonts w:ascii="宋体" w:hAnsi="宋体"/>
          <w:b/>
          <w:bCs/>
          <w:sz w:val="24"/>
          <w:szCs w:val="24"/>
          <w:u w:val="single"/>
        </w:rPr>
        <w:t>保护范围与建设控制</w:t>
      </w:r>
      <w:r>
        <w:rPr>
          <w:rFonts w:hint="eastAsia" w:ascii="宋体" w:hAnsi="宋体"/>
          <w:b/>
          <w:bCs/>
          <w:sz w:val="24"/>
          <w:szCs w:val="24"/>
          <w:u w:val="single"/>
        </w:rPr>
        <w:t>地带，详见附表4。严格按照《中华人民共和国文物保护法》等相关法律法规对文物保护单位进行保护和修缮，严禁擅自拆除、改建和迁移地面文物</w:t>
      </w:r>
      <w:r>
        <w:rPr>
          <w:rFonts w:ascii="宋体" w:hAnsi="宋体"/>
          <w:b/>
          <w:bCs/>
          <w:sz w:val="24"/>
          <w:szCs w:val="24"/>
          <w:u w:val="single"/>
        </w:rPr>
        <w:t>。</w:t>
      </w:r>
    </w:p>
    <w:p>
      <w:pPr>
        <w:spacing w:line="360" w:lineRule="auto"/>
        <w:ind w:firstLine="482" w:firstLineChars="200"/>
        <w:rPr>
          <w:rFonts w:ascii="宋体" w:hAnsi="宋体"/>
          <w:b/>
          <w:bCs/>
          <w:sz w:val="24"/>
          <w:szCs w:val="24"/>
          <w:u w:val="single"/>
        </w:rPr>
      </w:pPr>
      <w:r>
        <w:rPr>
          <w:rFonts w:ascii="宋体" w:hAnsi="宋体"/>
          <w:b/>
          <w:bCs/>
          <w:sz w:val="24"/>
          <w:szCs w:val="24"/>
          <w:u w:val="single"/>
        </w:rPr>
        <w:t>严格保护片区内现有古树名木，以树冠外侧5米范围为古树名木保护边界，边界内禁止私自新建建筑物</w:t>
      </w:r>
      <w:r>
        <w:rPr>
          <w:rFonts w:hint="eastAsia" w:ascii="宋体" w:hAnsi="宋体"/>
          <w:b/>
          <w:bCs/>
          <w:sz w:val="24"/>
          <w:szCs w:val="24"/>
          <w:u w:val="single"/>
        </w:rPr>
        <w:t>。</w:t>
      </w:r>
      <w:r>
        <w:rPr>
          <w:rFonts w:ascii="宋体" w:hAnsi="宋体"/>
          <w:b/>
          <w:bCs/>
          <w:sz w:val="24"/>
          <w:szCs w:val="24"/>
          <w:u w:val="single"/>
        </w:rPr>
        <w:t>土地整理或建设项目涉及古树名木的，应当制定避让或者保护方案。</w:t>
      </w:r>
      <w:r>
        <w:rPr>
          <w:rFonts w:hint="eastAsia" w:ascii="宋体" w:hAnsi="宋体"/>
          <w:b/>
          <w:bCs/>
          <w:sz w:val="24"/>
          <w:szCs w:val="24"/>
          <w:u w:val="single"/>
        </w:rPr>
        <w:t>不得破坏古树名木及其周边环境，禁止随意迁移和破坏。古树名木养护责任单位或者责任人应按照相关规定实施保护管理。</w:t>
      </w:r>
    </w:p>
    <w:p>
      <w:pPr>
        <w:pStyle w:val="81"/>
        <w:numPr>
          <w:ilvl w:val="0"/>
          <w:numId w:val="29"/>
        </w:numPr>
        <w:spacing w:line="360" w:lineRule="auto"/>
        <w:ind w:firstLineChars="0"/>
        <w:rPr>
          <w:rFonts w:ascii="宋体" w:hAnsi="宋体"/>
          <w:b/>
          <w:bCs/>
          <w:sz w:val="24"/>
          <w:szCs w:val="24"/>
        </w:rPr>
      </w:pPr>
      <w:r>
        <w:rPr>
          <w:rFonts w:hint="eastAsia" w:ascii="宋体" w:hAnsi="宋体"/>
          <w:b/>
          <w:bCs/>
          <w:sz w:val="24"/>
          <w:szCs w:val="24"/>
        </w:rPr>
        <w:t>地质灾害风险控制线</w:t>
      </w:r>
    </w:p>
    <w:p>
      <w:pPr>
        <w:spacing w:line="360" w:lineRule="auto"/>
        <w:ind w:firstLine="480" w:firstLineChars="200"/>
        <w:rPr>
          <w:rFonts w:ascii="宋体" w:hAnsi="宋体"/>
          <w:sz w:val="24"/>
          <w:szCs w:val="24"/>
        </w:rPr>
      </w:pPr>
      <w:bookmarkStart w:id="48" w:name="_Hlk141863616"/>
      <w:r>
        <w:rPr>
          <w:rFonts w:hint="eastAsia" w:ascii="宋体" w:hAnsi="宋体"/>
          <w:sz w:val="24"/>
          <w:szCs w:val="24"/>
        </w:rPr>
        <w:t>根据《四川省大英县地质灾害风险调查评价项目成果报告》，片区内无地质灾害极高危险区和高危险区，</w:t>
      </w:r>
      <w:bookmarkEnd w:id="48"/>
      <w:bookmarkStart w:id="49" w:name="_Hlk141865098"/>
      <w:r>
        <w:rPr>
          <w:rFonts w:hint="eastAsia" w:ascii="宋体" w:hAnsi="宋体"/>
          <w:b/>
          <w:bCs/>
          <w:sz w:val="24"/>
          <w:szCs w:val="24"/>
          <w:u w:val="single"/>
        </w:rPr>
        <w:t>将区域内现状发育地质灾害点及影响范围划为地质灾害风险控制线，面积3</w:t>
      </w:r>
      <w:r>
        <w:rPr>
          <w:rFonts w:ascii="宋体" w:hAnsi="宋体"/>
          <w:b/>
          <w:bCs/>
          <w:sz w:val="24"/>
          <w:szCs w:val="24"/>
          <w:u w:val="single"/>
        </w:rPr>
        <w:t>9.6</w:t>
      </w:r>
      <w:r>
        <w:rPr>
          <w:rFonts w:hint="eastAsia" w:ascii="宋体" w:hAnsi="宋体"/>
          <w:b/>
          <w:bCs/>
          <w:sz w:val="24"/>
          <w:szCs w:val="24"/>
          <w:u w:val="single"/>
        </w:rPr>
        <w:t>公顷。规划城乡建设用地原则上应避让地质灾害风险控制线。确实无法避让的，应开展工程地质详细勘察及地质灾害评估，并依据工程地质详细勘察及地质灾害评估报告的结论和建议实施。</w:t>
      </w:r>
      <w:bookmarkEnd w:id="49"/>
    </w:p>
    <w:p>
      <w:pPr>
        <w:pStyle w:val="81"/>
        <w:numPr>
          <w:ilvl w:val="0"/>
          <w:numId w:val="29"/>
        </w:numPr>
        <w:spacing w:line="360" w:lineRule="auto"/>
        <w:ind w:firstLineChars="0"/>
        <w:rPr>
          <w:rFonts w:ascii="宋体" w:hAnsi="宋体"/>
          <w:b/>
          <w:bCs/>
          <w:sz w:val="24"/>
          <w:szCs w:val="24"/>
        </w:rPr>
      </w:pPr>
      <w:r>
        <w:rPr>
          <w:rFonts w:hint="eastAsia" w:ascii="宋体" w:hAnsi="宋体"/>
          <w:b/>
          <w:bCs/>
          <w:sz w:val="24"/>
          <w:szCs w:val="24"/>
        </w:rPr>
        <w:t>水资源保护</w:t>
      </w:r>
    </w:p>
    <w:p>
      <w:pPr>
        <w:spacing w:line="360" w:lineRule="auto"/>
        <w:ind w:firstLine="480" w:firstLineChars="200"/>
        <w:rPr>
          <w:rFonts w:ascii="宋体" w:hAnsi="宋体"/>
          <w:sz w:val="24"/>
          <w:szCs w:val="24"/>
        </w:rPr>
      </w:pPr>
      <w:r>
        <w:rPr>
          <w:rFonts w:hint="eastAsia" w:ascii="宋体" w:hAnsi="宋体"/>
          <w:sz w:val="24"/>
          <w:szCs w:val="24"/>
        </w:rPr>
        <w:t>加强水源涵养与保护，以流域控制单元为基础推进精准治污，建立水源安全保障、水污染严格控制、治水管理一体化的保护与防控体系。</w:t>
      </w:r>
      <w:r>
        <w:rPr>
          <w:rFonts w:hint="eastAsia" w:ascii="宋体" w:hAnsi="宋体"/>
          <w:b/>
          <w:bCs/>
          <w:sz w:val="24"/>
          <w:szCs w:val="24"/>
          <w:u w:val="single"/>
        </w:rPr>
        <w:t>划定涪江东山村集中式水源一级保护区，严格按照《四川省饮用水水源保护管理条例》《地表水环境质量标准》等相关规范要求保护。</w:t>
      </w:r>
      <w:r>
        <w:rPr>
          <w:rFonts w:hint="eastAsia" w:ascii="宋体" w:hAnsi="宋体"/>
          <w:b/>
          <w:sz w:val="24"/>
          <w:szCs w:val="24"/>
          <w:u w:val="single"/>
        </w:rPr>
        <w:t>划定9</w:t>
      </w:r>
      <w:r>
        <w:rPr>
          <w:rFonts w:ascii="宋体" w:hAnsi="宋体"/>
          <w:b/>
          <w:sz w:val="24"/>
          <w:szCs w:val="24"/>
          <w:u w:val="single"/>
        </w:rPr>
        <w:t>95.12</w:t>
      </w:r>
      <w:r>
        <w:rPr>
          <w:rFonts w:hint="eastAsia" w:ascii="宋体" w:hAnsi="宋体"/>
          <w:b/>
          <w:sz w:val="24"/>
          <w:szCs w:val="24"/>
          <w:u w:val="single"/>
        </w:rPr>
        <w:t>公顷</w:t>
      </w:r>
      <w:r>
        <w:rPr>
          <w:rFonts w:ascii="宋体" w:hAnsi="宋体"/>
          <w:b/>
          <w:sz w:val="24"/>
          <w:szCs w:val="24"/>
          <w:u w:val="single"/>
        </w:rPr>
        <w:t>河流水系管理范围</w:t>
      </w:r>
      <w:r>
        <w:rPr>
          <w:rFonts w:hint="eastAsia" w:ascii="宋体" w:hAnsi="宋体"/>
          <w:b/>
          <w:sz w:val="24"/>
          <w:szCs w:val="24"/>
          <w:u w:val="single"/>
        </w:rPr>
        <w:t>，其中</w:t>
      </w:r>
      <w:r>
        <w:rPr>
          <w:rFonts w:ascii="宋体" w:hAnsi="宋体"/>
          <w:b/>
          <w:sz w:val="24"/>
          <w:szCs w:val="24"/>
          <w:u w:val="single"/>
        </w:rPr>
        <w:t>涪江596.9公顷、</w:t>
      </w:r>
      <w:r>
        <w:rPr>
          <w:rFonts w:hint="eastAsia" w:ascii="宋体" w:hAnsi="宋体"/>
          <w:b/>
          <w:sz w:val="24"/>
          <w:szCs w:val="24"/>
          <w:u w:val="single"/>
        </w:rPr>
        <w:t>郪江</w:t>
      </w:r>
      <w:r>
        <w:rPr>
          <w:rFonts w:ascii="宋体" w:hAnsi="宋体"/>
          <w:b/>
          <w:sz w:val="24"/>
          <w:szCs w:val="24"/>
          <w:u w:val="single"/>
        </w:rPr>
        <w:t>275.24公顷、小蒜溪33.76公顷、黄腊溪51.37公顷</w:t>
      </w:r>
      <w:r>
        <w:rPr>
          <w:rFonts w:hint="eastAsia" w:ascii="宋体" w:hAnsi="宋体"/>
          <w:b/>
          <w:sz w:val="24"/>
          <w:szCs w:val="24"/>
          <w:u w:val="single"/>
        </w:rPr>
        <w:t>、玫溪</w:t>
      </w:r>
      <w:r>
        <w:rPr>
          <w:rFonts w:ascii="宋体" w:hAnsi="宋体"/>
          <w:b/>
          <w:sz w:val="24"/>
          <w:szCs w:val="24"/>
          <w:u w:val="single"/>
        </w:rPr>
        <w:t>37.85公顷</w:t>
      </w:r>
      <w:r>
        <w:rPr>
          <w:rFonts w:ascii="宋体" w:hAnsi="宋体"/>
          <w:sz w:val="24"/>
          <w:szCs w:val="24"/>
          <w:u w:val="single"/>
        </w:rPr>
        <w:t>，</w:t>
      </w:r>
      <w:r>
        <w:rPr>
          <w:rFonts w:hint="eastAsia" w:ascii="宋体" w:hAnsi="宋体"/>
          <w:b/>
          <w:bCs/>
          <w:sz w:val="24"/>
          <w:szCs w:val="24"/>
          <w:u w:val="single"/>
        </w:rPr>
        <w:t>严格按照《中华人民共和国河道管理条例》和《四川省河道管理实施办法》相关要求进行管控</w:t>
      </w:r>
      <w:r>
        <w:rPr>
          <w:rFonts w:ascii="宋体" w:hAnsi="宋体"/>
          <w:b/>
          <w:bCs/>
          <w:sz w:val="24"/>
          <w:szCs w:val="24"/>
          <w:u w:val="single"/>
        </w:rPr>
        <w:t>。</w:t>
      </w:r>
    </w:p>
    <w:p>
      <w:pPr>
        <w:pStyle w:val="81"/>
        <w:numPr>
          <w:ilvl w:val="0"/>
          <w:numId w:val="29"/>
        </w:numPr>
        <w:spacing w:line="360" w:lineRule="auto"/>
        <w:ind w:firstLineChars="0"/>
        <w:rPr>
          <w:rFonts w:ascii="宋体" w:hAnsi="宋体"/>
          <w:b/>
          <w:bCs/>
          <w:sz w:val="24"/>
          <w:szCs w:val="24"/>
        </w:rPr>
      </w:pPr>
      <w:r>
        <w:rPr>
          <w:rFonts w:hint="eastAsia" w:ascii="宋体" w:hAnsi="宋体"/>
          <w:b/>
          <w:bCs/>
          <w:sz w:val="24"/>
          <w:szCs w:val="24"/>
        </w:rPr>
        <w:t>湿地资源保护</w:t>
      </w:r>
    </w:p>
    <w:p>
      <w:pPr>
        <w:spacing w:line="360" w:lineRule="auto"/>
        <w:ind w:firstLine="482" w:firstLineChars="200"/>
        <w:rPr>
          <w:rFonts w:ascii="宋体" w:hAnsi="宋体"/>
          <w:b/>
          <w:sz w:val="24"/>
          <w:szCs w:val="24"/>
          <w:u w:val="single"/>
        </w:rPr>
      </w:pPr>
      <w:r>
        <w:rPr>
          <w:rFonts w:hint="eastAsia" w:ascii="宋体" w:hAnsi="宋体"/>
          <w:b/>
          <w:sz w:val="24"/>
          <w:szCs w:val="24"/>
          <w:u w:val="single"/>
        </w:rPr>
        <w:t>保护以涪江沿岸为主的湿地资源，确保湿地面积不减少，规划湿地面积</w:t>
      </w:r>
      <w:r>
        <w:rPr>
          <w:rFonts w:ascii="宋体" w:hAnsi="宋体"/>
          <w:b/>
          <w:sz w:val="24"/>
          <w:szCs w:val="24"/>
          <w:u w:val="single"/>
        </w:rPr>
        <w:t>58.85公顷</w:t>
      </w:r>
      <w:r>
        <w:rPr>
          <w:rFonts w:hint="eastAsia" w:ascii="宋体" w:hAnsi="宋体"/>
          <w:b/>
          <w:sz w:val="24"/>
          <w:szCs w:val="24"/>
          <w:u w:val="single"/>
        </w:rPr>
        <w:t>，严格按照《四川省湿地保护条例》相关要求进行管控。</w:t>
      </w:r>
    </w:p>
    <w:p>
      <w:pPr>
        <w:pStyle w:val="81"/>
        <w:numPr>
          <w:ilvl w:val="0"/>
          <w:numId w:val="29"/>
        </w:numPr>
        <w:spacing w:line="360" w:lineRule="auto"/>
        <w:ind w:firstLineChars="0"/>
        <w:rPr>
          <w:rFonts w:ascii="宋体" w:hAnsi="宋体"/>
          <w:b/>
          <w:bCs/>
          <w:sz w:val="24"/>
          <w:szCs w:val="24"/>
        </w:rPr>
      </w:pPr>
      <w:r>
        <w:rPr>
          <w:rFonts w:hint="eastAsia" w:ascii="宋体" w:hAnsi="宋体"/>
          <w:b/>
          <w:bCs/>
          <w:sz w:val="24"/>
          <w:szCs w:val="24"/>
        </w:rPr>
        <w:t>矿产资源保护</w:t>
      </w:r>
    </w:p>
    <w:p>
      <w:pPr>
        <w:spacing w:line="360" w:lineRule="auto"/>
        <w:ind w:firstLine="482" w:firstLineChars="200"/>
        <w:rPr>
          <w:rFonts w:ascii="宋体" w:hAnsi="宋体"/>
          <w:sz w:val="24"/>
          <w:szCs w:val="24"/>
        </w:rPr>
      </w:pPr>
      <w:r>
        <w:rPr>
          <w:rFonts w:hint="eastAsia" w:ascii="宋体" w:hAnsi="宋体"/>
          <w:b/>
          <w:bCs/>
          <w:sz w:val="24"/>
          <w:szCs w:val="24"/>
          <w:u w:val="single"/>
        </w:rPr>
        <w:t>落实1个国家能源资源基地即四川盆地威远—合川油气（大英县部分），包括片区全域</w:t>
      </w:r>
      <w:r>
        <w:rPr>
          <w:rFonts w:ascii="宋体" w:hAnsi="宋体"/>
          <w:b/>
          <w:bCs/>
          <w:sz w:val="24"/>
          <w:szCs w:val="24"/>
          <w:u w:val="single"/>
        </w:rPr>
        <w:t>209.62</w:t>
      </w:r>
      <w:r>
        <w:rPr>
          <w:rFonts w:hint="eastAsia" w:ascii="宋体" w:hAnsi="宋体"/>
          <w:b/>
          <w:bCs/>
          <w:sz w:val="24"/>
          <w:szCs w:val="24"/>
          <w:u w:val="single"/>
        </w:rPr>
        <w:t>平方公里。落实1个国家规划矿区即四川绵阳—成都—南充油气（大英县部分），包括片区全域</w:t>
      </w:r>
      <w:r>
        <w:rPr>
          <w:rFonts w:ascii="宋体" w:hAnsi="宋体"/>
          <w:b/>
          <w:bCs/>
          <w:sz w:val="24"/>
          <w:szCs w:val="24"/>
          <w:u w:val="single"/>
        </w:rPr>
        <w:t>209.62</w:t>
      </w:r>
      <w:r>
        <w:rPr>
          <w:rFonts w:hint="eastAsia" w:ascii="宋体" w:hAnsi="宋体"/>
          <w:b/>
          <w:bCs/>
          <w:sz w:val="24"/>
          <w:szCs w:val="24"/>
          <w:u w:val="single"/>
        </w:rPr>
        <w:t>平方公里。</w:t>
      </w:r>
      <w:r>
        <w:rPr>
          <w:rFonts w:hint="eastAsia" w:ascii="宋体" w:hAnsi="宋体"/>
          <w:sz w:val="24"/>
          <w:szCs w:val="24"/>
        </w:rPr>
        <w:t>规划新设市级勘查规划区块</w:t>
      </w:r>
      <w:r>
        <w:rPr>
          <w:rFonts w:ascii="宋体" w:hAnsi="宋体"/>
          <w:sz w:val="24"/>
          <w:szCs w:val="24"/>
        </w:rPr>
        <w:t>1</w:t>
      </w:r>
      <w:r>
        <w:rPr>
          <w:rFonts w:hint="eastAsia" w:ascii="宋体" w:hAnsi="宋体"/>
          <w:sz w:val="24"/>
          <w:szCs w:val="24"/>
        </w:rPr>
        <w:t>个，即164.82 公顷的四川省大英县白鹤湾天然卤水普查区块，勘查矿种为天然卤水。规划新设县级开采规划区块</w:t>
      </w:r>
      <w:r>
        <w:rPr>
          <w:rFonts w:ascii="宋体" w:hAnsi="宋体"/>
          <w:sz w:val="24"/>
          <w:szCs w:val="24"/>
        </w:rPr>
        <w:t>1</w:t>
      </w:r>
      <w:r>
        <w:rPr>
          <w:rFonts w:hint="eastAsia" w:ascii="宋体" w:hAnsi="宋体"/>
          <w:sz w:val="24"/>
          <w:szCs w:val="24"/>
        </w:rPr>
        <w:t>个，即大英县狮子坡砖瓦用页岩开采规划区块，占地面积6</w:t>
      </w:r>
      <w:r>
        <w:rPr>
          <w:rFonts w:ascii="宋体" w:hAnsi="宋体"/>
          <w:sz w:val="24"/>
          <w:szCs w:val="24"/>
        </w:rPr>
        <w:t>.13</w:t>
      </w:r>
      <w:r>
        <w:rPr>
          <w:rFonts w:hint="eastAsia" w:ascii="宋体" w:hAnsi="宋体"/>
          <w:sz w:val="24"/>
          <w:szCs w:val="24"/>
        </w:rPr>
        <w:t>公顷。</w:t>
      </w:r>
    </w:p>
    <w:p>
      <w:pPr>
        <w:numPr>
          <w:ilvl w:val="1"/>
          <w:numId w:val="22"/>
        </w:numPr>
        <w:tabs>
          <w:tab w:val="left" w:pos="680"/>
          <w:tab w:val="left" w:pos="840"/>
        </w:tabs>
        <w:spacing w:before="312" w:beforeLines="100" w:after="312" w:afterLines="100" w:line="440" w:lineRule="exact"/>
        <w:jc w:val="left"/>
        <w:outlineLvl w:val="1"/>
        <w:rPr>
          <w:rFonts w:hAnsi="宋体"/>
          <w:b/>
          <w:sz w:val="28"/>
          <w:szCs w:val="28"/>
        </w:rPr>
      </w:pPr>
      <w:bookmarkStart w:id="50" w:name="_Toc141369724"/>
      <w:bookmarkStart w:id="51" w:name="_Toc106959982"/>
      <w:r>
        <w:rPr>
          <w:rFonts w:hint="eastAsia" w:hAnsi="宋体"/>
          <w:b/>
          <w:sz w:val="28"/>
          <w:szCs w:val="28"/>
        </w:rPr>
        <w:t>用地布局优化调整</w:t>
      </w:r>
      <w:bookmarkEnd w:id="50"/>
      <w:bookmarkEnd w:id="51"/>
    </w:p>
    <w:p>
      <w:pPr>
        <w:tabs>
          <w:tab w:val="left" w:pos="720"/>
        </w:tabs>
        <w:spacing w:line="360" w:lineRule="auto"/>
        <w:ind w:firstLine="480" w:firstLineChars="200"/>
        <w:rPr>
          <w:rFonts w:ascii="宋体" w:hAnsi="宋体"/>
          <w:sz w:val="24"/>
          <w:szCs w:val="24"/>
        </w:rPr>
      </w:pPr>
      <w:r>
        <w:rPr>
          <w:rFonts w:hint="eastAsia" w:ascii="宋体" w:hAnsi="宋体"/>
          <w:sz w:val="24"/>
          <w:szCs w:val="24"/>
        </w:rPr>
        <w:t>此次优化调整均在“2020年度国土变更调查数据”基础上进行。</w:t>
      </w:r>
    </w:p>
    <w:p>
      <w:pPr>
        <w:pStyle w:val="5"/>
        <w:numPr>
          <w:ilvl w:val="3"/>
          <w:numId w:val="22"/>
        </w:numPr>
        <w:spacing w:line="360" w:lineRule="auto"/>
        <w:ind w:left="420"/>
        <w:rPr>
          <w:b/>
          <w:bCs/>
        </w:rPr>
      </w:pPr>
      <w:r>
        <w:rPr>
          <w:rFonts w:hint="eastAsia"/>
          <w:b/>
          <w:bCs/>
        </w:rPr>
        <w:t>总体格局优化</w:t>
      </w:r>
    </w:p>
    <w:p>
      <w:pPr>
        <w:spacing w:line="360" w:lineRule="auto"/>
        <w:ind w:firstLine="480" w:firstLineChars="200"/>
        <w:rPr>
          <w:rFonts w:ascii="宋体" w:hAnsi="宋体"/>
          <w:sz w:val="24"/>
          <w:szCs w:val="24"/>
        </w:rPr>
      </w:pPr>
      <w:bookmarkStart w:id="52" w:name="_Hlk148622900"/>
      <w:r>
        <w:rPr>
          <w:rFonts w:hint="eastAsia" w:ascii="宋体" w:hAnsi="宋体"/>
          <w:sz w:val="24"/>
          <w:szCs w:val="24"/>
        </w:rPr>
        <w:t>积极融入遂潼一体化战略和遂大融城发展战略，基于“三区三线”划定成果，突出粮食安全与生态保护，整合优化农业产业空间布局，建设大英东部现代农业发展区，严格保护重要生态系统，优化城镇体系。落实</w:t>
      </w:r>
      <w:r>
        <w:rPr>
          <w:rFonts w:hint="eastAsia" w:ascii="宋体" w:hAnsi="宋体"/>
          <w:bCs/>
          <w:sz w:val="24"/>
          <w:szCs w:val="24"/>
        </w:rPr>
        <w:t>《大英县国土空间总体规划（2021—2035年）》确定的</w:t>
      </w:r>
      <w:r>
        <w:rPr>
          <w:rFonts w:hint="eastAsia" w:ascii="宋体" w:hAnsi="宋体"/>
          <w:sz w:val="24"/>
          <w:szCs w:val="24"/>
        </w:rPr>
        <w:t>“三区两带，一核两轴”的国土空间总体格局和“两带三区四廊多斑”的生态保护体系，规划形成 “两心三轴五片、两带三廊多斑”的片区国土空间总体格局。</w:t>
      </w:r>
    </w:p>
    <w:bookmarkEnd w:id="52"/>
    <w:p>
      <w:pPr>
        <w:spacing w:line="360" w:lineRule="auto"/>
        <w:ind w:firstLine="480" w:firstLineChars="200"/>
        <w:rPr>
          <w:rFonts w:ascii="宋体" w:hAnsi="宋体"/>
          <w:sz w:val="24"/>
          <w:szCs w:val="24"/>
        </w:rPr>
      </w:pPr>
      <w:bookmarkStart w:id="53" w:name="_Hlk148622927"/>
      <w:r>
        <w:rPr>
          <w:rFonts w:hint="eastAsia" w:ascii="宋体" w:hAnsi="宋体"/>
          <w:sz w:val="24"/>
          <w:szCs w:val="24"/>
        </w:rPr>
        <w:t>两心：指中心镇隆盛镇和副中心镇回马镇镇区，作为本片的城镇化发展的两个核心区，引导产业、人口、设施等资源要素集聚发展，着力提升其服务能力、承载能力、辐射能力，充分发挥中心引领作用。</w:t>
      </w:r>
    </w:p>
    <w:p>
      <w:pPr>
        <w:spacing w:line="360" w:lineRule="auto"/>
        <w:ind w:firstLine="480" w:firstLineChars="200"/>
        <w:rPr>
          <w:rFonts w:ascii="宋体" w:hAnsi="宋体"/>
          <w:sz w:val="24"/>
          <w:szCs w:val="24"/>
        </w:rPr>
      </w:pPr>
      <w:r>
        <w:rPr>
          <w:rFonts w:hint="eastAsia" w:ascii="宋体" w:hAnsi="宋体"/>
          <w:sz w:val="24"/>
          <w:szCs w:val="24"/>
        </w:rPr>
        <w:t>三轴：包括依托成南高速（沪蓉高速）和遂大快捷通道形成的片区东西向融城发展主轴，东接遂宁主城区，西连大英经开区和中心城区，是大英和遂宁城区联系主要通道，支撑片区融城一体化发展；依托省道S</w:t>
      </w:r>
      <w:r>
        <w:rPr>
          <w:rFonts w:ascii="宋体" w:hAnsi="宋体"/>
          <w:sz w:val="24"/>
          <w:szCs w:val="24"/>
        </w:rPr>
        <w:t>307</w:t>
      </w:r>
      <w:r>
        <w:rPr>
          <w:rFonts w:hint="eastAsia" w:ascii="宋体" w:hAnsi="宋体"/>
          <w:sz w:val="24"/>
          <w:szCs w:val="24"/>
        </w:rPr>
        <w:t>、国道G350和国道G</w:t>
      </w:r>
      <w:r>
        <w:rPr>
          <w:rFonts w:ascii="宋体" w:hAnsi="宋体"/>
          <w:sz w:val="24"/>
          <w:szCs w:val="24"/>
        </w:rPr>
        <w:t>247形成的片区南北向产业联动发展</w:t>
      </w:r>
      <w:r>
        <w:rPr>
          <w:rFonts w:hint="eastAsia" w:ascii="宋体" w:hAnsi="宋体"/>
          <w:sz w:val="24"/>
          <w:szCs w:val="24"/>
        </w:rPr>
        <w:t>次</w:t>
      </w:r>
      <w:r>
        <w:rPr>
          <w:rFonts w:ascii="宋体" w:hAnsi="宋体"/>
          <w:sz w:val="24"/>
          <w:szCs w:val="24"/>
        </w:rPr>
        <w:t>轴</w:t>
      </w:r>
      <w:r>
        <w:rPr>
          <w:rFonts w:hint="eastAsia" w:ascii="宋体" w:hAnsi="宋体"/>
          <w:sz w:val="24"/>
          <w:szCs w:val="24"/>
        </w:rPr>
        <w:t>，串联片区三大现代农业园区和三镇区，并向北衔接四川沱牌绿色生态食品产业园，协同发展酒业集群，向南对接天保镇，与金元镇共建种养循环现代农业园，支撑片区镇村产业融合发展；</w:t>
      </w:r>
      <w:r>
        <w:rPr>
          <w:rFonts w:ascii="宋体" w:hAnsi="宋体"/>
          <w:sz w:val="24"/>
          <w:szCs w:val="24"/>
        </w:rPr>
        <w:t>依托红金路</w:t>
      </w:r>
      <w:r>
        <w:rPr>
          <w:rFonts w:hint="eastAsia" w:ascii="宋体" w:hAnsi="宋体"/>
          <w:sz w:val="24"/>
          <w:szCs w:val="24"/>
        </w:rPr>
        <w:t>和观金路形成的东西向交通联系次轴，作为片区南部连通大英城区和船山区的主要联系通道。</w:t>
      </w:r>
    </w:p>
    <w:p>
      <w:pPr>
        <w:spacing w:line="360" w:lineRule="auto"/>
        <w:ind w:firstLine="480" w:firstLineChars="200"/>
        <w:rPr>
          <w:rFonts w:ascii="宋体" w:hAnsi="宋体"/>
          <w:sz w:val="24"/>
          <w:szCs w:val="24"/>
        </w:rPr>
      </w:pPr>
      <w:r>
        <w:rPr>
          <w:rFonts w:hint="eastAsia" w:ascii="宋体" w:hAnsi="宋体"/>
          <w:sz w:val="24"/>
          <w:szCs w:val="24"/>
        </w:rPr>
        <w:t>五区：包括万亩中药材与药养农旅融合区、万亩蔬菜与都市农业发展区、种养循环与科普教育区、优质粮油与禽畜养殖区和工业园区。推动农业产业现代化，落实“宜耕则耕，宜园则园”的布局原则，完善农业设施配套，大力推进三大农业园区建设和镇村产业融合发展。</w:t>
      </w:r>
    </w:p>
    <w:p>
      <w:pPr>
        <w:spacing w:line="360" w:lineRule="auto"/>
        <w:ind w:firstLine="480" w:firstLineChars="200"/>
        <w:rPr>
          <w:rFonts w:ascii="宋体" w:hAnsi="宋体"/>
          <w:sz w:val="24"/>
          <w:szCs w:val="24"/>
        </w:rPr>
      </w:pPr>
      <w:r>
        <w:rPr>
          <w:rFonts w:hint="eastAsia" w:ascii="宋体" w:hAnsi="宋体"/>
          <w:sz w:val="24"/>
          <w:szCs w:val="24"/>
        </w:rPr>
        <w:t>两带：包括涪江与郪江生态带。强化水源涵养、生物多样性连通等功能，以生态保护、生态保育和生态修复为主，并在城镇和现代农业园区内建设滨江公园节点和乡村旅游节点，营造滨江生态休闲场景，融入药养文化、农耕文化等，作为片区重要的生物多样性走廊和生态景观带。</w:t>
      </w:r>
    </w:p>
    <w:p>
      <w:pPr>
        <w:spacing w:line="360" w:lineRule="auto"/>
        <w:ind w:firstLine="480" w:firstLineChars="200"/>
        <w:rPr>
          <w:rFonts w:ascii="宋体" w:hAnsi="宋体"/>
          <w:sz w:val="24"/>
          <w:szCs w:val="24"/>
        </w:rPr>
      </w:pPr>
      <w:r>
        <w:rPr>
          <w:rFonts w:hint="eastAsia" w:ascii="宋体" w:hAnsi="宋体"/>
          <w:sz w:val="24"/>
          <w:szCs w:val="24"/>
        </w:rPr>
        <w:t>三廊：指以小蒜溪、黄腊溪、瑰溪为主构建的重要水域生态廊道，以水环境综合治理为主。</w:t>
      </w:r>
    </w:p>
    <w:p>
      <w:pPr>
        <w:spacing w:line="360" w:lineRule="auto"/>
        <w:ind w:firstLine="480" w:firstLineChars="200"/>
        <w:rPr>
          <w:rFonts w:ascii="宋体" w:hAnsi="宋体"/>
          <w:sz w:val="24"/>
          <w:szCs w:val="24"/>
        </w:rPr>
      </w:pPr>
      <w:r>
        <w:rPr>
          <w:rFonts w:hint="eastAsia" w:ascii="宋体" w:hAnsi="宋体"/>
          <w:sz w:val="24"/>
          <w:szCs w:val="24"/>
        </w:rPr>
        <w:t>多斑：包括水源涵养区、公益林保护区和重要水库。</w:t>
      </w:r>
    </w:p>
    <w:bookmarkEnd w:id="53"/>
    <w:p>
      <w:pPr>
        <w:pStyle w:val="5"/>
        <w:numPr>
          <w:ilvl w:val="3"/>
          <w:numId w:val="22"/>
        </w:numPr>
        <w:spacing w:line="360" w:lineRule="auto"/>
        <w:ind w:left="420"/>
        <w:rPr>
          <w:b/>
          <w:bCs/>
        </w:rPr>
      </w:pPr>
      <w:r>
        <w:rPr>
          <w:rFonts w:hint="eastAsia"/>
          <w:b/>
          <w:bCs/>
        </w:rPr>
        <w:t>农用地布局优化</w:t>
      </w:r>
    </w:p>
    <w:p>
      <w:pPr>
        <w:pStyle w:val="81"/>
        <w:numPr>
          <w:ilvl w:val="0"/>
          <w:numId w:val="30"/>
        </w:numPr>
        <w:spacing w:line="360" w:lineRule="auto"/>
        <w:ind w:firstLineChars="0"/>
        <w:rPr>
          <w:rFonts w:ascii="宋体" w:hAnsi="宋体"/>
          <w:b/>
          <w:bCs/>
          <w:sz w:val="24"/>
          <w:szCs w:val="24"/>
        </w:rPr>
      </w:pPr>
      <w:r>
        <w:rPr>
          <w:rFonts w:hint="eastAsia" w:ascii="宋体" w:hAnsi="宋体"/>
          <w:b/>
          <w:bCs/>
          <w:sz w:val="24"/>
          <w:szCs w:val="24"/>
        </w:rPr>
        <w:t>耕地</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耕地数量与质量是保证粮食安全的重要因素，本规划严格落实耕地保护目标，充分利用建设用地复垦和可恢复、可开发的耕地后备资源，在农业生产适宜区优先布局耕地。因重大基础设施、产业等规划项目占用耕地257.60公顷，因规划新增、扩建居民点占用耕地29.84公顷，因城镇建设占用耕地28.78公顷，因其他用地优化调整占用耕地41.07公顷，共需调出耕地357.29公顷，净耕地面积322.60公顷。规划通过建设用地综合整治，挖掘宅基地潜力，预计可腾退复垦宅基地</w:t>
      </w:r>
      <w:r>
        <w:rPr>
          <w:rFonts w:hint="eastAsia" w:ascii="宋体" w:hAnsi="宋体" w:cs="宋体"/>
          <w:sz w:val="24"/>
          <w:szCs w:val="24"/>
        </w:rPr>
        <w:t>359.60</w:t>
      </w:r>
      <w:r>
        <w:rPr>
          <w:rFonts w:hint="eastAsia" w:ascii="宋体" w:hAnsi="宋体"/>
          <w:sz w:val="24"/>
          <w:szCs w:val="24"/>
        </w:rPr>
        <w:t>公顷；通过对林地、园地、草地等用地的综合整治，预计可复垦19.94公顷，按照现状平均田坎系数1</w:t>
      </w:r>
      <w:r>
        <w:rPr>
          <w:rFonts w:ascii="宋体" w:hAnsi="宋体"/>
          <w:sz w:val="24"/>
          <w:szCs w:val="24"/>
        </w:rPr>
        <w:t>1.31</w:t>
      </w:r>
      <w:r>
        <w:rPr>
          <w:rFonts w:hint="eastAsia" w:ascii="宋体" w:hAnsi="宋体"/>
          <w:sz w:val="24"/>
          <w:szCs w:val="24"/>
        </w:rPr>
        <w:t>%测算，预计共可补充净耕地面积336.61公顷。落实《大英县国土空间总体规划（2021—2035年）》底线约束性指标要求，</w:t>
      </w:r>
      <w:bookmarkStart w:id="54" w:name="_Hlk148625147"/>
      <w:r>
        <w:rPr>
          <w:rFonts w:hint="eastAsia" w:ascii="宋体" w:hAnsi="宋体"/>
          <w:b/>
          <w:bCs/>
          <w:sz w:val="24"/>
          <w:szCs w:val="24"/>
          <w:u w:val="single"/>
        </w:rPr>
        <w:t>划定耕地保有量面积8687.94公顷</w:t>
      </w:r>
      <w:bookmarkStart w:id="55" w:name="_Hlk167703069"/>
      <w:r>
        <w:rPr>
          <w:rFonts w:hint="eastAsia" w:ascii="宋体" w:hAnsi="宋体"/>
          <w:b/>
          <w:bCs/>
          <w:sz w:val="24"/>
          <w:szCs w:val="24"/>
          <w:u w:val="single"/>
        </w:rPr>
        <w:t>，较上位规划下发耕地保有量目标</w:t>
      </w:r>
      <w:r>
        <w:rPr>
          <w:rFonts w:ascii="宋体" w:hAnsi="宋体"/>
          <w:b/>
          <w:bCs/>
          <w:sz w:val="24"/>
          <w:szCs w:val="24"/>
          <w:u w:val="single"/>
        </w:rPr>
        <w:t>8502</w:t>
      </w:r>
      <w:r>
        <w:rPr>
          <w:rFonts w:hint="eastAsia" w:ascii="宋体" w:hAnsi="宋体"/>
          <w:b/>
          <w:bCs/>
          <w:sz w:val="24"/>
          <w:szCs w:val="24"/>
          <w:u w:val="single"/>
        </w:rPr>
        <w:t>公顷增加</w:t>
      </w:r>
      <w:r>
        <w:rPr>
          <w:rFonts w:ascii="宋体" w:hAnsi="宋体"/>
          <w:b/>
          <w:bCs/>
          <w:sz w:val="24"/>
          <w:szCs w:val="24"/>
          <w:u w:val="single"/>
        </w:rPr>
        <w:t>18</w:t>
      </w:r>
      <w:r>
        <w:rPr>
          <w:rFonts w:hint="eastAsia" w:ascii="宋体" w:hAnsi="宋体"/>
          <w:b/>
          <w:bCs/>
          <w:sz w:val="24"/>
          <w:szCs w:val="24"/>
          <w:u w:val="single"/>
        </w:rPr>
        <w:t>5.94公顷，</w:t>
      </w:r>
      <w:bookmarkEnd w:id="55"/>
      <w:r>
        <w:rPr>
          <w:rFonts w:hint="eastAsia" w:ascii="宋体" w:hAnsi="宋体"/>
          <w:b/>
          <w:bCs/>
          <w:sz w:val="24"/>
          <w:szCs w:val="24"/>
          <w:u w:val="single"/>
        </w:rPr>
        <w:t>较现状增加14.01公顷</w:t>
      </w:r>
      <w:r>
        <w:rPr>
          <w:rFonts w:ascii="宋体" w:hAnsi="宋体"/>
          <w:b/>
          <w:bCs/>
          <w:sz w:val="24"/>
          <w:szCs w:val="24"/>
          <w:u w:val="single"/>
        </w:rPr>
        <w:t>。</w:t>
      </w:r>
      <w:bookmarkEnd w:id="54"/>
      <w:r>
        <w:rPr>
          <w:rFonts w:hint="eastAsia" w:ascii="宋体" w:hAnsi="宋体"/>
          <w:b/>
          <w:bCs/>
          <w:sz w:val="24"/>
          <w:szCs w:val="24"/>
          <w:u w:val="single"/>
        </w:rPr>
        <w:t>严格按照《</w:t>
      </w:r>
      <w:r>
        <w:rPr>
          <w:rFonts w:hint="eastAsia" w:ascii="宋体" w:hAnsi="宋体"/>
          <w:b/>
          <w:bCs/>
          <w:sz w:val="24"/>
          <w:szCs w:val="24"/>
          <w:u w:val="single"/>
          <w:lang w:val="en-US" w:eastAsia="zh-CN"/>
        </w:rPr>
        <w:t>中华人民共和国</w:t>
      </w:r>
      <w:r>
        <w:rPr>
          <w:rFonts w:hint="eastAsia" w:ascii="宋体" w:hAnsi="宋体"/>
          <w:b/>
          <w:bCs/>
          <w:sz w:val="24"/>
          <w:szCs w:val="24"/>
          <w:u w:val="single"/>
        </w:rPr>
        <w:t>土地管理法》《</w:t>
      </w:r>
      <w:r>
        <w:rPr>
          <w:rFonts w:hint="eastAsia" w:ascii="宋体" w:hAnsi="宋体"/>
          <w:b/>
          <w:bCs/>
          <w:sz w:val="24"/>
          <w:szCs w:val="24"/>
          <w:u w:val="single"/>
          <w:lang w:val="en-US" w:eastAsia="zh-CN"/>
        </w:rPr>
        <w:t>中华人民共和国</w:t>
      </w:r>
      <w:r>
        <w:rPr>
          <w:rFonts w:hint="eastAsia" w:ascii="宋体" w:hAnsi="宋体"/>
          <w:b/>
          <w:bCs/>
          <w:sz w:val="24"/>
          <w:szCs w:val="24"/>
          <w:u w:val="single"/>
        </w:rPr>
        <w:t>土地管理法实施条例》等相关法律法规及现行的相关政策文件保护耕地，强化用途管制，确保耕地数量不减少、质量有提高。</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根据大英县2023 年完成的《大英县永久基本农田储备区划定方案》和</w:t>
      </w:r>
      <w:r>
        <w:rPr>
          <w:rFonts w:hint="eastAsia" w:ascii="宋体" w:hAnsi="宋体"/>
          <w:bCs/>
          <w:sz w:val="24"/>
          <w:szCs w:val="24"/>
        </w:rPr>
        <w:t>《大英县国土空间总体规划（2021—2035年）》</w:t>
      </w:r>
      <w:r>
        <w:rPr>
          <w:rFonts w:hint="eastAsia" w:ascii="宋体" w:hAnsi="宋体"/>
          <w:sz w:val="24"/>
          <w:szCs w:val="24"/>
        </w:rPr>
        <w:t>，结合耕地潜力资源评估情况、未来一定时期重大建设项目占用、生态建设调整和永久基本农田整改补划需要，片区划定永久基本农田储备区面积</w:t>
      </w:r>
      <w:r>
        <w:rPr>
          <w:rFonts w:ascii="宋体" w:hAnsi="宋体"/>
          <w:sz w:val="24"/>
          <w:szCs w:val="24"/>
        </w:rPr>
        <w:t>42.07</w:t>
      </w:r>
      <w:r>
        <w:rPr>
          <w:rFonts w:hint="eastAsia" w:ascii="宋体" w:hAnsi="宋体"/>
          <w:sz w:val="24"/>
          <w:szCs w:val="24"/>
        </w:rPr>
        <w:t>公顷，其中旱地3</w:t>
      </w:r>
      <w:r>
        <w:rPr>
          <w:rFonts w:ascii="宋体" w:hAnsi="宋体"/>
          <w:sz w:val="24"/>
          <w:szCs w:val="24"/>
        </w:rPr>
        <w:t>9.67</w:t>
      </w:r>
      <w:r>
        <w:rPr>
          <w:rFonts w:hint="eastAsia" w:ascii="宋体" w:hAnsi="宋体"/>
          <w:sz w:val="24"/>
          <w:szCs w:val="24"/>
        </w:rPr>
        <w:t>公顷，水田2</w:t>
      </w:r>
      <w:r>
        <w:rPr>
          <w:rFonts w:ascii="宋体" w:hAnsi="宋体"/>
          <w:sz w:val="24"/>
          <w:szCs w:val="24"/>
        </w:rPr>
        <w:t>.4</w:t>
      </w:r>
      <w:r>
        <w:rPr>
          <w:rFonts w:hint="eastAsia" w:ascii="宋体" w:hAnsi="宋体"/>
          <w:sz w:val="24"/>
          <w:szCs w:val="24"/>
        </w:rPr>
        <w:t>公顷，主要分布于五莲村、花园村、金山桥村、斑竹村等村。</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有序推进高标准农田建设，在巩固现状已建成</w:t>
      </w:r>
      <w:r>
        <w:rPr>
          <w:rFonts w:ascii="宋体" w:hAnsi="宋体"/>
          <w:sz w:val="24"/>
          <w:szCs w:val="24"/>
        </w:rPr>
        <w:t>3500</w:t>
      </w:r>
      <w:r>
        <w:rPr>
          <w:rFonts w:hint="eastAsia" w:ascii="宋体" w:hAnsi="宋体"/>
          <w:sz w:val="24"/>
          <w:szCs w:val="24"/>
        </w:rPr>
        <w:t>亩的基础上，规划重点在划定的永久基本农田和粮食生产功能区、重要农产品保护区上建设高标准农田，保证建设区域耕地相对集中连片、土壤适合农作物生长、无潜在地质灾害，建设区域外有相对完善的、能直接为建设区提供保障的基础设施。禁止在生态保护红线内、退耕还林区、退耕还草区和河流、湖泊、水库水面及其保护范围等区域建设高标准农田。除已建成的高标准农田外，最终划定有条件建设高标准农田的耕地面积约为</w:t>
      </w:r>
      <w:r>
        <w:rPr>
          <w:rFonts w:ascii="宋体" w:hAnsi="宋体"/>
          <w:sz w:val="24"/>
          <w:szCs w:val="24"/>
        </w:rPr>
        <w:t>5816</w:t>
      </w:r>
      <w:r>
        <w:rPr>
          <w:rFonts w:hint="eastAsia" w:ascii="宋体" w:hAnsi="宋体"/>
          <w:sz w:val="24"/>
          <w:szCs w:val="24"/>
        </w:rPr>
        <w:t>公顷。</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坚决遏制耕地“非农化”，防止耕地“非粮化”。通过农用地和城乡建设用地整治、宜耕后备土地资源开发、低效园地林地整治等方式积极拓宽补充耕地途径。坚持先补后占、占一补一、占优补优、占水田补水田的原则，严格落实耕地进出平衡。</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优化耕地布局，提高耕地连片度。规划采用“融小并大”，将面积小于6</w:t>
      </w:r>
      <w:r>
        <w:rPr>
          <w:rFonts w:ascii="宋体" w:hAnsi="宋体"/>
          <w:sz w:val="24"/>
          <w:szCs w:val="24"/>
        </w:rPr>
        <w:t>00</w:t>
      </w:r>
      <w:r>
        <w:rPr>
          <w:rFonts w:hint="eastAsia" w:ascii="宋体" w:hAnsi="宋体"/>
          <w:sz w:val="24"/>
          <w:szCs w:val="24"/>
        </w:rPr>
        <w:t>㎡的耕地斑块进行适当合并，平均田块大小从</w:t>
      </w:r>
      <w:r>
        <w:rPr>
          <w:rFonts w:ascii="宋体" w:hAnsi="宋体"/>
          <w:sz w:val="24"/>
          <w:szCs w:val="24"/>
        </w:rPr>
        <w:t>0.79公顷提升到1.58</w:t>
      </w:r>
      <w:r>
        <w:rPr>
          <w:rFonts w:hint="eastAsia" w:ascii="宋体" w:hAnsi="宋体"/>
          <w:sz w:val="24"/>
          <w:szCs w:val="24"/>
        </w:rPr>
        <w:t>公顷，有效提升耕地连片度。</w:t>
      </w:r>
    </w:p>
    <w:p>
      <w:pPr>
        <w:pStyle w:val="81"/>
        <w:numPr>
          <w:ilvl w:val="0"/>
          <w:numId w:val="30"/>
        </w:numPr>
        <w:spacing w:line="360" w:lineRule="auto"/>
        <w:ind w:firstLineChars="0"/>
        <w:rPr>
          <w:rFonts w:ascii="宋体" w:hAnsi="宋体"/>
          <w:b/>
          <w:bCs/>
          <w:sz w:val="24"/>
          <w:szCs w:val="24"/>
        </w:rPr>
      </w:pPr>
      <w:r>
        <w:rPr>
          <w:rFonts w:hint="eastAsia" w:ascii="宋体" w:hAnsi="宋体"/>
          <w:b/>
          <w:bCs/>
          <w:sz w:val="24"/>
          <w:szCs w:val="24"/>
        </w:rPr>
        <w:t>林地</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严格保护公益林地，按照丘林成片、河林成带的思路，提升生态涵养林占比。规划至2</w:t>
      </w:r>
      <w:r>
        <w:rPr>
          <w:rFonts w:ascii="宋体" w:hAnsi="宋体"/>
          <w:sz w:val="24"/>
          <w:szCs w:val="24"/>
        </w:rPr>
        <w:t>035</w:t>
      </w:r>
      <w:r>
        <w:rPr>
          <w:rFonts w:hint="eastAsia" w:ascii="宋体" w:hAnsi="宋体"/>
          <w:sz w:val="24"/>
          <w:szCs w:val="24"/>
        </w:rPr>
        <w:t>年，将部分即可恢复的林地复垦，调减42.6</w:t>
      </w:r>
      <w:r>
        <w:rPr>
          <w:rFonts w:ascii="宋体" w:hAnsi="宋体"/>
          <w:sz w:val="24"/>
          <w:szCs w:val="24"/>
        </w:rPr>
        <w:t>5</w:t>
      </w:r>
      <w:r>
        <w:rPr>
          <w:rFonts w:hint="eastAsia" w:ascii="宋体" w:hAnsi="宋体"/>
          <w:sz w:val="24"/>
          <w:szCs w:val="24"/>
        </w:rPr>
        <w:t>公顷，规划基础设施建设、城镇建设和村庄建设等占用林地</w:t>
      </w:r>
      <w:r>
        <w:rPr>
          <w:rFonts w:ascii="宋体" w:hAnsi="宋体"/>
          <w:sz w:val="24"/>
          <w:szCs w:val="24"/>
        </w:rPr>
        <w:t>220.14</w:t>
      </w:r>
      <w:r>
        <w:rPr>
          <w:rFonts w:hint="eastAsia" w:ascii="宋体" w:hAnsi="宋体"/>
          <w:sz w:val="24"/>
          <w:szCs w:val="24"/>
        </w:rPr>
        <w:t>公顷，因现代农业园区建设增补园地、配套农业设施等减少林地33.85公顷，因水利设施建设占用林地16.91公顷，共减少林地面积313.55公顷。统筹造林绿化，通过部分2</w:t>
      </w:r>
      <w:r>
        <w:rPr>
          <w:rFonts w:ascii="宋体" w:hAnsi="宋体"/>
          <w:sz w:val="24"/>
          <w:szCs w:val="24"/>
        </w:rPr>
        <w:t>5</w:t>
      </w:r>
      <w:r>
        <w:rPr>
          <w:rFonts w:hint="eastAsia" w:ascii="宋体" w:hAnsi="宋体"/>
          <w:sz w:val="24"/>
          <w:szCs w:val="24"/>
        </w:rPr>
        <w:t>°以上坡耕地退耕还林、沿河生态廊道工矿用地还林、部分宅基地腾退还林、部分零散园地还林等，共计补充林地139.18公顷。到2</w:t>
      </w:r>
      <w:r>
        <w:rPr>
          <w:rFonts w:ascii="宋体" w:hAnsi="宋体"/>
          <w:sz w:val="24"/>
          <w:szCs w:val="24"/>
        </w:rPr>
        <w:t>035</w:t>
      </w:r>
      <w:r>
        <w:rPr>
          <w:rFonts w:hint="eastAsia" w:ascii="宋体" w:hAnsi="宋体"/>
          <w:sz w:val="24"/>
          <w:szCs w:val="24"/>
        </w:rPr>
        <w:t>年，规划布局</w:t>
      </w:r>
      <w:bookmarkStart w:id="56" w:name="_Hlk148625220"/>
      <w:r>
        <w:rPr>
          <w:rFonts w:hint="eastAsia" w:ascii="宋体" w:hAnsi="宋体"/>
          <w:sz w:val="24"/>
          <w:szCs w:val="24"/>
        </w:rPr>
        <w:t>林地面积6752.03公顷，较现状减少了174.37公顷，</w:t>
      </w:r>
      <w:bookmarkEnd w:id="56"/>
      <w:r>
        <w:rPr>
          <w:rFonts w:hint="eastAsia" w:ascii="宋体" w:hAnsi="宋体"/>
          <w:sz w:val="24"/>
          <w:szCs w:val="24"/>
        </w:rPr>
        <w:t>以低生态效益的灌木林地和其他林地为主。</w:t>
      </w:r>
    </w:p>
    <w:p>
      <w:pPr>
        <w:tabs>
          <w:tab w:val="left" w:pos="720"/>
        </w:tabs>
        <w:spacing w:line="360" w:lineRule="auto"/>
        <w:ind w:firstLine="482" w:firstLineChars="200"/>
        <w:rPr>
          <w:rFonts w:ascii="宋体" w:hAnsi="宋体"/>
          <w:b/>
          <w:bCs/>
          <w:sz w:val="24"/>
          <w:szCs w:val="24"/>
          <w:u w:val="single"/>
        </w:rPr>
      </w:pPr>
      <w:r>
        <w:rPr>
          <w:rFonts w:hint="eastAsia" w:ascii="宋体" w:hAnsi="宋体"/>
          <w:b/>
          <w:bCs/>
          <w:sz w:val="24"/>
          <w:szCs w:val="24"/>
          <w:u w:val="single"/>
        </w:rPr>
        <w:t>严格保护国家Ⅱ公益林，面积67.12公顷，</w:t>
      </w:r>
      <w:r>
        <w:rPr>
          <w:rFonts w:hint="eastAsia" w:ascii="宋体" w:hAnsi="宋体"/>
          <w:sz w:val="24"/>
          <w:szCs w:val="24"/>
        </w:rPr>
        <w:t>主要分布于金元镇西侧和南侧。</w:t>
      </w:r>
      <w:r>
        <w:rPr>
          <w:rFonts w:hint="eastAsia" w:ascii="宋体" w:hAnsi="宋体"/>
          <w:b/>
          <w:bCs/>
          <w:sz w:val="24"/>
          <w:szCs w:val="24"/>
          <w:u w:val="single"/>
        </w:rPr>
        <w:t>实行“总量控制、区域稳定、动态管理、增减平衡”的管理机制。禁止商品性采伐，严格控制工程建设。</w:t>
      </w:r>
    </w:p>
    <w:p>
      <w:pPr>
        <w:pStyle w:val="81"/>
        <w:numPr>
          <w:ilvl w:val="0"/>
          <w:numId w:val="30"/>
        </w:numPr>
        <w:spacing w:line="360" w:lineRule="auto"/>
        <w:ind w:firstLineChars="0"/>
        <w:rPr>
          <w:rFonts w:ascii="宋体" w:hAnsi="宋体"/>
          <w:b/>
          <w:bCs/>
          <w:sz w:val="24"/>
          <w:szCs w:val="24"/>
        </w:rPr>
      </w:pPr>
      <w:r>
        <w:rPr>
          <w:rFonts w:hint="eastAsia" w:ascii="宋体" w:hAnsi="宋体"/>
          <w:b/>
          <w:bCs/>
          <w:sz w:val="24"/>
          <w:szCs w:val="24"/>
        </w:rPr>
        <w:t>园地</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优先保障耕地前提下，保留现状成规模园地，有序推动零星园地整合，发展特色种植业。保留现代农业园区和农业种植基地范围内农业产出较高的园地414.21公顷；结合道地中药材现代农业园区建设，利用部分林地和腾退宅基地新增园地41.19公顷；因城镇建设、村庄建设和基础设施建设等占用园地</w:t>
      </w:r>
      <w:r>
        <w:rPr>
          <w:rFonts w:ascii="宋体" w:hAnsi="宋体"/>
          <w:sz w:val="24"/>
          <w:szCs w:val="24"/>
        </w:rPr>
        <w:t>25.28</w:t>
      </w:r>
      <w:r>
        <w:rPr>
          <w:rFonts w:hint="eastAsia" w:ascii="宋体" w:hAnsi="宋体"/>
          <w:sz w:val="24"/>
          <w:szCs w:val="24"/>
        </w:rPr>
        <w:t>公顷；尊重农民意愿，将部分分布于农业生产适宜区内的27.66公顷宜耕残次园地恢复为耕地；因其他用地优化调整减少园地5</w:t>
      </w:r>
      <w:r>
        <w:rPr>
          <w:rFonts w:ascii="宋体" w:hAnsi="宋体"/>
          <w:sz w:val="24"/>
          <w:szCs w:val="24"/>
        </w:rPr>
        <w:t>.5</w:t>
      </w:r>
      <w:r>
        <w:rPr>
          <w:rFonts w:hint="eastAsia" w:ascii="宋体" w:hAnsi="宋体"/>
          <w:sz w:val="24"/>
          <w:szCs w:val="24"/>
        </w:rPr>
        <w:t>公顷。</w:t>
      </w:r>
      <w:bookmarkStart w:id="57" w:name="_Hlk148625236"/>
      <w:r>
        <w:rPr>
          <w:rFonts w:hint="eastAsia" w:ascii="宋体" w:hAnsi="宋体"/>
          <w:sz w:val="24"/>
          <w:szCs w:val="24"/>
        </w:rPr>
        <w:t>规划园地面积455.40公顷，较现状减少17.2</w:t>
      </w:r>
      <w:r>
        <w:rPr>
          <w:rFonts w:ascii="宋体" w:hAnsi="宋体"/>
          <w:sz w:val="24"/>
          <w:szCs w:val="24"/>
        </w:rPr>
        <w:t>4</w:t>
      </w:r>
      <w:r>
        <w:rPr>
          <w:rFonts w:hint="eastAsia" w:ascii="宋体" w:hAnsi="宋体"/>
          <w:sz w:val="24"/>
          <w:szCs w:val="24"/>
        </w:rPr>
        <w:t>公顷</w:t>
      </w:r>
      <w:r>
        <w:rPr>
          <w:rFonts w:ascii="宋体" w:hAnsi="宋体"/>
          <w:sz w:val="24"/>
          <w:szCs w:val="24"/>
        </w:rPr>
        <w:t>。</w:t>
      </w:r>
      <w:bookmarkEnd w:id="57"/>
    </w:p>
    <w:p>
      <w:pPr>
        <w:pStyle w:val="81"/>
        <w:numPr>
          <w:ilvl w:val="0"/>
          <w:numId w:val="30"/>
        </w:numPr>
        <w:spacing w:line="360" w:lineRule="auto"/>
        <w:ind w:firstLineChars="0"/>
        <w:rPr>
          <w:rFonts w:ascii="宋体" w:hAnsi="宋体"/>
          <w:b/>
          <w:bCs/>
          <w:sz w:val="24"/>
          <w:szCs w:val="24"/>
        </w:rPr>
      </w:pPr>
      <w:r>
        <w:rPr>
          <w:rFonts w:hint="eastAsia" w:ascii="宋体" w:hAnsi="宋体"/>
          <w:b/>
          <w:bCs/>
          <w:sz w:val="24"/>
          <w:szCs w:val="24"/>
        </w:rPr>
        <w:t>草地</w:t>
      </w:r>
    </w:p>
    <w:p>
      <w:pPr>
        <w:tabs>
          <w:tab w:val="left" w:pos="720"/>
        </w:tabs>
        <w:spacing w:line="360" w:lineRule="auto"/>
        <w:ind w:firstLine="480" w:firstLineChars="200"/>
        <w:rPr>
          <w:rFonts w:ascii="宋体" w:hAnsi="宋体"/>
          <w:bCs/>
          <w:sz w:val="24"/>
          <w:szCs w:val="24"/>
        </w:rPr>
      </w:pPr>
      <w:r>
        <w:rPr>
          <w:rFonts w:hint="eastAsia" w:ascii="宋体" w:hAnsi="宋体"/>
          <w:sz w:val="24"/>
          <w:szCs w:val="24"/>
        </w:rPr>
        <w:t>片区内无基本草原。将现状耕地分布较为集中区域周边，有较好土层厚度和耕作便利度的0</w:t>
      </w:r>
      <w:r>
        <w:rPr>
          <w:rFonts w:ascii="宋体" w:hAnsi="宋体"/>
          <w:sz w:val="24"/>
          <w:szCs w:val="24"/>
        </w:rPr>
        <w:t>.49</w:t>
      </w:r>
      <w:r>
        <w:rPr>
          <w:rFonts w:hint="eastAsia" w:ascii="宋体" w:hAnsi="宋体"/>
          <w:sz w:val="24"/>
          <w:szCs w:val="24"/>
        </w:rPr>
        <w:t>公顷其他草地调整为耕地；城乡建设和基础设施建设等占用3.12公顷草地。</w:t>
      </w:r>
      <w:bookmarkStart w:id="58" w:name="_Hlk148625246"/>
      <w:r>
        <w:rPr>
          <w:rFonts w:hint="eastAsia" w:ascii="宋体" w:hAnsi="宋体"/>
          <w:sz w:val="24"/>
          <w:szCs w:val="24"/>
        </w:rPr>
        <w:t>规划草地面积26.09公顷，较现状减少3.61公顷</w:t>
      </w:r>
      <w:bookmarkEnd w:id="58"/>
      <w:r>
        <w:rPr>
          <w:rFonts w:ascii="宋体" w:hAnsi="宋体"/>
          <w:bCs/>
          <w:sz w:val="24"/>
          <w:szCs w:val="24"/>
        </w:rPr>
        <w:t>。</w:t>
      </w:r>
    </w:p>
    <w:p>
      <w:pPr>
        <w:pStyle w:val="81"/>
        <w:numPr>
          <w:ilvl w:val="0"/>
          <w:numId w:val="30"/>
        </w:numPr>
        <w:spacing w:line="360" w:lineRule="auto"/>
        <w:ind w:firstLineChars="0"/>
        <w:rPr>
          <w:rFonts w:ascii="宋体" w:hAnsi="宋体"/>
          <w:b/>
          <w:bCs/>
          <w:sz w:val="24"/>
          <w:szCs w:val="24"/>
        </w:rPr>
      </w:pPr>
      <w:r>
        <w:rPr>
          <w:rFonts w:hint="eastAsia" w:ascii="宋体" w:hAnsi="宋体"/>
          <w:b/>
          <w:bCs/>
          <w:sz w:val="24"/>
          <w:szCs w:val="24"/>
        </w:rPr>
        <w:t>农业设施建设用地</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结合各现代农业园区、种植示范基地、居民点，布局烘干、晾晒、堆放的农业设施用地，充分预留机耕道等农用道路设施空间。</w:t>
      </w:r>
      <w:bookmarkStart w:id="59" w:name="_Hlk148625261"/>
      <w:r>
        <w:rPr>
          <w:rFonts w:hint="eastAsia" w:ascii="宋体" w:hAnsi="宋体"/>
          <w:sz w:val="24"/>
          <w:szCs w:val="24"/>
        </w:rPr>
        <w:t>规划农业设施用地371.11</w:t>
      </w:r>
      <w:r>
        <w:rPr>
          <w:rFonts w:ascii="宋体" w:hAnsi="宋体"/>
          <w:sz w:val="24"/>
          <w:szCs w:val="24"/>
        </w:rPr>
        <w:t>公顷</w:t>
      </w:r>
      <w:r>
        <w:rPr>
          <w:rFonts w:hint="eastAsia" w:ascii="宋体" w:hAnsi="宋体"/>
          <w:sz w:val="24"/>
          <w:szCs w:val="24"/>
        </w:rPr>
        <w:t>，较现状增加17.</w:t>
      </w:r>
      <w:r>
        <w:rPr>
          <w:rFonts w:ascii="宋体" w:hAnsi="宋体"/>
          <w:sz w:val="24"/>
          <w:szCs w:val="24"/>
        </w:rPr>
        <w:t>10</w:t>
      </w:r>
      <w:r>
        <w:rPr>
          <w:rFonts w:hint="eastAsia" w:ascii="宋体" w:hAnsi="宋体"/>
          <w:sz w:val="24"/>
          <w:szCs w:val="24"/>
        </w:rPr>
        <w:t>公顷。</w:t>
      </w:r>
      <w:bookmarkEnd w:id="59"/>
      <w:r>
        <w:rPr>
          <w:rFonts w:hint="eastAsia" w:ascii="宋体" w:hAnsi="宋体"/>
          <w:sz w:val="24"/>
          <w:szCs w:val="24"/>
        </w:rPr>
        <w:t>其中，规划种植设施用地规模44.19公顷，较现状增加5.80公顷；规划养殖设施用地49.</w:t>
      </w:r>
      <w:r>
        <w:rPr>
          <w:rFonts w:ascii="宋体" w:hAnsi="宋体"/>
          <w:sz w:val="24"/>
          <w:szCs w:val="24"/>
        </w:rPr>
        <w:t>32</w:t>
      </w:r>
      <w:r>
        <w:rPr>
          <w:rFonts w:hint="eastAsia" w:ascii="宋体" w:hAnsi="宋体"/>
          <w:sz w:val="24"/>
          <w:szCs w:val="24"/>
        </w:rPr>
        <w:t>公顷，较现状增加</w:t>
      </w:r>
      <w:r>
        <w:rPr>
          <w:rFonts w:ascii="宋体" w:hAnsi="宋体"/>
          <w:sz w:val="24"/>
          <w:szCs w:val="24"/>
        </w:rPr>
        <w:t>19.67</w:t>
      </w:r>
      <w:r>
        <w:rPr>
          <w:rFonts w:hint="eastAsia" w:ascii="宋体" w:hAnsi="宋体"/>
          <w:sz w:val="24"/>
          <w:szCs w:val="24"/>
        </w:rPr>
        <w:t>公顷；规划乡村道路用地277.60公顷，较现状减少8.37公顷，减少原因主要为重大基础设施项目占用。规划新建、加宽乡村道路与永久基本农田冲突较多，占比较大，内部无法平衡，因此规划道路图斑无法在规划“一张图”上落实，待今后有相应政策支撑，可通过土地综合整治进一步落实</w:t>
      </w:r>
      <w:r>
        <w:rPr>
          <w:rFonts w:ascii="宋体" w:hAnsi="宋体"/>
          <w:sz w:val="24"/>
          <w:szCs w:val="24"/>
        </w:rPr>
        <w:t>。</w:t>
      </w:r>
    </w:p>
    <w:p>
      <w:pPr>
        <w:pStyle w:val="5"/>
        <w:numPr>
          <w:ilvl w:val="3"/>
          <w:numId w:val="22"/>
        </w:numPr>
        <w:spacing w:line="360" w:lineRule="auto"/>
        <w:ind w:left="420"/>
        <w:rPr>
          <w:b/>
          <w:bCs/>
        </w:rPr>
      </w:pPr>
      <w:r>
        <w:rPr>
          <w:rFonts w:hint="eastAsia"/>
          <w:b/>
          <w:bCs/>
        </w:rPr>
        <w:t>建设用地布局优化</w:t>
      </w:r>
    </w:p>
    <w:p>
      <w:pPr>
        <w:pStyle w:val="81"/>
        <w:numPr>
          <w:ilvl w:val="0"/>
          <w:numId w:val="31"/>
        </w:numPr>
        <w:spacing w:line="360" w:lineRule="auto"/>
        <w:ind w:firstLineChars="0"/>
        <w:rPr>
          <w:rFonts w:ascii="宋体" w:hAnsi="宋体"/>
          <w:b/>
          <w:bCs/>
          <w:sz w:val="24"/>
          <w:szCs w:val="24"/>
        </w:rPr>
      </w:pPr>
      <w:r>
        <w:rPr>
          <w:rFonts w:hint="eastAsia" w:ascii="宋体" w:hAnsi="宋体"/>
          <w:b/>
          <w:bCs/>
          <w:sz w:val="24"/>
          <w:szCs w:val="24"/>
        </w:rPr>
        <w:t>城镇建设用地</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坚持最严格的节约集约用地制度，推动城镇发展方向由外延扩张向内涵提升转变，确保城镇规模与发展定位相适应、与人口流动趋势相一致、与产业发展规律相匹配。推动资源要素向中心镇集聚，做强中心镇，做优一般镇。</w:t>
      </w:r>
      <w:bookmarkStart w:id="60" w:name="_Hlk148625483"/>
      <w:r>
        <w:rPr>
          <w:rFonts w:hint="eastAsia" w:ascii="宋体" w:hAnsi="宋体"/>
          <w:b/>
          <w:sz w:val="24"/>
          <w:szCs w:val="24"/>
          <w:u w:val="single"/>
        </w:rPr>
        <w:t>规划</w:t>
      </w:r>
      <w:bookmarkStart w:id="61" w:name="_Hlk148625422"/>
      <w:r>
        <w:rPr>
          <w:rFonts w:hint="eastAsia" w:ascii="宋体" w:hAnsi="宋体"/>
          <w:b/>
          <w:sz w:val="24"/>
          <w:szCs w:val="24"/>
          <w:u w:val="single"/>
        </w:rPr>
        <w:t>城镇建设用地</w:t>
      </w:r>
      <w:bookmarkEnd w:id="61"/>
      <w:r>
        <w:rPr>
          <w:rFonts w:ascii="宋体" w:hAnsi="宋体"/>
          <w:b/>
          <w:sz w:val="24"/>
          <w:szCs w:val="24"/>
          <w:u w:val="single"/>
        </w:rPr>
        <w:t>275.90公顷</w:t>
      </w:r>
      <w:r>
        <w:rPr>
          <w:rFonts w:hint="eastAsia" w:ascii="宋体" w:hAnsi="宋体"/>
          <w:sz w:val="24"/>
          <w:szCs w:val="24"/>
        </w:rPr>
        <w:t>，较现状新增</w:t>
      </w:r>
      <w:r>
        <w:rPr>
          <w:rFonts w:ascii="宋体" w:hAnsi="宋体"/>
          <w:sz w:val="24"/>
          <w:szCs w:val="24"/>
        </w:rPr>
        <w:t>121.26</w:t>
      </w:r>
      <w:r>
        <w:rPr>
          <w:rFonts w:hint="eastAsia" w:ascii="宋体" w:hAnsi="宋体"/>
          <w:sz w:val="24"/>
          <w:szCs w:val="24"/>
        </w:rPr>
        <w:t>公顷，</w:t>
      </w:r>
      <w:bookmarkEnd w:id="60"/>
      <w:r>
        <w:rPr>
          <w:rFonts w:hint="eastAsia" w:ascii="宋体" w:hAnsi="宋体"/>
          <w:sz w:val="24"/>
          <w:szCs w:val="24"/>
        </w:rPr>
        <w:t>其中镇区城镇建设用地</w:t>
      </w:r>
      <w:r>
        <w:rPr>
          <w:rFonts w:ascii="宋体" w:hAnsi="宋体"/>
          <w:sz w:val="24"/>
          <w:szCs w:val="24"/>
        </w:rPr>
        <w:t>224.84</w:t>
      </w:r>
      <w:r>
        <w:rPr>
          <w:rFonts w:hint="eastAsia" w:ascii="宋体" w:hAnsi="宋体"/>
          <w:sz w:val="24"/>
          <w:szCs w:val="24"/>
        </w:rPr>
        <w:t>公顷，其他城镇建设用地</w:t>
      </w:r>
      <w:r>
        <w:rPr>
          <w:rFonts w:ascii="宋体" w:hAnsi="宋体"/>
          <w:sz w:val="24"/>
          <w:szCs w:val="24"/>
        </w:rPr>
        <w:t>51.06</w:t>
      </w:r>
      <w:r>
        <w:rPr>
          <w:rFonts w:hint="eastAsia" w:ascii="宋体" w:hAnsi="宋体"/>
          <w:sz w:val="24"/>
          <w:szCs w:val="24"/>
        </w:rPr>
        <w:t>公顷。</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中心镇隆盛镇与副中心镇回马镇引导集聚。引导产业集聚，加快隆盛中药材加工基地建设和回马工业园农副产品加工与装备制造基地建设；加大公共资源投放，引导人口和要素集中；加强设施配套，提升承载能力和服务能力。根据下发“三区三线”划定成果确定的建设用地规模，</w:t>
      </w:r>
      <w:r>
        <w:rPr>
          <w:rFonts w:hint="eastAsia" w:ascii="宋体" w:hAnsi="宋体"/>
          <w:b/>
          <w:bCs/>
          <w:sz w:val="24"/>
          <w:szCs w:val="24"/>
          <w:u w:val="single"/>
        </w:rPr>
        <w:t>规划隆盛镇镇区城镇建设用地</w:t>
      </w:r>
      <w:r>
        <w:rPr>
          <w:rFonts w:ascii="宋体" w:hAnsi="宋体"/>
          <w:b/>
          <w:bCs/>
          <w:sz w:val="24"/>
          <w:szCs w:val="24"/>
          <w:u w:val="single"/>
        </w:rPr>
        <w:t>60.33</w:t>
      </w:r>
      <w:r>
        <w:rPr>
          <w:rFonts w:hint="eastAsia" w:ascii="宋体" w:hAnsi="宋体"/>
          <w:b/>
          <w:bCs/>
          <w:sz w:val="24"/>
          <w:szCs w:val="24"/>
          <w:u w:val="single"/>
        </w:rPr>
        <w:t>公顷</w:t>
      </w:r>
      <w:r>
        <w:rPr>
          <w:rFonts w:hint="eastAsia" w:ascii="宋体" w:hAnsi="宋体"/>
          <w:sz w:val="24"/>
          <w:szCs w:val="24"/>
        </w:rPr>
        <w:t>，较现状增加13.</w:t>
      </w:r>
      <w:r>
        <w:rPr>
          <w:rFonts w:ascii="宋体" w:hAnsi="宋体"/>
          <w:sz w:val="24"/>
          <w:szCs w:val="24"/>
        </w:rPr>
        <w:t>12</w:t>
      </w:r>
      <w:r>
        <w:rPr>
          <w:rFonts w:hint="eastAsia" w:ascii="宋体" w:hAnsi="宋体"/>
          <w:sz w:val="24"/>
          <w:szCs w:val="24"/>
        </w:rPr>
        <w:t>公顷；</w:t>
      </w:r>
      <w:r>
        <w:rPr>
          <w:rFonts w:hint="eastAsia" w:ascii="宋体" w:hAnsi="宋体"/>
          <w:b/>
          <w:bCs/>
          <w:sz w:val="24"/>
          <w:szCs w:val="24"/>
          <w:u w:val="single"/>
        </w:rPr>
        <w:t>回马镇镇区城镇建设用地</w:t>
      </w:r>
      <w:r>
        <w:rPr>
          <w:rFonts w:ascii="宋体" w:hAnsi="宋体"/>
          <w:b/>
          <w:bCs/>
          <w:sz w:val="24"/>
          <w:szCs w:val="24"/>
          <w:u w:val="single"/>
        </w:rPr>
        <w:t>137.58</w:t>
      </w:r>
      <w:r>
        <w:rPr>
          <w:rFonts w:hint="eastAsia" w:ascii="宋体" w:hAnsi="宋体"/>
          <w:b/>
          <w:bCs/>
          <w:sz w:val="24"/>
          <w:szCs w:val="24"/>
          <w:u w:val="single"/>
        </w:rPr>
        <w:t>公顷</w:t>
      </w:r>
      <w:r>
        <w:rPr>
          <w:rFonts w:hint="eastAsia" w:ascii="宋体" w:hAnsi="宋体"/>
          <w:sz w:val="24"/>
          <w:szCs w:val="24"/>
        </w:rPr>
        <w:t>，较现状增加</w:t>
      </w:r>
      <w:r>
        <w:rPr>
          <w:rFonts w:ascii="宋体" w:hAnsi="宋体"/>
          <w:sz w:val="24"/>
          <w:szCs w:val="24"/>
        </w:rPr>
        <w:t>81.18</w:t>
      </w:r>
      <w:r>
        <w:rPr>
          <w:rFonts w:hint="eastAsia" w:ascii="宋体" w:hAnsi="宋体"/>
          <w:sz w:val="24"/>
          <w:szCs w:val="24"/>
        </w:rPr>
        <w:t>公顷。</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一般镇金元镇补齐短板。补齐公共服务和基础设施短板，盘活镇区闲置小学等闲置用地；加强镇区环境综合整治，提升镇区景观风貌。</w:t>
      </w:r>
      <w:r>
        <w:rPr>
          <w:rFonts w:hint="eastAsia" w:ascii="宋体" w:hAnsi="宋体"/>
          <w:b/>
          <w:bCs/>
          <w:sz w:val="24"/>
          <w:szCs w:val="24"/>
          <w:u w:val="single"/>
        </w:rPr>
        <w:t>规划金元镇镇区城镇建设用地</w:t>
      </w:r>
      <w:r>
        <w:rPr>
          <w:rFonts w:ascii="宋体" w:hAnsi="宋体"/>
          <w:b/>
          <w:bCs/>
          <w:sz w:val="24"/>
          <w:szCs w:val="24"/>
          <w:u w:val="single"/>
        </w:rPr>
        <w:t>26.93</w:t>
      </w:r>
      <w:r>
        <w:rPr>
          <w:rFonts w:hint="eastAsia" w:ascii="宋体" w:hAnsi="宋体"/>
          <w:b/>
          <w:bCs/>
          <w:sz w:val="24"/>
          <w:szCs w:val="24"/>
          <w:u w:val="single"/>
        </w:rPr>
        <w:t>公顷</w:t>
      </w:r>
      <w:r>
        <w:rPr>
          <w:rFonts w:hint="eastAsia" w:ascii="宋体" w:hAnsi="宋体"/>
          <w:sz w:val="24"/>
          <w:szCs w:val="24"/>
        </w:rPr>
        <w:t>，较现状增加</w:t>
      </w:r>
      <w:r>
        <w:rPr>
          <w:rFonts w:ascii="宋体" w:hAnsi="宋体"/>
          <w:sz w:val="24"/>
          <w:szCs w:val="24"/>
        </w:rPr>
        <w:t>8.36</w:t>
      </w:r>
      <w:r>
        <w:rPr>
          <w:rFonts w:hint="eastAsia" w:ascii="宋体" w:hAnsi="宋体"/>
          <w:sz w:val="24"/>
          <w:szCs w:val="24"/>
        </w:rPr>
        <w:t>公顷。</w:t>
      </w:r>
    </w:p>
    <w:p>
      <w:pPr>
        <w:pStyle w:val="81"/>
        <w:numPr>
          <w:ilvl w:val="0"/>
          <w:numId w:val="31"/>
        </w:numPr>
        <w:spacing w:line="360" w:lineRule="auto"/>
        <w:ind w:firstLineChars="0"/>
        <w:rPr>
          <w:rFonts w:ascii="宋体" w:hAnsi="宋体"/>
          <w:b/>
          <w:bCs/>
          <w:sz w:val="24"/>
          <w:szCs w:val="24"/>
        </w:rPr>
      </w:pPr>
      <w:r>
        <w:rPr>
          <w:rFonts w:hint="eastAsia" w:ascii="宋体" w:hAnsi="宋体"/>
          <w:b/>
          <w:bCs/>
          <w:sz w:val="24"/>
          <w:szCs w:val="24"/>
        </w:rPr>
        <w:t>村庄建设用地</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顺应农村人口流动趋势和产业发展规律，在尊重村民意愿前提下，积极引导村民聚居，腾退一户多宅、闲置村庄建设用地，优化用地指标。完善农村生产生活服务功能，补足公共服务和基础设施短板。结合现代农业园区建设，布局乡村旅游服务配套设施用地。规划</w:t>
      </w:r>
      <w:bookmarkStart w:id="62" w:name="_Hlk148625432"/>
      <w:bookmarkStart w:id="63" w:name="_Hlk148625529"/>
      <w:r>
        <w:rPr>
          <w:rFonts w:hint="eastAsia" w:ascii="宋体" w:hAnsi="宋体"/>
          <w:sz w:val="24"/>
          <w:szCs w:val="24"/>
        </w:rPr>
        <w:t>村庄建设用地</w:t>
      </w:r>
      <w:bookmarkEnd w:id="62"/>
      <w:r>
        <w:rPr>
          <w:rFonts w:hint="eastAsia" w:ascii="宋体" w:hAnsi="宋体"/>
          <w:sz w:val="24"/>
          <w:szCs w:val="24"/>
        </w:rPr>
        <w:t>1412.44公顷，较现状减少280.29公顷</w:t>
      </w:r>
      <w:bookmarkEnd w:id="63"/>
      <w:r>
        <w:rPr>
          <w:rFonts w:hint="eastAsia" w:ascii="宋体" w:hAnsi="宋体"/>
          <w:sz w:val="24"/>
          <w:szCs w:val="24"/>
        </w:rPr>
        <w:t>。</w:t>
      </w:r>
    </w:p>
    <w:p>
      <w:pPr>
        <w:pStyle w:val="81"/>
        <w:numPr>
          <w:ilvl w:val="0"/>
          <w:numId w:val="31"/>
        </w:numPr>
        <w:spacing w:line="360" w:lineRule="auto"/>
        <w:ind w:firstLineChars="0"/>
        <w:rPr>
          <w:rFonts w:ascii="宋体" w:hAnsi="宋体"/>
          <w:b/>
          <w:bCs/>
          <w:sz w:val="24"/>
          <w:szCs w:val="24"/>
        </w:rPr>
      </w:pPr>
      <w:r>
        <w:rPr>
          <w:rFonts w:hint="eastAsia" w:ascii="宋体" w:hAnsi="宋体"/>
          <w:b/>
          <w:bCs/>
          <w:sz w:val="24"/>
          <w:szCs w:val="24"/>
        </w:rPr>
        <w:t>区域基础设施用地</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衔接相关专项规划，落实区域重大基础设施项目。</w:t>
      </w:r>
      <w:bookmarkStart w:id="64" w:name="_Hlk148625536"/>
      <w:r>
        <w:rPr>
          <w:rFonts w:hint="eastAsia" w:ascii="宋体" w:hAnsi="宋体"/>
          <w:sz w:val="24"/>
          <w:szCs w:val="24"/>
        </w:rPr>
        <w:t>规划</w:t>
      </w:r>
      <w:bookmarkStart w:id="65" w:name="_Hlk148625442"/>
      <w:r>
        <w:rPr>
          <w:rFonts w:hint="eastAsia" w:ascii="宋体" w:hAnsi="宋体"/>
          <w:sz w:val="24"/>
          <w:szCs w:val="24"/>
        </w:rPr>
        <w:t>区域基础设施用地</w:t>
      </w:r>
      <w:bookmarkEnd w:id="65"/>
      <w:r>
        <w:rPr>
          <w:rFonts w:hint="eastAsia" w:ascii="宋体" w:hAnsi="宋体"/>
          <w:sz w:val="24"/>
          <w:szCs w:val="24"/>
        </w:rPr>
        <w:t>679.0</w:t>
      </w:r>
      <w:r>
        <w:rPr>
          <w:rFonts w:ascii="宋体" w:hAnsi="宋体"/>
          <w:sz w:val="24"/>
          <w:szCs w:val="24"/>
        </w:rPr>
        <w:t>1</w:t>
      </w:r>
      <w:r>
        <w:rPr>
          <w:rFonts w:hint="eastAsia" w:ascii="宋体" w:hAnsi="宋体"/>
          <w:sz w:val="24"/>
          <w:szCs w:val="24"/>
        </w:rPr>
        <w:t>公顷，较现状新增374.1</w:t>
      </w:r>
      <w:r>
        <w:rPr>
          <w:rFonts w:ascii="宋体" w:hAnsi="宋体"/>
          <w:sz w:val="24"/>
          <w:szCs w:val="24"/>
        </w:rPr>
        <w:t>8</w:t>
      </w:r>
      <w:r>
        <w:rPr>
          <w:rFonts w:hint="eastAsia" w:ascii="宋体" w:hAnsi="宋体"/>
          <w:sz w:val="24"/>
          <w:szCs w:val="24"/>
        </w:rPr>
        <w:t>公顷</w:t>
      </w:r>
      <w:bookmarkEnd w:id="64"/>
      <w:r>
        <w:rPr>
          <w:rFonts w:hint="eastAsia" w:ascii="宋体" w:hAnsi="宋体"/>
          <w:sz w:val="24"/>
          <w:szCs w:val="24"/>
        </w:rPr>
        <w:t>。</w:t>
      </w:r>
    </w:p>
    <w:p>
      <w:pPr>
        <w:pStyle w:val="81"/>
        <w:numPr>
          <w:ilvl w:val="0"/>
          <w:numId w:val="31"/>
        </w:numPr>
        <w:spacing w:line="360" w:lineRule="auto"/>
        <w:ind w:firstLineChars="0"/>
        <w:rPr>
          <w:rFonts w:ascii="宋体" w:hAnsi="宋体"/>
          <w:b/>
          <w:bCs/>
          <w:sz w:val="24"/>
          <w:szCs w:val="24"/>
        </w:rPr>
      </w:pPr>
      <w:r>
        <w:rPr>
          <w:rFonts w:hint="eastAsia" w:ascii="宋体" w:hAnsi="宋体"/>
          <w:b/>
          <w:bCs/>
          <w:sz w:val="24"/>
          <w:szCs w:val="24"/>
          <w:lang w:val="en-US" w:eastAsia="zh-CN"/>
        </w:rPr>
        <w:t>其他</w:t>
      </w:r>
      <w:r>
        <w:rPr>
          <w:rFonts w:hint="eastAsia" w:ascii="宋体" w:hAnsi="宋体"/>
          <w:b/>
          <w:bCs/>
          <w:sz w:val="24"/>
          <w:szCs w:val="24"/>
        </w:rPr>
        <w:t>建设用地</w:t>
      </w:r>
    </w:p>
    <w:p>
      <w:pPr>
        <w:spacing w:line="360" w:lineRule="auto"/>
        <w:ind w:firstLine="480" w:firstLineChars="200"/>
        <w:rPr>
          <w:rFonts w:ascii="宋体" w:hAnsi="宋体"/>
          <w:sz w:val="24"/>
          <w:szCs w:val="24"/>
        </w:rPr>
      </w:pPr>
      <w:r>
        <w:rPr>
          <w:rFonts w:hint="eastAsia" w:ascii="宋体" w:hAnsi="宋体"/>
          <w:sz w:val="24"/>
          <w:szCs w:val="24"/>
        </w:rPr>
        <w:t>衔接相关专项规划，保障历史文化、宗教、殡葬场所等经济和社会发展的特殊用地需求。腾退沿涪江、郪江低效采矿用地，保护河道和湿地生态功能。</w:t>
      </w:r>
      <w:bookmarkStart w:id="66" w:name="_Hlk148625544"/>
      <w:r>
        <w:rPr>
          <w:rFonts w:hint="eastAsia" w:ascii="宋体" w:hAnsi="宋体"/>
          <w:sz w:val="24"/>
          <w:szCs w:val="24"/>
        </w:rPr>
        <w:t>规划</w:t>
      </w:r>
      <w:bookmarkStart w:id="67" w:name="_Hlk148625455"/>
      <w:r>
        <w:rPr>
          <w:rFonts w:hint="eastAsia" w:ascii="宋体" w:hAnsi="宋体"/>
          <w:sz w:val="24"/>
          <w:szCs w:val="24"/>
        </w:rPr>
        <w:t>其他建设用地</w:t>
      </w:r>
      <w:bookmarkEnd w:id="67"/>
      <w:r>
        <w:rPr>
          <w:rFonts w:hint="eastAsia" w:ascii="宋体" w:hAnsi="宋体"/>
          <w:sz w:val="24"/>
          <w:szCs w:val="24"/>
        </w:rPr>
        <w:t>66.79公顷，较现状减少79.19公顷</w:t>
      </w:r>
      <w:bookmarkEnd w:id="66"/>
      <w:r>
        <w:rPr>
          <w:rFonts w:hint="eastAsia" w:ascii="宋体" w:hAnsi="宋体"/>
          <w:sz w:val="24"/>
          <w:szCs w:val="24"/>
        </w:rPr>
        <w:t>。</w:t>
      </w:r>
    </w:p>
    <w:p>
      <w:pPr>
        <w:pStyle w:val="5"/>
        <w:numPr>
          <w:ilvl w:val="3"/>
          <w:numId w:val="22"/>
        </w:numPr>
        <w:spacing w:line="360" w:lineRule="auto"/>
        <w:ind w:left="420"/>
        <w:rPr>
          <w:rFonts w:ascii="宋体" w:hAnsi="宋体"/>
          <w:b/>
          <w:szCs w:val="24"/>
        </w:rPr>
      </w:pPr>
      <w:r>
        <w:rPr>
          <w:rFonts w:hint="eastAsia" w:ascii="宋体" w:hAnsi="宋体"/>
          <w:b/>
          <w:szCs w:val="24"/>
        </w:rPr>
        <w:t>其他用地布局优化</w:t>
      </w:r>
    </w:p>
    <w:p>
      <w:pPr>
        <w:pStyle w:val="81"/>
        <w:numPr>
          <w:ilvl w:val="0"/>
          <w:numId w:val="32"/>
        </w:numPr>
        <w:spacing w:line="360" w:lineRule="auto"/>
        <w:ind w:firstLineChars="0"/>
        <w:rPr>
          <w:rFonts w:ascii="宋体" w:hAnsi="宋体"/>
          <w:b/>
          <w:bCs/>
          <w:sz w:val="24"/>
          <w:szCs w:val="24"/>
        </w:rPr>
      </w:pPr>
      <w:r>
        <w:rPr>
          <w:rFonts w:hint="eastAsia" w:ascii="宋体" w:hAnsi="宋体"/>
          <w:b/>
          <w:bCs/>
          <w:sz w:val="24"/>
          <w:szCs w:val="24"/>
        </w:rPr>
        <w:t>湿地</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规划期内因涪江防洪堤设施建设，需占用3</w:t>
      </w:r>
      <w:r>
        <w:rPr>
          <w:rFonts w:ascii="宋体" w:hAnsi="宋体"/>
          <w:sz w:val="24"/>
          <w:szCs w:val="24"/>
        </w:rPr>
        <w:t>.67</w:t>
      </w:r>
      <w:r>
        <w:rPr>
          <w:rFonts w:hint="eastAsia" w:ascii="宋体" w:hAnsi="宋体"/>
          <w:sz w:val="24"/>
          <w:szCs w:val="24"/>
        </w:rPr>
        <w:t>公顷内陆滩涂。加强湿地保护，维护湿地生态功能稳定性，规划恢复湿地面积</w:t>
      </w:r>
      <w:r>
        <w:rPr>
          <w:rFonts w:ascii="宋体" w:hAnsi="宋体"/>
          <w:sz w:val="24"/>
          <w:szCs w:val="24"/>
        </w:rPr>
        <w:t>5.46</w:t>
      </w:r>
      <w:r>
        <w:rPr>
          <w:rFonts w:hint="eastAsia" w:ascii="宋体" w:hAnsi="宋体"/>
          <w:sz w:val="24"/>
          <w:szCs w:val="24"/>
        </w:rPr>
        <w:t>公顷，确保湿地面积不减少。</w:t>
      </w:r>
      <w:bookmarkStart w:id="68" w:name="_Hlk148625592"/>
      <w:r>
        <w:rPr>
          <w:rFonts w:hint="eastAsia" w:ascii="宋体" w:hAnsi="宋体"/>
          <w:b/>
          <w:bCs/>
          <w:sz w:val="24"/>
          <w:szCs w:val="24"/>
          <w:u w:val="single"/>
        </w:rPr>
        <w:t>规划湿地面积</w:t>
      </w:r>
      <w:r>
        <w:rPr>
          <w:rFonts w:ascii="宋体" w:hAnsi="宋体"/>
          <w:b/>
          <w:bCs/>
          <w:sz w:val="24"/>
          <w:szCs w:val="24"/>
          <w:u w:val="single"/>
        </w:rPr>
        <w:t>58.8</w:t>
      </w:r>
      <w:r>
        <w:rPr>
          <w:rFonts w:hint="eastAsia" w:ascii="宋体" w:hAnsi="宋体"/>
          <w:b/>
          <w:bCs/>
          <w:sz w:val="24"/>
          <w:szCs w:val="24"/>
          <w:u w:val="single"/>
        </w:rPr>
        <w:t>4公顷</w:t>
      </w:r>
      <w:bookmarkEnd w:id="68"/>
      <w:r>
        <w:rPr>
          <w:rFonts w:hint="eastAsia" w:ascii="宋体" w:hAnsi="宋体"/>
          <w:b/>
          <w:bCs/>
          <w:sz w:val="24"/>
          <w:szCs w:val="24"/>
          <w:u w:val="single"/>
        </w:rPr>
        <w:t>，严格按《湿地保护管理规定》进行保护。</w:t>
      </w:r>
    </w:p>
    <w:p>
      <w:pPr>
        <w:pStyle w:val="81"/>
        <w:numPr>
          <w:ilvl w:val="0"/>
          <w:numId w:val="32"/>
        </w:numPr>
        <w:spacing w:line="360" w:lineRule="auto"/>
        <w:ind w:firstLineChars="0"/>
        <w:rPr>
          <w:rFonts w:ascii="宋体" w:hAnsi="宋体"/>
          <w:b/>
          <w:bCs/>
          <w:sz w:val="24"/>
          <w:szCs w:val="24"/>
        </w:rPr>
      </w:pPr>
      <w:r>
        <w:rPr>
          <w:rFonts w:hint="eastAsia" w:ascii="宋体" w:hAnsi="宋体"/>
          <w:b/>
          <w:bCs/>
          <w:sz w:val="24"/>
          <w:szCs w:val="24"/>
        </w:rPr>
        <w:t>陆地水域</w:t>
      </w:r>
    </w:p>
    <w:p>
      <w:pPr>
        <w:tabs>
          <w:tab w:val="left" w:pos="720"/>
        </w:tabs>
        <w:spacing w:line="360" w:lineRule="auto"/>
        <w:ind w:firstLine="480" w:firstLineChars="200"/>
        <w:rPr>
          <w:rFonts w:ascii="宋体" w:hAnsi="宋体"/>
          <w:sz w:val="24"/>
          <w:szCs w:val="24"/>
        </w:rPr>
      </w:pPr>
      <w:bookmarkStart w:id="69" w:name="_Hlk141949715"/>
      <w:r>
        <w:rPr>
          <w:rFonts w:hint="eastAsia" w:ascii="宋体" w:hAnsi="宋体"/>
          <w:sz w:val="24"/>
          <w:szCs w:val="24"/>
        </w:rPr>
        <w:t>保护涪江、郪江等流域生态环境，严格落实片区内河流水系管理范围。</w:t>
      </w:r>
      <w:bookmarkEnd w:id="69"/>
      <w:r>
        <w:rPr>
          <w:rFonts w:hint="eastAsia" w:ascii="宋体" w:hAnsi="宋体"/>
          <w:sz w:val="24"/>
          <w:szCs w:val="24"/>
        </w:rPr>
        <w:t>优化调整后</w:t>
      </w:r>
      <w:bookmarkStart w:id="70" w:name="_Hlk148625639"/>
      <w:r>
        <w:rPr>
          <w:rFonts w:hint="eastAsia" w:ascii="宋体" w:hAnsi="宋体"/>
          <w:sz w:val="24"/>
          <w:szCs w:val="24"/>
        </w:rPr>
        <w:t>陆地水域面积1172.24公顷，较现状减少23.10公顷，</w:t>
      </w:r>
      <w:bookmarkEnd w:id="70"/>
      <w:r>
        <w:rPr>
          <w:rFonts w:hint="eastAsia" w:ascii="宋体" w:hAnsi="宋体"/>
          <w:sz w:val="24"/>
          <w:szCs w:val="24"/>
        </w:rPr>
        <w:t>主要为</w:t>
      </w:r>
      <w:bookmarkStart w:id="71" w:name="_Hlk141949705"/>
      <w:r>
        <w:rPr>
          <w:rFonts w:hint="eastAsia" w:ascii="宋体" w:hAnsi="宋体"/>
          <w:sz w:val="24"/>
          <w:szCs w:val="24"/>
        </w:rPr>
        <w:t>重大基础设施项目占用。</w:t>
      </w:r>
      <w:bookmarkEnd w:id="71"/>
    </w:p>
    <w:p>
      <w:pPr>
        <w:pStyle w:val="5"/>
        <w:numPr>
          <w:ilvl w:val="3"/>
          <w:numId w:val="22"/>
        </w:numPr>
        <w:spacing w:line="360" w:lineRule="auto"/>
        <w:ind w:left="420"/>
        <w:rPr>
          <w:rFonts w:ascii="宋体" w:hAnsi="宋体"/>
          <w:b/>
          <w:szCs w:val="24"/>
        </w:rPr>
      </w:pPr>
      <w:r>
        <w:rPr>
          <w:rFonts w:hint="eastAsia" w:ascii="宋体" w:hAnsi="宋体"/>
          <w:b/>
          <w:szCs w:val="24"/>
        </w:rPr>
        <w:t>用途结构调整优化</w:t>
      </w:r>
    </w:p>
    <w:p>
      <w:pPr>
        <w:tabs>
          <w:tab w:val="left" w:pos="720"/>
        </w:tabs>
        <w:spacing w:line="360" w:lineRule="auto"/>
        <w:ind w:firstLine="480" w:firstLineChars="200"/>
        <w:rPr>
          <w:rFonts w:ascii="宋体" w:hAnsi="宋体"/>
          <w:sz w:val="24"/>
          <w:szCs w:val="24"/>
        </w:rPr>
      </w:pPr>
      <w:bookmarkStart w:id="72" w:name="_Hlk141949799"/>
      <w:r>
        <w:rPr>
          <w:rFonts w:hint="eastAsia" w:ascii="宋体" w:hAnsi="宋体"/>
          <w:sz w:val="24"/>
          <w:szCs w:val="24"/>
        </w:rPr>
        <w:t>严格落实</w:t>
      </w:r>
      <w:r>
        <w:rPr>
          <w:rFonts w:hint="eastAsia" w:ascii="宋体" w:hAnsi="宋体"/>
          <w:bCs/>
          <w:sz w:val="24"/>
          <w:szCs w:val="24"/>
        </w:rPr>
        <w:t>《大英县国土空间总体规划（2021—2035年）》底线约束性指标要求，以筑牢粮食安全、提升生态功能和盘活存量为重点，结合片区现状条件和未来产业发展重点与布局等，统筹优化片区农用地、建设用地和未利用地布局，优化用地结构。详见附表3</w:t>
      </w:r>
      <w:bookmarkEnd w:id="72"/>
      <w:r>
        <w:rPr>
          <w:rFonts w:hint="eastAsia" w:ascii="宋体" w:hAnsi="宋体"/>
          <w:bCs/>
          <w:sz w:val="24"/>
          <w:szCs w:val="24"/>
        </w:rPr>
        <w:t>。</w:t>
      </w:r>
    </w:p>
    <w:p>
      <w:pPr>
        <w:pStyle w:val="81"/>
        <w:numPr>
          <w:ilvl w:val="0"/>
          <w:numId w:val="33"/>
        </w:numPr>
        <w:spacing w:line="360" w:lineRule="auto"/>
        <w:ind w:firstLineChars="0"/>
        <w:rPr>
          <w:rFonts w:ascii="宋体" w:hAnsi="宋体"/>
          <w:b/>
          <w:bCs/>
          <w:sz w:val="24"/>
          <w:szCs w:val="24"/>
        </w:rPr>
      </w:pPr>
      <w:r>
        <w:rPr>
          <w:rFonts w:hint="eastAsia" w:ascii="宋体" w:hAnsi="宋体"/>
          <w:b/>
          <w:bCs/>
          <w:sz w:val="24"/>
          <w:szCs w:val="24"/>
        </w:rPr>
        <w:t>农用地</w:t>
      </w:r>
    </w:p>
    <w:p>
      <w:pPr>
        <w:tabs>
          <w:tab w:val="left" w:pos="720"/>
        </w:tabs>
        <w:spacing w:line="360" w:lineRule="auto"/>
        <w:ind w:firstLine="480" w:firstLineChars="200"/>
        <w:rPr>
          <w:rFonts w:ascii="宋体" w:hAnsi="宋体"/>
          <w:sz w:val="24"/>
          <w:szCs w:val="24"/>
        </w:rPr>
      </w:pPr>
      <w:bookmarkStart w:id="73" w:name="_Hlk141949953"/>
      <w:r>
        <w:rPr>
          <w:rFonts w:hint="eastAsia" w:ascii="宋体" w:hAnsi="宋体"/>
          <w:sz w:val="24"/>
          <w:szCs w:val="24"/>
        </w:rPr>
        <w:t>统筹安排各类农用地，优先保障粮食蔬菜种植，加快建设渝遂绵优质粮蔬生产基地。规划2035年农用地总面积</w:t>
      </w:r>
      <w:r>
        <w:rPr>
          <w:rFonts w:ascii="宋体" w:hAnsi="宋体"/>
          <w:sz w:val="24"/>
          <w:szCs w:val="24"/>
        </w:rPr>
        <w:t>17</w:t>
      </w:r>
      <w:r>
        <w:rPr>
          <w:rFonts w:hint="eastAsia" w:ascii="宋体" w:hAnsi="宋体"/>
          <w:sz w:val="24"/>
          <w:szCs w:val="24"/>
        </w:rPr>
        <w:t>2.82平方公里，较现状减少</w:t>
      </w:r>
      <w:r>
        <w:rPr>
          <w:rFonts w:ascii="宋体" w:hAnsi="宋体"/>
          <w:sz w:val="24"/>
          <w:szCs w:val="24"/>
        </w:rPr>
        <w:t>1.</w:t>
      </w:r>
      <w:r>
        <w:rPr>
          <w:rFonts w:hint="eastAsia" w:ascii="宋体" w:hAnsi="宋体"/>
          <w:sz w:val="24"/>
          <w:szCs w:val="24"/>
        </w:rPr>
        <w:t>57平方公里，占全域用地比例从</w:t>
      </w:r>
      <w:r>
        <w:rPr>
          <w:rFonts w:ascii="宋体" w:hAnsi="宋体"/>
          <w:sz w:val="24"/>
          <w:szCs w:val="24"/>
        </w:rPr>
        <w:t>83.1</w:t>
      </w:r>
      <w:r>
        <w:rPr>
          <w:rFonts w:hint="eastAsia" w:ascii="宋体" w:hAnsi="宋体"/>
          <w:sz w:val="24"/>
          <w:szCs w:val="24"/>
        </w:rPr>
        <w:t>9%调减至</w:t>
      </w:r>
      <w:r>
        <w:rPr>
          <w:rFonts w:ascii="宋体" w:hAnsi="宋体"/>
          <w:sz w:val="24"/>
          <w:szCs w:val="24"/>
        </w:rPr>
        <w:t>82.</w:t>
      </w:r>
      <w:r>
        <w:rPr>
          <w:rFonts w:hint="eastAsia" w:ascii="宋体" w:hAnsi="宋体"/>
          <w:sz w:val="24"/>
          <w:szCs w:val="24"/>
        </w:rPr>
        <w:t>44%。其中耕地占比从</w:t>
      </w:r>
      <w:r>
        <w:rPr>
          <w:rFonts w:ascii="宋体" w:hAnsi="宋体"/>
          <w:sz w:val="24"/>
          <w:szCs w:val="24"/>
        </w:rPr>
        <w:t>46.</w:t>
      </w:r>
      <w:r>
        <w:rPr>
          <w:rFonts w:hint="eastAsia" w:ascii="宋体" w:hAnsi="宋体"/>
          <w:sz w:val="24"/>
          <w:szCs w:val="24"/>
        </w:rPr>
        <w:t>06%增加到</w:t>
      </w:r>
      <w:r>
        <w:rPr>
          <w:rFonts w:ascii="宋体" w:hAnsi="宋体"/>
          <w:sz w:val="24"/>
          <w:szCs w:val="24"/>
        </w:rPr>
        <w:t>46.</w:t>
      </w:r>
      <w:r>
        <w:rPr>
          <w:rFonts w:hint="eastAsia" w:ascii="宋体" w:hAnsi="宋体"/>
          <w:sz w:val="24"/>
          <w:szCs w:val="24"/>
        </w:rPr>
        <w:t>17%，略有增加；园地占比从2.25%调减至2.17%，略有减少；林地占比从33.04%减少到32.21%；农业设施用地占比从1.69%增加到1.77%。</w:t>
      </w:r>
    </w:p>
    <w:bookmarkEnd w:id="73"/>
    <w:p>
      <w:pPr>
        <w:pStyle w:val="81"/>
        <w:numPr>
          <w:ilvl w:val="0"/>
          <w:numId w:val="33"/>
        </w:numPr>
        <w:spacing w:line="360" w:lineRule="auto"/>
        <w:ind w:firstLineChars="0"/>
        <w:rPr>
          <w:rFonts w:ascii="宋体" w:hAnsi="宋体"/>
          <w:b/>
          <w:bCs/>
          <w:sz w:val="24"/>
          <w:szCs w:val="24"/>
        </w:rPr>
      </w:pPr>
      <w:r>
        <w:rPr>
          <w:rFonts w:hint="eastAsia" w:ascii="宋体" w:hAnsi="宋体"/>
          <w:b/>
          <w:bCs/>
          <w:sz w:val="24"/>
          <w:szCs w:val="24"/>
        </w:rPr>
        <w:t>建设用地</w:t>
      </w:r>
    </w:p>
    <w:p>
      <w:pPr>
        <w:tabs>
          <w:tab w:val="left" w:pos="720"/>
        </w:tabs>
        <w:spacing w:line="360" w:lineRule="auto"/>
        <w:ind w:firstLine="480" w:firstLineChars="200"/>
        <w:rPr>
          <w:rFonts w:ascii="宋体" w:hAnsi="宋体"/>
          <w:sz w:val="24"/>
          <w:szCs w:val="24"/>
        </w:rPr>
      </w:pPr>
      <w:r>
        <w:rPr>
          <w:rFonts w:hint="eastAsia" w:ascii="宋体" w:hAnsi="宋体"/>
          <w:sz w:val="24"/>
          <w:szCs w:val="24"/>
        </w:rPr>
        <w:t>节</w:t>
      </w:r>
      <w:bookmarkStart w:id="74" w:name="_Hlk141950242"/>
      <w:r>
        <w:rPr>
          <w:rFonts w:hint="eastAsia" w:ascii="宋体" w:hAnsi="宋体"/>
          <w:sz w:val="24"/>
          <w:szCs w:val="24"/>
        </w:rPr>
        <w:t>约集约用地，控制建设用地比例。规划至2035 年，建设用地总面积</w:t>
      </w:r>
      <w:r>
        <w:rPr>
          <w:rFonts w:ascii="宋体" w:hAnsi="宋体"/>
          <w:sz w:val="24"/>
          <w:szCs w:val="24"/>
        </w:rPr>
        <w:t>24.</w:t>
      </w:r>
      <w:r>
        <w:rPr>
          <w:rFonts w:hint="eastAsia" w:ascii="宋体" w:hAnsi="宋体"/>
          <w:sz w:val="24"/>
          <w:szCs w:val="24"/>
        </w:rPr>
        <w:t>49平方公里，较现状增加</w:t>
      </w:r>
      <w:r>
        <w:rPr>
          <w:rFonts w:ascii="宋体" w:hAnsi="宋体"/>
          <w:sz w:val="24"/>
          <w:szCs w:val="24"/>
        </w:rPr>
        <w:t>1.</w:t>
      </w:r>
      <w:r>
        <w:rPr>
          <w:rFonts w:hint="eastAsia" w:ascii="宋体" w:hAnsi="宋体"/>
          <w:sz w:val="24"/>
          <w:szCs w:val="24"/>
        </w:rPr>
        <w:t>78平方公里，占全域用地比例从</w:t>
      </w:r>
      <w:r>
        <w:rPr>
          <w:rFonts w:ascii="宋体" w:hAnsi="宋体"/>
          <w:sz w:val="24"/>
          <w:szCs w:val="24"/>
        </w:rPr>
        <w:t>10.</w:t>
      </w:r>
      <w:r>
        <w:rPr>
          <w:rFonts w:hint="eastAsia" w:ascii="宋体" w:hAnsi="宋体"/>
          <w:sz w:val="24"/>
          <w:szCs w:val="24"/>
        </w:rPr>
        <w:t>83%调增到</w:t>
      </w:r>
      <w:r>
        <w:rPr>
          <w:rFonts w:ascii="宋体" w:hAnsi="宋体"/>
          <w:sz w:val="24"/>
          <w:szCs w:val="24"/>
        </w:rPr>
        <w:t>11.6</w:t>
      </w:r>
      <w:r>
        <w:rPr>
          <w:rFonts w:hint="eastAsia" w:ascii="宋体" w:hAnsi="宋体"/>
          <w:sz w:val="24"/>
          <w:szCs w:val="24"/>
        </w:rPr>
        <w:t>8%。其中城镇建设用地占比从</w:t>
      </w:r>
      <w:r>
        <w:rPr>
          <w:rFonts w:ascii="宋体" w:hAnsi="宋体"/>
          <w:sz w:val="24"/>
          <w:szCs w:val="24"/>
        </w:rPr>
        <w:t>0.</w:t>
      </w:r>
      <w:r>
        <w:rPr>
          <w:rFonts w:hint="eastAsia" w:ascii="宋体" w:hAnsi="宋体"/>
          <w:sz w:val="24"/>
          <w:szCs w:val="24"/>
        </w:rPr>
        <w:t>61%增加到</w:t>
      </w:r>
      <w:r>
        <w:rPr>
          <w:rFonts w:ascii="宋体" w:hAnsi="宋体"/>
          <w:sz w:val="24"/>
          <w:szCs w:val="24"/>
        </w:rPr>
        <w:t>1.</w:t>
      </w:r>
      <w:r>
        <w:rPr>
          <w:rFonts w:hint="eastAsia" w:ascii="宋体" w:hAnsi="宋体"/>
          <w:sz w:val="24"/>
          <w:szCs w:val="24"/>
        </w:rPr>
        <w:t>3</w:t>
      </w:r>
      <w:r>
        <w:rPr>
          <w:rFonts w:ascii="宋体" w:hAnsi="宋体"/>
          <w:sz w:val="24"/>
          <w:szCs w:val="24"/>
        </w:rPr>
        <w:t>9</w:t>
      </w:r>
      <w:r>
        <w:rPr>
          <w:rFonts w:hint="eastAsia" w:ascii="宋体" w:hAnsi="宋体"/>
          <w:sz w:val="24"/>
          <w:szCs w:val="24"/>
        </w:rPr>
        <w:t>%；村庄建设用地占比从8.08%减少到6.74%；区域基础设施用地占比从</w:t>
      </w:r>
      <w:r>
        <w:rPr>
          <w:rFonts w:ascii="宋体" w:hAnsi="宋体"/>
          <w:sz w:val="24"/>
          <w:szCs w:val="24"/>
        </w:rPr>
        <w:t>1.45</w:t>
      </w:r>
      <w:r>
        <w:rPr>
          <w:rFonts w:hint="eastAsia" w:ascii="宋体" w:hAnsi="宋体"/>
          <w:sz w:val="24"/>
          <w:szCs w:val="24"/>
        </w:rPr>
        <w:t>%增加到</w:t>
      </w:r>
      <w:r>
        <w:rPr>
          <w:rFonts w:ascii="宋体" w:hAnsi="宋体"/>
          <w:sz w:val="24"/>
          <w:szCs w:val="24"/>
        </w:rPr>
        <w:t>3.</w:t>
      </w:r>
      <w:r>
        <w:rPr>
          <w:rFonts w:hint="eastAsia" w:ascii="宋体" w:hAnsi="宋体"/>
          <w:sz w:val="24"/>
          <w:szCs w:val="24"/>
        </w:rPr>
        <w:t>24%</w:t>
      </w:r>
      <w:bookmarkEnd w:id="74"/>
      <w:r>
        <w:rPr>
          <w:rFonts w:hint="eastAsia" w:ascii="宋体" w:hAnsi="宋体"/>
          <w:sz w:val="24"/>
          <w:szCs w:val="24"/>
        </w:rPr>
        <w:t>；其他建设用地占比从0.70%减少到0.32%。</w:t>
      </w:r>
    </w:p>
    <w:p>
      <w:pPr>
        <w:pStyle w:val="81"/>
        <w:numPr>
          <w:ilvl w:val="0"/>
          <w:numId w:val="33"/>
        </w:numPr>
        <w:spacing w:line="360" w:lineRule="auto"/>
        <w:ind w:firstLineChars="0"/>
        <w:rPr>
          <w:rFonts w:ascii="宋体" w:hAnsi="宋体"/>
          <w:b/>
          <w:bCs/>
          <w:sz w:val="24"/>
          <w:szCs w:val="24"/>
        </w:rPr>
      </w:pPr>
      <w:r>
        <w:rPr>
          <w:rFonts w:hint="eastAsia" w:ascii="宋体" w:hAnsi="宋体"/>
          <w:b/>
          <w:bCs/>
          <w:sz w:val="24"/>
          <w:szCs w:val="24"/>
        </w:rPr>
        <w:t>其他用地</w:t>
      </w:r>
    </w:p>
    <w:p>
      <w:pPr>
        <w:tabs>
          <w:tab w:val="left" w:pos="720"/>
        </w:tabs>
        <w:spacing w:line="360" w:lineRule="auto"/>
        <w:ind w:firstLine="480" w:firstLineChars="200"/>
        <w:rPr>
          <w:rFonts w:ascii="宋体" w:hAnsi="宋体"/>
          <w:sz w:val="24"/>
          <w:szCs w:val="24"/>
        </w:rPr>
      </w:pPr>
      <w:bookmarkStart w:id="75" w:name="_Hlk141950248"/>
      <w:r>
        <w:rPr>
          <w:rFonts w:hint="eastAsia" w:ascii="宋体" w:hAnsi="宋体"/>
          <w:sz w:val="24"/>
          <w:szCs w:val="24"/>
        </w:rPr>
        <w:t>统筹其他用地布局，保护现状河流水库和内陆滩涂。规划至2035年，未利用地面积12.31平方公里，较现状减少</w:t>
      </w:r>
      <w:r>
        <w:rPr>
          <w:rFonts w:ascii="宋体" w:hAnsi="宋体"/>
          <w:sz w:val="24"/>
          <w:szCs w:val="24"/>
        </w:rPr>
        <w:t>0.2</w:t>
      </w:r>
      <w:r>
        <w:rPr>
          <w:rFonts w:hint="eastAsia" w:ascii="宋体" w:hAnsi="宋体"/>
          <w:sz w:val="24"/>
          <w:szCs w:val="24"/>
        </w:rPr>
        <w:t>1平方公里，占全域用地比例从</w:t>
      </w:r>
      <w:r>
        <w:rPr>
          <w:rFonts w:ascii="宋体" w:hAnsi="宋体"/>
          <w:sz w:val="24"/>
          <w:szCs w:val="24"/>
        </w:rPr>
        <w:t>5.</w:t>
      </w:r>
      <w:r>
        <w:rPr>
          <w:rFonts w:hint="eastAsia" w:ascii="宋体" w:hAnsi="宋体"/>
          <w:sz w:val="24"/>
          <w:szCs w:val="24"/>
        </w:rPr>
        <w:t>97%调减到</w:t>
      </w:r>
      <w:r>
        <w:rPr>
          <w:rFonts w:ascii="宋体" w:hAnsi="宋体"/>
          <w:sz w:val="24"/>
          <w:szCs w:val="24"/>
        </w:rPr>
        <w:t>5.</w:t>
      </w:r>
      <w:r>
        <w:rPr>
          <w:rFonts w:hint="eastAsia" w:ascii="宋体" w:hAnsi="宋体"/>
          <w:sz w:val="24"/>
          <w:szCs w:val="24"/>
        </w:rPr>
        <w:t>87%。其中湿地面积占比从0</w:t>
      </w:r>
      <w:r>
        <w:rPr>
          <w:rFonts w:ascii="宋体" w:hAnsi="宋体"/>
          <w:sz w:val="24"/>
          <w:szCs w:val="24"/>
        </w:rPr>
        <w:t>.2</w:t>
      </w:r>
      <w:r>
        <w:rPr>
          <w:rFonts w:hint="eastAsia" w:ascii="宋体" w:hAnsi="宋体"/>
          <w:sz w:val="24"/>
          <w:szCs w:val="24"/>
        </w:rPr>
        <w:t>7%调增到0</w:t>
      </w:r>
      <w:r>
        <w:rPr>
          <w:rFonts w:ascii="宋体" w:hAnsi="宋体"/>
          <w:sz w:val="24"/>
          <w:szCs w:val="24"/>
        </w:rPr>
        <w:t>.2</w:t>
      </w:r>
      <w:r>
        <w:rPr>
          <w:rFonts w:hint="eastAsia" w:ascii="宋体" w:hAnsi="宋体"/>
          <w:sz w:val="24"/>
          <w:szCs w:val="24"/>
        </w:rPr>
        <w:t>8%，略有增加；陆地水域面积占比从</w:t>
      </w:r>
      <w:r>
        <w:rPr>
          <w:rFonts w:ascii="宋体" w:hAnsi="宋体"/>
          <w:sz w:val="24"/>
          <w:szCs w:val="24"/>
        </w:rPr>
        <w:t>5.</w:t>
      </w:r>
      <w:r>
        <w:rPr>
          <w:rFonts w:hint="eastAsia" w:ascii="宋体" w:hAnsi="宋体"/>
          <w:sz w:val="24"/>
          <w:szCs w:val="24"/>
        </w:rPr>
        <w:t>70%减少到</w:t>
      </w:r>
      <w:r>
        <w:rPr>
          <w:rFonts w:ascii="宋体" w:hAnsi="宋体"/>
          <w:sz w:val="24"/>
          <w:szCs w:val="24"/>
        </w:rPr>
        <w:t>5.</w:t>
      </w:r>
      <w:r>
        <w:rPr>
          <w:rFonts w:hint="eastAsia" w:ascii="宋体" w:hAnsi="宋体"/>
          <w:sz w:val="24"/>
          <w:szCs w:val="24"/>
        </w:rPr>
        <w:t>59%，主要为区域基础设施建设占用。</w:t>
      </w:r>
    </w:p>
    <w:bookmarkEnd w:id="75"/>
    <w:p>
      <w:pPr>
        <w:numPr>
          <w:ilvl w:val="1"/>
          <w:numId w:val="22"/>
        </w:numPr>
        <w:tabs>
          <w:tab w:val="left" w:pos="680"/>
          <w:tab w:val="left" w:pos="840"/>
        </w:tabs>
        <w:spacing w:before="312" w:beforeLines="100" w:after="312" w:afterLines="100" w:line="440" w:lineRule="exact"/>
        <w:jc w:val="left"/>
        <w:outlineLvl w:val="1"/>
        <w:rPr>
          <w:rFonts w:hAnsi="宋体"/>
          <w:b/>
          <w:sz w:val="28"/>
          <w:szCs w:val="28"/>
        </w:rPr>
      </w:pPr>
      <w:bookmarkStart w:id="76" w:name="_Toc106931995"/>
      <w:bookmarkEnd w:id="76"/>
      <w:bookmarkStart w:id="77" w:name="_Toc106960102"/>
      <w:bookmarkEnd w:id="77"/>
      <w:bookmarkStart w:id="78" w:name="_Toc106931996"/>
      <w:bookmarkEnd w:id="78"/>
      <w:bookmarkStart w:id="79" w:name="_Toc106931958"/>
      <w:bookmarkEnd w:id="79"/>
      <w:bookmarkStart w:id="80" w:name="_Toc106931997"/>
      <w:bookmarkEnd w:id="80"/>
      <w:bookmarkStart w:id="81" w:name="_Toc106931970"/>
      <w:bookmarkEnd w:id="81"/>
      <w:bookmarkStart w:id="82" w:name="_Toc106931907"/>
      <w:bookmarkEnd w:id="82"/>
      <w:bookmarkStart w:id="83" w:name="_Toc106931971"/>
      <w:bookmarkEnd w:id="83"/>
      <w:bookmarkStart w:id="84" w:name="_Toc106960104"/>
      <w:bookmarkEnd w:id="84"/>
      <w:bookmarkStart w:id="85" w:name="_Toc106960076"/>
      <w:bookmarkEnd w:id="85"/>
      <w:bookmarkStart w:id="86" w:name="_Toc106931992"/>
      <w:bookmarkEnd w:id="86"/>
      <w:bookmarkStart w:id="87" w:name="_Toc106932002"/>
      <w:bookmarkEnd w:id="87"/>
      <w:bookmarkStart w:id="88" w:name="_Toc106931986"/>
      <w:bookmarkEnd w:id="88"/>
      <w:bookmarkStart w:id="89" w:name="_Toc106931956"/>
      <w:bookmarkEnd w:id="89"/>
      <w:bookmarkStart w:id="90" w:name="_Toc106960100"/>
      <w:bookmarkEnd w:id="90"/>
      <w:bookmarkStart w:id="91" w:name="_Toc106931969"/>
      <w:bookmarkEnd w:id="91"/>
      <w:bookmarkStart w:id="92" w:name="_Toc106960116"/>
      <w:bookmarkEnd w:id="92"/>
      <w:bookmarkStart w:id="93" w:name="_Toc106931978"/>
      <w:bookmarkEnd w:id="93"/>
      <w:bookmarkStart w:id="94" w:name="_Toc106960121"/>
      <w:bookmarkEnd w:id="94"/>
      <w:bookmarkStart w:id="95" w:name="_Toc106931993"/>
      <w:bookmarkEnd w:id="95"/>
      <w:bookmarkStart w:id="96" w:name="_Toc106931973"/>
      <w:bookmarkEnd w:id="96"/>
      <w:bookmarkStart w:id="97" w:name="_Toc106960096"/>
      <w:bookmarkEnd w:id="97"/>
      <w:bookmarkStart w:id="98" w:name="_Toc106960087"/>
      <w:bookmarkEnd w:id="98"/>
      <w:bookmarkStart w:id="99" w:name="_Toc106931960"/>
      <w:bookmarkEnd w:id="99"/>
      <w:bookmarkStart w:id="100" w:name="_Toc106931877"/>
      <w:bookmarkEnd w:id="100"/>
      <w:bookmarkStart w:id="101" w:name="_Toc106960118"/>
      <w:bookmarkEnd w:id="101"/>
      <w:bookmarkStart w:id="102" w:name="_Toc106960101"/>
      <w:bookmarkEnd w:id="102"/>
      <w:bookmarkStart w:id="103" w:name="_Toc106932021"/>
      <w:bookmarkEnd w:id="103"/>
      <w:bookmarkStart w:id="104" w:name="_Toc106960085"/>
      <w:bookmarkEnd w:id="104"/>
      <w:bookmarkStart w:id="105" w:name="_Toc106932018"/>
      <w:bookmarkEnd w:id="105"/>
      <w:bookmarkStart w:id="106" w:name="_Toc106960094"/>
      <w:bookmarkEnd w:id="106"/>
      <w:bookmarkStart w:id="107" w:name="_Toc106960099"/>
      <w:bookmarkEnd w:id="107"/>
      <w:bookmarkStart w:id="108" w:name="_Toc106959986"/>
      <w:bookmarkEnd w:id="108"/>
      <w:bookmarkStart w:id="109" w:name="_Toc106960128"/>
      <w:bookmarkEnd w:id="109"/>
      <w:bookmarkStart w:id="110" w:name="_Toc106960103"/>
      <w:bookmarkEnd w:id="110"/>
      <w:bookmarkStart w:id="111" w:name="_Toc106960090"/>
      <w:bookmarkEnd w:id="111"/>
      <w:bookmarkStart w:id="112" w:name="_Toc106932014"/>
      <w:bookmarkEnd w:id="112"/>
      <w:bookmarkStart w:id="113" w:name="_Toc106931975"/>
      <w:bookmarkEnd w:id="113"/>
      <w:bookmarkStart w:id="114" w:name="_Toc106960110"/>
      <w:bookmarkEnd w:id="114"/>
      <w:bookmarkStart w:id="115" w:name="_Toc105688661"/>
      <w:bookmarkEnd w:id="115"/>
      <w:bookmarkStart w:id="116" w:name="_Toc106931961"/>
      <w:bookmarkEnd w:id="116"/>
      <w:bookmarkStart w:id="117" w:name="_Toc106960092"/>
      <w:bookmarkEnd w:id="117"/>
      <w:bookmarkStart w:id="118" w:name="_Toc106931976"/>
      <w:bookmarkEnd w:id="118"/>
      <w:bookmarkStart w:id="119" w:name="_Toc106931964"/>
      <w:bookmarkEnd w:id="119"/>
      <w:bookmarkStart w:id="120" w:name="_Toc106960122"/>
      <w:bookmarkEnd w:id="120"/>
      <w:bookmarkStart w:id="121" w:name="_Toc106932005"/>
      <w:bookmarkEnd w:id="121"/>
      <w:bookmarkStart w:id="122" w:name="_Toc106960077"/>
      <w:bookmarkEnd w:id="122"/>
      <w:bookmarkStart w:id="123" w:name="_Toc106960097"/>
      <w:bookmarkEnd w:id="123"/>
      <w:bookmarkStart w:id="124" w:name="_Toc106960144"/>
      <w:bookmarkEnd w:id="124"/>
      <w:bookmarkStart w:id="125" w:name="_Toc106960095"/>
      <w:bookmarkEnd w:id="125"/>
      <w:bookmarkStart w:id="126" w:name="_Toc106932015"/>
      <w:bookmarkEnd w:id="126"/>
      <w:bookmarkStart w:id="127" w:name="_Toc106960119"/>
      <w:bookmarkEnd w:id="127"/>
      <w:bookmarkStart w:id="128" w:name="_Toc106960124"/>
      <w:bookmarkEnd w:id="128"/>
      <w:bookmarkStart w:id="129" w:name="_Toc106960089"/>
      <w:bookmarkEnd w:id="129"/>
      <w:bookmarkStart w:id="130" w:name="_Toc358104611"/>
      <w:bookmarkEnd w:id="130"/>
      <w:bookmarkStart w:id="131" w:name="_Toc106931984"/>
      <w:bookmarkEnd w:id="131"/>
      <w:bookmarkStart w:id="132" w:name="_Toc106932013"/>
      <w:bookmarkEnd w:id="132"/>
      <w:bookmarkStart w:id="133" w:name="_Toc106932009"/>
      <w:bookmarkEnd w:id="133"/>
      <w:bookmarkStart w:id="134" w:name="_Toc106932024"/>
      <w:bookmarkEnd w:id="134"/>
      <w:bookmarkStart w:id="135" w:name="_Toc106960127"/>
      <w:bookmarkEnd w:id="135"/>
      <w:bookmarkStart w:id="136" w:name="_Toc106959996"/>
      <w:bookmarkEnd w:id="136"/>
      <w:bookmarkStart w:id="137" w:name="_Toc105688663"/>
      <w:bookmarkEnd w:id="137"/>
      <w:bookmarkStart w:id="138" w:name="_Toc106960114"/>
      <w:bookmarkEnd w:id="138"/>
      <w:bookmarkStart w:id="139" w:name="_Toc106931991"/>
      <w:bookmarkEnd w:id="139"/>
      <w:bookmarkStart w:id="140" w:name="_Toc106932035"/>
      <w:bookmarkEnd w:id="140"/>
      <w:bookmarkStart w:id="141" w:name="_Toc106931977"/>
      <w:bookmarkEnd w:id="141"/>
      <w:bookmarkStart w:id="142" w:name="_Toc106960138"/>
      <w:bookmarkEnd w:id="142"/>
      <w:bookmarkStart w:id="143" w:name="_Toc106932006"/>
      <w:bookmarkEnd w:id="143"/>
      <w:bookmarkStart w:id="144" w:name="_Toc106960139"/>
      <w:bookmarkEnd w:id="144"/>
      <w:bookmarkStart w:id="145" w:name="_Toc106932033"/>
      <w:bookmarkEnd w:id="145"/>
      <w:bookmarkStart w:id="146" w:name="_Toc106960140"/>
      <w:bookmarkEnd w:id="146"/>
      <w:bookmarkStart w:id="147" w:name="_Toc106932001"/>
      <w:bookmarkEnd w:id="147"/>
      <w:bookmarkStart w:id="148" w:name="_Toc106960105"/>
      <w:bookmarkEnd w:id="148"/>
      <w:bookmarkStart w:id="149" w:name="_Toc106932000"/>
      <w:bookmarkEnd w:id="149"/>
      <w:bookmarkStart w:id="150" w:name="_Toc106932025"/>
      <w:bookmarkEnd w:id="150"/>
      <w:bookmarkStart w:id="151" w:name="_Toc106931998"/>
      <w:bookmarkEnd w:id="151"/>
      <w:bookmarkStart w:id="152" w:name="_Toc106960109"/>
      <w:bookmarkEnd w:id="152"/>
      <w:bookmarkStart w:id="153" w:name="_Toc106931999"/>
      <w:bookmarkEnd w:id="153"/>
      <w:bookmarkStart w:id="154" w:name="_Toc106931982"/>
      <w:bookmarkEnd w:id="154"/>
      <w:bookmarkStart w:id="155" w:name="_Toc106932016"/>
      <w:bookmarkEnd w:id="155"/>
      <w:bookmarkStart w:id="156" w:name="_Toc106960111"/>
      <w:bookmarkEnd w:id="156"/>
      <w:bookmarkStart w:id="157" w:name="_Toc106630084"/>
      <w:bookmarkEnd w:id="157"/>
      <w:bookmarkStart w:id="158" w:name="_Toc106932007"/>
      <w:bookmarkEnd w:id="158"/>
      <w:bookmarkStart w:id="159" w:name="_Toc106960078"/>
      <w:bookmarkEnd w:id="159"/>
      <w:bookmarkStart w:id="160" w:name="_Toc106931962"/>
      <w:bookmarkEnd w:id="160"/>
      <w:bookmarkStart w:id="161" w:name="_Toc106932012"/>
      <w:bookmarkEnd w:id="161"/>
      <w:bookmarkStart w:id="162" w:name="_Toc106932008"/>
      <w:bookmarkEnd w:id="162"/>
      <w:bookmarkStart w:id="163" w:name="_Toc106960120"/>
      <w:bookmarkEnd w:id="163"/>
      <w:bookmarkStart w:id="164" w:name="_Toc106960156"/>
      <w:bookmarkEnd w:id="164"/>
      <w:bookmarkStart w:id="165" w:name="_Toc106960098"/>
      <w:bookmarkEnd w:id="165"/>
      <w:bookmarkStart w:id="166" w:name="_Toc106932038"/>
      <w:bookmarkEnd w:id="166"/>
      <w:bookmarkStart w:id="167" w:name="_Toc106960135"/>
      <w:bookmarkEnd w:id="167"/>
      <w:bookmarkStart w:id="168" w:name="_Toc106960130"/>
      <w:bookmarkEnd w:id="168"/>
      <w:bookmarkStart w:id="169" w:name="_Toc106932010"/>
      <w:bookmarkEnd w:id="169"/>
      <w:bookmarkStart w:id="170" w:name="_Toc106931980"/>
      <w:bookmarkEnd w:id="170"/>
      <w:bookmarkStart w:id="171" w:name="_Toc106630085"/>
      <w:bookmarkEnd w:id="171"/>
      <w:bookmarkStart w:id="172" w:name="_Toc106931990"/>
      <w:bookmarkEnd w:id="172"/>
      <w:bookmarkStart w:id="173" w:name="_Toc106932003"/>
      <w:bookmarkEnd w:id="173"/>
      <w:bookmarkStart w:id="174" w:name="_Toc106931994"/>
      <w:bookmarkEnd w:id="174"/>
      <w:bookmarkStart w:id="175" w:name="_Toc106630127"/>
      <w:bookmarkEnd w:id="175"/>
      <w:bookmarkStart w:id="176" w:name="_Toc106931963"/>
      <w:bookmarkEnd w:id="176"/>
      <w:bookmarkStart w:id="177" w:name="_Toc106960133"/>
      <w:bookmarkEnd w:id="177"/>
      <w:bookmarkStart w:id="178" w:name="_Toc106932046"/>
      <w:bookmarkEnd w:id="178"/>
      <w:bookmarkStart w:id="179" w:name="_Toc106960150"/>
      <w:bookmarkEnd w:id="179"/>
      <w:bookmarkStart w:id="180" w:name="_Toc106931974"/>
      <w:bookmarkEnd w:id="180"/>
      <w:bookmarkStart w:id="181" w:name="_Toc106932023"/>
      <w:bookmarkEnd w:id="181"/>
      <w:bookmarkStart w:id="182" w:name="_Toc106932039"/>
      <w:bookmarkEnd w:id="182"/>
      <w:bookmarkStart w:id="183" w:name="_Toc106931972"/>
      <w:bookmarkEnd w:id="183"/>
      <w:bookmarkStart w:id="184" w:name="_Toc106931979"/>
      <w:bookmarkEnd w:id="184"/>
      <w:bookmarkStart w:id="185" w:name="_Toc106960123"/>
      <w:bookmarkEnd w:id="185"/>
      <w:bookmarkStart w:id="186" w:name="_Toc106399292"/>
      <w:bookmarkEnd w:id="186"/>
      <w:bookmarkStart w:id="187" w:name="_Toc106932037"/>
      <w:bookmarkEnd w:id="187"/>
      <w:bookmarkStart w:id="188" w:name="_Toc106932017"/>
      <w:bookmarkEnd w:id="188"/>
      <w:bookmarkStart w:id="189" w:name="_Toc106932004"/>
      <w:bookmarkEnd w:id="189"/>
      <w:bookmarkStart w:id="190" w:name="_Toc106932029"/>
      <w:bookmarkEnd w:id="190"/>
      <w:bookmarkStart w:id="191" w:name="_Toc106960126"/>
      <w:bookmarkEnd w:id="191"/>
      <w:bookmarkStart w:id="192" w:name="_Toc106960131"/>
      <w:bookmarkEnd w:id="192"/>
      <w:bookmarkStart w:id="193" w:name="_Toc106960162"/>
      <w:bookmarkEnd w:id="193"/>
      <w:bookmarkStart w:id="194" w:name="_Toc106960137"/>
      <w:bookmarkEnd w:id="194"/>
      <w:bookmarkStart w:id="195" w:name="_Toc106960153"/>
      <w:bookmarkEnd w:id="195"/>
      <w:bookmarkStart w:id="196" w:name="_Toc106932019"/>
      <w:bookmarkEnd w:id="196"/>
      <w:bookmarkStart w:id="197" w:name="_Toc106960112"/>
      <w:bookmarkEnd w:id="197"/>
      <w:bookmarkStart w:id="198" w:name="_Toc106960160"/>
      <w:bookmarkEnd w:id="198"/>
      <w:bookmarkStart w:id="199" w:name="_Toc106932036"/>
      <w:bookmarkEnd w:id="199"/>
      <w:bookmarkStart w:id="200" w:name="_Toc106960146"/>
      <w:bookmarkEnd w:id="200"/>
      <w:bookmarkStart w:id="201" w:name="_Toc106960117"/>
      <w:bookmarkEnd w:id="201"/>
      <w:bookmarkStart w:id="202" w:name="_Toc106399296"/>
      <w:bookmarkEnd w:id="202"/>
      <w:bookmarkStart w:id="203" w:name="_Toc106932051"/>
      <w:bookmarkEnd w:id="203"/>
      <w:bookmarkStart w:id="204" w:name="_Toc106960030"/>
      <w:bookmarkEnd w:id="204"/>
      <w:bookmarkStart w:id="205" w:name="_Toc106960136"/>
      <w:bookmarkEnd w:id="205"/>
      <w:bookmarkStart w:id="206" w:name="_Toc106932022"/>
      <w:bookmarkEnd w:id="206"/>
      <w:bookmarkStart w:id="207" w:name="_Toc106960037"/>
      <w:bookmarkEnd w:id="207"/>
      <w:bookmarkStart w:id="208" w:name="_Toc106932041"/>
      <w:bookmarkEnd w:id="208"/>
      <w:bookmarkStart w:id="209" w:name="_Toc106960147"/>
      <w:bookmarkEnd w:id="209"/>
      <w:bookmarkStart w:id="210" w:name="_Toc106960125"/>
      <w:bookmarkEnd w:id="210"/>
      <w:bookmarkStart w:id="211" w:name="_Toc106960107"/>
      <w:bookmarkEnd w:id="211"/>
      <w:bookmarkStart w:id="212" w:name="_Toc106630129"/>
      <w:bookmarkEnd w:id="212"/>
      <w:bookmarkStart w:id="213" w:name="_Toc106960129"/>
      <w:bookmarkEnd w:id="213"/>
      <w:bookmarkStart w:id="214" w:name="_Toc106960143"/>
      <w:bookmarkEnd w:id="214"/>
      <w:bookmarkStart w:id="215" w:name="_Toc106931988"/>
      <w:bookmarkEnd w:id="215"/>
      <w:bookmarkStart w:id="216" w:name="_Toc106960145"/>
      <w:bookmarkEnd w:id="216"/>
      <w:bookmarkStart w:id="217" w:name="_Toc106960142"/>
      <w:bookmarkEnd w:id="217"/>
      <w:bookmarkStart w:id="218" w:name="_Toc106960173"/>
      <w:bookmarkEnd w:id="218"/>
      <w:bookmarkStart w:id="219" w:name="_Toc105688662"/>
      <w:bookmarkEnd w:id="219"/>
      <w:bookmarkStart w:id="220" w:name="_Toc106960113"/>
      <w:bookmarkEnd w:id="220"/>
      <w:bookmarkStart w:id="221" w:name="_Toc106399294"/>
      <w:bookmarkEnd w:id="221"/>
      <w:bookmarkStart w:id="222" w:name="_Toc106960024"/>
      <w:bookmarkEnd w:id="222"/>
      <w:bookmarkStart w:id="223" w:name="_Toc106932042"/>
      <w:bookmarkEnd w:id="223"/>
      <w:bookmarkStart w:id="224" w:name="_Toc106960132"/>
      <w:bookmarkEnd w:id="224"/>
      <w:bookmarkStart w:id="225" w:name="_Toc106960164"/>
      <w:bookmarkEnd w:id="225"/>
      <w:bookmarkStart w:id="226" w:name="_Toc106960014"/>
      <w:bookmarkEnd w:id="226"/>
      <w:bookmarkStart w:id="227" w:name="_Toc106932026"/>
      <w:bookmarkEnd w:id="227"/>
      <w:bookmarkStart w:id="228" w:name="_Toc106932011"/>
      <w:bookmarkEnd w:id="228"/>
      <w:bookmarkStart w:id="229" w:name="_Toc106960174"/>
      <w:bookmarkEnd w:id="229"/>
      <w:bookmarkStart w:id="230" w:name="_Toc106931926"/>
      <w:bookmarkEnd w:id="230"/>
      <w:bookmarkStart w:id="231" w:name="_Toc106960065"/>
      <w:bookmarkEnd w:id="231"/>
      <w:bookmarkStart w:id="232" w:name="_Toc106630086"/>
      <w:bookmarkEnd w:id="232"/>
      <w:bookmarkStart w:id="233" w:name="_Toc106960159"/>
      <w:bookmarkEnd w:id="233"/>
      <w:bookmarkStart w:id="234" w:name="_Toc106932047"/>
      <w:bookmarkEnd w:id="234"/>
      <w:bookmarkStart w:id="235" w:name="_Toc106960154"/>
      <w:bookmarkEnd w:id="235"/>
      <w:bookmarkStart w:id="236" w:name="_Toc106960057"/>
      <w:bookmarkEnd w:id="236"/>
      <w:bookmarkStart w:id="237" w:name="_Toc106960170"/>
      <w:bookmarkEnd w:id="237"/>
      <w:bookmarkStart w:id="238" w:name="_Toc106960151"/>
      <w:bookmarkEnd w:id="238"/>
      <w:bookmarkStart w:id="239" w:name="_Toc106932040"/>
      <w:bookmarkEnd w:id="239"/>
      <w:bookmarkStart w:id="240" w:name="_Toc106932027"/>
      <w:bookmarkEnd w:id="240"/>
      <w:bookmarkStart w:id="241" w:name="_Toc106960158"/>
      <w:bookmarkEnd w:id="241"/>
      <w:bookmarkStart w:id="242" w:name="_Toc106932052"/>
      <w:bookmarkEnd w:id="242"/>
      <w:bookmarkStart w:id="243" w:name="_Toc106960168"/>
      <w:bookmarkEnd w:id="243"/>
      <w:bookmarkStart w:id="244" w:name="_Toc106931922"/>
      <w:bookmarkEnd w:id="244"/>
      <w:bookmarkStart w:id="245" w:name="_Toc106960134"/>
      <w:bookmarkEnd w:id="245"/>
      <w:bookmarkStart w:id="246" w:name="_Toc106960171"/>
      <w:bookmarkEnd w:id="246"/>
      <w:bookmarkStart w:id="247" w:name="_Toc106931932"/>
      <w:bookmarkEnd w:id="247"/>
      <w:bookmarkStart w:id="248" w:name="_Toc106931938"/>
      <w:bookmarkEnd w:id="248"/>
      <w:bookmarkStart w:id="249" w:name="_Toc106960155"/>
      <w:bookmarkEnd w:id="249"/>
      <w:bookmarkStart w:id="250" w:name="_Toc106960161"/>
      <w:bookmarkEnd w:id="250"/>
      <w:bookmarkStart w:id="251" w:name="_Toc106960010"/>
      <w:bookmarkEnd w:id="251"/>
      <w:bookmarkStart w:id="252" w:name="_Toc106960032"/>
      <w:bookmarkEnd w:id="252"/>
      <w:bookmarkStart w:id="253" w:name="_Toc106399293"/>
      <w:bookmarkEnd w:id="253"/>
      <w:bookmarkStart w:id="254" w:name="_Toc106960157"/>
      <w:bookmarkEnd w:id="254"/>
      <w:bookmarkStart w:id="255" w:name="_Toc106931909"/>
      <w:bookmarkEnd w:id="255"/>
      <w:bookmarkStart w:id="256" w:name="_Toc106932020"/>
      <w:bookmarkEnd w:id="256"/>
      <w:bookmarkStart w:id="257" w:name="_Toc106932048"/>
      <w:bookmarkEnd w:id="257"/>
      <w:bookmarkStart w:id="258" w:name="_Toc106960074"/>
      <w:bookmarkEnd w:id="258"/>
      <w:bookmarkStart w:id="259" w:name="_Toc106931893"/>
      <w:bookmarkEnd w:id="259"/>
      <w:bookmarkStart w:id="260" w:name="_Toc106960033"/>
      <w:bookmarkEnd w:id="260"/>
      <w:bookmarkStart w:id="261" w:name="_Toc106960038"/>
      <w:bookmarkEnd w:id="261"/>
      <w:bookmarkStart w:id="262" w:name="_Toc106931928"/>
      <w:bookmarkEnd w:id="262"/>
      <w:bookmarkStart w:id="263" w:name="_Toc106932031"/>
      <w:bookmarkEnd w:id="263"/>
      <w:bookmarkStart w:id="264" w:name="_Toc106960052"/>
      <w:bookmarkEnd w:id="264"/>
      <w:bookmarkStart w:id="265" w:name="_Toc106960046"/>
      <w:bookmarkEnd w:id="265"/>
      <w:bookmarkStart w:id="266" w:name="_Toc106960152"/>
      <w:bookmarkEnd w:id="266"/>
      <w:bookmarkStart w:id="267" w:name="_Toc106931942"/>
      <w:bookmarkEnd w:id="267"/>
      <w:bookmarkStart w:id="268" w:name="_Toc106960025"/>
      <w:bookmarkEnd w:id="268"/>
      <w:bookmarkStart w:id="269" w:name="_Toc106931905"/>
      <w:bookmarkEnd w:id="269"/>
      <w:bookmarkStart w:id="270" w:name="_Toc106960148"/>
      <w:bookmarkEnd w:id="270"/>
      <w:bookmarkStart w:id="271" w:name="_Toc106931920"/>
      <w:bookmarkEnd w:id="271"/>
      <w:bookmarkStart w:id="272" w:name="_Toc106932044"/>
      <w:bookmarkEnd w:id="272"/>
      <w:bookmarkStart w:id="273" w:name="_Toc106960036"/>
      <w:bookmarkEnd w:id="273"/>
      <w:bookmarkStart w:id="274" w:name="_Toc106960167"/>
      <w:bookmarkEnd w:id="274"/>
      <w:bookmarkStart w:id="275" w:name="_Toc106931900"/>
      <w:bookmarkEnd w:id="275"/>
      <w:bookmarkStart w:id="276" w:name="_Toc106960141"/>
      <w:bookmarkEnd w:id="276"/>
      <w:bookmarkStart w:id="277" w:name="_Toc106960042"/>
      <w:bookmarkEnd w:id="277"/>
      <w:bookmarkStart w:id="278" w:name="_Toc106932028"/>
      <w:bookmarkEnd w:id="278"/>
      <w:bookmarkStart w:id="279" w:name="_Toc106932049"/>
      <w:bookmarkEnd w:id="279"/>
      <w:bookmarkStart w:id="280" w:name="_Toc106932032"/>
      <w:bookmarkEnd w:id="280"/>
      <w:bookmarkStart w:id="281" w:name="_Toc106960163"/>
      <w:bookmarkEnd w:id="281"/>
      <w:bookmarkStart w:id="282" w:name="_Toc106931915"/>
      <w:bookmarkEnd w:id="282"/>
      <w:bookmarkStart w:id="283" w:name="_Toc106960040"/>
      <w:bookmarkEnd w:id="283"/>
      <w:bookmarkStart w:id="284" w:name="_Toc106960017"/>
      <w:bookmarkEnd w:id="284"/>
      <w:bookmarkStart w:id="285" w:name="_Toc106931912"/>
      <w:bookmarkEnd w:id="285"/>
      <w:bookmarkStart w:id="286" w:name="_Toc106960058"/>
      <w:bookmarkEnd w:id="286"/>
      <w:bookmarkStart w:id="287" w:name="_Toc106960044"/>
      <w:bookmarkEnd w:id="287"/>
      <w:bookmarkStart w:id="288" w:name="_Toc106630128"/>
      <w:bookmarkEnd w:id="288"/>
      <w:bookmarkStart w:id="289" w:name="_Toc106932050"/>
      <w:bookmarkEnd w:id="289"/>
      <w:bookmarkStart w:id="290" w:name="_Toc106931927"/>
      <w:bookmarkEnd w:id="290"/>
      <w:bookmarkStart w:id="291" w:name="_Toc106932054"/>
      <w:bookmarkEnd w:id="291"/>
      <w:bookmarkStart w:id="292" w:name="_Toc106960050"/>
      <w:bookmarkEnd w:id="292"/>
      <w:bookmarkStart w:id="293" w:name="_Toc106931916"/>
      <w:bookmarkEnd w:id="293"/>
      <w:bookmarkStart w:id="294" w:name="_Toc106960020"/>
      <w:bookmarkEnd w:id="294"/>
      <w:bookmarkStart w:id="295" w:name="_Toc106932043"/>
      <w:bookmarkEnd w:id="295"/>
      <w:bookmarkStart w:id="296" w:name="_Toc106931923"/>
      <w:bookmarkEnd w:id="296"/>
      <w:bookmarkStart w:id="297" w:name="_Toc106932034"/>
      <w:bookmarkEnd w:id="297"/>
      <w:bookmarkStart w:id="298" w:name="_Toc106960172"/>
      <w:bookmarkEnd w:id="298"/>
      <w:bookmarkStart w:id="299" w:name="_Toc106931896"/>
      <w:bookmarkEnd w:id="299"/>
      <w:bookmarkStart w:id="300" w:name="_Toc106960169"/>
      <w:bookmarkEnd w:id="300"/>
      <w:bookmarkStart w:id="301" w:name="_Toc106931933"/>
      <w:bookmarkEnd w:id="301"/>
      <w:bookmarkStart w:id="302" w:name="_Toc106960166"/>
      <w:bookmarkEnd w:id="302"/>
      <w:bookmarkStart w:id="303" w:name="_Toc106960165"/>
      <w:bookmarkEnd w:id="303"/>
      <w:bookmarkStart w:id="304" w:name="_Toc106960027"/>
      <w:bookmarkEnd w:id="304"/>
      <w:bookmarkStart w:id="305" w:name="_Toc106960026"/>
      <w:bookmarkEnd w:id="305"/>
      <w:bookmarkStart w:id="306" w:name="_Toc106931936"/>
      <w:bookmarkEnd w:id="306"/>
      <w:bookmarkStart w:id="307" w:name="_Toc106931924"/>
      <w:bookmarkEnd w:id="307"/>
      <w:bookmarkStart w:id="308" w:name="_Toc106931953"/>
      <w:bookmarkEnd w:id="308"/>
      <w:bookmarkStart w:id="309" w:name="_Toc106630131"/>
      <w:bookmarkEnd w:id="309"/>
      <w:bookmarkStart w:id="310" w:name="_Toc105688665"/>
      <w:bookmarkEnd w:id="310"/>
      <w:bookmarkStart w:id="311" w:name="_Toc358193409"/>
      <w:bookmarkEnd w:id="311"/>
      <w:bookmarkStart w:id="312" w:name="_Toc106960043"/>
      <w:bookmarkEnd w:id="312"/>
      <w:bookmarkStart w:id="313" w:name="_Toc106931925"/>
      <w:bookmarkEnd w:id="313"/>
      <w:bookmarkStart w:id="314" w:name="_Toc106931906"/>
      <w:bookmarkEnd w:id="314"/>
      <w:bookmarkStart w:id="315" w:name="_Toc106960149"/>
      <w:bookmarkEnd w:id="315"/>
      <w:bookmarkStart w:id="316" w:name="_Toc106960067"/>
      <w:bookmarkEnd w:id="316"/>
      <w:bookmarkStart w:id="317" w:name="_Toc106932053"/>
      <w:bookmarkEnd w:id="317"/>
      <w:bookmarkStart w:id="318" w:name="_Toc106960061"/>
      <w:bookmarkEnd w:id="318"/>
      <w:bookmarkStart w:id="319" w:name="_Toc106931895"/>
      <w:bookmarkEnd w:id="319"/>
      <w:bookmarkStart w:id="320" w:name="_Toc106931947"/>
      <w:bookmarkEnd w:id="320"/>
      <w:bookmarkStart w:id="321" w:name="_Toc106931914"/>
      <w:bookmarkEnd w:id="321"/>
      <w:bookmarkStart w:id="322" w:name="_Toc106931913"/>
      <w:bookmarkEnd w:id="322"/>
      <w:bookmarkStart w:id="323" w:name="_Toc106932030"/>
      <w:bookmarkEnd w:id="323"/>
      <w:bookmarkStart w:id="324" w:name="_Toc106931966"/>
      <w:bookmarkEnd w:id="324"/>
      <w:bookmarkStart w:id="325" w:name="_Toc106960049"/>
      <w:bookmarkEnd w:id="325"/>
      <w:bookmarkStart w:id="326" w:name="_Toc106931917"/>
      <w:bookmarkEnd w:id="326"/>
      <w:bookmarkStart w:id="327" w:name="_Toc106960055"/>
      <w:bookmarkEnd w:id="327"/>
      <w:bookmarkStart w:id="328" w:name="_Toc106960022"/>
      <w:bookmarkEnd w:id="328"/>
      <w:bookmarkStart w:id="329" w:name="_Toc106630088"/>
      <w:bookmarkEnd w:id="329"/>
      <w:bookmarkStart w:id="330" w:name="_Toc106931870"/>
      <w:bookmarkEnd w:id="330"/>
      <w:bookmarkStart w:id="331" w:name="_Toc106931910"/>
      <w:bookmarkEnd w:id="331"/>
      <w:bookmarkStart w:id="332" w:name="_Toc106931863"/>
      <w:bookmarkEnd w:id="332"/>
      <w:bookmarkStart w:id="333" w:name="_Toc106960056"/>
      <w:bookmarkEnd w:id="333"/>
      <w:bookmarkStart w:id="334" w:name="_Toc106931944"/>
      <w:bookmarkEnd w:id="334"/>
      <w:bookmarkStart w:id="335" w:name="_Toc106960086"/>
      <w:bookmarkEnd w:id="335"/>
      <w:bookmarkStart w:id="336" w:name="_Toc106931952"/>
      <w:bookmarkEnd w:id="336"/>
      <w:bookmarkStart w:id="337" w:name="_Toc106960028"/>
      <w:bookmarkEnd w:id="337"/>
      <w:bookmarkStart w:id="338" w:name="_Toc106960041"/>
      <w:bookmarkEnd w:id="338"/>
      <w:bookmarkStart w:id="339" w:name="_Toc106931937"/>
      <w:bookmarkEnd w:id="339"/>
      <w:bookmarkStart w:id="340" w:name="_Toc106931918"/>
      <w:bookmarkEnd w:id="340"/>
      <w:bookmarkStart w:id="341" w:name="_Toc106931950"/>
      <w:bookmarkEnd w:id="341"/>
      <w:bookmarkStart w:id="342" w:name="_Toc106931945"/>
      <w:bookmarkEnd w:id="342"/>
      <w:bookmarkStart w:id="343" w:name="_Toc106960059"/>
      <w:bookmarkEnd w:id="343"/>
      <w:bookmarkStart w:id="344" w:name="_Toc106931955"/>
      <w:bookmarkEnd w:id="344"/>
      <w:bookmarkStart w:id="345" w:name="_Toc106931921"/>
      <w:bookmarkEnd w:id="345"/>
      <w:bookmarkStart w:id="346" w:name="_Toc106931934"/>
      <w:bookmarkEnd w:id="346"/>
      <w:bookmarkStart w:id="347" w:name="_Toc106960084"/>
      <w:bookmarkEnd w:id="347"/>
      <w:bookmarkStart w:id="348" w:name="_Toc106931892"/>
      <w:bookmarkEnd w:id="348"/>
      <w:bookmarkStart w:id="349" w:name="_Toc106960051"/>
      <w:bookmarkEnd w:id="349"/>
      <w:bookmarkStart w:id="350" w:name="_Toc106931902"/>
      <w:bookmarkEnd w:id="350"/>
      <w:bookmarkStart w:id="351" w:name="_Toc106932045"/>
      <w:bookmarkEnd w:id="351"/>
      <w:bookmarkStart w:id="352" w:name="_Toc106960023"/>
      <w:bookmarkEnd w:id="352"/>
      <w:bookmarkStart w:id="353" w:name="_Toc106960063"/>
      <w:bookmarkEnd w:id="353"/>
      <w:bookmarkStart w:id="354" w:name="_Toc106931881"/>
      <w:bookmarkEnd w:id="354"/>
      <w:bookmarkStart w:id="355" w:name="_Toc106931879"/>
      <w:bookmarkEnd w:id="355"/>
      <w:bookmarkStart w:id="356" w:name="_Toc106960069"/>
      <w:bookmarkEnd w:id="356"/>
      <w:bookmarkStart w:id="357" w:name="_Toc106931885"/>
      <w:bookmarkEnd w:id="357"/>
      <w:bookmarkStart w:id="358" w:name="_Toc106960066"/>
      <w:bookmarkEnd w:id="358"/>
      <w:bookmarkStart w:id="359" w:name="_Toc106959991"/>
      <w:bookmarkEnd w:id="359"/>
      <w:bookmarkStart w:id="360" w:name="_Toc106960039"/>
      <w:bookmarkEnd w:id="360"/>
      <w:bookmarkStart w:id="361" w:name="_Toc106931931"/>
      <w:bookmarkEnd w:id="361"/>
      <w:bookmarkStart w:id="362" w:name="_Toc106959990"/>
      <w:bookmarkEnd w:id="362"/>
      <w:bookmarkStart w:id="363" w:name="_Toc106931865"/>
      <w:bookmarkEnd w:id="363"/>
      <w:bookmarkStart w:id="364" w:name="_Toc106931874"/>
      <w:bookmarkEnd w:id="364"/>
      <w:bookmarkStart w:id="365" w:name="_Toc106959987"/>
      <w:bookmarkEnd w:id="365"/>
      <w:bookmarkStart w:id="366" w:name="_Toc106960045"/>
      <w:bookmarkEnd w:id="366"/>
      <w:bookmarkStart w:id="367" w:name="_Toc106960064"/>
      <w:bookmarkEnd w:id="367"/>
      <w:bookmarkStart w:id="368" w:name="_Toc106931959"/>
      <w:bookmarkEnd w:id="368"/>
      <w:bookmarkStart w:id="369" w:name="_Toc106959992"/>
      <w:bookmarkEnd w:id="369"/>
      <w:bookmarkStart w:id="370" w:name="_Toc106960054"/>
      <w:bookmarkEnd w:id="370"/>
      <w:bookmarkStart w:id="371" w:name="_Toc106931878"/>
      <w:bookmarkEnd w:id="371"/>
      <w:bookmarkStart w:id="372" w:name="_Toc106931968"/>
      <w:bookmarkEnd w:id="372"/>
      <w:bookmarkStart w:id="373" w:name="_Toc106960072"/>
      <w:bookmarkEnd w:id="373"/>
      <w:bookmarkStart w:id="374" w:name="_Toc106931864"/>
      <w:bookmarkEnd w:id="374"/>
      <w:bookmarkStart w:id="375" w:name="_Toc106960082"/>
      <w:bookmarkEnd w:id="375"/>
      <w:bookmarkStart w:id="376" w:name="_Toc106959989"/>
      <w:bookmarkEnd w:id="376"/>
      <w:bookmarkStart w:id="377" w:name="_Toc106960079"/>
      <w:bookmarkEnd w:id="377"/>
      <w:bookmarkStart w:id="378" w:name="_Toc106931890"/>
      <w:bookmarkEnd w:id="378"/>
      <w:bookmarkStart w:id="379" w:name="_Toc106931946"/>
      <w:bookmarkEnd w:id="379"/>
      <w:bookmarkStart w:id="380" w:name="_Toc106960005"/>
      <w:bookmarkEnd w:id="380"/>
      <w:bookmarkStart w:id="381" w:name="_Toc106931951"/>
      <w:bookmarkEnd w:id="381"/>
      <w:bookmarkStart w:id="382" w:name="_Toc106960070"/>
      <w:bookmarkEnd w:id="382"/>
      <w:bookmarkStart w:id="383" w:name="_Toc106960053"/>
      <w:bookmarkEnd w:id="383"/>
      <w:bookmarkStart w:id="384" w:name="_Toc106960048"/>
      <w:bookmarkEnd w:id="384"/>
      <w:bookmarkStart w:id="385" w:name="_Toc106960007"/>
      <w:bookmarkEnd w:id="385"/>
      <w:bookmarkStart w:id="386" w:name="_Toc106931948"/>
      <w:bookmarkEnd w:id="386"/>
      <w:bookmarkStart w:id="387" w:name="_Toc106931967"/>
      <w:bookmarkEnd w:id="387"/>
      <w:bookmarkStart w:id="388" w:name="_Toc106931957"/>
      <w:bookmarkEnd w:id="388"/>
      <w:bookmarkStart w:id="389" w:name="_Toc106931891"/>
      <w:bookmarkEnd w:id="389"/>
      <w:bookmarkStart w:id="390" w:name="_Toc106960060"/>
      <w:bookmarkEnd w:id="390"/>
      <w:bookmarkStart w:id="391" w:name="_Toc106931908"/>
      <w:bookmarkEnd w:id="391"/>
      <w:bookmarkStart w:id="392" w:name="_Toc106959984"/>
      <w:bookmarkEnd w:id="392"/>
      <w:bookmarkStart w:id="393" w:name="_Toc106931930"/>
      <w:bookmarkEnd w:id="393"/>
      <w:bookmarkStart w:id="394" w:name="_Toc106931899"/>
      <w:bookmarkEnd w:id="394"/>
      <w:bookmarkStart w:id="395" w:name="_Toc106931888"/>
      <w:bookmarkEnd w:id="395"/>
      <w:bookmarkStart w:id="396" w:name="_Toc106960011"/>
      <w:bookmarkEnd w:id="396"/>
      <w:bookmarkStart w:id="397" w:name="_Toc106960075"/>
      <w:bookmarkEnd w:id="397"/>
      <w:bookmarkStart w:id="398" w:name="_Toc106960012"/>
      <w:bookmarkEnd w:id="398"/>
      <w:bookmarkStart w:id="399" w:name="_Toc106960071"/>
      <w:bookmarkEnd w:id="399"/>
      <w:bookmarkStart w:id="400" w:name="_Toc106959985"/>
      <w:bookmarkEnd w:id="400"/>
      <w:bookmarkStart w:id="401" w:name="_Toc106959998"/>
      <w:bookmarkEnd w:id="401"/>
      <w:bookmarkStart w:id="402" w:name="_Toc106931940"/>
      <w:bookmarkEnd w:id="402"/>
      <w:bookmarkStart w:id="403" w:name="_Toc106931867"/>
      <w:bookmarkEnd w:id="403"/>
      <w:bookmarkStart w:id="404" w:name="_Toc106960013"/>
      <w:bookmarkEnd w:id="404"/>
      <w:bookmarkStart w:id="405" w:name="_Toc106931954"/>
      <w:bookmarkEnd w:id="405"/>
      <w:bookmarkStart w:id="406" w:name="_Toc106931941"/>
      <w:bookmarkEnd w:id="406"/>
      <w:bookmarkStart w:id="407" w:name="_Toc106960080"/>
      <w:bookmarkEnd w:id="407"/>
      <w:bookmarkStart w:id="408" w:name="_Toc106960021"/>
      <w:bookmarkEnd w:id="408"/>
      <w:bookmarkStart w:id="409" w:name="_Toc106960034"/>
      <w:bookmarkEnd w:id="409"/>
      <w:bookmarkStart w:id="410" w:name="_Toc106960016"/>
      <w:bookmarkEnd w:id="410"/>
      <w:bookmarkStart w:id="411" w:name="_Toc106931935"/>
      <w:bookmarkEnd w:id="411"/>
      <w:bookmarkStart w:id="412" w:name="_Toc106931884"/>
      <w:bookmarkEnd w:id="412"/>
      <w:bookmarkStart w:id="413" w:name="_Toc106960083"/>
      <w:bookmarkEnd w:id="413"/>
      <w:bookmarkStart w:id="414" w:name="_Toc106960001"/>
      <w:bookmarkEnd w:id="414"/>
      <w:bookmarkStart w:id="415" w:name="_Toc106931929"/>
      <w:bookmarkEnd w:id="415"/>
      <w:bookmarkStart w:id="416" w:name="_Toc106931868"/>
      <w:bookmarkEnd w:id="416"/>
      <w:bookmarkStart w:id="417" w:name="_Toc106959983"/>
      <w:bookmarkEnd w:id="417"/>
      <w:bookmarkStart w:id="418" w:name="_Toc106959988"/>
      <w:bookmarkEnd w:id="418"/>
      <w:bookmarkStart w:id="419" w:name="_Toc106931943"/>
      <w:bookmarkEnd w:id="419"/>
      <w:bookmarkStart w:id="420" w:name="_Toc106960047"/>
      <w:bookmarkEnd w:id="420"/>
      <w:bookmarkStart w:id="421" w:name="_Toc106931981"/>
      <w:bookmarkEnd w:id="421"/>
      <w:bookmarkStart w:id="422" w:name="_Toc106960019"/>
      <w:bookmarkEnd w:id="422"/>
      <w:bookmarkStart w:id="423" w:name="_Toc106960035"/>
      <w:bookmarkEnd w:id="423"/>
      <w:bookmarkStart w:id="424" w:name="_Toc106959995"/>
      <w:bookmarkEnd w:id="424"/>
      <w:bookmarkStart w:id="425" w:name="_Toc106960093"/>
      <w:bookmarkEnd w:id="425"/>
      <w:bookmarkStart w:id="426" w:name="_Toc106931903"/>
      <w:bookmarkEnd w:id="426"/>
      <w:bookmarkStart w:id="427" w:name="_Toc106931987"/>
      <w:bookmarkEnd w:id="427"/>
      <w:bookmarkStart w:id="428" w:name="_Toc106960106"/>
      <w:bookmarkEnd w:id="428"/>
      <w:bookmarkStart w:id="429" w:name="_Toc106931904"/>
      <w:bookmarkEnd w:id="429"/>
      <w:bookmarkStart w:id="430" w:name="_Toc106960004"/>
      <w:bookmarkEnd w:id="430"/>
      <w:bookmarkStart w:id="431" w:name="_Toc106931872"/>
      <w:bookmarkEnd w:id="431"/>
      <w:bookmarkStart w:id="432" w:name="_Toc106931882"/>
      <w:bookmarkEnd w:id="432"/>
      <w:bookmarkStart w:id="433" w:name="_Toc106931875"/>
      <w:bookmarkEnd w:id="433"/>
      <w:bookmarkStart w:id="434" w:name="_Toc106931894"/>
      <w:bookmarkEnd w:id="434"/>
      <w:bookmarkStart w:id="435" w:name="_Toc106931869"/>
      <w:bookmarkEnd w:id="435"/>
      <w:bookmarkStart w:id="436" w:name="_Toc106959994"/>
      <w:bookmarkEnd w:id="436"/>
      <w:bookmarkStart w:id="437" w:name="_Toc106960015"/>
      <w:bookmarkEnd w:id="437"/>
      <w:bookmarkStart w:id="438" w:name="_Toc106960008"/>
      <w:bookmarkEnd w:id="438"/>
      <w:bookmarkStart w:id="439" w:name="_Toc106960000"/>
      <w:bookmarkEnd w:id="439"/>
      <w:bookmarkStart w:id="440" w:name="_Toc106960073"/>
      <w:bookmarkEnd w:id="440"/>
      <w:bookmarkStart w:id="441" w:name="_Toc106931886"/>
      <w:bookmarkEnd w:id="441"/>
      <w:bookmarkStart w:id="442" w:name="_Toc106960006"/>
      <w:bookmarkEnd w:id="442"/>
      <w:bookmarkStart w:id="443" w:name="_Toc106931965"/>
      <w:bookmarkEnd w:id="443"/>
      <w:bookmarkStart w:id="444" w:name="_Toc106931880"/>
      <w:bookmarkEnd w:id="444"/>
      <w:bookmarkStart w:id="445" w:name="_Toc106960091"/>
      <w:bookmarkEnd w:id="445"/>
      <w:bookmarkStart w:id="446" w:name="_Toc106931887"/>
      <w:bookmarkEnd w:id="446"/>
      <w:bookmarkStart w:id="447" w:name="_Toc106960115"/>
      <w:bookmarkEnd w:id="447"/>
      <w:bookmarkStart w:id="448" w:name="_Toc106931949"/>
      <w:bookmarkEnd w:id="448"/>
      <w:bookmarkStart w:id="449" w:name="_Toc106931897"/>
      <w:bookmarkEnd w:id="449"/>
      <w:bookmarkStart w:id="450" w:name="_Toc106959997"/>
      <w:bookmarkEnd w:id="450"/>
      <w:bookmarkStart w:id="451" w:name="_Toc106960009"/>
      <w:bookmarkEnd w:id="451"/>
      <w:bookmarkStart w:id="452" w:name="_Toc106931901"/>
      <w:bookmarkEnd w:id="452"/>
      <w:bookmarkStart w:id="453" w:name="_Toc106960088"/>
      <w:bookmarkEnd w:id="453"/>
      <w:bookmarkStart w:id="454" w:name="_Toc106931989"/>
      <w:bookmarkEnd w:id="454"/>
      <w:bookmarkStart w:id="455" w:name="_Toc106960108"/>
      <w:bookmarkEnd w:id="455"/>
      <w:bookmarkStart w:id="456" w:name="_Toc106960003"/>
      <w:bookmarkEnd w:id="456"/>
      <w:bookmarkStart w:id="457" w:name="_Toc106931983"/>
      <w:bookmarkEnd w:id="457"/>
      <w:bookmarkStart w:id="458" w:name="_Toc106931883"/>
      <w:bookmarkEnd w:id="458"/>
      <w:bookmarkStart w:id="459" w:name="_Toc106960029"/>
      <w:bookmarkEnd w:id="459"/>
      <w:bookmarkStart w:id="460" w:name="_Toc106960062"/>
      <w:bookmarkEnd w:id="460"/>
      <w:bookmarkStart w:id="461" w:name="_Toc106959999"/>
      <w:bookmarkEnd w:id="461"/>
      <w:bookmarkStart w:id="462" w:name="_Toc106960081"/>
      <w:bookmarkEnd w:id="462"/>
      <w:bookmarkStart w:id="463" w:name="_Toc106931871"/>
      <w:bookmarkEnd w:id="463"/>
      <w:bookmarkStart w:id="464" w:name="_Toc106960068"/>
      <w:bookmarkEnd w:id="464"/>
      <w:bookmarkStart w:id="465" w:name="_Toc106931889"/>
      <w:bookmarkEnd w:id="465"/>
      <w:bookmarkStart w:id="466" w:name="_Toc106959993"/>
      <w:bookmarkEnd w:id="466"/>
      <w:bookmarkStart w:id="467" w:name="_Toc106931919"/>
      <w:bookmarkEnd w:id="467"/>
      <w:bookmarkStart w:id="468" w:name="_Toc106931939"/>
      <w:bookmarkEnd w:id="468"/>
      <w:bookmarkStart w:id="469" w:name="_Toc106931873"/>
      <w:bookmarkEnd w:id="469"/>
      <w:bookmarkStart w:id="470" w:name="_Toc106931985"/>
      <w:bookmarkEnd w:id="470"/>
      <w:bookmarkStart w:id="471" w:name="_Toc106931866"/>
      <w:bookmarkEnd w:id="471"/>
      <w:bookmarkStart w:id="472" w:name="_Toc106931876"/>
      <w:bookmarkEnd w:id="472"/>
      <w:bookmarkStart w:id="473" w:name="_Toc106960002"/>
      <w:bookmarkEnd w:id="473"/>
      <w:bookmarkStart w:id="474" w:name="_Toc141369725"/>
      <w:bookmarkStart w:id="475" w:name="_Toc106960175"/>
      <w:r>
        <w:rPr>
          <w:rFonts w:hint="eastAsia" w:hAnsi="宋体"/>
          <w:b/>
          <w:sz w:val="28"/>
          <w:szCs w:val="28"/>
        </w:rPr>
        <w:t>产业发展规划</w:t>
      </w:r>
      <w:bookmarkEnd w:id="474"/>
      <w:bookmarkEnd w:id="475"/>
    </w:p>
    <w:p>
      <w:pPr>
        <w:spacing w:line="360" w:lineRule="auto"/>
        <w:ind w:firstLine="480" w:firstLineChars="200"/>
        <w:rPr>
          <w:rFonts w:ascii="宋体" w:hAnsi="宋体"/>
          <w:sz w:val="24"/>
          <w:szCs w:val="24"/>
        </w:rPr>
      </w:pPr>
      <w:bookmarkStart w:id="476" w:name="_Hlk148626271"/>
      <w:r>
        <w:rPr>
          <w:rFonts w:hint="eastAsia" w:ascii="宋体" w:hAnsi="宋体"/>
          <w:sz w:val="24"/>
          <w:szCs w:val="24"/>
        </w:rPr>
        <w:t>根据《大英县“十四五”农业农村发展规划（2021—2025年）》和《大英县现代农业园区</w:t>
      </w:r>
      <w:r>
        <w:rPr>
          <w:rFonts w:hint="eastAsia" w:ascii="宋体" w:hAnsi="宋体"/>
          <w:sz w:val="24"/>
          <w:szCs w:val="24"/>
          <w:lang w:eastAsia="zh-CN"/>
        </w:rPr>
        <w:t>“</w:t>
      </w:r>
      <w:r>
        <w:rPr>
          <w:rFonts w:hint="eastAsia" w:ascii="宋体" w:hAnsi="宋体"/>
          <w:sz w:val="24"/>
          <w:szCs w:val="24"/>
        </w:rPr>
        <w:t>十四五</w:t>
      </w:r>
      <w:r>
        <w:rPr>
          <w:rFonts w:hint="eastAsia" w:ascii="宋体" w:hAnsi="宋体"/>
          <w:sz w:val="24"/>
          <w:szCs w:val="24"/>
          <w:lang w:eastAsia="zh-CN"/>
        </w:rPr>
        <w:t>”</w:t>
      </w:r>
      <w:r>
        <w:rPr>
          <w:rFonts w:hint="eastAsia" w:ascii="宋体" w:hAnsi="宋体"/>
          <w:sz w:val="24"/>
          <w:szCs w:val="24"/>
        </w:rPr>
        <w:t>规划》相关要求，衔接大英县蔬菜现代农业园、四川沱牌绿色生态食品产业园等产业规划，按照 “保底线、强特色”的整体思路，以优质粮油为基底，中药材、绿色蔬菜、生态养殖等特色产业为核心，纵向延伸，提升特色产业能级，建设全产业链的种养循环基地，挖掘农业多元价值，形成种养循环、万亩中药、万亩蔬菜、特色养殖四大产业组团，精准投放土地要素，全面实现农科文旅产业融合发展，融入区域产业发展格局</w:t>
      </w:r>
      <w:bookmarkEnd w:id="476"/>
      <w:r>
        <w:rPr>
          <w:rFonts w:hint="eastAsia" w:ascii="宋体" w:hAnsi="宋体"/>
          <w:sz w:val="24"/>
          <w:szCs w:val="24"/>
        </w:rPr>
        <w:t>。</w:t>
      </w:r>
    </w:p>
    <w:p>
      <w:pPr>
        <w:pStyle w:val="5"/>
        <w:numPr>
          <w:ilvl w:val="0"/>
          <w:numId w:val="34"/>
        </w:numPr>
        <w:spacing w:line="360" w:lineRule="auto"/>
        <w:rPr>
          <w:b/>
          <w:bCs/>
        </w:rPr>
      </w:pPr>
      <w:r>
        <w:rPr>
          <w:rFonts w:hint="eastAsia"/>
          <w:b/>
          <w:bCs/>
        </w:rPr>
        <w:t>产业发展思路</w:t>
      </w:r>
    </w:p>
    <w:p>
      <w:pPr>
        <w:pStyle w:val="81"/>
        <w:numPr>
          <w:ilvl w:val="0"/>
          <w:numId w:val="35"/>
        </w:numPr>
        <w:spacing w:line="360" w:lineRule="auto"/>
        <w:ind w:firstLineChars="0"/>
        <w:rPr>
          <w:rFonts w:ascii="宋体" w:hAnsi="宋体"/>
          <w:b/>
          <w:bCs/>
          <w:sz w:val="24"/>
          <w:szCs w:val="24"/>
        </w:rPr>
      </w:pPr>
      <w:r>
        <w:rPr>
          <w:rFonts w:hint="eastAsia" w:ascii="宋体" w:hAnsi="宋体"/>
          <w:b/>
          <w:bCs/>
          <w:sz w:val="24"/>
          <w:szCs w:val="24"/>
        </w:rPr>
        <w:t>做强现代农业</w:t>
      </w:r>
    </w:p>
    <w:p>
      <w:pPr>
        <w:spacing w:line="360" w:lineRule="auto"/>
        <w:ind w:firstLine="480" w:firstLineChars="200"/>
        <w:rPr>
          <w:rFonts w:ascii="宋体" w:hAnsi="宋体"/>
          <w:sz w:val="24"/>
          <w:szCs w:val="24"/>
        </w:rPr>
      </w:pPr>
      <w:r>
        <w:rPr>
          <w:rFonts w:hint="eastAsia" w:ascii="宋体" w:hAnsi="宋体"/>
          <w:sz w:val="24"/>
          <w:szCs w:val="24"/>
        </w:rPr>
        <w:t>加快推进隆盛道地中药材和回马绿色蔬菜现代农业园区的提星升级和金元种养循环现代农业园的创建工作，通过土地优化调整推进万亩道地中药材和万亩绿色蔬菜的规模化种植，保障种养循环产业园2</w:t>
      </w:r>
      <w:r>
        <w:rPr>
          <w:rFonts w:ascii="宋体" w:hAnsi="宋体"/>
          <w:sz w:val="24"/>
          <w:szCs w:val="24"/>
        </w:rPr>
        <w:t>0</w:t>
      </w:r>
      <w:r>
        <w:rPr>
          <w:rFonts w:hint="eastAsia" w:ascii="宋体" w:hAnsi="宋体"/>
          <w:sz w:val="24"/>
          <w:szCs w:val="24"/>
        </w:rPr>
        <w:t>万头生猪种苗培育和6万头生猪养殖基地建设所需农用设施建设用地指标，同时加强精品水果、九叶青花椒等其他特色农业的培育。</w:t>
      </w:r>
    </w:p>
    <w:p>
      <w:pPr>
        <w:pStyle w:val="81"/>
        <w:numPr>
          <w:ilvl w:val="0"/>
          <w:numId w:val="35"/>
        </w:numPr>
        <w:spacing w:line="360" w:lineRule="auto"/>
        <w:ind w:firstLineChars="0"/>
        <w:rPr>
          <w:rFonts w:ascii="宋体" w:hAnsi="宋体"/>
          <w:b/>
          <w:bCs/>
          <w:sz w:val="24"/>
          <w:szCs w:val="24"/>
        </w:rPr>
      </w:pPr>
      <w:r>
        <w:rPr>
          <w:rFonts w:hint="eastAsia" w:ascii="宋体" w:hAnsi="宋体"/>
          <w:b/>
          <w:bCs/>
          <w:sz w:val="24"/>
          <w:szCs w:val="24"/>
        </w:rPr>
        <w:t>做深农副产品加工业和装备制造业</w:t>
      </w:r>
    </w:p>
    <w:p>
      <w:pPr>
        <w:spacing w:line="360" w:lineRule="auto"/>
        <w:ind w:firstLine="480" w:firstLineChars="200"/>
        <w:rPr>
          <w:rFonts w:ascii="宋体" w:hAnsi="宋体"/>
          <w:sz w:val="24"/>
          <w:szCs w:val="24"/>
        </w:rPr>
      </w:pPr>
      <w:r>
        <w:rPr>
          <w:rFonts w:hint="eastAsia" w:ascii="宋体" w:hAnsi="宋体"/>
          <w:sz w:val="24"/>
          <w:szCs w:val="24"/>
        </w:rPr>
        <w:t>依托三大现代农业园区建设，加快第一、第二产业融合，推进隆盛中药材加工龙头企业的培育和回马工业园区的招商引资工作，延伸上下游产业链，提升农副产品的加工转化率，建设辐射大英乃至遂宁市的中药材深加工基地和回马农副产品加工与装备制造基地。</w:t>
      </w:r>
    </w:p>
    <w:p>
      <w:pPr>
        <w:pStyle w:val="81"/>
        <w:numPr>
          <w:ilvl w:val="0"/>
          <w:numId w:val="35"/>
        </w:numPr>
        <w:spacing w:line="360" w:lineRule="auto"/>
        <w:ind w:firstLineChars="0"/>
        <w:rPr>
          <w:rFonts w:ascii="宋体" w:hAnsi="宋体"/>
          <w:b/>
          <w:bCs/>
          <w:sz w:val="24"/>
          <w:szCs w:val="24"/>
        </w:rPr>
      </w:pPr>
      <w:r>
        <w:rPr>
          <w:rFonts w:hint="eastAsia" w:ascii="宋体" w:hAnsi="宋体"/>
          <w:b/>
          <w:bCs/>
          <w:sz w:val="24"/>
          <w:szCs w:val="24"/>
        </w:rPr>
        <w:t>做精乡村休闲旅游业</w:t>
      </w:r>
    </w:p>
    <w:p>
      <w:pPr>
        <w:spacing w:line="360" w:lineRule="auto"/>
        <w:ind w:firstLine="480" w:firstLineChars="200"/>
        <w:rPr>
          <w:rFonts w:ascii="宋体" w:hAnsi="宋体"/>
          <w:sz w:val="24"/>
          <w:szCs w:val="24"/>
        </w:rPr>
      </w:pPr>
      <w:r>
        <w:rPr>
          <w:rFonts w:hint="eastAsia" w:ascii="宋体" w:hAnsi="宋体"/>
          <w:sz w:val="24"/>
          <w:szCs w:val="24"/>
        </w:rPr>
        <w:t>整合农文旅资源，依托三大现代农业园区建设，加快第一、第三产业融合，打造一批精品乡村旅游项目。大力发展隆盛医药养生休闲旅游，打造土门垭中医康养度假中心，并结合快捷通道构建遂大乡村旅游带；以绿色蔬菜产业园和长江坝遗址为基础，打造回马滨江休闲农业体验区和遗址旅游体验区；以金元种养循环农业园区为基础，打造生态循环产业科普教育基地。</w:t>
      </w:r>
    </w:p>
    <w:p>
      <w:pPr>
        <w:pStyle w:val="5"/>
        <w:numPr>
          <w:ilvl w:val="0"/>
          <w:numId w:val="34"/>
        </w:numPr>
        <w:spacing w:line="360" w:lineRule="auto"/>
        <w:rPr>
          <w:b/>
          <w:bCs/>
        </w:rPr>
      </w:pPr>
      <w:r>
        <w:rPr>
          <w:rFonts w:hint="eastAsia"/>
          <w:b/>
          <w:bCs/>
        </w:rPr>
        <w:t>产业发展格局</w:t>
      </w:r>
    </w:p>
    <w:p>
      <w:pPr>
        <w:spacing w:line="360" w:lineRule="auto"/>
        <w:ind w:firstLine="480" w:firstLineChars="200"/>
        <w:rPr>
          <w:rFonts w:ascii="宋体" w:hAnsi="宋体"/>
          <w:sz w:val="24"/>
          <w:szCs w:val="24"/>
        </w:rPr>
      </w:pPr>
      <w:r>
        <w:rPr>
          <w:rFonts w:hint="eastAsia" w:ascii="宋体" w:hAnsi="宋体"/>
          <w:sz w:val="24"/>
          <w:szCs w:val="24"/>
        </w:rPr>
        <w:t>规划形成“</w:t>
      </w:r>
      <w:r>
        <w:rPr>
          <w:rFonts w:ascii="宋体" w:hAnsi="宋体"/>
          <w:sz w:val="24"/>
          <w:szCs w:val="24"/>
        </w:rPr>
        <w:t>三园四片</w:t>
      </w:r>
      <w:r>
        <w:rPr>
          <w:rFonts w:hint="eastAsia" w:ascii="宋体" w:hAnsi="宋体"/>
          <w:sz w:val="24"/>
          <w:szCs w:val="24"/>
        </w:rPr>
        <w:t>一环</w:t>
      </w:r>
      <w:r>
        <w:rPr>
          <w:rFonts w:ascii="宋体" w:hAnsi="宋体"/>
          <w:sz w:val="24"/>
          <w:szCs w:val="24"/>
        </w:rPr>
        <w:t>两线两基地</w:t>
      </w:r>
      <w:r>
        <w:rPr>
          <w:rFonts w:hint="eastAsia" w:ascii="宋体" w:hAnsi="宋体"/>
          <w:sz w:val="24"/>
          <w:szCs w:val="24"/>
        </w:rPr>
        <w:t>”</w:t>
      </w:r>
      <w:r>
        <w:rPr>
          <w:rFonts w:hint="eastAsia"/>
        </w:rPr>
        <w:t xml:space="preserve"> </w:t>
      </w:r>
      <w:r>
        <w:rPr>
          <w:rFonts w:hint="eastAsia" w:ascii="宋体" w:hAnsi="宋体"/>
          <w:sz w:val="24"/>
          <w:szCs w:val="24"/>
        </w:rPr>
        <w:t>农科文旅融合发展格局。</w:t>
      </w:r>
    </w:p>
    <w:p>
      <w:pPr>
        <w:spacing w:line="360" w:lineRule="auto"/>
        <w:ind w:firstLine="480" w:firstLineChars="200"/>
        <w:rPr>
          <w:rFonts w:ascii="宋体" w:hAnsi="宋体"/>
          <w:sz w:val="24"/>
          <w:szCs w:val="24"/>
        </w:rPr>
      </w:pPr>
      <w:r>
        <w:rPr>
          <w:rFonts w:hint="eastAsia" w:ascii="宋体" w:hAnsi="宋体"/>
          <w:sz w:val="24"/>
          <w:szCs w:val="24"/>
        </w:rPr>
        <w:t xml:space="preserve"> “三园”指道地中药材现代农业园、绿色蔬菜现代农业园和种养循环现代农业园。按照《四川省现代农业园区认定评分标准》的相关要求，积极推动省级道地中药材现代农业园升星提质和绿色蔬菜现代农业园创建省级星级园区工作，加快种养循环现代农业园区的建设和评定。</w:t>
      </w:r>
    </w:p>
    <w:p>
      <w:pPr>
        <w:spacing w:line="360" w:lineRule="auto"/>
        <w:ind w:firstLine="480" w:firstLineChars="200"/>
        <w:rPr>
          <w:rFonts w:ascii="宋体" w:hAnsi="宋体"/>
          <w:sz w:val="24"/>
          <w:szCs w:val="24"/>
        </w:rPr>
      </w:pPr>
      <w:r>
        <w:rPr>
          <w:rFonts w:hint="eastAsia" w:ascii="宋体" w:hAnsi="宋体"/>
          <w:sz w:val="24"/>
          <w:szCs w:val="24"/>
        </w:rPr>
        <w:t>“四片”指</w:t>
      </w:r>
      <w:bookmarkStart w:id="477" w:name="_Hlk148721211"/>
      <w:r>
        <w:rPr>
          <w:rFonts w:hint="eastAsia" w:ascii="宋体" w:hAnsi="宋体"/>
          <w:sz w:val="24"/>
          <w:szCs w:val="24"/>
        </w:rPr>
        <w:t>种养循环片区、万亩中药片区、万亩蔬菜片区和特色养殖片区</w:t>
      </w:r>
      <w:bookmarkEnd w:id="477"/>
      <w:r>
        <w:rPr>
          <w:rFonts w:hint="eastAsia" w:ascii="宋体" w:hAnsi="宋体"/>
          <w:sz w:val="24"/>
          <w:szCs w:val="24"/>
        </w:rPr>
        <w:t>。种养循环片区以金元为核心，依托齐全农牧龙头企业引领和养殖大户延伸，结合优质粮油、精品水果、九叶青花椒种植，发展种养循环产业。万亩中药材片区以隆盛镇为核心，重点发展刺梨、枳壳等道地中药材产业，在保障粮食安全的基础上，引导道地中药材连片化、规模化发展；加大与农科院校合作力度，全力推动道地中药材科技推广和研发；深挖药养文化，打造药香土门。万亩蔬菜片区以回马镇沿涪江坝区为核心，积极融入渝遂绵优质蔬菜生产带，发展绿色时令蔬菜；推进蔬菜基地“大地景观化、景观艺术化”，依托郪江、涪江优质生态本底，培育一批都市休闲农业。特色养殖片区围绕乌骨鸡、小龙虾、梅花鹿等特色养殖产业，发展农事体验、休闲观光、特色美食以及特色养殖产品销售等。</w:t>
      </w:r>
    </w:p>
    <w:p>
      <w:pPr>
        <w:spacing w:line="360" w:lineRule="auto"/>
        <w:ind w:firstLine="480" w:firstLineChars="200"/>
        <w:rPr>
          <w:rFonts w:ascii="宋体" w:hAnsi="宋体"/>
          <w:sz w:val="24"/>
          <w:szCs w:val="24"/>
        </w:rPr>
      </w:pPr>
      <w:r>
        <w:rPr>
          <w:rFonts w:hint="eastAsia" w:ascii="宋体" w:hAnsi="宋体"/>
          <w:sz w:val="24"/>
          <w:szCs w:val="24"/>
        </w:rPr>
        <w:t>“一环两线”指依托遂大快速通道，串联道地中药材现代农业园区核心区，打造的药养休闲旅游线路；衔接遂宁农文旅环线，依托国道G247、省道S307、县道X011、X014，串联“三园四片”，打造农文旅游线路；依托片区内部县、乡道，串联片区主要文旅资源点，构建片区内部农文旅环线。</w:t>
      </w:r>
    </w:p>
    <w:p>
      <w:pPr>
        <w:spacing w:line="360" w:lineRule="auto"/>
        <w:ind w:firstLine="480" w:firstLineChars="200"/>
        <w:rPr>
          <w:rFonts w:ascii="宋体" w:hAnsi="宋体"/>
          <w:sz w:val="24"/>
          <w:szCs w:val="24"/>
        </w:rPr>
      </w:pPr>
      <w:r>
        <w:rPr>
          <w:rFonts w:hint="eastAsia" w:ascii="宋体" w:hAnsi="宋体"/>
          <w:sz w:val="24"/>
          <w:szCs w:val="24"/>
        </w:rPr>
        <w:t>“两基地”指隆盛中药材加工基地和回马镇农副产品加工与装备制造基地。隆盛中药材加工基地依托道地中药材现代农业园建设，通过龙头企业的培育，延伸上下游产业链，发展道地中药材粗、精深加工，辐射带动大英道地中药材产业发展。回马镇农副产品加工与装备制造基地围绕回马工业园重建，盘活园区闲置用地和厂房，积极衔接四川沱牌绿色生态食品产业园建设，承接遂宁中心城区产业外溢，重点发展优质粮油、绿色蔬菜、特色禽畜等农副食品加工和新材料装备制造产业。</w:t>
      </w:r>
    </w:p>
    <w:p>
      <w:pPr>
        <w:pStyle w:val="5"/>
        <w:numPr>
          <w:ilvl w:val="0"/>
          <w:numId w:val="34"/>
        </w:numPr>
        <w:spacing w:line="360" w:lineRule="auto"/>
        <w:rPr>
          <w:b/>
          <w:bCs/>
        </w:rPr>
      </w:pPr>
      <w:r>
        <w:rPr>
          <w:rFonts w:hint="eastAsia"/>
          <w:b/>
          <w:bCs/>
        </w:rPr>
        <w:t>产业用地布局</w:t>
      </w:r>
    </w:p>
    <w:p>
      <w:pPr>
        <w:spacing w:line="360" w:lineRule="auto"/>
        <w:ind w:firstLine="480" w:firstLineChars="200"/>
        <w:rPr>
          <w:rFonts w:ascii="宋体" w:hAnsi="宋体"/>
          <w:sz w:val="24"/>
          <w:szCs w:val="24"/>
        </w:rPr>
      </w:pPr>
      <w:r>
        <w:rPr>
          <w:rFonts w:hint="eastAsia" w:ascii="宋体" w:hAnsi="宋体"/>
          <w:sz w:val="24"/>
          <w:szCs w:val="24"/>
        </w:rPr>
        <w:t>衔接《大英县“十四五”农业农村发展规划（2021—2025年）》和其他相关产业发展规划，结合乡村振兴建设需求，围绕道地中药材现代农业园建设，规划在农业园区布局中药材初加工和种植设施建设用地，在隆盛镇镇区布局中药材精深加工和冷链物流用地；围绕绿色蔬菜现代农业园建设，规划在农业园区布局蔬菜初加工和种植设施建设用地，结合回马镇工业园区布局农副产品加工、新材料装备制造产业用地；围绕种养循环现代农业园建设，结合金元齐全农牧养殖基地布局种植、养殖设施建设用地；结合遂大快捷通道沿线农旅资源和涪江沿线景观资源，布局休闲旅游用地，重点打造土门垭精品村建设项目、隆盛医养药养休闲旅游项目（使用闲置集体资产和闲置农房，不新增建设用地）、长江坝村遗址公园等农文旅项目；结合聚居点布局直接服务于种植、养殖产业的冷链物流、电子商务用地。规划产业项目用地141.66公顷。</w:t>
      </w:r>
    </w:p>
    <w:p>
      <w:pPr>
        <w:pStyle w:val="5"/>
        <w:numPr>
          <w:ilvl w:val="0"/>
          <w:numId w:val="34"/>
        </w:numPr>
        <w:spacing w:line="360" w:lineRule="auto"/>
        <w:rPr>
          <w:b/>
          <w:bCs/>
        </w:rPr>
      </w:pPr>
      <w:r>
        <w:rPr>
          <w:rFonts w:hint="eastAsia"/>
          <w:b/>
          <w:bCs/>
        </w:rPr>
        <w:t>产业用地保障</w:t>
      </w:r>
    </w:p>
    <w:p>
      <w:pPr>
        <w:pStyle w:val="81"/>
        <w:numPr>
          <w:ilvl w:val="0"/>
          <w:numId w:val="36"/>
        </w:numPr>
        <w:spacing w:line="360" w:lineRule="auto"/>
        <w:ind w:firstLineChars="0"/>
        <w:rPr>
          <w:rFonts w:ascii="宋体" w:hAnsi="宋体"/>
          <w:b/>
          <w:bCs/>
          <w:sz w:val="24"/>
          <w:szCs w:val="24"/>
        </w:rPr>
      </w:pPr>
      <w:r>
        <w:rPr>
          <w:rFonts w:hint="eastAsia" w:ascii="宋体" w:hAnsi="宋体"/>
          <w:b/>
          <w:bCs/>
          <w:sz w:val="24"/>
          <w:szCs w:val="24"/>
        </w:rPr>
        <w:t>下发新增建设用地指标</w:t>
      </w:r>
    </w:p>
    <w:p>
      <w:pPr>
        <w:spacing w:line="360" w:lineRule="auto"/>
        <w:ind w:firstLine="480" w:firstLineChars="200"/>
        <w:rPr>
          <w:rFonts w:ascii="宋体" w:hAnsi="宋体"/>
          <w:sz w:val="24"/>
          <w:szCs w:val="24"/>
        </w:rPr>
      </w:pPr>
      <w:r>
        <w:rPr>
          <w:rFonts w:hint="eastAsia" w:ascii="宋体" w:hAnsi="宋体"/>
          <w:sz w:val="24"/>
          <w:szCs w:val="24"/>
        </w:rPr>
        <w:t>根据上位规划下发新增建设用地指标，安排不少于10%用于保障乡村产业发展用地。</w:t>
      </w:r>
    </w:p>
    <w:p>
      <w:pPr>
        <w:pStyle w:val="81"/>
        <w:numPr>
          <w:ilvl w:val="0"/>
          <w:numId w:val="36"/>
        </w:numPr>
        <w:spacing w:line="360" w:lineRule="auto"/>
        <w:ind w:firstLineChars="0"/>
        <w:rPr>
          <w:rFonts w:ascii="宋体" w:hAnsi="宋体"/>
          <w:b/>
          <w:bCs/>
          <w:sz w:val="24"/>
          <w:szCs w:val="24"/>
        </w:rPr>
      </w:pPr>
      <w:r>
        <w:rPr>
          <w:rFonts w:hint="eastAsia" w:ascii="宋体" w:hAnsi="宋体"/>
          <w:b/>
          <w:bCs/>
          <w:sz w:val="24"/>
          <w:szCs w:val="24"/>
        </w:rPr>
        <w:t>片区内腾落及农转用指标</w:t>
      </w:r>
    </w:p>
    <w:p>
      <w:pPr>
        <w:spacing w:line="360" w:lineRule="auto"/>
        <w:ind w:firstLine="480" w:firstLineChars="200"/>
        <w:rPr>
          <w:rFonts w:ascii="宋体" w:hAnsi="宋体"/>
          <w:sz w:val="24"/>
          <w:szCs w:val="24"/>
        </w:rPr>
      </w:pPr>
      <w:r>
        <w:rPr>
          <w:rFonts w:hint="eastAsia" w:ascii="宋体" w:hAnsi="宋体"/>
          <w:sz w:val="24"/>
          <w:szCs w:val="24"/>
        </w:rPr>
        <w:t>通过引导农民自愿退出宅基地，以占补平衡的方式周转建设用地指标。结合入村实地调查、相关基础资料收集分析，预计可腾挪潜力指标</w:t>
      </w:r>
      <w:r>
        <w:rPr>
          <w:rFonts w:hint="eastAsia" w:ascii="宋体" w:hAnsi="宋体" w:cs="宋体"/>
          <w:sz w:val="24"/>
          <w:szCs w:val="24"/>
        </w:rPr>
        <w:t>292.68</w:t>
      </w:r>
      <w:r>
        <w:rPr>
          <w:rFonts w:hint="eastAsia" w:ascii="宋体" w:hAnsi="宋体"/>
          <w:sz w:val="24"/>
          <w:szCs w:val="24"/>
        </w:rPr>
        <w:t>公顷，作为产业发展用地指标主要来源，其中，新增产业发展用地占补平衡使用指标68.73公顷。</w:t>
      </w:r>
    </w:p>
    <w:p>
      <w:pPr>
        <w:spacing w:line="360" w:lineRule="auto"/>
        <w:ind w:firstLine="480" w:firstLineChars="200"/>
        <w:rPr>
          <w:rFonts w:ascii="宋体" w:hAnsi="宋体"/>
          <w:sz w:val="24"/>
          <w:szCs w:val="24"/>
        </w:rPr>
      </w:pPr>
      <w:r>
        <w:rPr>
          <w:rFonts w:hint="eastAsia" w:ascii="宋体" w:hAnsi="宋体"/>
          <w:sz w:val="24"/>
          <w:szCs w:val="24"/>
        </w:rPr>
        <w:t>依据《自然资源部办公厅关于加强村庄规划促进乡村振兴的通知》，规划可预留不超过5%的建设用地机动指标，用于保障村民居住、农村公共公益设施、零星分散的乡村文旅设施及农村新产业新业态等用地建设。结合片区产业发展需求，规划在百盛村、干柏树村、江柏村、园艺村等村布局留白用地，用地规模16.26公顷，优先保障乡村产业发展用地需求。</w:t>
      </w:r>
    </w:p>
    <w:p>
      <w:pPr>
        <w:pStyle w:val="81"/>
        <w:numPr>
          <w:ilvl w:val="0"/>
          <w:numId w:val="36"/>
        </w:numPr>
        <w:spacing w:line="360" w:lineRule="auto"/>
        <w:ind w:firstLineChars="0"/>
        <w:rPr>
          <w:rFonts w:ascii="宋体" w:hAnsi="宋体"/>
          <w:b/>
          <w:bCs/>
          <w:sz w:val="24"/>
          <w:szCs w:val="24"/>
        </w:rPr>
      </w:pPr>
      <w:r>
        <w:rPr>
          <w:rFonts w:hint="eastAsia" w:ascii="宋体" w:hAnsi="宋体"/>
          <w:b/>
          <w:bCs/>
          <w:sz w:val="24"/>
          <w:szCs w:val="24"/>
        </w:rPr>
        <w:t>存量用地盘活</w:t>
      </w:r>
    </w:p>
    <w:p>
      <w:pPr>
        <w:spacing w:line="360" w:lineRule="auto"/>
        <w:ind w:firstLine="480" w:firstLineChars="200"/>
        <w:rPr>
          <w:rFonts w:ascii="宋体" w:hAnsi="宋体"/>
          <w:sz w:val="24"/>
          <w:szCs w:val="24"/>
        </w:rPr>
      </w:pPr>
      <w:r>
        <w:rPr>
          <w:rFonts w:hint="eastAsia" w:ascii="宋体" w:hAnsi="宋体"/>
          <w:sz w:val="24"/>
          <w:szCs w:val="24"/>
        </w:rPr>
        <w:t>充分利用现状低效闲置用地，改作农业设施、产品交易、村级供销、民宿等农村新产业新业态用地，支持乡村产业发展。鼓励在符合政策的前提下复合利用农村宅基地、农业设施建设用地等乡村用地，发展农村新产业新业态。</w:t>
      </w:r>
    </w:p>
    <w:p>
      <w:pPr>
        <w:numPr>
          <w:ilvl w:val="1"/>
          <w:numId w:val="22"/>
        </w:numPr>
        <w:tabs>
          <w:tab w:val="left" w:pos="680"/>
          <w:tab w:val="left" w:pos="840"/>
        </w:tabs>
        <w:spacing w:before="312" w:beforeLines="100" w:after="312" w:afterLines="100" w:line="440" w:lineRule="exact"/>
        <w:jc w:val="left"/>
        <w:outlineLvl w:val="1"/>
        <w:rPr>
          <w:rFonts w:hAnsi="宋体"/>
          <w:b/>
          <w:sz w:val="28"/>
          <w:szCs w:val="28"/>
        </w:rPr>
      </w:pPr>
      <w:bookmarkStart w:id="478" w:name="_Toc106960176"/>
      <w:bookmarkStart w:id="479" w:name="_Toc141369726"/>
      <w:r>
        <w:rPr>
          <w:rFonts w:hint="eastAsia" w:hAnsi="宋体"/>
          <w:b/>
          <w:sz w:val="28"/>
          <w:szCs w:val="28"/>
        </w:rPr>
        <w:t>镇村建设</w:t>
      </w:r>
      <w:bookmarkEnd w:id="478"/>
      <w:bookmarkEnd w:id="479"/>
    </w:p>
    <w:p>
      <w:pPr>
        <w:pStyle w:val="5"/>
        <w:numPr>
          <w:ilvl w:val="0"/>
          <w:numId w:val="37"/>
        </w:numPr>
        <w:spacing w:line="360" w:lineRule="auto"/>
        <w:ind w:left="0" w:firstLine="482" w:firstLineChars="200"/>
        <w:rPr>
          <w:b/>
          <w:bCs/>
        </w:rPr>
      </w:pPr>
      <w:r>
        <w:rPr>
          <w:rFonts w:hint="eastAsia"/>
          <w:b/>
          <w:bCs/>
        </w:rPr>
        <w:t>镇村体系规划</w:t>
      </w:r>
    </w:p>
    <w:p>
      <w:pPr>
        <w:tabs>
          <w:tab w:val="left" w:pos="0"/>
        </w:tabs>
        <w:spacing w:line="360" w:lineRule="auto"/>
        <w:ind w:firstLine="480" w:firstLineChars="200"/>
      </w:pPr>
      <w:bookmarkStart w:id="480" w:name="_Hlk148623729"/>
      <w:r>
        <w:rPr>
          <w:rFonts w:hint="eastAsia" w:ascii="宋体" w:hAnsi="宋体" w:cs="宋体"/>
          <w:sz w:val="24"/>
          <w:szCs w:val="24"/>
        </w:rPr>
        <w:t>规划构建“中心镇—一般镇—</w:t>
      </w:r>
      <w:r>
        <w:rPr>
          <w:rFonts w:ascii="宋体" w:hAnsi="宋体" w:cs="宋体"/>
          <w:sz w:val="24"/>
          <w:szCs w:val="24"/>
        </w:rPr>
        <w:t>中心村</w:t>
      </w:r>
      <w:r>
        <w:rPr>
          <w:rFonts w:hint="eastAsia" w:ascii="宋体" w:hAnsi="宋体" w:cs="宋体"/>
          <w:sz w:val="24"/>
          <w:szCs w:val="24"/>
        </w:rPr>
        <w:t>—基层村”四级镇村体系。</w:t>
      </w:r>
      <w:bookmarkStart w:id="481" w:name="_Hlk129364987"/>
      <w:r>
        <w:rPr>
          <w:rFonts w:hint="eastAsia" w:ascii="宋体" w:hAnsi="宋体" w:cs="宋体"/>
          <w:sz w:val="24"/>
          <w:szCs w:val="24"/>
        </w:rPr>
        <w:t>落实上位规划要求，确定中心镇和一般镇；</w:t>
      </w:r>
      <w:bookmarkEnd w:id="481"/>
      <w:r>
        <w:rPr>
          <w:rFonts w:hint="eastAsia" w:ascii="宋体" w:hAnsi="宋体" w:cs="宋体"/>
          <w:sz w:val="24"/>
          <w:szCs w:val="24"/>
        </w:rPr>
        <w:t>基于划定的村级片区结果，结合村庄人口分布情况、公共服务设施与基础设施现状和上版镇总体规划镇村体系，确定中心村和基层村。规划构建“</w:t>
      </w:r>
      <w:r>
        <w:rPr>
          <w:rFonts w:ascii="宋体" w:hAnsi="宋体" w:cs="宋体"/>
          <w:sz w:val="24"/>
          <w:szCs w:val="24"/>
        </w:rPr>
        <w:t>2</w:t>
      </w:r>
      <w:r>
        <w:rPr>
          <w:rFonts w:hint="eastAsia" w:ascii="宋体" w:hAnsi="宋体" w:cs="宋体"/>
          <w:sz w:val="24"/>
          <w:szCs w:val="24"/>
        </w:rPr>
        <w:t>+</w:t>
      </w:r>
      <w:r>
        <w:rPr>
          <w:rFonts w:ascii="宋体" w:hAnsi="宋体" w:cs="宋体"/>
          <w:sz w:val="24"/>
          <w:szCs w:val="24"/>
        </w:rPr>
        <w:t>1+12</w:t>
      </w:r>
      <w:r>
        <w:rPr>
          <w:rFonts w:hint="eastAsia" w:ascii="宋体" w:hAnsi="宋体" w:cs="宋体"/>
          <w:sz w:val="24"/>
          <w:szCs w:val="24"/>
        </w:rPr>
        <w:t>+</w:t>
      </w:r>
      <w:r>
        <w:rPr>
          <w:rFonts w:ascii="宋体" w:hAnsi="宋体" w:cs="宋体"/>
          <w:sz w:val="24"/>
          <w:szCs w:val="24"/>
        </w:rPr>
        <w:t>42</w:t>
      </w:r>
      <w:r>
        <w:rPr>
          <w:rFonts w:hint="eastAsia" w:ascii="宋体" w:hAnsi="宋体" w:cs="宋体"/>
          <w:sz w:val="24"/>
          <w:szCs w:val="24"/>
        </w:rPr>
        <w:t>”的镇村结构体系，其中隆盛镇、回马镇分别为中心镇和副中心镇，金元镇为一般镇，中心村为长江坝村、金山村、土门垭村等</w:t>
      </w:r>
      <w:r>
        <w:rPr>
          <w:rFonts w:ascii="宋体" w:hAnsi="宋体" w:cs="宋体"/>
          <w:sz w:val="24"/>
          <w:szCs w:val="24"/>
        </w:rPr>
        <w:t>12个</w:t>
      </w:r>
      <w:r>
        <w:rPr>
          <w:rFonts w:hint="eastAsia" w:ascii="宋体" w:hAnsi="宋体" w:cs="宋体"/>
          <w:sz w:val="24"/>
          <w:szCs w:val="24"/>
        </w:rPr>
        <w:t>村，其余</w:t>
      </w:r>
      <w:r>
        <w:rPr>
          <w:rFonts w:ascii="宋体" w:hAnsi="宋体" w:cs="宋体"/>
          <w:sz w:val="24"/>
          <w:szCs w:val="24"/>
        </w:rPr>
        <w:t>42</w:t>
      </w:r>
      <w:r>
        <w:rPr>
          <w:rFonts w:hint="eastAsia" w:ascii="宋体" w:hAnsi="宋体" w:cs="宋体"/>
          <w:sz w:val="24"/>
          <w:szCs w:val="24"/>
        </w:rPr>
        <w:t>个村为基层村</w:t>
      </w:r>
      <w:bookmarkEnd w:id="480"/>
      <w:r>
        <w:rPr>
          <w:rFonts w:hint="eastAsia" w:ascii="宋体" w:hAnsi="宋体" w:cs="宋体"/>
          <w:sz w:val="24"/>
          <w:szCs w:val="24"/>
        </w:rPr>
        <w:t>，详见附表</w:t>
      </w:r>
      <w:r>
        <w:rPr>
          <w:rFonts w:ascii="宋体" w:hAnsi="宋体" w:cs="宋体"/>
          <w:sz w:val="24"/>
          <w:szCs w:val="24"/>
        </w:rPr>
        <w:t>5</w:t>
      </w:r>
      <w:r>
        <w:rPr>
          <w:rFonts w:hint="eastAsia" w:ascii="宋体" w:hAnsi="宋体" w:cs="宋体"/>
          <w:sz w:val="24"/>
          <w:szCs w:val="24"/>
        </w:rPr>
        <w:t>。</w:t>
      </w:r>
      <w:r>
        <w:rPr>
          <w:rFonts w:ascii="宋体" w:hAnsi="宋体" w:cs="宋体"/>
          <w:sz w:val="24"/>
          <w:szCs w:val="24"/>
        </w:rPr>
        <w:t xml:space="preserve"> </w:t>
      </w:r>
    </w:p>
    <w:p>
      <w:pPr>
        <w:pStyle w:val="5"/>
        <w:numPr>
          <w:ilvl w:val="0"/>
          <w:numId w:val="37"/>
        </w:numPr>
        <w:spacing w:line="360" w:lineRule="auto"/>
        <w:ind w:left="0" w:firstLine="482" w:firstLineChars="200"/>
        <w:rPr>
          <w:b/>
          <w:bCs/>
        </w:rPr>
      </w:pPr>
      <w:r>
        <w:rPr>
          <w:rFonts w:hint="eastAsia"/>
          <w:b/>
          <w:bCs/>
        </w:rPr>
        <w:t>农村居民点建设规划</w:t>
      </w:r>
    </w:p>
    <w:p>
      <w:pPr>
        <w:pStyle w:val="81"/>
        <w:numPr>
          <w:ilvl w:val="0"/>
          <w:numId w:val="38"/>
        </w:numPr>
        <w:spacing w:line="360" w:lineRule="auto"/>
        <w:ind w:firstLineChars="0"/>
        <w:rPr>
          <w:rFonts w:ascii="宋体" w:hAnsi="宋体"/>
          <w:b/>
          <w:bCs/>
          <w:sz w:val="24"/>
          <w:szCs w:val="24"/>
        </w:rPr>
      </w:pPr>
      <w:r>
        <w:rPr>
          <w:rFonts w:hint="eastAsia" w:ascii="宋体" w:hAnsi="宋体"/>
          <w:b/>
          <w:bCs/>
          <w:sz w:val="24"/>
          <w:szCs w:val="24"/>
        </w:rPr>
        <w:t>农村居民点现状概况</w:t>
      </w:r>
    </w:p>
    <w:p>
      <w:pPr>
        <w:tabs>
          <w:tab w:val="left" w:pos="0"/>
        </w:tabs>
        <w:spacing w:line="360" w:lineRule="auto"/>
        <w:ind w:firstLine="480" w:firstLineChars="200"/>
        <w:rPr>
          <w:rFonts w:ascii="宋体" w:hAnsi="宋体" w:cs="宋体"/>
          <w:szCs w:val="24"/>
        </w:rPr>
      </w:pPr>
      <w:r>
        <w:rPr>
          <w:rFonts w:hint="eastAsia" w:ascii="宋体" w:hAnsi="宋体" w:cs="宋体"/>
          <w:sz w:val="24"/>
          <w:szCs w:val="24"/>
        </w:rPr>
        <w:t>片区内现状居民点总用地规模</w:t>
      </w:r>
      <w:r>
        <w:rPr>
          <w:rFonts w:ascii="宋体" w:hAnsi="宋体" w:cs="宋体"/>
          <w:sz w:val="24"/>
          <w:szCs w:val="24"/>
        </w:rPr>
        <w:t>1594.</w:t>
      </w:r>
      <w:r>
        <w:rPr>
          <w:rFonts w:hint="eastAsia" w:ascii="宋体" w:hAnsi="宋体" w:cs="宋体"/>
          <w:sz w:val="24"/>
          <w:szCs w:val="24"/>
        </w:rPr>
        <w:t>60公顷，沿江平坝区域聚居程度较好，丘陵地区相对分散。其中，30户及以上集中居民点325处，用地规模518.91公顷，占比32.54%，主要集中在沿涪江和郪江平坝区域；10～30户集中居民点1131处，用地规模606.71公顷，占比38.05%，主要沿现状道路、河流水系分布，相对零散；10户以下集中居民点4861处，用地规模468.98公顷，占比29.41%，整体分布零散。现状农村户籍人口人均宅基地面积131.68m</w:t>
      </w:r>
      <w:r>
        <w:rPr>
          <w:rFonts w:hint="eastAsia" w:ascii="宋体" w:hAnsi="宋体" w:cs="宋体"/>
          <w:sz w:val="24"/>
          <w:szCs w:val="24"/>
          <w:vertAlign w:val="superscript"/>
        </w:rPr>
        <w:t>2</w:t>
      </w:r>
      <w:r>
        <w:rPr>
          <w:rFonts w:hint="eastAsia" w:ascii="宋体" w:hAnsi="宋体" w:cs="宋体"/>
          <w:sz w:val="24"/>
          <w:szCs w:val="24"/>
        </w:rPr>
        <w:t>/人，农村常住人口人均宅基地面积223.72m</w:t>
      </w:r>
      <w:r>
        <w:rPr>
          <w:rFonts w:hint="eastAsia" w:ascii="宋体" w:hAnsi="宋体" w:cs="宋体"/>
          <w:sz w:val="24"/>
          <w:szCs w:val="24"/>
          <w:vertAlign w:val="superscript"/>
        </w:rPr>
        <w:t>2</w:t>
      </w:r>
      <w:r>
        <w:rPr>
          <w:rFonts w:hint="eastAsia" w:ascii="宋体" w:hAnsi="宋体" w:cs="宋体"/>
          <w:sz w:val="24"/>
          <w:szCs w:val="24"/>
        </w:rPr>
        <w:t>/人，农村居民点一户多宅、长期闲置等情况比较普遍。</w:t>
      </w:r>
    </w:p>
    <w:p>
      <w:pPr>
        <w:pStyle w:val="81"/>
        <w:numPr>
          <w:ilvl w:val="0"/>
          <w:numId w:val="38"/>
        </w:numPr>
        <w:spacing w:line="360" w:lineRule="auto"/>
        <w:ind w:firstLineChars="0"/>
        <w:rPr>
          <w:rFonts w:ascii="宋体" w:hAnsi="宋体"/>
          <w:b/>
          <w:bCs/>
          <w:sz w:val="24"/>
          <w:szCs w:val="24"/>
        </w:rPr>
      </w:pPr>
      <w:r>
        <w:rPr>
          <w:rFonts w:hint="eastAsia" w:ascii="宋体" w:hAnsi="宋体"/>
          <w:b/>
          <w:bCs/>
          <w:sz w:val="24"/>
          <w:szCs w:val="24"/>
        </w:rPr>
        <w:t>农村居民点建设模式</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按照“集中居住，集中配套”的建设模式，坚持“小规模、组团式、微田园、生态化”理念，保护一批、镇村融合一批、集中布局一批。按照超大型（</w:t>
      </w:r>
      <w:r>
        <w:rPr>
          <w:rFonts w:ascii="宋体" w:hAnsi="宋体" w:cs="宋体"/>
          <w:sz w:val="24"/>
          <w:szCs w:val="24"/>
        </w:rPr>
        <w:t>&gt;1000人）、大型（600</w:t>
      </w:r>
      <w:r>
        <w:rPr>
          <w:rFonts w:hint="eastAsia" w:ascii="宋体" w:hAnsi="宋体" w:cs="宋体"/>
          <w:sz w:val="24"/>
          <w:szCs w:val="24"/>
        </w:rPr>
        <w:t>～</w:t>
      </w:r>
      <w:r>
        <w:rPr>
          <w:rFonts w:ascii="宋体" w:hAnsi="宋体" w:cs="宋体"/>
          <w:sz w:val="24"/>
          <w:szCs w:val="24"/>
        </w:rPr>
        <w:t>1000人）、中型（200</w:t>
      </w:r>
      <w:r>
        <w:rPr>
          <w:rFonts w:hint="eastAsia" w:ascii="宋体" w:hAnsi="宋体" w:cs="宋体"/>
          <w:sz w:val="24"/>
          <w:szCs w:val="24"/>
        </w:rPr>
        <w:t>～</w:t>
      </w:r>
      <w:r>
        <w:rPr>
          <w:rFonts w:ascii="宋体" w:hAnsi="宋体" w:cs="宋体"/>
          <w:sz w:val="24"/>
          <w:szCs w:val="24"/>
        </w:rPr>
        <w:t>600人）、小型（&lt;200人）的居民点人口规模标准，</w:t>
      </w:r>
      <w:r>
        <w:rPr>
          <w:rFonts w:hint="eastAsia" w:ascii="宋体" w:hAnsi="宋体" w:cs="宋体"/>
          <w:sz w:val="24"/>
          <w:szCs w:val="24"/>
        </w:rPr>
        <w:t>新建聚居点最小规模不少于30户，</w:t>
      </w:r>
      <w:r>
        <w:rPr>
          <w:rFonts w:ascii="宋体" w:hAnsi="宋体" w:cs="宋体"/>
          <w:sz w:val="24"/>
          <w:szCs w:val="24"/>
        </w:rPr>
        <w:t>在平坝地区主要</w:t>
      </w:r>
      <w:r>
        <w:rPr>
          <w:rFonts w:hint="eastAsia" w:ascii="宋体" w:hAnsi="宋体" w:cs="宋体"/>
          <w:sz w:val="24"/>
          <w:szCs w:val="24"/>
        </w:rPr>
        <w:t>布局</w:t>
      </w:r>
      <w:r>
        <w:rPr>
          <w:rFonts w:ascii="宋体" w:hAnsi="宋体" w:cs="宋体"/>
          <w:sz w:val="24"/>
          <w:szCs w:val="24"/>
        </w:rPr>
        <w:t>大型居民点，</w:t>
      </w:r>
      <w:r>
        <w:rPr>
          <w:rFonts w:hint="eastAsia" w:ascii="宋体" w:hAnsi="宋体" w:cs="宋体"/>
          <w:sz w:val="24"/>
          <w:szCs w:val="24"/>
        </w:rPr>
        <w:t>丘陵</w:t>
      </w:r>
      <w:r>
        <w:rPr>
          <w:rFonts w:ascii="宋体" w:hAnsi="宋体" w:cs="宋体"/>
          <w:sz w:val="24"/>
          <w:szCs w:val="24"/>
        </w:rPr>
        <w:t>地区</w:t>
      </w:r>
      <w:r>
        <w:rPr>
          <w:rFonts w:hint="eastAsia" w:ascii="宋体" w:hAnsi="宋体" w:cs="宋体"/>
          <w:sz w:val="24"/>
          <w:szCs w:val="24"/>
        </w:rPr>
        <w:t>主要布局中、小型居民点</w:t>
      </w:r>
      <w:r>
        <w:rPr>
          <w:rFonts w:ascii="宋体" w:hAnsi="宋体" w:cs="宋体"/>
          <w:sz w:val="24"/>
          <w:szCs w:val="24"/>
        </w:rPr>
        <w:t>。</w:t>
      </w:r>
    </w:p>
    <w:p>
      <w:pPr>
        <w:pStyle w:val="81"/>
        <w:numPr>
          <w:ilvl w:val="0"/>
          <w:numId w:val="38"/>
        </w:numPr>
        <w:spacing w:line="360" w:lineRule="auto"/>
        <w:ind w:firstLineChars="0"/>
        <w:rPr>
          <w:rFonts w:ascii="宋体" w:hAnsi="宋体"/>
          <w:b/>
          <w:bCs/>
          <w:sz w:val="24"/>
          <w:szCs w:val="24"/>
        </w:rPr>
      </w:pPr>
      <w:r>
        <w:rPr>
          <w:rFonts w:hint="eastAsia" w:ascii="宋体" w:hAnsi="宋体"/>
          <w:b/>
          <w:bCs/>
          <w:sz w:val="24"/>
          <w:szCs w:val="24"/>
        </w:rPr>
        <w:t>农村居民点选址原则</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遵循“五避让”“三远离”“三融入”的选址原则，避让地质灾害隐患点、避让洪涝易发区、避让地震断裂带、避让水源保护区、避让生态敏感区，远离公路、远离铁路、远离高压线，融入城镇、融入产业、融入自然环境，结合现状建设和村民意愿，尽量不占永</w:t>
      </w:r>
      <w:bookmarkStart w:id="587" w:name="_GoBack"/>
      <w:bookmarkEnd w:id="587"/>
      <w:r>
        <w:rPr>
          <w:rFonts w:hint="eastAsia" w:ascii="宋体" w:hAnsi="宋体" w:cs="宋体"/>
          <w:sz w:val="24"/>
          <w:szCs w:val="24"/>
        </w:rPr>
        <w:t>农、少占耕地，科学选址新建农村居民点。</w:t>
      </w:r>
    </w:p>
    <w:p>
      <w:pPr>
        <w:pStyle w:val="81"/>
        <w:numPr>
          <w:ilvl w:val="0"/>
          <w:numId w:val="38"/>
        </w:numPr>
        <w:spacing w:line="360" w:lineRule="auto"/>
        <w:ind w:firstLineChars="0"/>
        <w:rPr>
          <w:rFonts w:ascii="宋体" w:hAnsi="宋体"/>
          <w:b/>
          <w:bCs/>
          <w:sz w:val="24"/>
          <w:szCs w:val="24"/>
        </w:rPr>
      </w:pPr>
      <w:r>
        <w:rPr>
          <w:rFonts w:hint="eastAsia" w:ascii="宋体" w:hAnsi="宋体"/>
          <w:b/>
          <w:bCs/>
          <w:sz w:val="24"/>
          <w:szCs w:val="24"/>
        </w:rPr>
        <w:t>农村居民点规模预测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基于现状户籍人口户均宅基地用地规模，筛选现状30户以上、20户以上和10户以上农村居民点用地图斑，以迭代更新方式筛选出现状相对聚居的农村居民点，并结合现状建筑质量、交通条件以及用地适宜性等要素，筛选出需保留的居民点；对于其他10户以下“散居”农村居民点，结合村民意愿和人口流动趋势，综合考虑项目占用、建筑质量、交通条件、用地适宜性等要素，筛选出搬迁复垦居民点，作为腾挪建设用地指标的主要来源。规划保留居民点面积约1183.20公顷，腾退居民点面积约411.41公顷</w:t>
      </w:r>
      <w:r>
        <w:rPr>
          <w:rFonts w:ascii="宋体" w:hAnsi="宋体" w:cs="宋体"/>
          <w:sz w:val="24"/>
          <w:szCs w:val="24"/>
        </w:rPr>
        <w:t>。</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基于现状保留农村居民点用地规模，以现状户籍人口人均宅基地面积为标准，测算各村保留农村居民点用地可承载人口规模。结合户籍人口预测，确定各村规划户籍人口规模，进一步确定各村居民点用地缺口。依据《四川省村级规划编制指南》，农村居民点人均建设用地标准建议值为60～100平方米/人，参考四川省其他乡镇级国土空间规划试点，并结合本片区地方实际情况，取新增农村居民点建设用地标准为80平方米/人，则需规划增加居民点用地约</w:t>
      </w:r>
      <w:r>
        <w:rPr>
          <w:rFonts w:ascii="宋体" w:hAnsi="宋体" w:cs="宋体"/>
          <w:sz w:val="24"/>
          <w:szCs w:val="24"/>
        </w:rPr>
        <w:t>84.34</w:t>
      </w:r>
      <w:r>
        <w:rPr>
          <w:rFonts w:hint="eastAsia" w:ascii="宋体" w:hAnsi="宋体" w:cs="宋体"/>
          <w:sz w:val="24"/>
          <w:szCs w:val="24"/>
        </w:rPr>
        <w:t>公顷。</w:t>
      </w:r>
      <w:r>
        <w:rPr>
          <w:rFonts w:ascii="宋体" w:hAnsi="宋体" w:cs="宋体"/>
          <w:sz w:val="24"/>
          <w:szCs w:val="24"/>
        </w:rPr>
        <w:t xml:space="preserve"> </w:t>
      </w:r>
    </w:p>
    <w:p>
      <w:pPr>
        <w:pStyle w:val="81"/>
        <w:numPr>
          <w:ilvl w:val="0"/>
          <w:numId w:val="38"/>
        </w:numPr>
        <w:spacing w:line="360" w:lineRule="auto"/>
        <w:ind w:firstLineChars="0"/>
        <w:rPr>
          <w:rFonts w:ascii="宋体" w:hAnsi="宋体"/>
          <w:b/>
          <w:bCs/>
          <w:sz w:val="24"/>
          <w:szCs w:val="24"/>
        </w:rPr>
      </w:pPr>
      <w:r>
        <w:rPr>
          <w:rFonts w:hint="eastAsia" w:ascii="宋体" w:hAnsi="宋体"/>
          <w:b/>
          <w:bCs/>
          <w:sz w:val="24"/>
          <w:szCs w:val="24"/>
        </w:rPr>
        <w:t>农村居民点规划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综合考虑建设用地适宜性情况、耕作半径、设施半径、交通条件等因子，优先在现状保留“居民点”基础上进行扩建，规模无法满足时则在适宜地区重新选址。除需补充基于户籍人口预测需要增加的农村居民点用地规模外，还需考虑每村增加一处农村居民点，以满足近期村民建房用地需求，以及已有增减挂钩项目、重大项目涉及的拆迁安置等用地需求，规划扩建农村居民点180个，面积约84.45公顷，新建农村居民点27个，面积约17.75公顷。规划农村居民点总建设用地约1</w:t>
      </w:r>
      <w:r>
        <w:rPr>
          <w:rFonts w:ascii="宋体" w:hAnsi="宋体" w:cs="宋体"/>
          <w:sz w:val="24"/>
          <w:szCs w:val="24"/>
        </w:rPr>
        <w:t>2</w:t>
      </w:r>
      <w:r>
        <w:rPr>
          <w:rFonts w:hint="eastAsia" w:ascii="宋体" w:hAnsi="宋体" w:cs="宋体"/>
          <w:sz w:val="24"/>
          <w:szCs w:val="24"/>
        </w:rPr>
        <w:t>85.40公顷。</w:t>
      </w:r>
    </w:p>
    <w:p>
      <w:pPr>
        <w:pStyle w:val="81"/>
        <w:numPr>
          <w:ilvl w:val="0"/>
          <w:numId w:val="38"/>
        </w:numPr>
        <w:spacing w:line="360" w:lineRule="auto"/>
        <w:ind w:firstLineChars="0"/>
        <w:rPr>
          <w:rFonts w:ascii="宋体" w:hAnsi="宋体"/>
          <w:b/>
          <w:bCs/>
          <w:sz w:val="24"/>
          <w:szCs w:val="24"/>
        </w:rPr>
      </w:pPr>
      <w:r>
        <w:rPr>
          <w:rFonts w:hint="eastAsia" w:ascii="宋体" w:hAnsi="宋体"/>
          <w:b/>
          <w:bCs/>
          <w:sz w:val="24"/>
          <w:szCs w:val="24"/>
        </w:rPr>
        <w:t>充分尊重村民意愿</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规划通过线上线下征集村民意愿，以入户访谈调查、开展现场规划宣讲、规划居民点选址讨论等方式，最终确定规划农村居民点选址。</w:t>
      </w:r>
    </w:p>
    <w:p>
      <w:pPr>
        <w:numPr>
          <w:ilvl w:val="1"/>
          <w:numId w:val="22"/>
        </w:numPr>
        <w:tabs>
          <w:tab w:val="left" w:pos="680"/>
          <w:tab w:val="left" w:pos="840"/>
        </w:tabs>
        <w:spacing w:before="312" w:beforeLines="100" w:after="312" w:afterLines="100" w:line="440" w:lineRule="exact"/>
        <w:jc w:val="left"/>
        <w:outlineLvl w:val="1"/>
        <w:rPr>
          <w:rFonts w:hAnsi="宋体"/>
          <w:b/>
          <w:sz w:val="28"/>
          <w:szCs w:val="28"/>
        </w:rPr>
      </w:pPr>
      <w:bookmarkStart w:id="482" w:name="_Toc141369727"/>
      <w:bookmarkStart w:id="483" w:name="_Toc106960177"/>
      <w:r>
        <w:rPr>
          <w:rFonts w:hint="eastAsia" w:hAnsi="宋体"/>
          <w:b/>
          <w:sz w:val="28"/>
          <w:szCs w:val="28"/>
        </w:rPr>
        <w:t>设施配套规划</w:t>
      </w:r>
      <w:bookmarkEnd w:id="482"/>
      <w:bookmarkEnd w:id="483"/>
    </w:p>
    <w:p>
      <w:pPr>
        <w:pStyle w:val="5"/>
        <w:numPr>
          <w:ilvl w:val="0"/>
          <w:numId w:val="39"/>
        </w:numPr>
        <w:spacing w:line="360" w:lineRule="auto"/>
        <w:ind w:left="0" w:firstLine="482" w:firstLineChars="200"/>
        <w:rPr>
          <w:b/>
          <w:bCs/>
        </w:rPr>
      </w:pPr>
      <w:r>
        <w:rPr>
          <w:rFonts w:hint="eastAsia"/>
          <w:b/>
          <w:bCs/>
        </w:rPr>
        <w:t>公共服务设施规划</w:t>
      </w:r>
    </w:p>
    <w:p>
      <w:pPr>
        <w:pStyle w:val="81"/>
        <w:numPr>
          <w:ilvl w:val="0"/>
          <w:numId w:val="4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公共服务设施配置标准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依据《四川省基本公共服务标准</w:t>
      </w:r>
      <w:r>
        <w:rPr>
          <w:rFonts w:ascii="宋体" w:hAnsi="宋体" w:cs="宋体"/>
          <w:sz w:val="24"/>
          <w:szCs w:val="24"/>
        </w:rPr>
        <w:t>（2021年版</w:t>
      </w:r>
      <w:r>
        <w:rPr>
          <w:rFonts w:hint="eastAsia" w:ascii="宋体" w:hAnsi="宋体" w:cs="宋体"/>
          <w:sz w:val="24"/>
          <w:szCs w:val="24"/>
        </w:rPr>
        <w:t>）》，结合乡镇行政区划和村级建制调整改革“后半篇”文章，落实</w:t>
      </w:r>
      <w:r>
        <w:rPr>
          <w:rFonts w:ascii="宋体" w:hAnsi="宋体" w:cs="宋体"/>
          <w:sz w:val="24"/>
          <w:szCs w:val="24"/>
        </w:rPr>
        <w:t xml:space="preserve"> </w:t>
      </w:r>
      <w:r>
        <w:rPr>
          <w:rFonts w:hint="eastAsia" w:ascii="宋体" w:hAnsi="宋体" w:cs="宋体"/>
          <w:sz w:val="24"/>
          <w:szCs w:val="24"/>
        </w:rPr>
        <w:t>“乡村生活圈”理念，</w:t>
      </w:r>
      <w:bookmarkStart w:id="484" w:name="_Hlk148627291"/>
      <w:r>
        <w:rPr>
          <w:rFonts w:hint="eastAsia" w:ascii="宋体" w:hAnsi="宋体" w:cs="宋体"/>
          <w:sz w:val="24"/>
          <w:szCs w:val="24"/>
        </w:rPr>
        <w:t>按照“镇乡</w:t>
      </w:r>
      <w:r>
        <w:rPr>
          <w:rFonts w:ascii="宋体" w:hAnsi="宋体" w:cs="宋体"/>
          <w:sz w:val="24"/>
          <w:szCs w:val="24"/>
        </w:rPr>
        <w:t>—</w:t>
      </w:r>
      <w:r>
        <w:rPr>
          <w:rFonts w:hint="eastAsia" w:ascii="宋体" w:hAnsi="宋体" w:cs="宋体"/>
          <w:sz w:val="24"/>
          <w:szCs w:val="24"/>
        </w:rPr>
        <w:t>中心村</w:t>
      </w:r>
      <w:r>
        <w:rPr>
          <w:rFonts w:ascii="宋体" w:hAnsi="宋体" w:cs="宋体"/>
          <w:sz w:val="24"/>
          <w:szCs w:val="24"/>
        </w:rPr>
        <w:t>—</w:t>
      </w:r>
      <w:r>
        <w:rPr>
          <w:rFonts w:hint="eastAsia" w:ascii="宋体" w:hAnsi="宋体" w:cs="宋体"/>
          <w:sz w:val="24"/>
          <w:szCs w:val="24"/>
        </w:rPr>
        <w:t>基层</w:t>
      </w:r>
      <w:r>
        <w:rPr>
          <w:rFonts w:ascii="宋体" w:hAnsi="宋体" w:cs="宋体"/>
          <w:sz w:val="24"/>
          <w:szCs w:val="24"/>
        </w:rPr>
        <w:t>村—居民点</w:t>
      </w:r>
      <w:r>
        <w:rPr>
          <w:rFonts w:hint="eastAsia" w:ascii="宋体" w:hAnsi="宋体" w:cs="宋体"/>
          <w:sz w:val="24"/>
          <w:szCs w:val="24"/>
        </w:rPr>
        <w:t>”</w:t>
      </w:r>
      <w:r>
        <w:rPr>
          <w:rFonts w:ascii="宋体" w:hAnsi="宋体" w:cs="宋体"/>
          <w:sz w:val="24"/>
          <w:szCs w:val="24"/>
        </w:rPr>
        <w:t>四级结构，完善镇域公共服务设施。</w:t>
      </w:r>
      <w:bookmarkEnd w:id="484"/>
      <w:r>
        <w:rPr>
          <w:rFonts w:hint="eastAsia" w:ascii="宋体" w:hAnsi="宋体" w:cs="宋体"/>
          <w:sz w:val="24"/>
          <w:szCs w:val="24"/>
        </w:rPr>
        <w:t>其中，镇乡级设施服务半径约为10公里，主要配置为镇域范围内居民服务的中小学、医疗设施、社会福利设施、社会管理设施、商业设施等；中心村级设施服务半径约5公里，主要配置满足一定范围内居民生活所需的幼儿园、电商服务点、社会管理等设施；基层村级设施服务半径约2公里，主要配置满足居民基本需求的社会管理设施、村医疗卫生机构、文化活动场地、健身场地、村养老设施等；居民点级设施服务半径约1公里，主要配置满足居民日常使用的活动场地、便利店等。</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强化中心镇区域服务能力，补足其他镇公共服务短板，采用“保留、新增、扩建、撤销”的方式，调配公共服务设施布局。镇区涉及的村级片区和行政村的公共服务设施原则上布局在镇区，服务功能与片区、乡镇级设施相同的，不重复设置。</w:t>
      </w:r>
    </w:p>
    <w:p>
      <w:pPr>
        <w:pStyle w:val="81"/>
        <w:numPr>
          <w:ilvl w:val="0"/>
          <w:numId w:val="40"/>
        </w:numPr>
        <w:tabs>
          <w:tab w:val="left" w:pos="0"/>
        </w:tabs>
        <w:spacing w:line="360" w:lineRule="auto"/>
        <w:ind w:firstLineChars="0"/>
        <w:rPr>
          <w:rFonts w:ascii="宋体" w:hAnsi="宋体" w:cs="宋体"/>
          <w:b/>
          <w:bCs/>
          <w:sz w:val="24"/>
          <w:szCs w:val="24"/>
        </w:rPr>
      </w:pPr>
      <w:r>
        <w:rPr>
          <w:rFonts w:ascii="宋体" w:hAnsi="宋体" w:cs="宋体"/>
          <w:b/>
          <w:bCs/>
          <w:sz w:val="24"/>
          <w:szCs w:val="24"/>
        </w:rPr>
        <w:t xml:space="preserve"> </w:t>
      </w:r>
      <w:r>
        <w:rPr>
          <w:rFonts w:hint="eastAsia" w:ascii="宋体" w:hAnsi="宋体" w:cs="宋体"/>
          <w:b/>
          <w:bCs/>
          <w:sz w:val="24"/>
          <w:szCs w:val="24"/>
        </w:rPr>
        <w:t>公共服务设施布局</w:t>
      </w:r>
    </w:p>
    <w:p>
      <w:pPr>
        <w:pStyle w:val="81"/>
        <w:numPr>
          <w:ilvl w:val="0"/>
          <w:numId w:val="41"/>
        </w:numPr>
        <w:tabs>
          <w:tab w:val="left" w:pos="0"/>
        </w:tabs>
        <w:spacing w:line="360" w:lineRule="auto"/>
        <w:ind w:firstLineChars="0"/>
        <w:rPr>
          <w:rFonts w:ascii="宋体" w:hAnsi="宋体" w:cs="宋体"/>
          <w:sz w:val="24"/>
          <w:szCs w:val="24"/>
        </w:rPr>
      </w:pPr>
      <w:r>
        <w:rPr>
          <w:rFonts w:hint="eastAsia" w:ascii="宋体" w:hAnsi="宋体" w:cs="宋体"/>
          <w:sz w:val="24"/>
          <w:szCs w:val="24"/>
        </w:rPr>
        <w:t>教育设施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衔接《大英县优化基础教育学校布局调整工作方案》和《大英县教育事业发展“十四五”规划》，按照“幼儿园就近就便、小学向乡镇集中、</w:t>
      </w:r>
      <w:bookmarkStart w:id="485" w:name="_Hlk128471874"/>
      <w:r>
        <w:rPr>
          <w:rFonts w:hint="eastAsia" w:ascii="宋体" w:hAnsi="宋体" w:cs="宋体"/>
          <w:sz w:val="24"/>
          <w:szCs w:val="24"/>
        </w:rPr>
        <w:t>初中向中心城镇或片区集中</w:t>
      </w:r>
      <w:bookmarkEnd w:id="485"/>
      <w:r>
        <w:rPr>
          <w:rFonts w:hint="eastAsia" w:ascii="宋体" w:hAnsi="宋体" w:cs="宋体"/>
          <w:sz w:val="24"/>
          <w:szCs w:val="24"/>
        </w:rPr>
        <w:t>、资源向寄宿制学校集中”的配置原则，规划扩建隆盛初中，保留回马初中和金元初中，撤销永前初中；规划扩建回马小学，保留隆盛小学、金元小学、同心小学、永前小学、民主小学，撤销石门小学、回马二小、</w:t>
      </w:r>
      <w:r>
        <w:rPr>
          <w:rFonts w:ascii="宋体" w:hAnsi="宋体" w:cs="宋体"/>
          <w:sz w:val="24"/>
          <w:szCs w:val="24"/>
        </w:rPr>
        <w:t>郪口小学</w:t>
      </w:r>
      <w:r>
        <w:rPr>
          <w:rFonts w:hint="eastAsia" w:ascii="宋体" w:hAnsi="宋体" w:cs="宋体"/>
          <w:sz w:val="24"/>
          <w:szCs w:val="24"/>
        </w:rPr>
        <w:t>、长江村小学、金竹小学、金竹村小、江平小学、石宝沟村小学；保留</w:t>
      </w:r>
      <w:r>
        <w:rPr>
          <w:rFonts w:ascii="宋体" w:hAnsi="宋体" w:cs="宋体"/>
          <w:sz w:val="24"/>
          <w:szCs w:val="24"/>
        </w:rPr>
        <w:t>隆盛</w:t>
      </w:r>
      <w:r>
        <w:rPr>
          <w:rFonts w:hint="eastAsia" w:ascii="宋体" w:hAnsi="宋体" w:cs="宋体"/>
          <w:sz w:val="24"/>
          <w:szCs w:val="24"/>
        </w:rPr>
        <w:t>镇</w:t>
      </w:r>
      <w:r>
        <w:rPr>
          <w:rFonts w:ascii="宋体" w:hAnsi="宋体" w:cs="宋体"/>
          <w:sz w:val="24"/>
          <w:szCs w:val="24"/>
        </w:rPr>
        <w:t>幼儿园、回马</w:t>
      </w:r>
      <w:r>
        <w:rPr>
          <w:rFonts w:hint="eastAsia" w:ascii="宋体" w:hAnsi="宋体" w:cs="宋体"/>
          <w:sz w:val="24"/>
          <w:szCs w:val="24"/>
        </w:rPr>
        <w:t>镇幼儿园、</w:t>
      </w:r>
      <w:r>
        <w:rPr>
          <w:rFonts w:ascii="宋体" w:hAnsi="宋体" w:cs="宋体"/>
          <w:sz w:val="24"/>
          <w:szCs w:val="24"/>
        </w:rPr>
        <w:t>金元</w:t>
      </w:r>
      <w:r>
        <w:rPr>
          <w:rFonts w:hint="eastAsia" w:ascii="宋体" w:hAnsi="宋体" w:cs="宋体"/>
          <w:sz w:val="24"/>
          <w:szCs w:val="24"/>
        </w:rPr>
        <w:t>镇</w:t>
      </w:r>
      <w:r>
        <w:rPr>
          <w:rFonts w:ascii="宋体" w:hAnsi="宋体" w:cs="宋体"/>
          <w:sz w:val="24"/>
          <w:szCs w:val="24"/>
        </w:rPr>
        <w:t>幼儿园</w:t>
      </w:r>
      <w:r>
        <w:rPr>
          <w:rFonts w:hint="eastAsia" w:ascii="宋体" w:hAnsi="宋体" w:cs="宋体"/>
          <w:sz w:val="24"/>
          <w:szCs w:val="24"/>
        </w:rPr>
        <w:t>和中心村幼儿园，其他中心村新增幼儿园</w:t>
      </w:r>
      <w:r>
        <w:rPr>
          <w:rFonts w:ascii="宋体" w:hAnsi="宋体" w:cs="宋体"/>
          <w:sz w:val="24"/>
          <w:szCs w:val="24"/>
        </w:rPr>
        <w:t>5</w:t>
      </w:r>
      <w:r>
        <w:rPr>
          <w:rFonts w:hint="eastAsia" w:ascii="宋体" w:hAnsi="宋体" w:cs="宋体"/>
          <w:sz w:val="24"/>
          <w:szCs w:val="24"/>
        </w:rPr>
        <w:t>所，包括土门垭村、五莲村、金河湾村、金容寨村和江柏村，基层村根据实际情况按需配置幼儿园</w:t>
      </w:r>
      <w:r>
        <w:rPr>
          <w:rFonts w:ascii="宋体" w:hAnsi="宋体" w:cs="宋体"/>
          <w:sz w:val="24"/>
          <w:szCs w:val="24"/>
        </w:rPr>
        <w:t>。</w:t>
      </w:r>
      <w:r>
        <w:rPr>
          <w:rFonts w:hint="eastAsia" w:ascii="宋体" w:hAnsi="宋体" w:cs="宋体"/>
          <w:sz w:val="24"/>
          <w:szCs w:val="24"/>
        </w:rPr>
        <w:t>对被撤销的中心村小学，可将校舍改建为公办幼儿园，巩固学前教育；对被撤销的基层村小学，可将校舍改建为村级社区服务设施；对被撤销的初中，可作为附近小学的学生宿舍、功能用房或相应小学附设幼儿园办学场地。</w:t>
      </w:r>
    </w:p>
    <w:p>
      <w:pPr>
        <w:pStyle w:val="81"/>
        <w:numPr>
          <w:ilvl w:val="0"/>
          <w:numId w:val="41"/>
        </w:numPr>
        <w:tabs>
          <w:tab w:val="left" w:pos="0"/>
        </w:tabs>
        <w:spacing w:line="360" w:lineRule="auto"/>
        <w:ind w:firstLineChars="0"/>
        <w:rPr>
          <w:rFonts w:ascii="宋体" w:hAnsi="宋体" w:cs="宋体"/>
          <w:sz w:val="24"/>
          <w:szCs w:val="24"/>
        </w:rPr>
      </w:pPr>
      <w:r>
        <w:rPr>
          <w:rFonts w:hint="eastAsia" w:ascii="宋体" w:hAnsi="宋体" w:cs="宋体"/>
          <w:sz w:val="24"/>
          <w:szCs w:val="24"/>
        </w:rPr>
        <w:t>便民服务设施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衔接《遂宁市大英县乡镇级片区便民服务设施专项规划（2</w:t>
      </w:r>
      <w:r>
        <w:rPr>
          <w:rFonts w:ascii="宋体" w:hAnsi="宋体" w:cs="宋体"/>
          <w:sz w:val="24"/>
          <w:szCs w:val="24"/>
        </w:rPr>
        <w:t>022—2035</w:t>
      </w:r>
      <w:r>
        <w:rPr>
          <w:rFonts w:hint="eastAsia" w:ascii="宋体" w:hAnsi="宋体" w:cs="宋体"/>
          <w:sz w:val="24"/>
          <w:szCs w:val="24"/>
        </w:rPr>
        <w:t>）》，规划隆盛镇采用资产盘活的方式，利用闲置小学改造为便民服务中心，保留回马镇便民服务中心，金元镇利用搬迁后的派出所改造为便民服务中心；中心村便民服务站大厅面积需达到5</w:t>
      </w:r>
      <w:r>
        <w:rPr>
          <w:rFonts w:ascii="宋体" w:hAnsi="宋体" w:cs="宋体"/>
          <w:sz w:val="24"/>
          <w:szCs w:val="24"/>
        </w:rPr>
        <w:t>0</w:t>
      </w:r>
      <w:r>
        <w:rPr>
          <w:rFonts w:hint="eastAsia" w:ascii="宋体" w:hAnsi="宋体" w:cs="宋体"/>
          <w:sz w:val="24"/>
          <w:szCs w:val="24"/>
        </w:rPr>
        <w:t>㎡，一般村便民服务站大厅面积须达到</w:t>
      </w:r>
      <w:r>
        <w:rPr>
          <w:rFonts w:ascii="宋体" w:hAnsi="宋体" w:cs="宋体"/>
          <w:sz w:val="24"/>
          <w:szCs w:val="24"/>
        </w:rPr>
        <w:t>20</w:t>
      </w:r>
      <w:r>
        <w:rPr>
          <w:rFonts w:hint="eastAsia" w:ascii="宋体" w:hAnsi="宋体" w:cs="宋体"/>
          <w:sz w:val="24"/>
          <w:szCs w:val="24"/>
        </w:rPr>
        <w:t>㎡。</w:t>
      </w:r>
    </w:p>
    <w:p>
      <w:pPr>
        <w:pStyle w:val="81"/>
        <w:numPr>
          <w:ilvl w:val="0"/>
          <w:numId w:val="41"/>
        </w:numPr>
        <w:tabs>
          <w:tab w:val="left" w:pos="0"/>
        </w:tabs>
        <w:spacing w:line="360" w:lineRule="auto"/>
        <w:ind w:firstLineChars="0"/>
        <w:rPr>
          <w:rFonts w:ascii="宋体" w:hAnsi="宋体" w:cs="宋体"/>
          <w:sz w:val="24"/>
          <w:szCs w:val="24"/>
        </w:rPr>
      </w:pPr>
      <w:r>
        <w:rPr>
          <w:rFonts w:hint="eastAsia" w:ascii="宋体" w:hAnsi="宋体" w:cs="宋体"/>
          <w:sz w:val="24"/>
          <w:szCs w:val="24"/>
        </w:rPr>
        <w:t>文体设施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衔接《大英县遂大融城发展片区公共文化设施专项规划》，结合镇村实地调研和基础资料收集，在镇级层面，规划保留隆盛镇文化活动站，新建回马镇文化活动站，金元镇利用闲置小学建设文化活动站和健身活动场地，同时文化活动站兼顾法治文化阵地功能；结合镇区广场建设配置健身活动设施。在村级层面，规划保留文化活动室6处，新增文化活动室</w:t>
      </w:r>
      <w:r>
        <w:rPr>
          <w:rFonts w:ascii="宋体" w:hAnsi="宋体" w:cs="宋体"/>
          <w:sz w:val="24"/>
          <w:szCs w:val="24"/>
        </w:rPr>
        <w:t>2</w:t>
      </w:r>
      <w:r>
        <w:rPr>
          <w:rFonts w:hint="eastAsia" w:ascii="宋体" w:hAnsi="宋体" w:cs="宋体"/>
          <w:sz w:val="24"/>
          <w:szCs w:val="24"/>
        </w:rPr>
        <w:t>处，扩建文化活动室4</w:t>
      </w:r>
      <w:r>
        <w:rPr>
          <w:rFonts w:ascii="宋体" w:hAnsi="宋体" w:cs="宋体"/>
          <w:sz w:val="24"/>
          <w:szCs w:val="24"/>
        </w:rPr>
        <w:t>2</w:t>
      </w:r>
      <w:r>
        <w:rPr>
          <w:rFonts w:hint="eastAsia" w:ascii="宋体" w:hAnsi="宋体" w:cs="宋体"/>
          <w:sz w:val="24"/>
          <w:szCs w:val="24"/>
        </w:rPr>
        <w:t>处，同时文化活动室兼顾法治文化阵地功能；保留健身活动场地</w:t>
      </w:r>
      <w:r>
        <w:rPr>
          <w:rFonts w:ascii="宋体" w:hAnsi="宋体" w:cs="宋体"/>
          <w:sz w:val="24"/>
          <w:szCs w:val="24"/>
        </w:rPr>
        <w:t>5</w:t>
      </w:r>
      <w:r>
        <w:rPr>
          <w:rFonts w:hint="eastAsia" w:ascii="宋体" w:hAnsi="宋体" w:cs="宋体"/>
          <w:sz w:val="24"/>
          <w:szCs w:val="24"/>
        </w:rPr>
        <w:t>处，扩建健身活动场地4</w:t>
      </w:r>
      <w:r>
        <w:rPr>
          <w:rFonts w:ascii="宋体" w:hAnsi="宋体" w:cs="宋体"/>
          <w:sz w:val="24"/>
          <w:szCs w:val="24"/>
        </w:rPr>
        <w:t>5</w:t>
      </w:r>
      <w:r>
        <w:rPr>
          <w:rFonts w:hint="eastAsia" w:ascii="宋体" w:hAnsi="宋体" w:cs="宋体"/>
          <w:sz w:val="24"/>
          <w:szCs w:val="24"/>
        </w:rPr>
        <w:t>处。</w:t>
      </w:r>
    </w:p>
    <w:p>
      <w:pPr>
        <w:pStyle w:val="81"/>
        <w:numPr>
          <w:ilvl w:val="0"/>
          <w:numId w:val="41"/>
        </w:numPr>
        <w:tabs>
          <w:tab w:val="left" w:pos="0"/>
        </w:tabs>
        <w:spacing w:line="360" w:lineRule="auto"/>
        <w:ind w:firstLineChars="0"/>
        <w:rPr>
          <w:rFonts w:ascii="宋体" w:hAnsi="宋体" w:cs="宋体"/>
          <w:sz w:val="24"/>
          <w:szCs w:val="24"/>
        </w:rPr>
      </w:pPr>
      <w:r>
        <w:rPr>
          <w:rFonts w:hint="eastAsia" w:ascii="宋体" w:hAnsi="宋体" w:cs="宋体"/>
          <w:sz w:val="24"/>
          <w:szCs w:val="24"/>
        </w:rPr>
        <w:t>医疗卫生设施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隆盛卫生院按二级综合医院标准建设县域医疗卫生次中心，回马新建大英县第二人民医院住院综合楼，保留金元卫生院。健全行政村卫生室，规划保留现状各村卫生室，补齐缺口新增卫生室</w:t>
      </w:r>
      <w:r>
        <w:rPr>
          <w:rFonts w:ascii="宋体" w:hAnsi="宋体" w:cs="宋体"/>
          <w:sz w:val="24"/>
          <w:szCs w:val="24"/>
        </w:rPr>
        <w:t>5</w:t>
      </w:r>
      <w:r>
        <w:rPr>
          <w:rFonts w:hint="eastAsia" w:ascii="宋体" w:hAnsi="宋体" w:cs="宋体"/>
          <w:sz w:val="24"/>
          <w:szCs w:val="24"/>
        </w:rPr>
        <w:t>个，分别为金山村、夏家沟村、明溪村、斑竹山村、峡码口村，可结合村委会功能合并设置或利用闲置公共资产设置，不再新增建设用地。</w:t>
      </w:r>
    </w:p>
    <w:p>
      <w:pPr>
        <w:pStyle w:val="81"/>
        <w:numPr>
          <w:ilvl w:val="0"/>
          <w:numId w:val="41"/>
        </w:numPr>
        <w:tabs>
          <w:tab w:val="left" w:pos="0"/>
        </w:tabs>
        <w:spacing w:line="360" w:lineRule="auto"/>
        <w:ind w:firstLineChars="0"/>
        <w:rPr>
          <w:rFonts w:ascii="宋体" w:hAnsi="宋体" w:cs="宋体"/>
          <w:sz w:val="24"/>
          <w:szCs w:val="24"/>
        </w:rPr>
      </w:pPr>
      <w:r>
        <w:rPr>
          <w:rFonts w:hint="eastAsia" w:ascii="宋体" w:hAnsi="宋体" w:cs="宋体"/>
          <w:sz w:val="24"/>
          <w:szCs w:val="24"/>
        </w:rPr>
        <w:t>养老设施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按照‘一站多点’的思路，在三镇配置敬老院作为养老服务中心，在各个行政村设置日间照料中心等居家养老服务站点。衔接《大英县养老和殡葬设施规划（2021—2035年）》，规划保留隆盛、金元、回马敬老院，逐步建设为区域性养老服务中心；盘活利用国有闲置资产，将原隆盛镇卫生院改造为养老服务综合体，将闲置幼儿园改建为老年学校；</w:t>
      </w:r>
      <w:r>
        <w:rPr>
          <w:rFonts w:ascii="宋体" w:hAnsi="宋体" w:cs="宋体"/>
          <w:sz w:val="24"/>
          <w:szCs w:val="24"/>
        </w:rPr>
        <w:t>新建</w:t>
      </w:r>
      <w:r>
        <w:rPr>
          <w:rFonts w:hint="eastAsia" w:ascii="宋体" w:hAnsi="宋体" w:cs="宋体"/>
          <w:sz w:val="24"/>
          <w:szCs w:val="24"/>
        </w:rPr>
        <w:t>大英县</w:t>
      </w:r>
      <w:r>
        <w:rPr>
          <w:rFonts w:ascii="宋体" w:hAnsi="宋体" w:cs="宋体"/>
          <w:sz w:val="24"/>
          <w:szCs w:val="24"/>
        </w:rPr>
        <w:t>五莲养老</w:t>
      </w:r>
      <w:r>
        <w:rPr>
          <w:rFonts w:hint="eastAsia" w:ascii="宋体" w:hAnsi="宋体" w:cs="宋体"/>
          <w:sz w:val="24"/>
          <w:szCs w:val="24"/>
        </w:rPr>
        <w:t>服务中心，位于隆盛镇五莲村。保留各村现状日间照料中心，按需补充日间照料中心3</w:t>
      </w:r>
      <w:r>
        <w:rPr>
          <w:rFonts w:ascii="宋体" w:hAnsi="宋体" w:cs="宋体"/>
          <w:sz w:val="24"/>
          <w:szCs w:val="24"/>
        </w:rPr>
        <w:t>5</w:t>
      </w:r>
      <w:r>
        <w:rPr>
          <w:rFonts w:hint="eastAsia" w:ascii="宋体" w:hAnsi="宋体" w:cs="宋体"/>
          <w:sz w:val="24"/>
          <w:szCs w:val="24"/>
        </w:rPr>
        <w:t>个，在集中居民点适当布置老年活动室。</w:t>
      </w:r>
    </w:p>
    <w:p>
      <w:pPr>
        <w:pStyle w:val="81"/>
        <w:numPr>
          <w:ilvl w:val="0"/>
          <w:numId w:val="41"/>
        </w:numPr>
        <w:tabs>
          <w:tab w:val="left" w:pos="0"/>
        </w:tabs>
        <w:spacing w:line="360" w:lineRule="auto"/>
        <w:ind w:firstLineChars="0"/>
        <w:rPr>
          <w:rFonts w:ascii="宋体" w:hAnsi="宋体" w:cs="宋体"/>
          <w:sz w:val="24"/>
          <w:szCs w:val="24"/>
        </w:rPr>
      </w:pPr>
      <w:r>
        <w:rPr>
          <w:rFonts w:hint="eastAsia" w:ascii="宋体" w:hAnsi="宋体" w:cs="宋体"/>
          <w:sz w:val="24"/>
          <w:szCs w:val="24"/>
        </w:rPr>
        <w:t>殡葬设施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衔接《大英县养老和殡葬设施规划（2021—2035年）》，规划新建隆盛镇石长村、回马镇永新村农村公益性公墓，面积各</w:t>
      </w:r>
      <w:r>
        <w:rPr>
          <w:rFonts w:ascii="宋体" w:hAnsi="宋体" w:cs="宋体"/>
          <w:sz w:val="24"/>
          <w:szCs w:val="24"/>
        </w:rPr>
        <w:t>50亩，分别新增墓穴1万个。规划扩建金元镇高金村农村公益性公墓，</w:t>
      </w:r>
      <w:r>
        <w:rPr>
          <w:rFonts w:hint="eastAsia" w:ascii="宋体" w:hAnsi="宋体" w:cs="宋体"/>
          <w:sz w:val="24"/>
          <w:szCs w:val="24"/>
        </w:rPr>
        <w:t>新增面积</w:t>
      </w:r>
      <w:r>
        <w:rPr>
          <w:rFonts w:ascii="宋体" w:hAnsi="宋体" w:cs="宋体"/>
          <w:sz w:val="24"/>
          <w:szCs w:val="24"/>
        </w:rPr>
        <w:t>45亩，新增墓穴9000个。</w:t>
      </w:r>
    </w:p>
    <w:p>
      <w:pPr>
        <w:pStyle w:val="81"/>
        <w:numPr>
          <w:ilvl w:val="0"/>
          <w:numId w:val="41"/>
        </w:numPr>
        <w:tabs>
          <w:tab w:val="left" w:pos="0"/>
        </w:tabs>
        <w:spacing w:line="360" w:lineRule="auto"/>
        <w:ind w:firstLineChars="0"/>
        <w:rPr>
          <w:rFonts w:ascii="宋体" w:hAnsi="宋体" w:cs="宋体"/>
          <w:sz w:val="24"/>
          <w:szCs w:val="24"/>
        </w:rPr>
      </w:pPr>
      <w:r>
        <w:rPr>
          <w:rFonts w:hint="eastAsia" w:ascii="宋体" w:hAnsi="宋体" w:cs="宋体"/>
          <w:sz w:val="24"/>
          <w:szCs w:val="24"/>
        </w:rPr>
        <w:t>商业服务设施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按“资源向中心集聚，网点向基层普及”的原则，在镇区集中设置农贸市场、展销中心等辐射范围较广的设施</w:t>
      </w:r>
      <w:bookmarkStart w:id="486" w:name="_Hlk128559435"/>
      <w:r>
        <w:rPr>
          <w:rFonts w:hint="eastAsia" w:ascii="宋体" w:hAnsi="宋体" w:cs="宋体"/>
          <w:sz w:val="24"/>
          <w:szCs w:val="24"/>
        </w:rPr>
        <w:t>，在村级设置农家超市（便利店）等日常生活必需设施</w:t>
      </w:r>
      <w:bookmarkEnd w:id="486"/>
      <w:r>
        <w:rPr>
          <w:rFonts w:hint="eastAsia" w:ascii="宋体" w:hAnsi="宋体" w:cs="宋体"/>
          <w:sz w:val="24"/>
          <w:szCs w:val="24"/>
        </w:rPr>
        <w:t>。规划保留隆盛、回马、金元镇区农贸市场，在隆盛镇区新建农副产品交易中心；</w:t>
      </w:r>
      <w:bookmarkStart w:id="487" w:name="_Hlk128559421"/>
      <w:r>
        <w:rPr>
          <w:rFonts w:hint="eastAsia" w:ascii="宋体" w:hAnsi="宋体" w:cs="宋体"/>
          <w:sz w:val="24"/>
          <w:szCs w:val="24"/>
        </w:rPr>
        <w:t>除在村级设置农家超市（便利店）等日常生活必需设施外，在中心村补充设置电商服务网点等新兴业态设施。</w:t>
      </w:r>
      <w:bookmarkEnd w:id="487"/>
    </w:p>
    <w:p>
      <w:pPr>
        <w:pStyle w:val="81"/>
        <w:numPr>
          <w:ilvl w:val="0"/>
          <w:numId w:val="4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闲置低效资源盘活利用</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坚持“节约集约”用地，盘活利用低效闲置公共服务设施。村级闲置资产主要为拆并前的村委会、村小等，盘活利用方式以改造为农村电商、农业初加工场地、仓储、餐饮民宿等农业新产业新业态功能为主，支持乡村产业发展；镇区闲置资产以老旧小学、老旧幼儿园、废弃粮站等为主，利用方式优先用于便民服务、文化体育活动、商业服务等公共服务设施，满足群众生产生活需要，确保镇村居民就近享受公共服务。</w:t>
      </w:r>
    </w:p>
    <w:p>
      <w:pPr>
        <w:pStyle w:val="5"/>
        <w:numPr>
          <w:ilvl w:val="0"/>
          <w:numId w:val="39"/>
        </w:numPr>
        <w:spacing w:line="360" w:lineRule="auto"/>
        <w:ind w:left="0" w:firstLine="482" w:firstLineChars="200"/>
        <w:rPr>
          <w:b/>
          <w:bCs/>
        </w:rPr>
      </w:pPr>
      <w:r>
        <w:rPr>
          <w:rFonts w:hint="eastAsia"/>
          <w:b/>
          <w:bCs/>
        </w:rPr>
        <w:t>交通设施规划</w:t>
      </w:r>
    </w:p>
    <w:p>
      <w:pPr>
        <w:tabs>
          <w:tab w:val="left" w:pos="0"/>
        </w:tabs>
        <w:spacing w:line="360" w:lineRule="auto"/>
        <w:ind w:firstLine="480" w:firstLineChars="200"/>
        <w:rPr>
          <w:rFonts w:ascii="宋体" w:hAnsi="宋体" w:cs="宋体"/>
          <w:szCs w:val="24"/>
        </w:rPr>
      </w:pPr>
      <w:r>
        <w:rPr>
          <w:rFonts w:hint="eastAsia" w:ascii="宋体" w:hAnsi="宋体" w:cs="宋体"/>
          <w:sz w:val="24"/>
          <w:szCs w:val="24"/>
        </w:rPr>
        <w:t>衔接《大英县“十四五”交通运输发展规划（2021—2025年）》和《遂宁市大英县乡镇级片区交通运输专项规划（2022—2025年）》，从区域连通、内部优化、交通设施完善等方面，构建外联内畅的综合交通体系。</w:t>
      </w:r>
    </w:p>
    <w:p>
      <w:pPr>
        <w:pStyle w:val="81"/>
        <w:numPr>
          <w:ilvl w:val="0"/>
          <w:numId w:val="4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区域连通</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落实区域交通规划设施，加强镇域道路系统与各类对外交通设施的连接，形成“3</w:t>
      </w:r>
      <w:r>
        <w:rPr>
          <w:rFonts w:ascii="宋体" w:hAnsi="宋体" w:cs="宋体"/>
          <w:sz w:val="24"/>
          <w:szCs w:val="24"/>
        </w:rPr>
        <w:t>31215</w:t>
      </w:r>
      <w:r>
        <w:rPr>
          <w:rFonts w:hint="eastAsia" w:ascii="宋体" w:hAnsi="宋体" w:cs="宋体"/>
          <w:sz w:val="24"/>
          <w:szCs w:val="24"/>
        </w:rPr>
        <w:t>”对外交通骨架网络。</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“3铁路”指现状达成铁路、达成高速铁路和规划新建的绵遂内城际铁路，其中绵遂内城际铁路纵穿回马镇，在片区范围内全长约8</w:t>
      </w:r>
      <w:r>
        <w:rPr>
          <w:rFonts w:ascii="宋体" w:hAnsi="宋体" w:cs="宋体"/>
          <w:sz w:val="24"/>
          <w:szCs w:val="24"/>
        </w:rPr>
        <w:t>.47</w:t>
      </w:r>
      <w:r>
        <w:rPr>
          <w:rFonts w:hint="eastAsia" w:ascii="宋体" w:hAnsi="宋体" w:cs="宋体"/>
          <w:sz w:val="24"/>
          <w:szCs w:val="24"/>
        </w:rPr>
        <w:t>公里。</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3高速”指成南高速（沪蓉高速）、遂德高速和大潼高速，其中成南高速横贯隆盛镇，并在隆盛镇区北侧设有下道口，是片区向东前往南充、重庆，向西前往成都的主要通道，规划对成南高速进行扩容，在片区范围内改建长度约1</w:t>
      </w:r>
      <w:r>
        <w:rPr>
          <w:rFonts w:ascii="宋体" w:hAnsi="宋体" w:cs="宋体"/>
          <w:sz w:val="24"/>
          <w:szCs w:val="24"/>
        </w:rPr>
        <w:t>0.53</w:t>
      </w:r>
      <w:r>
        <w:rPr>
          <w:rFonts w:hint="eastAsia" w:ascii="宋体" w:hAnsi="宋体" w:cs="宋体"/>
          <w:sz w:val="24"/>
          <w:szCs w:val="24"/>
        </w:rPr>
        <w:t>公里；遂德高速纵穿回马镇，并在回马镇区北侧设有下道口，是片区向北通往中江、德阳，向南通往遂宁城区、潼南、重庆主城的重要通道，规划遂德高速正在建设，片区内建设长度约2</w:t>
      </w:r>
      <w:r>
        <w:rPr>
          <w:rFonts w:ascii="宋体" w:hAnsi="宋体" w:cs="宋体"/>
          <w:sz w:val="24"/>
          <w:szCs w:val="24"/>
        </w:rPr>
        <w:t>.8</w:t>
      </w:r>
      <w:r>
        <w:rPr>
          <w:rFonts w:hint="eastAsia" w:ascii="宋体" w:hAnsi="宋体" w:cs="宋体"/>
          <w:sz w:val="24"/>
          <w:szCs w:val="24"/>
        </w:rPr>
        <w:t>公里；大潼高速纵向穿过隆盛镇和金元镇，在隆盛镇与成南高速互通转换，并在金元镇设有下道口，作为规划预留的遂渝复线高速，是片区向南通往潼南、重庆主城的重要通道，在片区内规划建设长度约1</w:t>
      </w:r>
      <w:r>
        <w:rPr>
          <w:rFonts w:ascii="宋体" w:hAnsi="宋体" w:cs="宋体"/>
          <w:sz w:val="24"/>
          <w:szCs w:val="24"/>
        </w:rPr>
        <w:t>2.77</w:t>
      </w:r>
      <w:r>
        <w:rPr>
          <w:rFonts w:hint="eastAsia" w:ascii="宋体" w:hAnsi="宋体" w:cs="宋体"/>
          <w:sz w:val="24"/>
          <w:szCs w:val="24"/>
        </w:rPr>
        <w:t>公里。</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“1快速”为现状遂大快速通道，横贯隆盛镇，是片区中部连通大英城区和遂宁城区的主要通道。</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“2国道”指国道G</w:t>
      </w:r>
      <w:r>
        <w:rPr>
          <w:rFonts w:ascii="宋体" w:hAnsi="宋体" w:cs="宋体"/>
          <w:sz w:val="24"/>
          <w:szCs w:val="24"/>
        </w:rPr>
        <w:t>350</w:t>
      </w:r>
      <w:r>
        <w:rPr>
          <w:rFonts w:hint="eastAsia" w:ascii="宋体" w:hAnsi="宋体" w:cs="宋体"/>
          <w:sz w:val="24"/>
          <w:szCs w:val="24"/>
        </w:rPr>
        <w:t>和国道G</w:t>
      </w:r>
      <w:r>
        <w:rPr>
          <w:rFonts w:ascii="宋体" w:hAnsi="宋体" w:cs="宋体"/>
          <w:sz w:val="24"/>
          <w:szCs w:val="24"/>
        </w:rPr>
        <w:t>247</w:t>
      </w:r>
      <w:r>
        <w:rPr>
          <w:rFonts w:hint="eastAsia" w:ascii="宋体" w:hAnsi="宋体" w:cs="宋体"/>
          <w:sz w:val="24"/>
          <w:szCs w:val="24"/>
        </w:rPr>
        <w:t>，其中国道G</w:t>
      </w:r>
      <w:r>
        <w:rPr>
          <w:rFonts w:ascii="宋体" w:hAnsi="宋体" w:cs="宋体"/>
          <w:sz w:val="24"/>
          <w:szCs w:val="24"/>
        </w:rPr>
        <w:t>350</w:t>
      </w:r>
      <w:r>
        <w:rPr>
          <w:rFonts w:hint="eastAsia" w:ascii="宋体" w:hAnsi="宋体" w:cs="宋体"/>
          <w:sz w:val="24"/>
          <w:szCs w:val="24"/>
        </w:rPr>
        <w:t>是片区东西向重要对外交通，向东接国道G</w:t>
      </w:r>
      <w:r>
        <w:rPr>
          <w:rFonts w:ascii="宋体" w:hAnsi="宋体" w:cs="宋体"/>
          <w:sz w:val="24"/>
          <w:szCs w:val="24"/>
        </w:rPr>
        <w:t>247</w:t>
      </w:r>
      <w:r>
        <w:rPr>
          <w:rFonts w:hint="eastAsia" w:ascii="宋体" w:hAnsi="宋体" w:cs="宋体"/>
          <w:sz w:val="24"/>
          <w:szCs w:val="24"/>
        </w:rPr>
        <w:t>，向西通往德阳，规划进行改建，在片区内的长度约1</w:t>
      </w:r>
      <w:r>
        <w:rPr>
          <w:rFonts w:ascii="宋体" w:hAnsi="宋体" w:cs="宋体"/>
          <w:sz w:val="24"/>
          <w:szCs w:val="24"/>
        </w:rPr>
        <w:t>6.69</w:t>
      </w:r>
      <w:r>
        <w:rPr>
          <w:rFonts w:hint="eastAsia" w:ascii="宋体" w:hAnsi="宋体" w:cs="宋体"/>
          <w:sz w:val="24"/>
          <w:szCs w:val="24"/>
        </w:rPr>
        <w:t>公里，技术等级为一级；国道G</w:t>
      </w:r>
      <w:r>
        <w:rPr>
          <w:rFonts w:ascii="宋体" w:hAnsi="宋体" w:cs="宋体"/>
          <w:sz w:val="24"/>
          <w:szCs w:val="24"/>
        </w:rPr>
        <w:t>247</w:t>
      </w:r>
      <w:r>
        <w:rPr>
          <w:rFonts w:hint="eastAsia" w:ascii="宋体" w:hAnsi="宋体" w:cs="宋体"/>
          <w:sz w:val="24"/>
          <w:szCs w:val="24"/>
        </w:rPr>
        <w:t>是片区东北部重要的纵向对外交通，穿过回马镇区，向北通往射洪，向南通往遂宁城区，规划对回马镇区段进行改建，长度约2</w:t>
      </w:r>
      <w:r>
        <w:rPr>
          <w:rFonts w:ascii="宋体" w:hAnsi="宋体" w:cs="宋体"/>
          <w:sz w:val="24"/>
          <w:szCs w:val="24"/>
        </w:rPr>
        <w:t>.3</w:t>
      </w:r>
      <w:r>
        <w:rPr>
          <w:rFonts w:hint="eastAsia" w:ascii="宋体" w:hAnsi="宋体" w:cs="宋体"/>
          <w:sz w:val="24"/>
          <w:szCs w:val="24"/>
        </w:rPr>
        <w:t>公里，技术等级为二级。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“1省道”为纵穿整个片区的省道S3</w:t>
      </w:r>
      <w:r>
        <w:rPr>
          <w:rFonts w:ascii="宋体" w:hAnsi="宋体" w:cs="宋体"/>
          <w:sz w:val="24"/>
          <w:szCs w:val="24"/>
        </w:rPr>
        <w:t>07</w:t>
      </w:r>
      <w:r>
        <w:rPr>
          <w:rFonts w:hint="eastAsia" w:ascii="宋体" w:hAnsi="宋体" w:cs="宋体"/>
          <w:sz w:val="24"/>
          <w:szCs w:val="24"/>
        </w:rPr>
        <w:t>，是片区南北向重要对外交通，向北通往射洪，向南通往卓筒井、资阳，规划进行改建，在片区内的长度约1</w:t>
      </w:r>
      <w:r>
        <w:rPr>
          <w:rFonts w:ascii="宋体" w:hAnsi="宋体" w:cs="宋体"/>
          <w:sz w:val="24"/>
          <w:szCs w:val="24"/>
        </w:rPr>
        <w:t>7.08</w:t>
      </w:r>
      <w:r>
        <w:rPr>
          <w:rFonts w:hint="eastAsia" w:ascii="宋体" w:hAnsi="宋体" w:cs="宋体"/>
          <w:sz w:val="24"/>
          <w:szCs w:val="24"/>
        </w:rPr>
        <w:t>公里，技术等级为二级。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“5县道”分别为县道X</w:t>
      </w:r>
      <w:r>
        <w:rPr>
          <w:rFonts w:ascii="宋体" w:hAnsi="宋体" w:cs="宋体"/>
          <w:sz w:val="24"/>
          <w:szCs w:val="24"/>
        </w:rPr>
        <w:t>011</w:t>
      </w:r>
      <w:r>
        <w:rPr>
          <w:rFonts w:hint="eastAsia" w:ascii="宋体" w:hAnsi="宋体" w:cs="宋体"/>
          <w:sz w:val="24"/>
          <w:szCs w:val="24"/>
        </w:rPr>
        <w:t>、X</w:t>
      </w:r>
      <w:r>
        <w:rPr>
          <w:rFonts w:ascii="宋体" w:hAnsi="宋体" w:cs="宋体"/>
          <w:sz w:val="24"/>
          <w:szCs w:val="24"/>
        </w:rPr>
        <w:t>012</w:t>
      </w:r>
      <w:r>
        <w:rPr>
          <w:rFonts w:hint="eastAsia" w:ascii="宋体" w:hAnsi="宋体" w:cs="宋体"/>
          <w:sz w:val="24"/>
          <w:szCs w:val="24"/>
        </w:rPr>
        <w:t>、X</w:t>
      </w:r>
      <w:r>
        <w:rPr>
          <w:rFonts w:ascii="宋体" w:hAnsi="宋体" w:cs="宋体"/>
          <w:sz w:val="24"/>
          <w:szCs w:val="24"/>
        </w:rPr>
        <w:t>013</w:t>
      </w:r>
      <w:r>
        <w:rPr>
          <w:rFonts w:hint="eastAsia" w:ascii="宋体" w:hAnsi="宋体" w:cs="宋体"/>
          <w:sz w:val="24"/>
          <w:szCs w:val="24"/>
        </w:rPr>
        <w:t>、X</w:t>
      </w:r>
      <w:r>
        <w:rPr>
          <w:rFonts w:ascii="宋体" w:hAnsi="宋体" w:cs="宋体"/>
          <w:sz w:val="24"/>
          <w:szCs w:val="24"/>
        </w:rPr>
        <w:t>014</w:t>
      </w:r>
      <w:r>
        <w:rPr>
          <w:rFonts w:hint="eastAsia" w:ascii="宋体" w:hAnsi="宋体" w:cs="宋体"/>
          <w:sz w:val="24"/>
          <w:szCs w:val="24"/>
        </w:rPr>
        <w:t>、X</w:t>
      </w:r>
      <w:r>
        <w:rPr>
          <w:rFonts w:ascii="宋体" w:hAnsi="宋体" w:cs="宋体"/>
          <w:sz w:val="24"/>
          <w:szCs w:val="24"/>
        </w:rPr>
        <w:t>073</w:t>
      </w:r>
      <w:r>
        <w:rPr>
          <w:rFonts w:hint="eastAsia" w:ascii="宋体" w:hAnsi="宋体" w:cs="宋体"/>
          <w:sz w:val="24"/>
          <w:szCs w:val="24"/>
        </w:rPr>
        <w:t>，其中县道X</w:t>
      </w:r>
      <w:r>
        <w:rPr>
          <w:rFonts w:ascii="宋体" w:hAnsi="宋体" w:cs="宋体"/>
          <w:sz w:val="24"/>
          <w:szCs w:val="24"/>
        </w:rPr>
        <w:t>011</w:t>
      </w:r>
      <w:r>
        <w:rPr>
          <w:rFonts w:hint="eastAsia" w:ascii="宋体" w:hAnsi="宋体" w:cs="宋体"/>
          <w:sz w:val="24"/>
          <w:szCs w:val="24"/>
        </w:rPr>
        <w:t>是串联隆盛镇、金元镇和安居区的跨片区乡镇联系通道，规划对金元镇区至金容寨村段进行改建，全长约6</w:t>
      </w:r>
      <w:r>
        <w:rPr>
          <w:rFonts w:ascii="宋体" w:hAnsi="宋体" w:cs="宋体"/>
          <w:sz w:val="24"/>
          <w:szCs w:val="24"/>
        </w:rPr>
        <w:t>.64</w:t>
      </w:r>
      <w:r>
        <w:rPr>
          <w:rFonts w:hint="eastAsia" w:ascii="宋体" w:hAnsi="宋体" w:cs="宋体"/>
          <w:sz w:val="24"/>
          <w:szCs w:val="24"/>
        </w:rPr>
        <w:t>公里，技术等级为四级双车道；县道X</w:t>
      </w:r>
      <w:r>
        <w:rPr>
          <w:rFonts w:ascii="宋体" w:hAnsi="宋体" w:cs="宋体"/>
          <w:sz w:val="24"/>
          <w:szCs w:val="24"/>
        </w:rPr>
        <w:t>012</w:t>
      </w:r>
      <w:r>
        <w:rPr>
          <w:rFonts w:hint="eastAsia" w:ascii="宋体" w:hAnsi="宋体" w:cs="宋体"/>
          <w:sz w:val="24"/>
          <w:szCs w:val="24"/>
        </w:rPr>
        <w:t>是串联大英城区、金元镇和安居区的跨片区乡镇联系通道，作为金元镇重要的横向对外交通，规划对金元镇至金河湾村段进行改建，全长约2</w:t>
      </w:r>
      <w:r>
        <w:rPr>
          <w:rFonts w:ascii="宋体" w:hAnsi="宋体" w:cs="宋体"/>
          <w:sz w:val="24"/>
          <w:szCs w:val="24"/>
        </w:rPr>
        <w:t>.91</w:t>
      </w:r>
      <w:r>
        <w:rPr>
          <w:rFonts w:hint="eastAsia" w:ascii="宋体" w:hAnsi="宋体" w:cs="宋体"/>
          <w:sz w:val="24"/>
          <w:szCs w:val="24"/>
        </w:rPr>
        <w:t>公里，技术等级为四级双车道；县道X</w:t>
      </w:r>
      <w:r>
        <w:rPr>
          <w:rFonts w:ascii="宋体" w:hAnsi="宋体" w:cs="宋体"/>
          <w:sz w:val="24"/>
          <w:szCs w:val="24"/>
        </w:rPr>
        <w:t>013</w:t>
      </w:r>
      <w:r>
        <w:rPr>
          <w:rFonts w:hint="eastAsia" w:ascii="宋体" w:hAnsi="宋体" w:cs="宋体"/>
          <w:sz w:val="24"/>
          <w:szCs w:val="24"/>
        </w:rPr>
        <w:t>是隆盛镇至横山镇、船山区的重要通道，规划对隆盛镇新民村至望龙村段进行改建，全长约2</w:t>
      </w:r>
      <w:r>
        <w:rPr>
          <w:rFonts w:ascii="宋体" w:hAnsi="宋体" w:cs="宋体"/>
          <w:sz w:val="24"/>
          <w:szCs w:val="24"/>
        </w:rPr>
        <w:t>.27</w:t>
      </w:r>
      <w:r>
        <w:rPr>
          <w:rFonts w:hint="eastAsia" w:ascii="宋体" w:hAnsi="宋体" w:cs="宋体"/>
          <w:sz w:val="24"/>
          <w:szCs w:val="24"/>
        </w:rPr>
        <w:t>公里，技术等级为四级双车道；县道X</w:t>
      </w:r>
      <w:r>
        <w:rPr>
          <w:rFonts w:ascii="宋体" w:hAnsi="宋体" w:cs="宋体"/>
          <w:sz w:val="24"/>
          <w:szCs w:val="24"/>
        </w:rPr>
        <w:t>014</w:t>
      </w:r>
      <w:r>
        <w:rPr>
          <w:rFonts w:hint="eastAsia" w:ascii="宋体" w:hAnsi="宋体" w:cs="宋体"/>
          <w:sz w:val="24"/>
          <w:szCs w:val="24"/>
        </w:rPr>
        <w:t>是片区北侧重要横向交通，是串联蓬莱镇、隆盛镇、回马镇和蓬溪县的跨片区乡镇联系通道；县道X</w:t>
      </w:r>
      <w:r>
        <w:rPr>
          <w:rFonts w:ascii="宋体" w:hAnsi="宋体" w:cs="宋体"/>
          <w:sz w:val="24"/>
          <w:szCs w:val="24"/>
        </w:rPr>
        <w:t>073</w:t>
      </w:r>
      <w:r>
        <w:rPr>
          <w:rFonts w:hint="eastAsia" w:ascii="宋体" w:hAnsi="宋体" w:cs="宋体"/>
          <w:sz w:val="24"/>
          <w:szCs w:val="24"/>
        </w:rPr>
        <w:t>是隆盛镇至蓬莱镇的</w:t>
      </w:r>
      <w:r>
        <w:rPr>
          <w:rFonts w:hint="eastAsia" w:ascii="宋体" w:hAnsi="宋体" w:cs="宋体"/>
          <w:sz w:val="24"/>
          <w:szCs w:val="24"/>
          <w:lang w:val="en-US" w:eastAsia="zh-CN"/>
        </w:rPr>
        <w:t>主</w:t>
      </w:r>
      <w:r>
        <w:rPr>
          <w:rFonts w:hint="eastAsia" w:ascii="宋体" w:hAnsi="宋体" w:cs="宋体"/>
          <w:sz w:val="24"/>
          <w:szCs w:val="24"/>
        </w:rPr>
        <w:t>要通道，规划对隆盛镇至蓬莱镇段进行改建，全长约1</w:t>
      </w:r>
      <w:r>
        <w:rPr>
          <w:rFonts w:ascii="宋体" w:hAnsi="宋体" w:cs="宋体"/>
          <w:sz w:val="24"/>
          <w:szCs w:val="24"/>
        </w:rPr>
        <w:t>0.19</w:t>
      </w:r>
      <w:r>
        <w:rPr>
          <w:rFonts w:hint="eastAsia" w:ascii="宋体" w:hAnsi="宋体" w:cs="宋体"/>
          <w:sz w:val="24"/>
          <w:szCs w:val="24"/>
        </w:rPr>
        <w:t>公里，技术等级为四级双车道。</w:t>
      </w:r>
    </w:p>
    <w:p>
      <w:pPr>
        <w:pStyle w:val="81"/>
        <w:numPr>
          <w:ilvl w:val="0"/>
          <w:numId w:val="4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内部优化</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完善内部交通，加强镇村、产业节点之间的道路联通</w:t>
      </w:r>
      <w:bookmarkStart w:id="488" w:name="_Hlk152601485"/>
      <w:r>
        <w:rPr>
          <w:rFonts w:hint="eastAsia" w:ascii="宋体" w:hAnsi="宋体" w:cs="宋体"/>
          <w:sz w:val="24"/>
          <w:szCs w:val="24"/>
        </w:rPr>
        <w:t>，形成“干支衔接、产农融合、规模适度、标准适当”的农村公路网</w:t>
      </w:r>
      <w:bookmarkEnd w:id="488"/>
      <w:r>
        <w:rPr>
          <w:rFonts w:hint="eastAsia" w:ascii="宋体" w:hAnsi="宋体" w:cs="宋体"/>
          <w:sz w:val="24"/>
          <w:szCs w:val="24"/>
        </w:rPr>
        <w:t>。规划重点改建Y</w:t>
      </w:r>
      <w:r>
        <w:rPr>
          <w:rFonts w:ascii="宋体" w:hAnsi="宋体" w:cs="宋体"/>
          <w:sz w:val="24"/>
          <w:szCs w:val="24"/>
        </w:rPr>
        <w:t>001</w:t>
      </w:r>
      <w:r>
        <w:rPr>
          <w:rFonts w:hint="eastAsia" w:ascii="宋体" w:hAnsi="宋体" w:cs="宋体"/>
          <w:sz w:val="24"/>
          <w:szCs w:val="24"/>
        </w:rPr>
        <w:t>、Y</w:t>
      </w:r>
      <w:r>
        <w:rPr>
          <w:rFonts w:ascii="宋体" w:hAnsi="宋体" w:cs="宋体"/>
          <w:sz w:val="24"/>
          <w:szCs w:val="24"/>
        </w:rPr>
        <w:t>034</w:t>
      </w:r>
      <w:r>
        <w:rPr>
          <w:rFonts w:hint="eastAsia" w:ascii="宋体" w:hAnsi="宋体" w:cs="宋体"/>
          <w:sz w:val="24"/>
          <w:szCs w:val="24"/>
        </w:rPr>
        <w:t>、Y</w:t>
      </w:r>
      <w:r>
        <w:rPr>
          <w:rFonts w:ascii="宋体" w:hAnsi="宋体" w:cs="宋体"/>
          <w:sz w:val="24"/>
          <w:szCs w:val="24"/>
        </w:rPr>
        <w:t>187</w:t>
      </w:r>
      <w:r>
        <w:rPr>
          <w:rFonts w:hint="eastAsia" w:ascii="宋体" w:hAnsi="宋体" w:cs="宋体"/>
          <w:sz w:val="24"/>
          <w:szCs w:val="24"/>
        </w:rPr>
        <w:t>等乡道，技术等级为四级双车道，路基宽度6.5米</w:t>
      </w:r>
      <w:r>
        <w:rPr>
          <w:rFonts w:ascii="宋体" w:hAnsi="宋体" w:cs="宋体"/>
          <w:sz w:val="24"/>
          <w:szCs w:val="24"/>
        </w:rPr>
        <w:t>。</w:t>
      </w:r>
      <w:r>
        <w:rPr>
          <w:rFonts w:hint="eastAsia" w:ascii="宋体" w:hAnsi="宋体" w:cs="宋体"/>
          <w:sz w:val="24"/>
          <w:szCs w:val="24"/>
        </w:rPr>
        <w:t>倡导“交通</w:t>
      </w:r>
      <w:r>
        <w:rPr>
          <w:rFonts w:ascii="宋体" w:hAnsi="宋体" w:cs="宋体"/>
          <w:sz w:val="24"/>
          <w:szCs w:val="24"/>
        </w:rPr>
        <w:t>+产业”“交通+农业”通道建设，实</w:t>
      </w:r>
      <w:r>
        <w:rPr>
          <w:rFonts w:hint="eastAsia" w:ascii="宋体" w:hAnsi="宋体" w:cs="宋体"/>
          <w:sz w:val="24"/>
          <w:szCs w:val="24"/>
        </w:rPr>
        <w:t>施乡村振兴农村公路工程，提升农村道路建设水平，村与村等级公路百分百通达，道路路基宽度按4.5米控制，实现组与组硬化路百分百通达。</w:t>
      </w:r>
    </w:p>
    <w:p>
      <w:pPr>
        <w:pStyle w:val="81"/>
        <w:numPr>
          <w:ilvl w:val="0"/>
          <w:numId w:val="4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水运规划</w:t>
      </w:r>
    </w:p>
    <w:p>
      <w:pPr>
        <w:tabs>
          <w:tab w:val="left" w:pos="0"/>
        </w:tabs>
        <w:spacing w:line="360" w:lineRule="auto"/>
        <w:ind w:firstLine="480" w:firstLineChars="200"/>
        <w:rPr>
          <w:rFonts w:ascii="宋体" w:hAnsi="宋体"/>
          <w:bCs/>
          <w:sz w:val="24"/>
          <w:szCs w:val="24"/>
        </w:rPr>
      </w:pPr>
      <w:r>
        <w:rPr>
          <w:rFonts w:hint="eastAsia" w:ascii="宋体" w:hAnsi="宋体" w:cs="宋体"/>
          <w:sz w:val="24"/>
          <w:szCs w:val="24"/>
        </w:rPr>
        <w:t>衔接</w:t>
      </w:r>
      <w:r>
        <w:rPr>
          <w:rFonts w:hint="eastAsia" w:ascii="宋体" w:hAnsi="宋体"/>
          <w:bCs/>
          <w:sz w:val="24"/>
          <w:szCs w:val="24"/>
        </w:rPr>
        <w:t>《大英县国土空间总体规划（2021—2035年）》水运规划，积极配合遂宁市开展涪江丰水期IV级航道作业区建设，形成航道21公里，加强郪口货运作业区及配套设施建设，作业区陆域面积按照13.3万平方米预留，作为梨子坝客货运码头货运功能未来转移区。</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积极配合推进实施郪江象山—郪口段航道整治工程，按照六级航道标准建设，提升郪江大英段通航能力和航道等级，支撑客货运输发展需要。结合经开区产业发展，规划在经开区东侧、遂大快速通道以南、石长村村委会郪江对岸预留一处货运码头。</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充分挖掘郪江沿岸自然、人造景观资源，积极融入大英水上观光旅游，结合土门垭精品村建设，规划设置一处旅游码头，位于鸡公滩水电站西侧。</w:t>
      </w:r>
    </w:p>
    <w:p>
      <w:pPr>
        <w:pStyle w:val="81"/>
        <w:numPr>
          <w:ilvl w:val="0"/>
          <w:numId w:val="4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交通设施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新建隆盛、回马综合客运站，集客运、物流、邮政、电商、旅游集散等多种服务功能于一体；规划改造闲置金元客运站，实现客货邮一体化运输服务，综合形成向下辐射社区和村的农村客运体系。建设村级客运招呼站，到</w:t>
      </w:r>
      <w:r>
        <w:rPr>
          <w:rFonts w:ascii="宋体" w:hAnsi="宋体" w:cs="宋体"/>
          <w:sz w:val="24"/>
          <w:szCs w:val="24"/>
        </w:rPr>
        <w:t>2025年，实</w:t>
      </w:r>
      <w:r>
        <w:rPr>
          <w:rFonts w:hint="eastAsia" w:ascii="宋体" w:hAnsi="宋体" w:cs="宋体"/>
          <w:sz w:val="24"/>
          <w:szCs w:val="24"/>
        </w:rPr>
        <w:t>现</w:t>
      </w:r>
      <w:r>
        <w:rPr>
          <w:rFonts w:ascii="宋体" w:hAnsi="宋体" w:cs="宋体"/>
          <w:sz w:val="24"/>
          <w:szCs w:val="24"/>
        </w:rPr>
        <w:t>30%以上行政村通客车。</w:t>
      </w:r>
      <w:r>
        <w:rPr>
          <w:rFonts w:hint="eastAsia" w:ascii="宋体" w:hAnsi="宋体" w:cs="宋体"/>
          <w:sz w:val="24"/>
          <w:szCs w:val="24"/>
        </w:rPr>
        <w:t>完善镇区停车配套设施，规划新建6处社会停车场；结合乡村旅游综合服务中心，配套建设生态停车场，支撑片区乡村旅游发展。</w:t>
      </w:r>
      <w:r>
        <w:rPr>
          <w:rFonts w:ascii="宋体" w:hAnsi="宋体" w:cs="宋体"/>
          <w:sz w:val="24"/>
          <w:szCs w:val="24"/>
        </w:rPr>
        <w:t>按照乡村运输金通工程建设要求，遵循“</w:t>
      </w:r>
      <w:r>
        <w:rPr>
          <w:rFonts w:hint="eastAsia" w:ascii="宋体" w:hAnsi="宋体" w:cs="宋体"/>
          <w:sz w:val="24"/>
          <w:szCs w:val="24"/>
        </w:rPr>
        <w:t>一村一站、</w:t>
      </w:r>
      <w:r>
        <w:rPr>
          <w:rFonts w:ascii="宋体" w:hAnsi="宋体" w:cs="宋体"/>
          <w:sz w:val="24"/>
          <w:szCs w:val="24"/>
        </w:rPr>
        <w:t>一站多能、综合利用”的原则，</w:t>
      </w:r>
      <w:r>
        <w:rPr>
          <w:rFonts w:hint="eastAsia" w:ascii="宋体" w:hAnsi="宋体" w:cs="宋体"/>
          <w:sz w:val="24"/>
          <w:szCs w:val="24"/>
        </w:rPr>
        <w:t>除包含镇区的村外，依托村委会或商超等公共服务场所布局村级金通·邮快驿站，完善镇村两级客运物流节点体系</w:t>
      </w:r>
      <w:bookmarkStart w:id="489" w:name="_Hlk128641033"/>
      <w:r>
        <w:rPr>
          <w:rFonts w:hint="eastAsia" w:ascii="宋体" w:hAnsi="宋体" w:cs="宋体"/>
          <w:sz w:val="24"/>
          <w:szCs w:val="24"/>
        </w:rPr>
        <w:t>，实现“邮快进村”“农产品进城”，支撑乡村经济发展</w:t>
      </w:r>
      <w:bookmarkEnd w:id="489"/>
      <w:r>
        <w:rPr>
          <w:rFonts w:ascii="宋体" w:hAnsi="宋体" w:cs="宋体"/>
          <w:sz w:val="24"/>
          <w:szCs w:val="24"/>
        </w:rPr>
        <w:t>。</w:t>
      </w:r>
    </w:p>
    <w:p>
      <w:pPr>
        <w:pStyle w:val="81"/>
        <w:numPr>
          <w:ilvl w:val="0"/>
          <w:numId w:val="4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重要交通廊道管控</w:t>
      </w:r>
    </w:p>
    <w:p>
      <w:pPr>
        <w:tabs>
          <w:tab w:val="left" w:pos="0"/>
        </w:tabs>
        <w:spacing w:line="360" w:lineRule="auto"/>
        <w:ind w:firstLine="482" w:firstLineChars="200"/>
        <w:rPr>
          <w:rFonts w:ascii="宋体" w:hAnsi="宋体" w:cs="宋体"/>
          <w:b/>
          <w:bCs/>
          <w:sz w:val="24"/>
          <w:szCs w:val="24"/>
          <w:u w:val="single"/>
        </w:rPr>
      </w:pPr>
      <w:bookmarkStart w:id="490" w:name="_Hlk141951122"/>
      <w:r>
        <w:rPr>
          <w:rFonts w:hint="eastAsia" w:ascii="宋体" w:hAnsi="宋体" w:cs="宋体"/>
          <w:b/>
          <w:bCs/>
          <w:sz w:val="24"/>
          <w:szCs w:val="24"/>
          <w:u w:val="single"/>
        </w:rPr>
        <w:t>落实上位规划要求，依据《铁路安全管理条例》划定绵遂内高速铁路、达成铁路、达成高速铁路安全保护区并对保护区内的活动依法进行严格管控。依据《公路安全保护条例》划定公路建筑控制区并对控制区的建设活动进行严格管控。</w:t>
      </w:r>
    </w:p>
    <w:bookmarkEnd w:id="490"/>
    <w:p>
      <w:pPr>
        <w:pStyle w:val="5"/>
        <w:numPr>
          <w:ilvl w:val="0"/>
          <w:numId w:val="39"/>
        </w:numPr>
        <w:spacing w:line="360" w:lineRule="auto"/>
        <w:rPr>
          <w:b/>
          <w:bCs/>
        </w:rPr>
      </w:pPr>
      <w:r>
        <w:rPr>
          <w:rFonts w:hint="eastAsia"/>
          <w:b/>
          <w:bCs/>
        </w:rPr>
        <w:t>市政设施规划</w:t>
      </w:r>
    </w:p>
    <w:p>
      <w:pPr>
        <w:tabs>
          <w:tab w:val="left" w:pos="0"/>
        </w:tabs>
        <w:spacing w:line="360" w:lineRule="auto"/>
        <w:ind w:firstLine="480" w:firstLineChars="200"/>
        <w:rPr>
          <w:rFonts w:ascii="宋体" w:hAnsi="宋体" w:cs="宋体"/>
          <w:sz w:val="24"/>
          <w:szCs w:val="24"/>
        </w:rPr>
      </w:pPr>
      <w:bookmarkStart w:id="491" w:name="_Hlk148627469"/>
      <w:r>
        <w:rPr>
          <w:rFonts w:hint="eastAsia" w:ascii="宋体" w:hAnsi="宋体" w:cs="宋体"/>
          <w:sz w:val="24"/>
          <w:szCs w:val="24"/>
        </w:rPr>
        <w:t>按照全域覆盖、分类布局、方便使用的原则，结合农村生产生活方式，补齐供水、污水、燃气、垃圾处理短板，完善基础设施体系，实现城乡基础设施服务均等化。</w:t>
      </w:r>
      <w:bookmarkEnd w:id="491"/>
      <w:r>
        <w:rPr>
          <w:rFonts w:hint="eastAsia" w:ascii="宋体" w:hAnsi="宋体" w:cs="宋体"/>
          <w:sz w:val="24"/>
          <w:szCs w:val="24"/>
        </w:rPr>
        <w:t>镇区周边聚居点有镇区基础设施延伸服务，相邻聚居点设施共建共享，其余单独配置，保障基础设施有效供给。</w:t>
      </w:r>
    </w:p>
    <w:p>
      <w:pPr>
        <w:pStyle w:val="81"/>
        <w:numPr>
          <w:ilvl w:val="0"/>
          <w:numId w:val="4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给水工程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至规划期末，片区城镇规模化集中供水率达到</w:t>
      </w:r>
      <w:r>
        <w:rPr>
          <w:rFonts w:ascii="宋体" w:hAnsi="宋体" w:cs="宋体"/>
          <w:sz w:val="24"/>
          <w:szCs w:val="24"/>
        </w:rPr>
        <w:t>100%，</w:t>
      </w:r>
      <w:r>
        <w:rPr>
          <w:rFonts w:hint="eastAsia" w:ascii="宋体" w:hAnsi="宋体" w:cs="宋体"/>
          <w:sz w:val="24"/>
          <w:szCs w:val="24"/>
        </w:rPr>
        <w:t>农村集中供水率达到</w:t>
      </w:r>
      <w:r>
        <w:rPr>
          <w:rFonts w:ascii="宋体" w:hAnsi="宋体" w:cs="宋体"/>
          <w:sz w:val="24"/>
          <w:szCs w:val="24"/>
        </w:rPr>
        <w:t>95%</w:t>
      </w:r>
      <w:r>
        <w:rPr>
          <w:rFonts w:hint="eastAsia" w:ascii="宋体" w:hAnsi="宋体" w:cs="宋体"/>
          <w:sz w:val="24"/>
          <w:szCs w:val="24"/>
        </w:rPr>
        <w:t>。依据《镇(乡)村给水工程规划规范》（</w:t>
      </w:r>
      <w:r>
        <w:rPr>
          <w:rFonts w:ascii="宋体" w:hAnsi="宋体" w:cs="宋体"/>
          <w:sz w:val="24"/>
          <w:szCs w:val="24"/>
        </w:rPr>
        <w:t>CJJ_T246—2016</w:t>
      </w:r>
      <w:r>
        <w:rPr>
          <w:rFonts w:hint="eastAsia" w:ascii="宋体" w:hAnsi="宋体" w:cs="宋体"/>
          <w:sz w:val="24"/>
          <w:szCs w:val="24"/>
        </w:rPr>
        <w:t>），综合考虑生活用水、公共建筑用水、禽畜饲养用水、管网漏损水量以及未预见用水，镇区人均生活用水量按0</w:t>
      </w:r>
      <w:r>
        <w:rPr>
          <w:rFonts w:ascii="宋体" w:hAnsi="宋体" w:cs="宋体"/>
          <w:sz w:val="24"/>
          <w:szCs w:val="24"/>
        </w:rPr>
        <w:t>.22</w:t>
      </w:r>
      <w:r>
        <w:rPr>
          <w:rFonts w:hint="eastAsia"/>
        </w:rPr>
        <w:t xml:space="preserve"> </w:t>
      </w:r>
      <w:r>
        <w:rPr>
          <w:rFonts w:hint="eastAsia" w:ascii="宋体" w:hAnsi="宋体" w:cs="宋体"/>
          <w:sz w:val="24"/>
          <w:szCs w:val="24"/>
        </w:rPr>
        <w:t>m³/d计算，镇区工业生产用水量按200m³/公顷计算，农村区域人均用水量按0.13m³/d计算，预测片区最高日用水量为</w:t>
      </w:r>
      <w:r>
        <w:rPr>
          <w:rFonts w:ascii="宋体" w:hAnsi="宋体" w:cs="宋体"/>
          <w:sz w:val="24"/>
          <w:szCs w:val="24"/>
        </w:rPr>
        <w:t>1.97</w:t>
      </w:r>
      <w:r>
        <w:rPr>
          <w:rFonts w:hint="eastAsia" w:ascii="宋体" w:hAnsi="宋体" w:cs="宋体"/>
          <w:sz w:val="24"/>
          <w:szCs w:val="24"/>
        </w:rPr>
        <w:t>万</w:t>
      </w:r>
      <w:r>
        <w:rPr>
          <w:rFonts w:ascii="宋体" w:hAnsi="宋体" w:cs="宋体"/>
          <w:sz w:val="24"/>
          <w:szCs w:val="24"/>
        </w:rPr>
        <w:t>m³/d</w:t>
      </w:r>
      <w:r>
        <w:rPr>
          <w:rFonts w:hint="eastAsia" w:ascii="宋体" w:hAnsi="宋体" w:cs="宋体"/>
          <w:sz w:val="24"/>
          <w:szCs w:val="24"/>
        </w:rPr>
        <w:t>，其中，隆盛镇最高日用水量为</w:t>
      </w:r>
      <w:r>
        <w:rPr>
          <w:rFonts w:ascii="宋体" w:hAnsi="宋体" w:cs="宋体"/>
          <w:sz w:val="24"/>
          <w:szCs w:val="24"/>
        </w:rPr>
        <w:t>0.80</w:t>
      </w:r>
      <w:r>
        <w:rPr>
          <w:rFonts w:hint="eastAsia" w:ascii="宋体" w:hAnsi="宋体" w:cs="宋体"/>
          <w:sz w:val="24"/>
          <w:szCs w:val="24"/>
        </w:rPr>
        <w:t>万</w:t>
      </w:r>
      <w:r>
        <w:rPr>
          <w:rFonts w:ascii="宋体" w:hAnsi="宋体" w:cs="宋体"/>
          <w:sz w:val="24"/>
          <w:szCs w:val="24"/>
        </w:rPr>
        <w:t>m³/d</w:t>
      </w:r>
      <w:r>
        <w:rPr>
          <w:rFonts w:hint="eastAsia" w:ascii="宋体" w:hAnsi="宋体" w:cs="宋体"/>
          <w:sz w:val="24"/>
          <w:szCs w:val="24"/>
        </w:rPr>
        <w:t>，回马镇最高日用水量为1</w:t>
      </w:r>
      <w:r>
        <w:rPr>
          <w:rFonts w:ascii="宋体" w:hAnsi="宋体" w:cs="宋体"/>
          <w:sz w:val="24"/>
          <w:szCs w:val="24"/>
        </w:rPr>
        <w:t>.02</w:t>
      </w:r>
      <w:r>
        <w:rPr>
          <w:rFonts w:hint="eastAsia" w:ascii="宋体" w:hAnsi="宋体" w:cs="宋体"/>
          <w:sz w:val="24"/>
          <w:szCs w:val="24"/>
        </w:rPr>
        <w:t>万</w:t>
      </w:r>
      <w:r>
        <w:rPr>
          <w:rFonts w:ascii="宋体" w:hAnsi="宋体" w:cs="宋体"/>
          <w:sz w:val="24"/>
          <w:szCs w:val="24"/>
        </w:rPr>
        <w:t>m³/d</w:t>
      </w:r>
      <w:r>
        <w:rPr>
          <w:rFonts w:hint="eastAsia" w:ascii="宋体" w:hAnsi="宋体" w:cs="宋体"/>
          <w:sz w:val="24"/>
          <w:szCs w:val="24"/>
        </w:rPr>
        <w:t>，金元镇最高日用水量为</w:t>
      </w:r>
      <w:r>
        <w:rPr>
          <w:rFonts w:ascii="宋体" w:hAnsi="宋体" w:cs="宋体"/>
          <w:sz w:val="24"/>
          <w:szCs w:val="24"/>
        </w:rPr>
        <w:t>0.15</w:t>
      </w:r>
      <w:r>
        <w:rPr>
          <w:rFonts w:hint="eastAsia" w:ascii="宋体" w:hAnsi="宋体" w:cs="宋体"/>
          <w:sz w:val="24"/>
          <w:szCs w:val="24"/>
        </w:rPr>
        <w:t>万</w:t>
      </w:r>
      <w:r>
        <w:rPr>
          <w:rFonts w:ascii="宋体" w:hAnsi="宋体" w:cs="宋体"/>
          <w:sz w:val="24"/>
          <w:szCs w:val="24"/>
        </w:rPr>
        <w:t>m³/d</w:t>
      </w:r>
      <w:r>
        <w:rPr>
          <w:rFonts w:hint="eastAsia" w:ascii="宋体" w:hAnsi="宋体" w:cs="宋体"/>
          <w:sz w:val="24"/>
          <w:szCs w:val="24"/>
        </w:rPr>
        <w:t>。</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片区规划水源包括五五水库和涪江，水质Ⅲ类。</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片区分为两个供水分区，其中，金元镇位于五五供水分区，回马镇位于回马供水分区，隆盛镇由五五水厂和回马水厂综合供水。</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规划近期保留隆盛犀牛石供水站、回马永和供水站和金元供水站，供水规模分别为8</w:t>
      </w:r>
      <w:r>
        <w:rPr>
          <w:rFonts w:ascii="宋体" w:hAnsi="宋体" w:cs="宋体"/>
          <w:sz w:val="24"/>
          <w:szCs w:val="24"/>
        </w:rPr>
        <w:t>00</w:t>
      </w:r>
      <w:r>
        <w:rPr>
          <w:rFonts w:hint="eastAsia" w:ascii="宋体" w:hAnsi="宋体" w:cs="宋体"/>
          <w:sz w:val="24"/>
          <w:szCs w:val="24"/>
        </w:rPr>
        <w:t>m³/d、8</w:t>
      </w:r>
      <w:r>
        <w:rPr>
          <w:rFonts w:ascii="宋体" w:hAnsi="宋体" w:cs="宋体"/>
          <w:sz w:val="24"/>
          <w:szCs w:val="24"/>
        </w:rPr>
        <w:t>00</w:t>
      </w:r>
      <w:r>
        <w:rPr>
          <w:rFonts w:hint="eastAsia" w:ascii="宋体" w:hAnsi="宋体" w:cs="宋体"/>
          <w:sz w:val="24"/>
          <w:szCs w:val="24"/>
        </w:rPr>
        <w:t>m³/d和3</w:t>
      </w:r>
      <w:r>
        <w:rPr>
          <w:rFonts w:ascii="宋体" w:hAnsi="宋体" w:cs="宋体"/>
          <w:sz w:val="24"/>
          <w:szCs w:val="24"/>
        </w:rPr>
        <w:t>60</w:t>
      </w:r>
      <w:r>
        <w:rPr>
          <w:rFonts w:hint="eastAsia" w:ascii="宋体" w:hAnsi="宋体" w:cs="宋体"/>
          <w:sz w:val="24"/>
          <w:szCs w:val="24"/>
        </w:rPr>
        <w:t>m³/d，新建回马水厂，位于长江坝村，供水规模</w:t>
      </w:r>
      <w:r>
        <w:rPr>
          <w:rFonts w:ascii="宋体" w:hAnsi="宋体" w:cs="宋体"/>
          <w:sz w:val="24"/>
          <w:szCs w:val="24"/>
        </w:rPr>
        <w:t>2</w:t>
      </w:r>
      <w:r>
        <w:rPr>
          <w:rFonts w:hint="eastAsia" w:ascii="宋体" w:hAnsi="宋体" w:cs="宋体"/>
          <w:sz w:val="24"/>
          <w:szCs w:val="24"/>
        </w:rPr>
        <w:t>万</w:t>
      </w:r>
      <w:r>
        <w:rPr>
          <w:rFonts w:ascii="宋体" w:hAnsi="宋体" w:cs="宋体"/>
          <w:sz w:val="24"/>
          <w:szCs w:val="24"/>
        </w:rPr>
        <w:t>m³/d</w:t>
      </w:r>
      <w:r>
        <w:rPr>
          <w:rFonts w:hint="eastAsia" w:ascii="宋体" w:hAnsi="宋体" w:cs="宋体"/>
          <w:sz w:val="24"/>
          <w:szCs w:val="24"/>
        </w:rPr>
        <w:t>。远期将金元供水站改建为供水加压泵站，设计规模为1</w:t>
      </w:r>
      <w:r>
        <w:rPr>
          <w:rFonts w:ascii="宋体" w:hAnsi="宋体" w:cs="宋体"/>
          <w:sz w:val="24"/>
          <w:szCs w:val="24"/>
        </w:rPr>
        <w:t>300</w:t>
      </w:r>
      <w:r>
        <w:rPr>
          <w:rFonts w:hint="eastAsia" w:ascii="宋体" w:hAnsi="宋体" w:cs="宋体"/>
          <w:sz w:val="24"/>
          <w:szCs w:val="24"/>
        </w:rPr>
        <w:t>m³/d，新建隆盛供水加压泵站，设计规模1</w:t>
      </w:r>
      <w:r>
        <w:rPr>
          <w:rFonts w:ascii="宋体" w:hAnsi="宋体" w:cs="宋体"/>
          <w:sz w:val="24"/>
          <w:szCs w:val="24"/>
        </w:rPr>
        <w:t>.05</w:t>
      </w:r>
      <w:r>
        <w:rPr>
          <w:rFonts w:hint="eastAsia" w:ascii="宋体" w:hAnsi="宋体" w:cs="宋体"/>
          <w:sz w:val="24"/>
          <w:szCs w:val="24"/>
        </w:rPr>
        <w:t>万m³/d。</w:t>
      </w:r>
    </w:p>
    <w:p>
      <w:pPr>
        <w:tabs>
          <w:tab w:val="left" w:pos="0"/>
        </w:tabs>
        <w:spacing w:line="360" w:lineRule="auto"/>
        <w:ind w:firstLine="480" w:firstLineChars="200"/>
        <w:rPr>
          <w:rFonts w:ascii="宋体" w:hAnsi="宋体" w:cs="宋体"/>
          <w:sz w:val="24"/>
          <w:szCs w:val="24"/>
        </w:rPr>
      </w:pPr>
      <w:r>
        <w:rPr>
          <w:rFonts w:ascii="宋体" w:hAnsi="宋体" w:cs="宋体"/>
          <w:sz w:val="24"/>
          <w:szCs w:val="24"/>
        </w:rPr>
        <w:t>完善片区供水管网，形成区域联合供水。</w:t>
      </w:r>
      <w:r>
        <w:rPr>
          <w:rFonts w:hint="eastAsia" w:ascii="宋体" w:hAnsi="宋体" w:cs="宋体"/>
          <w:sz w:val="24"/>
          <w:szCs w:val="24"/>
        </w:rPr>
        <w:t>本次设计管道铺设尽量沿通向各村的主公路埋设，部分无公路的地区可沿乡村小路埋设。规划片区给水管管径DN</w:t>
      </w:r>
      <w:r>
        <w:rPr>
          <w:rFonts w:ascii="宋体" w:hAnsi="宋体" w:cs="宋体"/>
          <w:sz w:val="24"/>
          <w:szCs w:val="24"/>
        </w:rPr>
        <w:t>110</w:t>
      </w:r>
      <w:r>
        <w:rPr>
          <w:rFonts w:hint="eastAsia" w:ascii="宋体" w:hAnsi="宋体" w:cs="宋体"/>
          <w:sz w:val="24"/>
          <w:szCs w:val="24"/>
        </w:rPr>
        <w:t>～DN</w:t>
      </w:r>
      <w:r>
        <w:rPr>
          <w:rFonts w:ascii="宋体" w:hAnsi="宋体" w:cs="宋体"/>
          <w:sz w:val="24"/>
          <w:szCs w:val="24"/>
        </w:rPr>
        <w:t>315</w:t>
      </w:r>
      <w:r>
        <w:rPr>
          <w:rFonts w:hint="eastAsia" w:ascii="宋体" w:hAnsi="宋体" w:cs="宋体"/>
          <w:sz w:val="24"/>
          <w:szCs w:val="24"/>
        </w:rPr>
        <w:t>，输水管管径DN</w:t>
      </w:r>
      <w:r>
        <w:rPr>
          <w:rFonts w:ascii="宋体" w:hAnsi="宋体" w:cs="宋体"/>
          <w:sz w:val="24"/>
          <w:szCs w:val="24"/>
        </w:rPr>
        <w:t>5</w:t>
      </w:r>
      <w:r>
        <w:rPr>
          <w:rFonts w:hint="eastAsia" w:ascii="宋体" w:hAnsi="宋体" w:cs="宋体"/>
          <w:sz w:val="24"/>
          <w:szCs w:val="24"/>
        </w:rPr>
        <w:t>60。输配水管道线路走向布置及敷设力求长度最小、易于施工和运行维护方便。</w:t>
      </w:r>
    </w:p>
    <w:p>
      <w:pPr>
        <w:pStyle w:val="81"/>
        <w:numPr>
          <w:ilvl w:val="0"/>
          <w:numId w:val="4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水利工程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根据自然地理特点、水利工程建设及规划情况，片区工程供水分为鲁班水库工程供水片、祥凤寨水库供水片和继光引水工程供水片三大片区，其中，鲁班水库工程供水片覆盖回马镇全域和隆盛镇北部3</w:t>
      </w:r>
      <w:r>
        <w:rPr>
          <w:rFonts w:ascii="宋体" w:hAnsi="宋体" w:cs="宋体"/>
          <w:sz w:val="24"/>
          <w:szCs w:val="24"/>
        </w:rPr>
        <w:t>8.1</w:t>
      </w:r>
      <w:r>
        <w:rPr>
          <w:rFonts w:hint="eastAsia" w:ascii="宋体" w:hAnsi="宋体" w:cs="宋体"/>
          <w:sz w:val="24"/>
          <w:szCs w:val="24"/>
        </w:rPr>
        <w:t>平方公里，以现状高永支渠、星光支渠、星光分支渠和规划的柳郪支渠为供水骨架，水源为鲁班水库；祥凤寨水库供水片覆盖隆盛镇中部2</w:t>
      </w:r>
      <w:r>
        <w:rPr>
          <w:rFonts w:ascii="宋体" w:hAnsi="宋体" w:cs="宋体"/>
          <w:sz w:val="24"/>
          <w:szCs w:val="24"/>
        </w:rPr>
        <w:t>4</w:t>
      </w:r>
      <w:r>
        <w:rPr>
          <w:rFonts w:hint="eastAsia" w:ascii="宋体" w:hAnsi="宋体" w:cs="宋体"/>
          <w:sz w:val="24"/>
          <w:szCs w:val="24"/>
        </w:rPr>
        <w:t>平方公里，引郪江水灌溉，水源为祥凤寨水库；继光引水工程供水片覆盖金元镇全域和隆盛镇南部4</w:t>
      </w:r>
      <w:r>
        <w:rPr>
          <w:rFonts w:ascii="宋体" w:hAnsi="宋体" w:cs="宋体"/>
          <w:sz w:val="24"/>
          <w:szCs w:val="24"/>
        </w:rPr>
        <w:t>7.3</w:t>
      </w:r>
      <w:r>
        <w:rPr>
          <w:rFonts w:hint="eastAsia" w:ascii="宋体" w:hAnsi="宋体" w:cs="宋体"/>
          <w:sz w:val="24"/>
          <w:szCs w:val="24"/>
        </w:rPr>
        <w:t>平方公里，以现状五五水库分干渠和规划的江平支渠为供水骨架，水源为五五水库。</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加快推进涪江右岸和郪江沿线堤防治理工程。新建回马工业园区防洪堤，堤防建设按20年一遇水位控制，布置总长约4.0</w:t>
      </w:r>
      <w:r>
        <w:rPr>
          <w:rFonts w:ascii="宋体" w:hAnsi="宋体" w:cs="宋体"/>
          <w:sz w:val="24"/>
          <w:szCs w:val="24"/>
        </w:rPr>
        <w:t>2</w:t>
      </w:r>
      <w:r>
        <w:rPr>
          <w:rFonts w:hint="eastAsia" w:ascii="宋体" w:hAnsi="宋体" w:cs="宋体"/>
          <w:sz w:val="24"/>
          <w:szCs w:val="24"/>
        </w:rPr>
        <w:t>公里；新建郭家坝防洪堤，堤防建设按20年一遇水位控制，布置总长约4.55公里；新建隆盛镇防洪堤，堤防建设按20年一遇水位控制，布置总长约</w:t>
      </w:r>
      <w:r>
        <w:rPr>
          <w:rFonts w:ascii="宋体" w:hAnsi="宋体" w:cs="宋体"/>
          <w:sz w:val="24"/>
          <w:szCs w:val="24"/>
        </w:rPr>
        <w:t>0.76</w:t>
      </w:r>
      <w:r>
        <w:rPr>
          <w:rFonts w:hint="eastAsia" w:ascii="宋体" w:hAnsi="宋体" w:cs="宋体"/>
          <w:sz w:val="24"/>
          <w:szCs w:val="24"/>
        </w:rPr>
        <w:t>公里；新建隆盛镇长滩寺防洪堤，堤防建设按20年一遇水位控制，布置总长约</w:t>
      </w:r>
      <w:r>
        <w:rPr>
          <w:rFonts w:ascii="宋体" w:hAnsi="宋体" w:cs="宋体"/>
          <w:sz w:val="24"/>
          <w:szCs w:val="24"/>
        </w:rPr>
        <w:t>3.06</w:t>
      </w:r>
      <w:r>
        <w:rPr>
          <w:rFonts w:hint="eastAsia" w:ascii="宋体" w:hAnsi="宋体" w:cs="宋体"/>
          <w:sz w:val="24"/>
          <w:szCs w:val="24"/>
        </w:rPr>
        <w:t>公里；新建隆盛镇民主段防洪堤，堤防建设按</w:t>
      </w:r>
      <w:r>
        <w:rPr>
          <w:rFonts w:ascii="宋体" w:hAnsi="宋体" w:cs="宋体"/>
          <w:sz w:val="24"/>
          <w:szCs w:val="24"/>
        </w:rPr>
        <w:t>1</w:t>
      </w:r>
      <w:r>
        <w:rPr>
          <w:rFonts w:hint="eastAsia" w:ascii="宋体" w:hAnsi="宋体" w:cs="宋体"/>
          <w:sz w:val="24"/>
          <w:szCs w:val="24"/>
        </w:rPr>
        <w:t>0年一遇水位控制，布置总长约</w:t>
      </w:r>
      <w:r>
        <w:rPr>
          <w:rFonts w:ascii="宋体" w:hAnsi="宋体" w:cs="宋体"/>
          <w:sz w:val="24"/>
          <w:szCs w:val="24"/>
        </w:rPr>
        <w:t>1.43</w:t>
      </w:r>
      <w:r>
        <w:rPr>
          <w:rFonts w:hint="eastAsia" w:ascii="宋体" w:hAnsi="宋体" w:cs="宋体"/>
          <w:sz w:val="24"/>
          <w:szCs w:val="24"/>
        </w:rPr>
        <w:t>公里。</w:t>
      </w:r>
    </w:p>
    <w:p>
      <w:pPr>
        <w:pStyle w:val="81"/>
        <w:numPr>
          <w:ilvl w:val="0"/>
          <w:numId w:val="4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排水工程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规划片区内城镇和农村居民点采用雨污分流的排水体制。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片区污水总量按给水量的80%计算，预测到规划期末片区污水总量为</w:t>
      </w:r>
      <w:r>
        <w:rPr>
          <w:rFonts w:ascii="宋体" w:hAnsi="宋体" w:cs="宋体"/>
          <w:sz w:val="24"/>
          <w:szCs w:val="24"/>
        </w:rPr>
        <w:t>1.57</w:t>
      </w:r>
      <w:r>
        <w:rPr>
          <w:rFonts w:hint="eastAsia" w:ascii="宋体" w:hAnsi="宋体" w:cs="宋体"/>
          <w:sz w:val="24"/>
          <w:szCs w:val="24"/>
        </w:rPr>
        <w:t>万m³/d</w:t>
      </w:r>
      <w:bookmarkStart w:id="492" w:name="_Hlk139556108"/>
      <w:r>
        <w:rPr>
          <w:rFonts w:hint="eastAsia" w:ascii="宋体" w:hAnsi="宋体" w:cs="宋体"/>
          <w:sz w:val="24"/>
          <w:szCs w:val="24"/>
        </w:rPr>
        <w:t>，其中，隆盛镇污水总量为</w:t>
      </w:r>
      <w:r>
        <w:rPr>
          <w:rFonts w:ascii="宋体" w:hAnsi="宋体" w:cs="宋体"/>
          <w:sz w:val="24"/>
          <w:szCs w:val="24"/>
        </w:rPr>
        <w:t>0.64</w:t>
      </w:r>
      <w:r>
        <w:rPr>
          <w:rFonts w:hint="eastAsia" w:ascii="宋体" w:hAnsi="宋体" w:cs="宋体"/>
          <w:sz w:val="24"/>
          <w:szCs w:val="24"/>
        </w:rPr>
        <w:t>万m³/d，回马镇污水总量为</w:t>
      </w:r>
      <w:r>
        <w:rPr>
          <w:rFonts w:ascii="宋体" w:hAnsi="宋体" w:cs="宋体"/>
          <w:sz w:val="24"/>
          <w:szCs w:val="24"/>
        </w:rPr>
        <w:t>0.81</w:t>
      </w:r>
      <w:r>
        <w:rPr>
          <w:rFonts w:hint="eastAsia" w:ascii="宋体" w:hAnsi="宋体" w:cs="宋体"/>
          <w:sz w:val="24"/>
          <w:szCs w:val="24"/>
        </w:rPr>
        <w:t>m³/d</w:t>
      </w:r>
      <w:bookmarkEnd w:id="492"/>
      <w:r>
        <w:rPr>
          <w:rFonts w:hint="eastAsia" w:ascii="宋体" w:hAnsi="宋体" w:cs="宋体"/>
          <w:sz w:val="24"/>
          <w:szCs w:val="24"/>
        </w:rPr>
        <w:t>，金元镇污水总量为</w:t>
      </w:r>
      <w:r>
        <w:rPr>
          <w:rFonts w:ascii="宋体" w:hAnsi="宋体" w:cs="宋体"/>
          <w:sz w:val="24"/>
          <w:szCs w:val="24"/>
        </w:rPr>
        <w:t>0.12</w:t>
      </w:r>
      <w:r>
        <w:rPr>
          <w:rFonts w:hint="eastAsia" w:ascii="宋体" w:hAnsi="宋体" w:cs="宋体"/>
          <w:sz w:val="24"/>
          <w:szCs w:val="24"/>
        </w:rPr>
        <w:t>m³/d。规划扩建隆盛镇现状污水处理站，设计处理规模4</w:t>
      </w:r>
      <w:r>
        <w:rPr>
          <w:rFonts w:ascii="宋体" w:hAnsi="宋体" w:cs="宋体"/>
          <w:sz w:val="24"/>
          <w:szCs w:val="24"/>
        </w:rPr>
        <w:t>500</w:t>
      </w:r>
      <w:r>
        <w:rPr>
          <w:rFonts w:hint="eastAsia" w:ascii="宋体" w:hAnsi="宋体" w:cs="宋体"/>
          <w:sz w:val="24"/>
          <w:szCs w:val="24"/>
        </w:rPr>
        <w:t>m³/d；扩建回马现状生活污水处理站，设计处理规模</w:t>
      </w:r>
      <w:r>
        <w:rPr>
          <w:rFonts w:ascii="宋体" w:hAnsi="宋体" w:cs="宋体"/>
          <w:sz w:val="24"/>
          <w:szCs w:val="24"/>
        </w:rPr>
        <w:t>2600</w:t>
      </w:r>
      <w:r>
        <w:rPr>
          <w:rFonts w:hint="eastAsia" w:ascii="宋体" w:hAnsi="宋体" w:cs="宋体"/>
          <w:sz w:val="24"/>
          <w:szCs w:val="24"/>
        </w:rPr>
        <w:t>m³/d；新建一处回马污水处理站，用于处理工业园区生产污水，设计处理规模5</w:t>
      </w:r>
      <w:r>
        <w:rPr>
          <w:rFonts w:ascii="宋体" w:hAnsi="宋体" w:cs="宋体"/>
          <w:sz w:val="24"/>
          <w:szCs w:val="24"/>
        </w:rPr>
        <w:t>700</w:t>
      </w:r>
      <w:r>
        <w:rPr>
          <w:rFonts w:hint="eastAsia" w:ascii="宋体" w:hAnsi="宋体" w:cs="宋体"/>
          <w:sz w:val="24"/>
          <w:szCs w:val="24"/>
        </w:rPr>
        <w:t>m³/d；扩建金元污水处理站，设计处理规模</w:t>
      </w:r>
      <w:r>
        <w:rPr>
          <w:rFonts w:ascii="宋体" w:hAnsi="宋体" w:cs="宋体"/>
          <w:sz w:val="24"/>
          <w:szCs w:val="24"/>
        </w:rPr>
        <w:t>500</w:t>
      </w:r>
      <w:r>
        <w:rPr>
          <w:rFonts w:hint="eastAsia" w:ascii="宋体" w:hAnsi="宋体" w:cs="宋体"/>
          <w:sz w:val="24"/>
          <w:szCs w:val="24"/>
        </w:rPr>
        <w:t>m³/d。</w:t>
      </w:r>
      <w:bookmarkStart w:id="493" w:name="_Hlk141951211"/>
      <w:bookmarkStart w:id="494" w:name="_Hlk127890021"/>
      <w:r>
        <w:rPr>
          <w:rFonts w:hint="eastAsia" w:ascii="宋体" w:hAnsi="宋体" w:cs="宋体"/>
          <w:b/>
          <w:bCs/>
          <w:sz w:val="24"/>
          <w:szCs w:val="24"/>
          <w:u w:val="single"/>
        </w:rPr>
        <w:t>各镇区污水处理站处理后排放标准不低于《城镇污水处理厂污染物排放标准》（GB18918—2002）中的一级A标准。</w:t>
      </w:r>
      <w:bookmarkEnd w:id="493"/>
      <w:r>
        <w:rPr>
          <w:rFonts w:hint="eastAsia" w:ascii="宋体" w:hAnsi="宋体" w:cs="宋体"/>
          <w:sz w:val="24"/>
          <w:szCs w:val="24"/>
        </w:rPr>
        <w:t>镇区周边农村居民点生活污水接入场镇管网统一处理。</w:t>
      </w:r>
      <w:bookmarkEnd w:id="494"/>
      <w:r>
        <w:rPr>
          <w:rFonts w:hint="eastAsia" w:ascii="宋体" w:hAnsi="宋体" w:cs="宋体"/>
          <w:sz w:val="24"/>
          <w:szCs w:val="24"/>
        </w:rPr>
        <w:t>乡村居民点生活污水采取一体化污水处理设施和“三格式化粪池</w:t>
      </w:r>
      <w:r>
        <w:rPr>
          <w:rFonts w:ascii="宋体" w:hAnsi="宋体" w:cs="宋体"/>
          <w:sz w:val="24"/>
          <w:szCs w:val="24"/>
        </w:rPr>
        <w:t>+</w:t>
      </w:r>
      <w:r>
        <w:rPr>
          <w:rFonts w:hint="eastAsia" w:ascii="宋体" w:hAnsi="宋体" w:cs="宋体"/>
          <w:sz w:val="24"/>
          <w:szCs w:val="24"/>
        </w:rPr>
        <w:t>人工湿地”工艺的简易污水处理设施相结合的方式进行处理，</w:t>
      </w:r>
      <w:r>
        <w:rPr>
          <w:rFonts w:ascii="宋体" w:hAnsi="宋体" w:cs="宋体"/>
          <w:sz w:val="24"/>
          <w:szCs w:val="24"/>
        </w:rPr>
        <w:t>30</w:t>
      </w:r>
      <w:r>
        <w:rPr>
          <w:rFonts w:hint="eastAsia" w:ascii="宋体" w:hAnsi="宋体" w:cs="宋体"/>
          <w:sz w:val="24"/>
          <w:szCs w:val="24"/>
        </w:rPr>
        <w:t>户以上居民点以一体化污水处理设施为主，</w:t>
      </w:r>
      <w:r>
        <w:rPr>
          <w:rFonts w:hint="eastAsia" w:ascii="宋体" w:hAnsi="宋体" w:cs="宋体"/>
          <w:b/>
          <w:bCs/>
          <w:sz w:val="24"/>
          <w:szCs w:val="24"/>
          <w:u w:val="single"/>
        </w:rPr>
        <w:t>处理标准按《四川省农村生活污水处理设施水污染物排放标准》（DB51/2626—2019）要求执行。</w:t>
      </w:r>
      <w:r>
        <w:rPr>
          <w:rFonts w:hint="eastAsia" w:ascii="宋体" w:hAnsi="宋体" w:cs="宋体"/>
          <w:sz w:val="24"/>
          <w:szCs w:val="24"/>
        </w:rPr>
        <w:t>至规划期末，片区污水有效处理率达到</w:t>
      </w:r>
      <w:r>
        <w:rPr>
          <w:rFonts w:ascii="宋体" w:hAnsi="宋体" w:cs="宋体"/>
          <w:sz w:val="24"/>
          <w:szCs w:val="24"/>
        </w:rPr>
        <w:t>100%。</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雨水按照分散就近排放的原则，根据地形特点和雨水汇流方向，保证雨水管渠以最短路线就近排入河流，雨水管道沿规划道路敷设，雨水尽可能采用自流方式排放。农村雨水采取自然散排为主，居民点内部结合地形设置排水沟渠、主要交通干线及村庄主要道路旁设置排水边沟，雨水经汇流后，就近排放至农田或自然水域。</w:t>
      </w:r>
    </w:p>
    <w:p>
      <w:pPr>
        <w:pStyle w:val="81"/>
        <w:numPr>
          <w:ilvl w:val="0"/>
          <w:numId w:val="4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电力工程</w:t>
      </w:r>
    </w:p>
    <w:p>
      <w:pPr>
        <w:tabs>
          <w:tab w:val="left" w:pos="0"/>
        </w:tabs>
        <w:spacing w:line="360" w:lineRule="auto"/>
        <w:ind w:firstLine="480" w:firstLineChars="200"/>
        <w:rPr>
          <w:rFonts w:ascii="宋体" w:hAnsi="宋体" w:cs="宋体"/>
          <w:sz w:val="24"/>
          <w:szCs w:val="24"/>
        </w:rPr>
      </w:pPr>
      <w:bookmarkStart w:id="495" w:name="_Hlk139557002"/>
      <w:r>
        <w:rPr>
          <w:rFonts w:hint="eastAsia" w:ascii="宋体" w:hAnsi="宋体" w:cs="宋体"/>
          <w:sz w:val="24"/>
          <w:szCs w:val="24"/>
        </w:rPr>
        <w:t>依据《城市电力规划规范》（GB/T50293—2014）和大英县电量负荷历史数据分析负荷和电量的变化趋势，再结合片区实际情况确定人均综合用电量为2</w:t>
      </w:r>
      <w:r>
        <w:rPr>
          <w:rFonts w:ascii="宋体" w:hAnsi="宋体" w:cs="宋体"/>
          <w:sz w:val="24"/>
          <w:szCs w:val="24"/>
        </w:rPr>
        <w:t>5</w:t>
      </w:r>
      <w:r>
        <w:rPr>
          <w:rFonts w:hint="eastAsia" w:ascii="宋体" w:hAnsi="宋体" w:cs="宋体"/>
          <w:sz w:val="24"/>
          <w:szCs w:val="24"/>
        </w:rPr>
        <w:t>00千瓦时/（人·年）,预测到规划期末片区用电总量为</w:t>
      </w:r>
      <w:r>
        <w:rPr>
          <w:rFonts w:ascii="宋体" w:hAnsi="宋体" w:cs="宋体"/>
          <w:sz w:val="24"/>
          <w:szCs w:val="24"/>
        </w:rPr>
        <w:t>1.575</w:t>
      </w:r>
      <w:r>
        <w:rPr>
          <w:rFonts w:hint="eastAsia" w:ascii="宋体" w:hAnsi="宋体" w:cs="宋体"/>
          <w:sz w:val="24"/>
          <w:szCs w:val="24"/>
        </w:rPr>
        <w:t>亿千瓦时/年，其中隆盛镇用电总量为</w:t>
      </w:r>
      <w:r>
        <w:rPr>
          <w:rFonts w:ascii="宋体" w:hAnsi="宋体" w:cs="宋体"/>
          <w:sz w:val="24"/>
          <w:szCs w:val="24"/>
        </w:rPr>
        <w:t>0.825</w:t>
      </w:r>
      <w:r>
        <w:rPr>
          <w:rFonts w:hint="eastAsia" w:ascii="宋体" w:hAnsi="宋体" w:cs="宋体"/>
          <w:sz w:val="24"/>
          <w:szCs w:val="24"/>
        </w:rPr>
        <w:t>亿千瓦时/年，回马镇用电总量为</w:t>
      </w:r>
      <w:r>
        <w:rPr>
          <w:rFonts w:ascii="宋体" w:hAnsi="宋体" w:cs="宋体"/>
          <w:sz w:val="24"/>
          <w:szCs w:val="24"/>
        </w:rPr>
        <w:t>0.5</w:t>
      </w:r>
      <w:r>
        <w:rPr>
          <w:rFonts w:hint="eastAsia" w:ascii="宋体" w:hAnsi="宋体" w:cs="宋体"/>
          <w:sz w:val="24"/>
          <w:szCs w:val="24"/>
        </w:rPr>
        <w:t>亿千瓦时/年</w:t>
      </w:r>
      <w:bookmarkEnd w:id="495"/>
      <w:r>
        <w:rPr>
          <w:rFonts w:hint="eastAsia" w:ascii="宋体" w:hAnsi="宋体" w:cs="宋体"/>
          <w:sz w:val="24"/>
          <w:szCs w:val="24"/>
        </w:rPr>
        <w:t>，金元镇用电总量为</w:t>
      </w:r>
      <w:r>
        <w:rPr>
          <w:rFonts w:ascii="宋体" w:hAnsi="宋体" w:cs="宋体"/>
          <w:sz w:val="24"/>
          <w:szCs w:val="24"/>
        </w:rPr>
        <w:t>0.25</w:t>
      </w:r>
      <w:r>
        <w:rPr>
          <w:rFonts w:hint="eastAsia" w:ascii="宋体" w:hAnsi="宋体" w:cs="宋体"/>
          <w:sz w:val="24"/>
          <w:szCs w:val="24"/>
        </w:rPr>
        <w:t>亿千瓦时/年。最大负荷利用小时数取4500小时/年，则片区最大用电负荷约为</w:t>
      </w:r>
      <w:r>
        <w:rPr>
          <w:rFonts w:ascii="宋体" w:hAnsi="宋体" w:cs="宋体"/>
          <w:sz w:val="24"/>
          <w:szCs w:val="24"/>
        </w:rPr>
        <w:t>3.5</w:t>
      </w:r>
      <w:r>
        <w:rPr>
          <w:rFonts w:hint="eastAsia" w:ascii="宋体" w:hAnsi="宋体" w:cs="宋体"/>
          <w:sz w:val="24"/>
          <w:szCs w:val="24"/>
        </w:rPr>
        <w:t>万千瓦，其中隆盛镇最大用电负荷约为</w:t>
      </w:r>
      <w:r>
        <w:rPr>
          <w:rFonts w:ascii="宋体" w:hAnsi="宋体" w:cs="宋体"/>
          <w:sz w:val="24"/>
          <w:szCs w:val="24"/>
        </w:rPr>
        <w:t>1.83</w:t>
      </w:r>
      <w:r>
        <w:rPr>
          <w:rFonts w:hint="eastAsia" w:ascii="宋体" w:hAnsi="宋体" w:cs="宋体"/>
          <w:sz w:val="24"/>
          <w:szCs w:val="24"/>
        </w:rPr>
        <w:t>万千瓦，回马镇最大用电负荷约为</w:t>
      </w:r>
      <w:r>
        <w:rPr>
          <w:rFonts w:ascii="宋体" w:hAnsi="宋体" w:cs="宋体"/>
          <w:sz w:val="24"/>
          <w:szCs w:val="24"/>
        </w:rPr>
        <w:t>1.11</w:t>
      </w:r>
      <w:r>
        <w:rPr>
          <w:rFonts w:hint="eastAsia" w:ascii="宋体" w:hAnsi="宋体" w:cs="宋体"/>
          <w:sz w:val="24"/>
          <w:szCs w:val="24"/>
        </w:rPr>
        <w:t>万千瓦，金元镇最大用电负荷约为</w:t>
      </w:r>
      <w:r>
        <w:rPr>
          <w:rFonts w:ascii="宋体" w:hAnsi="宋体" w:cs="宋体"/>
          <w:sz w:val="24"/>
          <w:szCs w:val="24"/>
        </w:rPr>
        <w:t>0.56</w:t>
      </w:r>
      <w:r>
        <w:rPr>
          <w:rFonts w:hint="eastAsia" w:ascii="宋体" w:hAnsi="宋体" w:cs="宋体"/>
          <w:sz w:val="24"/>
          <w:szCs w:val="24"/>
        </w:rPr>
        <w:t>万千瓦。</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保留现状鸡公滩水电站、</w:t>
      </w:r>
      <w:r>
        <w:rPr>
          <w:rFonts w:ascii="宋体" w:hAnsi="宋体" w:cs="宋体"/>
          <w:sz w:val="24"/>
          <w:szCs w:val="24"/>
        </w:rPr>
        <w:t>220kV石门变电站</w:t>
      </w:r>
      <w:r>
        <w:rPr>
          <w:rFonts w:hint="eastAsia" w:ascii="宋体" w:hAnsi="宋体" w:cs="宋体"/>
          <w:sz w:val="24"/>
          <w:szCs w:val="24"/>
        </w:rPr>
        <w:t>和</w:t>
      </w:r>
      <w:r>
        <w:rPr>
          <w:rFonts w:ascii="宋体" w:hAnsi="宋体" w:cs="宋体"/>
          <w:sz w:val="24"/>
          <w:szCs w:val="24"/>
        </w:rPr>
        <w:t>110kV</w:t>
      </w:r>
      <w:r>
        <w:rPr>
          <w:rFonts w:hint="eastAsia" w:ascii="宋体" w:hAnsi="宋体" w:cs="宋体"/>
          <w:sz w:val="24"/>
          <w:szCs w:val="24"/>
        </w:rPr>
        <w:t>回马</w:t>
      </w:r>
      <w:r>
        <w:rPr>
          <w:rFonts w:ascii="宋体" w:hAnsi="宋体" w:cs="宋体"/>
          <w:sz w:val="24"/>
          <w:szCs w:val="24"/>
        </w:rPr>
        <w:t>变电站</w:t>
      </w:r>
      <w:r>
        <w:rPr>
          <w:rFonts w:hint="eastAsia" w:ascii="宋体" w:hAnsi="宋体" w:cs="宋体"/>
          <w:sz w:val="24"/>
          <w:szCs w:val="24"/>
        </w:rPr>
        <w:t>，远期腾退现状</w:t>
      </w:r>
      <w:r>
        <w:rPr>
          <w:rFonts w:ascii="宋体" w:hAnsi="宋体" w:cs="宋体"/>
          <w:sz w:val="24"/>
          <w:szCs w:val="24"/>
        </w:rPr>
        <w:t>35kV</w:t>
      </w:r>
      <w:r>
        <w:rPr>
          <w:rFonts w:hint="eastAsia" w:ascii="宋体" w:hAnsi="宋体" w:cs="宋体"/>
          <w:sz w:val="24"/>
          <w:szCs w:val="24"/>
        </w:rPr>
        <w:t>隆盛变电站。新建</w:t>
      </w:r>
      <w:r>
        <w:rPr>
          <w:rFonts w:ascii="宋体" w:hAnsi="宋体" w:cs="宋体"/>
          <w:sz w:val="24"/>
          <w:szCs w:val="24"/>
        </w:rPr>
        <w:t>110kV</w:t>
      </w:r>
      <w:r>
        <w:rPr>
          <w:rFonts w:hint="eastAsia" w:ascii="宋体" w:hAnsi="宋体" w:cs="宋体"/>
          <w:sz w:val="24"/>
          <w:szCs w:val="24"/>
        </w:rPr>
        <w:t>同心</w:t>
      </w:r>
      <w:r>
        <w:rPr>
          <w:rFonts w:ascii="宋体" w:hAnsi="宋体" w:cs="宋体"/>
          <w:sz w:val="24"/>
          <w:szCs w:val="24"/>
        </w:rPr>
        <w:t>变电站</w:t>
      </w:r>
      <w:r>
        <w:rPr>
          <w:rFonts w:hint="eastAsia" w:ascii="宋体" w:hAnsi="宋体" w:cs="宋体"/>
          <w:sz w:val="24"/>
          <w:szCs w:val="24"/>
        </w:rPr>
        <w:t>，位于隆盛镇平安寨村，建设规模</w:t>
      </w:r>
      <w:r>
        <w:rPr>
          <w:rFonts w:ascii="宋体" w:hAnsi="宋体" w:cs="宋体"/>
          <w:sz w:val="24"/>
          <w:szCs w:val="24"/>
        </w:rPr>
        <w:t>3×50/2×50MVA</w:t>
      </w:r>
      <w:r>
        <w:rPr>
          <w:rFonts w:hint="eastAsia" w:ascii="宋体" w:hAnsi="宋体" w:cs="宋体"/>
          <w:sz w:val="24"/>
          <w:szCs w:val="24"/>
        </w:rPr>
        <w:t>，用地面积</w:t>
      </w:r>
      <w:r>
        <w:rPr>
          <w:rFonts w:ascii="宋体" w:hAnsi="宋体" w:cs="宋体"/>
          <w:sz w:val="24"/>
          <w:szCs w:val="24"/>
        </w:rPr>
        <w:t>0.62</w:t>
      </w:r>
      <w:r>
        <w:rPr>
          <w:rFonts w:hint="eastAsia" w:ascii="宋体" w:hAnsi="宋体" w:cs="宋体"/>
          <w:sz w:val="24"/>
          <w:szCs w:val="24"/>
        </w:rPr>
        <w:t>公顷；新建</w:t>
      </w:r>
      <w:r>
        <w:rPr>
          <w:rFonts w:ascii="宋体" w:hAnsi="宋体" w:cs="宋体"/>
          <w:sz w:val="24"/>
          <w:szCs w:val="24"/>
        </w:rPr>
        <w:t>110kV</w:t>
      </w:r>
      <w:r>
        <w:rPr>
          <w:rFonts w:hint="eastAsia" w:ascii="宋体" w:hAnsi="宋体" w:cs="宋体"/>
          <w:sz w:val="24"/>
          <w:szCs w:val="24"/>
        </w:rPr>
        <w:t>金元</w:t>
      </w:r>
      <w:r>
        <w:rPr>
          <w:rFonts w:ascii="宋体" w:hAnsi="宋体" w:cs="宋体"/>
          <w:sz w:val="24"/>
          <w:szCs w:val="24"/>
        </w:rPr>
        <w:t>变电站</w:t>
      </w:r>
      <w:r>
        <w:rPr>
          <w:rFonts w:hint="eastAsia" w:ascii="宋体" w:hAnsi="宋体" w:cs="宋体"/>
          <w:sz w:val="24"/>
          <w:szCs w:val="24"/>
        </w:rPr>
        <w:t>，位于金元镇金宝村，建设规模</w:t>
      </w:r>
      <w:r>
        <w:rPr>
          <w:rFonts w:ascii="宋体" w:hAnsi="宋体" w:cs="宋体"/>
          <w:sz w:val="24"/>
          <w:szCs w:val="24"/>
        </w:rPr>
        <w:t>3×50/2×50MVA</w:t>
      </w:r>
      <w:r>
        <w:rPr>
          <w:rFonts w:hint="eastAsia" w:ascii="宋体" w:hAnsi="宋体" w:cs="宋体"/>
          <w:sz w:val="24"/>
          <w:szCs w:val="24"/>
        </w:rPr>
        <w:t>，用地面积</w:t>
      </w:r>
      <w:r>
        <w:rPr>
          <w:rFonts w:ascii="宋体" w:hAnsi="宋体" w:cs="宋体"/>
          <w:sz w:val="24"/>
          <w:szCs w:val="24"/>
        </w:rPr>
        <w:t>0.62</w:t>
      </w:r>
      <w:r>
        <w:rPr>
          <w:rFonts w:hint="eastAsia" w:ascii="宋体" w:hAnsi="宋体" w:cs="宋体"/>
          <w:sz w:val="24"/>
          <w:szCs w:val="24"/>
        </w:rPr>
        <w:t>公顷；新建</w:t>
      </w:r>
      <w:r>
        <w:rPr>
          <w:rFonts w:ascii="宋体" w:hAnsi="宋体" w:cs="宋体"/>
          <w:sz w:val="24"/>
          <w:szCs w:val="24"/>
        </w:rPr>
        <w:t>35kV</w:t>
      </w:r>
      <w:r>
        <w:rPr>
          <w:rFonts w:hint="eastAsia" w:ascii="宋体" w:hAnsi="宋体" w:cs="宋体"/>
          <w:sz w:val="24"/>
          <w:szCs w:val="24"/>
        </w:rPr>
        <w:t>隆盛</w:t>
      </w:r>
      <w:r>
        <w:rPr>
          <w:rFonts w:ascii="宋体" w:hAnsi="宋体" w:cs="宋体"/>
          <w:sz w:val="24"/>
          <w:szCs w:val="24"/>
        </w:rPr>
        <w:t>变电站</w:t>
      </w:r>
      <w:r>
        <w:rPr>
          <w:rFonts w:hint="eastAsia" w:ascii="宋体" w:hAnsi="宋体" w:cs="宋体"/>
          <w:sz w:val="24"/>
          <w:szCs w:val="24"/>
        </w:rPr>
        <w:t>，位于隆盛镇郪江上村，建设规模</w:t>
      </w:r>
      <w:r>
        <w:rPr>
          <w:rFonts w:ascii="宋体" w:hAnsi="宋体" w:cs="宋体"/>
          <w:sz w:val="24"/>
          <w:szCs w:val="24"/>
        </w:rPr>
        <w:t>2×10MVA</w:t>
      </w:r>
      <w:r>
        <w:rPr>
          <w:rFonts w:hint="eastAsia" w:ascii="宋体" w:hAnsi="宋体" w:cs="宋体"/>
          <w:sz w:val="24"/>
          <w:szCs w:val="24"/>
        </w:rPr>
        <w:t>，用地面积</w:t>
      </w:r>
      <w:r>
        <w:rPr>
          <w:rFonts w:ascii="宋体" w:hAnsi="宋体" w:cs="宋体"/>
          <w:sz w:val="24"/>
          <w:szCs w:val="24"/>
        </w:rPr>
        <w:t>0.21</w:t>
      </w:r>
      <w:r>
        <w:rPr>
          <w:rFonts w:hint="eastAsia" w:ascii="宋体" w:hAnsi="宋体" w:cs="宋体"/>
          <w:sz w:val="24"/>
          <w:szCs w:val="24"/>
        </w:rPr>
        <w:t>公顷；新建</w:t>
      </w:r>
      <w:r>
        <w:rPr>
          <w:rFonts w:ascii="宋体" w:hAnsi="宋体" w:cs="宋体"/>
          <w:sz w:val="24"/>
          <w:szCs w:val="24"/>
        </w:rPr>
        <w:t>35kV</w:t>
      </w:r>
      <w:r>
        <w:rPr>
          <w:rFonts w:hint="eastAsia" w:ascii="宋体" w:hAnsi="宋体" w:cs="宋体"/>
          <w:sz w:val="24"/>
          <w:szCs w:val="24"/>
        </w:rPr>
        <w:t>郪口</w:t>
      </w:r>
      <w:r>
        <w:rPr>
          <w:rFonts w:ascii="宋体" w:hAnsi="宋体" w:cs="宋体"/>
          <w:sz w:val="24"/>
          <w:szCs w:val="24"/>
        </w:rPr>
        <w:t>变电站</w:t>
      </w:r>
      <w:r>
        <w:rPr>
          <w:rFonts w:hint="eastAsia" w:ascii="宋体" w:hAnsi="宋体" w:cs="宋体"/>
          <w:sz w:val="24"/>
          <w:szCs w:val="24"/>
        </w:rPr>
        <w:t>，位于回马镇郪口村，建设规模</w:t>
      </w:r>
      <w:r>
        <w:rPr>
          <w:rFonts w:ascii="宋体" w:hAnsi="宋体" w:cs="宋体"/>
          <w:sz w:val="24"/>
          <w:szCs w:val="24"/>
        </w:rPr>
        <w:t>2×6.3/2×6.3MVA</w:t>
      </w:r>
      <w:r>
        <w:rPr>
          <w:rFonts w:hint="eastAsia" w:ascii="宋体" w:hAnsi="宋体" w:cs="宋体"/>
          <w:sz w:val="24"/>
          <w:szCs w:val="24"/>
        </w:rPr>
        <w:t>，用地面积</w:t>
      </w:r>
      <w:r>
        <w:rPr>
          <w:rFonts w:ascii="宋体" w:hAnsi="宋体" w:cs="宋体"/>
          <w:sz w:val="24"/>
          <w:szCs w:val="24"/>
        </w:rPr>
        <w:t>0.21</w:t>
      </w:r>
      <w:r>
        <w:rPr>
          <w:rFonts w:hint="eastAsia" w:ascii="宋体" w:hAnsi="宋体" w:cs="宋体"/>
          <w:sz w:val="24"/>
          <w:szCs w:val="24"/>
        </w:rPr>
        <w:t>公顷。</w:t>
      </w:r>
    </w:p>
    <w:p>
      <w:pPr>
        <w:tabs>
          <w:tab w:val="left" w:pos="0"/>
        </w:tabs>
        <w:spacing w:line="360" w:lineRule="auto"/>
        <w:ind w:firstLine="480" w:firstLineChars="200"/>
        <w:rPr>
          <w:rFonts w:ascii="宋体" w:hAnsi="宋体" w:cs="宋体"/>
          <w:sz w:val="24"/>
          <w:szCs w:val="24"/>
        </w:rPr>
      </w:pPr>
      <w:r>
        <w:rPr>
          <w:rFonts w:ascii="宋体" w:hAnsi="宋体" w:cs="宋体"/>
          <w:sz w:val="24"/>
          <w:szCs w:val="24"/>
        </w:rPr>
        <w:t xml:space="preserve">镇区供电以 10 </w:t>
      </w:r>
      <w:r>
        <w:rPr>
          <w:rFonts w:hint="eastAsia" w:ascii="宋体" w:hAnsi="宋体" w:cs="宋体"/>
          <w:sz w:val="24"/>
          <w:szCs w:val="24"/>
        </w:rPr>
        <w:t>千伏环状中压配网为主，规划</w:t>
      </w:r>
      <w:r>
        <w:rPr>
          <w:rFonts w:ascii="宋体" w:hAnsi="宋体" w:cs="宋体"/>
          <w:sz w:val="24"/>
          <w:szCs w:val="24"/>
        </w:rPr>
        <w:t>10</w:t>
      </w:r>
      <w:r>
        <w:rPr>
          <w:rFonts w:hint="eastAsia" w:ascii="宋体" w:hAnsi="宋体" w:cs="宋体"/>
          <w:sz w:val="24"/>
          <w:szCs w:val="24"/>
        </w:rPr>
        <w:t>千伏及以下电力线路采用电缆在电缆沟内敷设。增强乡村供电保障能力，农村电网以改造升级为手段，加强线路联络，</w:t>
      </w:r>
      <w:bookmarkStart w:id="496" w:name="_Hlk139557180"/>
      <w:r>
        <w:rPr>
          <w:rFonts w:hint="eastAsia" w:ascii="宋体" w:hAnsi="宋体" w:cs="宋体"/>
          <w:sz w:val="24"/>
          <w:szCs w:val="24"/>
        </w:rPr>
        <w:t>缩短农网线路的</w:t>
      </w:r>
      <w:bookmarkEnd w:id="496"/>
      <w:r>
        <w:rPr>
          <w:rFonts w:hint="eastAsia" w:ascii="宋体" w:hAnsi="宋体" w:cs="宋体"/>
          <w:sz w:val="24"/>
          <w:szCs w:val="24"/>
        </w:rPr>
        <w:t>供电半径，</w:t>
      </w:r>
      <w:bookmarkStart w:id="497" w:name="_Hlk139557191"/>
      <w:r>
        <w:rPr>
          <w:rFonts w:hint="eastAsia" w:ascii="宋体" w:hAnsi="宋体" w:cs="宋体"/>
          <w:sz w:val="24"/>
          <w:szCs w:val="24"/>
        </w:rPr>
        <w:t>提高农村配网供电能力和电能质量水平。因地制宜增加农网10kV线路连接，进一步提高农村配电网的供电可靠率。</w:t>
      </w:r>
      <w:bookmarkEnd w:id="497"/>
    </w:p>
    <w:p>
      <w:pPr>
        <w:tabs>
          <w:tab w:val="left" w:pos="0"/>
        </w:tabs>
        <w:spacing w:line="360" w:lineRule="auto"/>
        <w:ind w:firstLine="480" w:firstLineChars="200"/>
        <w:rPr>
          <w:rFonts w:ascii="宋体" w:hAnsi="宋体" w:cs="宋体"/>
          <w:sz w:val="24"/>
          <w:szCs w:val="24"/>
        </w:rPr>
      </w:pPr>
      <w:bookmarkStart w:id="498" w:name="_Hlk139557228"/>
      <w:r>
        <w:rPr>
          <w:rFonts w:hint="eastAsia" w:ascii="宋体" w:hAnsi="宋体" w:cs="宋体"/>
          <w:sz w:val="24"/>
          <w:szCs w:val="24"/>
        </w:rPr>
        <w:t>保护、控制现状及规划高压线走廊（含防护隔离带），对于保留的现状架空电力线路及杆塔位，以实测坐标控制，规划及调整架空电力线路及杆塔位按规划预留走廊进行控制。</w:t>
      </w:r>
      <w:bookmarkEnd w:id="498"/>
      <w:r>
        <w:rPr>
          <w:rFonts w:hint="eastAsia" w:ascii="宋体" w:hAnsi="宋体" w:cs="宋体"/>
          <w:sz w:val="24"/>
          <w:szCs w:val="24"/>
        </w:rPr>
        <w:t>片区内高压架空线路包括220kV、110kV和3</w:t>
      </w:r>
      <w:r>
        <w:rPr>
          <w:rFonts w:ascii="宋体" w:hAnsi="宋体" w:cs="宋体"/>
          <w:sz w:val="24"/>
          <w:szCs w:val="24"/>
        </w:rPr>
        <w:t>5</w:t>
      </w:r>
      <w:r>
        <w:rPr>
          <w:rFonts w:hint="eastAsia" w:ascii="宋体" w:hAnsi="宋体" w:cs="宋体"/>
          <w:sz w:val="24"/>
          <w:szCs w:val="24"/>
        </w:rPr>
        <w:t>kV，其中，</w:t>
      </w:r>
      <w:r>
        <w:rPr>
          <w:rFonts w:ascii="宋体" w:hAnsi="宋体" w:cs="宋体"/>
          <w:b/>
          <w:bCs/>
          <w:sz w:val="24"/>
          <w:szCs w:val="24"/>
          <w:u w:val="single"/>
        </w:rPr>
        <w:t>22</w:t>
      </w:r>
      <w:r>
        <w:rPr>
          <w:rFonts w:hint="eastAsia" w:ascii="宋体" w:hAnsi="宋体" w:cs="宋体"/>
          <w:b/>
          <w:bCs/>
          <w:sz w:val="24"/>
          <w:szCs w:val="24"/>
          <w:u w:val="single"/>
        </w:rPr>
        <w:t>0kV</w:t>
      </w:r>
      <w:bookmarkStart w:id="499" w:name="_Hlk141951303"/>
      <w:r>
        <w:rPr>
          <w:rFonts w:hint="eastAsia" w:ascii="宋体" w:hAnsi="宋体" w:cs="宋体"/>
          <w:b/>
          <w:bCs/>
          <w:sz w:val="24"/>
          <w:szCs w:val="24"/>
          <w:u w:val="single"/>
        </w:rPr>
        <w:t>高压架空单回电力线走廊宽度控制为</w:t>
      </w:r>
      <w:bookmarkEnd w:id="499"/>
      <w:r>
        <w:rPr>
          <w:rFonts w:ascii="宋体" w:hAnsi="宋体" w:cs="宋体"/>
          <w:b/>
          <w:bCs/>
          <w:sz w:val="24"/>
          <w:szCs w:val="24"/>
          <w:u w:val="single"/>
        </w:rPr>
        <w:t>40</w:t>
      </w:r>
      <w:r>
        <w:rPr>
          <w:rFonts w:hint="eastAsia" w:ascii="宋体" w:hAnsi="宋体" w:cs="宋体"/>
          <w:b/>
          <w:bCs/>
          <w:sz w:val="24"/>
          <w:szCs w:val="24"/>
          <w:u w:val="single"/>
        </w:rPr>
        <w:t>米，110kV高压架空单回电力线走廊宽度控制为25米，35kV高压架空单回电力线走廊宽度控制为</w:t>
      </w:r>
      <w:r>
        <w:rPr>
          <w:rFonts w:ascii="宋体" w:hAnsi="宋体" w:cs="宋体"/>
          <w:b/>
          <w:bCs/>
          <w:sz w:val="24"/>
          <w:szCs w:val="24"/>
          <w:u w:val="single"/>
        </w:rPr>
        <w:t>20</w:t>
      </w:r>
      <w:r>
        <w:rPr>
          <w:rFonts w:hint="eastAsia" w:ascii="宋体" w:hAnsi="宋体" w:cs="宋体"/>
          <w:b/>
          <w:bCs/>
          <w:sz w:val="24"/>
          <w:szCs w:val="24"/>
          <w:u w:val="single"/>
        </w:rPr>
        <w:t>米，</w:t>
      </w:r>
      <w:bookmarkStart w:id="500" w:name="_Hlk141951343"/>
      <w:r>
        <w:rPr>
          <w:rFonts w:hint="eastAsia" w:ascii="宋体" w:hAnsi="宋体" w:cs="宋体"/>
          <w:b/>
          <w:bCs/>
          <w:sz w:val="24"/>
          <w:szCs w:val="24"/>
          <w:u w:val="single"/>
        </w:rPr>
        <w:t>同时应符合《城市电力规划规范》等相关国家法律法规和标准规范的要求</w:t>
      </w:r>
      <w:bookmarkEnd w:id="500"/>
      <w:r>
        <w:rPr>
          <w:rFonts w:hint="eastAsia" w:ascii="宋体" w:hAnsi="宋体" w:cs="宋体"/>
          <w:b/>
          <w:bCs/>
          <w:sz w:val="24"/>
          <w:szCs w:val="24"/>
          <w:u w:val="single"/>
        </w:rPr>
        <w:t>。</w:t>
      </w:r>
    </w:p>
    <w:p>
      <w:pPr>
        <w:pStyle w:val="81"/>
        <w:numPr>
          <w:ilvl w:val="0"/>
          <w:numId w:val="4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通信工程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依据《城市通信工程规划规范》（GB</w:t>
      </w:r>
      <w:r>
        <w:rPr>
          <w:rFonts w:ascii="宋体" w:hAnsi="宋体" w:cs="宋体"/>
          <w:sz w:val="24"/>
          <w:szCs w:val="24"/>
        </w:rPr>
        <w:t>/</w:t>
      </w:r>
      <w:r>
        <w:rPr>
          <w:rFonts w:hint="eastAsia" w:ascii="宋体" w:hAnsi="宋体" w:cs="宋体"/>
          <w:sz w:val="24"/>
          <w:szCs w:val="24"/>
        </w:rPr>
        <w:t>T</w:t>
      </w:r>
      <w:r>
        <w:rPr>
          <w:rFonts w:ascii="宋体" w:hAnsi="宋体" w:cs="宋体"/>
          <w:sz w:val="24"/>
          <w:szCs w:val="24"/>
        </w:rPr>
        <w:t xml:space="preserve"> </w:t>
      </w:r>
      <w:r>
        <w:rPr>
          <w:rFonts w:hint="eastAsia" w:ascii="宋体" w:hAnsi="宋体" w:cs="宋体"/>
          <w:sz w:val="24"/>
          <w:szCs w:val="24"/>
        </w:rPr>
        <w:t>50853—2013），镇区固定电话主线普及率取54线/百人，乡村固定电话主线普及率取</w:t>
      </w:r>
      <w:r>
        <w:rPr>
          <w:rFonts w:ascii="宋体" w:hAnsi="宋体" w:cs="宋体"/>
          <w:sz w:val="24"/>
          <w:szCs w:val="24"/>
        </w:rPr>
        <w:t>45</w:t>
      </w:r>
      <w:r>
        <w:rPr>
          <w:rFonts w:hint="eastAsia" w:ascii="宋体" w:hAnsi="宋体" w:cs="宋体"/>
          <w:sz w:val="24"/>
          <w:szCs w:val="24"/>
        </w:rPr>
        <w:t>线/百人，镇区移动电话普及率取115卡号/百人，乡村移动电话普及率取</w:t>
      </w:r>
      <w:r>
        <w:rPr>
          <w:rFonts w:ascii="宋体" w:hAnsi="宋体" w:cs="宋体"/>
          <w:sz w:val="24"/>
          <w:szCs w:val="24"/>
        </w:rPr>
        <w:t>100</w:t>
      </w:r>
      <w:r>
        <w:rPr>
          <w:rFonts w:hint="eastAsia" w:ascii="宋体" w:hAnsi="宋体" w:cs="宋体"/>
          <w:sz w:val="24"/>
          <w:szCs w:val="24"/>
        </w:rPr>
        <w:t>卡号/百人，镇区宽带用户取37户/百人，乡村宽带用户取</w:t>
      </w:r>
      <w:r>
        <w:rPr>
          <w:rFonts w:ascii="宋体" w:hAnsi="宋体" w:cs="宋体"/>
          <w:sz w:val="24"/>
          <w:szCs w:val="24"/>
        </w:rPr>
        <w:t>35</w:t>
      </w:r>
      <w:r>
        <w:rPr>
          <w:rFonts w:hint="eastAsia" w:ascii="宋体" w:hAnsi="宋体" w:cs="宋体"/>
          <w:sz w:val="24"/>
          <w:szCs w:val="24"/>
        </w:rPr>
        <w:t>户/百人。预测到规划期末，片区固定电话主线需求量约</w:t>
      </w:r>
      <w:r>
        <w:rPr>
          <w:rFonts w:ascii="宋体" w:hAnsi="宋体" w:cs="宋体"/>
          <w:sz w:val="24"/>
          <w:szCs w:val="24"/>
        </w:rPr>
        <w:t>3.02</w:t>
      </w:r>
      <w:r>
        <w:rPr>
          <w:rFonts w:hint="eastAsia" w:ascii="宋体" w:hAnsi="宋体" w:cs="宋体"/>
          <w:sz w:val="24"/>
          <w:szCs w:val="24"/>
        </w:rPr>
        <w:t>万线，其中隆盛镇</w:t>
      </w:r>
      <w:r>
        <w:rPr>
          <w:rFonts w:ascii="宋体" w:hAnsi="宋体" w:cs="宋体"/>
          <w:sz w:val="24"/>
          <w:szCs w:val="24"/>
        </w:rPr>
        <w:t>1.56</w:t>
      </w:r>
      <w:r>
        <w:rPr>
          <w:rFonts w:hint="eastAsia" w:ascii="宋体" w:hAnsi="宋体" w:cs="宋体"/>
          <w:sz w:val="24"/>
          <w:szCs w:val="24"/>
        </w:rPr>
        <w:t>万线，回马镇</w:t>
      </w:r>
      <w:r>
        <w:rPr>
          <w:rFonts w:ascii="宋体" w:hAnsi="宋体" w:cs="宋体"/>
          <w:sz w:val="24"/>
          <w:szCs w:val="24"/>
        </w:rPr>
        <w:t>0.99</w:t>
      </w:r>
      <w:r>
        <w:rPr>
          <w:rFonts w:hint="eastAsia" w:ascii="宋体" w:hAnsi="宋体" w:cs="宋体"/>
          <w:sz w:val="24"/>
          <w:szCs w:val="24"/>
        </w:rPr>
        <w:t>万线，金元镇</w:t>
      </w:r>
      <w:r>
        <w:rPr>
          <w:rFonts w:ascii="宋体" w:hAnsi="宋体" w:cs="宋体"/>
          <w:sz w:val="24"/>
          <w:szCs w:val="24"/>
        </w:rPr>
        <w:t>0.47</w:t>
      </w:r>
      <w:r>
        <w:rPr>
          <w:rFonts w:hint="eastAsia" w:ascii="宋体" w:hAnsi="宋体" w:cs="宋体"/>
          <w:sz w:val="24"/>
          <w:szCs w:val="24"/>
        </w:rPr>
        <w:t>万线；片区移动电话需求量约</w:t>
      </w:r>
      <w:r>
        <w:rPr>
          <w:rFonts w:ascii="宋体" w:hAnsi="宋体" w:cs="宋体"/>
          <w:sz w:val="24"/>
          <w:szCs w:val="24"/>
        </w:rPr>
        <w:t>6.61</w:t>
      </w:r>
      <w:r>
        <w:rPr>
          <w:rFonts w:hint="eastAsia" w:ascii="宋体" w:hAnsi="宋体" w:cs="宋体"/>
          <w:sz w:val="24"/>
          <w:szCs w:val="24"/>
        </w:rPr>
        <w:t>万卡号，其中隆盛镇</w:t>
      </w:r>
      <w:r>
        <w:rPr>
          <w:rFonts w:ascii="宋体" w:hAnsi="宋体" w:cs="宋体"/>
          <w:sz w:val="24"/>
          <w:szCs w:val="24"/>
        </w:rPr>
        <w:t>3.43</w:t>
      </w:r>
      <w:r>
        <w:rPr>
          <w:rFonts w:hint="eastAsia" w:ascii="宋体" w:hAnsi="宋体" w:cs="宋体"/>
          <w:sz w:val="24"/>
          <w:szCs w:val="24"/>
        </w:rPr>
        <w:t>万卡号，回马镇2</w:t>
      </w:r>
      <w:r>
        <w:rPr>
          <w:rFonts w:ascii="宋体" w:hAnsi="宋体" w:cs="宋体"/>
          <w:sz w:val="24"/>
          <w:szCs w:val="24"/>
        </w:rPr>
        <w:t>.15</w:t>
      </w:r>
      <w:r>
        <w:rPr>
          <w:rFonts w:hint="eastAsia" w:ascii="宋体" w:hAnsi="宋体" w:cs="宋体"/>
          <w:sz w:val="24"/>
          <w:szCs w:val="24"/>
        </w:rPr>
        <w:t>万卡号，金元镇1</w:t>
      </w:r>
      <w:r>
        <w:rPr>
          <w:rFonts w:ascii="宋体" w:hAnsi="宋体" w:cs="宋体"/>
          <w:sz w:val="24"/>
          <w:szCs w:val="24"/>
        </w:rPr>
        <w:t>.03</w:t>
      </w:r>
      <w:r>
        <w:rPr>
          <w:rFonts w:hint="eastAsia" w:ascii="宋体" w:hAnsi="宋体" w:cs="宋体"/>
          <w:sz w:val="24"/>
          <w:szCs w:val="24"/>
        </w:rPr>
        <w:t>万卡号；片区宽带用户需求量约</w:t>
      </w:r>
      <w:r>
        <w:rPr>
          <w:rFonts w:ascii="宋体" w:hAnsi="宋体" w:cs="宋体"/>
          <w:sz w:val="24"/>
          <w:szCs w:val="24"/>
        </w:rPr>
        <w:t>2.25</w:t>
      </w:r>
      <w:r>
        <w:rPr>
          <w:rFonts w:hint="eastAsia" w:ascii="宋体" w:hAnsi="宋体" w:cs="宋体"/>
          <w:sz w:val="24"/>
          <w:szCs w:val="24"/>
        </w:rPr>
        <w:t>万户，其中隆盛镇1</w:t>
      </w:r>
      <w:r>
        <w:rPr>
          <w:rFonts w:ascii="宋体" w:hAnsi="宋体" w:cs="宋体"/>
          <w:sz w:val="24"/>
          <w:szCs w:val="24"/>
        </w:rPr>
        <w:t>.17</w:t>
      </w:r>
      <w:r>
        <w:rPr>
          <w:rFonts w:hint="eastAsia" w:ascii="宋体" w:hAnsi="宋体" w:cs="宋体"/>
          <w:sz w:val="24"/>
          <w:szCs w:val="24"/>
        </w:rPr>
        <w:t>万户，回马镇0</w:t>
      </w:r>
      <w:r>
        <w:rPr>
          <w:rFonts w:ascii="宋体" w:hAnsi="宋体" w:cs="宋体"/>
          <w:sz w:val="24"/>
          <w:szCs w:val="24"/>
        </w:rPr>
        <w:t>.72</w:t>
      </w:r>
      <w:r>
        <w:rPr>
          <w:rFonts w:hint="eastAsia" w:ascii="宋体" w:hAnsi="宋体" w:cs="宋体"/>
          <w:sz w:val="24"/>
          <w:szCs w:val="24"/>
        </w:rPr>
        <w:t>万户，金元镇0</w:t>
      </w:r>
      <w:r>
        <w:rPr>
          <w:rFonts w:ascii="宋体" w:hAnsi="宋体" w:cs="宋体"/>
          <w:sz w:val="24"/>
          <w:szCs w:val="24"/>
        </w:rPr>
        <w:t>.36</w:t>
      </w:r>
      <w:r>
        <w:rPr>
          <w:rFonts w:hint="eastAsia" w:ascii="宋体" w:hAnsi="宋体" w:cs="宋体"/>
          <w:sz w:val="24"/>
          <w:szCs w:val="24"/>
        </w:rPr>
        <w:t>万户。</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规划保留现状隆盛电信支局和邮政支局、回马邮政支局和金元邮政所，保留片区内现状1</w:t>
      </w:r>
      <w:r>
        <w:rPr>
          <w:rFonts w:ascii="宋体" w:hAnsi="宋体" w:cs="宋体"/>
          <w:sz w:val="24"/>
          <w:szCs w:val="24"/>
        </w:rPr>
        <w:t>23</w:t>
      </w:r>
      <w:r>
        <w:rPr>
          <w:rFonts w:hint="eastAsia" w:ascii="宋体" w:hAnsi="宋体" w:cs="宋体"/>
          <w:sz w:val="24"/>
          <w:szCs w:val="24"/>
        </w:rPr>
        <w:t>座通信基站。至规划期末，规划新增基站1</w:t>
      </w:r>
      <w:r>
        <w:rPr>
          <w:rFonts w:ascii="宋体" w:hAnsi="宋体" w:cs="宋体"/>
          <w:sz w:val="24"/>
          <w:szCs w:val="24"/>
        </w:rPr>
        <w:t>24</w:t>
      </w:r>
      <w:r>
        <w:rPr>
          <w:rFonts w:hint="eastAsia" w:ascii="宋体" w:hAnsi="宋体" w:cs="宋体"/>
          <w:sz w:val="24"/>
          <w:szCs w:val="24"/>
        </w:rPr>
        <w:t>座，其中隆盛镇6</w:t>
      </w:r>
      <w:r>
        <w:rPr>
          <w:rFonts w:ascii="宋体" w:hAnsi="宋体" w:cs="宋体"/>
          <w:sz w:val="24"/>
          <w:szCs w:val="24"/>
        </w:rPr>
        <w:t>5</w:t>
      </w:r>
      <w:r>
        <w:rPr>
          <w:rFonts w:hint="eastAsia" w:ascii="宋体" w:hAnsi="宋体" w:cs="宋体"/>
          <w:sz w:val="24"/>
          <w:szCs w:val="24"/>
        </w:rPr>
        <w:t>座，回马镇2</w:t>
      </w:r>
      <w:r>
        <w:rPr>
          <w:rFonts w:ascii="宋体" w:hAnsi="宋体" w:cs="宋体"/>
          <w:sz w:val="24"/>
          <w:szCs w:val="24"/>
        </w:rPr>
        <w:t>1</w:t>
      </w:r>
      <w:r>
        <w:rPr>
          <w:rFonts w:hint="eastAsia" w:ascii="宋体" w:hAnsi="宋体" w:cs="宋体"/>
          <w:sz w:val="24"/>
          <w:szCs w:val="24"/>
        </w:rPr>
        <w:t>座，金元镇3</w:t>
      </w:r>
      <w:r>
        <w:rPr>
          <w:rFonts w:ascii="宋体" w:hAnsi="宋体" w:cs="宋体"/>
          <w:sz w:val="24"/>
          <w:szCs w:val="24"/>
        </w:rPr>
        <w:t>8</w:t>
      </w:r>
      <w:r>
        <w:rPr>
          <w:rFonts w:hint="eastAsia" w:ascii="宋体" w:hAnsi="宋体" w:cs="宋体"/>
          <w:sz w:val="24"/>
          <w:szCs w:val="24"/>
        </w:rPr>
        <w:t>座，实现片区内网络全覆盖。通信基站的设置应符合《城市通信工程规划规范》（GB</w:t>
      </w:r>
      <w:r>
        <w:rPr>
          <w:rFonts w:ascii="宋体" w:hAnsi="宋体" w:cs="宋体"/>
          <w:sz w:val="24"/>
          <w:szCs w:val="24"/>
        </w:rPr>
        <w:t>/</w:t>
      </w:r>
      <w:r>
        <w:rPr>
          <w:rFonts w:hint="eastAsia" w:ascii="宋体" w:hAnsi="宋体" w:cs="宋体"/>
          <w:sz w:val="24"/>
          <w:szCs w:val="24"/>
        </w:rPr>
        <w:t>T 50853—</w:t>
      </w:r>
      <w:r>
        <w:rPr>
          <w:rFonts w:ascii="宋体" w:hAnsi="宋体" w:cs="宋体"/>
          <w:sz w:val="24"/>
          <w:szCs w:val="24"/>
        </w:rPr>
        <w:t>2013</w:t>
      </w:r>
      <w:r>
        <w:rPr>
          <w:rFonts w:hint="eastAsia" w:ascii="宋体" w:hAnsi="宋体" w:cs="宋体"/>
          <w:sz w:val="24"/>
          <w:szCs w:val="24"/>
        </w:rPr>
        <w:t>）的相关要求。至规划期末，提高片区光纤入户率达到</w:t>
      </w:r>
      <w:r>
        <w:rPr>
          <w:rFonts w:ascii="宋体" w:hAnsi="宋体" w:cs="宋体"/>
          <w:sz w:val="24"/>
          <w:szCs w:val="24"/>
        </w:rPr>
        <w:t>95%，结合镇区及农村居民点</w:t>
      </w:r>
      <w:r>
        <w:rPr>
          <w:rFonts w:hint="eastAsia" w:ascii="宋体" w:hAnsi="宋体" w:cs="宋体"/>
          <w:sz w:val="24"/>
          <w:szCs w:val="24"/>
        </w:rPr>
        <w:t>布局，</w:t>
      </w:r>
      <w:r>
        <w:rPr>
          <w:rFonts w:ascii="宋体" w:hAnsi="宋体" w:cs="宋体"/>
          <w:sz w:val="24"/>
          <w:szCs w:val="24"/>
        </w:rPr>
        <w:t>沿</w:t>
      </w:r>
      <w:r>
        <w:rPr>
          <w:rFonts w:hint="eastAsia" w:ascii="宋体" w:hAnsi="宋体" w:cs="宋体"/>
          <w:sz w:val="24"/>
          <w:szCs w:val="24"/>
        </w:rPr>
        <w:t>主要</w:t>
      </w:r>
      <w:r>
        <w:rPr>
          <w:rFonts w:ascii="宋体" w:hAnsi="宋体" w:cs="宋体"/>
          <w:sz w:val="24"/>
          <w:szCs w:val="24"/>
        </w:rPr>
        <w:t>道路规划敷设光纤线路，实现光纤到用户。</w:t>
      </w:r>
      <w:r>
        <w:rPr>
          <w:rFonts w:hint="eastAsia" w:ascii="宋体" w:hAnsi="宋体" w:cs="宋体"/>
          <w:sz w:val="24"/>
          <w:szCs w:val="24"/>
        </w:rPr>
        <w:t>镇区按照</w:t>
      </w:r>
      <w:r>
        <w:rPr>
          <w:rFonts w:ascii="宋体" w:hAnsi="宋体" w:cs="宋体"/>
          <w:sz w:val="24"/>
          <w:szCs w:val="24"/>
        </w:rPr>
        <w:t>1公里服务半径设立5G基站，农村以各行政村为单位设1处5G基站。</w:t>
      </w:r>
    </w:p>
    <w:p>
      <w:pPr>
        <w:pStyle w:val="81"/>
        <w:numPr>
          <w:ilvl w:val="0"/>
          <w:numId w:val="4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燃气工程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用气类型主要包括居民生活用气、商业用气、工业企业用气、加气站用气和不可预见用气，依据《城镇燃气设计规范》（GB50028—2006）、《城镇燃气规划规范》（GB/T51098—2015）及当地的生活水平、生活习惯等因素，镇区居民生活用气按0.3Nm³/人·日，气化率为90%进行计算，商业用气按照居民生活用气的20%计算，工业用气按300Nm³/公顷·日计算，加气站用气按照同期居民用气量的30%计算，不可预见用气按前述用气总量的5%计算，则到规划期末，镇区总用气量为2</w:t>
      </w:r>
      <w:r>
        <w:rPr>
          <w:rFonts w:ascii="宋体" w:hAnsi="宋体" w:cs="宋体"/>
          <w:sz w:val="24"/>
          <w:szCs w:val="24"/>
        </w:rPr>
        <w:t>.39</w:t>
      </w:r>
      <w:r>
        <w:rPr>
          <w:rFonts w:hint="eastAsia" w:ascii="宋体" w:hAnsi="宋体" w:cs="宋体"/>
          <w:sz w:val="24"/>
          <w:szCs w:val="24"/>
        </w:rPr>
        <w:t>万Nm³/日，其中隆盛镇镇区0</w:t>
      </w:r>
      <w:r>
        <w:rPr>
          <w:rFonts w:ascii="宋体" w:hAnsi="宋体" w:cs="宋体"/>
          <w:sz w:val="24"/>
          <w:szCs w:val="24"/>
        </w:rPr>
        <w:t>.82</w:t>
      </w:r>
      <w:r>
        <w:rPr>
          <w:rFonts w:hint="eastAsia" w:ascii="宋体" w:hAnsi="宋体" w:cs="宋体"/>
          <w:sz w:val="24"/>
          <w:szCs w:val="24"/>
        </w:rPr>
        <w:t>万Nm³/日，回马镇镇区</w:t>
      </w:r>
      <w:r>
        <w:rPr>
          <w:rFonts w:ascii="宋体" w:hAnsi="宋体" w:cs="宋体"/>
          <w:sz w:val="24"/>
          <w:szCs w:val="24"/>
        </w:rPr>
        <w:t>1.48</w:t>
      </w:r>
      <w:r>
        <w:rPr>
          <w:rFonts w:hint="eastAsia" w:ascii="宋体" w:hAnsi="宋体" w:cs="宋体"/>
          <w:sz w:val="24"/>
          <w:szCs w:val="24"/>
        </w:rPr>
        <w:t>万Nm³/日，金元镇镇区</w:t>
      </w:r>
      <w:r>
        <w:rPr>
          <w:rFonts w:ascii="宋体" w:hAnsi="宋体" w:cs="宋体"/>
          <w:sz w:val="24"/>
          <w:szCs w:val="24"/>
        </w:rPr>
        <w:t>0.09</w:t>
      </w:r>
      <w:r>
        <w:rPr>
          <w:rFonts w:hint="eastAsia" w:ascii="宋体" w:hAnsi="宋体" w:cs="宋体"/>
          <w:sz w:val="24"/>
          <w:szCs w:val="24"/>
        </w:rPr>
        <w:t>Nm³/日。乡村居民生活用气指标为0.25Nm³/人·日，气化率为65%，其他用气及不可预见用气按用气总量的5%计算，则到规划期末，片区乡村地区总用气量为</w:t>
      </w:r>
      <w:r>
        <w:rPr>
          <w:rFonts w:ascii="宋体" w:hAnsi="宋体" w:cs="宋体"/>
          <w:sz w:val="24"/>
          <w:szCs w:val="24"/>
        </w:rPr>
        <w:t>1.12</w:t>
      </w:r>
      <w:r>
        <w:rPr>
          <w:rFonts w:hint="eastAsia" w:ascii="宋体" w:hAnsi="宋体" w:cs="宋体"/>
          <w:sz w:val="24"/>
          <w:szCs w:val="24"/>
        </w:rPr>
        <w:t>万Nm³/日。综合预测片区总用气量约为3</w:t>
      </w:r>
      <w:r>
        <w:rPr>
          <w:rFonts w:ascii="宋体" w:hAnsi="宋体" w:cs="宋体"/>
          <w:sz w:val="24"/>
          <w:szCs w:val="24"/>
        </w:rPr>
        <w:t>.5</w:t>
      </w:r>
      <w:r>
        <w:rPr>
          <w:rFonts w:hint="eastAsia" w:ascii="宋体" w:hAnsi="宋体" w:cs="宋体"/>
          <w:sz w:val="24"/>
          <w:szCs w:val="24"/>
        </w:rPr>
        <w:t>万 Nm³/日，其中隆盛镇</w:t>
      </w:r>
      <w:r>
        <w:rPr>
          <w:rFonts w:ascii="宋体" w:hAnsi="宋体" w:cs="宋体"/>
          <w:sz w:val="24"/>
          <w:szCs w:val="24"/>
        </w:rPr>
        <w:t>1.46</w:t>
      </w:r>
      <w:r>
        <w:rPr>
          <w:rFonts w:hint="eastAsia" w:ascii="宋体" w:hAnsi="宋体" w:cs="宋体"/>
          <w:sz w:val="24"/>
          <w:szCs w:val="24"/>
        </w:rPr>
        <w:t>万Nm³/日，回马镇</w:t>
      </w:r>
      <w:r>
        <w:rPr>
          <w:rFonts w:ascii="宋体" w:hAnsi="宋体" w:cs="宋体"/>
          <w:sz w:val="24"/>
          <w:szCs w:val="24"/>
        </w:rPr>
        <w:t>1.74</w:t>
      </w:r>
      <w:r>
        <w:rPr>
          <w:rFonts w:hint="eastAsia" w:ascii="宋体" w:hAnsi="宋体" w:cs="宋体"/>
          <w:sz w:val="24"/>
          <w:szCs w:val="24"/>
        </w:rPr>
        <w:t>Nm³/日，金元镇0</w:t>
      </w:r>
      <w:r>
        <w:rPr>
          <w:rFonts w:ascii="宋体" w:hAnsi="宋体" w:cs="宋体"/>
          <w:sz w:val="24"/>
          <w:szCs w:val="24"/>
        </w:rPr>
        <w:t>.3</w:t>
      </w:r>
      <w:r>
        <w:rPr>
          <w:rFonts w:hint="eastAsia" w:ascii="宋体" w:hAnsi="宋体" w:cs="宋体"/>
          <w:sz w:val="24"/>
          <w:szCs w:val="24"/>
        </w:rPr>
        <w:t>Nm³/日。</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气源来自大英配气站，保留片区内桂花中心站，</w:t>
      </w:r>
      <w:bookmarkStart w:id="501" w:name="_Hlk141951373"/>
      <w:r>
        <w:rPr>
          <w:rFonts w:hint="eastAsia" w:ascii="宋体" w:hAnsi="宋体" w:cs="宋体"/>
          <w:sz w:val="24"/>
          <w:szCs w:val="24"/>
        </w:rPr>
        <w:t>完善片区次高压燃气管网，</w:t>
      </w:r>
      <w:bookmarkEnd w:id="501"/>
      <w:r>
        <w:rPr>
          <w:rFonts w:hint="eastAsia" w:ascii="宋体" w:hAnsi="宋体" w:cs="宋体"/>
          <w:sz w:val="24"/>
          <w:szCs w:val="24"/>
        </w:rPr>
        <w:t>推动燃气干网入村，实现2035年燃气主干网覆盖率100%。</w:t>
      </w:r>
      <w:bookmarkStart w:id="502" w:name="_Hlk141951391"/>
      <w:r>
        <w:rPr>
          <w:rFonts w:hint="eastAsia" w:ascii="宋体" w:hAnsi="宋体" w:cs="宋体"/>
          <w:b/>
          <w:bCs/>
          <w:sz w:val="24"/>
          <w:szCs w:val="24"/>
          <w:u w:val="single"/>
        </w:rPr>
        <w:t>输气管线与其它建筑、架空电力线、可燃物储罐、铁路、道路等的安全间距还应满足《中华人民共和国石油天然气管道保护法》《城镇燃气设计规范》等相关国家法律法规和标准规范的要求。</w:t>
      </w:r>
      <w:bookmarkEnd w:id="502"/>
    </w:p>
    <w:p>
      <w:pPr>
        <w:pStyle w:val="81"/>
        <w:numPr>
          <w:ilvl w:val="0"/>
          <w:numId w:val="4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环卫工程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城市环境卫生设施规划标准》（GB/T50337—2018）和《四川省城镇生活垃圾收集点设置标准》，预测片区日人均生活垃圾产量为1kg/(人·d)，镇区生活垃圾日产量不均匀系数取1.5，农村生活垃圾日产量不均匀系数取1.3，则片区生活垃圾最高日产量为</w:t>
      </w:r>
      <w:r>
        <w:rPr>
          <w:rFonts w:ascii="宋体" w:hAnsi="宋体" w:cs="宋体"/>
          <w:sz w:val="24"/>
          <w:szCs w:val="24"/>
        </w:rPr>
        <w:t>86</w:t>
      </w:r>
      <w:r>
        <w:rPr>
          <w:rFonts w:hint="eastAsia" w:ascii="宋体" w:hAnsi="宋体" w:cs="宋体"/>
          <w:sz w:val="24"/>
          <w:szCs w:val="24"/>
        </w:rPr>
        <w:t>吨/d，其中隆盛镇44.</w:t>
      </w:r>
      <w:r>
        <w:rPr>
          <w:rFonts w:ascii="宋体" w:hAnsi="宋体" w:cs="宋体"/>
          <w:sz w:val="24"/>
          <w:szCs w:val="24"/>
        </w:rPr>
        <w:t>6</w:t>
      </w:r>
      <w:r>
        <w:rPr>
          <w:rFonts w:hint="eastAsia" w:ascii="宋体" w:hAnsi="宋体" w:cs="宋体"/>
          <w:sz w:val="24"/>
          <w:szCs w:val="24"/>
        </w:rPr>
        <w:t>吨/d，回马镇28吨/d，金元镇</w:t>
      </w:r>
      <w:r>
        <w:rPr>
          <w:rFonts w:ascii="宋体" w:hAnsi="宋体" w:cs="宋体"/>
          <w:sz w:val="24"/>
          <w:szCs w:val="24"/>
        </w:rPr>
        <w:t>13.4</w:t>
      </w:r>
      <w:r>
        <w:rPr>
          <w:rFonts w:hint="eastAsia" w:ascii="宋体" w:hAnsi="宋体" w:cs="宋体"/>
          <w:sz w:val="24"/>
          <w:szCs w:val="24"/>
        </w:rPr>
        <w:t>吨/d。</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规划扩建隆盛垃圾转运站，设计运转规模为4</w:t>
      </w:r>
      <w:r>
        <w:rPr>
          <w:rFonts w:ascii="宋体" w:hAnsi="宋体" w:cs="宋体"/>
          <w:sz w:val="24"/>
          <w:szCs w:val="24"/>
        </w:rPr>
        <w:t>5</w:t>
      </w:r>
      <w:r>
        <w:rPr>
          <w:rFonts w:hint="eastAsia" w:ascii="宋体" w:hAnsi="宋体" w:cs="宋体"/>
          <w:sz w:val="24"/>
          <w:szCs w:val="24"/>
        </w:rPr>
        <w:t>吨/d；保留回马垃圾转运站；新建金元垃圾转运站，设计运转规模1</w:t>
      </w:r>
      <w:r>
        <w:rPr>
          <w:rFonts w:ascii="宋体" w:hAnsi="宋体" w:cs="宋体"/>
          <w:sz w:val="24"/>
          <w:szCs w:val="24"/>
        </w:rPr>
        <w:t>4</w:t>
      </w:r>
      <w:r>
        <w:rPr>
          <w:rFonts w:hint="eastAsia" w:ascii="宋体" w:hAnsi="宋体" w:cs="宋体"/>
          <w:sz w:val="24"/>
          <w:szCs w:val="24"/>
        </w:rPr>
        <w:t>吨/d。保留现状垃圾收集点，集中居住区收集点的服务半径不宜超过70m，散居区可根据垃圾产生量，因地制宜、科学合理布局点位，通常服务半径不宜超过200m。</w:t>
      </w:r>
      <w:r>
        <w:rPr>
          <w:rFonts w:ascii="宋体" w:hAnsi="宋体" w:cs="宋体"/>
          <w:sz w:val="24"/>
          <w:szCs w:val="24"/>
        </w:rPr>
        <w:t>按照</w:t>
      </w:r>
      <w:r>
        <w:rPr>
          <w:rFonts w:hint="eastAsia" w:ascii="宋体" w:hAnsi="宋体" w:cs="宋体"/>
          <w:sz w:val="24"/>
          <w:szCs w:val="24"/>
        </w:rPr>
        <w:t>“</w:t>
      </w:r>
      <w:r>
        <w:rPr>
          <w:rFonts w:ascii="宋体" w:hAnsi="宋体" w:cs="宋体"/>
          <w:sz w:val="24"/>
          <w:szCs w:val="24"/>
        </w:rPr>
        <w:t>户分类、村收集、镇转运、</w:t>
      </w:r>
      <w:r>
        <w:rPr>
          <w:rFonts w:hint="eastAsia" w:ascii="宋体" w:hAnsi="宋体" w:cs="宋体"/>
          <w:sz w:val="24"/>
          <w:szCs w:val="24"/>
        </w:rPr>
        <w:t>县处理”</w:t>
      </w:r>
      <w:r>
        <w:rPr>
          <w:rFonts w:ascii="宋体" w:hAnsi="宋体" w:cs="宋体"/>
          <w:sz w:val="24"/>
          <w:szCs w:val="24"/>
        </w:rPr>
        <w:t>的垃圾处理原则，</w:t>
      </w:r>
      <w:r>
        <w:rPr>
          <w:rFonts w:hint="eastAsia" w:ascii="宋体" w:hAnsi="宋体" w:cs="宋体"/>
          <w:sz w:val="24"/>
          <w:szCs w:val="24"/>
        </w:rPr>
        <w:t>实施城乡垃圾清运一体化模式，镇村垃圾统一收集至垃圾转运站，经压缩处理后统一由三方公司（遂宁川能环卫公司）打包运至射洪发电厂进行焚烧发电。至规划期末，片区生活垃圾收集处理率达到100%，资源化利用率达到30%以上。</w:t>
      </w:r>
    </w:p>
    <w:p>
      <w:pPr>
        <w:tabs>
          <w:tab w:val="left" w:pos="0"/>
        </w:tabs>
        <w:spacing w:line="360" w:lineRule="auto"/>
        <w:ind w:firstLine="482" w:firstLineChars="200"/>
        <w:rPr>
          <w:rFonts w:ascii="宋体" w:hAnsi="宋体" w:cs="宋体"/>
          <w:b/>
          <w:bCs/>
          <w:sz w:val="24"/>
          <w:szCs w:val="24"/>
          <w:u w:val="single"/>
        </w:rPr>
      </w:pPr>
      <w:r>
        <w:rPr>
          <w:rFonts w:hint="eastAsia" w:ascii="宋体" w:hAnsi="宋体" w:cs="宋体"/>
          <w:b/>
          <w:bCs/>
          <w:sz w:val="24"/>
          <w:szCs w:val="24"/>
          <w:u w:val="single"/>
        </w:rPr>
        <w:t>医疗垃圾、危险废弃物必须单独收集、运输和处理，大英县无法自行处理处置的医疗垃圾、危险废弃物集中运至成都市医疗废物和危险固废处置中心进行处理处置。</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保留现有公共厕所，各村应结合村委会配置一处公共厕所。根据农户居住形态，充分尊重群众意愿，因地制宜，选择适宜且农户接受的改厕技术模式整村连片推进农村户用卫生厕所改（建）工程，规划期末农村户用厕所普及率达到100%。</w:t>
      </w:r>
    </w:p>
    <w:p>
      <w:pPr>
        <w:pStyle w:val="5"/>
        <w:numPr>
          <w:ilvl w:val="0"/>
          <w:numId w:val="39"/>
        </w:numPr>
        <w:spacing w:line="360" w:lineRule="auto"/>
        <w:rPr>
          <w:b/>
          <w:bCs/>
        </w:rPr>
      </w:pPr>
      <w:r>
        <w:rPr>
          <w:rFonts w:hint="eastAsia"/>
          <w:b/>
          <w:bCs/>
        </w:rPr>
        <w:t>防灾设施规划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预防为主、多措并举，构建安全韧性的防灾减灾体系。完善应急救援力量建设和物资保障体系，推进应急避难场所规范化设置，布局各类防灾设施，全面提升片区自然灾害综合防治和应急管理能力，保护好人民群众生命财产安全和社会稳定。重点考虑片区内防洪、抗震、消防、地灾防治及防疫等方面，合理进行规划安排与统筹。</w:t>
      </w:r>
    </w:p>
    <w:p>
      <w:pPr>
        <w:pStyle w:val="81"/>
        <w:numPr>
          <w:ilvl w:val="0"/>
          <w:numId w:val="4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应急体系构建</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结合片区相关专项规划和上位规划要求，规划构建以隆盛镇、回马镇两座乡镇消防站为主力，志愿消防队、村级微型消防站为辅的 “一主两辅”基层应急救援体系。针对片区主要灾种，落实防洪、抗震、消防、地灾防治及防疫等各项防灾设施，统筹利用片区内的公园、广场、停车场、中小学等容纳量较大、位置安全的公共空间资源，推进固定和紧急应急避难场所规范化、标准化建设，同时结合避难场所建设一定规模的应急物资储备库并储备必要的应急救援物资。</w:t>
      </w:r>
    </w:p>
    <w:p>
      <w:pPr>
        <w:pStyle w:val="81"/>
        <w:numPr>
          <w:ilvl w:val="0"/>
          <w:numId w:val="4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防洪规划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依据《四川省涪江干流遂宁段防洪规划报告》和上位规划要求，</w:t>
      </w:r>
      <w:r>
        <w:rPr>
          <w:rFonts w:hint="eastAsia" w:ascii="宋体" w:hAnsi="宋体" w:cs="宋体"/>
          <w:b/>
          <w:bCs/>
          <w:sz w:val="24"/>
          <w:szCs w:val="24"/>
          <w:u w:val="single"/>
        </w:rPr>
        <w:t>涪江沿岸已建成的长江坝堤按</w:t>
      </w:r>
      <w:r>
        <w:rPr>
          <w:rFonts w:ascii="宋体" w:hAnsi="宋体" w:cs="宋体"/>
          <w:b/>
          <w:bCs/>
          <w:sz w:val="24"/>
          <w:szCs w:val="24"/>
          <w:u w:val="single"/>
        </w:rPr>
        <w:t>50年一遇</w:t>
      </w:r>
      <w:r>
        <w:rPr>
          <w:rFonts w:hint="eastAsia" w:ascii="宋体" w:hAnsi="宋体" w:cs="宋体"/>
          <w:b/>
          <w:bCs/>
          <w:sz w:val="24"/>
          <w:szCs w:val="24"/>
          <w:u w:val="single"/>
        </w:rPr>
        <w:t>防洪标准设防，其余河段按</w:t>
      </w:r>
      <w:r>
        <w:rPr>
          <w:rFonts w:ascii="宋体" w:hAnsi="宋体" w:cs="宋体"/>
          <w:b/>
          <w:bCs/>
          <w:sz w:val="24"/>
          <w:szCs w:val="24"/>
          <w:u w:val="single"/>
        </w:rPr>
        <w:t>20年一遇的防洪标准设防</w:t>
      </w:r>
      <w:r>
        <w:rPr>
          <w:rFonts w:hint="eastAsia" w:ascii="宋体" w:hAnsi="宋体" w:cs="宋体"/>
          <w:b/>
          <w:bCs/>
          <w:sz w:val="24"/>
          <w:szCs w:val="24"/>
          <w:u w:val="single"/>
        </w:rPr>
        <w:t>；郪江沿线城镇及重要河段均按</w:t>
      </w:r>
      <w:r>
        <w:rPr>
          <w:rFonts w:ascii="宋体" w:hAnsi="宋体" w:cs="宋体"/>
          <w:b/>
          <w:bCs/>
          <w:sz w:val="24"/>
          <w:szCs w:val="24"/>
          <w:u w:val="single"/>
        </w:rPr>
        <w:t>20</w:t>
      </w:r>
      <w:r>
        <w:rPr>
          <w:rFonts w:hint="eastAsia" w:ascii="宋体" w:hAnsi="宋体" w:cs="宋体"/>
          <w:b/>
          <w:bCs/>
          <w:sz w:val="24"/>
          <w:szCs w:val="24"/>
          <w:u w:val="single"/>
        </w:rPr>
        <w:t>年一遇防洪标准设防；片区内其余河道按</w:t>
      </w:r>
      <w:r>
        <w:rPr>
          <w:rFonts w:ascii="宋体" w:hAnsi="宋体" w:cs="宋体"/>
          <w:b/>
          <w:bCs/>
          <w:sz w:val="24"/>
          <w:szCs w:val="24"/>
          <w:u w:val="single"/>
        </w:rPr>
        <w:t>10</w:t>
      </w:r>
      <w:r>
        <w:rPr>
          <w:rFonts w:hint="eastAsia" w:ascii="宋体" w:hAnsi="宋体" w:cs="宋体"/>
          <w:b/>
          <w:bCs/>
          <w:sz w:val="24"/>
          <w:szCs w:val="24"/>
          <w:u w:val="single"/>
        </w:rPr>
        <w:t>年一遇防洪标准设防。</w:t>
      </w:r>
    </w:p>
    <w:p>
      <w:pPr>
        <w:pStyle w:val="81"/>
        <w:numPr>
          <w:ilvl w:val="0"/>
          <w:numId w:val="4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抗震减灾规划</w:t>
      </w:r>
    </w:p>
    <w:p>
      <w:pPr>
        <w:tabs>
          <w:tab w:val="left" w:pos="0"/>
        </w:tabs>
        <w:spacing w:line="360" w:lineRule="auto"/>
        <w:ind w:firstLine="482" w:firstLineChars="200"/>
        <w:rPr>
          <w:rFonts w:ascii="宋体" w:hAnsi="宋体" w:cs="宋体"/>
          <w:b/>
          <w:bCs/>
          <w:sz w:val="24"/>
          <w:szCs w:val="24"/>
          <w:u w:val="single"/>
        </w:rPr>
      </w:pPr>
      <w:bookmarkStart w:id="503" w:name="_Hlk141951753"/>
      <w:r>
        <w:rPr>
          <w:rFonts w:hint="eastAsia" w:ascii="宋体" w:hAnsi="宋体" w:cs="宋体"/>
          <w:b/>
          <w:bCs/>
          <w:sz w:val="24"/>
          <w:szCs w:val="24"/>
          <w:u w:val="single"/>
        </w:rPr>
        <w:t>依据《中国地震动参数区划图》，片区地震动峰值加速度为0.05g，地震动反应谱特征周期秒0.35s，抗震设防基本烈度值为Ⅵ度。重大基础设施工程、生命线工程、易发生次生灾害的设施应按照《建筑工程抗震设防分类标准》要求进行设防。对新建、扩建和改建工程中的重大建设工程和可能发生次生灾害的建设工程，必须进行地震安全性评价。</w:t>
      </w:r>
    </w:p>
    <w:bookmarkEnd w:id="503"/>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城镇建设及乡村居民点应选择对抗震有利的地段，严禁在断裂、滑坡等危险地带和地震可能引起火灾、水灾、泥石流等次生灾害的地区选址。全域应做详细地质勘察，规划建设应保证建设条件安全可靠，如需建设，在建设前必须先进行不良地质灾害评估，并根据评估报告进行治理，取得相关部门同意后方能开展。</w:t>
      </w:r>
    </w:p>
    <w:p>
      <w:pPr>
        <w:pStyle w:val="81"/>
        <w:numPr>
          <w:ilvl w:val="0"/>
          <w:numId w:val="4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消防规划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在隆盛、回马布局一级乡镇专职消防站，金元镇成立乡镇志愿消防队</w:t>
      </w:r>
      <w:r>
        <w:rPr>
          <w:rFonts w:ascii="宋体" w:hAnsi="宋体" w:cs="宋体"/>
          <w:sz w:val="24"/>
          <w:szCs w:val="24"/>
        </w:rPr>
        <w:t>,</w:t>
      </w:r>
      <w:r>
        <w:rPr>
          <w:rFonts w:hint="eastAsia" w:ascii="宋体" w:hAnsi="宋体" w:cs="宋体"/>
          <w:sz w:val="24"/>
          <w:szCs w:val="24"/>
        </w:rPr>
        <w:t>其他乡村地区建立群众义务消防队或志愿消防队，作为最小应急单元，形成以镇区消防站为中心、村义务消防员为补充的消防网络。</w:t>
      </w:r>
    </w:p>
    <w:p>
      <w:pPr>
        <w:pStyle w:val="81"/>
        <w:numPr>
          <w:ilvl w:val="0"/>
          <w:numId w:val="4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地质灾害防治</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依据《四川省大英县地质灾害风险调查评价项目成果报告》，片区内现有地质灾害隐患点</w:t>
      </w:r>
      <w:r>
        <w:rPr>
          <w:rFonts w:ascii="宋体" w:hAnsi="宋体" w:cs="宋体"/>
          <w:sz w:val="24"/>
          <w:szCs w:val="24"/>
        </w:rPr>
        <w:t>28</w:t>
      </w:r>
      <w:r>
        <w:rPr>
          <w:rFonts w:hint="eastAsia" w:ascii="宋体" w:hAnsi="宋体" w:cs="宋体"/>
          <w:sz w:val="24"/>
          <w:szCs w:val="24"/>
        </w:rPr>
        <w:t>处，其中滑坡</w:t>
      </w:r>
      <w:r>
        <w:rPr>
          <w:rFonts w:ascii="宋体" w:hAnsi="宋体" w:cs="宋体"/>
          <w:sz w:val="24"/>
          <w:szCs w:val="24"/>
        </w:rPr>
        <w:t>14</w:t>
      </w:r>
      <w:r>
        <w:rPr>
          <w:rFonts w:hint="eastAsia" w:ascii="宋体" w:hAnsi="宋体" w:cs="宋体"/>
          <w:sz w:val="24"/>
          <w:szCs w:val="24"/>
        </w:rPr>
        <w:t>处，崩塌</w:t>
      </w:r>
      <w:r>
        <w:rPr>
          <w:rFonts w:ascii="宋体" w:hAnsi="宋体" w:cs="宋体"/>
          <w:sz w:val="24"/>
          <w:szCs w:val="24"/>
        </w:rPr>
        <w:t>14</w:t>
      </w:r>
      <w:r>
        <w:rPr>
          <w:rFonts w:hint="eastAsia" w:ascii="宋体" w:hAnsi="宋体" w:cs="宋体"/>
          <w:sz w:val="24"/>
          <w:szCs w:val="24"/>
        </w:rPr>
        <w:t>处，各类地质灾害点及影响范围面积共计3</w:t>
      </w:r>
      <w:r>
        <w:rPr>
          <w:rFonts w:ascii="宋体" w:hAnsi="宋体" w:cs="宋体"/>
          <w:sz w:val="24"/>
          <w:szCs w:val="24"/>
        </w:rPr>
        <w:t>9.6</w:t>
      </w:r>
      <w:r>
        <w:rPr>
          <w:rFonts w:hint="eastAsia" w:ascii="宋体" w:hAnsi="宋体" w:cs="宋体"/>
          <w:sz w:val="24"/>
          <w:szCs w:val="24"/>
        </w:rPr>
        <w:t>公顷。规划将区域内现状发育地质灾害点及影响范围划为地质灾害风险控制线，主要分布于回马镇域东西两侧、隆盛镇区东侧和金元镇区南侧。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依据《四川省大英县地质灾害风险调查评价项目成果报告》，片区地质灾害防治分区划分为重点防治区、次重点防治区和一般防治区三级。重点防治区为天保镇桂花咀村—建新村重点防治区金元镇部分，总面积0</w:t>
      </w:r>
      <w:r>
        <w:rPr>
          <w:rFonts w:ascii="宋体" w:hAnsi="宋体" w:cs="宋体"/>
          <w:sz w:val="24"/>
          <w:szCs w:val="24"/>
        </w:rPr>
        <w:t>.58</w:t>
      </w:r>
      <w:r>
        <w:rPr>
          <w:rFonts w:hint="eastAsia" w:ascii="宋体" w:hAnsi="宋体" w:cs="宋体"/>
          <w:sz w:val="24"/>
          <w:szCs w:val="24"/>
        </w:rPr>
        <w:t>平方公里。次重点防治区包括回马镇金山村—狮子坡村次重点防治区、金元镇高金村—洞坡村—金河湾村次重点防治区、隆盛镇百盛村—五莲村次重点防治区，总面积1</w:t>
      </w:r>
      <w:r>
        <w:rPr>
          <w:rFonts w:ascii="宋体" w:hAnsi="宋体" w:cs="宋体"/>
          <w:sz w:val="24"/>
          <w:szCs w:val="24"/>
        </w:rPr>
        <w:t>5.05</w:t>
      </w:r>
      <w:r>
        <w:rPr>
          <w:rFonts w:hint="eastAsia" w:ascii="宋体" w:hAnsi="宋体" w:cs="宋体"/>
          <w:sz w:val="24"/>
          <w:szCs w:val="24"/>
        </w:rPr>
        <w:t>平方公里。一般防治区为片区除重点防治区和次重点防治区以外的其他区域，总面积</w:t>
      </w:r>
      <w:r>
        <w:rPr>
          <w:rFonts w:ascii="宋体" w:hAnsi="宋体" w:cs="宋体"/>
          <w:sz w:val="24"/>
          <w:szCs w:val="24"/>
        </w:rPr>
        <w:t>190.56</w:t>
      </w:r>
      <w:r>
        <w:rPr>
          <w:rFonts w:hint="eastAsia" w:ascii="宋体" w:hAnsi="宋体" w:cs="宋体"/>
          <w:sz w:val="24"/>
          <w:szCs w:val="24"/>
        </w:rPr>
        <w:t>平方公里。</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地质灾害危险性评估，坚持预防为主、避让与治理相结合原则，采取以监测和避让措施为主，工程治理为辅等方式开展地质灾害防治。强化“人防+技防”的监测预警网络建设，充分运用无人机、卫星遥感等高科技防灾设备和防灾手段，不断提升地质灾害监测预警科技水平。长远上采取生物防治措施和合理规划各类工程建设布局等防治措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城镇建设及乡村居民点应选择对抗震有利地段，严禁在崩塌、滑坡等危险地带和地震可能引起火灾、水灾等次生灾害的地区选址。全域应做详细地质勘察，规划建设应保证建设条件安全可靠，建设前必须先进行不良地质灾害评估，并根据评估报告进行治理，取得相关部门同意后方能开展。工程选址在考虑工程地基好坏的同时，应首先查清外围有无可能危及工程安全的地质灾害隐患存在，评估工程建设本身诱发地质灾害的可能性和遭受地质灾害的危险性，尽可能地避开地质灾害体。对于无法避让的，应采取必要的工程治理及保护措施。合理规范人类工程活动，杜绝或减轻诱发地质灾害发生的人为因素。</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积极开展地质灾害分类防治，实施避让撤迁工程、排危除险工程和重大地质灾害治理工程。规划对隆盛镇新民村滑坡等</w:t>
      </w:r>
      <w:r>
        <w:rPr>
          <w:rFonts w:ascii="宋体" w:hAnsi="宋体" w:cs="宋体"/>
          <w:sz w:val="24"/>
          <w:szCs w:val="24"/>
        </w:rPr>
        <w:t>4</w:t>
      </w:r>
      <w:r>
        <w:rPr>
          <w:rFonts w:hint="eastAsia" w:ascii="宋体" w:hAnsi="宋体" w:cs="宋体"/>
          <w:sz w:val="24"/>
          <w:szCs w:val="24"/>
        </w:rPr>
        <w:t>处灾害点进行工程治理，对金元镇金河湾村滑坡等</w:t>
      </w:r>
      <w:r>
        <w:rPr>
          <w:rFonts w:ascii="宋体" w:hAnsi="宋体" w:cs="宋体"/>
          <w:sz w:val="24"/>
          <w:szCs w:val="24"/>
        </w:rPr>
        <w:t>5</w:t>
      </w:r>
      <w:r>
        <w:rPr>
          <w:rFonts w:hint="eastAsia" w:ascii="宋体" w:hAnsi="宋体" w:cs="宋体"/>
          <w:sz w:val="24"/>
          <w:szCs w:val="24"/>
        </w:rPr>
        <w:t>处灾害点进行排危除险，对金元镇洞坡村</w:t>
      </w:r>
      <w:r>
        <w:rPr>
          <w:rFonts w:ascii="宋体" w:hAnsi="宋体" w:cs="宋体"/>
          <w:sz w:val="24"/>
          <w:szCs w:val="24"/>
        </w:rPr>
        <w:t>6</w:t>
      </w:r>
      <w:r>
        <w:rPr>
          <w:rFonts w:hint="eastAsia" w:ascii="宋体" w:hAnsi="宋体" w:cs="宋体"/>
          <w:sz w:val="24"/>
          <w:szCs w:val="24"/>
        </w:rPr>
        <w:t>社崩塌等1处在灾害点进行避险搬迁，对其余</w:t>
      </w:r>
      <w:r>
        <w:rPr>
          <w:rFonts w:ascii="宋体" w:hAnsi="宋体" w:cs="宋体"/>
          <w:sz w:val="24"/>
          <w:szCs w:val="24"/>
        </w:rPr>
        <w:t>17</w:t>
      </w:r>
      <w:r>
        <w:rPr>
          <w:rFonts w:hint="eastAsia" w:ascii="宋体" w:hAnsi="宋体" w:cs="宋体"/>
          <w:sz w:val="24"/>
          <w:szCs w:val="24"/>
        </w:rPr>
        <w:t>处地灾点采取群测群防等方式进行防控。加强地质灾害防灾减灾应急能力建设，提升突发地质灾害事件应对水平。</w:t>
      </w:r>
      <w:r>
        <w:rPr>
          <w:rFonts w:hint="eastAsia" w:ascii="宋体" w:hAnsi="宋体" w:cs="宋体"/>
          <w:b/>
          <w:bCs/>
          <w:sz w:val="24"/>
          <w:szCs w:val="24"/>
          <w:u w:val="single"/>
        </w:rPr>
        <w:t>片区范围内各项施工建设均应委托具有相应资质的单位进行工程地质详细勘察，并依据工程地质详细勘察资料及地质灾害评估报告的建议和结论指导项目建设。</w:t>
      </w:r>
    </w:p>
    <w:p>
      <w:pPr>
        <w:pStyle w:val="81"/>
        <w:numPr>
          <w:ilvl w:val="0"/>
          <w:numId w:val="4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防疫规划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构建乡镇级—村级两级防控体系，以社区、村为单元建立个</w:t>
      </w:r>
      <w:r>
        <w:rPr>
          <w:rFonts w:ascii="宋体" w:hAnsi="宋体" w:cs="宋体"/>
          <w:sz w:val="24"/>
          <w:szCs w:val="24"/>
        </w:rPr>
        <w:t>55</w:t>
      </w:r>
      <w:r>
        <w:rPr>
          <w:rFonts w:hint="eastAsia" w:ascii="宋体" w:hAnsi="宋体" w:cs="宋体"/>
          <w:sz w:val="24"/>
          <w:szCs w:val="24"/>
        </w:rPr>
        <w:t>公共卫生安全管控分区。规划在隆盛、回马镇区配套建设应对突发公共卫生事件的相关医疗设施，可结合隆盛镇县域医疗卫生次中心建设和回马大英县第二人民医院住院综合楼建设，考虑在常规病区之外增设规模适度且具有高院感控制功效的传染病后备诊疗区，在非疫情期间可用作普通病区，在重大传染病疫情发生时可迅速转变为功能独立的传染病患者救治区。结合镇区规划留白，预留急疫病防控救治用地，预留交通和基础设施接入条件。结合村委会或卫生室设立公共卫生安全管控观察点，确保发生相关疫情时能快速采取措施进行控制。</w:t>
      </w:r>
    </w:p>
    <w:p>
      <w:pPr>
        <w:numPr>
          <w:ilvl w:val="1"/>
          <w:numId w:val="22"/>
        </w:numPr>
        <w:tabs>
          <w:tab w:val="left" w:pos="680"/>
          <w:tab w:val="left" w:pos="840"/>
        </w:tabs>
        <w:spacing w:before="312" w:beforeLines="100" w:after="312" w:afterLines="100" w:line="440" w:lineRule="exact"/>
        <w:jc w:val="left"/>
        <w:outlineLvl w:val="1"/>
        <w:rPr>
          <w:rFonts w:hAnsi="宋体"/>
          <w:b/>
          <w:sz w:val="28"/>
          <w:szCs w:val="28"/>
        </w:rPr>
      </w:pPr>
      <w:bookmarkStart w:id="504" w:name="_Toc141369728"/>
      <w:bookmarkStart w:id="505" w:name="_Toc106960178"/>
      <w:r>
        <w:rPr>
          <w:rFonts w:hint="eastAsia" w:hAnsi="宋体"/>
          <w:b/>
          <w:sz w:val="28"/>
          <w:szCs w:val="28"/>
        </w:rPr>
        <w:t>品质提升规划</w:t>
      </w:r>
      <w:bookmarkEnd w:id="504"/>
      <w:bookmarkEnd w:id="505"/>
    </w:p>
    <w:p>
      <w:pPr>
        <w:pStyle w:val="5"/>
        <w:numPr>
          <w:ilvl w:val="0"/>
          <w:numId w:val="45"/>
        </w:numPr>
        <w:spacing w:line="360" w:lineRule="auto"/>
        <w:ind w:left="0" w:firstLine="482" w:firstLineChars="200"/>
        <w:rPr>
          <w:b/>
          <w:bCs/>
        </w:rPr>
      </w:pPr>
      <w:r>
        <w:rPr>
          <w:rFonts w:hint="eastAsia"/>
          <w:b/>
          <w:bCs/>
        </w:rPr>
        <w:t>乡村人居环境品质提升规划</w:t>
      </w:r>
    </w:p>
    <w:p>
      <w:pPr>
        <w:pStyle w:val="81"/>
        <w:numPr>
          <w:ilvl w:val="0"/>
          <w:numId w:val="4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乡村风貌管控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推进田园风貌大地景观化、景观乡土化。围绕“林上山、田下川”的思路，推进林地成片、成带、成盘；结合高标准农田建设，推进耕地连片化，构建道地中药材、绿色蔬菜现代农业园区</w:t>
      </w:r>
      <w:r>
        <w:rPr>
          <w:rFonts w:ascii="宋体" w:hAnsi="宋体" w:cs="宋体"/>
          <w:sz w:val="24"/>
          <w:szCs w:val="24"/>
        </w:rPr>
        <w:t xml:space="preserve"> </w:t>
      </w:r>
      <w:r>
        <w:rPr>
          <w:rFonts w:hint="eastAsia" w:ascii="宋体" w:hAnsi="宋体" w:cs="宋体"/>
          <w:sz w:val="24"/>
          <w:szCs w:val="24"/>
        </w:rPr>
        <w:t>“沃野千里”的大地景观和丘区连片粮油“丘谷冲田”大地景观。通过土地优化调整，推进零碎园地整合与规模化；结合片区道地中药材、绿色蔬菜、种养循环等农耕文化元素，推进田园景观艺术化，构建 “春赏百花、秋游稻浪”的乡村田园风貌。</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构建村庄风貌看得见山、望得见水、记得住乡愁的总体格局。严格保护现状山体、水域、耕地和林地，以尊重现状蓝绿格局为基础，顺应山水林田自然格局，布局乡村聚居点，融入地域乡土文化，构建乡村自然生态文化格局。其中，平坝区居民点遵循“小规模、组团式、微田园、生态化”原则，居民点宜团状、簇状组团布局，充分利用河道水系、滨水平坝等特色要素，构建景村交融的大地景观。丘陵区居民点应尊重地形，顺应等高线或沿乡村道路，形成带状组团或支状组团布局形式，居民点的整体轮廓应与周边自然景观相协调，结合地形起伏及建筑高低组合、前进后退，营造错落有致的天际线。</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民居建筑风格统一，延续传统川中民居风貌特色。参照《遂宁市美丽乡村风貌导则及民居设计图集》，隆盛镇和金元镇为平坝新川式风貌区，回马镇为滨水现代风貌区。规划按照“建筑组团、居民院落、道路门户”三种类型管控引导农房建筑风貌，具体管控要求详见附表7</w:t>
      </w:r>
      <w:r>
        <w:rPr>
          <w:rFonts w:ascii="宋体" w:hAnsi="宋体" w:cs="宋体"/>
          <w:sz w:val="24"/>
          <w:szCs w:val="24"/>
        </w:rPr>
        <w:t>。</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商业建筑风格特色突出。在乡土民俗特色基础上，建筑风格应在本地统一建筑风格基础上进一步特色化，将创新元素融入到建筑设计内，增加设计亮点。</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公共设施建筑本土化处理。根据乡村功能需求，本着提升乡村服务能力，完善农村公共服务系统的目的，</w:t>
      </w:r>
      <w:bookmarkStart w:id="506" w:name="_Hlk128732801"/>
      <w:r>
        <w:rPr>
          <w:rFonts w:hint="eastAsia" w:ascii="宋体" w:hAnsi="宋体" w:cs="宋体"/>
          <w:sz w:val="24"/>
          <w:szCs w:val="24"/>
        </w:rPr>
        <w:t>在公服配套设施建设过程中</w:t>
      </w:r>
      <w:bookmarkEnd w:id="506"/>
      <w:r>
        <w:rPr>
          <w:rFonts w:hint="eastAsia" w:ascii="宋体" w:hAnsi="宋体" w:cs="宋体"/>
          <w:sz w:val="24"/>
          <w:szCs w:val="24"/>
        </w:rPr>
        <w:t>，注重功能的融合以及场所的塑造，风貌体现乡土特色，展现地域文化。</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重要空间节点乡村景观化处理。山顶制高点应在保护山体自然形态的前提下，打造依山就势，打造山顶景观瞭望点或景观平台，控制节点尺度、材质和色彩与整体环境相融合，营造山地景观节点。公共广场可布置于公共建筑、重要景观节点、名木古树周边，或与村落入口空间合用，要体现村庄文化特色，依托既有人文景观，多元展现村庄文化的历史记忆和乡风民俗；要多样化配置广场使用功能，提升广场空间活力，同时要兼顾经济性与生态性。村庄入口空间需彰显村庄的文化特色并与村庄整体风貌相协调，对进出人群有一定空间引导性，可布置门楼、牌坊、景墙、景石、雕塑等入口标识，选材、尺度、色彩应与周围环境相协调，宜融入当地文貌特征，具有识别性，文字应清晰且易于辨认，同时，可利用本土植被进行绿化处理，打造层次丰富的生态入口景观。</w:t>
      </w:r>
    </w:p>
    <w:p>
      <w:pPr>
        <w:pStyle w:val="81"/>
        <w:numPr>
          <w:ilvl w:val="0"/>
          <w:numId w:val="4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乡村人居环境整治</w:t>
      </w:r>
    </w:p>
    <w:p>
      <w:pPr>
        <w:tabs>
          <w:tab w:val="left" w:pos="0"/>
        </w:tabs>
        <w:spacing w:line="360" w:lineRule="auto"/>
        <w:ind w:firstLine="480" w:firstLineChars="200"/>
        <w:rPr>
          <w:rFonts w:ascii="宋体" w:hAnsi="宋体" w:eastAsia="宋体" w:cs="宋体"/>
          <w:sz w:val="24"/>
        </w:rPr>
      </w:pPr>
      <w:bookmarkStart w:id="507" w:name="_Hlk128994133"/>
      <w:r>
        <w:rPr>
          <w:rFonts w:hint="eastAsia" w:ascii="宋体" w:hAnsi="宋体" w:cs="宋体"/>
          <w:sz w:val="24"/>
          <w:szCs w:val="24"/>
        </w:rPr>
        <w:t>完善农村生活垃圾治理体系，建立健全垃圾分类管理制度，完善垃圾处理设施建设，乡镇垃圾压缩中转站全覆盖，区域所有行政村生活垃圾得到有效治理，至规划期末，农村生活垃圾处理率达到1</w:t>
      </w:r>
      <w:r>
        <w:rPr>
          <w:rFonts w:ascii="宋体" w:hAnsi="宋体" w:cs="宋体"/>
          <w:sz w:val="24"/>
          <w:szCs w:val="24"/>
        </w:rPr>
        <w:t>00</w:t>
      </w:r>
      <w:r>
        <w:rPr>
          <w:rFonts w:hint="eastAsia" w:ascii="宋体" w:hAnsi="宋体" w:cs="宋体"/>
          <w:sz w:val="24"/>
          <w:szCs w:val="24"/>
        </w:rPr>
        <w:t>%。强化提高农村生活污水治理，有条件农村生活污水纳入城镇市政管网统一处理，距城镇市政管网较远的农村居民点修建一体化污水处理设施处理，至规划期末，</w:t>
      </w:r>
      <w:r>
        <w:rPr>
          <w:rFonts w:ascii="宋体" w:hAnsi="宋体" w:cs="宋体"/>
          <w:sz w:val="24"/>
          <w:szCs w:val="24"/>
        </w:rPr>
        <w:t>行政村污水</w:t>
      </w:r>
      <w:r>
        <w:rPr>
          <w:rFonts w:hint="eastAsia" w:ascii="宋体" w:hAnsi="宋体" w:cs="宋体"/>
          <w:sz w:val="24"/>
          <w:szCs w:val="24"/>
        </w:rPr>
        <w:t>有效处理率达</w:t>
      </w:r>
      <w:r>
        <w:rPr>
          <w:rFonts w:ascii="宋体" w:hAnsi="宋体" w:cs="宋体"/>
          <w:sz w:val="24"/>
          <w:szCs w:val="24"/>
        </w:rPr>
        <w:t>100%</w:t>
      </w:r>
      <w:r>
        <w:rPr>
          <w:rFonts w:hint="eastAsia" w:ascii="宋体" w:hAnsi="宋体" w:cs="宋体"/>
          <w:sz w:val="24"/>
          <w:szCs w:val="24"/>
        </w:rPr>
        <w:t>。加大农村黑臭水体清理整治力度，以房前屋后、河塘沟渠为重点，清捡漂浮垃圾，实施清淤疏浚，逐步消除农村黑臭水体。大力推进农村厕所革命，推进农村户用厕所改造，统筹农村公共厕所建设，至规划期末，农村户用厕所普及率达到100%。加大农村面源污染防控，推进畜禽粪污资源化利用</w:t>
      </w:r>
      <w:r>
        <w:rPr>
          <w:rFonts w:ascii="宋体" w:hAnsi="宋体" w:cs="宋体"/>
          <w:sz w:val="24"/>
          <w:szCs w:val="24"/>
        </w:rPr>
        <w:t>,</w:t>
      </w:r>
      <w:r>
        <w:rPr>
          <w:rFonts w:hint="eastAsia" w:ascii="宋体" w:hAnsi="宋体" w:cs="宋体"/>
          <w:sz w:val="24"/>
          <w:szCs w:val="24"/>
        </w:rPr>
        <w:t xml:space="preserve"> 至规划期末，</w:t>
      </w:r>
      <w:r>
        <w:rPr>
          <w:rFonts w:ascii="宋体" w:hAnsi="宋体" w:cs="宋体"/>
          <w:sz w:val="24"/>
          <w:szCs w:val="24"/>
        </w:rPr>
        <w:t>畜禽粪污资源化利用率达到90%以上。加大秸秆综合利用，</w:t>
      </w:r>
      <w:r>
        <w:rPr>
          <w:rFonts w:hint="eastAsia" w:ascii="宋体" w:hAnsi="宋体" w:cs="宋体"/>
          <w:sz w:val="24"/>
          <w:szCs w:val="24"/>
        </w:rPr>
        <w:t>建立健全秸秆经济、便捷、高效收储运体系，至规划期末，区域秸秆综合利用率提高至</w:t>
      </w:r>
      <w:r>
        <w:rPr>
          <w:rFonts w:ascii="宋体" w:hAnsi="宋体" w:cs="宋体"/>
          <w:sz w:val="24"/>
          <w:szCs w:val="24"/>
        </w:rPr>
        <w:t>90%以上</w:t>
      </w:r>
      <w:bookmarkEnd w:id="507"/>
      <w:r>
        <w:rPr>
          <w:rFonts w:ascii="宋体" w:hAnsi="宋体" w:cs="宋体"/>
          <w:sz w:val="24"/>
          <w:szCs w:val="24"/>
        </w:rPr>
        <w:t>。</w:t>
      </w:r>
    </w:p>
    <w:p>
      <w:pPr>
        <w:pStyle w:val="5"/>
        <w:numPr>
          <w:ilvl w:val="0"/>
          <w:numId w:val="45"/>
        </w:numPr>
        <w:spacing w:line="360" w:lineRule="auto"/>
        <w:ind w:left="0" w:firstLine="482" w:firstLineChars="200"/>
        <w:rPr>
          <w:b/>
          <w:bCs/>
        </w:rPr>
      </w:pPr>
      <w:r>
        <w:rPr>
          <w:rFonts w:hint="eastAsia"/>
          <w:b/>
          <w:bCs/>
        </w:rPr>
        <w:t>全域土地综合整治</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开展全域土地综合整治，因地制宜制定农用地、建设用地整治策略。农用地整治主要通过宜耕后备资源开发、土地提质改造和高标准农田建设等措施，实现耕地提质增量，提升农业空间品质。建设用地整治主要通过农村建设用地整治和低效闲置用地盘活等措施，实现土地集约高效利用和城镇的有机更新，提升人居环境品质。</w:t>
      </w:r>
    </w:p>
    <w:p>
      <w:pPr>
        <w:pStyle w:val="81"/>
        <w:numPr>
          <w:ilvl w:val="0"/>
          <w:numId w:val="47"/>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农用地综合整治</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挖掘片区内可开发整理土地资源，主要为其他草地。结合农业生产适宜性评价和后备耕地资源开发整理数据，片区内可开发整理土地规模约</w:t>
      </w:r>
      <w:r>
        <w:rPr>
          <w:rFonts w:ascii="宋体" w:hAnsi="宋体" w:cs="宋体"/>
          <w:sz w:val="24"/>
          <w:szCs w:val="24"/>
        </w:rPr>
        <w:t>21.36</w:t>
      </w:r>
      <w:r>
        <w:rPr>
          <w:rFonts w:hint="eastAsia" w:ascii="宋体" w:hAnsi="宋体" w:cs="宋体"/>
          <w:sz w:val="24"/>
          <w:szCs w:val="24"/>
        </w:rPr>
        <w:t>公顷。</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挖掘片区可恢复耕地土地资源，包括即可恢复和工程恢复用地，以林地、园地为主。结合农业生产适宜性评价和后备耕地资源开发整理数据，片区内可恢复耕地土地资源规模约1656.11公顷，其中即可恢复320.38公顷，工程恢复1335.73公顷。</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优先选取坡度小于25度、周边地类大部分为水田、有充足水源和排水区的旱地进行改造，结合后备耕地资源开发整理数据，划定“旱改水”整治潜力面积约</w:t>
      </w:r>
      <w:r>
        <w:rPr>
          <w:rFonts w:ascii="宋体" w:hAnsi="宋体" w:cs="宋体"/>
          <w:sz w:val="24"/>
          <w:szCs w:val="24"/>
        </w:rPr>
        <w:t>70.79</w:t>
      </w:r>
      <w:r>
        <w:rPr>
          <w:rFonts w:hint="eastAsia" w:ascii="宋体" w:hAnsi="宋体" w:cs="宋体"/>
          <w:sz w:val="24"/>
          <w:szCs w:val="24"/>
        </w:rPr>
        <w:t>平方公里。</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结合区域农田水利设施建设和污染治理，避开生态脆弱地区、土地严重损毁难以恢复区域、退耕还林还草区域、河流、湖泊、水库水面及其保护范围、潜在地质灾害点等区域，优先在划定的永久基本农田和粮食生产功能区、重要农产品生产保护区上进行高标准农田建设，除已建成的高标准农田外，规划划定可建设高标准农田的潜力规模约5</w:t>
      </w:r>
      <w:r>
        <w:rPr>
          <w:rFonts w:ascii="宋体" w:hAnsi="宋体" w:cs="宋体"/>
          <w:sz w:val="24"/>
          <w:szCs w:val="24"/>
        </w:rPr>
        <w:t>8.16</w:t>
      </w:r>
      <w:r>
        <w:rPr>
          <w:rFonts w:hint="eastAsia" w:ascii="宋体" w:hAnsi="宋体" w:cs="宋体"/>
          <w:sz w:val="24"/>
          <w:szCs w:val="24"/>
        </w:rPr>
        <w:t>平方公里</w:t>
      </w:r>
      <w:r>
        <w:rPr>
          <w:rFonts w:ascii="宋体" w:hAnsi="宋体" w:cs="宋体"/>
          <w:sz w:val="24"/>
          <w:szCs w:val="24"/>
        </w:rPr>
        <w:t>。</w:t>
      </w:r>
    </w:p>
    <w:p>
      <w:pPr>
        <w:pStyle w:val="81"/>
        <w:numPr>
          <w:ilvl w:val="0"/>
          <w:numId w:val="47"/>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建设用地整治</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宅基地整治应尊重村民意愿，与防灾避灾相结合，宜拆则拆。优先拆除农民自愿退出的宅基地（优先考虑土坯房），引导拆除地灾范围内宅基地、水源一级保护区内宅基地、一级公益林内宅基地。规划对农民自愿退出、上位规划已明确重点项目占用、废弃闲置的宅基地和受地质灾害影响、地形条件较差且交通不便、分布零散等居民点进行复垦，预计可腾挪宅基地规模为292.68公顷，作为占补平衡利用的指标。充分结合乡村产业布局和自然肌理，衔接城镇建设适宜性评价结果，规划扩建居民点</w:t>
      </w:r>
      <w:r>
        <w:rPr>
          <w:rFonts w:ascii="宋体" w:hAnsi="宋体" w:cs="宋体"/>
          <w:sz w:val="24"/>
          <w:szCs w:val="24"/>
        </w:rPr>
        <w:t>180</w:t>
      </w:r>
      <w:r>
        <w:rPr>
          <w:rFonts w:hint="eastAsia" w:ascii="宋体" w:hAnsi="宋体" w:cs="宋体"/>
          <w:sz w:val="24"/>
          <w:szCs w:val="24"/>
        </w:rPr>
        <w:t>个，新建居民点</w:t>
      </w:r>
      <w:r>
        <w:rPr>
          <w:rFonts w:ascii="宋体" w:hAnsi="宋体" w:cs="宋体"/>
          <w:sz w:val="24"/>
          <w:szCs w:val="24"/>
        </w:rPr>
        <w:t>27</w:t>
      </w:r>
      <w:r>
        <w:rPr>
          <w:rFonts w:hint="eastAsia" w:ascii="宋体" w:hAnsi="宋体" w:cs="宋体"/>
          <w:sz w:val="24"/>
          <w:szCs w:val="24"/>
        </w:rPr>
        <w:t>个，共计102.2公顷。</w:t>
      </w:r>
    </w:p>
    <w:p>
      <w:pPr>
        <w:tabs>
          <w:tab w:val="left" w:pos="0"/>
        </w:tabs>
        <w:spacing w:line="360" w:lineRule="auto"/>
        <w:ind w:firstLine="480" w:firstLineChars="200"/>
      </w:pPr>
      <w:r>
        <w:rPr>
          <w:rFonts w:hint="eastAsia" w:ascii="宋体" w:hAnsi="宋体" w:cs="宋体"/>
          <w:sz w:val="24"/>
          <w:szCs w:val="24"/>
        </w:rPr>
        <w:t>盘活利用低效闲置建设用地，按照“公益优先、综合利用、分类解决”和“一地一策”的思路，优先保障紧缺设施的空间需求。对城镇布局散乱、利用粗放、用途不合理、建筑危旧、低容积率、高空置率的用地以及僵尸企业、污染企业的存量用地，通过土地整治，环境治理、功能置换、改造升级以及产业转型升级、回收再出让等方式进行盘活；对于乡村闲置产业用地、闲置宅基地以及撤并村闲置公共服务设施用地，应优先用于完善村级公共服务设施和乡村产业发展。规划盘活利用低效闲置用地1</w:t>
      </w:r>
      <w:r>
        <w:rPr>
          <w:rFonts w:ascii="宋体" w:hAnsi="宋体" w:cs="宋体"/>
          <w:sz w:val="24"/>
          <w:szCs w:val="24"/>
        </w:rPr>
        <w:t>1</w:t>
      </w:r>
      <w:r>
        <w:rPr>
          <w:rFonts w:hint="eastAsia" w:ascii="宋体" w:hAnsi="宋体" w:cs="宋体"/>
          <w:sz w:val="24"/>
          <w:szCs w:val="24"/>
        </w:rPr>
        <w:t>处，共计</w:t>
      </w:r>
      <w:r>
        <w:rPr>
          <w:rFonts w:ascii="宋体" w:hAnsi="宋体" w:cs="宋体"/>
          <w:sz w:val="24"/>
          <w:szCs w:val="24"/>
        </w:rPr>
        <w:t>7.71</w:t>
      </w:r>
      <w:r>
        <w:rPr>
          <w:rFonts w:hint="eastAsia" w:ascii="宋体" w:hAnsi="宋体" w:cs="宋体"/>
          <w:sz w:val="24"/>
          <w:szCs w:val="24"/>
        </w:rPr>
        <w:t>公顷。</w:t>
      </w:r>
    </w:p>
    <w:p>
      <w:pPr>
        <w:pStyle w:val="5"/>
        <w:numPr>
          <w:ilvl w:val="0"/>
          <w:numId w:val="45"/>
        </w:numPr>
        <w:spacing w:line="360" w:lineRule="auto"/>
        <w:ind w:left="0" w:firstLine="482" w:firstLineChars="200"/>
        <w:rPr>
          <w:b/>
          <w:bCs/>
        </w:rPr>
      </w:pPr>
      <w:r>
        <w:rPr>
          <w:rFonts w:hint="eastAsia"/>
          <w:b/>
          <w:bCs/>
        </w:rPr>
        <w:t>生态修复规划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遵循山“水林田湖草沙冰”生命共同体理念，以问题为导向，通过重点流域综合治理、湿地保护修复、水土流失综合治理、矿山生态修复等措施，恢复“山水林田湖草沙冰”系统生态功能，提升生态环境品质。</w:t>
      </w:r>
    </w:p>
    <w:p>
      <w:pPr>
        <w:pStyle w:val="81"/>
        <w:numPr>
          <w:ilvl w:val="0"/>
          <w:numId w:val="4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流域综合治理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加快推进小流域综合整治，采取环境治理工程措施与生态修复相结合，开展河岸退耕、水土保持整治和农村污染源治理为重点的污染防治工作。重点对小蒜溪流域10公里河床进行清淤，新建人工湿地2公里，整治护坡5公里；对黄腊溪流域8公里河床进行清淤，新建永前场镇污水管网1.5公里，建设滨河湿地3公里。</w:t>
      </w:r>
    </w:p>
    <w:p>
      <w:pPr>
        <w:pStyle w:val="81"/>
        <w:numPr>
          <w:ilvl w:val="0"/>
          <w:numId w:val="4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湿地保护修复</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坚持自然恢复为主、人工修复为辅的方式，对集中连片、破碎化严重、功能退化的自然湿地进行修复和综合整治。重点保护涪江流域近岸湿地资源，开展涪江沿岸采砂工矿用地整治修复，恢复湿地面积5</w:t>
      </w:r>
      <w:r>
        <w:rPr>
          <w:rFonts w:ascii="宋体" w:hAnsi="宋体" w:cs="宋体"/>
          <w:sz w:val="24"/>
          <w:szCs w:val="24"/>
        </w:rPr>
        <w:t>.47</w:t>
      </w:r>
      <w:r>
        <w:rPr>
          <w:rFonts w:hint="eastAsia" w:ascii="宋体" w:hAnsi="宋体" w:cs="宋体"/>
          <w:sz w:val="24"/>
          <w:szCs w:val="24"/>
        </w:rPr>
        <w:t>公顷。</w:t>
      </w:r>
    </w:p>
    <w:p>
      <w:pPr>
        <w:pStyle w:val="81"/>
        <w:numPr>
          <w:ilvl w:val="0"/>
          <w:numId w:val="4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水土流失综合治理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坚持小流域为单元，以坡改梯为重点，针对回马镇瑰溪开展水土流失综合治理，计划治理水土流失面积约</w:t>
      </w:r>
      <w:r>
        <w:rPr>
          <w:rFonts w:ascii="宋体" w:hAnsi="宋体" w:cs="宋体"/>
          <w:sz w:val="24"/>
          <w:szCs w:val="24"/>
        </w:rPr>
        <w:t>1</w:t>
      </w:r>
      <w:r>
        <w:rPr>
          <w:rFonts w:hint="eastAsia" w:ascii="宋体" w:hAnsi="宋体" w:cs="宋体"/>
          <w:sz w:val="24"/>
          <w:szCs w:val="24"/>
        </w:rPr>
        <w:t>0平方公里。</w:t>
      </w:r>
    </w:p>
    <w:p>
      <w:pPr>
        <w:pStyle w:val="81"/>
        <w:numPr>
          <w:ilvl w:val="0"/>
          <w:numId w:val="4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矿山生态修复</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加强矿山生态修复和保护，按照“谁破坏、谁恢复，谁污染、谁治理、谁治理、谁受益”的原则，进一步加强矿山环境保护与治理恢复，推进矿区土地复垦。规划对大英县回马镇黄家弯四通机砖厂进行环境恢复治理，面积0</w:t>
      </w:r>
      <w:r>
        <w:rPr>
          <w:rFonts w:ascii="宋体" w:hAnsi="宋体" w:cs="宋体"/>
          <w:sz w:val="24"/>
          <w:szCs w:val="24"/>
        </w:rPr>
        <w:t>.76</w:t>
      </w:r>
      <w:r>
        <w:rPr>
          <w:rFonts w:hint="eastAsia" w:ascii="宋体" w:hAnsi="宋体" w:cs="宋体"/>
          <w:sz w:val="24"/>
          <w:szCs w:val="24"/>
        </w:rPr>
        <w:t>公顷。对已开发矿山进行地质环境动态巡查和生态修复，</w:t>
      </w:r>
      <w:r>
        <w:rPr>
          <w:rFonts w:ascii="宋体" w:hAnsi="宋体" w:cs="宋体"/>
          <w:sz w:val="24"/>
          <w:szCs w:val="24"/>
        </w:rPr>
        <w:t>新建矿山做到边开采、边复垦，破坏土地复垦率达到100%以上。重要城镇周边、主干河流及重要交通干线两侧直观可视范围内的露天采场进行复垦，破坏山体的造林绿化及景观修复治理率达到100%。</w:t>
      </w:r>
      <w:r>
        <w:rPr>
          <w:rFonts w:hint="eastAsia" w:ascii="宋体" w:hAnsi="宋体" w:cs="宋体"/>
          <w:sz w:val="24"/>
          <w:szCs w:val="24"/>
        </w:rPr>
        <w:t>根据涪江生态保护管控要求和现状采砂企业发展情况，逐步有序腾退涪江沿岸采砂工矿用地</w:t>
      </w:r>
      <w:r>
        <w:rPr>
          <w:rFonts w:ascii="宋体" w:hAnsi="宋体" w:cs="宋体"/>
          <w:sz w:val="24"/>
          <w:szCs w:val="24"/>
        </w:rPr>
        <w:t>11.73</w:t>
      </w:r>
      <w:r>
        <w:rPr>
          <w:rFonts w:hint="eastAsia" w:ascii="宋体" w:hAnsi="宋体" w:cs="宋体"/>
          <w:sz w:val="24"/>
          <w:szCs w:val="24"/>
        </w:rPr>
        <w:t>公顷，</w:t>
      </w:r>
      <w:r>
        <w:rPr>
          <w:rFonts w:ascii="宋体" w:hAnsi="宋体" w:cs="宋体"/>
          <w:sz w:val="24"/>
          <w:szCs w:val="24"/>
        </w:rPr>
        <w:t>矿山采矿权注销后治理率达到100%。人类生产、生活活动较频繁区矿山地质灾害点治理率要达到100%。</w:t>
      </w:r>
    </w:p>
    <w:p>
      <w:pPr>
        <w:pStyle w:val="81"/>
        <w:numPr>
          <w:ilvl w:val="0"/>
          <w:numId w:val="4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污染地块治理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四川省兴茂石化有限责任公司回马厂区地块、四川省大英蓥峰化工有限责任公司回马厂区地块已被确认为污染地块，大英县友章工业燃油厂所处地块被省生态环境厅抽调监测出污染物超标，涉疑似污染地块。通过土地治理修复，在污染达标后将蓥峰化工回马厂区地块规划为商业用地，友章工业燃油厂地块规划为广场用地，兴茂石化地块部分规划为广场用地和社会停车场用地，其余规划留白，作为城镇未来发展空间。</w:t>
      </w:r>
    </w:p>
    <w:p>
      <w:pPr>
        <w:numPr>
          <w:ilvl w:val="1"/>
          <w:numId w:val="22"/>
        </w:numPr>
        <w:tabs>
          <w:tab w:val="left" w:pos="680"/>
          <w:tab w:val="left" w:pos="840"/>
        </w:tabs>
        <w:spacing w:before="312" w:beforeLines="100" w:after="312" w:afterLines="100" w:line="440" w:lineRule="exact"/>
        <w:jc w:val="left"/>
        <w:outlineLvl w:val="1"/>
        <w:rPr>
          <w:rFonts w:hAnsi="宋体"/>
          <w:b/>
          <w:sz w:val="28"/>
          <w:szCs w:val="28"/>
        </w:rPr>
      </w:pPr>
      <w:bookmarkStart w:id="508" w:name="_Toc117537730"/>
      <w:bookmarkStart w:id="509" w:name="_Toc141369729"/>
      <w:r>
        <w:rPr>
          <w:rFonts w:hint="eastAsia" w:hAnsi="宋体"/>
          <w:b/>
          <w:sz w:val="28"/>
          <w:szCs w:val="28"/>
        </w:rPr>
        <w:t>乡村振兴规划</w:t>
      </w:r>
      <w:bookmarkEnd w:id="508"/>
      <w:bookmarkEnd w:id="509"/>
    </w:p>
    <w:p>
      <w:pPr>
        <w:pStyle w:val="5"/>
        <w:numPr>
          <w:ilvl w:val="0"/>
          <w:numId w:val="49"/>
        </w:numPr>
        <w:spacing w:line="360" w:lineRule="auto"/>
        <w:ind w:left="0" w:firstLine="482" w:firstLineChars="200"/>
        <w:rPr>
          <w:b/>
          <w:bCs/>
        </w:rPr>
      </w:pPr>
      <w:r>
        <w:rPr>
          <w:rFonts w:hint="eastAsia"/>
          <w:b/>
          <w:bCs/>
        </w:rPr>
        <w:t>乡村产业振兴规划</w:t>
      </w:r>
    </w:p>
    <w:p>
      <w:pPr>
        <w:pStyle w:val="81"/>
        <w:numPr>
          <w:ilvl w:val="0"/>
          <w:numId w:val="5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产业</w:t>
      </w:r>
      <w:r>
        <w:rPr>
          <w:rFonts w:hint="eastAsia" w:ascii="宋体" w:hAnsi="宋体"/>
          <w:b/>
          <w:bCs/>
          <w:sz w:val="24"/>
          <w:szCs w:val="24"/>
        </w:rPr>
        <w:t>提质增效</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夯实农业基础，构建“1+2+N”现代农业体系。“1”为优质粮油产业，通过持续推进片区高标准农田建设和撂荒地恢复治理，促进耕地集中连片、质量提升，守住粮食安全底线。“2”为道地中药材和绿色蔬菜两个主导特色产业，通过引导道地中药材和绿色蔬菜产业连线成片、标准化种植，完善相应农业配套设施，创建万亩道地中药材和万亩绿色蔬菜基地。“N”为生猪养殖、精品水果、九叶青花椒等其他特色产业，围绕精品水果和九叶青花椒，布局相应禽畜养殖农业设施用地，发展种养循环产业。</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注重农业品质，通过五大措施进行绿色化生产。一是土壤改造，通过科学技术对生产土壤进行改造，使其达到绿色有机生产标准。二是化肥控制，限制无机化肥使用，引导农民、农业生产基地采用有机生态肥，共建绿色农业发展。三是节水设施，引进相应的滴灌、喷灌、水肥体化灌溉等技术，铺设灌溉设备，结合蓄水池、灌溉水渠的建设，打造示范的节水滴灌设施生产区。四是智能环境监测系统，将无线传感器网络布设于农田、园林、温室等目标区城，网络节点大量实时地收集温度、湿度、光照、气体浓度等物理量精准地获取土壤水分、养分程度、电导率、pH值、氮素等土壤信息。五是农产品追溯系统，从农场到零售商的整个供应链中实现对农产品的可追溯性，要求农副产品的种植商、包装商、货运商为他们的每包食品添加标签。</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塑造农业品牌，构建片区“三品一标”农产品品牌格局。一是培育“无公害”农产品认证，研发培育新农产品，标准化种植，采用合理的栽培技术和合理的施药技术，控制对土壤和农产品的污染。二是打好“绿色”农产品品牌，创建“大英枳壳、大英刺梨、长江坝胖萝卜、花园甜玉米、文武生态菜”等国家绿色农产品品牌认证。不断改进完善种植技术，将生态理念推广到果蔬农场，壮大中国绿色农产品阵营，成为遂宁绿色果蔬供应基地。三是塑造“有机”农产品，针对片区内蔬菜、道地中药材等有基础、土壤气候适宜、市场需求量大的农产品种植，按照国际有机农业标准，在生产过程中绝对禁止使用农药、化肥、激素等人工合成物质，使用生物农药。四是打造农产品地理标志，继续推进“大英枳壳”“大英刺梨”地理标志品牌认证，通过新闻媒体、抖音微信微博等新媒体，不断向国内外推广大英道地中药材。</w:t>
      </w:r>
    </w:p>
    <w:p>
      <w:pPr>
        <w:pStyle w:val="81"/>
        <w:numPr>
          <w:ilvl w:val="0"/>
          <w:numId w:val="5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一二三</w:t>
      </w:r>
      <w:r>
        <w:rPr>
          <w:rFonts w:hint="eastAsia" w:ascii="宋体" w:hAnsi="宋体" w:cs="宋体"/>
          <w:b/>
          <w:bCs/>
          <w:sz w:val="24"/>
          <w:szCs w:val="24"/>
          <w:lang w:val="en-US" w:eastAsia="zh-CN"/>
        </w:rPr>
        <w:t>产业</w:t>
      </w:r>
      <w:r>
        <w:rPr>
          <w:rFonts w:hint="eastAsia" w:ascii="宋体" w:hAnsi="宋体" w:cs="宋体"/>
          <w:b/>
          <w:bCs/>
          <w:sz w:val="24"/>
          <w:szCs w:val="24"/>
        </w:rPr>
        <w:t>融合发展</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做深农副产品加工业。加快推进隆盛中药材加工龙头企业的培育和回马工业园区的农副产品加工企业的招商引资工作，建设</w:t>
      </w:r>
      <w:r>
        <w:rPr>
          <w:rFonts w:hint="eastAsia" w:ascii="宋体" w:hAnsi="宋体"/>
          <w:sz w:val="24"/>
          <w:szCs w:val="24"/>
        </w:rPr>
        <w:t>隆盛中药材加工基地和回马工业园区农副产品加工基地</w:t>
      </w:r>
      <w:r>
        <w:rPr>
          <w:rFonts w:hint="eastAsia" w:ascii="宋体" w:hAnsi="宋体" w:cs="宋体"/>
          <w:sz w:val="24"/>
          <w:szCs w:val="24"/>
        </w:rPr>
        <w:t>，延伸产业链条，形成辐射大英乃至遂宁市的中药材精深加工和农副产品深加工产业。</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做精乡村休闲旅游业。依托现代农业园区建设，整合农文旅资源，大力发展隆盛医药养生休闲旅游，打造土门垭中医康养度假中心，并结合快捷通道构建遂大乡村旅游带；以蔬菜产业园和长江坝遗址为基础，打造回马滨江休闲农业体验区和遗址旅游体验区；以金元种养循环农业园区为基础，打造生态循环产业科普教育基地，延伸三产链条，推进一三</w:t>
      </w:r>
      <w:r>
        <w:rPr>
          <w:rFonts w:hint="eastAsia" w:ascii="宋体" w:hAnsi="宋体" w:cs="宋体"/>
          <w:sz w:val="24"/>
          <w:szCs w:val="24"/>
          <w:lang w:val="en-US" w:eastAsia="zh-CN"/>
        </w:rPr>
        <w:t>产业</w:t>
      </w:r>
      <w:r>
        <w:rPr>
          <w:rFonts w:hint="eastAsia" w:ascii="宋体" w:hAnsi="宋体" w:cs="宋体"/>
          <w:sz w:val="24"/>
          <w:szCs w:val="24"/>
        </w:rPr>
        <w:t>融合发展。</w:t>
      </w:r>
    </w:p>
    <w:p>
      <w:pPr>
        <w:pStyle w:val="81"/>
        <w:numPr>
          <w:ilvl w:val="0"/>
          <w:numId w:val="5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产业发展格局</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构建“三园四片一环两线两基地”农文旅融合产业发展格局。“三园”指道地中药材现代农业园、绿色蔬菜现代农业园、种养循环现代农业园。“四片”指种养循环片区、万亩中药片区、万亩蔬菜片区、特色养殖片区。“一环两线” 依托片区内部县、乡道，串联片区主要文旅资源点，构建片区内部农文旅环线，沿遂大快捷通道形成的药香康养旅游线路和沿省道S307、县道X011、X014形成的乡村农文旅游线路。“两基地”指隆盛中药材加工基地和回马镇农副产品加工</w:t>
      </w:r>
      <w:r>
        <w:rPr>
          <w:rFonts w:hint="eastAsia" w:ascii="宋体" w:hAnsi="宋体"/>
          <w:sz w:val="24"/>
          <w:szCs w:val="24"/>
        </w:rPr>
        <w:t>与装备制造</w:t>
      </w:r>
      <w:r>
        <w:rPr>
          <w:rFonts w:hint="eastAsia" w:ascii="宋体" w:hAnsi="宋体" w:cs="宋体"/>
          <w:sz w:val="24"/>
          <w:szCs w:val="24"/>
        </w:rPr>
        <w:t>基地。</w:t>
      </w:r>
    </w:p>
    <w:p>
      <w:pPr>
        <w:pStyle w:val="81"/>
        <w:numPr>
          <w:ilvl w:val="0"/>
          <w:numId w:val="5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村级产业发展指引</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衔接片区产业发展格局，结合各村产业发展现状和未来发展设想，进一步明确村级片区产业发展指引，详见附表5。</w:t>
      </w:r>
    </w:p>
    <w:p>
      <w:pPr>
        <w:pStyle w:val="81"/>
        <w:numPr>
          <w:ilvl w:val="0"/>
          <w:numId w:val="5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乡村产业发展用地保障措施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新增建设用地指标向乡村倾斜。根据上位规划下发新增建设用地指标，安排不少于10%用于保障乡村产业发展用地。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腾挪宅基地指标向乡村倾斜。通过引导农民自愿退出宅基地，以占补平衡的方式周转建设用地指标，结合入村调查、资料收集，预计可腾挪潜力指标</w:t>
      </w:r>
      <w:r>
        <w:rPr>
          <w:rFonts w:ascii="宋体" w:hAnsi="宋体" w:cs="宋体"/>
          <w:sz w:val="24"/>
          <w:szCs w:val="24"/>
        </w:rPr>
        <w:t>29</w:t>
      </w:r>
      <w:r>
        <w:rPr>
          <w:rFonts w:hint="eastAsia" w:ascii="宋体" w:hAnsi="宋体" w:cs="宋体"/>
          <w:sz w:val="24"/>
          <w:szCs w:val="24"/>
        </w:rPr>
        <w:t>2.68公顷。其中，规划乡村产业发展用地54.56公顷，占补平衡使用指标26.77公顷。</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探索“定空间不定用途”的“空间留白”机制。依据《自然资源部办公厅关于加强村庄规划促进乡村振兴的通知》，规划可预留不超过5%的建设用地机动指标，用于保障村民居住、农村公共公益设施、零星分散的乡村文旅设施及农村新产业新业态等用地建设。结合片区产业发展需求，规划在百盛村、干柏树村、江柏村、园艺村等村布局留白用地，用地规模16.26公顷，优先保障乡村产业发展用地需求。</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挖掘低效闲置用地。鼓励在符合政策的前提下复合利用低效闲置农村宅基地、集体经营性建设用地、农业设施建设用地等乡村建设用地，发展乡村民宿、休闲旅游、农村电商网点等农村新产业新业态。</w:t>
      </w:r>
    </w:p>
    <w:p>
      <w:pPr>
        <w:pStyle w:val="5"/>
        <w:numPr>
          <w:ilvl w:val="0"/>
          <w:numId w:val="49"/>
        </w:numPr>
        <w:spacing w:line="360" w:lineRule="auto"/>
        <w:ind w:left="0" w:firstLine="482" w:firstLineChars="200"/>
        <w:rPr>
          <w:b/>
          <w:bCs/>
        </w:rPr>
      </w:pPr>
      <w:r>
        <w:rPr>
          <w:rFonts w:hint="eastAsia"/>
          <w:b/>
          <w:bCs/>
        </w:rPr>
        <w:t>乡村生态振兴规划</w:t>
      </w:r>
    </w:p>
    <w:p>
      <w:pPr>
        <w:pStyle w:val="81"/>
        <w:numPr>
          <w:ilvl w:val="0"/>
          <w:numId w:val="5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生态环境保护</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加强流域综合治理与湿地保护修复。深化小流域综合治理工作，重点对郪江、黄腊溪、瑰溪、小蒜溪等进行流域综合整治，严格控制入河排污总量，因地制宜开展河道垃圾清理、污染底泥清理、生态拦截湿地建设、生态缓冲带和生态护坡建设工程等。重点推进涪江沿岸湿地修复治理，全面保护自然湿地，确保现状湿地面积不减少。加速推进涪江流域砂石改革，逐步有序腾退涪江沿岸采砂工矿用地，并进行复垦复绿，面积约</w:t>
      </w:r>
      <w:r>
        <w:rPr>
          <w:rFonts w:ascii="宋体" w:hAnsi="宋体" w:cs="宋体"/>
          <w:sz w:val="24"/>
          <w:szCs w:val="24"/>
        </w:rPr>
        <w:t>11.73</w:t>
      </w:r>
      <w:r>
        <w:rPr>
          <w:rFonts w:hint="eastAsia" w:ascii="宋体" w:hAnsi="宋体" w:cs="宋体"/>
          <w:sz w:val="24"/>
          <w:szCs w:val="24"/>
        </w:rPr>
        <w:t>公顷。</w:t>
      </w:r>
    </w:p>
    <w:p>
      <w:pPr>
        <w:pStyle w:val="81"/>
        <w:numPr>
          <w:ilvl w:val="0"/>
          <w:numId w:val="5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人居环境整治</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继续推进农村厕所改革。根据农户居住形态，充分尊重群众意愿，因地制宜，选择适宜且农户接受的改厕技术模式整村连片推进农村户用卫生厕所改（建）工程。在规划期内，户用厕所改造普及率达到100%，有管理良好、干净整洁、粪污有效处理的农村公共厕所的村占比高于95%。</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加快推进农村生活垃圾治理。按照“户分类，村收集、镇转运、县(区)处置”的原则，推进农村生活垃圾分类工作，通过建设完善收储体系、转运体系、日常保洁机制等措施，实现农村生活垃圾治理体系的全覆盖。至2035年区域垃圾收集处理率达到100%。</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完善农村生活污水治理。对靠近城镇且满足城镇污水收集管网接入要求的村庄，农村生活污水宜优先纳入城镇污水管网收集系统，集中统一处理；对人口规模较大、聚集程度较高、经济条件较好、邻近重点流域或者水源地的村庄，宜通过铺设污水管道集中收集，采用有动力或微动力处理技术的污水处理厂(站)、一体化净化槽等一体化处理设施和处理方式进行集中处理；对人口规模较小、居住较为分散、地形地貌复杂的村庄和散居农户，主要推行就地就近采用一体化三格化粪池+人工湿地(或沼气池、生态塘、地下渗滤、地埋式太阳能无动力污水处理装置、厌氧处理系统、垂直流人工生态滤床)等无动力处理技术进行分散处理,条件较好的可使用小型智能罐(智能物联一体净化槽)进行处理。确保2025年底85%以上的行政村农村生活污水得到有效治理，至规模期末，行政村农村生活污水有效处理率达100%。</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提升农村生产污水治理。围绕片区内种养循环现代农业园区建设，大力推行“猪-沼-果（粮、蔬）-鸡”“猪-沼-果（粮、蔬）”“鸡+沼+林（果）”等立体生态种养循环模式。根据养殖污水的特点，</w:t>
      </w:r>
      <w:bookmarkStart w:id="510" w:name="_Hlk129364223"/>
      <w:r>
        <w:rPr>
          <w:rFonts w:hint="eastAsia" w:ascii="宋体" w:hAnsi="宋体" w:cs="宋体"/>
          <w:sz w:val="24"/>
          <w:szCs w:val="24"/>
        </w:rPr>
        <w:t>通过修建堆肥发酵池、沼气工程等不同设施设备，收集储存畜禽粪污，实现畜禽粪污资源化利用；针对周边配套农田、山地或果林充足的养殖场，养殖与其他农业混合，粪便直接被农作物吸收，实现粪便污水可持续利用。至规划期末，畜禽粪污处理设施装备配套率达到100%，畜禽粪污综合利用率达95%以上</w:t>
      </w:r>
      <w:bookmarkEnd w:id="510"/>
      <w:r>
        <w:rPr>
          <w:rFonts w:hint="eastAsia" w:ascii="宋体" w:hAnsi="宋体" w:cs="宋体"/>
          <w:sz w:val="24"/>
          <w:szCs w:val="24"/>
        </w:rPr>
        <w:t>。</w:t>
      </w:r>
    </w:p>
    <w:p>
      <w:pPr>
        <w:pStyle w:val="5"/>
        <w:numPr>
          <w:ilvl w:val="0"/>
          <w:numId w:val="49"/>
        </w:numPr>
        <w:spacing w:line="360" w:lineRule="auto"/>
        <w:ind w:left="0" w:firstLine="482" w:firstLineChars="200"/>
        <w:rPr>
          <w:b/>
          <w:bCs/>
        </w:rPr>
      </w:pPr>
      <w:r>
        <w:rPr>
          <w:rFonts w:hint="eastAsia"/>
          <w:b/>
          <w:bCs/>
        </w:rPr>
        <w:t>乡村文化振兴规划</w:t>
      </w:r>
    </w:p>
    <w:p>
      <w:pPr>
        <w:pStyle w:val="81"/>
        <w:numPr>
          <w:ilvl w:val="0"/>
          <w:numId w:val="5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文化振兴目标</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培育和践行社会主义核心价值观，丰富乡村文化生活，完善文化服务设施配套建设。保护和传承本土文化精华，塑造文明乡风、良好家风、淳朴民风。发掘和利用文化资源价值，以文促业、以业养文，打造欣欣向荣的大文化产业。</w:t>
      </w:r>
    </w:p>
    <w:p>
      <w:pPr>
        <w:pStyle w:val="81"/>
        <w:numPr>
          <w:ilvl w:val="0"/>
          <w:numId w:val="5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历史文化遗产保护</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落实划定片区内3处省级文物保护单位、</w:t>
      </w:r>
      <w:r>
        <w:rPr>
          <w:rFonts w:ascii="宋体" w:hAnsi="宋体" w:cs="宋体"/>
          <w:sz w:val="24"/>
          <w:szCs w:val="24"/>
        </w:rPr>
        <w:t>4</w:t>
      </w:r>
      <w:r>
        <w:rPr>
          <w:rFonts w:hint="eastAsia" w:ascii="宋体" w:hAnsi="宋体" w:cs="宋体"/>
          <w:sz w:val="24"/>
          <w:szCs w:val="24"/>
        </w:rPr>
        <w:t>处市级文物保护单位和</w:t>
      </w:r>
      <w:r>
        <w:rPr>
          <w:rFonts w:ascii="宋体" w:hAnsi="宋体" w:cs="宋体"/>
          <w:sz w:val="24"/>
          <w:szCs w:val="24"/>
        </w:rPr>
        <w:t>14</w:t>
      </w:r>
      <w:r>
        <w:rPr>
          <w:rFonts w:hint="eastAsia" w:ascii="宋体" w:hAnsi="宋体" w:cs="宋体"/>
          <w:sz w:val="24"/>
          <w:szCs w:val="24"/>
        </w:rPr>
        <w:t>处县级文物保护单位历史文化保护线，明确保护范围与建设控制范围，保护范围内不得进行其他建设工程，建设控制范围内修建新建筑和构筑物，不得破坏文物保护单位的环境风貌。严格保护片区内现有古树名木，以树冠外侧5米范围为古树名木保护边界，边界内禁止私自新建建筑物，土地整理或建设项目涉及古树名木的，应当制定避让或者保护方案。</w:t>
      </w:r>
    </w:p>
    <w:p>
      <w:pPr>
        <w:pStyle w:val="81"/>
        <w:numPr>
          <w:ilvl w:val="0"/>
          <w:numId w:val="5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文化设施服务配套</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完善“一村一中心”建设。村公共文化中心作为村民的公共活动场所，是村民文化活动的聚集地，集多种功能于一体。以镇级公共图书室、综合文化站、综合服务中心为重点，建设集产品展销、休闲娱乐、文化体育、综合服务于一体的村公共文化中心。对条件有限的村庄，应充分利用村委和学校场地，定期开展村民文化活动。通过教学、奖励机制鼓励对文化设施的日常使用，提高文化设施使用频率。依托文化设施，定期举办“镇—村”两级文化活动。</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培养基层文化队伍。按照“政府主导、村民主体”的原则，发挥党员干部的中流砥柱作用，着力培养有现代意识、创新意识的基层文化队伍，吸纳有意愿、有禀赋的村民组建文艺演出队伍，作为基地乡村文化振兴的带头人和文化建设的创作人。</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开创乡村优秀文艺作品。加强与其他乡村文艺工作者联盟或者机构的合作，挖掘本村有关乡村振兴战略实践的素材，创造优秀的文艺作品，借助文艺演出队伍的定期展演等形式，呈现给广大村民，丰富其文化娱乐活动，调动其积极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开展系列乡村评定活动。深入开展“星级文明户”“五好文明家庭”“好婆婆好媳妇”等创建活动，增强村民的文化意识和文化自觉，在活动中不断挖掘培育优良家风、文明乡风、新乡贤文化，壮大和丰富乡村文化体系。</w:t>
      </w:r>
    </w:p>
    <w:p>
      <w:pPr>
        <w:pStyle w:val="81"/>
        <w:numPr>
          <w:ilvl w:val="0"/>
          <w:numId w:val="5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“文化+旅游”</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在既有产业功能的基础上，发挥旅游的事业功能，同时更加关注旅游在平衡区域发展、促进文化发展等方面的作用。用旅游的方式传播文化，让更多文化资源、文化产品发挥作用，推动旅游业从“门票经济”向“产业经济”转变，实现“文化+”和“旅游+”的双链互动。</w:t>
      </w:r>
    </w:p>
    <w:p>
      <w:pPr>
        <w:pStyle w:val="5"/>
        <w:numPr>
          <w:ilvl w:val="0"/>
          <w:numId w:val="49"/>
        </w:numPr>
        <w:spacing w:line="360" w:lineRule="auto"/>
        <w:ind w:left="0" w:firstLine="482" w:firstLineChars="200"/>
        <w:rPr>
          <w:b/>
          <w:bCs/>
        </w:rPr>
      </w:pPr>
      <w:r>
        <w:rPr>
          <w:rFonts w:hint="eastAsia"/>
          <w:b/>
          <w:bCs/>
        </w:rPr>
        <w:t>乡村组织振兴规划</w:t>
      </w:r>
    </w:p>
    <w:p>
      <w:pPr>
        <w:pStyle w:val="81"/>
        <w:numPr>
          <w:ilvl w:val="0"/>
          <w:numId w:val="5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加强基层党组织建设</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健全以党组织为核心的组织体系，大力推进村党组织书记通过法定程序担任村民委员会主任和集体经济组织、农民合作组织负责人，推行村“两委”班子成员交叉任职。加强农村基层党组织带头人队伍建设，实施村党组织带头人整体优化提升行动，通过本土人才回引、院校定向培养、县乡统筹招聘等渠道，储备一定数量的村级后备干部。强化农村基层党组织建设责任与保障，坚持抓乡促村，整乡推进，持续整顿软弱涣散村党组织。</w:t>
      </w:r>
    </w:p>
    <w:p>
      <w:pPr>
        <w:pStyle w:val="81"/>
        <w:numPr>
          <w:ilvl w:val="0"/>
          <w:numId w:val="5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引导村民自治</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加大农村普法宣传教育力度，采取多种形式组织“法律进乡村”宣传教育活动，广泛开展“民主法治村”创建，引导农民增强尊法学法守法用法意识。建设普惠的公共法律服务体系，完善“一村（社区）一法律顾问”制度，积极打造覆盖乡村的半小时法律服务圈。 全力推进平安乡村建设，健全农村社会治安防控体系、公共安全体系和矛盾纠纷多元化解机制。</w:t>
      </w:r>
    </w:p>
    <w:p>
      <w:pPr>
        <w:pStyle w:val="81"/>
        <w:numPr>
          <w:ilvl w:val="0"/>
          <w:numId w:val="5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强化乡村法治</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深化村民自治实践，加强农村群众性自治组织、农村集体经济组织和村务监督委员会建设，完善农村民主选举、民主协商、民主决策、民主管理、民主监督制度。开展乡村治理和服务创新，大力培育服务性、公益性、互助性农村社会组织，增加社工服务功能，积极发展农村社会工作和志愿服务。</w:t>
      </w:r>
    </w:p>
    <w:p>
      <w:pPr>
        <w:pStyle w:val="81"/>
        <w:numPr>
          <w:ilvl w:val="0"/>
          <w:numId w:val="5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强化乡村德治</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推进乡村伦理道德建设，探索建设乡村个人诚信体系，广泛开展诚信道德主题教育实践活动，引导农民向上向善、尊老爱幼、重义守信、勤俭持家。深入推进乡村移风易俗，促进精神文明建设，把德治贯穿乡村治理的全过程，引导农民积极融入现代社会发展大潮，建设文明乡风。</w:t>
      </w:r>
    </w:p>
    <w:p>
      <w:pPr>
        <w:pStyle w:val="5"/>
        <w:numPr>
          <w:ilvl w:val="0"/>
          <w:numId w:val="49"/>
        </w:numPr>
        <w:spacing w:line="360" w:lineRule="auto"/>
        <w:ind w:left="0" w:firstLine="482" w:firstLineChars="200"/>
        <w:rPr>
          <w:b/>
          <w:bCs/>
        </w:rPr>
      </w:pPr>
      <w:r>
        <w:rPr>
          <w:rFonts w:hint="eastAsia"/>
          <w:b/>
          <w:bCs/>
        </w:rPr>
        <w:t>乡村人才振兴规划</w:t>
      </w:r>
    </w:p>
    <w:p>
      <w:pPr>
        <w:pStyle w:val="81"/>
        <w:numPr>
          <w:ilvl w:val="0"/>
          <w:numId w:val="5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培育人才</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培育乡土实用人才。结合各镇村特色产业发展需求，积极对接职业院校、专业培训机构和农业企业等，组织实施乡土实用人才培育计划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培育专业技术人才。通过定向培育等方式，为乡村振兴培养专业人才探索建立“研发团队+农技推广体系+经营主体”的农业科技服务新模式。</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培育创新创业人才。实施新乡贤返乡创业就业培育工程，支持企业家、专家学者、专业人才、知名人士等新乡贤返乡服务回馈乡村。</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培育乡土专技人才。开展“乡村工匠”培养计划，培养一批特色农业、特色农产品加工、乡村传统文化等领域的乡村工匠、种养殖能手、文化能人、非遗传承人等“乡土专技人才”。</w:t>
      </w:r>
    </w:p>
    <w:p>
      <w:pPr>
        <w:pStyle w:val="81"/>
        <w:numPr>
          <w:ilvl w:val="0"/>
          <w:numId w:val="5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引进人才</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实施人才引进计划。建立健全人才帮扶和培养机制，积极争取农业科技、教育医疗、规划设计、旅游文创、银行金融等专业技术人员参与驻镇帮扶村。</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经济政策吸引人才。加大金融支持力度，侧重农业产业化方面的人才回流，将投资进一步向农业农村倾斜，建立乡村振兴基金，推进涉农政策性金融机构，发挥财政投入引领作用。</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立多元联合发展机制。探索“院校+企业+农户”合作模式，邀请在高校、科研机构、企业等从事农业科技相关领域的新乡贤回乡建立研究基地，并组织技术人员定期回乡从事科学与生产研究工作，结合具体产业项目引进一批创新型、技术型、技能型人才，为乡村振兴注入高端人才支撑。</w:t>
      </w:r>
    </w:p>
    <w:p>
      <w:pPr>
        <w:pStyle w:val="81"/>
        <w:numPr>
          <w:ilvl w:val="0"/>
          <w:numId w:val="5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留住人才</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建立健全激励机制。加大对新型职业农民的政策扶持力度，引导土地流转、产业扶持、金融保险、人才奖励激励、社会保障等政策向新型职业农民倾斜。</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打造人才集聚平台。拓展社会参与平台，加强组织东原，构建政府、市场、社会协同推进的乡村振兴参与机制。搭建线上“绿色通道”，为乡村创业创新人才，提供创业辅导、政策咨询等。</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完善人才服务机制。优化健康医疗、金融服务、子女教育、配偶就业、住房保障等人才服务。出台人才安居政策，充分利用或盘活镇村闲置建设用地资源，建设人才公寓，为专业人才下乡提供便利。</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优化乡村环境治理。完善乡村基础建设，加强公共服务配套和环境治理，营造良好的农村生态环境。</w:t>
      </w:r>
    </w:p>
    <w:p>
      <w:pPr>
        <w:numPr>
          <w:ilvl w:val="1"/>
          <w:numId w:val="22"/>
        </w:numPr>
        <w:tabs>
          <w:tab w:val="left" w:pos="680"/>
          <w:tab w:val="left" w:pos="840"/>
        </w:tabs>
        <w:spacing w:before="312" w:beforeLines="100" w:after="312" w:afterLines="100" w:line="440" w:lineRule="exact"/>
        <w:jc w:val="left"/>
        <w:outlineLvl w:val="1"/>
        <w:rPr>
          <w:rFonts w:hAnsi="宋体"/>
          <w:b/>
          <w:sz w:val="28"/>
          <w:szCs w:val="28"/>
        </w:rPr>
      </w:pPr>
      <w:bookmarkStart w:id="511" w:name="_Toc106960179"/>
      <w:bookmarkStart w:id="512" w:name="_Toc141369730"/>
      <w:r>
        <w:rPr>
          <w:rFonts w:hint="eastAsia" w:hAnsi="宋体"/>
          <w:b/>
          <w:sz w:val="28"/>
          <w:szCs w:val="28"/>
        </w:rPr>
        <w:t>规划传导</w:t>
      </w:r>
      <w:bookmarkEnd w:id="511"/>
      <w:bookmarkEnd w:id="512"/>
    </w:p>
    <w:p>
      <w:pPr>
        <w:pStyle w:val="5"/>
        <w:numPr>
          <w:ilvl w:val="0"/>
          <w:numId w:val="55"/>
        </w:numPr>
        <w:spacing w:line="360" w:lineRule="auto"/>
        <w:ind w:left="0" w:firstLine="482" w:firstLineChars="200"/>
        <w:rPr>
          <w:b/>
          <w:bCs/>
        </w:rPr>
      </w:pPr>
      <w:r>
        <w:rPr>
          <w:rFonts w:hint="eastAsia"/>
          <w:b/>
          <w:bCs/>
        </w:rPr>
        <w:t>上位规划落实</w:t>
      </w:r>
    </w:p>
    <w:p>
      <w:pPr>
        <w:tabs>
          <w:tab w:val="left" w:pos="0"/>
        </w:tabs>
        <w:spacing w:line="360" w:lineRule="auto"/>
        <w:ind w:firstLine="480" w:firstLineChars="200"/>
        <w:rPr>
          <w:rFonts w:ascii="宋体" w:hAnsi="宋体" w:cs="宋体"/>
          <w:sz w:val="24"/>
          <w:szCs w:val="24"/>
        </w:rPr>
      </w:pPr>
      <w:bookmarkStart w:id="513" w:name="_Hlk167717493"/>
      <w:r>
        <w:rPr>
          <w:rFonts w:hint="eastAsia" w:ascii="宋体" w:hAnsi="宋体" w:cs="宋体"/>
          <w:sz w:val="24"/>
          <w:szCs w:val="24"/>
        </w:rPr>
        <w:t>依据《大英县国土空间总体规划（2021—2035年）》，涉及本规划的强制性内容包括历史文化保护、重大基础设施建设、综合防灾等；下达到本片区的约束性指标包括耕地保有量、永久基本农田保护面积、生态保护红线、城镇开发边界和人均城镇建设用地面积等内容。引导性指标包括发展定位、人口规模、中心镇指引等内容。本规划已按上级规划确定的强制性内容和下达的约束性指标严格落实。</w:t>
      </w:r>
      <w:bookmarkEnd w:id="513"/>
    </w:p>
    <w:p>
      <w:pPr>
        <w:pStyle w:val="5"/>
        <w:numPr>
          <w:ilvl w:val="0"/>
          <w:numId w:val="55"/>
        </w:numPr>
        <w:spacing w:line="360" w:lineRule="auto"/>
        <w:ind w:left="0" w:firstLine="482" w:firstLineChars="200"/>
        <w:rPr>
          <w:b/>
          <w:bCs/>
        </w:rPr>
      </w:pPr>
      <w:r>
        <w:rPr>
          <w:rFonts w:hint="eastAsia"/>
          <w:b/>
          <w:bCs/>
        </w:rPr>
        <w:t>指导村级片区规划</w:t>
      </w:r>
    </w:p>
    <w:p>
      <w:pPr>
        <w:pStyle w:val="81"/>
        <w:numPr>
          <w:ilvl w:val="0"/>
          <w:numId w:val="5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村级片区划分</w:t>
      </w:r>
    </w:p>
    <w:p>
      <w:pPr>
        <w:tabs>
          <w:tab w:val="left" w:pos="0"/>
        </w:tabs>
        <w:spacing w:line="360" w:lineRule="auto"/>
        <w:ind w:firstLine="480" w:firstLineChars="200"/>
        <w:rPr>
          <w:rFonts w:ascii="宋体" w:hAnsi="宋体" w:cs="宋体"/>
          <w:sz w:val="24"/>
          <w:szCs w:val="24"/>
        </w:rPr>
      </w:pPr>
      <w:bookmarkStart w:id="514" w:name="_Hlk141951924"/>
      <w:r>
        <w:rPr>
          <w:rFonts w:hint="eastAsia" w:ascii="宋体" w:hAnsi="宋体" w:cs="宋体"/>
          <w:sz w:val="24"/>
          <w:szCs w:val="24"/>
        </w:rPr>
        <w:t>划分原则：坚持统筹协调、优化布局；坚持实事求是、因地制宜；坚持底线思维、绿色发展；坚持科学规范、民主决策。</w:t>
      </w:r>
    </w:p>
    <w:bookmarkEnd w:id="514"/>
    <w:p>
      <w:pPr>
        <w:tabs>
          <w:tab w:val="left" w:pos="0"/>
        </w:tabs>
        <w:spacing w:line="360" w:lineRule="auto"/>
        <w:ind w:firstLine="480" w:firstLineChars="200"/>
        <w:rPr>
          <w:rFonts w:ascii="宋体" w:hAnsi="宋体" w:cs="宋体"/>
          <w:sz w:val="24"/>
          <w:szCs w:val="24"/>
        </w:rPr>
      </w:pPr>
      <w:bookmarkStart w:id="515" w:name="_Hlk141951937"/>
      <w:r>
        <w:rPr>
          <w:rFonts w:hint="eastAsia" w:ascii="宋体" w:hAnsi="宋体" w:cs="宋体"/>
          <w:sz w:val="24"/>
          <w:szCs w:val="24"/>
        </w:rPr>
        <w:t>划分依据：生态目标一致，依据生态保护目标和生态维育格局，将乡村划分为不同生态管控片区；产业方向趋同，根据镇村产业发展现状、地方产业发展设想和结合上位规划及相关专项规划要求，将产业发展相同、相近的村作为一个产业发展片区；资源本底相近，分析各村现状资源情况，梳理耕地占比、林地占比等差异情况，将资源本底相近的村划为一个发展片区；交通联系紧密，根据片区（镇域）道路交通体系，分析各村交通联系等级差异程度，同等级交通沿线乡村作为一个发展联系紧密片区；地理区位分异，根据各村与城镇的空间距离和发展联系紧密程度，结合地形地貌空间分布特征，形成区位优势差异化的发展片区；地域心理认同，综合考虑“两项改革”和撤乡并镇前各村行政区划关系，结合地域文化差异，将文化和生活习惯相近的村划为一个发展片区；人口设施匹配，综合考虑人口流向及其规模、设施现状完善程度等因素，优化确定片区中心村数量与布局。</w:t>
      </w:r>
      <w:bookmarkEnd w:id="515"/>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规划基于</w:t>
      </w:r>
      <w:r>
        <w:rPr>
          <w:rFonts w:ascii="宋体" w:hAnsi="宋体" w:cs="宋体"/>
          <w:sz w:val="24"/>
          <w:szCs w:val="24"/>
        </w:rPr>
        <w:t>7大划分依据，</w:t>
      </w:r>
      <w:bookmarkStart w:id="516" w:name="_Hlk141951975"/>
      <w:r>
        <w:rPr>
          <w:rFonts w:hint="eastAsia" w:ascii="宋体" w:hAnsi="宋体" w:cs="宋体"/>
          <w:sz w:val="24"/>
          <w:szCs w:val="24"/>
        </w:rPr>
        <w:t>按照</w:t>
      </w:r>
      <w:r>
        <w:rPr>
          <w:rFonts w:ascii="宋体" w:hAnsi="宋体" w:cs="宋体"/>
          <w:sz w:val="24"/>
          <w:szCs w:val="24"/>
        </w:rPr>
        <w:t>三轮划分</w:t>
      </w:r>
      <w:r>
        <w:rPr>
          <w:rFonts w:hint="eastAsia" w:ascii="宋体" w:hAnsi="宋体" w:cs="宋体"/>
          <w:sz w:val="24"/>
          <w:szCs w:val="24"/>
        </w:rPr>
        <w:t>技术路线</w:t>
      </w:r>
      <w:r>
        <w:rPr>
          <w:rFonts w:ascii="宋体" w:hAnsi="宋体" w:cs="宋体"/>
          <w:sz w:val="24"/>
          <w:szCs w:val="24"/>
        </w:rPr>
        <w:t>，</w:t>
      </w:r>
      <w:r>
        <w:rPr>
          <w:rFonts w:hint="eastAsia" w:ascii="宋体" w:hAnsi="宋体" w:cs="宋体"/>
          <w:sz w:val="24"/>
          <w:szCs w:val="24"/>
        </w:rPr>
        <w:t>最终</w:t>
      </w:r>
      <w:r>
        <w:rPr>
          <w:rFonts w:ascii="宋体" w:hAnsi="宋体" w:cs="宋体"/>
          <w:sz w:val="24"/>
          <w:szCs w:val="24"/>
        </w:rPr>
        <w:t>形成</w:t>
      </w:r>
      <w:bookmarkEnd w:id="516"/>
      <w:bookmarkStart w:id="517" w:name="_Hlk148627931"/>
      <w:r>
        <w:rPr>
          <w:rFonts w:ascii="宋体" w:hAnsi="宋体" w:cs="宋体"/>
          <w:sz w:val="24"/>
          <w:szCs w:val="24"/>
        </w:rPr>
        <w:t>13</w:t>
      </w:r>
      <w:r>
        <w:rPr>
          <w:rFonts w:hint="eastAsia" w:ascii="宋体" w:hAnsi="宋体" w:cs="宋体"/>
          <w:sz w:val="24"/>
          <w:szCs w:val="24"/>
        </w:rPr>
        <w:t>个村级片区</w:t>
      </w:r>
      <w:bookmarkEnd w:id="517"/>
      <w:r>
        <w:rPr>
          <w:rFonts w:hint="eastAsia" w:ascii="宋体" w:hAnsi="宋体" w:cs="宋体"/>
          <w:sz w:val="24"/>
          <w:szCs w:val="24"/>
        </w:rPr>
        <w:t>。详见附表</w:t>
      </w:r>
      <w:r>
        <w:rPr>
          <w:rFonts w:ascii="宋体" w:hAnsi="宋体" w:cs="宋体"/>
          <w:sz w:val="24"/>
          <w:szCs w:val="24"/>
        </w:rPr>
        <w:t>5。</w:t>
      </w:r>
    </w:p>
    <w:p>
      <w:pPr>
        <w:pStyle w:val="81"/>
        <w:numPr>
          <w:ilvl w:val="0"/>
          <w:numId w:val="5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村级国土空间规划传导</w:t>
      </w:r>
    </w:p>
    <w:p>
      <w:pPr>
        <w:tabs>
          <w:tab w:val="left" w:pos="0"/>
        </w:tabs>
        <w:spacing w:line="360" w:lineRule="auto"/>
        <w:ind w:firstLine="480" w:firstLineChars="200"/>
        <w:rPr>
          <w:rFonts w:ascii="宋体" w:hAnsi="宋体" w:cs="宋体"/>
          <w:sz w:val="24"/>
          <w:szCs w:val="24"/>
        </w:rPr>
      </w:pPr>
      <w:bookmarkStart w:id="518" w:name="_Hlk148628228"/>
      <w:bookmarkStart w:id="519" w:name="_Hlk141952016"/>
      <w:r>
        <w:rPr>
          <w:rFonts w:hint="eastAsia" w:ascii="宋体" w:hAnsi="宋体" w:cs="宋体"/>
          <w:sz w:val="24"/>
          <w:szCs w:val="24"/>
        </w:rPr>
        <w:t>村级国土空间规划应以1</w:t>
      </w:r>
      <w:r>
        <w:rPr>
          <w:rFonts w:ascii="宋体" w:hAnsi="宋体" w:cs="宋体"/>
          <w:sz w:val="24"/>
          <w:szCs w:val="24"/>
        </w:rPr>
        <w:t>3</w:t>
      </w:r>
      <w:r>
        <w:rPr>
          <w:rFonts w:hint="eastAsia" w:ascii="宋体" w:hAnsi="宋体" w:cs="宋体"/>
          <w:sz w:val="24"/>
          <w:szCs w:val="24"/>
        </w:rPr>
        <w:t>个村级片区为单元，按照《四川省村级规划编制指南（2</w:t>
      </w:r>
      <w:r>
        <w:rPr>
          <w:rFonts w:ascii="宋体" w:hAnsi="宋体" w:cs="宋体"/>
          <w:sz w:val="24"/>
          <w:szCs w:val="24"/>
        </w:rPr>
        <w:t>021</w:t>
      </w:r>
      <w:r>
        <w:rPr>
          <w:rFonts w:hint="eastAsia" w:ascii="宋体" w:hAnsi="宋体" w:cs="宋体"/>
          <w:sz w:val="24"/>
          <w:szCs w:val="24"/>
        </w:rPr>
        <w:t>年修订版）》要求编制。</w:t>
      </w:r>
      <w:r>
        <w:rPr>
          <w:rFonts w:hint="eastAsia" w:ascii="宋体" w:hAnsi="宋体" w:cs="宋体"/>
          <w:b/>
          <w:bCs/>
          <w:sz w:val="24"/>
          <w:szCs w:val="24"/>
          <w:u w:val="single"/>
        </w:rPr>
        <w:t>以片区为单元进行底线约束，严格落实各片区耕地、永久基本农田、生态保护红线、建设用地、城乡建设用地、林地等指标分解。片区“三线”控制指标不得低于本规划下达的目标值并严格落实相关控制性要求；应严格落实本规划确定的历史文化保护、重大基础设施建设、综合防灾等强制性内容；</w:t>
      </w:r>
      <w:r>
        <w:rPr>
          <w:rFonts w:hint="eastAsia" w:ascii="宋体" w:hAnsi="宋体" w:cs="宋体"/>
          <w:sz w:val="24"/>
          <w:szCs w:val="24"/>
        </w:rPr>
        <w:t>按功能定位、人口规模、产业发展指引等引导要求落实相关内容。</w:t>
      </w:r>
      <w:bookmarkEnd w:id="518"/>
      <w:r>
        <w:rPr>
          <w:rFonts w:hint="eastAsia" w:ascii="宋体" w:hAnsi="宋体" w:cs="宋体"/>
          <w:sz w:val="24"/>
          <w:szCs w:val="24"/>
        </w:rPr>
        <w:t>详见附表</w:t>
      </w:r>
      <w:r>
        <w:rPr>
          <w:rFonts w:ascii="宋体" w:hAnsi="宋体" w:cs="宋体"/>
          <w:sz w:val="24"/>
          <w:szCs w:val="24"/>
        </w:rPr>
        <w:t>5</w:t>
      </w:r>
      <w:bookmarkEnd w:id="519"/>
      <w:r>
        <w:rPr>
          <w:rFonts w:hint="eastAsia" w:ascii="宋体" w:hAnsi="宋体" w:cs="宋体"/>
          <w:sz w:val="24"/>
          <w:szCs w:val="24"/>
        </w:rPr>
        <w:t>、附表6。</w:t>
      </w:r>
    </w:p>
    <w:p>
      <w:pPr>
        <w:pStyle w:val="5"/>
        <w:numPr>
          <w:ilvl w:val="0"/>
          <w:numId w:val="55"/>
        </w:numPr>
        <w:spacing w:line="360" w:lineRule="auto"/>
        <w:ind w:left="0" w:firstLine="482" w:firstLineChars="200"/>
        <w:rPr>
          <w:rFonts w:ascii="宋体" w:hAnsi="宋体" w:cs="宋体"/>
          <w:szCs w:val="24"/>
        </w:rPr>
      </w:pPr>
      <w:r>
        <w:rPr>
          <w:rFonts w:hint="eastAsia"/>
          <w:b/>
          <w:bCs/>
        </w:rPr>
        <w:t>指导镇区建设规划</w:t>
      </w:r>
    </w:p>
    <w:p>
      <w:pPr>
        <w:tabs>
          <w:tab w:val="left" w:pos="0"/>
        </w:tabs>
        <w:spacing w:line="360" w:lineRule="auto"/>
        <w:ind w:firstLine="480" w:firstLineChars="200"/>
        <w:rPr>
          <w:rFonts w:ascii="宋体" w:hAnsi="宋体" w:cs="宋体"/>
          <w:sz w:val="24"/>
          <w:szCs w:val="24"/>
        </w:rPr>
      </w:pPr>
      <w:bookmarkStart w:id="520" w:name="_Hlk167717831"/>
      <w:r>
        <w:rPr>
          <w:rFonts w:hint="eastAsia" w:ascii="宋体" w:hAnsi="宋体" w:cs="宋体"/>
          <w:sz w:val="24"/>
          <w:szCs w:val="24"/>
        </w:rPr>
        <w:t>镇区城镇开发边界内各类建设用地应明确用地性质，并确定地块容积率、绿地率、建筑密度、建筑高度等控制指标，交通、市政、防灾等设施规划应达到详细规划深度</w:t>
      </w:r>
      <w:bookmarkEnd w:id="520"/>
      <w:r>
        <w:rPr>
          <w:rFonts w:hint="eastAsia" w:ascii="宋体" w:hAnsi="宋体" w:cs="宋体"/>
          <w:sz w:val="24"/>
          <w:szCs w:val="24"/>
        </w:rPr>
        <w:t>。</w:t>
      </w:r>
    </w:p>
    <w:p>
      <w:pPr>
        <w:pStyle w:val="5"/>
        <w:numPr>
          <w:ilvl w:val="0"/>
          <w:numId w:val="55"/>
        </w:numPr>
        <w:spacing w:line="360" w:lineRule="auto"/>
        <w:ind w:left="0" w:firstLine="482" w:firstLineChars="200"/>
        <w:rPr>
          <w:b/>
          <w:bCs/>
        </w:rPr>
      </w:pPr>
      <w:r>
        <w:rPr>
          <w:rFonts w:hint="eastAsia"/>
          <w:b/>
          <w:bCs/>
        </w:rPr>
        <w:t>指导相关专项规划</w:t>
      </w:r>
    </w:p>
    <w:p>
      <w:pPr>
        <w:tabs>
          <w:tab w:val="left" w:pos="0"/>
        </w:tabs>
        <w:spacing w:line="360" w:lineRule="auto"/>
        <w:ind w:firstLine="480" w:firstLineChars="200"/>
        <w:rPr>
          <w:rFonts w:ascii="宋体" w:hAnsi="宋体" w:cs="宋体"/>
          <w:sz w:val="24"/>
          <w:szCs w:val="24"/>
        </w:rPr>
      </w:pPr>
      <w:bookmarkStart w:id="521" w:name="_Hlk167717846"/>
      <w:r>
        <w:rPr>
          <w:rFonts w:hint="eastAsia" w:ascii="宋体" w:hAnsi="宋体" w:cs="宋体"/>
          <w:sz w:val="24"/>
          <w:szCs w:val="24"/>
        </w:rPr>
        <w:t>对片区相关专项规划进行统筹，指导相关部门和行业深化细化专项规划。在充分调研的基础上，将专项规划的主要内容纳入本片区国土空间总体规划，确保各专项规划的空间需求在本片区国土空间总体规划中精准落地</w:t>
      </w:r>
      <w:bookmarkEnd w:id="521"/>
      <w:r>
        <w:rPr>
          <w:rFonts w:hint="eastAsia" w:ascii="宋体" w:hAnsi="宋体" w:cs="宋体"/>
          <w:sz w:val="24"/>
          <w:szCs w:val="24"/>
        </w:rPr>
        <w:t>。</w:t>
      </w:r>
    </w:p>
    <w:p>
      <w:pPr>
        <w:widowControl/>
        <w:jc w:val="left"/>
        <w:rPr>
          <w:rFonts w:ascii="黑体" w:hAnsi="黑体" w:eastAsia="黑体"/>
          <w:b/>
          <w:sz w:val="32"/>
          <w:szCs w:val="32"/>
        </w:rPr>
      </w:pPr>
      <w:bookmarkStart w:id="522" w:name="_Toc106960185"/>
      <w:r>
        <w:rPr>
          <w:rFonts w:ascii="黑体" w:hAnsi="黑体" w:eastAsia="黑体"/>
          <w:b/>
          <w:sz w:val="32"/>
          <w:szCs w:val="32"/>
        </w:rPr>
        <w:br w:type="page"/>
      </w:r>
    </w:p>
    <w:p>
      <w:pPr>
        <w:pStyle w:val="81"/>
        <w:numPr>
          <w:ilvl w:val="0"/>
          <w:numId w:val="3"/>
        </w:numPr>
        <w:spacing w:before="312" w:beforeLines="100" w:after="312" w:afterLines="100" w:line="360" w:lineRule="auto"/>
        <w:ind w:firstLineChars="0"/>
        <w:jc w:val="center"/>
        <w:outlineLvl w:val="0"/>
        <w:rPr>
          <w:rFonts w:ascii="黑体" w:hAnsi="黑体" w:eastAsia="黑体"/>
          <w:b/>
          <w:sz w:val="32"/>
          <w:szCs w:val="32"/>
        </w:rPr>
      </w:pPr>
      <w:bookmarkStart w:id="523" w:name="_Toc141369731"/>
      <w:r>
        <w:rPr>
          <w:rFonts w:hint="eastAsia" w:ascii="黑体" w:hAnsi="黑体" w:eastAsia="黑体"/>
          <w:b/>
          <w:sz w:val="32"/>
          <w:szCs w:val="32"/>
        </w:rPr>
        <w:t>镇区规划</w:t>
      </w:r>
      <w:bookmarkEnd w:id="522"/>
      <w:bookmarkEnd w:id="523"/>
    </w:p>
    <w:p>
      <w:pPr>
        <w:numPr>
          <w:ilvl w:val="1"/>
          <w:numId w:val="57"/>
        </w:numPr>
        <w:tabs>
          <w:tab w:val="left" w:pos="680"/>
          <w:tab w:val="left" w:pos="840"/>
        </w:tabs>
        <w:spacing w:line="440" w:lineRule="exact"/>
        <w:jc w:val="left"/>
        <w:outlineLvl w:val="1"/>
        <w:rPr>
          <w:rFonts w:hAnsi="宋体"/>
          <w:b/>
          <w:sz w:val="28"/>
          <w:szCs w:val="28"/>
        </w:rPr>
      </w:pPr>
      <w:bookmarkStart w:id="524" w:name="_Toc141369732"/>
      <w:bookmarkStart w:id="525" w:name="_Toc106960186"/>
      <w:r>
        <w:rPr>
          <w:rFonts w:hint="eastAsia" w:hAnsi="宋体"/>
          <w:b/>
          <w:sz w:val="28"/>
          <w:szCs w:val="28"/>
        </w:rPr>
        <w:t>隆盛镇镇区规划</w:t>
      </w:r>
      <w:bookmarkEnd w:id="524"/>
      <w:bookmarkEnd w:id="525"/>
    </w:p>
    <w:p>
      <w:pPr>
        <w:pStyle w:val="5"/>
        <w:numPr>
          <w:ilvl w:val="0"/>
          <w:numId w:val="58"/>
        </w:numPr>
        <w:spacing w:line="360" w:lineRule="auto"/>
        <w:ind w:left="0" w:firstLine="482" w:firstLineChars="200"/>
        <w:rPr>
          <w:b/>
          <w:bCs/>
        </w:rPr>
      </w:pPr>
      <w:r>
        <w:rPr>
          <w:rFonts w:hint="eastAsia"/>
          <w:b/>
          <w:bCs/>
        </w:rPr>
        <w:t>镇区现状概况与问题</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隆盛镇镇区七普常住人口</w:t>
      </w:r>
      <w:r>
        <w:rPr>
          <w:rFonts w:ascii="宋体" w:hAnsi="宋体" w:cs="宋体"/>
          <w:sz w:val="24"/>
          <w:szCs w:val="24"/>
        </w:rPr>
        <w:t>4233</w:t>
      </w:r>
      <w:r>
        <w:rPr>
          <w:rFonts w:hint="eastAsia" w:ascii="宋体" w:hAnsi="宋体" w:cs="宋体"/>
          <w:sz w:val="24"/>
          <w:szCs w:val="24"/>
        </w:rPr>
        <w:t>人，城镇建设用地面积47.21公顷，人均城镇建设用地面积为111.53㎡。城镇建设用地以居住用地为主，占比57.28</w:t>
      </w:r>
      <w:r>
        <w:rPr>
          <w:rFonts w:ascii="宋体" w:hAnsi="宋体" w:cs="宋体"/>
          <w:sz w:val="24"/>
          <w:szCs w:val="24"/>
        </w:rPr>
        <w:t>%，其次是公共管理与公共服务用地，占比</w:t>
      </w:r>
      <w:r>
        <w:rPr>
          <w:rFonts w:hint="eastAsia" w:ascii="宋体" w:hAnsi="宋体" w:cs="宋体"/>
          <w:sz w:val="24"/>
          <w:szCs w:val="24"/>
        </w:rPr>
        <w:t>16.59</w:t>
      </w:r>
      <w:r>
        <w:rPr>
          <w:rFonts w:ascii="宋体" w:hAnsi="宋体" w:cs="宋体"/>
          <w:sz w:val="24"/>
          <w:szCs w:val="24"/>
        </w:rPr>
        <w:t>%</w:t>
      </w:r>
      <w:r>
        <w:rPr>
          <w:rFonts w:hint="eastAsia" w:ascii="宋体" w:hAnsi="宋体" w:cs="宋体"/>
          <w:sz w:val="24"/>
          <w:szCs w:val="24"/>
        </w:rPr>
        <w:t>，详见附表</w:t>
      </w:r>
      <w:r>
        <w:rPr>
          <w:rFonts w:ascii="宋体" w:hAnsi="宋体" w:cs="宋体"/>
          <w:sz w:val="24"/>
          <w:szCs w:val="24"/>
        </w:rPr>
        <w:t>8</w:t>
      </w:r>
      <w:r>
        <w:rPr>
          <w:rFonts w:hint="eastAsia" w:ascii="宋体" w:hAnsi="宋体" w:cs="宋体"/>
          <w:sz w:val="24"/>
          <w:szCs w:val="24"/>
        </w:rPr>
        <w:t>。</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通过对镇区历史演变、人口情况、土地利用、基础设施、空间形态和景观风貌等现状情况进行评估，综合研判镇区建设存在的四个方面主要问题：</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 xml:space="preserve">一是城镇常住人口规模较小，城镇化水平较低。隆盛镇紧邻大英县经开区，遂大快速通道横向贯穿全镇，与大英县城和遂宁市区交通联系紧密，对隆盛人口产生较为明显的虹吸效应；通过镇区北侧高速下道口转换成渝高速，可快速到达成都重庆，高速、高铁等便 </w:t>
      </w:r>
      <w:r>
        <w:rPr>
          <w:rFonts w:ascii="宋体" w:hAnsi="宋体" w:cs="宋体"/>
          <w:sz w:val="24"/>
          <w:szCs w:val="24"/>
        </w:rPr>
        <w:t xml:space="preserve"> </w:t>
      </w:r>
      <w:r>
        <w:rPr>
          <w:rFonts w:hint="eastAsia" w:ascii="宋体" w:hAnsi="宋体" w:cs="宋体"/>
          <w:sz w:val="24"/>
          <w:szCs w:val="24"/>
        </w:rPr>
        <w:t>捷交通和镇区内部产业缺乏，进一步影响隆盛镇区人口外流。现状隆盛镇区常住人口4</w:t>
      </w:r>
      <w:r>
        <w:rPr>
          <w:rFonts w:ascii="宋体" w:hAnsi="宋体" w:cs="宋体"/>
          <w:sz w:val="24"/>
          <w:szCs w:val="24"/>
        </w:rPr>
        <w:t>233</w:t>
      </w:r>
      <w:r>
        <w:rPr>
          <w:rFonts w:hint="eastAsia" w:ascii="宋体" w:hAnsi="宋体" w:cs="宋体"/>
          <w:sz w:val="24"/>
          <w:szCs w:val="24"/>
        </w:rPr>
        <w:t>人，城镇化率1</w:t>
      </w:r>
      <w:r>
        <w:rPr>
          <w:rFonts w:ascii="宋体" w:hAnsi="宋体" w:cs="宋体"/>
          <w:sz w:val="24"/>
          <w:szCs w:val="24"/>
        </w:rPr>
        <w:t>0.36</w:t>
      </w:r>
      <w:r>
        <w:rPr>
          <w:rFonts w:hint="eastAsia" w:ascii="宋体" w:hAnsi="宋体" w:cs="宋体"/>
          <w:sz w:val="24"/>
          <w:szCs w:val="24"/>
        </w:rPr>
        <w:t>%，处于较低水平。</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二是镇区用地闲置情况突出，新城开发建设停滞。老镇区内的小学、幼儿园以及出让后的粮站等用地处于闲置状态，新城有较多空闲地，新建农贸市场闲置，居住用地开发建设停滞。镇区闲置用地规模约5</w:t>
      </w:r>
      <w:r>
        <w:rPr>
          <w:rFonts w:ascii="宋体" w:hAnsi="宋体" w:cs="宋体"/>
          <w:sz w:val="24"/>
          <w:szCs w:val="24"/>
        </w:rPr>
        <w:t>.62</w:t>
      </w:r>
      <w:r>
        <w:rPr>
          <w:rFonts w:hint="eastAsia" w:ascii="宋体" w:hAnsi="宋体" w:cs="宋体"/>
          <w:sz w:val="24"/>
          <w:szCs w:val="24"/>
        </w:rPr>
        <w:t>公顷。</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三是配套设施服务功能不足，品质有待提升。公共服务设施方面，随着总支中学生逐步并入镇区，现状初级中学用地规模不足，且搬迁困难，亟需原址扩容；镇区缺少体育健身设施与公共活动场地。基础设施方面，现状污水处理以雨污合流为主，供水不稳定，部分电力设施老化，架空电力通信线缆杂乱，另外还存在南街消防和洪水隐患等问题。</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四是城镇建设特色不足，景观风貌欠佳。镇区现状建筑搭建蓝色彩钢棚现象突出，部分房屋破败，主要街道界面风貌有待提升，整体文化特色不足，未体现药香康养小镇文化特色；老戏台、金鹏寺摩崖造像等历史文化资源以及郪江、黄腊溪等自然景观资源未得到有效利用。</w:t>
      </w:r>
    </w:p>
    <w:p>
      <w:pPr>
        <w:pStyle w:val="5"/>
        <w:numPr>
          <w:ilvl w:val="0"/>
          <w:numId w:val="58"/>
        </w:numPr>
        <w:spacing w:line="360" w:lineRule="auto"/>
        <w:ind w:left="0" w:firstLine="482" w:firstLineChars="200"/>
        <w:rPr>
          <w:b/>
          <w:bCs/>
        </w:rPr>
      </w:pPr>
      <w:r>
        <w:rPr>
          <w:rFonts w:hint="eastAsia"/>
          <w:b/>
          <w:bCs/>
        </w:rPr>
        <w:t>定位规模</w:t>
      </w:r>
    </w:p>
    <w:p>
      <w:pPr>
        <w:pStyle w:val="81"/>
        <w:numPr>
          <w:ilvl w:val="0"/>
          <w:numId w:val="5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功能定位</w:t>
      </w:r>
    </w:p>
    <w:p>
      <w:pPr>
        <w:tabs>
          <w:tab w:val="left" w:pos="0"/>
        </w:tabs>
        <w:spacing w:line="360" w:lineRule="auto"/>
        <w:ind w:firstLine="480" w:firstLineChars="200"/>
        <w:rPr>
          <w:rFonts w:ascii="宋体" w:hAnsi="宋体" w:cs="宋体"/>
          <w:sz w:val="24"/>
          <w:szCs w:val="24"/>
        </w:rPr>
      </w:pPr>
      <w:bookmarkStart w:id="526" w:name="_Hlk148627719"/>
      <w:r>
        <w:rPr>
          <w:rFonts w:hint="eastAsia" w:ascii="宋体" w:hAnsi="宋体" w:cs="宋体"/>
          <w:sz w:val="24"/>
          <w:szCs w:val="24"/>
        </w:rPr>
        <w:t>镇区作为片区综合服务中心，重点引导资源要素集聚，强化中药材产业主导地位，结合上位规划指引和自身发展潜力，将隆盛镇镇区定位为以药香康养旅游服务和中药材深加工为特色的农旅型城镇。</w:t>
      </w:r>
    </w:p>
    <w:bookmarkEnd w:id="526"/>
    <w:p>
      <w:pPr>
        <w:pStyle w:val="81"/>
        <w:numPr>
          <w:ilvl w:val="0"/>
          <w:numId w:val="5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城镇规模</w:t>
      </w:r>
      <w:r>
        <w:rPr>
          <w:rFonts w:ascii="宋体" w:hAnsi="宋体" w:cs="宋体"/>
          <w:b/>
          <w:bCs/>
          <w:sz w:val="24"/>
          <w:szCs w:val="24"/>
        </w:rPr>
        <w:t xml:space="preserve"> </w:t>
      </w:r>
    </w:p>
    <w:p>
      <w:pPr>
        <w:tabs>
          <w:tab w:val="left" w:pos="0"/>
        </w:tabs>
        <w:spacing w:line="360" w:lineRule="auto"/>
        <w:ind w:firstLine="480" w:firstLineChars="200"/>
        <w:rPr>
          <w:rFonts w:ascii="宋体" w:hAnsi="宋体"/>
          <w:sz w:val="24"/>
          <w:szCs w:val="24"/>
        </w:rPr>
      </w:pPr>
      <w:r>
        <w:rPr>
          <w:rFonts w:hint="eastAsia" w:ascii="宋体" w:hAnsi="宋体" w:cs="宋体"/>
          <w:sz w:val="24"/>
          <w:szCs w:val="24"/>
        </w:rPr>
        <w:t>隆盛镇镇区规划范围</w:t>
      </w:r>
      <w:r>
        <w:rPr>
          <w:rFonts w:ascii="宋体" w:hAnsi="宋体" w:cs="宋体"/>
          <w:sz w:val="24"/>
          <w:szCs w:val="24"/>
        </w:rPr>
        <w:t>341.</w:t>
      </w:r>
      <w:r>
        <w:rPr>
          <w:rFonts w:hint="eastAsia" w:ascii="宋体" w:hAnsi="宋体" w:cs="宋体"/>
          <w:sz w:val="24"/>
          <w:szCs w:val="24"/>
        </w:rPr>
        <w:t>61公顷，</w:t>
      </w:r>
      <w:bookmarkStart w:id="527" w:name="_Hlk148627674"/>
      <w:r>
        <w:rPr>
          <w:rFonts w:hint="eastAsia" w:ascii="宋体" w:hAnsi="宋体" w:cs="宋体"/>
          <w:sz w:val="24"/>
          <w:szCs w:val="24"/>
        </w:rPr>
        <w:t>到</w:t>
      </w:r>
      <w:r>
        <w:rPr>
          <w:rFonts w:ascii="宋体" w:hAnsi="宋体" w:cs="宋体"/>
          <w:sz w:val="24"/>
          <w:szCs w:val="24"/>
        </w:rPr>
        <w:t>2035年，镇区城镇常住人口规模为8500人，镇区规划</w:t>
      </w:r>
      <w:r>
        <w:rPr>
          <w:rFonts w:hint="eastAsia" w:ascii="宋体" w:hAnsi="宋体"/>
          <w:sz w:val="24"/>
          <w:szCs w:val="24"/>
        </w:rPr>
        <w:t>建设用地规模为</w:t>
      </w:r>
      <w:r>
        <w:rPr>
          <w:rFonts w:ascii="宋体" w:hAnsi="宋体"/>
          <w:sz w:val="24"/>
          <w:szCs w:val="24"/>
        </w:rPr>
        <w:t>144.</w:t>
      </w:r>
      <w:r>
        <w:rPr>
          <w:rFonts w:hint="eastAsia" w:ascii="宋体" w:hAnsi="宋体"/>
          <w:sz w:val="24"/>
          <w:szCs w:val="24"/>
        </w:rPr>
        <w:t>50公顷，</w:t>
      </w:r>
      <w:r>
        <w:rPr>
          <w:rFonts w:hint="eastAsia" w:ascii="宋体" w:hAnsi="宋体"/>
          <w:b/>
          <w:sz w:val="24"/>
          <w:szCs w:val="24"/>
          <w:u w:val="single"/>
        </w:rPr>
        <w:t>其中城镇建设用地60.</w:t>
      </w:r>
      <w:r>
        <w:rPr>
          <w:rFonts w:ascii="宋体" w:hAnsi="宋体"/>
          <w:b/>
          <w:sz w:val="24"/>
          <w:szCs w:val="24"/>
          <w:u w:val="single"/>
        </w:rPr>
        <w:t>33</w:t>
      </w:r>
      <w:r>
        <w:rPr>
          <w:rFonts w:hint="eastAsia" w:ascii="宋体" w:hAnsi="宋体"/>
          <w:b/>
          <w:sz w:val="24"/>
          <w:szCs w:val="24"/>
          <w:u w:val="single"/>
        </w:rPr>
        <w:t>公顷</w:t>
      </w:r>
      <w:r>
        <w:rPr>
          <w:rFonts w:hint="eastAsia" w:ascii="宋体" w:hAnsi="宋体"/>
          <w:sz w:val="24"/>
          <w:szCs w:val="24"/>
        </w:rPr>
        <w:t>（城镇开发边界内），乡村建设用地84.1</w:t>
      </w:r>
      <w:r>
        <w:rPr>
          <w:rFonts w:ascii="宋体" w:hAnsi="宋体"/>
          <w:sz w:val="24"/>
          <w:szCs w:val="24"/>
        </w:rPr>
        <w:t>7</w:t>
      </w:r>
      <w:r>
        <w:rPr>
          <w:rFonts w:hint="eastAsia" w:ascii="宋体" w:hAnsi="宋体"/>
          <w:sz w:val="24"/>
          <w:szCs w:val="24"/>
        </w:rPr>
        <w:t>公顷（城镇开发边界外，包括农村宅基地、交通运输用地、公用设施用地等）</w:t>
      </w:r>
      <w:bookmarkEnd w:id="527"/>
      <w:r>
        <w:rPr>
          <w:rFonts w:hint="eastAsia" w:ascii="宋体" w:hAnsi="宋体"/>
          <w:sz w:val="24"/>
          <w:szCs w:val="24"/>
        </w:rPr>
        <w:t>；其他用地</w:t>
      </w:r>
      <w:r>
        <w:rPr>
          <w:rFonts w:ascii="宋体" w:hAnsi="宋体"/>
          <w:sz w:val="24"/>
          <w:szCs w:val="24"/>
        </w:rPr>
        <w:t>1</w:t>
      </w:r>
      <w:r>
        <w:rPr>
          <w:rFonts w:hint="eastAsia" w:ascii="宋体" w:hAnsi="宋体"/>
          <w:sz w:val="24"/>
          <w:szCs w:val="24"/>
        </w:rPr>
        <w:t>97.11公顷（包括耕地、园地、林地、湿地、农业设施建设用地等），</w:t>
      </w:r>
      <w:r>
        <w:rPr>
          <w:rFonts w:hint="eastAsia" w:ascii="宋体" w:hAnsi="宋体" w:cs="宋体"/>
          <w:sz w:val="24"/>
          <w:szCs w:val="24"/>
        </w:rPr>
        <w:t>详见附表1</w:t>
      </w:r>
      <w:r>
        <w:rPr>
          <w:rFonts w:ascii="宋体" w:hAnsi="宋体" w:cs="宋体"/>
          <w:sz w:val="24"/>
          <w:szCs w:val="24"/>
        </w:rPr>
        <w:t>1</w:t>
      </w:r>
      <w:r>
        <w:rPr>
          <w:rFonts w:hint="eastAsia" w:ascii="宋体" w:hAnsi="宋体" w:cs="宋体"/>
          <w:sz w:val="24"/>
          <w:szCs w:val="24"/>
        </w:rPr>
        <w:t>。</w:t>
      </w:r>
    </w:p>
    <w:p>
      <w:pPr>
        <w:pStyle w:val="5"/>
        <w:numPr>
          <w:ilvl w:val="0"/>
          <w:numId w:val="58"/>
        </w:numPr>
        <w:spacing w:line="360" w:lineRule="auto"/>
        <w:ind w:left="0" w:firstLine="482" w:firstLineChars="200"/>
        <w:rPr>
          <w:b/>
          <w:bCs/>
        </w:rPr>
      </w:pPr>
      <w:r>
        <w:rPr>
          <w:rFonts w:hint="eastAsia"/>
          <w:b/>
          <w:bCs/>
        </w:rPr>
        <w:t>功能结构</w:t>
      </w:r>
    </w:p>
    <w:p>
      <w:pPr>
        <w:tabs>
          <w:tab w:val="left" w:pos="0"/>
        </w:tabs>
        <w:spacing w:line="360" w:lineRule="auto"/>
        <w:ind w:firstLine="480" w:firstLineChars="200"/>
        <w:rPr>
          <w:rFonts w:ascii="宋体" w:hAnsi="宋体" w:cs="宋体"/>
          <w:sz w:val="24"/>
          <w:szCs w:val="24"/>
        </w:rPr>
      </w:pPr>
      <w:r>
        <w:rPr>
          <w:rFonts w:ascii="宋体" w:hAnsi="宋体" w:cs="宋体"/>
          <w:sz w:val="24"/>
          <w:szCs w:val="24"/>
        </w:rPr>
        <w:t>规划隆盛镇镇区形成“一心、一带、四组团”功能结构。“一心”</w:t>
      </w:r>
      <w:r>
        <w:rPr>
          <w:rFonts w:hint="eastAsia" w:ascii="宋体" w:hAnsi="宋体" w:cs="宋体"/>
          <w:sz w:val="24"/>
          <w:szCs w:val="24"/>
        </w:rPr>
        <w:t>指以隆盛镇新区为核心的</w:t>
      </w:r>
      <w:r>
        <w:rPr>
          <w:rFonts w:ascii="宋体" w:hAnsi="宋体" w:cs="宋体"/>
          <w:sz w:val="24"/>
          <w:szCs w:val="24"/>
        </w:rPr>
        <w:t>城镇综合服务中心</w:t>
      </w:r>
      <w:r>
        <w:rPr>
          <w:rFonts w:hint="eastAsia" w:ascii="宋体" w:hAnsi="宋体" w:cs="宋体"/>
          <w:sz w:val="24"/>
          <w:szCs w:val="24"/>
        </w:rPr>
        <w:t>，</w:t>
      </w:r>
      <w:r>
        <w:rPr>
          <w:rFonts w:ascii="宋体" w:hAnsi="宋体" w:cs="宋体"/>
          <w:sz w:val="24"/>
          <w:szCs w:val="24"/>
        </w:rPr>
        <w:t>“一带”</w:t>
      </w:r>
      <w:r>
        <w:rPr>
          <w:rFonts w:hint="eastAsia" w:ascii="宋体" w:hAnsi="宋体" w:cs="宋体"/>
          <w:sz w:val="24"/>
          <w:szCs w:val="24"/>
        </w:rPr>
        <w:t>指</w:t>
      </w:r>
      <w:r>
        <w:rPr>
          <w:rFonts w:ascii="宋体" w:hAnsi="宋体" w:cs="宋体"/>
          <w:sz w:val="24"/>
          <w:szCs w:val="24"/>
        </w:rPr>
        <w:t>郪江滨水</w:t>
      </w:r>
      <w:r>
        <w:rPr>
          <w:rFonts w:hint="eastAsia" w:ascii="宋体" w:hAnsi="宋体" w:cs="宋体"/>
          <w:sz w:val="24"/>
          <w:szCs w:val="24"/>
        </w:rPr>
        <w:t>景观</w:t>
      </w:r>
      <w:r>
        <w:rPr>
          <w:rFonts w:ascii="宋体" w:hAnsi="宋体" w:cs="宋体"/>
          <w:sz w:val="24"/>
          <w:szCs w:val="24"/>
        </w:rPr>
        <w:t>带</w:t>
      </w:r>
      <w:r>
        <w:rPr>
          <w:rFonts w:hint="eastAsia" w:ascii="宋体" w:hAnsi="宋体" w:cs="宋体"/>
          <w:sz w:val="24"/>
          <w:szCs w:val="24"/>
        </w:rPr>
        <w:t>，</w:t>
      </w:r>
      <w:r>
        <w:rPr>
          <w:rFonts w:ascii="宋体" w:hAnsi="宋体" w:cs="宋体"/>
          <w:sz w:val="24"/>
          <w:szCs w:val="24"/>
        </w:rPr>
        <w:t>“四组团”</w:t>
      </w:r>
      <w:r>
        <w:rPr>
          <w:rFonts w:hint="eastAsia" w:ascii="宋体" w:hAnsi="宋体" w:cs="宋体"/>
          <w:sz w:val="24"/>
          <w:szCs w:val="24"/>
        </w:rPr>
        <w:t>指根据道路、河流、山体分隔形成的</w:t>
      </w:r>
      <w:r>
        <w:rPr>
          <w:rFonts w:ascii="宋体" w:hAnsi="宋体" w:cs="宋体"/>
          <w:sz w:val="24"/>
          <w:szCs w:val="24"/>
        </w:rPr>
        <w:t>商贸文化组团、综合服务组团、北部居住组团</w:t>
      </w:r>
      <w:r>
        <w:rPr>
          <w:rFonts w:hint="eastAsia" w:ascii="宋体" w:hAnsi="宋体" w:cs="宋体"/>
          <w:sz w:val="24"/>
          <w:szCs w:val="24"/>
        </w:rPr>
        <w:t>和</w:t>
      </w:r>
      <w:r>
        <w:rPr>
          <w:rFonts w:ascii="宋体" w:hAnsi="宋体" w:cs="宋体"/>
          <w:sz w:val="24"/>
          <w:szCs w:val="24"/>
        </w:rPr>
        <w:t>南部居住组团</w:t>
      </w:r>
      <w:r>
        <w:rPr>
          <w:rFonts w:hint="eastAsia" w:ascii="宋体" w:hAnsi="宋体" w:cs="宋体"/>
          <w:sz w:val="24"/>
          <w:szCs w:val="24"/>
        </w:rPr>
        <w:t>。</w:t>
      </w:r>
    </w:p>
    <w:p>
      <w:pPr>
        <w:pStyle w:val="5"/>
        <w:numPr>
          <w:ilvl w:val="0"/>
          <w:numId w:val="58"/>
        </w:numPr>
        <w:spacing w:line="360" w:lineRule="auto"/>
        <w:ind w:left="0" w:firstLine="482" w:firstLineChars="200"/>
        <w:rPr>
          <w:b/>
          <w:bCs/>
        </w:rPr>
      </w:pPr>
      <w:r>
        <w:rPr>
          <w:rFonts w:hint="eastAsia"/>
          <w:b/>
          <w:bCs/>
        </w:rPr>
        <w:t>用地布局</w:t>
      </w:r>
    </w:p>
    <w:p>
      <w:pPr>
        <w:tabs>
          <w:tab w:val="left" w:pos="0"/>
        </w:tabs>
        <w:spacing w:line="360" w:lineRule="auto"/>
        <w:ind w:firstLine="480" w:firstLineChars="200"/>
        <w:rPr>
          <w:rFonts w:ascii="宋体" w:hAnsi="宋体" w:cs="宋体"/>
          <w:sz w:val="24"/>
          <w:szCs w:val="24"/>
        </w:rPr>
      </w:pPr>
      <w:r>
        <w:rPr>
          <w:rFonts w:hint="eastAsia" w:ascii="宋体" w:hAnsi="宋体" w:cs="宋体"/>
          <w:bCs/>
          <w:sz w:val="24"/>
          <w:szCs w:val="24"/>
        </w:rPr>
        <w:t>规划镇区建设用地面积144.50公顷，其中</w:t>
      </w:r>
      <w:r>
        <w:rPr>
          <w:rFonts w:hint="eastAsia" w:ascii="宋体" w:hAnsi="宋体" w:cs="宋体"/>
          <w:b/>
          <w:sz w:val="24"/>
          <w:szCs w:val="24"/>
          <w:u w:val="single"/>
        </w:rPr>
        <w:t>城镇建设用地60.33公顷</w:t>
      </w:r>
      <w:r>
        <w:rPr>
          <w:rFonts w:hint="eastAsia" w:ascii="宋体" w:hAnsi="宋体" w:cs="宋体"/>
          <w:sz w:val="24"/>
          <w:szCs w:val="24"/>
        </w:rPr>
        <w:t>，详见附表</w:t>
      </w:r>
      <w:r>
        <w:rPr>
          <w:rFonts w:ascii="宋体" w:hAnsi="宋体" w:cs="宋体"/>
          <w:sz w:val="24"/>
          <w:szCs w:val="24"/>
        </w:rPr>
        <w:t>11</w:t>
      </w:r>
      <w:r>
        <w:rPr>
          <w:rFonts w:hint="eastAsia" w:ascii="宋体" w:hAnsi="宋体" w:cs="宋体"/>
          <w:sz w:val="24"/>
          <w:szCs w:val="24"/>
        </w:rPr>
        <w:t>。</w:t>
      </w:r>
    </w:p>
    <w:p>
      <w:pPr>
        <w:pStyle w:val="81"/>
        <w:numPr>
          <w:ilvl w:val="0"/>
          <w:numId w:val="6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居住用地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优化居住用地空间布局，有序引导农村人口往城镇聚居，调整原粮站用地和沿涪江工业用地为居住用地，在新城和永隆街西侧增加部分居住用地，满足镇区人口集聚和南街用地调整所带来的居住用地需求。规划居住用地60.92公顷，其中城镇建设用地35.61公顷，乡村建设用地25.31公顷。</w:t>
      </w:r>
    </w:p>
    <w:p>
      <w:pPr>
        <w:pStyle w:val="81"/>
        <w:numPr>
          <w:ilvl w:val="0"/>
          <w:numId w:val="6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公共管理与公共服务设施用地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保留隆盛镇人民政府、派出所等机关团体用地，盘活利用郪江街闲置小学用地为便民服务中心；保留现状文化活动用地；保留新城现状幼儿园和小学用地，扩建隆兴街现状中学用地；近期保留新城现状医疗卫生用地，远期扩建；保留现状敬老院（位于规划范围外高速下道口处），调整郪江街原卫生院用地为老年人社会福利用地，盘活利用郪江街闲置原幼儿园用地为老年人社会福利用地。规划公共管理与公共服务设施用地8.25公顷，其中城镇建设用地7.46公顷，乡村建设用地0.79公顷。</w:t>
      </w:r>
    </w:p>
    <w:p>
      <w:pPr>
        <w:pStyle w:val="81"/>
        <w:numPr>
          <w:ilvl w:val="0"/>
          <w:numId w:val="6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商业服务业用地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更新改造南街，调整为商业用地，引入医养、药养相关商业，打造药香康养主题街区；规划在新城东侧布局两处商业用地，分别作为农副产品交易中心和旅馆用地兼游客服务中心；保留现状农贸市场、批发市场和加油加气站的等商业用地。规划商业服务业用地6.74公顷，其中城镇建设用地4.13公顷，乡村建设用地2.61公顷。</w:t>
      </w:r>
    </w:p>
    <w:p>
      <w:pPr>
        <w:pStyle w:val="81"/>
        <w:numPr>
          <w:ilvl w:val="0"/>
          <w:numId w:val="6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工业用地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工业用地集中布局在国道G3</w:t>
      </w:r>
      <w:r>
        <w:rPr>
          <w:rFonts w:ascii="宋体" w:hAnsi="宋体" w:cs="宋体"/>
          <w:sz w:val="24"/>
          <w:szCs w:val="24"/>
        </w:rPr>
        <w:t>50</w:t>
      </w:r>
      <w:r>
        <w:rPr>
          <w:rFonts w:hint="eastAsia" w:ascii="宋体" w:hAnsi="宋体" w:cs="宋体"/>
          <w:sz w:val="24"/>
          <w:szCs w:val="24"/>
        </w:rPr>
        <w:t>以东、高速以南，建设集精深加工、研发于一体的中药材加工基地。规划工业用地14.67公顷，其中城镇建设用地1.57公顷，乡村建设用地13.10公顷。</w:t>
      </w:r>
    </w:p>
    <w:p>
      <w:pPr>
        <w:pStyle w:val="81"/>
        <w:numPr>
          <w:ilvl w:val="0"/>
          <w:numId w:val="6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仓储用地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沿国道G350布局仓储物流用地，建设冷链物流中心。规划仓储用地5.81公顷，其中城镇建设用地0.09公顷，乡村建设用地5.72公顷。</w:t>
      </w:r>
    </w:p>
    <w:p>
      <w:pPr>
        <w:pStyle w:val="81"/>
        <w:numPr>
          <w:ilvl w:val="0"/>
          <w:numId w:val="6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交通运输用地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优化完善新城道路系统，打通新城与国道G350交通联系；布局一处对外交通场站用地，位于国道G</w:t>
      </w:r>
      <w:r>
        <w:rPr>
          <w:rFonts w:ascii="宋体" w:hAnsi="宋体" w:cs="宋体"/>
          <w:sz w:val="24"/>
          <w:szCs w:val="24"/>
        </w:rPr>
        <w:t>350</w:t>
      </w:r>
      <w:r>
        <w:rPr>
          <w:rFonts w:hint="eastAsia" w:ascii="宋体" w:hAnsi="宋体" w:cs="宋体"/>
          <w:sz w:val="24"/>
          <w:szCs w:val="24"/>
        </w:rPr>
        <w:t>沿线；规划三处社会停车场用地，分别位于隆兴街东侧、新城路西侧和郪江街北侧。规划交通运输用地28.01公顷，其中城镇建设用地10.30公顷，乡村建设用地17.71公顷。</w:t>
      </w:r>
    </w:p>
    <w:p>
      <w:pPr>
        <w:pStyle w:val="81"/>
        <w:numPr>
          <w:ilvl w:val="0"/>
          <w:numId w:val="6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公用设施用地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规划扩建隆盛污水处理厂，</w:t>
      </w:r>
      <w:r>
        <w:rPr>
          <w:rFonts w:ascii="宋体" w:hAnsi="宋体" w:cs="宋体"/>
          <w:sz w:val="24"/>
          <w:szCs w:val="24"/>
        </w:rPr>
        <w:t>用地规模0.36</w:t>
      </w:r>
      <w:r>
        <w:rPr>
          <w:rFonts w:hint="eastAsia" w:ascii="宋体" w:hAnsi="宋体" w:cs="宋体"/>
          <w:sz w:val="24"/>
          <w:szCs w:val="24"/>
        </w:rPr>
        <w:t>公顷；沿郪江新建镇区防洪堤；保留现状供水、供电、邮政、消防等公用设施用地。规划公用设施用地13.43公顷，其中城镇建设用地0.54公顷，乡村建设用地12.89公顷。</w:t>
      </w:r>
    </w:p>
    <w:p>
      <w:pPr>
        <w:pStyle w:val="81"/>
        <w:numPr>
          <w:ilvl w:val="0"/>
          <w:numId w:val="6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绿地开敞空间用地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规划四处广场用地，分别位于中心街北侧、永隆街东侧、新城路与郪江街交叉口东侧和新城路南侧。规划绿地与开敞空间用地1.70公顷，其中城镇建设用地0.63公顷，乡村建设用地1.07公顷。</w:t>
      </w:r>
    </w:p>
    <w:p>
      <w:pPr>
        <w:pStyle w:val="81"/>
        <w:numPr>
          <w:ilvl w:val="0"/>
          <w:numId w:val="6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留白用地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布局留白用地位于新城路与国道G350连接处，作为隆盛未来发展预留空间。规划留白用地3.26公顷，均为乡村建设用地。</w:t>
      </w:r>
    </w:p>
    <w:p>
      <w:pPr>
        <w:pStyle w:val="5"/>
        <w:numPr>
          <w:ilvl w:val="0"/>
          <w:numId w:val="58"/>
        </w:numPr>
        <w:spacing w:line="360" w:lineRule="auto"/>
        <w:ind w:left="0" w:firstLine="482" w:firstLineChars="200"/>
        <w:rPr>
          <w:b/>
          <w:bCs/>
        </w:rPr>
      </w:pPr>
      <w:r>
        <w:rPr>
          <w:rFonts w:hint="eastAsia"/>
          <w:b/>
          <w:bCs/>
        </w:rPr>
        <w:t>公共服务设施规划</w:t>
      </w:r>
    </w:p>
    <w:p>
      <w:pPr>
        <w:pStyle w:val="81"/>
        <w:numPr>
          <w:ilvl w:val="0"/>
          <w:numId w:val="6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机关团体</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保留现状镇政府、派出所、人民法庭和隆盛税务分局等机关团体设施，地块编码分别为LS-03-05、LS-05-13、LS-04-17</w:t>
      </w:r>
      <w:r>
        <w:rPr>
          <w:rFonts w:hint="eastAsia" w:ascii="宋体" w:hAnsi="宋体" w:cs="宋体"/>
          <w:sz w:val="24"/>
          <w:szCs w:val="24"/>
        </w:rPr>
        <w:t>；</w:t>
      </w:r>
      <w:r>
        <w:rPr>
          <w:rFonts w:hint="eastAsia" w:ascii="宋体" w:hAnsi="宋体" w:cs="宋体"/>
          <w:b/>
          <w:bCs/>
          <w:sz w:val="24"/>
          <w:szCs w:val="24"/>
          <w:u w:val="single"/>
        </w:rPr>
        <w:t>改建闲置小学为便民服务中心，地块编码为</w:t>
      </w:r>
      <w:r>
        <w:rPr>
          <w:rFonts w:ascii="宋体" w:hAnsi="宋体" w:cs="宋体"/>
          <w:b/>
          <w:bCs/>
          <w:sz w:val="24"/>
          <w:szCs w:val="24"/>
          <w:u w:val="single"/>
        </w:rPr>
        <w:t>LS-0</w:t>
      </w:r>
      <w:r>
        <w:rPr>
          <w:rFonts w:hint="eastAsia" w:ascii="宋体" w:hAnsi="宋体" w:cs="宋体"/>
          <w:b/>
          <w:bCs/>
          <w:sz w:val="24"/>
          <w:szCs w:val="24"/>
          <w:u w:val="single"/>
        </w:rPr>
        <w:t>3</w:t>
      </w:r>
      <w:r>
        <w:rPr>
          <w:rFonts w:ascii="宋体" w:hAnsi="宋体" w:cs="宋体"/>
          <w:b/>
          <w:bCs/>
          <w:sz w:val="24"/>
          <w:szCs w:val="24"/>
          <w:u w:val="single"/>
        </w:rPr>
        <w:t>-0</w:t>
      </w:r>
      <w:r>
        <w:rPr>
          <w:rFonts w:hint="eastAsia" w:ascii="宋体" w:hAnsi="宋体" w:cs="宋体"/>
          <w:b/>
          <w:bCs/>
          <w:sz w:val="24"/>
          <w:szCs w:val="24"/>
          <w:u w:val="single"/>
        </w:rPr>
        <w:t>5。</w:t>
      </w:r>
      <w:r>
        <w:rPr>
          <w:rFonts w:hint="eastAsia" w:ascii="宋体" w:hAnsi="宋体" w:cs="宋体"/>
          <w:sz w:val="24"/>
          <w:szCs w:val="24"/>
        </w:rPr>
        <w:t>规划机关团体用地</w:t>
      </w:r>
      <w:r>
        <w:rPr>
          <w:rFonts w:ascii="宋体" w:hAnsi="宋体" w:cs="宋体"/>
          <w:sz w:val="24"/>
          <w:szCs w:val="24"/>
        </w:rPr>
        <w:t>1.49</w:t>
      </w:r>
      <w:r>
        <w:rPr>
          <w:rFonts w:hint="eastAsia" w:ascii="宋体" w:hAnsi="宋体" w:cs="宋体"/>
          <w:sz w:val="24"/>
          <w:szCs w:val="24"/>
        </w:rPr>
        <w:t>公顷。</w:t>
      </w:r>
    </w:p>
    <w:p>
      <w:pPr>
        <w:pStyle w:val="81"/>
        <w:numPr>
          <w:ilvl w:val="0"/>
          <w:numId w:val="6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文化设施</w:t>
      </w:r>
    </w:p>
    <w:p>
      <w:pPr>
        <w:tabs>
          <w:tab w:val="left" w:pos="0"/>
        </w:tabs>
        <w:spacing w:line="360" w:lineRule="auto"/>
        <w:ind w:firstLine="480" w:firstLineChars="200"/>
        <w:rPr>
          <w:rFonts w:ascii="宋体" w:hAnsi="宋体" w:cs="宋体"/>
          <w:sz w:val="24"/>
          <w:szCs w:val="24"/>
        </w:rPr>
      </w:pPr>
      <w:r>
        <w:rPr>
          <w:rFonts w:ascii="宋体" w:hAnsi="宋体" w:cs="宋体"/>
          <w:sz w:val="24"/>
          <w:szCs w:val="24"/>
        </w:rPr>
        <w:t xml:space="preserve"> </w:t>
      </w:r>
      <w:r>
        <w:rPr>
          <w:rFonts w:hint="eastAsia" w:ascii="宋体" w:hAnsi="宋体" w:cs="宋体"/>
          <w:b/>
          <w:bCs/>
          <w:sz w:val="24"/>
          <w:szCs w:val="24"/>
          <w:u w:val="single"/>
        </w:rPr>
        <w:t>保留现状文化活动站，地块编码为</w:t>
      </w:r>
      <w:r>
        <w:rPr>
          <w:rFonts w:ascii="宋体" w:hAnsi="宋体" w:cs="宋体"/>
          <w:b/>
          <w:bCs/>
          <w:sz w:val="24"/>
          <w:szCs w:val="24"/>
          <w:u w:val="single"/>
        </w:rPr>
        <w:t>LS-0</w:t>
      </w:r>
      <w:r>
        <w:rPr>
          <w:rFonts w:hint="eastAsia" w:ascii="宋体" w:hAnsi="宋体" w:cs="宋体"/>
          <w:b/>
          <w:bCs/>
          <w:sz w:val="24"/>
          <w:szCs w:val="24"/>
          <w:u w:val="single"/>
        </w:rPr>
        <w:t>4</w:t>
      </w:r>
      <w:r>
        <w:rPr>
          <w:rFonts w:ascii="宋体" w:hAnsi="宋体" w:cs="宋体"/>
          <w:b/>
          <w:bCs/>
          <w:sz w:val="24"/>
          <w:szCs w:val="24"/>
          <w:u w:val="single"/>
        </w:rPr>
        <w:t>-</w:t>
      </w:r>
      <w:r>
        <w:rPr>
          <w:rFonts w:hint="eastAsia" w:ascii="宋体" w:hAnsi="宋体" w:cs="宋体"/>
          <w:b/>
          <w:bCs/>
          <w:sz w:val="24"/>
          <w:szCs w:val="24"/>
          <w:u w:val="single"/>
        </w:rPr>
        <w:t>16</w:t>
      </w:r>
      <w:r>
        <w:rPr>
          <w:rFonts w:ascii="宋体" w:hAnsi="宋体" w:cs="宋体"/>
          <w:sz w:val="24"/>
          <w:szCs w:val="24"/>
        </w:rPr>
        <w:t>。规划文化活动用地0.</w:t>
      </w:r>
      <w:r>
        <w:rPr>
          <w:rFonts w:hint="eastAsia" w:ascii="宋体" w:hAnsi="宋体" w:cs="宋体"/>
          <w:sz w:val="24"/>
          <w:szCs w:val="24"/>
        </w:rPr>
        <w:t>07公顷。</w:t>
      </w:r>
    </w:p>
    <w:p>
      <w:pPr>
        <w:pStyle w:val="81"/>
        <w:numPr>
          <w:ilvl w:val="0"/>
          <w:numId w:val="6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教育设施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保留现状小学和幼儿园，地块编码分别为LS-05-04、LS-05-17</w:t>
      </w:r>
      <w:r>
        <w:rPr>
          <w:rFonts w:hint="eastAsia" w:ascii="宋体" w:hAnsi="宋体" w:cs="宋体"/>
          <w:sz w:val="24"/>
          <w:szCs w:val="24"/>
        </w:rPr>
        <w:t>；逐步推进总支中学生向镇区集聚，</w:t>
      </w:r>
      <w:r>
        <w:rPr>
          <w:rFonts w:hint="eastAsia" w:ascii="宋体" w:hAnsi="宋体" w:cs="宋体"/>
          <w:b/>
          <w:bCs/>
          <w:sz w:val="24"/>
          <w:szCs w:val="24"/>
          <w:u w:val="single"/>
        </w:rPr>
        <w:t>扩建现状中学，地块编码为</w:t>
      </w:r>
      <w:r>
        <w:rPr>
          <w:rFonts w:ascii="宋体" w:hAnsi="宋体" w:cs="宋体"/>
          <w:b/>
          <w:bCs/>
          <w:sz w:val="24"/>
          <w:szCs w:val="24"/>
          <w:u w:val="single"/>
        </w:rPr>
        <w:t>LS-01-0</w:t>
      </w:r>
      <w:r>
        <w:rPr>
          <w:rFonts w:hint="eastAsia" w:ascii="宋体" w:hAnsi="宋体" w:cs="宋体"/>
          <w:b/>
          <w:bCs/>
          <w:sz w:val="24"/>
          <w:szCs w:val="24"/>
          <w:u w:val="single"/>
        </w:rPr>
        <w:t>6</w:t>
      </w:r>
      <w:r>
        <w:rPr>
          <w:rFonts w:hint="eastAsia" w:ascii="宋体" w:hAnsi="宋体" w:cs="宋体"/>
          <w:sz w:val="24"/>
          <w:szCs w:val="24"/>
        </w:rPr>
        <w:t>。规划教育用地4.66公顷。</w:t>
      </w:r>
    </w:p>
    <w:p>
      <w:pPr>
        <w:pStyle w:val="81"/>
        <w:numPr>
          <w:ilvl w:val="0"/>
          <w:numId w:val="6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体育设施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规划新建4</w:t>
      </w:r>
      <w:r>
        <w:rPr>
          <w:rFonts w:ascii="宋体" w:hAnsi="宋体" w:cs="宋体"/>
          <w:b/>
          <w:bCs/>
          <w:sz w:val="24"/>
          <w:szCs w:val="24"/>
          <w:u w:val="single"/>
        </w:rPr>
        <w:t>处健身活动</w:t>
      </w:r>
      <w:r>
        <w:rPr>
          <w:rFonts w:hint="eastAsia" w:ascii="宋体" w:hAnsi="宋体" w:cs="宋体"/>
          <w:b/>
          <w:bCs/>
          <w:sz w:val="24"/>
          <w:szCs w:val="24"/>
          <w:u w:val="single"/>
        </w:rPr>
        <w:t>广场</w:t>
      </w:r>
      <w:r>
        <w:rPr>
          <w:rFonts w:hint="eastAsia" w:ascii="宋体" w:hAnsi="宋体" w:cs="宋体"/>
          <w:sz w:val="24"/>
          <w:szCs w:val="24"/>
        </w:rPr>
        <w:t>，并配建居民健身设施，分别位于中心街北侧、永隆街东侧、新城路与郪江街交叉口东侧和新城路南侧，</w:t>
      </w:r>
      <w:r>
        <w:rPr>
          <w:rFonts w:hint="eastAsia" w:ascii="宋体" w:hAnsi="宋体" w:cs="宋体"/>
          <w:b/>
          <w:bCs/>
          <w:sz w:val="24"/>
          <w:szCs w:val="24"/>
          <w:u w:val="single"/>
        </w:rPr>
        <w:t>地块编码分别为LS-03-10、LS-04-15、LS-05-02、LS-05-15</w:t>
      </w:r>
      <w:r>
        <w:rPr>
          <w:rFonts w:hint="eastAsia" w:ascii="宋体" w:hAnsi="宋体" w:cs="宋体"/>
          <w:sz w:val="24"/>
          <w:szCs w:val="24"/>
        </w:rPr>
        <w:t>，用地规模0</w:t>
      </w:r>
      <w:r>
        <w:rPr>
          <w:rFonts w:ascii="宋体" w:hAnsi="宋体" w:cs="宋体"/>
          <w:sz w:val="24"/>
          <w:szCs w:val="24"/>
        </w:rPr>
        <w:t>.</w:t>
      </w:r>
      <w:r>
        <w:rPr>
          <w:rFonts w:hint="eastAsia" w:ascii="宋体" w:hAnsi="宋体" w:cs="宋体"/>
          <w:sz w:val="24"/>
          <w:szCs w:val="24"/>
        </w:rPr>
        <w:t>67公顷。鼓励中小学操场对外开放，为居民提供健身场所。</w:t>
      </w:r>
    </w:p>
    <w:p>
      <w:pPr>
        <w:pStyle w:val="81"/>
        <w:numPr>
          <w:ilvl w:val="0"/>
          <w:numId w:val="6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医疗卫生设施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近期保留现状卫生院，远期扩建</w:t>
      </w:r>
      <w:r>
        <w:rPr>
          <w:rFonts w:hint="eastAsia" w:ascii="宋体" w:hAnsi="宋体" w:cs="宋体"/>
          <w:sz w:val="24"/>
          <w:szCs w:val="24"/>
        </w:rPr>
        <w:t>，提升服务能力作为县域医疗卫生次中心，</w:t>
      </w:r>
      <w:r>
        <w:rPr>
          <w:rFonts w:hint="eastAsia" w:ascii="宋体" w:hAnsi="宋体" w:cs="宋体"/>
          <w:b/>
          <w:bCs/>
          <w:sz w:val="24"/>
          <w:szCs w:val="24"/>
          <w:u w:val="single"/>
        </w:rPr>
        <w:t>地块编码为</w:t>
      </w:r>
      <w:r>
        <w:rPr>
          <w:rFonts w:ascii="宋体" w:hAnsi="宋体" w:cs="宋体"/>
          <w:b/>
          <w:bCs/>
          <w:sz w:val="24"/>
          <w:szCs w:val="24"/>
          <w:u w:val="single"/>
        </w:rPr>
        <w:t>LS-0</w:t>
      </w:r>
      <w:r>
        <w:rPr>
          <w:rFonts w:hint="eastAsia" w:ascii="宋体" w:hAnsi="宋体" w:cs="宋体"/>
          <w:b/>
          <w:bCs/>
          <w:sz w:val="24"/>
          <w:szCs w:val="24"/>
          <w:u w:val="single"/>
        </w:rPr>
        <w:t>5</w:t>
      </w:r>
      <w:r>
        <w:rPr>
          <w:rFonts w:ascii="宋体" w:hAnsi="宋体" w:cs="宋体"/>
          <w:b/>
          <w:bCs/>
          <w:sz w:val="24"/>
          <w:szCs w:val="24"/>
          <w:u w:val="single"/>
        </w:rPr>
        <w:t>-09</w:t>
      </w:r>
      <w:r>
        <w:rPr>
          <w:rFonts w:hint="eastAsia" w:ascii="宋体" w:hAnsi="宋体" w:cs="宋体"/>
          <w:sz w:val="24"/>
          <w:szCs w:val="24"/>
        </w:rPr>
        <w:t>。规划医疗卫生用地</w:t>
      </w:r>
      <w:r>
        <w:rPr>
          <w:rFonts w:ascii="宋体" w:hAnsi="宋体" w:cs="宋体"/>
          <w:sz w:val="24"/>
          <w:szCs w:val="24"/>
        </w:rPr>
        <w:t>1.67</w:t>
      </w:r>
      <w:r>
        <w:rPr>
          <w:rFonts w:hint="eastAsia" w:ascii="宋体" w:hAnsi="宋体" w:cs="宋体"/>
          <w:sz w:val="24"/>
          <w:szCs w:val="24"/>
        </w:rPr>
        <w:t>公顷。</w:t>
      </w:r>
    </w:p>
    <w:p>
      <w:pPr>
        <w:pStyle w:val="81"/>
        <w:numPr>
          <w:ilvl w:val="0"/>
          <w:numId w:val="6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社会福利设施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保留现状敬老院</w:t>
      </w:r>
      <w:r>
        <w:rPr>
          <w:rFonts w:hint="eastAsia" w:ascii="宋体" w:hAnsi="宋体" w:cs="宋体"/>
          <w:sz w:val="24"/>
          <w:szCs w:val="24"/>
        </w:rPr>
        <w:t>，位于镇区北侧规划范围外高速下道口处；</w:t>
      </w:r>
      <w:r>
        <w:rPr>
          <w:rFonts w:hint="eastAsia" w:ascii="宋体" w:hAnsi="宋体" w:cs="宋体"/>
          <w:b/>
          <w:bCs/>
          <w:sz w:val="24"/>
          <w:szCs w:val="24"/>
          <w:u w:val="single"/>
        </w:rPr>
        <w:t>将原卫生院资产改建为</w:t>
      </w:r>
      <w:r>
        <w:rPr>
          <w:rFonts w:ascii="宋体" w:hAnsi="宋体" w:cs="宋体"/>
          <w:b/>
          <w:bCs/>
          <w:sz w:val="24"/>
          <w:szCs w:val="24"/>
          <w:u w:val="single"/>
        </w:rPr>
        <w:t>养老</w:t>
      </w:r>
      <w:r>
        <w:rPr>
          <w:rFonts w:hint="eastAsia" w:ascii="宋体" w:hAnsi="宋体" w:cs="宋体"/>
          <w:b/>
          <w:bCs/>
          <w:sz w:val="24"/>
          <w:szCs w:val="24"/>
          <w:u w:val="single"/>
        </w:rPr>
        <w:t>服务</w:t>
      </w:r>
      <w:r>
        <w:rPr>
          <w:rFonts w:ascii="宋体" w:hAnsi="宋体" w:cs="宋体"/>
          <w:b/>
          <w:bCs/>
          <w:sz w:val="24"/>
          <w:szCs w:val="24"/>
          <w:u w:val="single"/>
        </w:rPr>
        <w:t>综合体</w:t>
      </w:r>
      <w:r>
        <w:rPr>
          <w:rFonts w:hint="eastAsia" w:ascii="宋体" w:hAnsi="宋体" w:cs="宋体"/>
          <w:b/>
          <w:bCs/>
          <w:sz w:val="24"/>
          <w:szCs w:val="24"/>
          <w:u w:val="single"/>
        </w:rPr>
        <w:t>，地块编码为</w:t>
      </w:r>
      <w:r>
        <w:rPr>
          <w:rFonts w:ascii="宋体" w:hAnsi="宋体" w:cs="宋体"/>
          <w:b/>
          <w:bCs/>
          <w:sz w:val="24"/>
          <w:szCs w:val="24"/>
          <w:u w:val="single"/>
        </w:rPr>
        <w:t>LS-0</w:t>
      </w:r>
      <w:r>
        <w:rPr>
          <w:rFonts w:hint="eastAsia" w:ascii="宋体" w:hAnsi="宋体" w:cs="宋体"/>
          <w:b/>
          <w:bCs/>
          <w:sz w:val="24"/>
          <w:szCs w:val="24"/>
          <w:u w:val="single"/>
        </w:rPr>
        <w:t>4</w:t>
      </w:r>
      <w:r>
        <w:rPr>
          <w:rFonts w:ascii="宋体" w:hAnsi="宋体" w:cs="宋体"/>
          <w:b/>
          <w:bCs/>
          <w:sz w:val="24"/>
          <w:szCs w:val="24"/>
          <w:u w:val="single"/>
        </w:rPr>
        <w:t>-0</w:t>
      </w:r>
      <w:r>
        <w:rPr>
          <w:rFonts w:hint="eastAsia" w:ascii="宋体" w:hAnsi="宋体" w:cs="宋体"/>
          <w:b/>
          <w:bCs/>
          <w:sz w:val="24"/>
          <w:szCs w:val="24"/>
          <w:u w:val="single"/>
        </w:rPr>
        <w:t>7；改建郪江街闲置幼儿园为老年学校，地块编码为</w:t>
      </w:r>
      <w:r>
        <w:rPr>
          <w:rFonts w:ascii="宋体" w:hAnsi="宋体" w:cs="宋体"/>
          <w:b/>
          <w:bCs/>
          <w:sz w:val="24"/>
          <w:szCs w:val="24"/>
          <w:u w:val="single"/>
        </w:rPr>
        <w:t>LS-0</w:t>
      </w:r>
      <w:r>
        <w:rPr>
          <w:rFonts w:hint="eastAsia" w:ascii="宋体" w:hAnsi="宋体" w:cs="宋体"/>
          <w:b/>
          <w:bCs/>
          <w:sz w:val="24"/>
          <w:szCs w:val="24"/>
          <w:u w:val="single"/>
        </w:rPr>
        <w:t>3</w:t>
      </w:r>
      <w:r>
        <w:rPr>
          <w:rFonts w:ascii="宋体" w:hAnsi="宋体" w:cs="宋体"/>
          <w:b/>
          <w:bCs/>
          <w:sz w:val="24"/>
          <w:szCs w:val="24"/>
          <w:u w:val="single"/>
        </w:rPr>
        <w:t>-1</w:t>
      </w:r>
      <w:r>
        <w:rPr>
          <w:rFonts w:hint="eastAsia" w:ascii="宋体" w:hAnsi="宋体" w:cs="宋体"/>
          <w:b/>
          <w:bCs/>
          <w:sz w:val="24"/>
          <w:szCs w:val="24"/>
          <w:u w:val="single"/>
        </w:rPr>
        <w:t>4</w:t>
      </w:r>
      <w:r>
        <w:rPr>
          <w:rFonts w:ascii="宋体" w:hAnsi="宋体" w:cs="宋体"/>
          <w:sz w:val="24"/>
          <w:szCs w:val="24"/>
        </w:rPr>
        <w:t>。</w:t>
      </w:r>
      <w:r>
        <w:rPr>
          <w:rFonts w:hint="eastAsia" w:ascii="宋体" w:hAnsi="宋体" w:cs="宋体"/>
          <w:sz w:val="24"/>
          <w:szCs w:val="24"/>
        </w:rPr>
        <w:t>规划社会福利用地</w:t>
      </w:r>
      <w:r>
        <w:rPr>
          <w:rFonts w:ascii="宋体" w:hAnsi="宋体" w:cs="宋体"/>
          <w:sz w:val="24"/>
          <w:szCs w:val="24"/>
        </w:rPr>
        <w:t>0.</w:t>
      </w:r>
      <w:r>
        <w:rPr>
          <w:rFonts w:hint="eastAsia" w:ascii="宋体" w:hAnsi="宋体" w:cs="宋体"/>
          <w:sz w:val="24"/>
          <w:szCs w:val="24"/>
        </w:rPr>
        <w:t>36公顷。</w:t>
      </w:r>
    </w:p>
    <w:p>
      <w:pPr>
        <w:pStyle w:val="5"/>
        <w:numPr>
          <w:ilvl w:val="0"/>
          <w:numId w:val="58"/>
        </w:numPr>
        <w:spacing w:line="360" w:lineRule="auto"/>
        <w:ind w:left="0" w:firstLine="482" w:firstLineChars="200"/>
        <w:rPr>
          <w:b/>
          <w:bCs/>
        </w:rPr>
      </w:pPr>
      <w:r>
        <w:rPr>
          <w:rFonts w:hint="eastAsia"/>
          <w:b/>
          <w:bCs/>
        </w:rPr>
        <w:t>交通设施规划</w:t>
      </w:r>
    </w:p>
    <w:p>
      <w:pPr>
        <w:pStyle w:val="81"/>
        <w:numPr>
          <w:ilvl w:val="0"/>
          <w:numId w:val="6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镇区路网</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规划隆盛镇区的道路等级分为过境道路、镇区主干路、镇区次干路和镇区支路四级，形成“一横两纵”的主干路网结构。过境道路包括遂大快捷通道、国道G</w:t>
      </w:r>
      <w:r>
        <w:rPr>
          <w:rFonts w:ascii="宋体" w:hAnsi="宋体" w:cs="宋体"/>
          <w:sz w:val="24"/>
          <w:szCs w:val="24"/>
        </w:rPr>
        <w:t>350</w:t>
      </w:r>
      <w:r>
        <w:rPr>
          <w:rFonts w:hint="eastAsia" w:ascii="宋体" w:hAnsi="宋体" w:cs="宋体"/>
          <w:sz w:val="24"/>
          <w:szCs w:val="24"/>
        </w:rPr>
        <w:t>改线，均为现状；镇区主干路包括永隆街、顺江街和新城路，宽度1</w:t>
      </w:r>
      <w:r>
        <w:rPr>
          <w:rFonts w:ascii="宋体" w:hAnsi="宋体" w:cs="宋体"/>
          <w:sz w:val="24"/>
          <w:szCs w:val="24"/>
        </w:rPr>
        <w:t>2</w:t>
      </w:r>
      <w:r>
        <w:rPr>
          <w:rFonts w:hint="eastAsia" w:ascii="宋体" w:hAnsi="宋体" w:cs="宋体"/>
          <w:sz w:val="24"/>
          <w:szCs w:val="24"/>
        </w:rPr>
        <w:t>米～</w:t>
      </w:r>
      <w:r>
        <w:rPr>
          <w:rFonts w:ascii="宋体" w:hAnsi="宋体" w:cs="宋体"/>
          <w:sz w:val="24"/>
          <w:szCs w:val="24"/>
        </w:rPr>
        <w:t>25</w:t>
      </w:r>
      <w:r>
        <w:rPr>
          <w:rFonts w:hint="eastAsia" w:ascii="宋体" w:hAnsi="宋体" w:cs="宋体"/>
          <w:sz w:val="24"/>
          <w:szCs w:val="24"/>
        </w:rPr>
        <w:t>米；镇区次干路包括中心街、隆兴街和新城南路，红线宽度</w:t>
      </w:r>
      <w:r>
        <w:rPr>
          <w:rFonts w:ascii="宋体" w:hAnsi="宋体" w:cs="宋体"/>
          <w:sz w:val="24"/>
          <w:szCs w:val="24"/>
        </w:rPr>
        <w:t>8</w:t>
      </w:r>
      <w:r>
        <w:rPr>
          <w:rFonts w:hint="eastAsia" w:ascii="宋体" w:hAnsi="宋体" w:cs="宋体"/>
          <w:sz w:val="24"/>
          <w:szCs w:val="24"/>
        </w:rPr>
        <w:t>米～</w:t>
      </w:r>
      <w:r>
        <w:rPr>
          <w:rFonts w:ascii="宋体" w:hAnsi="宋体" w:cs="宋体"/>
          <w:sz w:val="24"/>
          <w:szCs w:val="24"/>
        </w:rPr>
        <w:t>12</w:t>
      </w:r>
      <w:r>
        <w:rPr>
          <w:rFonts w:hint="eastAsia" w:ascii="宋体" w:hAnsi="宋体" w:cs="宋体"/>
          <w:sz w:val="24"/>
          <w:szCs w:val="24"/>
        </w:rPr>
        <w:t>米；其余道路为镇区支路，宽度</w:t>
      </w:r>
      <w:r>
        <w:rPr>
          <w:rFonts w:ascii="宋体" w:hAnsi="宋体" w:cs="宋体"/>
          <w:sz w:val="24"/>
          <w:szCs w:val="24"/>
        </w:rPr>
        <w:t>5米</w:t>
      </w:r>
      <w:r>
        <w:rPr>
          <w:rFonts w:hint="eastAsia" w:ascii="宋体" w:hAnsi="宋体" w:cs="宋体"/>
          <w:sz w:val="24"/>
          <w:szCs w:val="24"/>
        </w:rPr>
        <w:t>～</w:t>
      </w:r>
      <w:r>
        <w:rPr>
          <w:rFonts w:ascii="宋体" w:hAnsi="宋体" w:cs="宋体"/>
          <w:sz w:val="24"/>
          <w:szCs w:val="24"/>
        </w:rPr>
        <w:t>10</w:t>
      </w:r>
      <w:r>
        <w:rPr>
          <w:rFonts w:hint="eastAsia" w:ascii="宋体" w:hAnsi="宋体" w:cs="宋体"/>
          <w:sz w:val="24"/>
          <w:szCs w:val="24"/>
        </w:rPr>
        <w:t>米。</w:t>
      </w:r>
    </w:p>
    <w:p>
      <w:pPr>
        <w:pStyle w:val="81"/>
        <w:numPr>
          <w:ilvl w:val="0"/>
          <w:numId w:val="6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交通站场用地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新建建筑配建停车场标准参考《遂宁市城市规划管理技术规定》（修订）和《大英县城市规划管理技术规定》（试行）。规划新建汽车客运站，位于新城国道G</w:t>
      </w:r>
      <w:r>
        <w:rPr>
          <w:rFonts w:ascii="宋体" w:hAnsi="宋体" w:cs="宋体"/>
          <w:sz w:val="24"/>
          <w:szCs w:val="24"/>
        </w:rPr>
        <w:t>350</w:t>
      </w:r>
      <w:r>
        <w:rPr>
          <w:rFonts w:hint="eastAsia" w:ascii="宋体" w:hAnsi="宋体" w:cs="宋体"/>
          <w:sz w:val="24"/>
          <w:szCs w:val="24"/>
        </w:rPr>
        <w:t>沿线，地块编码为</w:t>
      </w:r>
      <w:r>
        <w:rPr>
          <w:rFonts w:ascii="宋体" w:hAnsi="宋体" w:cs="宋体"/>
          <w:sz w:val="24"/>
          <w:szCs w:val="24"/>
        </w:rPr>
        <w:t>LS-0</w:t>
      </w:r>
      <w:r>
        <w:rPr>
          <w:rFonts w:hint="eastAsia" w:ascii="宋体" w:hAnsi="宋体" w:cs="宋体"/>
          <w:sz w:val="24"/>
          <w:szCs w:val="24"/>
        </w:rPr>
        <w:t>5</w:t>
      </w:r>
      <w:r>
        <w:rPr>
          <w:rFonts w:ascii="宋体" w:hAnsi="宋体" w:cs="宋体"/>
          <w:sz w:val="24"/>
          <w:szCs w:val="24"/>
        </w:rPr>
        <w:t>-2</w:t>
      </w:r>
      <w:r>
        <w:rPr>
          <w:rFonts w:hint="eastAsia" w:ascii="宋体" w:hAnsi="宋体" w:cs="宋体"/>
          <w:sz w:val="24"/>
          <w:szCs w:val="24"/>
        </w:rPr>
        <w:t>1，用地面积</w:t>
      </w:r>
      <w:r>
        <w:rPr>
          <w:rFonts w:ascii="宋体" w:hAnsi="宋体" w:cs="宋体"/>
          <w:sz w:val="24"/>
          <w:szCs w:val="24"/>
        </w:rPr>
        <w:t>1.25</w:t>
      </w:r>
      <w:r>
        <w:rPr>
          <w:rFonts w:hint="eastAsia" w:ascii="宋体" w:hAnsi="宋体" w:cs="宋体"/>
          <w:sz w:val="24"/>
          <w:szCs w:val="24"/>
        </w:rPr>
        <w:t>公顷。规划三处社会停车场，用地面积</w:t>
      </w:r>
      <w:r>
        <w:rPr>
          <w:rFonts w:ascii="宋体" w:hAnsi="宋体" w:cs="宋体"/>
          <w:sz w:val="24"/>
          <w:szCs w:val="24"/>
        </w:rPr>
        <w:t>1.1</w:t>
      </w:r>
      <w:r>
        <w:rPr>
          <w:rFonts w:hint="eastAsia" w:ascii="宋体" w:hAnsi="宋体" w:cs="宋体"/>
          <w:sz w:val="24"/>
          <w:szCs w:val="24"/>
        </w:rPr>
        <w:t>公顷，其中保留一处，位于郪江街北侧，地块编码为</w:t>
      </w:r>
      <w:r>
        <w:rPr>
          <w:rFonts w:ascii="宋体" w:hAnsi="宋体" w:cs="宋体"/>
          <w:sz w:val="24"/>
          <w:szCs w:val="24"/>
        </w:rPr>
        <w:t>LS-0</w:t>
      </w:r>
      <w:r>
        <w:rPr>
          <w:rFonts w:hint="eastAsia" w:ascii="宋体" w:hAnsi="宋体" w:cs="宋体"/>
          <w:sz w:val="24"/>
          <w:szCs w:val="24"/>
        </w:rPr>
        <w:t>1</w:t>
      </w:r>
      <w:r>
        <w:rPr>
          <w:rFonts w:ascii="宋体" w:hAnsi="宋体" w:cs="宋体"/>
          <w:sz w:val="24"/>
          <w:szCs w:val="24"/>
        </w:rPr>
        <w:t>-</w:t>
      </w:r>
      <w:r>
        <w:rPr>
          <w:rFonts w:hint="eastAsia" w:ascii="宋体" w:hAnsi="宋体" w:cs="宋体"/>
          <w:sz w:val="24"/>
          <w:szCs w:val="24"/>
        </w:rPr>
        <w:t>04；新建两处，分别位于隆兴街东侧和新城路西侧，地块编码分别为LS-03-18、LS-05-18。规划交通站场用地</w:t>
      </w:r>
      <w:r>
        <w:rPr>
          <w:rFonts w:ascii="宋体" w:hAnsi="宋体" w:cs="宋体"/>
          <w:sz w:val="24"/>
          <w:szCs w:val="24"/>
        </w:rPr>
        <w:t>2.35</w:t>
      </w:r>
      <w:r>
        <w:rPr>
          <w:rFonts w:hint="eastAsia" w:ascii="宋体" w:hAnsi="宋体" w:cs="宋体"/>
          <w:sz w:val="24"/>
          <w:szCs w:val="24"/>
        </w:rPr>
        <w:t>公顷。</w:t>
      </w:r>
    </w:p>
    <w:p>
      <w:pPr>
        <w:pStyle w:val="81"/>
        <w:numPr>
          <w:ilvl w:val="0"/>
          <w:numId w:val="6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道路交通技术指标控制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根据《城乡建设用地竖向规划规范》（CJJ83—2016）规定，综合考虑地形、防洪防涝、排水和工程管线的布线等要求，新建道路规划最大纵坡为7</w:t>
      </w:r>
      <w:r>
        <w:rPr>
          <w:rFonts w:ascii="宋体" w:hAnsi="宋体" w:cs="宋体"/>
          <w:sz w:val="24"/>
          <w:szCs w:val="24"/>
        </w:rPr>
        <w:t>.56</w:t>
      </w:r>
      <w:r>
        <w:rPr>
          <w:rFonts w:hint="eastAsia" w:ascii="宋体" w:hAnsi="宋体" w:cs="宋体"/>
          <w:sz w:val="24"/>
          <w:szCs w:val="24"/>
        </w:rPr>
        <w:t>％，最小纵坡为0.3％。镇区道路交叉口均为平交。禁止开口路段长度按照主干道自交叉口路缘石半径切点起向后</w:t>
      </w:r>
      <w:r>
        <w:rPr>
          <w:rFonts w:ascii="宋体" w:hAnsi="宋体" w:cs="宋体"/>
          <w:sz w:val="24"/>
          <w:szCs w:val="24"/>
        </w:rPr>
        <w:t>3</w:t>
      </w:r>
      <w:r>
        <w:rPr>
          <w:rFonts w:hint="eastAsia" w:ascii="宋体" w:hAnsi="宋体" w:cs="宋体"/>
          <w:sz w:val="24"/>
          <w:szCs w:val="24"/>
        </w:rPr>
        <w:t>0米、次干道</w:t>
      </w:r>
      <w:r>
        <w:rPr>
          <w:rFonts w:ascii="宋体" w:hAnsi="宋体" w:cs="宋体"/>
          <w:sz w:val="24"/>
          <w:szCs w:val="24"/>
        </w:rPr>
        <w:t>2</w:t>
      </w:r>
      <w:r>
        <w:rPr>
          <w:rFonts w:hint="eastAsia" w:ascii="宋体" w:hAnsi="宋体" w:cs="宋体"/>
          <w:sz w:val="24"/>
          <w:szCs w:val="24"/>
        </w:rPr>
        <w:t>0米、支路</w:t>
      </w:r>
      <w:r>
        <w:rPr>
          <w:rFonts w:ascii="宋体" w:hAnsi="宋体" w:cs="宋体"/>
          <w:sz w:val="24"/>
          <w:szCs w:val="24"/>
        </w:rPr>
        <w:t>1</w:t>
      </w:r>
      <w:r>
        <w:rPr>
          <w:rFonts w:hint="eastAsia" w:ascii="宋体" w:hAnsi="宋体" w:cs="宋体"/>
          <w:sz w:val="24"/>
          <w:szCs w:val="24"/>
        </w:rPr>
        <w:t>0米进行控制。</w:t>
      </w:r>
    </w:p>
    <w:p>
      <w:pPr>
        <w:pStyle w:val="5"/>
        <w:numPr>
          <w:ilvl w:val="0"/>
          <w:numId w:val="58"/>
        </w:numPr>
        <w:spacing w:line="360" w:lineRule="auto"/>
        <w:ind w:left="0" w:firstLine="482" w:firstLineChars="200"/>
        <w:rPr>
          <w:b/>
          <w:bCs/>
        </w:rPr>
      </w:pPr>
      <w:r>
        <w:rPr>
          <w:rFonts w:hint="eastAsia"/>
          <w:b/>
          <w:bCs/>
        </w:rPr>
        <w:t>市政设施规划</w:t>
      </w:r>
    </w:p>
    <w:p>
      <w:pPr>
        <w:pStyle w:val="81"/>
        <w:numPr>
          <w:ilvl w:val="0"/>
          <w:numId w:val="6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给水工程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规划期末隆盛城镇常住人口为0</w:t>
      </w:r>
      <w:r>
        <w:rPr>
          <w:rFonts w:ascii="宋体" w:hAnsi="宋体" w:cs="宋体"/>
          <w:sz w:val="24"/>
          <w:szCs w:val="24"/>
        </w:rPr>
        <w:t>.85</w:t>
      </w:r>
      <w:r>
        <w:rPr>
          <w:rFonts w:hint="eastAsia" w:ascii="宋体" w:hAnsi="宋体" w:cs="宋体"/>
          <w:sz w:val="24"/>
          <w:szCs w:val="24"/>
        </w:rPr>
        <w:t>万人，依据《镇(乡)村给水工程规划规范》（CJJ</w:t>
      </w:r>
      <w:r>
        <w:rPr>
          <w:rFonts w:ascii="宋体" w:hAnsi="宋体" w:cs="宋体"/>
          <w:sz w:val="24"/>
          <w:szCs w:val="24"/>
        </w:rPr>
        <w:t>/</w:t>
      </w:r>
      <w:r>
        <w:rPr>
          <w:rFonts w:hint="eastAsia" w:ascii="宋体" w:hAnsi="宋体" w:cs="宋体"/>
          <w:sz w:val="24"/>
          <w:szCs w:val="24"/>
        </w:rPr>
        <w:t>T</w:t>
      </w:r>
      <w:r>
        <w:rPr>
          <w:rFonts w:ascii="宋体" w:hAnsi="宋体" w:cs="宋体"/>
          <w:sz w:val="24"/>
          <w:szCs w:val="24"/>
        </w:rPr>
        <w:t xml:space="preserve"> </w:t>
      </w:r>
      <w:r>
        <w:rPr>
          <w:rFonts w:hint="eastAsia" w:ascii="宋体" w:hAnsi="宋体" w:cs="宋体"/>
          <w:sz w:val="24"/>
          <w:szCs w:val="24"/>
        </w:rPr>
        <w:t>246—2016），综合考虑生活用水、公共建筑用水、管网漏损水量以及未预见用水，镇区人均生活用水量按0.22 m³/d计算，工业生产用水量按200m³/公顷计算，预测镇区远期最高日用水量为</w:t>
      </w:r>
      <w:r>
        <w:rPr>
          <w:rFonts w:ascii="宋体" w:hAnsi="宋体" w:cs="宋体"/>
          <w:sz w:val="24"/>
          <w:szCs w:val="24"/>
        </w:rPr>
        <w:t>4804m³/d。</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保留现状供水站和清水池，</w:t>
      </w:r>
      <w:r>
        <w:rPr>
          <w:rFonts w:hint="eastAsia" w:ascii="宋体" w:hAnsi="宋体" w:cs="宋体"/>
          <w:sz w:val="24"/>
          <w:szCs w:val="24"/>
        </w:rPr>
        <w:t>位于镇区中部，</w:t>
      </w:r>
      <w:r>
        <w:rPr>
          <w:rFonts w:hint="eastAsia" w:ascii="宋体" w:hAnsi="宋体" w:cs="宋体"/>
          <w:b/>
          <w:bCs/>
          <w:sz w:val="24"/>
          <w:szCs w:val="24"/>
          <w:u w:val="single"/>
        </w:rPr>
        <w:t>地块编码分别为LS-03-23、LS-03-24。</w:t>
      </w:r>
      <w:r>
        <w:rPr>
          <w:rFonts w:hint="eastAsia" w:ascii="宋体" w:hAnsi="宋体" w:cs="宋体"/>
          <w:sz w:val="24"/>
          <w:szCs w:val="24"/>
        </w:rPr>
        <w:t>隆盛镇区由五五水库供水站和回马水厂联合供水，保障供水安全</w:t>
      </w:r>
      <w:r>
        <w:rPr>
          <w:rFonts w:ascii="宋体" w:hAnsi="宋体" w:cs="宋体"/>
          <w:sz w:val="24"/>
          <w:szCs w:val="24"/>
        </w:rPr>
        <w:t>。</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规划形成</w:t>
      </w:r>
      <w:r>
        <w:rPr>
          <w:rFonts w:ascii="宋体" w:hAnsi="宋体" w:cs="宋体"/>
          <w:sz w:val="24"/>
          <w:szCs w:val="24"/>
        </w:rPr>
        <w:t>“</w:t>
      </w:r>
      <w:r>
        <w:rPr>
          <w:rFonts w:hint="eastAsia" w:ascii="宋体" w:hAnsi="宋体" w:cs="宋体"/>
          <w:sz w:val="24"/>
          <w:szCs w:val="24"/>
        </w:rPr>
        <w:t>环状</w:t>
      </w:r>
      <w:r>
        <w:rPr>
          <w:rFonts w:ascii="宋体" w:hAnsi="宋体" w:cs="宋体"/>
          <w:sz w:val="24"/>
          <w:szCs w:val="24"/>
        </w:rPr>
        <w:t>+</w:t>
      </w:r>
      <w:r>
        <w:rPr>
          <w:rFonts w:hint="eastAsia" w:ascii="宋体" w:hAnsi="宋体" w:cs="宋体"/>
          <w:sz w:val="24"/>
          <w:szCs w:val="24"/>
        </w:rPr>
        <w:t>放射线</w:t>
      </w:r>
      <w:r>
        <w:rPr>
          <w:rFonts w:ascii="宋体" w:hAnsi="宋体" w:cs="宋体"/>
          <w:sz w:val="24"/>
          <w:szCs w:val="24"/>
        </w:rPr>
        <w:t>”</w:t>
      </w:r>
      <w:r>
        <w:rPr>
          <w:rFonts w:hint="eastAsia" w:ascii="宋体" w:hAnsi="宋体" w:cs="宋体"/>
          <w:sz w:val="24"/>
          <w:szCs w:val="24"/>
        </w:rPr>
        <w:t>的</w:t>
      </w:r>
      <w:r>
        <w:rPr>
          <w:rFonts w:ascii="宋体" w:hAnsi="宋体" w:cs="宋体"/>
          <w:sz w:val="24"/>
          <w:szCs w:val="24"/>
        </w:rPr>
        <w:t>给水</w:t>
      </w:r>
      <w:r>
        <w:rPr>
          <w:rFonts w:hint="eastAsia" w:ascii="宋体" w:hAnsi="宋体" w:cs="宋体"/>
          <w:sz w:val="24"/>
          <w:szCs w:val="24"/>
        </w:rPr>
        <w:t>管网布局，沿城镇道路敷设，主干给水管网互联互通</w:t>
      </w:r>
      <w:r>
        <w:rPr>
          <w:rFonts w:ascii="宋体" w:hAnsi="宋体" w:cs="宋体"/>
          <w:sz w:val="24"/>
          <w:szCs w:val="24"/>
        </w:rPr>
        <w:t>，并向周边农村聚居点延伸，</w:t>
      </w:r>
      <w:r>
        <w:rPr>
          <w:rFonts w:hint="eastAsia" w:ascii="宋体" w:hAnsi="宋体" w:cs="宋体"/>
          <w:sz w:val="24"/>
          <w:szCs w:val="24"/>
        </w:rPr>
        <w:t>规划</w:t>
      </w:r>
      <w:r>
        <w:rPr>
          <w:rFonts w:ascii="宋体" w:hAnsi="宋体" w:cs="宋体"/>
          <w:sz w:val="24"/>
          <w:szCs w:val="24"/>
        </w:rPr>
        <w:t>管径DN150</w:t>
      </w:r>
      <w:r>
        <w:rPr>
          <w:rFonts w:hint="eastAsia" w:ascii="宋体" w:hAnsi="宋体" w:cs="宋体"/>
          <w:sz w:val="24"/>
          <w:szCs w:val="24"/>
        </w:rPr>
        <w:t>～</w:t>
      </w:r>
      <w:r>
        <w:rPr>
          <w:rFonts w:ascii="宋体" w:hAnsi="宋体" w:cs="宋体"/>
          <w:sz w:val="24"/>
          <w:szCs w:val="24"/>
        </w:rPr>
        <w:t>DN315</w:t>
      </w:r>
      <w:r>
        <w:rPr>
          <w:rFonts w:hint="eastAsia" w:ascii="宋体" w:hAnsi="宋体" w:cs="宋体"/>
          <w:sz w:val="24"/>
          <w:szCs w:val="24"/>
        </w:rPr>
        <w:t>。镇区消防供水与生活供水共用管网与水源。</w:t>
      </w:r>
    </w:p>
    <w:p>
      <w:pPr>
        <w:pStyle w:val="81"/>
        <w:numPr>
          <w:ilvl w:val="0"/>
          <w:numId w:val="6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排水工程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规划镇区采用雨污分流的排水体制，污水排放量按照综合生活用水的</w:t>
      </w:r>
      <w:r>
        <w:rPr>
          <w:rFonts w:ascii="宋体" w:hAnsi="宋体" w:cs="宋体"/>
          <w:sz w:val="24"/>
          <w:szCs w:val="24"/>
        </w:rPr>
        <w:t>85%</w:t>
      </w:r>
      <w:r>
        <w:rPr>
          <w:rFonts w:hint="eastAsia" w:ascii="宋体" w:hAnsi="宋体" w:cs="宋体"/>
          <w:sz w:val="24"/>
          <w:szCs w:val="24"/>
        </w:rPr>
        <w:t>计算</w:t>
      </w:r>
      <w:r>
        <w:rPr>
          <w:rFonts w:ascii="宋体" w:hAnsi="宋体" w:cs="宋体"/>
          <w:sz w:val="24"/>
          <w:szCs w:val="24"/>
        </w:rPr>
        <w:t>,</w:t>
      </w:r>
      <w:r>
        <w:rPr>
          <w:rFonts w:hint="eastAsia" w:ascii="宋体" w:hAnsi="宋体" w:cs="宋体"/>
          <w:sz w:val="24"/>
          <w:szCs w:val="24"/>
        </w:rPr>
        <w:t>预测需处理的污水总量为</w:t>
      </w:r>
      <w:r>
        <w:rPr>
          <w:rFonts w:ascii="宋体" w:hAnsi="宋体" w:cs="宋体"/>
          <w:sz w:val="24"/>
          <w:szCs w:val="24"/>
        </w:rPr>
        <w:t>4360m³/d</w:t>
      </w:r>
      <w:r>
        <w:rPr>
          <w:rFonts w:hint="eastAsia" w:ascii="宋体" w:hAnsi="宋体" w:cs="宋体"/>
          <w:sz w:val="24"/>
          <w:szCs w:val="24"/>
        </w:rPr>
        <w:t>，其中镇区污水总量为</w:t>
      </w:r>
      <w:r>
        <w:rPr>
          <w:rFonts w:ascii="宋体" w:hAnsi="宋体" w:cs="宋体"/>
          <w:sz w:val="24"/>
          <w:szCs w:val="24"/>
        </w:rPr>
        <w:t>4083m³/d</w:t>
      </w:r>
      <w:r>
        <w:rPr>
          <w:rFonts w:hint="eastAsia" w:ascii="宋体" w:hAnsi="宋体" w:cs="宋体"/>
          <w:sz w:val="24"/>
          <w:szCs w:val="24"/>
        </w:rPr>
        <w:t>，纳入镇区处理的周边农村居民点污水重量为</w:t>
      </w:r>
      <w:r>
        <w:rPr>
          <w:rFonts w:ascii="宋体" w:hAnsi="宋体" w:cs="宋体"/>
          <w:sz w:val="24"/>
          <w:szCs w:val="24"/>
        </w:rPr>
        <w:t>277m³/d</w:t>
      </w:r>
      <w:r>
        <w:rPr>
          <w:rFonts w:hint="eastAsia" w:ascii="宋体" w:hAnsi="宋体" w:cs="宋体"/>
          <w:sz w:val="24"/>
          <w:szCs w:val="24"/>
        </w:rPr>
        <w:t>。</w:t>
      </w:r>
      <w:r>
        <w:rPr>
          <w:rFonts w:hint="eastAsia" w:ascii="宋体" w:hAnsi="宋体" w:cs="宋体"/>
          <w:b/>
          <w:bCs/>
          <w:sz w:val="24"/>
          <w:szCs w:val="24"/>
          <w:u w:val="single"/>
        </w:rPr>
        <w:t>扩建现状污水处理厂，设计处理规模为</w:t>
      </w:r>
      <w:r>
        <w:rPr>
          <w:rFonts w:ascii="宋体" w:hAnsi="宋体" w:cs="宋体"/>
          <w:b/>
          <w:bCs/>
          <w:sz w:val="24"/>
          <w:szCs w:val="24"/>
          <w:u w:val="single"/>
        </w:rPr>
        <w:t>4500m³/d，用地规模0.36</w:t>
      </w:r>
      <w:r>
        <w:rPr>
          <w:rFonts w:hint="eastAsia" w:ascii="宋体" w:hAnsi="宋体" w:cs="宋体"/>
          <w:b/>
          <w:bCs/>
          <w:sz w:val="24"/>
          <w:szCs w:val="24"/>
          <w:u w:val="single"/>
        </w:rPr>
        <w:t>公顷</w:t>
      </w:r>
      <w:r>
        <w:rPr>
          <w:rFonts w:hint="eastAsia" w:ascii="宋体" w:hAnsi="宋体" w:cs="宋体"/>
          <w:sz w:val="24"/>
          <w:szCs w:val="24"/>
        </w:rPr>
        <w:t>。完善镇区污水管网，沿郪江、黄腊溪和主要道路敷设，并向周边农村居民点延伸，规划管径</w:t>
      </w:r>
      <w:r>
        <w:rPr>
          <w:rFonts w:ascii="宋体" w:hAnsi="宋体" w:cs="宋体"/>
          <w:sz w:val="24"/>
          <w:szCs w:val="24"/>
        </w:rPr>
        <w:t>DN300</w:t>
      </w:r>
      <w:r>
        <w:rPr>
          <w:rFonts w:hint="eastAsia" w:ascii="宋体" w:hAnsi="宋体" w:cs="宋体"/>
          <w:sz w:val="24"/>
          <w:szCs w:val="24"/>
        </w:rPr>
        <w:t>～</w:t>
      </w:r>
      <w:r>
        <w:rPr>
          <w:rFonts w:ascii="宋体" w:hAnsi="宋体" w:cs="宋体"/>
          <w:sz w:val="24"/>
          <w:szCs w:val="24"/>
        </w:rPr>
        <w:t>DN500</w:t>
      </w:r>
      <w:r>
        <w:rPr>
          <w:rFonts w:hint="eastAsia" w:ascii="宋体" w:hAnsi="宋体" w:cs="宋体"/>
          <w:sz w:val="24"/>
          <w:szCs w:val="24"/>
        </w:rPr>
        <w:t>。</w:t>
      </w:r>
      <w:r>
        <w:rPr>
          <w:rFonts w:hint="eastAsia" w:ascii="宋体" w:hAnsi="宋体" w:cs="宋体"/>
          <w:b/>
          <w:bCs/>
          <w:sz w:val="24"/>
          <w:szCs w:val="24"/>
          <w:u w:val="single"/>
        </w:rPr>
        <w:t>排入城镇污水管网的各类污水必须符合《污水排入城镇下水道水质标准》（GB</w:t>
      </w:r>
      <w:r>
        <w:rPr>
          <w:rFonts w:ascii="宋体" w:hAnsi="宋体" w:cs="宋体"/>
          <w:b/>
          <w:bCs/>
          <w:sz w:val="24"/>
          <w:szCs w:val="24"/>
          <w:u w:val="single"/>
        </w:rPr>
        <w:t>/</w:t>
      </w:r>
      <w:r>
        <w:rPr>
          <w:rFonts w:hint="eastAsia" w:ascii="宋体" w:hAnsi="宋体" w:cs="宋体"/>
          <w:b/>
          <w:bCs/>
          <w:sz w:val="24"/>
          <w:szCs w:val="24"/>
          <w:u w:val="single"/>
        </w:rPr>
        <w:t>T</w:t>
      </w:r>
      <w:r>
        <w:rPr>
          <w:rFonts w:ascii="宋体" w:hAnsi="宋体" w:cs="宋体"/>
          <w:b/>
          <w:bCs/>
          <w:sz w:val="24"/>
          <w:szCs w:val="24"/>
          <w:u w:val="single"/>
        </w:rPr>
        <w:t>31962—2015</w:t>
      </w:r>
      <w:r>
        <w:rPr>
          <w:rFonts w:hint="eastAsia" w:ascii="宋体" w:hAnsi="宋体" w:cs="宋体"/>
          <w:b/>
          <w:bCs/>
          <w:sz w:val="24"/>
          <w:szCs w:val="24"/>
          <w:u w:val="single"/>
        </w:rPr>
        <w:t>），污水处理站处理后排放标准不低于《城镇污水处理厂污染物排放标准》中的一级A 标准。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大英县距遂宁市区较近，气象条件与遂宁市差别小，遂宁市的暴雨强度基本上能代表大英县的降雨特征，因此，隆盛镇的雨水流量计算采用遂宁市暴雨强度公式：</w:t>
      </w:r>
    </w:p>
    <w:p>
      <w:pPr>
        <w:tabs>
          <w:tab w:val="left" w:pos="0"/>
        </w:tabs>
        <w:spacing w:line="360" w:lineRule="auto"/>
        <w:ind w:firstLine="480" w:firstLineChars="200"/>
        <w:jc w:val="center"/>
        <w:rPr>
          <w:rFonts w:ascii="宋体" w:hAnsi="宋体" w:cs="宋体"/>
          <w:sz w:val="24"/>
          <w:szCs w:val="24"/>
        </w:rPr>
      </w:pPr>
      <w:r>
        <w:rPr>
          <w:rFonts w:ascii="宋体" w:hAnsi="宋体" w:cs="宋体"/>
          <w:sz w:val="24"/>
          <w:szCs w:val="24"/>
        </w:rPr>
        <w:drawing>
          <wp:inline distT="0" distB="0" distL="0" distR="0">
            <wp:extent cx="3238500" cy="8108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95830" cy="825583"/>
                    </a:xfrm>
                    <a:prstGeom prst="rect">
                      <a:avLst/>
                    </a:prstGeom>
                    <a:noFill/>
                    <a:ln>
                      <a:noFill/>
                    </a:ln>
                  </pic:spPr>
                </pic:pic>
              </a:graphicData>
            </a:graphic>
          </wp:inline>
        </w:drawing>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镇区根据道路重要程度不同，设计重现期P取1～3 年，径流系数取0.50～0.60，地面集水时间≤10 分钟。</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雨水排放遵循就近排放原则，规划共划分5个雨水分区，充分利用隆盛镇区现有河流和渠系进行排水。规划镇区雨水管道管径</w:t>
      </w:r>
      <w:r>
        <w:rPr>
          <w:rFonts w:ascii="宋体" w:hAnsi="宋体" w:cs="宋体"/>
          <w:sz w:val="24"/>
          <w:szCs w:val="24"/>
        </w:rPr>
        <w:t>DN400</w:t>
      </w:r>
      <w:r>
        <w:rPr>
          <w:rFonts w:hint="eastAsia" w:ascii="宋体" w:hAnsi="宋体" w:cs="宋体"/>
          <w:sz w:val="24"/>
          <w:szCs w:val="24"/>
        </w:rPr>
        <w:t>～</w:t>
      </w:r>
      <w:r>
        <w:rPr>
          <w:rFonts w:ascii="宋体" w:hAnsi="宋体" w:cs="宋体"/>
          <w:sz w:val="24"/>
          <w:szCs w:val="24"/>
        </w:rPr>
        <w:t>DN1000</w:t>
      </w:r>
      <w:r>
        <w:rPr>
          <w:rFonts w:hint="eastAsia" w:ascii="宋体" w:hAnsi="宋体" w:cs="宋体"/>
          <w:sz w:val="24"/>
          <w:szCs w:val="24"/>
        </w:rPr>
        <w:t>，沿城镇道路敷设。雨水管道的管径按均匀满流计算，雨水管道的衔接一般采用管顶平接方式。接纳镇区雨水的河道主要为郪江和黄腊溪。</w:t>
      </w:r>
    </w:p>
    <w:p>
      <w:pPr>
        <w:pStyle w:val="81"/>
        <w:numPr>
          <w:ilvl w:val="0"/>
          <w:numId w:val="6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电力工程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依据《城市电力规划规范》（GB/T50293—2014）和大英县电量负荷历史数据分析负荷和电量的变化趋势，再结合片区实际情况确定人均综合用电量为</w:t>
      </w:r>
      <w:r>
        <w:rPr>
          <w:rFonts w:ascii="宋体" w:hAnsi="宋体" w:cs="宋体"/>
          <w:sz w:val="24"/>
          <w:szCs w:val="24"/>
        </w:rPr>
        <w:t>27</w:t>
      </w:r>
      <w:r>
        <w:rPr>
          <w:rFonts w:hint="eastAsia" w:ascii="宋体" w:hAnsi="宋体" w:cs="宋体"/>
          <w:sz w:val="24"/>
          <w:szCs w:val="24"/>
        </w:rPr>
        <w:t>00千瓦时/（人·年）， 预测到规划期末隆盛镇区用电总量为0</w:t>
      </w:r>
      <w:r>
        <w:rPr>
          <w:rFonts w:ascii="宋体" w:hAnsi="宋体" w:cs="宋体"/>
          <w:sz w:val="24"/>
          <w:szCs w:val="24"/>
        </w:rPr>
        <w:t>.23</w:t>
      </w:r>
      <w:r>
        <w:rPr>
          <w:rFonts w:hint="eastAsia" w:ascii="宋体" w:hAnsi="宋体" w:cs="宋体"/>
          <w:sz w:val="24"/>
          <w:szCs w:val="24"/>
        </w:rPr>
        <w:t>亿千瓦时/年。最大负荷利用小时数取4</w:t>
      </w:r>
      <w:r>
        <w:rPr>
          <w:rFonts w:ascii="宋体" w:hAnsi="宋体" w:cs="宋体"/>
          <w:sz w:val="24"/>
          <w:szCs w:val="24"/>
        </w:rPr>
        <w:t>500</w:t>
      </w:r>
      <w:r>
        <w:rPr>
          <w:rFonts w:hint="eastAsia" w:ascii="宋体" w:hAnsi="宋体" w:cs="宋体"/>
          <w:sz w:val="24"/>
          <w:szCs w:val="24"/>
        </w:rPr>
        <w:t>小时/年，则最大用电负荷约为</w:t>
      </w:r>
      <w:r>
        <w:rPr>
          <w:rFonts w:ascii="宋体" w:hAnsi="宋体" w:cs="宋体"/>
          <w:sz w:val="24"/>
          <w:szCs w:val="24"/>
        </w:rPr>
        <w:t>0.51</w:t>
      </w:r>
      <w:r>
        <w:rPr>
          <w:rFonts w:hint="eastAsia" w:ascii="宋体" w:hAnsi="宋体" w:cs="宋体"/>
          <w:sz w:val="24"/>
          <w:szCs w:val="24"/>
        </w:rPr>
        <w:t>万千瓦。</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镇区供电以</w:t>
      </w:r>
      <w:r>
        <w:rPr>
          <w:rFonts w:ascii="宋体" w:hAnsi="宋体" w:cs="宋体"/>
          <w:sz w:val="24"/>
          <w:szCs w:val="24"/>
        </w:rPr>
        <w:t>10</w:t>
      </w:r>
      <w:r>
        <w:rPr>
          <w:rFonts w:hint="eastAsia" w:ascii="宋体" w:hAnsi="宋体" w:cs="宋体"/>
          <w:sz w:val="24"/>
          <w:szCs w:val="24"/>
        </w:rPr>
        <w:t>千伏环状中压配电网为主，沿城镇道路敷设，电源来自隆盛</w:t>
      </w:r>
      <w:r>
        <w:rPr>
          <w:rFonts w:ascii="宋体" w:hAnsi="宋体" w:cs="宋体"/>
          <w:sz w:val="24"/>
          <w:szCs w:val="24"/>
        </w:rPr>
        <w:t>35kV变电站</w:t>
      </w:r>
      <w:r>
        <w:rPr>
          <w:rFonts w:hint="eastAsia" w:ascii="宋体" w:hAnsi="宋体" w:cs="宋体"/>
          <w:sz w:val="24"/>
          <w:szCs w:val="24"/>
        </w:rPr>
        <w:t>和国家电网</w:t>
      </w:r>
      <w:r>
        <w:rPr>
          <w:rFonts w:ascii="宋体" w:hAnsi="宋体" w:cs="宋体"/>
          <w:sz w:val="24"/>
          <w:szCs w:val="24"/>
        </w:rPr>
        <w:t>。规划</w:t>
      </w:r>
      <w:r>
        <w:rPr>
          <w:rFonts w:hint="eastAsia" w:ascii="宋体" w:hAnsi="宋体" w:cs="宋体"/>
          <w:sz w:val="24"/>
          <w:szCs w:val="24"/>
        </w:rPr>
        <w:t>逐步推进</w:t>
      </w:r>
      <w:r>
        <w:rPr>
          <w:rFonts w:ascii="宋体" w:hAnsi="宋体" w:cs="宋体"/>
          <w:sz w:val="24"/>
          <w:szCs w:val="24"/>
        </w:rPr>
        <w:t>10</w:t>
      </w:r>
      <w:r>
        <w:rPr>
          <w:rFonts w:hint="eastAsia" w:ascii="宋体" w:hAnsi="宋体" w:cs="宋体"/>
          <w:sz w:val="24"/>
          <w:szCs w:val="24"/>
        </w:rPr>
        <w:t>千伏及以下电力线路采用埋地敷设，线缆规格为4孔～</w:t>
      </w:r>
      <w:r>
        <w:rPr>
          <w:rFonts w:ascii="宋体" w:hAnsi="宋体" w:cs="宋体"/>
          <w:sz w:val="24"/>
          <w:szCs w:val="24"/>
        </w:rPr>
        <w:t>6</w:t>
      </w:r>
      <w:r>
        <w:rPr>
          <w:rFonts w:hint="eastAsia" w:ascii="宋体" w:hAnsi="宋体" w:cs="宋体"/>
          <w:sz w:val="24"/>
          <w:szCs w:val="24"/>
        </w:rPr>
        <w:t>孔DN150C-PVC管。在负荷密度高、电缆集中的中心地段，宜采用电缆沟，线路较少的地段可采用直埋或穿管埋地敷设。</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保护、控制现状及规划高压线走廊（含防护隔离带），对于保留的现状架空电力线路及杆塔位，以实测坐标控制，规划及调整架空电力线路及杆塔位按规划预留走廊进行控制。</w:t>
      </w:r>
      <w:r>
        <w:rPr>
          <w:rFonts w:hint="eastAsia" w:ascii="宋体" w:hAnsi="宋体" w:cs="宋体"/>
          <w:b/>
          <w:bCs/>
          <w:sz w:val="24"/>
          <w:szCs w:val="24"/>
          <w:u w:val="single"/>
        </w:rPr>
        <w:t>110kV高压架空单回电力线走廊宽度控制为25米，3</w:t>
      </w:r>
      <w:r>
        <w:rPr>
          <w:rFonts w:ascii="宋体" w:hAnsi="宋体" w:cs="宋体"/>
          <w:b/>
          <w:bCs/>
          <w:sz w:val="24"/>
          <w:szCs w:val="24"/>
          <w:u w:val="single"/>
        </w:rPr>
        <w:t>5</w:t>
      </w:r>
      <w:r>
        <w:rPr>
          <w:rFonts w:hint="eastAsia" w:ascii="宋体" w:hAnsi="宋体" w:cs="宋体"/>
          <w:b/>
          <w:bCs/>
          <w:sz w:val="24"/>
          <w:szCs w:val="24"/>
          <w:u w:val="single"/>
        </w:rPr>
        <w:t>kV高压架空单回电力线走廊宽度控制为</w:t>
      </w:r>
      <w:r>
        <w:rPr>
          <w:rFonts w:ascii="宋体" w:hAnsi="宋体" w:cs="宋体"/>
          <w:b/>
          <w:bCs/>
          <w:sz w:val="24"/>
          <w:szCs w:val="24"/>
          <w:u w:val="single"/>
        </w:rPr>
        <w:t>20</w:t>
      </w:r>
      <w:r>
        <w:rPr>
          <w:rFonts w:hint="eastAsia" w:ascii="宋体" w:hAnsi="宋体" w:cs="宋体"/>
          <w:b/>
          <w:bCs/>
          <w:sz w:val="24"/>
          <w:szCs w:val="24"/>
          <w:u w:val="single"/>
        </w:rPr>
        <w:t>米，同时应符合《城市电力规划规范》等相关国家法律法规和标准规范的要求。</w:t>
      </w:r>
    </w:p>
    <w:p>
      <w:pPr>
        <w:pStyle w:val="81"/>
        <w:numPr>
          <w:ilvl w:val="0"/>
          <w:numId w:val="6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通信工程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依据《城市通信工程规划规范》（GB</w:t>
      </w:r>
      <w:r>
        <w:rPr>
          <w:rFonts w:ascii="宋体" w:hAnsi="宋体" w:cs="宋体"/>
          <w:sz w:val="24"/>
          <w:szCs w:val="24"/>
        </w:rPr>
        <w:t>/</w:t>
      </w:r>
      <w:r>
        <w:rPr>
          <w:rFonts w:hint="eastAsia" w:ascii="宋体" w:hAnsi="宋体" w:cs="宋体"/>
          <w:sz w:val="24"/>
          <w:szCs w:val="24"/>
        </w:rPr>
        <w:t>T</w:t>
      </w:r>
      <w:r>
        <w:rPr>
          <w:rFonts w:ascii="宋体" w:hAnsi="宋体" w:cs="宋体"/>
          <w:sz w:val="24"/>
          <w:szCs w:val="24"/>
        </w:rPr>
        <w:t xml:space="preserve"> </w:t>
      </w:r>
      <w:r>
        <w:rPr>
          <w:rFonts w:hint="eastAsia" w:ascii="宋体" w:hAnsi="宋体" w:cs="宋体"/>
          <w:sz w:val="24"/>
          <w:szCs w:val="24"/>
        </w:rPr>
        <w:t>50853—</w:t>
      </w:r>
      <w:r>
        <w:rPr>
          <w:rFonts w:ascii="宋体" w:hAnsi="宋体" w:cs="宋体"/>
          <w:sz w:val="24"/>
          <w:szCs w:val="24"/>
        </w:rPr>
        <w:t>2013</w:t>
      </w:r>
      <w:r>
        <w:rPr>
          <w:rFonts w:hint="eastAsia" w:ascii="宋体" w:hAnsi="宋体" w:cs="宋体"/>
          <w:sz w:val="24"/>
          <w:szCs w:val="24"/>
        </w:rPr>
        <w:t>），隆盛镇区固定电话主线普及率取54线/百人，移动电话普及率取115卡号/百人，宽带用户取37户/百人。预测到规划期末，隆盛镇区固定电话主线需求量约</w:t>
      </w:r>
      <w:r>
        <w:rPr>
          <w:rFonts w:ascii="宋体" w:hAnsi="宋体" w:cs="宋体"/>
          <w:sz w:val="24"/>
          <w:szCs w:val="24"/>
        </w:rPr>
        <w:t>0.46</w:t>
      </w:r>
      <w:r>
        <w:rPr>
          <w:rFonts w:hint="eastAsia" w:ascii="宋体" w:hAnsi="宋体" w:cs="宋体"/>
          <w:sz w:val="24"/>
          <w:szCs w:val="24"/>
        </w:rPr>
        <w:t>万线，移动电话需求量约</w:t>
      </w:r>
      <w:r>
        <w:rPr>
          <w:rFonts w:ascii="宋体" w:hAnsi="宋体" w:cs="宋体"/>
          <w:sz w:val="24"/>
          <w:szCs w:val="24"/>
        </w:rPr>
        <w:t>0.98</w:t>
      </w:r>
      <w:r>
        <w:rPr>
          <w:rFonts w:hint="eastAsia" w:ascii="宋体" w:hAnsi="宋体" w:cs="宋体"/>
          <w:sz w:val="24"/>
          <w:szCs w:val="24"/>
        </w:rPr>
        <w:t>万卡号，宽带用户需求量约</w:t>
      </w:r>
      <w:r>
        <w:rPr>
          <w:rFonts w:ascii="宋体" w:hAnsi="宋体" w:cs="宋体"/>
          <w:sz w:val="24"/>
          <w:szCs w:val="24"/>
        </w:rPr>
        <w:t>0.31</w:t>
      </w:r>
      <w:r>
        <w:rPr>
          <w:rFonts w:hint="eastAsia" w:ascii="宋体" w:hAnsi="宋体" w:cs="宋体"/>
          <w:sz w:val="24"/>
          <w:szCs w:val="24"/>
        </w:rPr>
        <w:t>万户。</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规划保留镇区现状邮政支局，地块编码为LS-03-22。</w:t>
      </w:r>
      <w:r>
        <w:rPr>
          <w:rFonts w:hint="eastAsia" w:ascii="宋体" w:hAnsi="宋体" w:cs="宋体"/>
          <w:sz w:val="24"/>
          <w:szCs w:val="24"/>
        </w:rPr>
        <w:t>为提高通讯服务质量和远期容量考虑，规划逐步将全部通信线缆埋地。通信管道采用PVC 管群，规划主干管为12 孔，支管为9 孔，沿主要道路敷设，埋深应符合有关规范要求。规划保留现状5座通信基站，基于移动电话需求量，新增通信基站7座。镇区未来</w:t>
      </w:r>
      <w:r>
        <w:rPr>
          <w:rFonts w:ascii="宋体" w:hAnsi="宋体" w:cs="宋体"/>
          <w:sz w:val="24"/>
          <w:szCs w:val="24"/>
        </w:rPr>
        <w:t>5G基站建设可结合道路两侧居民楼楼顶，沿道路平均每1公</w:t>
      </w:r>
      <w:r>
        <w:rPr>
          <w:rFonts w:hint="eastAsia" w:ascii="宋体" w:hAnsi="宋体" w:cs="宋体"/>
          <w:sz w:val="24"/>
          <w:szCs w:val="24"/>
        </w:rPr>
        <w:t>里左右修建一处</w:t>
      </w:r>
      <w:r>
        <w:rPr>
          <w:rFonts w:ascii="宋体" w:hAnsi="宋体" w:cs="宋体"/>
          <w:sz w:val="24"/>
          <w:szCs w:val="24"/>
        </w:rPr>
        <w:t>5G基站。</w:t>
      </w:r>
    </w:p>
    <w:p>
      <w:pPr>
        <w:pStyle w:val="81"/>
        <w:numPr>
          <w:ilvl w:val="0"/>
          <w:numId w:val="6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燃气工程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镇区用气类型主要包括居民生活用气、商业用气、工业企业用气、加气站用气和不可预见用气，依据《城镇燃气设计规范》（GB50028—2006）、《城镇燃气规划规范》（GB</w:t>
      </w:r>
      <w:r>
        <w:rPr>
          <w:rFonts w:ascii="宋体" w:hAnsi="宋体" w:cs="宋体"/>
          <w:sz w:val="24"/>
          <w:szCs w:val="24"/>
        </w:rPr>
        <w:t>/T51098—2015</w:t>
      </w:r>
      <w:r>
        <w:rPr>
          <w:rFonts w:hint="eastAsia" w:ascii="宋体" w:hAnsi="宋体" w:cs="宋体"/>
          <w:sz w:val="24"/>
          <w:szCs w:val="24"/>
        </w:rPr>
        <w:t>）及当地的生活水平、生活习惯等因素，镇区居民生活用气按0.3Nm³/人·日，气化率为9</w:t>
      </w:r>
      <w:r>
        <w:rPr>
          <w:rFonts w:ascii="宋体" w:hAnsi="宋体" w:cs="宋体"/>
          <w:sz w:val="24"/>
          <w:szCs w:val="24"/>
        </w:rPr>
        <w:t>0</w:t>
      </w:r>
      <w:r>
        <w:rPr>
          <w:rFonts w:hint="eastAsia" w:ascii="宋体" w:hAnsi="宋体" w:cs="宋体"/>
          <w:sz w:val="24"/>
          <w:szCs w:val="24"/>
        </w:rPr>
        <w:t>%进行计算，商业用气按照居民生活用气的20%计算，工业用气按300Nm³/公顷·日计算，加气站用气按照同期居民用气量的30%计算，不可预见用气按前述用气总量的5%计算，则到规划期末，镇区居民生活用气量为</w:t>
      </w:r>
      <w:r>
        <w:rPr>
          <w:rFonts w:ascii="宋体" w:hAnsi="宋体" w:cs="宋体"/>
          <w:sz w:val="24"/>
          <w:szCs w:val="24"/>
        </w:rPr>
        <w:t>2295</w:t>
      </w:r>
      <w:r>
        <w:rPr>
          <w:rFonts w:hint="eastAsia" w:ascii="宋体" w:hAnsi="宋体" w:cs="宋体"/>
          <w:sz w:val="24"/>
          <w:szCs w:val="24"/>
        </w:rPr>
        <w:t xml:space="preserve"> Nm³/日，商业用气量为</w:t>
      </w:r>
      <w:r>
        <w:rPr>
          <w:rFonts w:ascii="宋体" w:hAnsi="宋体" w:cs="宋体"/>
          <w:sz w:val="24"/>
          <w:szCs w:val="24"/>
        </w:rPr>
        <w:t>459</w:t>
      </w:r>
      <w:r>
        <w:rPr>
          <w:rFonts w:hint="eastAsia" w:ascii="宋体" w:hAnsi="宋体" w:cs="宋体"/>
          <w:sz w:val="24"/>
          <w:szCs w:val="24"/>
        </w:rPr>
        <w:t>Nm³/日，工业用气量为4</w:t>
      </w:r>
      <w:r>
        <w:rPr>
          <w:rFonts w:ascii="宋体" w:hAnsi="宋体" w:cs="宋体"/>
          <w:sz w:val="24"/>
          <w:szCs w:val="24"/>
        </w:rPr>
        <w:t>401</w:t>
      </w:r>
      <w:r>
        <w:rPr>
          <w:rFonts w:hint="eastAsia" w:ascii="宋体" w:hAnsi="宋体" w:cs="宋体"/>
          <w:sz w:val="24"/>
          <w:szCs w:val="24"/>
        </w:rPr>
        <w:t>Nm³/日，加气站用气量为</w:t>
      </w:r>
      <w:r>
        <w:rPr>
          <w:rFonts w:ascii="宋体" w:hAnsi="宋体" w:cs="宋体"/>
          <w:sz w:val="24"/>
          <w:szCs w:val="24"/>
        </w:rPr>
        <w:t>688.5</w:t>
      </w:r>
      <w:r>
        <w:rPr>
          <w:rFonts w:hint="eastAsia" w:ascii="宋体" w:hAnsi="宋体" w:cs="宋体"/>
          <w:sz w:val="24"/>
          <w:szCs w:val="24"/>
        </w:rPr>
        <w:t>Nm³/日，不可预见用气量为</w:t>
      </w:r>
      <w:r>
        <w:rPr>
          <w:rFonts w:ascii="宋体" w:hAnsi="宋体" w:cs="宋体"/>
          <w:sz w:val="24"/>
          <w:szCs w:val="24"/>
        </w:rPr>
        <w:t>392</w:t>
      </w:r>
      <w:r>
        <w:rPr>
          <w:rFonts w:hint="eastAsia" w:ascii="宋体" w:hAnsi="宋体" w:cs="宋体"/>
          <w:sz w:val="24"/>
          <w:szCs w:val="24"/>
        </w:rPr>
        <w:t>Nm³/日，综合预测镇区总用气量约为0</w:t>
      </w:r>
      <w:r>
        <w:rPr>
          <w:rFonts w:ascii="宋体" w:hAnsi="宋体" w:cs="宋体"/>
          <w:sz w:val="24"/>
          <w:szCs w:val="24"/>
        </w:rPr>
        <w:t>.82</w:t>
      </w:r>
      <w:r>
        <w:rPr>
          <w:rFonts w:hint="eastAsia" w:ascii="宋体" w:hAnsi="宋体" w:cs="宋体"/>
          <w:sz w:val="24"/>
          <w:szCs w:val="24"/>
        </w:rPr>
        <w:t>万Nm³/日。</w:t>
      </w:r>
    </w:p>
    <w:p>
      <w:pPr>
        <w:tabs>
          <w:tab w:val="left" w:pos="0"/>
        </w:tabs>
        <w:spacing w:line="360" w:lineRule="auto"/>
        <w:ind w:firstLine="480" w:firstLineChars="200"/>
        <w:rPr>
          <w:rFonts w:ascii="宋体" w:hAnsi="宋体" w:cs="宋体"/>
          <w:b/>
          <w:bCs/>
          <w:sz w:val="24"/>
          <w:szCs w:val="24"/>
          <w:u w:val="single"/>
        </w:rPr>
      </w:pPr>
      <w:r>
        <w:rPr>
          <w:rFonts w:hint="eastAsia" w:ascii="宋体" w:hAnsi="宋体" w:cs="宋体"/>
          <w:sz w:val="24"/>
          <w:szCs w:val="24"/>
        </w:rPr>
        <w:t>气源来自大英配气站。</w:t>
      </w:r>
      <w:r>
        <w:rPr>
          <w:rFonts w:ascii="宋体" w:hAnsi="宋体" w:cs="宋体"/>
          <w:sz w:val="24"/>
          <w:szCs w:val="24"/>
        </w:rPr>
        <w:t>进一步完善供气管网，</w:t>
      </w:r>
      <w:r>
        <w:rPr>
          <w:rFonts w:hint="eastAsia" w:ascii="宋体" w:hAnsi="宋体" w:cs="宋体"/>
          <w:sz w:val="24"/>
          <w:szCs w:val="24"/>
        </w:rPr>
        <w:t>采用“环状+树枝状”相结合的管线布局形态，</w:t>
      </w:r>
      <w:r>
        <w:rPr>
          <w:rFonts w:ascii="宋体" w:hAnsi="宋体" w:cs="宋体"/>
          <w:sz w:val="24"/>
          <w:szCs w:val="24"/>
        </w:rPr>
        <w:t>并延伸至农村</w:t>
      </w:r>
      <w:r>
        <w:rPr>
          <w:rFonts w:hint="eastAsia" w:ascii="宋体" w:hAnsi="宋体" w:cs="宋体"/>
          <w:sz w:val="24"/>
          <w:szCs w:val="24"/>
        </w:rPr>
        <w:t>居民点</w:t>
      </w:r>
      <w:r>
        <w:rPr>
          <w:rFonts w:ascii="宋体" w:hAnsi="宋体" w:cs="宋体"/>
          <w:sz w:val="24"/>
          <w:szCs w:val="24"/>
        </w:rPr>
        <w:t>。</w:t>
      </w:r>
      <w:r>
        <w:rPr>
          <w:rFonts w:hint="eastAsia" w:ascii="宋体" w:hAnsi="宋体" w:cs="宋体"/>
          <w:sz w:val="24"/>
          <w:szCs w:val="24"/>
        </w:rPr>
        <w:t>规划燃气管管径DN</w:t>
      </w:r>
      <w:r>
        <w:rPr>
          <w:rFonts w:ascii="宋体" w:hAnsi="宋体" w:cs="宋体"/>
          <w:sz w:val="24"/>
          <w:szCs w:val="24"/>
        </w:rPr>
        <w:t>38</w:t>
      </w:r>
      <w:r>
        <w:rPr>
          <w:rFonts w:hint="eastAsia" w:ascii="宋体" w:hAnsi="宋体" w:cs="宋体"/>
          <w:sz w:val="24"/>
          <w:szCs w:val="24"/>
        </w:rPr>
        <w:t>～DN</w:t>
      </w:r>
      <w:r>
        <w:rPr>
          <w:rFonts w:ascii="宋体" w:hAnsi="宋体" w:cs="宋体"/>
          <w:sz w:val="24"/>
          <w:szCs w:val="24"/>
        </w:rPr>
        <w:t>56</w:t>
      </w:r>
      <w:r>
        <w:rPr>
          <w:rFonts w:hint="eastAsia" w:ascii="宋体" w:hAnsi="宋体" w:cs="宋体"/>
          <w:sz w:val="24"/>
          <w:szCs w:val="24"/>
        </w:rPr>
        <w:t>。</w:t>
      </w:r>
      <w:r>
        <w:rPr>
          <w:rFonts w:hint="eastAsia" w:ascii="宋体" w:hAnsi="宋体" w:cs="宋体"/>
          <w:b/>
          <w:bCs/>
          <w:sz w:val="24"/>
          <w:szCs w:val="24"/>
          <w:u w:val="single"/>
        </w:rPr>
        <w:t>输气管线安全防护距离应满足《城镇燃气设计规范》《输气管道工程设计规范》等相关国家法律法规和标准规范的要求。</w:t>
      </w:r>
    </w:p>
    <w:p>
      <w:pPr>
        <w:pStyle w:val="81"/>
        <w:numPr>
          <w:ilvl w:val="0"/>
          <w:numId w:val="6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环卫工程</w:t>
      </w:r>
    </w:p>
    <w:p>
      <w:pPr>
        <w:tabs>
          <w:tab w:val="left" w:pos="0"/>
        </w:tabs>
        <w:spacing w:line="360" w:lineRule="auto"/>
        <w:ind w:firstLine="480" w:firstLineChars="200"/>
        <w:rPr>
          <w:rFonts w:ascii="宋体" w:hAnsi="宋体" w:cs="宋体"/>
          <w:b/>
          <w:bCs/>
          <w:sz w:val="24"/>
          <w:szCs w:val="24"/>
          <w:u w:val="single"/>
        </w:rPr>
      </w:pPr>
      <w:r>
        <w:rPr>
          <w:rFonts w:hint="eastAsia" w:ascii="宋体" w:hAnsi="宋体" w:cs="宋体"/>
          <w:sz w:val="24"/>
          <w:szCs w:val="24"/>
        </w:rPr>
        <w:t>依据《城市环境卫生设施规划标准》（GB/T50337—2018）和《四川省城镇生活垃圾收集点设置标准》，预测镇区日人均生活垃圾产量为1kg/(人·d)，生活垃圾日产量不均匀系数取1.5，则隆盛镇区生活垃圾最高日产量为</w:t>
      </w:r>
      <w:r>
        <w:rPr>
          <w:rFonts w:ascii="宋体" w:hAnsi="宋体" w:cs="宋体"/>
          <w:sz w:val="24"/>
          <w:szCs w:val="24"/>
        </w:rPr>
        <w:t>12.75</w:t>
      </w:r>
      <w:r>
        <w:rPr>
          <w:rFonts w:hint="eastAsia" w:ascii="宋体" w:hAnsi="宋体" w:cs="宋体"/>
          <w:sz w:val="24"/>
          <w:szCs w:val="24"/>
        </w:rPr>
        <w:t>吨</w:t>
      </w:r>
      <w:r>
        <w:rPr>
          <w:rFonts w:ascii="宋体" w:hAnsi="宋体" w:cs="宋体"/>
          <w:sz w:val="24"/>
          <w:szCs w:val="24"/>
        </w:rPr>
        <w:t>/d</w:t>
      </w:r>
      <w:r>
        <w:rPr>
          <w:rFonts w:hint="eastAsia" w:ascii="宋体" w:hAnsi="宋体" w:cs="宋体"/>
          <w:sz w:val="24"/>
          <w:szCs w:val="24"/>
        </w:rPr>
        <w:t>。扩建</w:t>
      </w:r>
      <w:r>
        <w:rPr>
          <w:rFonts w:ascii="宋体" w:hAnsi="宋体" w:cs="宋体"/>
          <w:sz w:val="24"/>
          <w:szCs w:val="24"/>
        </w:rPr>
        <w:t>现状垃圾转运站</w:t>
      </w:r>
      <w:r>
        <w:rPr>
          <w:rFonts w:hint="eastAsia" w:ascii="宋体" w:hAnsi="宋体" w:cs="宋体"/>
          <w:sz w:val="24"/>
          <w:szCs w:val="24"/>
        </w:rPr>
        <w:t>（位于规划范围外镇区北侧）</w:t>
      </w:r>
      <w:r>
        <w:rPr>
          <w:rFonts w:ascii="宋体" w:hAnsi="宋体" w:cs="宋体"/>
          <w:sz w:val="24"/>
          <w:szCs w:val="24"/>
        </w:rPr>
        <w:t>，设计运转规模为45</w:t>
      </w:r>
      <w:r>
        <w:rPr>
          <w:rFonts w:hint="eastAsia" w:ascii="宋体" w:hAnsi="宋体" w:cs="宋体"/>
          <w:sz w:val="24"/>
          <w:szCs w:val="24"/>
        </w:rPr>
        <w:t>吨</w:t>
      </w:r>
      <w:r>
        <w:rPr>
          <w:rFonts w:ascii="宋体" w:hAnsi="宋体" w:cs="宋体"/>
          <w:sz w:val="24"/>
          <w:szCs w:val="24"/>
        </w:rPr>
        <w:t>/d</w:t>
      </w:r>
      <w:r>
        <w:rPr>
          <w:rFonts w:hint="eastAsia" w:ascii="宋体" w:hAnsi="宋体" w:cs="宋体"/>
          <w:sz w:val="24"/>
          <w:szCs w:val="24"/>
        </w:rPr>
        <w:t>，</w:t>
      </w:r>
      <w:r>
        <w:rPr>
          <w:rFonts w:ascii="宋体" w:hAnsi="宋体" w:cs="宋体"/>
          <w:sz w:val="24"/>
          <w:szCs w:val="24"/>
        </w:rPr>
        <w:t>统一收集转运镇区及农村</w:t>
      </w:r>
      <w:r>
        <w:rPr>
          <w:rFonts w:hint="eastAsia" w:ascii="宋体" w:hAnsi="宋体" w:cs="宋体"/>
          <w:sz w:val="24"/>
          <w:szCs w:val="24"/>
        </w:rPr>
        <w:t>各居民</w:t>
      </w:r>
      <w:r>
        <w:rPr>
          <w:rFonts w:ascii="宋体" w:hAnsi="宋体" w:cs="宋体"/>
          <w:sz w:val="24"/>
          <w:szCs w:val="24"/>
        </w:rPr>
        <w:t>点产生的垃圾</w:t>
      </w:r>
      <w:r>
        <w:rPr>
          <w:rFonts w:hint="eastAsia" w:ascii="宋体" w:hAnsi="宋体" w:cs="宋体"/>
          <w:sz w:val="24"/>
          <w:szCs w:val="24"/>
        </w:rPr>
        <w:t>，由三方公司（遂宁川能环卫公司）打包运至射洪发电厂进行焚烧发电</w:t>
      </w:r>
      <w:r>
        <w:rPr>
          <w:rFonts w:ascii="宋体" w:hAnsi="宋体" w:cs="宋体"/>
          <w:sz w:val="24"/>
          <w:szCs w:val="24"/>
        </w:rPr>
        <w:t>。</w:t>
      </w:r>
      <w:r>
        <w:rPr>
          <w:rFonts w:hint="eastAsia" w:ascii="宋体" w:hAnsi="宋体" w:cs="宋体"/>
          <w:b/>
          <w:bCs/>
          <w:sz w:val="24"/>
          <w:szCs w:val="24"/>
          <w:u w:val="single"/>
        </w:rPr>
        <w:t>医疗垃圾、危险废弃物必须单独收集、运输和处理，大英县无法自行处理处置的医疗垃圾、危险废弃物集中运至成都市医疗废物和危险固废处置中心进行处理处置。</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规划保留镇区现状1</w:t>
      </w:r>
      <w:r>
        <w:rPr>
          <w:rFonts w:ascii="宋体" w:hAnsi="宋体" w:cs="宋体"/>
          <w:sz w:val="24"/>
          <w:szCs w:val="24"/>
        </w:rPr>
        <w:t>5</w:t>
      </w:r>
      <w:r>
        <w:rPr>
          <w:rFonts w:hint="eastAsia" w:ascii="宋体" w:hAnsi="宋体" w:cs="宋体"/>
          <w:sz w:val="24"/>
          <w:szCs w:val="24"/>
        </w:rPr>
        <w:t>处垃圾收集点，</w:t>
      </w:r>
      <w:r>
        <w:rPr>
          <w:rFonts w:ascii="宋体" w:hAnsi="宋体" w:cs="宋体"/>
          <w:sz w:val="24"/>
          <w:szCs w:val="24"/>
        </w:rPr>
        <w:t>按照</w:t>
      </w:r>
      <w:r>
        <w:rPr>
          <w:rFonts w:hint="eastAsia" w:ascii="宋体" w:hAnsi="宋体" w:cs="宋体"/>
          <w:sz w:val="24"/>
          <w:szCs w:val="24"/>
        </w:rPr>
        <w:t>集中居住区收集点的服务半径不宜超过70m，散居区可根据垃圾产生量，因地制宜、科学合理布局点位，通常服务半径不宜超过200m，规划新增5处垃圾收集点，占地不小于</w:t>
      </w:r>
      <w:r>
        <w:rPr>
          <w:rFonts w:ascii="宋体" w:hAnsi="宋体" w:cs="宋体"/>
          <w:sz w:val="24"/>
          <w:szCs w:val="24"/>
        </w:rPr>
        <w:t>5</w:t>
      </w:r>
      <w:r>
        <w:rPr>
          <w:rFonts w:hint="eastAsia" w:ascii="宋体" w:hAnsi="宋体" w:cs="宋体"/>
          <w:sz w:val="24"/>
          <w:szCs w:val="24"/>
        </w:rPr>
        <w:t>平方米，设专职保洁人员收集、打扫和清运。在道路两侧以及各类交通客运设施、公共设施、广场、社会停车场等出入口附近设置果皮箱，相邻果皮箱间距为2</w:t>
      </w:r>
      <w:r>
        <w:rPr>
          <w:rFonts w:ascii="宋体" w:hAnsi="宋体" w:cs="宋体"/>
          <w:sz w:val="24"/>
          <w:szCs w:val="24"/>
        </w:rPr>
        <w:t>5</w:t>
      </w:r>
      <w:r>
        <w:rPr>
          <w:rFonts w:hint="eastAsia" w:ascii="宋体" w:hAnsi="宋体" w:cs="宋体"/>
          <w:sz w:val="24"/>
          <w:szCs w:val="24"/>
        </w:rPr>
        <w:t>～</w:t>
      </w:r>
      <w:r>
        <w:rPr>
          <w:rFonts w:ascii="宋体" w:hAnsi="宋体" w:cs="宋体"/>
          <w:sz w:val="24"/>
          <w:szCs w:val="24"/>
        </w:rPr>
        <w:t>50</w:t>
      </w:r>
      <w:r>
        <w:rPr>
          <w:rFonts w:hint="eastAsia" w:ascii="宋体" w:hAnsi="宋体" w:cs="宋体"/>
          <w:sz w:val="24"/>
          <w:szCs w:val="24"/>
        </w:rPr>
        <w:t>米；在交通干道上每</w:t>
      </w:r>
      <w:r>
        <w:rPr>
          <w:rFonts w:ascii="宋体" w:hAnsi="宋体" w:cs="宋体"/>
          <w:sz w:val="24"/>
          <w:szCs w:val="24"/>
        </w:rPr>
        <w:t>50</w:t>
      </w:r>
      <w:r>
        <w:rPr>
          <w:rFonts w:hint="eastAsia" w:ascii="宋体" w:hAnsi="宋体" w:cs="宋体"/>
          <w:sz w:val="24"/>
          <w:szCs w:val="24"/>
        </w:rPr>
        <w:t>～</w:t>
      </w:r>
      <w:r>
        <w:rPr>
          <w:rFonts w:ascii="宋体" w:hAnsi="宋体" w:cs="宋体"/>
          <w:sz w:val="24"/>
          <w:szCs w:val="24"/>
        </w:rPr>
        <w:t>8</w:t>
      </w:r>
      <w:r>
        <w:rPr>
          <w:rFonts w:hint="eastAsia" w:ascii="宋体" w:hAnsi="宋体" w:cs="宋体"/>
          <w:sz w:val="24"/>
          <w:szCs w:val="24"/>
        </w:rPr>
        <w:t>0m设置一个，一般街道上每</w:t>
      </w:r>
      <w:r>
        <w:rPr>
          <w:rFonts w:ascii="宋体" w:hAnsi="宋体" w:cs="宋体"/>
          <w:sz w:val="24"/>
          <w:szCs w:val="24"/>
        </w:rPr>
        <w:t>8</w:t>
      </w:r>
      <w:r>
        <w:rPr>
          <w:rFonts w:hint="eastAsia" w:ascii="宋体" w:hAnsi="宋体" w:cs="宋体"/>
          <w:sz w:val="24"/>
          <w:szCs w:val="24"/>
        </w:rPr>
        <w:t>0～</w:t>
      </w:r>
      <w:r>
        <w:rPr>
          <w:rFonts w:ascii="宋体" w:hAnsi="宋体" w:cs="宋体"/>
          <w:sz w:val="24"/>
          <w:szCs w:val="24"/>
        </w:rPr>
        <w:t>10</w:t>
      </w:r>
      <w:r>
        <w:rPr>
          <w:rFonts w:hint="eastAsia" w:ascii="宋体" w:hAnsi="宋体" w:cs="宋体"/>
          <w:sz w:val="24"/>
          <w:szCs w:val="24"/>
        </w:rPr>
        <w:t>0m设置一个，同时对老旧垃圾收集点位按照垃圾四分类要求进行改造升级。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公共厕所的服务半径根据地段和人口而定，繁华街道间距为300～500 米，一般街道为750～1000 米，新建居民区以300～500 米为半径，也可以地域面积计算，每平方公里不少于3 处。规划共新增公共厕所3 处，保留现状的6 处公共厕所，宜结合公厕设置环卫休息驿站，建筑面积不小于20平方米。</w:t>
      </w:r>
    </w:p>
    <w:p>
      <w:pPr>
        <w:pStyle w:val="5"/>
        <w:numPr>
          <w:ilvl w:val="0"/>
          <w:numId w:val="58"/>
        </w:numPr>
        <w:spacing w:line="360" w:lineRule="auto"/>
        <w:ind w:left="0" w:firstLine="482" w:firstLineChars="200"/>
        <w:rPr>
          <w:b/>
          <w:bCs/>
        </w:rPr>
      </w:pPr>
      <w:r>
        <w:rPr>
          <w:rFonts w:hint="eastAsia"/>
          <w:b/>
          <w:bCs/>
        </w:rPr>
        <w:t>防灾设施规划</w:t>
      </w:r>
    </w:p>
    <w:p>
      <w:pPr>
        <w:pStyle w:val="81"/>
        <w:numPr>
          <w:ilvl w:val="0"/>
          <w:numId w:val="6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防洪规划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流经镇区的主要河流为郪江和黄腊溪，依据《大英县国土空间总体规划（2</w:t>
      </w:r>
      <w:r>
        <w:rPr>
          <w:rFonts w:ascii="宋体" w:hAnsi="宋体" w:cs="宋体"/>
          <w:sz w:val="24"/>
          <w:szCs w:val="24"/>
        </w:rPr>
        <w:t>021—2035</w:t>
      </w:r>
      <w:r>
        <w:rPr>
          <w:rFonts w:hint="eastAsia" w:ascii="宋体" w:hAnsi="宋体" w:cs="宋体"/>
          <w:sz w:val="24"/>
          <w:szCs w:val="24"/>
        </w:rPr>
        <w:t>年）》，</w:t>
      </w:r>
      <w:r>
        <w:rPr>
          <w:rFonts w:hint="eastAsia" w:ascii="宋体" w:hAnsi="宋体" w:cs="宋体"/>
          <w:b/>
          <w:bCs/>
          <w:sz w:val="24"/>
          <w:szCs w:val="24"/>
          <w:u w:val="single"/>
        </w:rPr>
        <w:t>郪江和黄腊溪镇区段按照</w:t>
      </w:r>
      <w:r>
        <w:rPr>
          <w:rFonts w:ascii="宋体" w:hAnsi="宋体" w:cs="宋体"/>
          <w:b/>
          <w:bCs/>
          <w:sz w:val="24"/>
          <w:szCs w:val="24"/>
          <w:u w:val="single"/>
        </w:rPr>
        <w:t>20</w:t>
      </w:r>
      <w:r>
        <w:rPr>
          <w:rFonts w:hint="eastAsia" w:ascii="宋体" w:hAnsi="宋体" w:cs="宋体"/>
          <w:b/>
          <w:bCs/>
          <w:sz w:val="24"/>
          <w:szCs w:val="24"/>
          <w:u w:val="single"/>
        </w:rPr>
        <w:t>年一遇标准设防，其余河道按</w:t>
      </w:r>
      <w:r>
        <w:rPr>
          <w:rFonts w:ascii="宋体" w:hAnsi="宋体" w:cs="宋体"/>
          <w:b/>
          <w:bCs/>
          <w:sz w:val="24"/>
          <w:szCs w:val="24"/>
          <w:u w:val="single"/>
        </w:rPr>
        <w:t>10</w:t>
      </w:r>
      <w:r>
        <w:rPr>
          <w:rFonts w:hint="eastAsia" w:ascii="宋体" w:hAnsi="宋体" w:cs="宋体"/>
          <w:b/>
          <w:bCs/>
          <w:sz w:val="24"/>
          <w:szCs w:val="24"/>
          <w:u w:val="single"/>
        </w:rPr>
        <w:t>年一遇标准设防。</w:t>
      </w:r>
    </w:p>
    <w:p>
      <w:pPr>
        <w:pStyle w:val="81"/>
        <w:numPr>
          <w:ilvl w:val="0"/>
          <w:numId w:val="6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消防规划</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规划保留隆盛现状一级乡镇消防站，</w:t>
      </w:r>
      <w:r>
        <w:rPr>
          <w:rFonts w:hint="eastAsia" w:ascii="宋体" w:hAnsi="宋体" w:cs="宋体"/>
          <w:sz w:val="24"/>
          <w:szCs w:val="24"/>
        </w:rPr>
        <w:t>位于郪江街北侧，</w:t>
      </w:r>
      <w:r>
        <w:rPr>
          <w:rFonts w:hint="eastAsia" w:ascii="宋体" w:hAnsi="宋体" w:cs="宋体"/>
          <w:b/>
          <w:bCs/>
          <w:sz w:val="24"/>
          <w:szCs w:val="24"/>
          <w:u w:val="single"/>
        </w:rPr>
        <w:t>地块编码为</w:t>
      </w:r>
      <w:r>
        <w:rPr>
          <w:rFonts w:ascii="宋体" w:hAnsi="宋体" w:cs="宋体"/>
          <w:b/>
          <w:bCs/>
          <w:sz w:val="24"/>
          <w:szCs w:val="24"/>
          <w:u w:val="single"/>
        </w:rPr>
        <w:t>LS-04-</w:t>
      </w:r>
      <w:r>
        <w:rPr>
          <w:rFonts w:hint="eastAsia" w:ascii="宋体" w:hAnsi="宋体" w:cs="宋体"/>
          <w:b/>
          <w:bCs/>
          <w:sz w:val="24"/>
          <w:szCs w:val="24"/>
          <w:u w:val="single"/>
        </w:rPr>
        <w:t>06，用地规模0</w:t>
      </w:r>
      <w:r>
        <w:rPr>
          <w:rFonts w:ascii="宋体" w:hAnsi="宋体" w:cs="宋体"/>
          <w:b/>
          <w:bCs/>
          <w:sz w:val="24"/>
          <w:szCs w:val="24"/>
          <w:u w:val="single"/>
        </w:rPr>
        <w:t>.</w:t>
      </w:r>
      <w:r>
        <w:rPr>
          <w:rFonts w:hint="eastAsia" w:ascii="宋体" w:hAnsi="宋体" w:cs="宋体"/>
          <w:b/>
          <w:bCs/>
          <w:sz w:val="24"/>
          <w:szCs w:val="24"/>
          <w:u w:val="single"/>
        </w:rPr>
        <w:t>17公顷</w:t>
      </w:r>
      <w:r>
        <w:rPr>
          <w:rFonts w:hint="eastAsia" w:ascii="宋体" w:hAnsi="宋体" w:cs="宋体"/>
          <w:sz w:val="24"/>
          <w:szCs w:val="24"/>
        </w:rPr>
        <w:t>，负责隆盛镇区消防安全，消防供水与生活供水共用管网与水源。室外消火栓沿道路布置，间距不大于</w:t>
      </w:r>
      <w:r>
        <w:rPr>
          <w:rFonts w:ascii="宋体" w:hAnsi="宋体" w:cs="宋体"/>
          <w:sz w:val="24"/>
          <w:szCs w:val="24"/>
        </w:rPr>
        <w:t>120</w:t>
      </w:r>
      <w:r>
        <w:rPr>
          <w:rFonts w:hint="eastAsia" w:ascii="宋体" w:hAnsi="宋体" w:cs="宋体"/>
          <w:sz w:val="24"/>
          <w:szCs w:val="24"/>
        </w:rPr>
        <w:t>米，并在道路交叉口保证有一处消火栓。在规划区的通讯建设时应考虑设置至少一条</w:t>
      </w:r>
      <w:r>
        <w:rPr>
          <w:rFonts w:ascii="宋体" w:hAnsi="宋体" w:cs="宋体"/>
          <w:sz w:val="24"/>
          <w:szCs w:val="24"/>
        </w:rPr>
        <w:t>119</w:t>
      </w:r>
      <w:r>
        <w:rPr>
          <w:rFonts w:hint="eastAsia" w:ascii="宋体" w:hAnsi="宋体" w:cs="宋体"/>
          <w:sz w:val="24"/>
          <w:szCs w:val="24"/>
        </w:rPr>
        <w:t>专线。</w:t>
      </w:r>
    </w:p>
    <w:p>
      <w:pPr>
        <w:pStyle w:val="81"/>
        <w:numPr>
          <w:ilvl w:val="0"/>
          <w:numId w:val="6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抗震减灾规划</w:t>
      </w:r>
    </w:p>
    <w:p>
      <w:pPr>
        <w:tabs>
          <w:tab w:val="left" w:pos="0"/>
        </w:tabs>
        <w:spacing w:line="360" w:lineRule="auto"/>
        <w:ind w:firstLine="482" w:firstLineChars="200"/>
        <w:rPr>
          <w:rFonts w:ascii="宋体" w:hAnsi="宋体" w:cs="宋体"/>
          <w:b/>
          <w:bCs/>
          <w:sz w:val="24"/>
          <w:szCs w:val="24"/>
          <w:u w:val="single"/>
        </w:rPr>
      </w:pPr>
      <w:r>
        <w:rPr>
          <w:rFonts w:hint="eastAsia" w:ascii="宋体" w:hAnsi="宋体" w:cs="宋体"/>
          <w:b/>
          <w:bCs/>
          <w:sz w:val="24"/>
          <w:szCs w:val="24"/>
          <w:u w:val="single"/>
        </w:rPr>
        <w:t>隆盛镇区地震动峰值加速度为0.05g，地震动反应谱特征周期秒0.35s，地震基本烈度值为Ⅵ度。一般工程按照六度标准设防，重大基础设施工程、生命线工程、易发生次生灾害的设施应按《建筑工程抗震设防分标准》进行设防。</w:t>
      </w:r>
    </w:p>
    <w:p>
      <w:pPr>
        <w:tabs>
          <w:tab w:val="left" w:pos="0"/>
        </w:tabs>
        <w:spacing w:line="360" w:lineRule="auto"/>
        <w:ind w:firstLine="480" w:firstLineChars="200"/>
        <w:rPr>
          <w:rFonts w:ascii="宋体" w:hAnsi="宋体" w:cs="宋体"/>
          <w:b/>
          <w:bCs/>
          <w:sz w:val="24"/>
          <w:szCs w:val="24"/>
          <w:u w:val="single"/>
        </w:rPr>
      </w:pPr>
      <w:r>
        <w:rPr>
          <w:rFonts w:hint="eastAsia" w:ascii="宋体" w:hAnsi="宋体" w:cs="宋体"/>
          <w:sz w:val="24"/>
          <w:szCs w:val="24"/>
        </w:rPr>
        <w:t>完善应急通道和避难场所。依托隆盛镇政府，建设镇域应急指挥中心。依托隆盛镇卫生院，建设镇域防灾救护中心。结合镇区公园广场、学校操场等开敞空间，规划设置</w:t>
      </w:r>
      <w:r>
        <w:rPr>
          <w:rFonts w:ascii="宋体" w:hAnsi="宋体" w:cs="宋体"/>
          <w:sz w:val="24"/>
          <w:szCs w:val="24"/>
        </w:rPr>
        <w:t>3</w:t>
      </w:r>
      <w:r>
        <w:rPr>
          <w:rFonts w:hint="eastAsia" w:ascii="宋体" w:hAnsi="宋体" w:cs="宋体"/>
          <w:sz w:val="24"/>
          <w:szCs w:val="24"/>
        </w:rPr>
        <w:t>处固定避难疏散场所和4</w:t>
      </w:r>
      <w:r>
        <w:rPr>
          <w:rFonts w:ascii="宋体" w:hAnsi="宋体" w:cs="宋体"/>
          <w:sz w:val="24"/>
          <w:szCs w:val="24"/>
        </w:rPr>
        <w:t>处紧急避难场所，在避难场所设置标示标牌、生活必需品、药品与消防储备库。</w:t>
      </w:r>
      <w:r>
        <w:rPr>
          <w:rFonts w:hint="eastAsia" w:ascii="宋体" w:hAnsi="宋体" w:cs="宋体"/>
          <w:sz w:val="24"/>
          <w:szCs w:val="24"/>
        </w:rPr>
        <w:t>结合规划主次干道，设置避难疏散通道，</w:t>
      </w:r>
      <w:r>
        <w:rPr>
          <w:rFonts w:ascii="宋体" w:hAnsi="宋体" w:cs="宋体"/>
          <w:sz w:val="24"/>
          <w:szCs w:val="24"/>
        </w:rPr>
        <w:t>规划以新城路、永隆街、</w:t>
      </w:r>
      <w:r>
        <w:rPr>
          <w:rFonts w:hint="eastAsia" w:ascii="宋体" w:hAnsi="宋体" w:cs="宋体"/>
          <w:sz w:val="24"/>
          <w:szCs w:val="24"/>
        </w:rPr>
        <w:t>郪江</w:t>
      </w:r>
      <w:r>
        <w:rPr>
          <w:rFonts w:ascii="宋体" w:hAnsi="宋体" w:cs="宋体"/>
          <w:sz w:val="24"/>
          <w:szCs w:val="24"/>
        </w:rPr>
        <w:t>街、国道</w:t>
      </w:r>
      <w:r>
        <w:rPr>
          <w:rFonts w:hint="eastAsia" w:ascii="宋体" w:hAnsi="宋体" w:cs="宋体"/>
          <w:sz w:val="24"/>
          <w:szCs w:val="24"/>
        </w:rPr>
        <w:t>G</w:t>
      </w:r>
      <w:r>
        <w:rPr>
          <w:rFonts w:ascii="宋体" w:hAnsi="宋体" w:cs="宋体"/>
          <w:sz w:val="24"/>
          <w:szCs w:val="24"/>
        </w:rPr>
        <w:t>350</w:t>
      </w:r>
      <w:r>
        <w:rPr>
          <w:rFonts w:hint="eastAsia" w:ascii="宋体" w:hAnsi="宋体" w:cs="宋体"/>
          <w:sz w:val="24"/>
          <w:szCs w:val="24"/>
        </w:rPr>
        <w:t>等为主要救援疏散通道，中心街、隆兴街等为次要救援疏散通道，救援通道须保证震后</w:t>
      </w:r>
      <w:r>
        <w:rPr>
          <w:rFonts w:ascii="宋体" w:hAnsi="宋体" w:cs="宋体"/>
          <w:sz w:val="24"/>
          <w:szCs w:val="24"/>
        </w:rPr>
        <w:t>7米以上宽度。</w:t>
      </w:r>
    </w:p>
    <w:p>
      <w:pPr>
        <w:pStyle w:val="5"/>
        <w:numPr>
          <w:ilvl w:val="0"/>
          <w:numId w:val="58"/>
        </w:numPr>
        <w:spacing w:line="360" w:lineRule="auto"/>
        <w:ind w:left="0" w:firstLine="482" w:firstLineChars="200"/>
        <w:rPr>
          <w:b/>
          <w:bCs/>
        </w:rPr>
      </w:pPr>
      <w:r>
        <w:rPr>
          <w:rFonts w:hint="eastAsia"/>
          <w:b/>
          <w:bCs/>
        </w:rPr>
        <w:t>风貌管控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将镇区分为四大景观风貌区，包括商贸文化风貌区、综合服务风貌区、现代居住风貌区和产业融合风貌区。商贸文化风貌区位于镇区中部，为隆盛镇区城镇建设起源地，突出康养药香主题，对中心街、郪江街和郪江沿线建筑立面风貌改造升级，对南街商业地块整体风貌更新，体现药香文化特色和传统丘陵川中城镇建筑风格。综合服务风貌区位于新城路沿线，围绕公共管理与公共服务设施和居住功能，凸显现代简约建筑风貌。传统居住风貌区位于镇区北侧和南侧，以现状保留建筑为主，衔接镇区中部风貌特色，重点体现传统丘陵川中城镇建筑风格。产业融合风貌区位于镇区东侧，严格控制蓝屋顶厂房，建筑色彩应与周边乡村风貌相协调。</w:t>
      </w:r>
    </w:p>
    <w:p>
      <w:pPr>
        <w:pStyle w:val="5"/>
        <w:numPr>
          <w:ilvl w:val="0"/>
          <w:numId w:val="58"/>
        </w:numPr>
        <w:spacing w:line="360" w:lineRule="auto"/>
        <w:ind w:left="0" w:firstLine="482" w:firstLineChars="200"/>
        <w:rPr>
          <w:b/>
          <w:bCs/>
        </w:rPr>
      </w:pPr>
      <w:r>
        <w:rPr>
          <w:rFonts w:hint="eastAsia"/>
          <w:b/>
          <w:bCs/>
        </w:rPr>
        <w:t>四线管控</w:t>
      </w:r>
    </w:p>
    <w:p>
      <w:pPr>
        <w:tabs>
          <w:tab w:val="left" w:pos="0"/>
        </w:tabs>
        <w:spacing w:line="360" w:lineRule="auto"/>
        <w:ind w:firstLine="482" w:firstLineChars="200"/>
        <w:rPr>
          <w:rFonts w:ascii="宋体" w:hAnsi="宋体" w:cs="宋体"/>
          <w:b/>
          <w:bCs/>
          <w:sz w:val="24"/>
          <w:szCs w:val="24"/>
          <w:u w:val="single"/>
        </w:rPr>
      </w:pPr>
      <w:r>
        <w:rPr>
          <w:rFonts w:hint="eastAsia" w:ascii="宋体" w:hAnsi="宋体"/>
          <w:b/>
          <w:bCs/>
          <w:sz w:val="24"/>
          <w:szCs w:val="24"/>
          <w:u w:val="single"/>
        </w:rPr>
        <w:t>规划划定公园绿地与广场用地为城镇绿线范围，总面积</w:t>
      </w:r>
      <w:r>
        <w:rPr>
          <w:rFonts w:ascii="宋体" w:hAnsi="宋体"/>
          <w:b/>
          <w:bCs/>
          <w:sz w:val="24"/>
          <w:szCs w:val="24"/>
          <w:u w:val="single"/>
        </w:rPr>
        <w:t>1.</w:t>
      </w:r>
      <w:r>
        <w:rPr>
          <w:rFonts w:hint="eastAsia" w:ascii="宋体" w:hAnsi="宋体"/>
          <w:b/>
          <w:bCs/>
          <w:sz w:val="24"/>
          <w:szCs w:val="24"/>
          <w:u w:val="single"/>
        </w:rPr>
        <w:t>70公顷，按照《城市绿线管理办法》予以严格管控。划定</w:t>
      </w:r>
      <w:r>
        <w:rPr>
          <w:rFonts w:hint="eastAsia" w:ascii="宋体" w:hAnsi="宋体" w:cs="宋体"/>
          <w:b/>
          <w:bCs/>
          <w:sz w:val="24"/>
          <w:szCs w:val="24"/>
          <w:u w:val="single"/>
        </w:rPr>
        <w:t>消防站、</w:t>
      </w:r>
      <w:r>
        <w:rPr>
          <w:rFonts w:hint="eastAsia" w:ascii="宋体" w:hAnsi="宋体"/>
          <w:b/>
          <w:bCs/>
          <w:sz w:val="24"/>
          <w:szCs w:val="24"/>
          <w:u w:val="single"/>
        </w:rPr>
        <w:t>防洪堤、社会停车场、客运站</w:t>
      </w:r>
      <w:r>
        <w:rPr>
          <w:rFonts w:hint="eastAsia" w:ascii="宋体" w:hAnsi="宋体" w:cs="宋体"/>
          <w:b/>
          <w:bCs/>
          <w:sz w:val="24"/>
          <w:szCs w:val="24"/>
          <w:u w:val="single"/>
        </w:rPr>
        <w:t>等用地为城镇黄线范围，总面积15.33公顷，按照《城市黄线管理办法》严格管控。划定郪江、黄腊溪为城镇蓝线范围，总面积</w:t>
      </w:r>
      <w:r>
        <w:rPr>
          <w:rFonts w:ascii="宋体" w:hAnsi="宋体" w:cs="宋体"/>
          <w:b/>
          <w:bCs/>
          <w:sz w:val="24"/>
          <w:szCs w:val="24"/>
          <w:u w:val="single"/>
        </w:rPr>
        <w:t>16.65</w:t>
      </w:r>
      <w:r>
        <w:rPr>
          <w:rFonts w:hint="eastAsia" w:ascii="宋体" w:hAnsi="宋体" w:cs="宋体"/>
          <w:b/>
          <w:bCs/>
          <w:sz w:val="24"/>
          <w:szCs w:val="24"/>
          <w:u w:val="single"/>
        </w:rPr>
        <w:t>公顷，按照《城市蓝线管理办法》严格管控。划定镇区中部金鹏寺摩崖造像为城镇紫线范围，总面积0</w:t>
      </w:r>
      <w:r>
        <w:rPr>
          <w:rFonts w:ascii="宋体" w:hAnsi="宋体" w:cs="宋体"/>
          <w:b/>
          <w:bCs/>
          <w:sz w:val="24"/>
          <w:szCs w:val="24"/>
          <w:u w:val="single"/>
        </w:rPr>
        <w:t>.1</w:t>
      </w:r>
      <w:r>
        <w:rPr>
          <w:rFonts w:hint="eastAsia" w:ascii="宋体" w:hAnsi="宋体" w:cs="宋体"/>
          <w:b/>
          <w:bCs/>
          <w:sz w:val="24"/>
          <w:szCs w:val="24"/>
          <w:u w:val="single"/>
        </w:rPr>
        <w:t>0公顷，按照《城市紫线管理办法》严格管控。</w:t>
      </w:r>
    </w:p>
    <w:p>
      <w:pPr>
        <w:pStyle w:val="5"/>
        <w:numPr>
          <w:ilvl w:val="0"/>
          <w:numId w:val="58"/>
        </w:numPr>
        <w:spacing w:line="360" w:lineRule="auto"/>
        <w:ind w:left="0" w:firstLine="482" w:firstLineChars="200"/>
        <w:rPr>
          <w:b/>
          <w:bCs/>
        </w:rPr>
      </w:pPr>
      <w:r>
        <w:rPr>
          <w:rFonts w:hint="eastAsia"/>
          <w:b/>
          <w:bCs/>
        </w:rPr>
        <w:t>土地使用规划控制</w:t>
      </w:r>
    </w:p>
    <w:p>
      <w:pPr>
        <w:pStyle w:val="81"/>
        <w:numPr>
          <w:ilvl w:val="0"/>
          <w:numId w:val="65"/>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用地单元划分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为了便于规划管理和建设实施操作，建立“镇区——街区——地块”的三级用地编号体系，逐层分解、逐级落实、精准有效传导上位规划要求，指导项目建设实施。其中，“镇区”代码为“LS” ；“街区”以城镇道路、河流为边界，划定5个街区，编号为数字“01,02,03……”；地块以用地权属边界划分地块，标记为数字“01,02,03……”。</w:t>
      </w:r>
    </w:p>
    <w:p>
      <w:pPr>
        <w:pStyle w:val="81"/>
        <w:numPr>
          <w:ilvl w:val="0"/>
          <w:numId w:val="65"/>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用地属性划分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本次规划按照最新《国土空间调查、规划、用途管制用地用海分类指南（试行）》（2020）严格执行，分至小类，其中部分用地划分至中类。</w:t>
      </w:r>
    </w:p>
    <w:p>
      <w:pPr>
        <w:pStyle w:val="81"/>
        <w:numPr>
          <w:ilvl w:val="0"/>
          <w:numId w:val="65"/>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地块控制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兼顾弹性引导与刚性管控，通过规定性指标和引导性指标进行控制。地块用地性质、建筑密度、建筑高度、容积率、绿地率及其他需要配置的公共设施作为规定性指标（详见附表1</w:t>
      </w:r>
      <w:r>
        <w:rPr>
          <w:rFonts w:ascii="宋体" w:hAnsi="宋体" w:cs="宋体"/>
          <w:sz w:val="24"/>
          <w:szCs w:val="24"/>
        </w:rPr>
        <w:t>4</w:t>
      </w:r>
      <w:r>
        <w:rPr>
          <w:rFonts w:hint="eastAsia" w:ascii="宋体" w:hAnsi="宋体" w:cs="宋体"/>
          <w:sz w:val="24"/>
          <w:szCs w:val="24"/>
        </w:rPr>
        <w:t>），人口容量、建筑形式、体量、风格、色彩要求和其它环境要求为引导性指标。用地规模不小于2</w:t>
      </w:r>
      <w:r>
        <w:rPr>
          <w:rFonts w:ascii="宋体" w:hAnsi="宋体" w:cs="宋体"/>
          <w:sz w:val="24"/>
          <w:szCs w:val="24"/>
        </w:rPr>
        <w:t>000</w:t>
      </w:r>
      <w:r>
        <w:rPr>
          <w:rFonts w:hint="eastAsia" w:ascii="宋体" w:hAnsi="宋体" w:cs="宋体"/>
          <w:sz w:val="24"/>
          <w:szCs w:val="24"/>
        </w:rPr>
        <w:t>平方米的地块应严格按照规划控制指标进行开发建设，小于2</w:t>
      </w:r>
      <w:r>
        <w:rPr>
          <w:rFonts w:ascii="宋体" w:hAnsi="宋体" w:cs="宋体"/>
          <w:sz w:val="24"/>
          <w:szCs w:val="24"/>
        </w:rPr>
        <w:t>000</w:t>
      </w:r>
      <w:r>
        <w:rPr>
          <w:rFonts w:hint="eastAsia" w:ascii="宋体" w:hAnsi="宋体" w:cs="宋体"/>
          <w:sz w:val="24"/>
          <w:szCs w:val="24"/>
        </w:rPr>
        <w:t>平方米的地块应根据实际建设条件和《遂宁市城市规划管理技术规定》（修订）和《大英县城市规划管理技术规定》（试行）的相关要求进行确定。</w:t>
      </w:r>
    </w:p>
    <w:p>
      <w:pPr>
        <w:pStyle w:val="81"/>
        <w:numPr>
          <w:ilvl w:val="0"/>
          <w:numId w:val="65"/>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用地兼容性控制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在开发过程中，为适应城镇发展的多种可能性，原则上允许有条件地变更某些地块原定的用地性质（第一使用性质），但必须符合《遂宁市城市规划管理技术规定》（修订）和《大英县城市规划管理技术规定》（试行）的相关规定。</w:t>
      </w:r>
    </w:p>
    <w:p>
      <w:pPr>
        <w:pStyle w:val="81"/>
        <w:numPr>
          <w:ilvl w:val="0"/>
          <w:numId w:val="65"/>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环境容量控制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容积率控制：依据《遂宁市城市规划管理技术规定》（修订）、《大英县城市规划管理技术规定》（试行）和其他相关标准、规范综合确定各类用地容积率，其中，居住用地地块容积率≤1</w:t>
      </w:r>
      <w:r>
        <w:rPr>
          <w:rFonts w:ascii="宋体" w:hAnsi="宋体" w:cs="宋体"/>
          <w:sz w:val="24"/>
          <w:szCs w:val="24"/>
        </w:rPr>
        <w:t>.5</w:t>
      </w:r>
      <w:r>
        <w:rPr>
          <w:rFonts w:hint="eastAsia" w:ascii="宋体" w:hAnsi="宋体" w:cs="宋体"/>
          <w:sz w:val="24"/>
          <w:szCs w:val="24"/>
        </w:rPr>
        <w:t>，中小学用地地块容积率≤1</w:t>
      </w:r>
      <w:r>
        <w:rPr>
          <w:rFonts w:ascii="宋体" w:hAnsi="宋体" w:cs="宋体"/>
          <w:sz w:val="24"/>
          <w:szCs w:val="24"/>
        </w:rPr>
        <w:t>.0</w:t>
      </w:r>
      <w:r>
        <w:rPr>
          <w:rFonts w:hint="eastAsia" w:ascii="宋体" w:hAnsi="宋体" w:cs="宋体"/>
          <w:sz w:val="24"/>
          <w:szCs w:val="24"/>
        </w:rPr>
        <w:t>，农贸市场用地地块容积率1</w:t>
      </w:r>
      <w:r>
        <w:rPr>
          <w:rFonts w:ascii="宋体" w:hAnsi="宋体" w:cs="宋体"/>
          <w:sz w:val="24"/>
          <w:szCs w:val="24"/>
        </w:rPr>
        <w:t>.0</w:t>
      </w:r>
      <w:r>
        <w:rPr>
          <w:rFonts w:hint="eastAsia" w:ascii="宋体" w:hAnsi="宋体" w:cs="宋体"/>
          <w:sz w:val="24"/>
          <w:szCs w:val="24"/>
        </w:rPr>
        <w:t>～</w:t>
      </w:r>
      <w:r>
        <w:rPr>
          <w:rFonts w:ascii="宋体" w:hAnsi="宋体" w:cs="宋体"/>
          <w:sz w:val="24"/>
          <w:szCs w:val="24"/>
        </w:rPr>
        <w:t>1.6</w:t>
      </w:r>
      <w:r>
        <w:rPr>
          <w:rFonts w:hint="eastAsia" w:ascii="宋体" w:hAnsi="宋体" w:cs="宋体"/>
          <w:sz w:val="24"/>
          <w:szCs w:val="24"/>
        </w:rPr>
        <w:t>，旅馆用地地块容积率≤2</w:t>
      </w:r>
      <w:r>
        <w:rPr>
          <w:rFonts w:ascii="宋体" w:hAnsi="宋体" w:cs="宋体"/>
          <w:sz w:val="24"/>
          <w:szCs w:val="24"/>
        </w:rPr>
        <w:t>.0</w:t>
      </w:r>
      <w:r>
        <w:rPr>
          <w:rFonts w:hint="eastAsia" w:ascii="宋体" w:hAnsi="宋体" w:cs="宋体"/>
          <w:sz w:val="24"/>
          <w:szCs w:val="24"/>
        </w:rPr>
        <w:t>，工业用地地块容积率≥1</w:t>
      </w:r>
      <w:r>
        <w:rPr>
          <w:rFonts w:ascii="宋体" w:hAnsi="宋体" w:cs="宋体"/>
          <w:sz w:val="24"/>
          <w:szCs w:val="24"/>
        </w:rPr>
        <w:t>.0</w:t>
      </w:r>
      <w:r>
        <w:rPr>
          <w:rFonts w:hint="eastAsia" w:ascii="宋体" w:hAnsi="宋体" w:cs="宋体"/>
          <w:sz w:val="24"/>
          <w:szCs w:val="24"/>
        </w:rPr>
        <w:t>。规划采用通则式规定，情况相似的同类用地采用同样控制指标，保证用地开发权利的公平合理。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绿地率和建筑密度：依据《遂宁市城市规划管理技术规定》（修订）和《大英县城市规划管理技术规定》（试行），综合考虑地形条件、环境质量、地块区位、使用性质、容积率、建筑安全卫生间距、气候条件、朝向等因素，确定各类地块绿地率和建筑密度控制指标，详见附表1</w:t>
      </w:r>
      <w:r>
        <w:rPr>
          <w:rFonts w:ascii="宋体" w:hAnsi="宋体" w:cs="宋体"/>
          <w:sz w:val="24"/>
          <w:szCs w:val="24"/>
        </w:rPr>
        <w:t>4</w:t>
      </w:r>
      <w:r>
        <w:rPr>
          <w:rFonts w:hint="eastAsia" w:ascii="宋体" w:hAnsi="宋体" w:cs="宋体"/>
          <w:sz w:val="24"/>
          <w:szCs w:val="24"/>
        </w:rPr>
        <w:t>。</w:t>
      </w:r>
    </w:p>
    <w:p>
      <w:pPr>
        <w:pStyle w:val="81"/>
        <w:numPr>
          <w:ilvl w:val="0"/>
          <w:numId w:val="65"/>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建筑建造控制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建筑高度控制：综合考虑镇区空间形态、地形条件、用地性质等因素，本次规划建筑高度分为三个层级，分别为</w:t>
      </w:r>
      <w:r>
        <w:rPr>
          <w:rFonts w:ascii="宋体" w:hAnsi="宋体" w:cs="宋体"/>
          <w:sz w:val="24"/>
          <w:szCs w:val="24"/>
        </w:rPr>
        <w:t>12</w:t>
      </w:r>
      <w:r>
        <w:rPr>
          <w:rFonts w:hint="eastAsia" w:ascii="宋体" w:hAnsi="宋体" w:cs="宋体"/>
          <w:sz w:val="24"/>
          <w:szCs w:val="24"/>
        </w:rPr>
        <w:t>米、1</w:t>
      </w:r>
      <w:r>
        <w:rPr>
          <w:rFonts w:ascii="宋体" w:hAnsi="宋体" w:cs="宋体"/>
          <w:sz w:val="24"/>
          <w:szCs w:val="24"/>
        </w:rPr>
        <w:t>8</w:t>
      </w:r>
      <w:r>
        <w:rPr>
          <w:rFonts w:hint="eastAsia" w:ascii="宋体" w:hAnsi="宋体" w:cs="宋体"/>
          <w:sz w:val="24"/>
          <w:szCs w:val="24"/>
        </w:rPr>
        <w:t>米和</w:t>
      </w:r>
      <w:r>
        <w:rPr>
          <w:rFonts w:ascii="宋体" w:hAnsi="宋体" w:cs="宋体"/>
          <w:sz w:val="24"/>
          <w:szCs w:val="24"/>
        </w:rPr>
        <w:t>24</w:t>
      </w:r>
      <w:r>
        <w:rPr>
          <w:rFonts w:hint="eastAsia" w:ascii="宋体" w:hAnsi="宋体" w:cs="宋体"/>
          <w:sz w:val="24"/>
          <w:szCs w:val="24"/>
        </w:rPr>
        <w:t>米，其中中小学用地、批发市场用地等不超过1</w:t>
      </w:r>
      <w:r>
        <w:rPr>
          <w:rFonts w:ascii="宋体" w:hAnsi="宋体" w:cs="宋体"/>
          <w:sz w:val="24"/>
          <w:szCs w:val="24"/>
        </w:rPr>
        <w:t>2</w:t>
      </w:r>
      <w:r>
        <w:rPr>
          <w:rFonts w:hint="eastAsia" w:ascii="宋体" w:hAnsi="宋体" w:cs="宋体"/>
          <w:sz w:val="24"/>
          <w:szCs w:val="24"/>
        </w:rPr>
        <w:t>米，居住用地、旅馆用地不超过1</w:t>
      </w:r>
      <w:r>
        <w:rPr>
          <w:rFonts w:ascii="宋体" w:hAnsi="宋体" w:cs="宋体"/>
          <w:sz w:val="24"/>
          <w:szCs w:val="24"/>
        </w:rPr>
        <w:t>8</w:t>
      </w:r>
      <w:r>
        <w:rPr>
          <w:rFonts w:hint="eastAsia" w:ascii="宋体" w:hAnsi="宋体" w:cs="宋体"/>
          <w:sz w:val="24"/>
          <w:szCs w:val="24"/>
        </w:rPr>
        <w:t>米，工业用地不超过24米，详见附表1</w:t>
      </w:r>
      <w:r>
        <w:rPr>
          <w:rFonts w:ascii="宋体" w:hAnsi="宋体" w:cs="宋体"/>
          <w:sz w:val="24"/>
          <w:szCs w:val="24"/>
        </w:rPr>
        <w:t>4</w:t>
      </w:r>
      <w:r>
        <w:rPr>
          <w:rFonts w:hint="eastAsia" w:ascii="宋体" w:hAnsi="宋体" w:cs="宋体"/>
          <w:sz w:val="24"/>
          <w:szCs w:val="24"/>
        </w:rPr>
        <w:t>。对于城镇开发边界范围内的自建民房，建筑高度不应超过1</w:t>
      </w:r>
      <w:r>
        <w:rPr>
          <w:rFonts w:ascii="宋体" w:hAnsi="宋体" w:cs="宋体"/>
          <w:sz w:val="24"/>
          <w:szCs w:val="24"/>
        </w:rPr>
        <w:t>2</w:t>
      </w:r>
      <w:r>
        <w:rPr>
          <w:rFonts w:hint="eastAsia" w:ascii="宋体" w:hAnsi="宋体" w:cs="宋体"/>
          <w:sz w:val="24"/>
          <w:szCs w:val="24"/>
        </w:rPr>
        <w:t>米，层数不超过3层。</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建筑退让控制：用地规模不小于2</w:t>
      </w:r>
      <w:r>
        <w:rPr>
          <w:rFonts w:ascii="宋体" w:hAnsi="宋体" w:cs="宋体"/>
          <w:sz w:val="24"/>
          <w:szCs w:val="24"/>
        </w:rPr>
        <w:t>000</w:t>
      </w:r>
      <w:r>
        <w:rPr>
          <w:rFonts w:hint="eastAsia" w:ascii="宋体" w:hAnsi="宋体" w:cs="宋体"/>
          <w:sz w:val="24"/>
          <w:szCs w:val="24"/>
        </w:rPr>
        <w:t>平方米的地块新建建筑后退控制按照《遂宁市城市规划管理技术规定》（修订）和《大英县城市规划管理技术规定》（试行）执行，对于城镇开发边界内的自建民房，应满足《遂宁市城市规划管理技术规定》（修订）和《大英县城市规划管理技术规定》（试行）中退让道路红线的最小距离要求。沿道路、河道、电力线路保护区两侧的建筑物，以及沿用地边界和文物保护单位周围的建筑物应同时符合消防、环保、防汛和交通安全等方面的要求。</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筑间距控制：应满足《遂宁市城市规划管理技术规定》（修订）和《大英县城市规划管理技术规定》（试行）中建筑间距控制相关要求，同时必须符合国家有关日照、消防、卫生、管线埋设和建筑设计规范的要求。</w:t>
      </w:r>
    </w:p>
    <w:p>
      <w:pPr>
        <w:numPr>
          <w:ilvl w:val="1"/>
          <w:numId w:val="57"/>
        </w:numPr>
        <w:tabs>
          <w:tab w:val="left" w:pos="680"/>
          <w:tab w:val="left" w:pos="840"/>
        </w:tabs>
        <w:spacing w:before="312" w:beforeLines="100" w:line="440" w:lineRule="exact"/>
        <w:jc w:val="left"/>
        <w:outlineLvl w:val="1"/>
        <w:rPr>
          <w:rFonts w:hAnsi="宋体"/>
          <w:b/>
          <w:sz w:val="28"/>
          <w:szCs w:val="28"/>
        </w:rPr>
      </w:pPr>
      <w:bookmarkStart w:id="528" w:name="_Toc141369733"/>
      <w:bookmarkStart w:id="529" w:name="_Toc106960187"/>
      <w:bookmarkStart w:id="530" w:name="_Toc106960188"/>
      <w:r>
        <w:rPr>
          <w:rFonts w:hint="eastAsia" w:hAnsi="宋体"/>
          <w:b/>
          <w:sz w:val="28"/>
          <w:szCs w:val="28"/>
        </w:rPr>
        <w:t>回马镇镇区规划</w:t>
      </w:r>
      <w:bookmarkEnd w:id="528"/>
      <w:bookmarkEnd w:id="529"/>
    </w:p>
    <w:p>
      <w:pPr>
        <w:pStyle w:val="5"/>
        <w:numPr>
          <w:ilvl w:val="0"/>
          <w:numId w:val="66"/>
        </w:numPr>
        <w:spacing w:line="360" w:lineRule="auto"/>
        <w:ind w:left="0" w:firstLine="482" w:firstLineChars="200"/>
        <w:rPr>
          <w:b/>
          <w:bCs/>
        </w:rPr>
      </w:pPr>
      <w:r>
        <w:rPr>
          <w:rFonts w:hint="eastAsia"/>
          <w:b/>
          <w:bCs/>
        </w:rPr>
        <w:t>现状概况与问题</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回马镇镇区七普常住人口</w:t>
      </w:r>
      <w:r>
        <w:rPr>
          <w:rFonts w:ascii="宋体" w:hAnsi="宋体" w:cs="宋体"/>
          <w:sz w:val="24"/>
          <w:szCs w:val="24"/>
        </w:rPr>
        <w:t>4</w:t>
      </w:r>
      <w:r>
        <w:rPr>
          <w:rFonts w:hint="eastAsia" w:ascii="宋体" w:hAnsi="宋体" w:cs="宋体"/>
          <w:sz w:val="24"/>
          <w:szCs w:val="24"/>
        </w:rPr>
        <w:t>087人，城镇建设用地面积</w:t>
      </w:r>
      <w:r>
        <w:rPr>
          <w:rFonts w:ascii="宋体" w:hAnsi="宋体" w:cs="宋体"/>
          <w:sz w:val="24"/>
          <w:szCs w:val="24"/>
        </w:rPr>
        <w:t>56.40</w:t>
      </w:r>
      <w:r>
        <w:rPr>
          <w:rFonts w:hint="eastAsia" w:ascii="宋体" w:hAnsi="宋体" w:cs="宋体"/>
          <w:sz w:val="24"/>
          <w:szCs w:val="24"/>
        </w:rPr>
        <w:t>公顷，人均建设用地面积为</w:t>
      </w:r>
      <w:r>
        <w:rPr>
          <w:rFonts w:ascii="宋体" w:hAnsi="宋体" w:cs="宋体"/>
          <w:sz w:val="24"/>
          <w:szCs w:val="24"/>
        </w:rPr>
        <w:t>137.99</w:t>
      </w:r>
      <w:r>
        <w:rPr>
          <w:rFonts w:hint="eastAsia" w:ascii="宋体" w:hAnsi="宋体" w:cs="宋体"/>
          <w:sz w:val="24"/>
          <w:szCs w:val="24"/>
        </w:rPr>
        <w:t>㎡。城镇建设用地以工业用地为主，占比</w:t>
      </w:r>
      <w:r>
        <w:rPr>
          <w:rFonts w:ascii="宋体" w:hAnsi="宋体" w:cs="宋体"/>
          <w:sz w:val="24"/>
          <w:szCs w:val="24"/>
        </w:rPr>
        <w:t>42.34%，其次是</w:t>
      </w:r>
      <w:r>
        <w:rPr>
          <w:rFonts w:hint="eastAsia" w:ascii="宋体" w:hAnsi="宋体" w:cs="宋体"/>
          <w:sz w:val="24"/>
          <w:szCs w:val="24"/>
        </w:rPr>
        <w:t>居住</w:t>
      </w:r>
      <w:r>
        <w:rPr>
          <w:rFonts w:ascii="宋体" w:hAnsi="宋体" w:cs="宋体"/>
          <w:sz w:val="24"/>
          <w:szCs w:val="24"/>
        </w:rPr>
        <w:t>用地，占比28.03%</w:t>
      </w:r>
      <w:r>
        <w:rPr>
          <w:rFonts w:hint="eastAsia" w:ascii="宋体" w:hAnsi="宋体" w:cs="宋体"/>
          <w:sz w:val="24"/>
          <w:szCs w:val="24"/>
        </w:rPr>
        <w:t>，详见附表</w:t>
      </w:r>
      <w:r>
        <w:rPr>
          <w:rFonts w:ascii="宋体" w:hAnsi="宋体" w:cs="宋体"/>
          <w:sz w:val="24"/>
          <w:szCs w:val="24"/>
        </w:rPr>
        <w:t>9</w:t>
      </w:r>
      <w:r>
        <w:rPr>
          <w:rFonts w:hint="eastAsia" w:ascii="宋体" w:hAnsi="宋体" w:cs="宋体"/>
          <w:sz w:val="24"/>
          <w:szCs w:val="24"/>
        </w:rPr>
        <w:t>。</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通过对镇区历史演变、人口情况、土地利用、基础设施、空间形态和景观风貌等现状情况进行评估，综合研判镇区建设存在的四个方面主要问题：</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一是工业企业布局散乱，用地闲置情况突出。回马镇区现状工业用地从南到北均有分布，缺乏规划管理控制，对周边居住影响较大；现状三处化工工业地块、北侧回马工业园以及粮站、原中学等用地均处于闲置状态，闲置用地规模约1</w:t>
      </w:r>
      <w:r>
        <w:rPr>
          <w:rFonts w:ascii="宋体" w:hAnsi="宋体" w:cs="宋体"/>
          <w:sz w:val="24"/>
          <w:szCs w:val="24"/>
        </w:rPr>
        <w:t>4.35</w:t>
      </w:r>
      <w:r>
        <w:rPr>
          <w:rFonts w:hint="eastAsia" w:ascii="宋体" w:hAnsi="宋体" w:cs="宋体"/>
          <w:sz w:val="24"/>
          <w:szCs w:val="24"/>
        </w:rPr>
        <w:t>公顷。</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二是过境公路穿越场镇，“夹道建设”现象突出。国道G</w:t>
      </w:r>
      <w:r>
        <w:rPr>
          <w:rFonts w:ascii="宋体" w:hAnsi="宋体" w:cs="宋体"/>
          <w:sz w:val="24"/>
          <w:szCs w:val="24"/>
        </w:rPr>
        <w:t>247纵向穿越场镇，作为场镇主干道，同时又是南北过境交通主要道路，各类货车穿越，对场镇影响较大；现状道路两侧建筑</w:t>
      </w:r>
      <w:r>
        <w:rPr>
          <w:rFonts w:hint="eastAsia" w:ascii="宋体" w:hAnsi="宋体" w:cs="宋体"/>
          <w:sz w:val="24"/>
          <w:szCs w:val="24"/>
        </w:rPr>
        <w:t>大部分</w:t>
      </w:r>
      <w:r>
        <w:rPr>
          <w:rFonts w:ascii="宋体" w:hAnsi="宋体" w:cs="宋体"/>
          <w:sz w:val="24"/>
          <w:szCs w:val="24"/>
        </w:rPr>
        <w:t>是一层皮，</w:t>
      </w:r>
      <w:r>
        <w:rPr>
          <w:rFonts w:hint="eastAsia" w:ascii="宋体" w:hAnsi="宋体" w:cs="宋体"/>
          <w:sz w:val="24"/>
          <w:szCs w:val="24"/>
        </w:rPr>
        <w:t>临道而建，部分道路较窄，无法拓宽。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三是配套设施服务功能不足，品质有待提升。公共服务设施方面，镇区缺少公共活动场地与体育健身设施，卫生院和双江社区文化设施有新建需求；基础设施方面，镇区缺少公共社会停车场和综合客运站等交通设施，现状水厂水质有待提高，污水处理设施需扩容，市政设施存在管线老化、架空电力通信线缆杂乱等问题。</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四是城镇风貌缺乏特色，生态环境问题突出。回马场镇现状存在大量蓝色彩钢棚，部分房屋破旧，整体缺乏风貌指引管控，未形成滨江城镇风貌特色；现状四川省兴茂石化有限责任公司回马厂区、四川省大英蓥峰化工有限责任公司回马厂区和大英县友章工业燃油厂三处地块存在环境污染问题，需进行生态环境整治；镇区滨水沿岸存在大量采砂工矿用地，对景观和生态环境影响较大，需进行生态环境修复。</w:t>
      </w:r>
    </w:p>
    <w:p>
      <w:pPr>
        <w:pStyle w:val="5"/>
        <w:numPr>
          <w:ilvl w:val="0"/>
          <w:numId w:val="66"/>
        </w:numPr>
        <w:spacing w:line="360" w:lineRule="auto"/>
        <w:ind w:left="0" w:firstLine="482" w:firstLineChars="200"/>
        <w:rPr>
          <w:b/>
          <w:bCs/>
        </w:rPr>
      </w:pPr>
      <w:r>
        <w:rPr>
          <w:rFonts w:hint="eastAsia"/>
          <w:b/>
          <w:bCs/>
        </w:rPr>
        <w:t>定位规模</w:t>
      </w:r>
    </w:p>
    <w:p>
      <w:pPr>
        <w:pStyle w:val="81"/>
        <w:numPr>
          <w:ilvl w:val="0"/>
          <w:numId w:val="67"/>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功能定位</w:t>
      </w:r>
    </w:p>
    <w:p>
      <w:pPr>
        <w:tabs>
          <w:tab w:val="left" w:pos="0"/>
        </w:tabs>
        <w:spacing w:line="360" w:lineRule="auto"/>
        <w:ind w:firstLine="480" w:firstLineChars="200"/>
        <w:rPr>
          <w:rFonts w:ascii="宋体" w:hAnsi="宋体" w:cs="宋体"/>
          <w:sz w:val="24"/>
          <w:szCs w:val="24"/>
        </w:rPr>
      </w:pPr>
      <w:bookmarkStart w:id="531" w:name="_Hlk148627764"/>
      <w:r>
        <w:rPr>
          <w:rFonts w:hint="eastAsia" w:ascii="宋体" w:hAnsi="宋体" w:cs="宋体"/>
          <w:sz w:val="24"/>
          <w:szCs w:val="24"/>
        </w:rPr>
        <w:t>镇区作为片区副中心，应突出自身区位优势，积极融入渝遂绵优质蔬菜生产带，向南承接遂宁市产业外溢，向北对接四川沱牌绿色生态食品产业园，结合上位规划指引，将回马镇镇区定位为以装备制造与副产品加工为特色的工贸型城镇</w:t>
      </w:r>
      <w:bookmarkEnd w:id="531"/>
      <w:r>
        <w:rPr>
          <w:rFonts w:hint="eastAsia" w:ascii="宋体" w:hAnsi="宋体" w:cs="宋体"/>
          <w:sz w:val="24"/>
          <w:szCs w:val="24"/>
        </w:rPr>
        <w:t>。</w:t>
      </w:r>
    </w:p>
    <w:p>
      <w:pPr>
        <w:pStyle w:val="81"/>
        <w:numPr>
          <w:ilvl w:val="0"/>
          <w:numId w:val="67"/>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城镇规模</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回马镇镇区规划范围322.68公顷，</w:t>
      </w:r>
      <w:bookmarkStart w:id="532" w:name="_Hlk148627774"/>
      <w:r>
        <w:rPr>
          <w:rFonts w:hint="eastAsia" w:ascii="宋体" w:hAnsi="宋体" w:cs="宋体"/>
          <w:sz w:val="24"/>
          <w:szCs w:val="24"/>
        </w:rPr>
        <w:t>到2035年，镇区城镇常住人口规模为1</w:t>
      </w:r>
      <w:r>
        <w:rPr>
          <w:rFonts w:ascii="宋体" w:hAnsi="宋体" w:cs="宋体"/>
          <w:sz w:val="24"/>
          <w:szCs w:val="24"/>
        </w:rPr>
        <w:t>0</w:t>
      </w:r>
      <w:r>
        <w:rPr>
          <w:rFonts w:hint="eastAsia" w:ascii="宋体" w:hAnsi="宋体" w:cs="宋体"/>
          <w:sz w:val="24"/>
          <w:szCs w:val="24"/>
        </w:rPr>
        <w:t>000人，镇区规划建设用地规模为171.02公顷，其中</w:t>
      </w:r>
      <w:r>
        <w:rPr>
          <w:rFonts w:hint="eastAsia" w:ascii="宋体" w:hAnsi="宋体" w:cs="宋体"/>
          <w:b/>
          <w:bCs/>
          <w:sz w:val="24"/>
          <w:szCs w:val="24"/>
          <w:u w:val="single"/>
        </w:rPr>
        <w:t>城镇建设用地137.58公顷</w:t>
      </w:r>
      <w:r>
        <w:rPr>
          <w:rFonts w:hint="eastAsia" w:ascii="宋体" w:hAnsi="宋体" w:cs="宋体"/>
          <w:sz w:val="24"/>
          <w:szCs w:val="24"/>
        </w:rPr>
        <w:t>（城镇开发边界内），乡村建设用地33.44公顷（城镇开发边界外，包括农村宅基地、公共管理与公共服务用地、交通运输用地、公用设施用地等）</w:t>
      </w:r>
      <w:bookmarkEnd w:id="532"/>
      <w:r>
        <w:rPr>
          <w:rFonts w:hint="eastAsia" w:ascii="宋体" w:hAnsi="宋体" w:cs="宋体"/>
          <w:sz w:val="24"/>
          <w:szCs w:val="24"/>
        </w:rPr>
        <w:t>；其他用地151.66公顷（包括耕地、园地、林地、湿地、农业设施建设用地、陆地水域等），详见附表1</w:t>
      </w:r>
      <w:r>
        <w:rPr>
          <w:rFonts w:ascii="宋体" w:hAnsi="宋体" w:cs="宋体"/>
          <w:sz w:val="24"/>
          <w:szCs w:val="24"/>
        </w:rPr>
        <w:t>2</w:t>
      </w:r>
      <w:r>
        <w:rPr>
          <w:rFonts w:hint="eastAsia" w:ascii="宋体" w:hAnsi="宋体" w:cs="宋体"/>
          <w:sz w:val="24"/>
          <w:szCs w:val="24"/>
        </w:rPr>
        <w:t>。</w:t>
      </w:r>
    </w:p>
    <w:p>
      <w:pPr>
        <w:pStyle w:val="5"/>
        <w:numPr>
          <w:ilvl w:val="0"/>
          <w:numId w:val="66"/>
        </w:numPr>
        <w:spacing w:line="360" w:lineRule="auto"/>
        <w:ind w:left="0" w:firstLine="482" w:firstLineChars="200"/>
        <w:rPr>
          <w:b/>
          <w:bCs/>
        </w:rPr>
      </w:pPr>
      <w:r>
        <w:rPr>
          <w:rFonts w:hint="eastAsia"/>
          <w:b/>
          <w:bCs/>
        </w:rPr>
        <w:t>功能结构</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规划回马镇镇区形成“一心、一轴、两组团”功能结构。“一心”指以镇政府为核心的镇区综合服务中心，“一轴”指依托纵贯镇区的国道G</w:t>
      </w:r>
      <w:r>
        <w:rPr>
          <w:rFonts w:ascii="宋体" w:hAnsi="宋体" w:cs="宋体"/>
          <w:sz w:val="24"/>
          <w:szCs w:val="24"/>
        </w:rPr>
        <w:t>247</w:t>
      </w:r>
      <w:r>
        <w:rPr>
          <w:rFonts w:hint="eastAsia" w:ascii="宋体" w:hAnsi="宋体" w:cs="宋体"/>
          <w:sz w:val="24"/>
          <w:szCs w:val="24"/>
        </w:rPr>
        <w:t>形成的城镇发展轴，“两组团”指南部居住组团和北部工业组团。</w:t>
      </w:r>
    </w:p>
    <w:p>
      <w:pPr>
        <w:pStyle w:val="5"/>
        <w:numPr>
          <w:ilvl w:val="0"/>
          <w:numId w:val="66"/>
        </w:numPr>
        <w:spacing w:line="360" w:lineRule="auto"/>
        <w:ind w:left="0" w:firstLine="482" w:firstLineChars="200"/>
        <w:rPr>
          <w:b/>
          <w:bCs/>
        </w:rPr>
      </w:pPr>
      <w:r>
        <w:rPr>
          <w:rFonts w:hint="eastAsia"/>
          <w:b/>
          <w:bCs/>
        </w:rPr>
        <w:t>用地布局</w:t>
      </w:r>
    </w:p>
    <w:p>
      <w:pPr>
        <w:ind w:firstLine="480" w:firstLineChars="200"/>
      </w:pPr>
      <w:r>
        <w:rPr>
          <w:rFonts w:hint="eastAsia" w:ascii="宋体" w:hAnsi="宋体" w:cs="宋体"/>
          <w:bCs/>
          <w:sz w:val="24"/>
          <w:szCs w:val="24"/>
        </w:rPr>
        <w:t>规划镇区建设用地面积171.0</w:t>
      </w:r>
      <w:r>
        <w:rPr>
          <w:rFonts w:ascii="宋体" w:hAnsi="宋体" w:cs="宋体"/>
          <w:bCs/>
          <w:sz w:val="24"/>
          <w:szCs w:val="24"/>
        </w:rPr>
        <w:t>2</w:t>
      </w:r>
      <w:r>
        <w:rPr>
          <w:rFonts w:hint="eastAsia" w:ascii="宋体" w:hAnsi="宋体" w:cs="宋体"/>
          <w:bCs/>
          <w:sz w:val="24"/>
          <w:szCs w:val="24"/>
        </w:rPr>
        <w:t>公顷，</w:t>
      </w:r>
      <w:r>
        <w:rPr>
          <w:rFonts w:hint="eastAsia" w:ascii="宋体" w:hAnsi="宋体" w:cs="宋体"/>
          <w:b/>
          <w:sz w:val="24"/>
          <w:szCs w:val="24"/>
          <w:u w:val="single"/>
        </w:rPr>
        <w:t>其中城镇建设用地137.58公顷，</w:t>
      </w:r>
      <w:r>
        <w:rPr>
          <w:rFonts w:hint="eastAsia" w:ascii="宋体" w:hAnsi="宋体" w:cs="宋体"/>
          <w:sz w:val="24"/>
          <w:szCs w:val="24"/>
        </w:rPr>
        <w:t>详见附表</w:t>
      </w:r>
      <w:r>
        <w:rPr>
          <w:rFonts w:ascii="宋体" w:hAnsi="宋体" w:cs="宋体"/>
          <w:sz w:val="24"/>
          <w:szCs w:val="24"/>
        </w:rPr>
        <w:t>12</w:t>
      </w:r>
      <w:r>
        <w:rPr>
          <w:rFonts w:hint="eastAsia" w:ascii="宋体" w:hAnsi="宋体" w:cs="宋体"/>
          <w:sz w:val="24"/>
          <w:szCs w:val="24"/>
        </w:rPr>
        <w:t>。</w:t>
      </w:r>
    </w:p>
    <w:p>
      <w:pPr>
        <w:pStyle w:val="81"/>
        <w:numPr>
          <w:ilvl w:val="0"/>
          <w:numId w:val="6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居住用地</w:t>
      </w:r>
      <w:bookmarkStart w:id="533" w:name="_Toc89413012"/>
      <w:bookmarkStart w:id="534" w:name="_Toc91794562"/>
    </w:p>
    <w:bookmarkEnd w:id="533"/>
    <w:bookmarkEnd w:id="534"/>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优化居住用地空间布局，有序引导农村人口往城镇聚居。调整南部的民建饲料工业用地、原回马中学教育用地、北部的交通场站用地和沿涪江的部分工矿用地为居住用地，在临园大道西侧和东侧增加部分居住用地，满足未来镇区人口集聚所带来的居住用地需求。规划居住用地69.67公顷，其中城镇建设用地59.76公顷，乡村建设用地9.91公顷。</w:t>
      </w:r>
    </w:p>
    <w:p>
      <w:pPr>
        <w:pStyle w:val="81"/>
        <w:numPr>
          <w:ilvl w:val="0"/>
          <w:numId w:val="6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公共管理与公共服务用地</w:t>
      </w:r>
      <w:bookmarkStart w:id="535" w:name="_Toc150613739"/>
      <w:bookmarkStart w:id="536" w:name="_Toc174718171"/>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保留回马镇人民政府、派出所等机关团体用地；新建文化活动用地，位于镇区中部；保留现状回马幼儿园和回马中学用地，扩建现状回马小学用地；新建医院用地，并将卫生院与之合并；保留现状敬老院（位于规划范围外北侧新高速下道口处）。规划公共管理与公共服务设施用地9.44公顷，其中城镇建设用地4.31公顷，乡村建设用地5.13公顷。</w:t>
      </w:r>
    </w:p>
    <w:p>
      <w:pPr>
        <w:pStyle w:val="81"/>
        <w:numPr>
          <w:ilvl w:val="0"/>
          <w:numId w:val="6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商业服务业用地</w:t>
      </w:r>
      <w:bookmarkEnd w:id="535"/>
      <w:bookmarkEnd w:id="536"/>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保留现状农贸市场和专业批发市场；通过土地治理修复，在污染达标后将蓥峰化工回马厂区地块规划为商业用地，发展文化创意产业；通过对临园大道两侧沿街商业的业态更新和风貌改造，建设回马特色商业街。规划商业服务业用地12.13公顷，均为城镇建设用地。</w:t>
      </w:r>
    </w:p>
    <w:p>
      <w:pPr>
        <w:pStyle w:val="81"/>
        <w:numPr>
          <w:ilvl w:val="0"/>
          <w:numId w:val="6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工业用地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通过招商引资，盘活镇区北部工业园区，重点发展农副产品加工和新型材料工业；有序腾退镇区三类工业用地，将现有零星分散的工业企业逐步引导进入镇区北部的工业园区内。规划工业用地29.94公顷，其中城镇建设用地29.90公顷，乡村建设用地0.04公顷</w:t>
      </w:r>
      <w:r>
        <w:rPr>
          <w:rFonts w:ascii="宋体" w:hAnsi="宋体" w:cs="宋体"/>
          <w:sz w:val="24"/>
          <w:szCs w:val="24"/>
        </w:rPr>
        <w:t>。</w:t>
      </w:r>
    </w:p>
    <w:p>
      <w:pPr>
        <w:pStyle w:val="81"/>
        <w:numPr>
          <w:ilvl w:val="0"/>
          <w:numId w:val="6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交通运输用地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优化调整过境道路，规划东迁国道G247城镇段，从城镇东部、涪江沿岸通过，解决过境交通问题；完善镇区内部道路系统，新建城镇主次干道，扩建部分现状道路，改善交通的通畅性；规划布局一处对外交通场站用地和四处社会停车场用地，均位于临园大道沿线。规划交通运输用地31.50公顷，其中城镇建设用地19.07公顷，乡村建设用地12.43公顷。</w:t>
      </w:r>
    </w:p>
    <w:p>
      <w:pPr>
        <w:pStyle w:val="81"/>
        <w:numPr>
          <w:ilvl w:val="0"/>
          <w:numId w:val="6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公用设施用地</w:t>
      </w:r>
      <w:bookmarkStart w:id="537" w:name="_Toc359854427"/>
      <w:bookmarkStart w:id="538" w:name="_Toc359855932"/>
    </w:p>
    <w:bookmarkEnd w:id="537"/>
    <w:bookmarkEnd w:id="538"/>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保留现状邮政支局、供水站、变电站、燃气站等公用设施用地；于工业园区南侧新建工业污水处理厂，作为未来工业园污水处理设施；扩建镇区东部的现状生活污水处理站；规划新增一处消防站，位于镇区中部、国道G</w:t>
      </w:r>
      <w:r>
        <w:rPr>
          <w:rFonts w:ascii="宋体" w:hAnsi="宋体" w:cs="宋体"/>
          <w:sz w:val="24"/>
          <w:szCs w:val="24"/>
        </w:rPr>
        <w:t>247</w:t>
      </w:r>
      <w:r>
        <w:rPr>
          <w:rFonts w:hint="eastAsia" w:ascii="宋体" w:hAnsi="宋体" w:cs="宋体"/>
          <w:sz w:val="24"/>
          <w:szCs w:val="24"/>
        </w:rPr>
        <w:t>改线西侧；于镇区北部、涪江东岸新建一处防洪堤。规划公用设施用地8.72公顷，其中城镇建设用地2.98公顷，乡村建设用地5.74公顷。</w:t>
      </w:r>
    </w:p>
    <w:p>
      <w:pPr>
        <w:pStyle w:val="81"/>
        <w:numPr>
          <w:ilvl w:val="0"/>
          <w:numId w:val="6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绿地与开敞空间用地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规划三处广场用地，分别位于月亮街北侧和临园大道东侧。规划绿地与开敞空间用地1.51公顷，均为城镇建设用地。</w:t>
      </w:r>
    </w:p>
    <w:p>
      <w:pPr>
        <w:pStyle w:val="81"/>
        <w:numPr>
          <w:ilvl w:val="0"/>
          <w:numId w:val="6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留白用地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结合场镇未来发展需求，规划布局留白用地，用地规模7.92公顷，均为城镇建设用地，优先保障产业发展用地需求。</w:t>
      </w:r>
    </w:p>
    <w:p>
      <w:pPr>
        <w:pStyle w:val="5"/>
        <w:numPr>
          <w:ilvl w:val="0"/>
          <w:numId w:val="66"/>
        </w:numPr>
        <w:spacing w:line="360" w:lineRule="auto"/>
        <w:ind w:left="0" w:firstLine="482" w:firstLineChars="200"/>
        <w:rPr>
          <w:b/>
          <w:bCs/>
        </w:rPr>
      </w:pPr>
      <w:r>
        <w:rPr>
          <w:rFonts w:hint="eastAsia"/>
          <w:b/>
          <w:bCs/>
        </w:rPr>
        <w:t>公共服务设施规划</w:t>
      </w:r>
    </w:p>
    <w:p>
      <w:pPr>
        <w:pStyle w:val="81"/>
        <w:numPr>
          <w:ilvl w:val="0"/>
          <w:numId w:val="6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机关团体</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保留现状镇政府、交警大队、人民法院等机关团体设施，地块编码为HM-03-33。</w:t>
      </w:r>
      <w:r>
        <w:rPr>
          <w:rFonts w:hint="eastAsia" w:ascii="宋体" w:hAnsi="宋体" w:cs="宋体"/>
          <w:sz w:val="24"/>
          <w:szCs w:val="24"/>
        </w:rPr>
        <w:t>规划机关团体用地1.61</w:t>
      </w:r>
      <w:r>
        <w:rPr>
          <w:rFonts w:ascii="宋体" w:hAnsi="宋体" w:cs="宋体"/>
          <w:sz w:val="24"/>
          <w:szCs w:val="24"/>
        </w:rPr>
        <w:t>公顷。</w:t>
      </w:r>
    </w:p>
    <w:p>
      <w:pPr>
        <w:pStyle w:val="81"/>
        <w:numPr>
          <w:ilvl w:val="0"/>
          <w:numId w:val="6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文化设施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新建文化活动站，</w:t>
      </w:r>
      <w:r>
        <w:rPr>
          <w:rFonts w:hint="eastAsia" w:ascii="宋体" w:hAnsi="宋体" w:cs="宋体"/>
          <w:sz w:val="24"/>
          <w:szCs w:val="24"/>
        </w:rPr>
        <w:t>位于镇区中部，</w:t>
      </w:r>
      <w:r>
        <w:rPr>
          <w:rFonts w:hint="eastAsia" w:ascii="宋体" w:hAnsi="宋体" w:cs="宋体"/>
          <w:b/>
          <w:bCs/>
          <w:sz w:val="24"/>
          <w:szCs w:val="24"/>
          <w:u w:val="single"/>
        </w:rPr>
        <w:t>地块编码为HM-02-16。</w:t>
      </w:r>
      <w:r>
        <w:rPr>
          <w:rFonts w:hint="eastAsia" w:ascii="宋体" w:hAnsi="宋体" w:cs="宋体"/>
          <w:sz w:val="24"/>
          <w:szCs w:val="24"/>
        </w:rPr>
        <w:t>规划文化活动用地0.60</w:t>
      </w:r>
      <w:r>
        <w:rPr>
          <w:rFonts w:ascii="宋体" w:hAnsi="宋体" w:cs="宋体"/>
          <w:sz w:val="24"/>
          <w:szCs w:val="24"/>
        </w:rPr>
        <w:t>公顷。</w:t>
      </w:r>
    </w:p>
    <w:p>
      <w:pPr>
        <w:pStyle w:val="81"/>
        <w:numPr>
          <w:ilvl w:val="0"/>
          <w:numId w:val="6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教育设施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保留现状回马中学、回马幼儿园，地块编码分别为HM-02-45、HM-02-39；扩建回马小学，地块编码为HM-02-37。</w:t>
      </w:r>
      <w:r>
        <w:rPr>
          <w:rFonts w:hint="eastAsia" w:ascii="宋体" w:hAnsi="宋体" w:cs="宋体"/>
          <w:sz w:val="24"/>
          <w:szCs w:val="24"/>
        </w:rPr>
        <w:t>规划教育用地</w:t>
      </w:r>
      <w:r>
        <w:rPr>
          <w:rFonts w:ascii="宋体" w:hAnsi="宋体" w:cs="宋体"/>
          <w:sz w:val="24"/>
          <w:szCs w:val="24"/>
        </w:rPr>
        <w:t xml:space="preserve"> </w:t>
      </w:r>
      <w:r>
        <w:rPr>
          <w:rFonts w:hint="eastAsia" w:ascii="宋体" w:hAnsi="宋体" w:cs="宋体"/>
          <w:sz w:val="24"/>
          <w:szCs w:val="24"/>
        </w:rPr>
        <w:t>3.80</w:t>
      </w:r>
      <w:r>
        <w:rPr>
          <w:rFonts w:ascii="宋体" w:hAnsi="宋体" w:cs="宋体"/>
          <w:sz w:val="24"/>
          <w:szCs w:val="24"/>
        </w:rPr>
        <w:t>公顷。</w:t>
      </w:r>
    </w:p>
    <w:p>
      <w:pPr>
        <w:pStyle w:val="81"/>
        <w:numPr>
          <w:ilvl w:val="0"/>
          <w:numId w:val="6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体育设施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新建三处健身活动广场，</w:t>
      </w:r>
      <w:r>
        <w:rPr>
          <w:rFonts w:hint="eastAsia" w:ascii="宋体" w:hAnsi="宋体" w:cs="宋体"/>
          <w:sz w:val="24"/>
          <w:szCs w:val="24"/>
        </w:rPr>
        <w:t>并配建居民健身设施，分别位于月亮街北侧和临园大道东侧，</w:t>
      </w:r>
      <w:r>
        <w:rPr>
          <w:rFonts w:hint="eastAsia" w:ascii="宋体" w:hAnsi="宋体" w:cs="宋体"/>
          <w:b/>
          <w:bCs/>
          <w:sz w:val="24"/>
          <w:szCs w:val="24"/>
          <w:u w:val="single"/>
        </w:rPr>
        <w:t>地块编码分别为HM-02-17、HM-02-41、HM-03-22</w:t>
      </w:r>
      <w:r>
        <w:rPr>
          <w:rFonts w:hint="eastAsia" w:ascii="宋体" w:hAnsi="宋体" w:cs="宋体"/>
          <w:sz w:val="24"/>
          <w:szCs w:val="24"/>
        </w:rPr>
        <w:t>，用地规模1.51</w:t>
      </w:r>
      <w:r>
        <w:rPr>
          <w:rFonts w:ascii="宋体" w:hAnsi="宋体" w:cs="宋体"/>
          <w:sz w:val="24"/>
          <w:szCs w:val="24"/>
        </w:rPr>
        <w:t>公顷。</w:t>
      </w:r>
      <w:r>
        <w:rPr>
          <w:rFonts w:hint="eastAsia" w:ascii="宋体" w:hAnsi="宋体" w:cs="宋体"/>
          <w:sz w:val="24"/>
          <w:szCs w:val="24"/>
        </w:rPr>
        <w:t>鼓励中小学操场对外开放，为居民提供健身场所。</w:t>
      </w:r>
    </w:p>
    <w:p>
      <w:pPr>
        <w:pStyle w:val="81"/>
        <w:numPr>
          <w:ilvl w:val="0"/>
          <w:numId w:val="6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医疗卫生设施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规划新建大英县第二人民医院住院综合楼，</w:t>
      </w:r>
      <w:r>
        <w:rPr>
          <w:rFonts w:hint="eastAsia" w:ascii="宋体" w:hAnsi="宋体" w:cs="宋体"/>
          <w:sz w:val="24"/>
          <w:szCs w:val="24"/>
        </w:rPr>
        <w:t>与镇卫生院功能合并，同时取消被规划道路占用的原镇卫生院用地，</w:t>
      </w:r>
      <w:r>
        <w:rPr>
          <w:rFonts w:hint="eastAsia" w:ascii="宋体" w:hAnsi="宋体" w:cs="宋体"/>
          <w:b/>
          <w:bCs/>
          <w:sz w:val="24"/>
          <w:szCs w:val="24"/>
          <w:u w:val="single"/>
        </w:rPr>
        <w:t>地块编码为HM-02-35。</w:t>
      </w:r>
      <w:r>
        <w:rPr>
          <w:rFonts w:hint="eastAsia" w:ascii="宋体" w:hAnsi="宋体" w:cs="宋体"/>
          <w:sz w:val="24"/>
          <w:szCs w:val="24"/>
        </w:rPr>
        <w:t>规划医疗卫生用地</w:t>
      </w:r>
      <w:r>
        <w:rPr>
          <w:rFonts w:ascii="宋体" w:hAnsi="宋体" w:cs="宋体"/>
          <w:sz w:val="24"/>
          <w:szCs w:val="24"/>
        </w:rPr>
        <w:t>3.</w:t>
      </w:r>
      <w:r>
        <w:rPr>
          <w:rFonts w:hint="eastAsia" w:ascii="宋体" w:hAnsi="宋体" w:cs="宋体"/>
          <w:sz w:val="24"/>
          <w:szCs w:val="24"/>
        </w:rPr>
        <w:t>43</w:t>
      </w:r>
      <w:r>
        <w:rPr>
          <w:rFonts w:ascii="宋体" w:hAnsi="宋体" w:cs="宋体"/>
          <w:sz w:val="24"/>
          <w:szCs w:val="24"/>
        </w:rPr>
        <w:t>公顷。</w:t>
      </w:r>
    </w:p>
    <w:p>
      <w:pPr>
        <w:pStyle w:val="81"/>
        <w:numPr>
          <w:ilvl w:val="0"/>
          <w:numId w:val="6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社会福利设施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保留现状敬老院，</w:t>
      </w:r>
      <w:r>
        <w:rPr>
          <w:rFonts w:hint="eastAsia" w:ascii="宋体" w:hAnsi="宋体" w:cs="宋体"/>
          <w:sz w:val="24"/>
          <w:szCs w:val="24"/>
        </w:rPr>
        <w:t>位于镇区北侧规划范围外新高速下道口处。规划社会福利用地0.49</w:t>
      </w:r>
      <w:r>
        <w:rPr>
          <w:rFonts w:ascii="宋体" w:hAnsi="宋体" w:cs="宋体"/>
          <w:sz w:val="24"/>
          <w:szCs w:val="24"/>
        </w:rPr>
        <w:t>公顷。</w:t>
      </w:r>
    </w:p>
    <w:p>
      <w:pPr>
        <w:pStyle w:val="5"/>
        <w:numPr>
          <w:ilvl w:val="0"/>
          <w:numId w:val="66"/>
        </w:numPr>
        <w:spacing w:line="360" w:lineRule="auto"/>
        <w:ind w:left="0" w:firstLine="482" w:firstLineChars="200"/>
        <w:rPr>
          <w:b/>
          <w:bCs/>
        </w:rPr>
      </w:pPr>
      <w:r>
        <w:rPr>
          <w:rFonts w:hint="eastAsia"/>
          <w:b/>
          <w:bCs/>
        </w:rPr>
        <w:t>交通设施规划</w:t>
      </w:r>
    </w:p>
    <w:p>
      <w:pPr>
        <w:pStyle w:val="81"/>
        <w:numPr>
          <w:ilvl w:val="0"/>
          <w:numId w:val="7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镇区路网</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规划回马镇区的道路等级分为过境道路、镇区主干路、镇区次干路和镇区支路四级，形成“三横三纵”的干路网结构。过境公路包括国道G247改线和县道X</w:t>
      </w:r>
      <w:r>
        <w:rPr>
          <w:rFonts w:ascii="宋体" w:hAnsi="宋体" w:cs="宋体"/>
          <w:sz w:val="24"/>
          <w:szCs w:val="24"/>
        </w:rPr>
        <w:t>014</w:t>
      </w:r>
      <w:r>
        <w:rPr>
          <w:rFonts w:hint="eastAsia" w:ascii="宋体" w:hAnsi="宋体" w:cs="宋体"/>
          <w:sz w:val="24"/>
          <w:szCs w:val="24"/>
        </w:rPr>
        <w:t>，其中国道G247改线红线宽度20米，县道X014为现状道路；主干路包括临园大道、纵二路和工业园区现状滨江路，红线宽度12米～</w:t>
      </w:r>
      <w:r>
        <w:rPr>
          <w:rFonts w:ascii="宋体" w:hAnsi="宋体" w:cs="宋体"/>
          <w:sz w:val="24"/>
          <w:szCs w:val="24"/>
        </w:rPr>
        <w:t>36</w:t>
      </w:r>
      <w:r>
        <w:rPr>
          <w:rFonts w:hint="eastAsia" w:ascii="宋体" w:hAnsi="宋体" w:cs="宋体"/>
          <w:sz w:val="24"/>
          <w:szCs w:val="24"/>
        </w:rPr>
        <w:t>米；次干路包括陶都街、横二路和工业路，红线宽度7米～20米；其余道路为支路，红线宽度5米～12米。</w:t>
      </w:r>
    </w:p>
    <w:p>
      <w:pPr>
        <w:pStyle w:val="81"/>
        <w:numPr>
          <w:ilvl w:val="0"/>
          <w:numId w:val="7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交通场站用地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新建建筑配建停车场标准参考《遂宁市城市规划管理技术规定》（修订）和《大英县城市规划管理技术规定》（试行）。规划新建汽车客运站，位于临园大道东侧，地块编码为HM-02-06，用地面积0.75公顷。规划四处社会停车场，用地面积1.22公顷，其中两处为现状更新，分别为原粮站和原客运站用地，地块编码分别为HM-03-18、HM-02-13；新建两处，分别位于南部城镇入口处和中部新建汽车客运站处，地块编码分别为HM-02-42、HM-02-07。规划交通站场用地1.97公顷。</w:t>
      </w:r>
    </w:p>
    <w:p>
      <w:pPr>
        <w:pStyle w:val="81"/>
        <w:numPr>
          <w:ilvl w:val="0"/>
          <w:numId w:val="7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道路交通技术指标控制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根据《城乡建设用地竖向规划规范》（CJJ83—2016）规定，综合考虑地形、防洪防涝、排水和工程管线的布线等要求，新建道路规划最大纵坡为5</w:t>
      </w:r>
      <w:r>
        <w:rPr>
          <w:rFonts w:ascii="宋体" w:hAnsi="宋体" w:cs="宋体"/>
          <w:sz w:val="24"/>
          <w:szCs w:val="24"/>
        </w:rPr>
        <w:t>.2</w:t>
      </w:r>
      <w:r>
        <w:rPr>
          <w:rFonts w:hint="eastAsia" w:ascii="宋体" w:hAnsi="宋体" w:cs="宋体"/>
          <w:sz w:val="24"/>
          <w:szCs w:val="24"/>
        </w:rPr>
        <w:t>％，最小纵坡为0.4％。镇区道路交叉口均为平交。禁止开口路段长度按照主干道自交叉口路缘石半径切点起向后</w:t>
      </w:r>
      <w:r>
        <w:rPr>
          <w:rFonts w:ascii="宋体" w:hAnsi="宋体" w:cs="宋体"/>
          <w:sz w:val="24"/>
          <w:szCs w:val="24"/>
        </w:rPr>
        <w:t>3</w:t>
      </w:r>
      <w:r>
        <w:rPr>
          <w:rFonts w:hint="eastAsia" w:ascii="宋体" w:hAnsi="宋体" w:cs="宋体"/>
          <w:sz w:val="24"/>
          <w:szCs w:val="24"/>
        </w:rPr>
        <w:t>0米、次干道</w:t>
      </w:r>
      <w:r>
        <w:rPr>
          <w:rFonts w:ascii="宋体" w:hAnsi="宋体" w:cs="宋体"/>
          <w:sz w:val="24"/>
          <w:szCs w:val="24"/>
        </w:rPr>
        <w:t>2</w:t>
      </w:r>
      <w:r>
        <w:rPr>
          <w:rFonts w:hint="eastAsia" w:ascii="宋体" w:hAnsi="宋体" w:cs="宋体"/>
          <w:sz w:val="24"/>
          <w:szCs w:val="24"/>
        </w:rPr>
        <w:t>0米、支路</w:t>
      </w:r>
      <w:r>
        <w:rPr>
          <w:rFonts w:ascii="宋体" w:hAnsi="宋体" w:cs="宋体"/>
          <w:sz w:val="24"/>
          <w:szCs w:val="24"/>
        </w:rPr>
        <w:t>1</w:t>
      </w:r>
      <w:r>
        <w:rPr>
          <w:rFonts w:hint="eastAsia" w:ascii="宋体" w:hAnsi="宋体" w:cs="宋体"/>
          <w:sz w:val="24"/>
          <w:szCs w:val="24"/>
        </w:rPr>
        <w:t>0米进行控制。</w:t>
      </w:r>
    </w:p>
    <w:p>
      <w:pPr>
        <w:pStyle w:val="5"/>
        <w:numPr>
          <w:ilvl w:val="0"/>
          <w:numId w:val="66"/>
        </w:numPr>
        <w:spacing w:line="360" w:lineRule="auto"/>
        <w:ind w:left="0" w:firstLine="482" w:firstLineChars="200"/>
        <w:rPr>
          <w:b/>
          <w:bCs/>
        </w:rPr>
      </w:pPr>
      <w:r>
        <w:rPr>
          <w:rFonts w:hint="eastAsia"/>
          <w:b/>
          <w:bCs/>
        </w:rPr>
        <w:t>市政设施规划</w:t>
      </w:r>
    </w:p>
    <w:p>
      <w:pPr>
        <w:pStyle w:val="81"/>
        <w:numPr>
          <w:ilvl w:val="0"/>
          <w:numId w:val="7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给水工程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规划期末回马城镇常住人口为1</w:t>
      </w:r>
      <w:r>
        <w:rPr>
          <w:rFonts w:ascii="宋体" w:hAnsi="宋体" w:cs="宋体"/>
          <w:sz w:val="24"/>
          <w:szCs w:val="24"/>
        </w:rPr>
        <w:t>.0</w:t>
      </w:r>
      <w:r>
        <w:rPr>
          <w:rFonts w:hint="eastAsia" w:ascii="宋体" w:hAnsi="宋体" w:cs="宋体"/>
          <w:sz w:val="24"/>
          <w:szCs w:val="24"/>
        </w:rPr>
        <w:t>万人，依据《镇(乡)村给水工程规划规范》（CJJ</w:t>
      </w:r>
      <w:r>
        <w:rPr>
          <w:rFonts w:ascii="宋体" w:hAnsi="宋体" w:cs="宋体"/>
          <w:sz w:val="24"/>
          <w:szCs w:val="24"/>
        </w:rPr>
        <w:t>/</w:t>
      </w:r>
      <w:r>
        <w:rPr>
          <w:rFonts w:hint="eastAsia" w:ascii="宋体" w:hAnsi="宋体" w:cs="宋体"/>
          <w:sz w:val="24"/>
          <w:szCs w:val="24"/>
        </w:rPr>
        <w:t>T</w:t>
      </w:r>
      <w:r>
        <w:rPr>
          <w:rFonts w:ascii="宋体" w:hAnsi="宋体" w:cs="宋体"/>
          <w:sz w:val="24"/>
          <w:szCs w:val="24"/>
        </w:rPr>
        <w:t xml:space="preserve"> </w:t>
      </w:r>
      <w:r>
        <w:rPr>
          <w:rFonts w:hint="eastAsia" w:ascii="宋体" w:hAnsi="宋体" w:cs="宋体"/>
          <w:sz w:val="24"/>
          <w:szCs w:val="24"/>
        </w:rPr>
        <w:t>246—2016），综合考虑生活用水、公共建筑用水、管网漏损水量以及未预见用水，镇区人均生活用水量按0.22 m³/d计算，工业生产用水量按200m³/公顷计算，预测镇区远期最高日用水量为</w:t>
      </w:r>
      <w:r>
        <w:rPr>
          <w:rFonts w:ascii="宋体" w:hAnsi="宋体" w:cs="宋体"/>
          <w:sz w:val="24"/>
          <w:szCs w:val="24"/>
        </w:rPr>
        <w:t>8</w:t>
      </w:r>
      <w:r>
        <w:rPr>
          <w:rFonts w:hint="eastAsia" w:ascii="宋体" w:hAnsi="宋体" w:cs="宋体"/>
          <w:sz w:val="24"/>
          <w:szCs w:val="24"/>
        </w:rPr>
        <w:t>188m³/d。</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规划近期保留现状永和供水站，</w:t>
      </w:r>
      <w:r>
        <w:rPr>
          <w:rFonts w:hint="eastAsia" w:ascii="宋体" w:hAnsi="宋体" w:cs="宋体"/>
          <w:sz w:val="24"/>
          <w:szCs w:val="24"/>
        </w:rPr>
        <w:t>位于规划范围外镇区北侧，</w:t>
      </w:r>
      <w:r>
        <w:rPr>
          <w:rFonts w:hint="eastAsia" w:ascii="宋体" w:hAnsi="宋体" w:cs="宋体"/>
          <w:b/>
          <w:bCs/>
          <w:sz w:val="24"/>
          <w:szCs w:val="24"/>
          <w:u w:val="single"/>
        </w:rPr>
        <w:t>远期由长江坝村回马水厂供水</w:t>
      </w:r>
      <w:r>
        <w:rPr>
          <w:rFonts w:hint="eastAsia" w:ascii="宋体" w:hAnsi="宋体" w:cs="宋体"/>
          <w:sz w:val="24"/>
          <w:szCs w:val="24"/>
        </w:rPr>
        <w:t>，供水规模</w:t>
      </w:r>
      <w:r>
        <w:rPr>
          <w:rFonts w:ascii="宋体" w:hAnsi="宋体" w:cs="宋体"/>
          <w:sz w:val="24"/>
          <w:szCs w:val="24"/>
        </w:rPr>
        <w:t>2万m³/d</w:t>
      </w:r>
      <w:r>
        <w:rPr>
          <w:rFonts w:hint="eastAsia" w:ascii="宋体" w:hAnsi="宋体" w:cs="宋体"/>
          <w:sz w:val="24"/>
          <w:szCs w:val="24"/>
        </w:rPr>
        <w:t>，水源为涪江。</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规划形成“环状</w:t>
      </w:r>
      <w:r>
        <w:rPr>
          <w:rFonts w:ascii="宋体" w:hAnsi="宋体" w:cs="宋体"/>
          <w:sz w:val="24"/>
          <w:szCs w:val="24"/>
        </w:rPr>
        <w:t>+放射状”的</w:t>
      </w:r>
      <w:r>
        <w:rPr>
          <w:rFonts w:hint="eastAsia" w:ascii="宋体" w:hAnsi="宋体" w:cs="宋体"/>
          <w:sz w:val="24"/>
          <w:szCs w:val="24"/>
        </w:rPr>
        <w:t>给水</w:t>
      </w:r>
      <w:r>
        <w:rPr>
          <w:rFonts w:ascii="宋体" w:hAnsi="宋体" w:cs="宋体"/>
          <w:sz w:val="24"/>
          <w:szCs w:val="24"/>
        </w:rPr>
        <w:t>管网布局，</w:t>
      </w:r>
      <w:r>
        <w:rPr>
          <w:rFonts w:hint="eastAsia" w:ascii="宋体" w:hAnsi="宋体" w:cs="宋体"/>
          <w:sz w:val="24"/>
          <w:szCs w:val="24"/>
        </w:rPr>
        <w:t>沿城镇道路敷设，主干给水管网互联互通，并向周边农村聚居点延伸，规划管径</w:t>
      </w:r>
      <w:r>
        <w:rPr>
          <w:rFonts w:ascii="宋体" w:hAnsi="宋体" w:cs="宋体"/>
          <w:sz w:val="24"/>
          <w:szCs w:val="24"/>
        </w:rPr>
        <w:t>DN</w:t>
      </w:r>
      <w:r>
        <w:rPr>
          <w:rFonts w:hint="eastAsia" w:ascii="宋体" w:hAnsi="宋体" w:cs="宋体"/>
          <w:sz w:val="24"/>
          <w:szCs w:val="24"/>
        </w:rPr>
        <w:t>200～DN300。镇区消防供水与生活供水共用管网与水源。</w:t>
      </w:r>
    </w:p>
    <w:p>
      <w:pPr>
        <w:pStyle w:val="81"/>
        <w:numPr>
          <w:ilvl w:val="0"/>
          <w:numId w:val="7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排水工程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规划镇区采用雨污分流的排水体制，污水排放量按照综合用水的</w:t>
      </w:r>
      <w:r>
        <w:rPr>
          <w:rFonts w:ascii="宋体" w:hAnsi="宋体" w:cs="宋体"/>
          <w:sz w:val="24"/>
          <w:szCs w:val="24"/>
        </w:rPr>
        <w:t>85%</w:t>
      </w:r>
      <w:r>
        <w:rPr>
          <w:rFonts w:hint="eastAsia" w:ascii="宋体" w:hAnsi="宋体" w:cs="宋体"/>
          <w:sz w:val="24"/>
          <w:szCs w:val="24"/>
        </w:rPr>
        <w:t>计算</w:t>
      </w:r>
      <w:r>
        <w:rPr>
          <w:rFonts w:ascii="宋体" w:hAnsi="宋体" w:cs="宋体"/>
          <w:sz w:val="24"/>
          <w:szCs w:val="24"/>
        </w:rPr>
        <w:t>,</w:t>
      </w:r>
      <w:r>
        <w:rPr>
          <w:rFonts w:hint="eastAsia" w:ascii="宋体" w:hAnsi="宋体" w:cs="宋体"/>
          <w:sz w:val="24"/>
          <w:szCs w:val="24"/>
        </w:rPr>
        <w:t>预测需处理的污水总量为7687m³/d，其中镇区生活污水总量为1</w:t>
      </w:r>
      <w:r>
        <w:rPr>
          <w:rFonts w:ascii="宋体" w:hAnsi="宋体" w:cs="宋体"/>
          <w:sz w:val="24"/>
          <w:szCs w:val="24"/>
        </w:rPr>
        <w:t>870</w:t>
      </w:r>
      <w:r>
        <w:rPr>
          <w:rFonts w:hint="eastAsia" w:ascii="宋体" w:hAnsi="宋体" w:cs="宋体"/>
          <w:sz w:val="24"/>
          <w:szCs w:val="24"/>
        </w:rPr>
        <w:t>m³/d，纳入镇区处理的周边农村居民点生活污水总量为727m³/d，工业园区生产污水总量为5090m³/d。</w:t>
      </w:r>
      <w:r>
        <w:rPr>
          <w:rFonts w:hint="eastAsia" w:ascii="宋体" w:hAnsi="宋体" w:cs="宋体"/>
          <w:b/>
          <w:bCs/>
          <w:sz w:val="24"/>
          <w:szCs w:val="24"/>
          <w:u w:val="single"/>
        </w:rPr>
        <w:t>扩建现状生活污水处理厂，设计处理规模为</w:t>
      </w:r>
      <w:r>
        <w:rPr>
          <w:rFonts w:ascii="宋体" w:hAnsi="宋体" w:cs="宋体"/>
          <w:b/>
          <w:bCs/>
          <w:sz w:val="24"/>
          <w:szCs w:val="24"/>
          <w:u w:val="single"/>
        </w:rPr>
        <w:t>26</w:t>
      </w:r>
      <w:r>
        <w:rPr>
          <w:rFonts w:hint="eastAsia" w:ascii="宋体" w:hAnsi="宋体" w:cs="宋体"/>
          <w:b/>
          <w:bCs/>
          <w:sz w:val="24"/>
          <w:szCs w:val="24"/>
          <w:u w:val="single"/>
        </w:rPr>
        <w:t>00m³/d，地块编码为HM-02-21，用地规模0.70公顷；新建工业污水处理厂，设计处理规模为5700m³/d，地块编码为HM-02-03，用地规</w:t>
      </w:r>
      <w:r>
        <w:rPr>
          <w:rFonts w:ascii="宋体" w:hAnsi="宋体" w:cs="宋体"/>
          <w:b/>
          <w:bCs/>
          <w:sz w:val="24"/>
          <w:szCs w:val="24"/>
          <w:u w:val="single"/>
        </w:rPr>
        <w:t>模</w:t>
      </w:r>
      <w:r>
        <w:rPr>
          <w:rFonts w:hint="eastAsia" w:ascii="宋体" w:hAnsi="宋体" w:cs="宋体"/>
          <w:b/>
          <w:bCs/>
          <w:sz w:val="24"/>
          <w:szCs w:val="24"/>
          <w:u w:val="single"/>
        </w:rPr>
        <w:t>0.82公顷。</w:t>
      </w:r>
      <w:r>
        <w:rPr>
          <w:rFonts w:hint="eastAsia" w:ascii="宋体" w:hAnsi="宋体" w:cs="宋体"/>
          <w:sz w:val="24"/>
          <w:szCs w:val="24"/>
        </w:rPr>
        <w:t>完善镇区污水管网，沿主要道路敷设，并向周边农村居民点延伸，规划管径</w:t>
      </w:r>
      <w:r>
        <w:rPr>
          <w:rFonts w:ascii="宋体" w:hAnsi="宋体" w:cs="宋体"/>
          <w:sz w:val="24"/>
          <w:szCs w:val="24"/>
        </w:rPr>
        <w:t>DN</w:t>
      </w:r>
      <w:r>
        <w:rPr>
          <w:rFonts w:hint="eastAsia" w:ascii="宋体" w:hAnsi="宋体" w:cs="宋体"/>
          <w:sz w:val="24"/>
          <w:szCs w:val="24"/>
        </w:rPr>
        <w:t>4</w:t>
      </w:r>
      <w:r>
        <w:rPr>
          <w:rFonts w:ascii="宋体" w:hAnsi="宋体" w:cs="宋体"/>
          <w:sz w:val="24"/>
          <w:szCs w:val="24"/>
        </w:rPr>
        <w:t>00</w:t>
      </w:r>
      <w:r>
        <w:rPr>
          <w:rFonts w:hint="eastAsia" w:ascii="宋体" w:hAnsi="宋体" w:cs="宋体"/>
          <w:sz w:val="24"/>
          <w:szCs w:val="24"/>
        </w:rPr>
        <w:t>～</w:t>
      </w:r>
      <w:r>
        <w:rPr>
          <w:rFonts w:ascii="宋体" w:hAnsi="宋体" w:cs="宋体"/>
          <w:sz w:val="24"/>
          <w:szCs w:val="24"/>
        </w:rPr>
        <w:t>DN</w:t>
      </w:r>
      <w:r>
        <w:rPr>
          <w:rFonts w:hint="eastAsia" w:ascii="宋体" w:hAnsi="宋体" w:cs="宋体"/>
          <w:sz w:val="24"/>
          <w:szCs w:val="24"/>
        </w:rPr>
        <w:t>6</w:t>
      </w:r>
      <w:r>
        <w:rPr>
          <w:rFonts w:ascii="宋体" w:hAnsi="宋体" w:cs="宋体"/>
          <w:sz w:val="24"/>
          <w:szCs w:val="24"/>
        </w:rPr>
        <w:t>00</w:t>
      </w:r>
      <w:r>
        <w:rPr>
          <w:rFonts w:hint="eastAsia" w:ascii="宋体" w:hAnsi="宋体" w:cs="宋体"/>
          <w:sz w:val="24"/>
          <w:szCs w:val="24"/>
        </w:rPr>
        <w:t>。</w:t>
      </w:r>
      <w:r>
        <w:rPr>
          <w:rFonts w:hint="eastAsia" w:ascii="宋体" w:hAnsi="宋体" w:cs="宋体"/>
          <w:b/>
          <w:bCs/>
          <w:sz w:val="24"/>
          <w:szCs w:val="24"/>
          <w:u w:val="single"/>
        </w:rPr>
        <w:t>排入城镇污水管网的各类污水必须符合《污水排入城镇下水道水质标准》（GB</w:t>
      </w:r>
      <w:r>
        <w:rPr>
          <w:rFonts w:ascii="宋体" w:hAnsi="宋体" w:cs="宋体"/>
          <w:b/>
          <w:bCs/>
          <w:sz w:val="24"/>
          <w:szCs w:val="24"/>
          <w:u w:val="single"/>
        </w:rPr>
        <w:t>/</w:t>
      </w:r>
      <w:r>
        <w:rPr>
          <w:rFonts w:hint="eastAsia" w:ascii="宋体" w:hAnsi="宋体" w:cs="宋体"/>
          <w:b/>
          <w:bCs/>
          <w:sz w:val="24"/>
          <w:szCs w:val="24"/>
          <w:u w:val="single"/>
        </w:rPr>
        <w:t>T</w:t>
      </w:r>
      <w:r>
        <w:rPr>
          <w:rFonts w:ascii="宋体" w:hAnsi="宋体" w:cs="宋体"/>
          <w:b/>
          <w:bCs/>
          <w:sz w:val="24"/>
          <w:szCs w:val="24"/>
          <w:u w:val="single"/>
        </w:rPr>
        <w:t>31962—2015</w:t>
      </w:r>
      <w:r>
        <w:rPr>
          <w:rFonts w:hint="eastAsia" w:ascii="宋体" w:hAnsi="宋体" w:cs="宋体"/>
          <w:b/>
          <w:bCs/>
          <w:sz w:val="24"/>
          <w:szCs w:val="24"/>
          <w:u w:val="single"/>
        </w:rPr>
        <w:t>），污水处理站处理后排放标准不低于《城镇污水处理厂污染物排放标准》中的一级A 标准。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大英县距遂宁市区较近，气象条件与遂宁市差别小，遂宁市的暴雨强度基本上能代表大英县的降雨特征，因此，回马镇的雨水流量计算采用遂宁市暴雨强度公式：</w:t>
      </w:r>
    </w:p>
    <w:p>
      <w:pPr>
        <w:tabs>
          <w:tab w:val="left" w:pos="0"/>
        </w:tabs>
        <w:spacing w:line="360" w:lineRule="auto"/>
        <w:ind w:firstLine="480" w:firstLineChars="200"/>
        <w:jc w:val="center"/>
        <w:rPr>
          <w:rFonts w:ascii="宋体" w:hAnsi="宋体" w:cs="宋体"/>
          <w:sz w:val="24"/>
          <w:szCs w:val="24"/>
        </w:rPr>
      </w:pPr>
      <w:r>
        <w:rPr>
          <w:rFonts w:ascii="宋体" w:hAnsi="宋体" w:cs="宋体"/>
          <w:sz w:val="24"/>
          <w:szCs w:val="24"/>
        </w:rPr>
        <w:drawing>
          <wp:inline distT="0" distB="0" distL="0" distR="0">
            <wp:extent cx="3238500" cy="8108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95830" cy="825583"/>
                    </a:xfrm>
                    <a:prstGeom prst="rect">
                      <a:avLst/>
                    </a:prstGeom>
                    <a:noFill/>
                    <a:ln>
                      <a:noFill/>
                    </a:ln>
                  </pic:spPr>
                </pic:pic>
              </a:graphicData>
            </a:graphic>
          </wp:inline>
        </w:drawing>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镇区根据道路重要程度不同，设计重现期P取1～3 年，径流系数取0.50～0.60，地面集水时间≤10 分钟。</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雨水排放遵循就近排放原则，规划共划分</w:t>
      </w:r>
      <w:r>
        <w:rPr>
          <w:rFonts w:ascii="宋体" w:hAnsi="宋体" w:cs="宋体"/>
          <w:sz w:val="24"/>
          <w:szCs w:val="24"/>
        </w:rPr>
        <w:t>4</w:t>
      </w:r>
      <w:r>
        <w:rPr>
          <w:rFonts w:hint="eastAsia" w:ascii="宋体" w:hAnsi="宋体" w:cs="宋体"/>
          <w:sz w:val="24"/>
          <w:szCs w:val="24"/>
        </w:rPr>
        <w:t>个雨水分区，充分利用回马镇区现有河流和渠系进行排水。规划镇区雨水管道管径</w:t>
      </w:r>
      <w:r>
        <w:rPr>
          <w:rFonts w:ascii="宋体" w:hAnsi="宋体" w:cs="宋体"/>
          <w:sz w:val="24"/>
          <w:szCs w:val="24"/>
        </w:rPr>
        <w:t>DN</w:t>
      </w:r>
      <w:r>
        <w:rPr>
          <w:rFonts w:hint="eastAsia" w:ascii="宋体" w:hAnsi="宋体" w:cs="宋体"/>
          <w:sz w:val="24"/>
          <w:szCs w:val="24"/>
        </w:rPr>
        <w:t>5</w:t>
      </w:r>
      <w:r>
        <w:rPr>
          <w:rFonts w:ascii="宋体" w:hAnsi="宋体" w:cs="宋体"/>
          <w:sz w:val="24"/>
          <w:szCs w:val="24"/>
        </w:rPr>
        <w:t>00</w:t>
      </w:r>
      <w:r>
        <w:rPr>
          <w:rFonts w:hint="eastAsia" w:ascii="宋体" w:hAnsi="宋体" w:cs="宋体"/>
          <w:sz w:val="24"/>
          <w:szCs w:val="24"/>
        </w:rPr>
        <w:t>～</w:t>
      </w:r>
      <w:r>
        <w:rPr>
          <w:rFonts w:ascii="宋体" w:hAnsi="宋体" w:cs="宋体"/>
          <w:sz w:val="24"/>
          <w:szCs w:val="24"/>
        </w:rPr>
        <w:t>DN1000</w:t>
      </w:r>
      <w:r>
        <w:rPr>
          <w:rFonts w:hint="eastAsia" w:ascii="宋体" w:hAnsi="宋体" w:cs="宋体"/>
          <w:sz w:val="24"/>
          <w:szCs w:val="24"/>
        </w:rPr>
        <w:t>，沿城镇道路敷设。雨水管道的管径按均匀满流计算，雨水管道的衔接一般采用管顶平接方式。接纳镇区雨水的河道主要为涪江。</w:t>
      </w:r>
    </w:p>
    <w:p>
      <w:pPr>
        <w:pStyle w:val="81"/>
        <w:numPr>
          <w:ilvl w:val="0"/>
          <w:numId w:val="7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电力工程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依据《城市电力规划规范》（GB/T50293—2014）和大英县电量负荷历史数据分析负荷和电量的变化趋势，再结合片区实际情况确定人均综合用电量为3000千瓦时/（人·年）， 预测到规划期末回马镇区用电总量为0</w:t>
      </w:r>
      <w:r>
        <w:rPr>
          <w:rFonts w:ascii="宋体" w:hAnsi="宋体" w:cs="宋体"/>
          <w:sz w:val="24"/>
          <w:szCs w:val="24"/>
        </w:rPr>
        <w:t>.27</w:t>
      </w:r>
      <w:r>
        <w:rPr>
          <w:rFonts w:hint="eastAsia" w:ascii="宋体" w:hAnsi="宋体" w:cs="宋体"/>
          <w:sz w:val="24"/>
          <w:szCs w:val="24"/>
        </w:rPr>
        <w:t>亿千瓦时/年。最大负荷利用小时数取4</w:t>
      </w:r>
      <w:r>
        <w:rPr>
          <w:rFonts w:ascii="宋体" w:hAnsi="宋体" w:cs="宋体"/>
          <w:sz w:val="24"/>
          <w:szCs w:val="24"/>
        </w:rPr>
        <w:t>500</w:t>
      </w:r>
      <w:r>
        <w:rPr>
          <w:rFonts w:hint="eastAsia" w:ascii="宋体" w:hAnsi="宋体" w:cs="宋体"/>
          <w:sz w:val="24"/>
          <w:szCs w:val="24"/>
        </w:rPr>
        <w:t>小时/年，则最大用电负荷约为</w:t>
      </w:r>
      <w:r>
        <w:rPr>
          <w:rFonts w:ascii="宋体" w:hAnsi="宋体" w:cs="宋体"/>
          <w:sz w:val="24"/>
          <w:szCs w:val="24"/>
        </w:rPr>
        <w:t>0.6</w:t>
      </w:r>
      <w:r>
        <w:rPr>
          <w:rFonts w:hint="eastAsia" w:ascii="宋体" w:hAnsi="宋体" w:cs="宋体"/>
          <w:sz w:val="24"/>
          <w:szCs w:val="24"/>
        </w:rPr>
        <w:t>万千瓦。</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镇区供电以</w:t>
      </w:r>
      <w:r>
        <w:rPr>
          <w:rFonts w:ascii="宋体" w:hAnsi="宋体" w:cs="宋体"/>
          <w:sz w:val="24"/>
          <w:szCs w:val="24"/>
        </w:rPr>
        <w:t>10</w:t>
      </w:r>
      <w:r>
        <w:rPr>
          <w:rFonts w:hint="eastAsia" w:ascii="宋体" w:hAnsi="宋体" w:cs="宋体"/>
          <w:sz w:val="24"/>
          <w:szCs w:val="24"/>
        </w:rPr>
        <w:t>千伏环状中压配电网为主，沿城镇道路敷设，电源来自回马110</w:t>
      </w:r>
      <w:r>
        <w:rPr>
          <w:rFonts w:ascii="宋体" w:hAnsi="宋体" w:cs="宋体"/>
          <w:sz w:val="24"/>
          <w:szCs w:val="24"/>
        </w:rPr>
        <w:t>kV变电站</w:t>
      </w:r>
      <w:r>
        <w:rPr>
          <w:rFonts w:hint="eastAsia" w:ascii="宋体" w:hAnsi="宋体" w:cs="宋体"/>
          <w:sz w:val="24"/>
          <w:szCs w:val="24"/>
        </w:rPr>
        <w:t>和国家电网</w:t>
      </w:r>
      <w:r>
        <w:rPr>
          <w:rFonts w:ascii="宋体" w:hAnsi="宋体" w:cs="宋体"/>
          <w:sz w:val="24"/>
          <w:szCs w:val="24"/>
        </w:rPr>
        <w:t>。规划</w:t>
      </w:r>
      <w:r>
        <w:rPr>
          <w:rFonts w:hint="eastAsia" w:ascii="宋体" w:hAnsi="宋体" w:cs="宋体"/>
          <w:sz w:val="24"/>
          <w:szCs w:val="24"/>
        </w:rPr>
        <w:t>逐步推进</w:t>
      </w:r>
      <w:r>
        <w:rPr>
          <w:rFonts w:ascii="宋体" w:hAnsi="宋体" w:cs="宋体"/>
          <w:sz w:val="24"/>
          <w:szCs w:val="24"/>
        </w:rPr>
        <w:t>10</w:t>
      </w:r>
      <w:r>
        <w:rPr>
          <w:rFonts w:hint="eastAsia" w:ascii="宋体" w:hAnsi="宋体" w:cs="宋体"/>
          <w:sz w:val="24"/>
          <w:szCs w:val="24"/>
        </w:rPr>
        <w:t>千伏及以下电力线路采用埋地敷设，线缆规格为4孔～</w:t>
      </w:r>
      <w:r>
        <w:rPr>
          <w:rFonts w:ascii="宋体" w:hAnsi="宋体" w:cs="宋体"/>
          <w:sz w:val="24"/>
          <w:szCs w:val="24"/>
        </w:rPr>
        <w:t>6</w:t>
      </w:r>
      <w:r>
        <w:rPr>
          <w:rFonts w:hint="eastAsia" w:ascii="宋体" w:hAnsi="宋体" w:cs="宋体"/>
          <w:sz w:val="24"/>
          <w:szCs w:val="24"/>
        </w:rPr>
        <w:t>孔DN150C-PVC管。在负荷密度高、电缆集中的中心地段，宜采用电缆沟，线路较少的地段可采用直埋或穿管埋地敷设。</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保护、控制现状及规划高压线走廊（含防护隔离带），对于保留的现状架空电力线路及杆塔位，以实测坐标控制，规划及调整架空电力线路及杆塔位按规划预留走廊进行控制。</w:t>
      </w:r>
      <w:r>
        <w:rPr>
          <w:rFonts w:hint="eastAsia" w:ascii="宋体" w:hAnsi="宋体" w:cs="宋体"/>
          <w:b/>
          <w:bCs/>
          <w:sz w:val="24"/>
          <w:szCs w:val="24"/>
          <w:u w:val="single"/>
        </w:rPr>
        <w:t>110kV高压架空单回电力线走廊宽度控制为25米，3</w:t>
      </w:r>
      <w:r>
        <w:rPr>
          <w:rFonts w:ascii="宋体" w:hAnsi="宋体" w:cs="宋体"/>
          <w:b/>
          <w:bCs/>
          <w:sz w:val="24"/>
          <w:szCs w:val="24"/>
          <w:u w:val="single"/>
        </w:rPr>
        <w:t>5</w:t>
      </w:r>
      <w:r>
        <w:rPr>
          <w:rFonts w:hint="eastAsia" w:ascii="宋体" w:hAnsi="宋体" w:cs="宋体"/>
          <w:b/>
          <w:bCs/>
          <w:sz w:val="24"/>
          <w:szCs w:val="24"/>
          <w:u w:val="single"/>
        </w:rPr>
        <w:t>kV高压架空单回电力线走廊宽度控制为</w:t>
      </w:r>
      <w:r>
        <w:rPr>
          <w:rFonts w:ascii="宋体" w:hAnsi="宋体" w:cs="宋体"/>
          <w:b/>
          <w:bCs/>
          <w:sz w:val="24"/>
          <w:szCs w:val="24"/>
          <w:u w:val="single"/>
        </w:rPr>
        <w:t>20</w:t>
      </w:r>
      <w:r>
        <w:rPr>
          <w:rFonts w:hint="eastAsia" w:ascii="宋体" w:hAnsi="宋体" w:cs="宋体"/>
          <w:b/>
          <w:bCs/>
          <w:sz w:val="24"/>
          <w:szCs w:val="24"/>
          <w:u w:val="single"/>
        </w:rPr>
        <w:t>米，同时应符合《城市电力规划规范》等相关国家法律法规和标准规范的要求。</w:t>
      </w:r>
      <w:r>
        <w:rPr>
          <w:rFonts w:hint="eastAsia" w:ascii="宋体" w:hAnsi="宋体" w:cs="宋体"/>
          <w:sz w:val="24"/>
          <w:szCs w:val="24"/>
        </w:rPr>
        <w:t>。</w:t>
      </w:r>
      <w:r>
        <w:rPr>
          <w:rFonts w:ascii="宋体" w:hAnsi="宋体" w:cs="宋体"/>
          <w:sz w:val="24"/>
          <w:szCs w:val="24"/>
        </w:rPr>
        <w:t xml:space="preserve"> </w:t>
      </w:r>
    </w:p>
    <w:p>
      <w:pPr>
        <w:pStyle w:val="81"/>
        <w:numPr>
          <w:ilvl w:val="0"/>
          <w:numId w:val="7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通信工程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依据《城市通信工程规划规范》（GB</w:t>
      </w:r>
      <w:r>
        <w:rPr>
          <w:rFonts w:ascii="宋体" w:hAnsi="宋体" w:cs="宋体"/>
          <w:sz w:val="24"/>
          <w:szCs w:val="24"/>
        </w:rPr>
        <w:t>/</w:t>
      </w:r>
      <w:r>
        <w:rPr>
          <w:rFonts w:hint="eastAsia" w:ascii="宋体" w:hAnsi="宋体" w:cs="宋体"/>
          <w:sz w:val="24"/>
          <w:szCs w:val="24"/>
        </w:rPr>
        <w:t>T</w:t>
      </w:r>
      <w:r>
        <w:rPr>
          <w:rFonts w:ascii="宋体" w:hAnsi="宋体" w:cs="宋体"/>
          <w:sz w:val="24"/>
          <w:szCs w:val="24"/>
        </w:rPr>
        <w:t xml:space="preserve"> </w:t>
      </w:r>
      <w:r>
        <w:rPr>
          <w:rFonts w:hint="eastAsia" w:ascii="宋体" w:hAnsi="宋体" w:cs="宋体"/>
          <w:sz w:val="24"/>
          <w:szCs w:val="24"/>
        </w:rPr>
        <w:t>50853—</w:t>
      </w:r>
      <w:r>
        <w:rPr>
          <w:rFonts w:ascii="宋体" w:hAnsi="宋体" w:cs="宋体"/>
          <w:sz w:val="24"/>
          <w:szCs w:val="24"/>
        </w:rPr>
        <w:t>2013</w:t>
      </w:r>
      <w:r>
        <w:rPr>
          <w:rFonts w:hint="eastAsia" w:ascii="宋体" w:hAnsi="宋体" w:cs="宋体"/>
          <w:sz w:val="24"/>
          <w:szCs w:val="24"/>
        </w:rPr>
        <w:t>），回马镇区固定电话主线普及率取54线/百人，移动电话普及率取115卡号/百人，宽带用户取37户/百人。预测到规划期末，回马镇区固定电话主线需求量约0.</w:t>
      </w:r>
      <w:r>
        <w:rPr>
          <w:rFonts w:ascii="宋体" w:hAnsi="宋体" w:cs="宋体"/>
          <w:sz w:val="24"/>
          <w:szCs w:val="24"/>
        </w:rPr>
        <w:t>54</w:t>
      </w:r>
      <w:r>
        <w:rPr>
          <w:rFonts w:hint="eastAsia" w:ascii="宋体" w:hAnsi="宋体" w:cs="宋体"/>
          <w:sz w:val="24"/>
          <w:szCs w:val="24"/>
        </w:rPr>
        <w:t>万线，移动电话需求量约1.</w:t>
      </w:r>
      <w:r>
        <w:rPr>
          <w:rFonts w:ascii="宋体" w:hAnsi="宋体" w:cs="宋体"/>
          <w:sz w:val="24"/>
          <w:szCs w:val="24"/>
        </w:rPr>
        <w:t>15</w:t>
      </w:r>
      <w:r>
        <w:rPr>
          <w:rFonts w:hint="eastAsia" w:ascii="宋体" w:hAnsi="宋体" w:cs="宋体"/>
          <w:sz w:val="24"/>
          <w:szCs w:val="24"/>
        </w:rPr>
        <w:t>万卡号，宽带用户需求量约</w:t>
      </w:r>
      <w:r>
        <w:rPr>
          <w:rFonts w:ascii="宋体" w:hAnsi="宋体" w:cs="宋体"/>
          <w:sz w:val="24"/>
          <w:szCs w:val="24"/>
        </w:rPr>
        <w:t>0.37</w:t>
      </w:r>
      <w:r>
        <w:rPr>
          <w:rFonts w:hint="eastAsia" w:ascii="宋体" w:hAnsi="宋体" w:cs="宋体"/>
          <w:sz w:val="24"/>
          <w:szCs w:val="24"/>
        </w:rPr>
        <w:t>万户。</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规划保留镇区现状邮政支局。</w:t>
      </w:r>
      <w:r>
        <w:rPr>
          <w:rFonts w:hint="eastAsia" w:ascii="宋体" w:hAnsi="宋体" w:cs="宋体"/>
          <w:sz w:val="24"/>
          <w:szCs w:val="24"/>
        </w:rPr>
        <w:t>为提高通讯服务质量和远期容量考虑，规划逐步将全部通信线缆埋地。通信管道采用PVC 管群，规划主干管为12 孔，支管为6孔和9 孔，沿主要道路敷设，埋深应符合有关规范要求。规划保留现状</w:t>
      </w:r>
      <w:r>
        <w:rPr>
          <w:rFonts w:ascii="宋体" w:hAnsi="宋体" w:cs="宋体"/>
          <w:sz w:val="24"/>
          <w:szCs w:val="24"/>
        </w:rPr>
        <w:t>4</w:t>
      </w:r>
      <w:r>
        <w:rPr>
          <w:rFonts w:hint="eastAsia" w:ascii="宋体" w:hAnsi="宋体" w:cs="宋体"/>
          <w:sz w:val="24"/>
          <w:szCs w:val="24"/>
        </w:rPr>
        <w:t>座通信基站，基于移动电话需求量，新增通信基站</w:t>
      </w:r>
      <w:r>
        <w:rPr>
          <w:rFonts w:ascii="宋体" w:hAnsi="宋体" w:cs="宋体"/>
          <w:sz w:val="24"/>
          <w:szCs w:val="24"/>
        </w:rPr>
        <w:t>6</w:t>
      </w:r>
      <w:r>
        <w:rPr>
          <w:rFonts w:hint="eastAsia" w:ascii="宋体" w:hAnsi="宋体" w:cs="宋体"/>
          <w:sz w:val="24"/>
          <w:szCs w:val="24"/>
        </w:rPr>
        <w:t>座。镇区未来</w:t>
      </w:r>
      <w:r>
        <w:rPr>
          <w:rFonts w:ascii="宋体" w:hAnsi="宋体" w:cs="宋体"/>
          <w:sz w:val="24"/>
          <w:szCs w:val="24"/>
        </w:rPr>
        <w:t>5G基站建设可结合道路两侧居民楼楼顶，沿道路平均每1公</w:t>
      </w:r>
      <w:r>
        <w:rPr>
          <w:rFonts w:hint="eastAsia" w:ascii="宋体" w:hAnsi="宋体" w:cs="宋体"/>
          <w:sz w:val="24"/>
          <w:szCs w:val="24"/>
        </w:rPr>
        <w:t>里左右修建一处</w:t>
      </w:r>
      <w:r>
        <w:rPr>
          <w:rFonts w:ascii="宋体" w:hAnsi="宋体" w:cs="宋体"/>
          <w:sz w:val="24"/>
          <w:szCs w:val="24"/>
        </w:rPr>
        <w:t>5G基站。</w:t>
      </w:r>
    </w:p>
    <w:p>
      <w:pPr>
        <w:pStyle w:val="81"/>
        <w:numPr>
          <w:ilvl w:val="0"/>
          <w:numId w:val="7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燃气工程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用气类型主要包括居民生活用气、商业用气、工业企业用气、加气站用气和不可预见用气，依据《城镇燃气设计规范》（GB50028—2006）、《城镇燃气规划规范》（GB/T51098—2015）及当地的生活水平、生活习惯等因素，镇区居民生活用气按0.3Nm³/人·日，气化率为90%进行计算，商业用气按照居民生活用气的20%计算，工业用气按300Nm³/公顷·日计算，加气站用气按照同期居民用气量的30%计算，不可预见用气按前述用气总量的5%计算，则到规划期末，镇区居民生活用气量为</w:t>
      </w:r>
      <w:r>
        <w:rPr>
          <w:rFonts w:ascii="宋体" w:hAnsi="宋体" w:cs="宋体"/>
          <w:sz w:val="24"/>
          <w:szCs w:val="24"/>
        </w:rPr>
        <w:t>2700</w:t>
      </w:r>
      <w:r>
        <w:rPr>
          <w:rFonts w:hint="eastAsia" w:ascii="宋体" w:hAnsi="宋体" w:cs="宋体"/>
          <w:sz w:val="24"/>
          <w:szCs w:val="24"/>
        </w:rPr>
        <w:t>Nm³/日，商业用气量为</w:t>
      </w:r>
      <w:r>
        <w:rPr>
          <w:rFonts w:ascii="宋体" w:hAnsi="宋体" w:cs="宋体"/>
          <w:sz w:val="24"/>
          <w:szCs w:val="24"/>
        </w:rPr>
        <w:t>540</w:t>
      </w:r>
      <w:r>
        <w:rPr>
          <w:rFonts w:hint="eastAsia" w:ascii="宋体" w:hAnsi="宋体" w:cs="宋体"/>
          <w:sz w:val="24"/>
          <w:szCs w:val="24"/>
        </w:rPr>
        <w:t>Nm³/日，工业用气量为10023Nm³/日，加气站用气量为</w:t>
      </w:r>
      <w:r>
        <w:rPr>
          <w:rFonts w:ascii="宋体" w:hAnsi="宋体" w:cs="宋体"/>
          <w:sz w:val="24"/>
          <w:szCs w:val="24"/>
        </w:rPr>
        <w:t>810</w:t>
      </w:r>
      <w:r>
        <w:rPr>
          <w:rFonts w:hint="eastAsia" w:ascii="宋体" w:hAnsi="宋体" w:cs="宋体"/>
          <w:sz w:val="24"/>
          <w:szCs w:val="24"/>
        </w:rPr>
        <w:t>Nm³/日，不可预见用气量为</w:t>
      </w:r>
      <w:r>
        <w:rPr>
          <w:rFonts w:ascii="宋体" w:hAnsi="宋体" w:cs="宋体"/>
          <w:sz w:val="24"/>
          <w:szCs w:val="24"/>
        </w:rPr>
        <w:t>704</w:t>
      </w:r>
      <w:r>
        <w:rPr>
          <w:rFonts w:hint="eastAsia" w:ascii="宋体" w:hAnsi="宋体" w:cs="宋体"/>
          <w:sz w:val="24"/>
          <w:szCs w:val="24"/>
        </w:rPr>
        <w:t>Nm³/日，综合预测镇区总用气量约为1.</w:t>
      </w:r>
      <w:r>
        <w:rPr>
          <w:rFonts w:ascii="宋体" w:hAnsi="宋体" w:cs="宋体"/>
          <w:sz w:val="24"/>
          <w:szCs w:val="24"/>
        </w:rPr>
        <w:t>48</w:t>
      </w:r>
      <w:r>
        <w:rPr>
          <w:rFonts w:hint="eastAsia" w:ascii="宋体" w:hAnsi="宋体" w:cs="宋体"/>
          <w:sz w:val="24"/>
          <w:szCs w:val="24"/>
        </w:rPr>
        <w:t>万Nm³/日。</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气源来自大英配气站，</w:t>
      </w:r>
      <w:r>
        <w:rPr>
          <w:rFonts w:hint="eastAsia" w:ascii="宋体" w:hAnsi="宋体" w:cs="宋体"/>
          <w:b/>
          <w:bCs/>
          <w:sz w:val="24"/>
          <w:szCs w:val="24"/>
          <w:u w:val="single"/>
        </w:rPr>
        <w:t>保留镇区现状桂花中心站，地块编码为HM-03-14。</w:t>
      </w:r>
      <w:r>
        <w:rPr>
          <w:rFonts w:hint="eastAsia" w:ascii="宋体" w:hAnsi="宋体" w:cs="宋体"/>
          <w:sz w:val="24"/>
          <w:szCs w:val="24"/>
        </w:rPr>
        <w:t>进一步完善供气管网，采用“环状+树枝状”相结合的管线布局形态，并延伸至农村居民点。规划燃气管管径DN22～DN57。</w:t>
      </w:r>
      <w:r>
        <w:rPr>
          <w:rFonts w:hint="eastAsia" w:ascii="宋体" w:hAnsi="宋体" w:cs="宋体"/>
          <w:b/>
          <w:bCs/>
          <w:sz w:val="24"/>
          <w:szCs w:val="24"/>
          <w:u w:val="single"/>
        </w:rPr>
        <w:t>输气管线安全防护距离应满足《城镇燃气设计规范》《输气管道工程设计规范》等相关国家法律法规和标准规范的要求。</w:t>
      </w:r>
    </w:p>
    <w:p>
      <w:pPr>
        <w:pStyle w:val="81"/>
        <w:numPr>
          <w:ilvl w:val="0"/>
          <w:numId w:val="7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环卫工程</w:t>
      </w:r>
    </w:p>
    <w:p>
      <w:pPr>
        <w:tabs>
          <w:tab w:val="left" w:pos="0"/>
        </w:tabs>
        <w:spacing w:line="360" w:lineRule="auto"/>
        <w:ind w:firstLine="480" w:firstLineChars="200"/>
        <w:rPr>
          <w:rFonts w:ascii="宋体" w:hAnsi="宋体" w:cs="宋体"/>
          <w:b/>
          <w:bCs/>
          <w:sz w:val="24"/>
          <w:szCs w:val="24"/>
          <w:u w:val="single"/>
        </w:rPr>
      </w:pPr>
      <w:r>
        <w:rPr>
          <w:rFonts w:hint="eastAsia" w:ascii="宋体" w:hAnsi="宋体" w:cs="宋体"/>
          <w:sz w:val="24"/>
          <w:szCs w:val="24"/>
        </w:rPr>
        <w:t>依据《城市环境卫生设施规划标准》（GB/T50337—2018）和《四川省城镇生活垃圾收集点设置标准》，预测镇区日人均生活垃圾产量为1kg/(人·d)，生活垃圾日产量不均匀系数取1.5，则回马镇区生活垃圾最高日产量为</w:t>
      </w:r>
      <w:r>
        <w:rPr>
          <w:rFonts w:ascii="宋体" w:hAnsi="宋体" w:cs="宋体"/>
          <w:sz w:val="24"/>
          <w:szCs w:val="24"/>
        </w:rPr>
        <w:t>15</w:t>
      </w:r>
      <w:r>
        <w:rPr>
          <w:rFonts w:hint="eastAsia" w:ascii="宋体" w:hAnsi="宋体" w:cs="宋体"/>
          <w:sz w:val="24"/>
          <w:szCs w:val="24"/>
        </w:rPr>
        <w:t>吨</w:t>
      </w:r>
      <w:r>
        <w:rPr>
          <w:rFonts w:ascii="宋体" w:hAnsi="宋体" w:cs="宋体"/>
          <w:sz w:val="24"/>
          <w:szCs w:val="24"/>
        </w:rPr>
        <w:t>/d</w:t>
      </w:r>
      <w:r>
        <w:rPr>
          <w:rFonts w:hint="eastAsia" w:ascii="宋体" w:hAnsi="宋体" w:cs="宋体"/>
          <w:sz w:val="24"/>
          <w:szCs w:val="24"/>
        </w:rPr>
        <w:t>。保留</w:t>
      </w:r>
      <w:r>
        <w:rPr>
          <w:rFonts w:ascii="宋体" w:hAnsi="宋体" w:cs="宋体"/>
          <w:sz w:val="24"/>
          <w:szCs w:val="24"/>
        </w:rPr>
        <w:t>现状垃圾转运站</w:t>
      </w:r>
      <w:r>
        <w:rPr>
          <w:rFonts w:hint="eastAsia" w:ascii="宋体" w:hAnsi="宋体" w:cs="宋体"/>
          <w:sz w:val="24"/>
          <w:szCs w:val="24"/>
        </w:rPr>
        <w:t>（位于规划范围外镇区西侧）</w:t>
      </w:r>
      <w:r>
        <w:rPr>
          <w:rFonts w:ascii="宋体" w:hAnsi="宋体" w:cs="宋体"/>
          <w:sz w:val="24"/>
          <w:szCs w:val="24"/>
        </w:rPr>
        <w:t>，统一收集转运镇区及农村</w:t>
      </w:r>
      <w:r>
        <w:rPr>
          <w:rFonts w:hint="eastAsia" w:ascii="宋体" w:hAnsi="宋体" w:cs="宋体"/>
          <w:sz w:val="24"/>
          <w:szCs w:val="24"/>
        </w:rPr>
        <w:t>各居民</w:t>
      </w:r>
      <w:r>
        <w:rPr>
          <w:rFonts w:ascii="宋体" w:hAnsi="宋体" w:cs="宋体"/>
          <w:sz w:val="24"/>
          <w:szCs w:val="24"/>
        </w:rPr>
        <w:t>点产生的垃圾</w:t>
      </w:r>
      <w:r>
        <w:rPr>
          <w:rFonts w:hint="eastAsia" w:ascii="宋体" w:hAnsi="宋体" w:cs="宋体"/>
          <w:sz w:val="24"/>
          <w:szCs w:val="24"/>
        </w:rPr>
        <w:t>，由三方公司（遂宁川能环卫公司）打包运至射洪发电厂进行焚烧发电</w:t>
      </w:r>
      <w:r>
        <w:rPr>
          <w:rFonts w:ascii="宋体" w:hAnsi="宋体" w:cs="宋体"/>
          <w:sz w:val="24"/>
          <w:szCs w:val="24"/>
        </w:rPr>
        <w:t>。</w:t>
      </w:r>
      <w:r>
        <w:rPr>
          <w:rFonts w:hint="eastAsia" w:ascii="宋体" w:hAnsi="宋体" w:cs="宋体"/>
          <w:b/>
          <w:bCs/>
          <w:sz w:val="24"/>
          <w:szCs w:val="24"/>
          <w:u w:val="single"/>
        </w:rPr>
        <w:t>医疗垃圾、危险废弃物必须单独收集、运输和处理，大英县无法自行处理处置的医疗垃圾、危险废弃物集中运至成都市医疗废物和危险固废处置中心进行处理处置。</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规划保留镇区现状8处垃圾收集点，</w:t>
      </w:r>
      <w:r>
        <w:rPr>
          <w:rFonts w:ascii="宋体" w:hAnsi="宋体" w:cs="宋体"/>
          <w:sz w:val="24"/>
          <w:szCs w:val="24"/>
        </w:rPr>
        <w:t>按照</w:t>
      </w:r>
      <w:r>
        <w:rPr>
          <w:rFonts w:hint="eastAsia" w:ascii="宋体" w:hAnsi="宋体" w:cs="宋体"/>
          <w:sz w:val="24"/>
          <w:szCs w:val="24"/>
        </w:rPr>
        <w:t>集中居住区收集点的服务半径不宜超过70m，散居区可根据垃圾产生量，因地制宜、科学合理布局点位，通常服务半径不宜超过200m，规划新增19处垃圾收集点，占地不小于</w:t>
      </w:r>
      <w:r>
        <w:rPr>
          <w:rFonts w:ascii="宋体" w:hAnsi="宋体" w:cs="宋体"/>
          <w:sz w:val="24"/>
          <w:szCs w:val="24"/>
        </w:rPr>
        <w:t>5</w:t>
      </w:r>
      <w:r>
        <w:rPr>
          <w:rFonts w:hint="eastAsia" w:ascii="宋体" w:hAnsi="宋体" w:cs="宋体"/>
          <w:sz w:val="24"/>
          <w:szCs w:val="24"/>
        </w:rPr>
        <w:t>平方米，设专职保洁人员收集、打扫和清运。在道路两侧以及各类交通客运设施、公共设施、广场、社会停车场等出入口附近设置果皮箱，相邻果皮箱间距为2</w:t>
      </w:r>
      <w:r>
        <w:rPr>
          <w:rFonts w:ascii="宋体" w:hAnsi="宋体" w:cs="宋体"/>
          <w:sz w:val="24"/>
          <w:szCs w:val="24"/>
        </w:rPr>
        <w:t>5</w:t>
      </w:r>
      <w:r>
        <w:rPr>
          <w:rFonts w:hint="eastAsia" w:ascii="宋体" w:hAnsi="宋体" w:cs="宋体"/>
          <w:sz w:val="24"/>
          <w:szCs w:val="24"/>
        </w:rPr>
        <w:t>～</w:t>
      </w:r>
      <w:r>
        <w:rPr>
          <w:rFonts w:ascii="宋体" w:hAnsi="宋体" w:cs="宋体"/>
          <w:sz w:val="24"/>
          <w:szCs w:val="24"/>
        </w:rPr>
        <w:t>50</w:t>
      </w:r>
      <w:r>
        <w:rPr>
          <w:rFonts w:hint="eastAsia" w:ascii="宋体" w:hAnsi="宋体" w:cs="宋体"/>
          <w:sz w:val="24"/>
          <w:szCs w:val="24"/>
        </w:rPr>
        <w:t>米；在交通干道上每</w:t>
      </w:r>
      <w:r>
        <w:rPr>
          <w:rFonts w:ascii="宋体" w:hAnsi="宋体" w:cs="宋体"/>
          <w:sz w:val="24"/>
          <w:szCs w:val="24"/>
        </w:rPr>
        <w:t>50</w:t>
      </w:r>
      <w:r>
        <w:rPr>
          <w:rFonts w:hint="eastAsia" w:ascii="宋体" w:hAnsi="宋体" w:cs="宋体"/>
          <w:sz w:val="24"/>
          <w:szCs w:val="24"/>
        </w:rPr>
        <w:t>～</w:t>
      </w:r>
      <w:r>
        <w:rPr>
          <w:rFonts w:ascii="宋体" w:hAnsi="宋体" w:cs="宋体"/>
          <w:sz w:val="24"/>
          <w:szCs w:val="24"/>
        </w:rPr>
        <w:t>8</w:t>
      </w:r>
      <w:r>
        <w:rPr>
          <w:rFonts w:hint="eastAsia" w:ascii="宋体" w:hAnsi="宋体" w:cs="宋体"/>
          <w:sz w:val="24"/>
          <w:szCs w:val="24"/>
        </w:rPr>
        <w:t>0m设置一个，一般街道上每</w:t>
      </w:r>
      <w:r>
        <w:rPr>
          <w:rFonts w:ascii="宋体" w:hAnsi="宋体" w:cs="宋体"/>
          <w:sz w:val="24"/>
          <w:szCs w:val="24"/>
        </w:rPr>
        <w:t>8</w:t>
      </w:r>
      <w:r>
        <w:rPr>
          <w:rFonts w:hint="eastAsia" w:ascii="宋体" w:hAnsi="宋体" w:cs="宋体"/>
          <w:sz w:val="24"/>
          <w:szCs w:val="24"/>
        </w:rPr>
        <w:t>0～</w:t>
      </w:r>
      <w:r>
        <w:rPr>
          <w:rFonts w:ascii="宋体" w:hAnsi="宋体" w:cs="宋体"/>
          <w:sz w:val="24"/>
          <w:szCs w:val="24"/>
        </w:rPr>
        <w:t>10</w:t>
      </w:r>
      <w:r>
        <w:rPr>
          <w:rFonts w:hint="eastAsia" w:ascii="宋体" w:hAnsi="宋体" w:cs="宋体"/>
          <w:sz w:val="24"/>
          <w:szCs w:val="24"/>
        </w:rPr>
        <w:t>0m设置一个，同时对老旧垃圾收集点位按照垃圾四分类要求进行改造升级。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公共厕所的服务半径根据地段和人口而定，繁华街道间距为300～500 米，一般街道为750～1000 米，新建居民区以300～500 米为半径，也可以地域面积计算，每平方公里不少于3 处。规划共新增公共厕所3 处，保留现状的6 处公共厕所，宜结合公厕设置环卫休息驿站，建筑面积不小于20平方米。</w:t>
      </w:r>
    </w:p>
    <w:p>
      <w:pPr>
        <w:pStyle w:val="5"/>
        <w:numPr>
          <w:ilvl w:val="0"/>
          <w:numId w:val="66"/>
        </w:numPr>
        <w:spacing w:line="360" w:lineRule="auto"/>
        <w:ind w:left="0" w:firstLine="482" w:firstLineChars="200"/>
        <w:rPr>
          <w:b/>
          <w:bCs/>
        </w:rPr>
      </w:pPr>
      <w:r>
        <w:rPr>
          <w:rFonts w:hint="eastAsia"/>
          <w:b/>
          <w:bCs/>
        </w:rPr>
        <w:t>防灾设施规划</w:t>
      </w:r>
    </w:p>
    <w:p>
      <w:pPr>
        <w:pStyle w:val="81"/>
        <w:numPr>
          <w:ilvl w:val="0"/>
          <w:numId w:val="7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防洪规划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依据《四川省涪江干流遂宁段防洪规划报告》和上位规划要求，</w:t>
      </w:r>
      <w:r>
        <w:rPr>
          <w:rFonts w:hint="eastAsia" w:ascii="宋体" w:hAnsi="宋体" w:cs="宋体"/>
          <w:b/>
          <w:bCs/>
          <w:sz w:val="24"/>
          <w:szCs w:val="24"/>
          <w:u w:val="single"/>
        </w:rPr>
        <w:t>涪江回马镇区段按照20年一遇标准设防，其他河道按</w:t>
      </w:r>
      <w:r>
        <w:rPr>
          <w:rFonts w:ascii="宋体" w:hAnsi="宋体" w:cs="宋体"/>
          <w:b/>
          <w:bCs/>
          <w:sz w:val="24"/>
          <w:szCs w:val="24"/>
          <w:u w:val="single"/>
        </w:rPr>
        <w:t>10年一遇标准设防。</w:t>
      </w:r>
      <w:r>
        <w:rPr>
          <w:rFonts w:ascii="宋体" w:hAnsi="宋体" w:cs="宋体"/>
          <w:sz w:val="24"/>
          <w:szCs w:val="24"/>
        </w:rPr>
        <w:t xml:space="preserve"> </w:t>
      </w:r>
    </w:p>
    <w:p>
      <w:pPr>
        <w:pStyle w:val="81"/>
        <w:numPr>
          <w:ilvl w:val="0"/>
          <w:numId w:val="7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消防规划</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规划新建一座一级乡镇消防站，</w:t>
      </w:r>
      <w:r>
        <w:rPr>
          <w:rFonts w:hint="eastAsia" w:ascii="宋体" w:hAnsi="宋体" w:cs="宋体"/>
          <w:sz w:val="24"/>
          <w:szCs w:val="24"/>
        </w:rPr>
        <w:t>位于镇区中部、国道G</w:t>
      </w:r>
      <w:r>
        <w:rPr>
          <w:rFonts w:ascii="宋体" w:hAnsi="宋体" w:cs="宋体"/>
          <w:sz w:val="24"/>
          <w:szCs w:val="24"/>
        </w:rPr>
        <w:t>247</w:t>
      </w:r>
      <w:r>
        <w:rPr>
          <w:rFonts w:hint="eastAsia" w:ascii="宋体" w:hAnsi="宋体" w:cs="宋体"/>
          <w:sz w:val="24"/>
          <w:szCs w:val="24"/>
        </w:rPr>
        <w:t>改线西侧，</w:t>
      </w:r>
      <w:r>
        <w:rPr>
          <w:rFonts w:hint="eastAsia" w:ascii="宋体" w:hAnsi="宋体" w:cs="宋体"/>
          <w:b/>
          <w:bCs/>
          <w:sz w:val="24"/>
          <w:szCs w:val="24"/>
          <w:u w:val="single"/>
        </w:rPr>
        <w:t>地块编码为HM-02-19，用地规模</w:t>
      </w:r>
      <w:r>
        <w:rPr>
          <w:rFonts w:ascii="宋体" w:hAnsi="宋体" w:cs="宋体"/>
          <w:b/>
          <w:bCs/>
          <w:sz w:val="24"/>
          <w:szCs w:val="24"/>
          <w:u w:val="single"/>
        </w:rPr>
        <w:t>0.</w:t>
      </w:r>
      <w:r>
        <w:rPr>
          <w:rFonts w:hint="eastAsia" w:ascii="宋体" w:hAnsi="宋体" w:cs="宋体"/>
          <w:b/>
          <w:bCs/>
          <w:sz w:val="24"/>
          <w:szCs w:val="24"/>
          <w:u w:val="single"/>
        </w:rPr>
        <w:t>12公顷</w:t>
      </w:r>
      <w:r>
        <w:rPr>
          <w:rFonts w:hint="eastAsia" w:ascii="宋体" w:hAnsi="宋体" w:cs="宋体"/>
          <w:sz w:val="24"/>
          <w:szCs w:val="24"/>
        </w:rPr>
        <w:t xml:space="preserve">，负责回马镇域消防安全，消防供水与生活供水共用管网与水源。室外消火栓沿道路布置，间距不大于120米，并在道路交叉口保证有一处消火栓。在规划区的通讯建设时应考虑设置至少一条119专线。 </w:t>
      </w:r>
    </w:p>
    <w:p>
      <w:pPr>
        <w:pStyle w:val="81"/>
        <w:numPr>
          <w:ilvl w:val="0"/>
          <w:numId w:val="72"/>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抗震减灾规划</w:t>
      </w:r>
    </w:p>
    <w:p>
      <w:pPr>
        <w:tabs>
          <w:tab w:val="left" w:pos="0"/>
        </w:tabs>
        <w:spacing w:line="360" w:lineRule="auto"/>
        <w:ind w:firstLine="482" w:firstLineChars="200"/>
        <w:rPr>
          <w:rFonts w:ascii="宋体" w:hAnsi="宋体" w:cs="宋体"/>
          <w:b/>
          <w:bCs/>
          <w:sz w:val="24"/>
          <w:szCs w:val="24"/>
          <w:u w:val="single"/>
        </w:rPr>
      </w:pPr>
      <w:r>
        <w:rPr>
          <w:rFonts w:hint="eastAsia" w:ascii="宋体" w:hAnsi="宋体" w:cs="宋体"/>
          <w:b/>
          <w:bCs/>
          <w:sz w:val="24"/>
          <w:szCs w:val="24"/>
          <w:u w:val="single"/>
        </w:rPr>
        <w:t>回马镇区地震动峰值加速度为0.05g，地震动反应谱特征周期秒0.35s，地震基本烈度值为Ⅵ度。一般工程按照六度标准设防，重大基础设施工程、生命线工程、易发生次生灾害的设施应按《建筑工程抗震设防分标准》进行设防。</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完善应急通道和避难场所。依托回马镇政府，建设镇域应急指挥中心。依托回马镇卫生院，建设镇域防灾救护中心。结合镇区公园广场、学校操场等开敞空间，规划设置3处固定避难疏散场所和6</w:t>
      </w:r>
      <w:r>
        <w:rPr>
          <w:rFonts w:ascii="宋体" w:hAnsi="宋体" w:cs="宋体"/>
          <w:sz w:val="24"/>
          <w:szCs w:val="24"/>
        </w:rPr>
        <w:t>处紧急避难场所，在避难场所设置标示标牌、生活必需品、药品与消防储备库。规划以主干路作为主要救援疏散通道，</w:t>
      </w:r>
      <w:r>
        <w:rPr>
          <w:rFonts w:hint="eastAsia" w:ascii="宋体" w:hAnsi="宋体" w:cs="宋体"/>
          <w:sz w:val="24"/>
          <w:szCs w:val="24"/>
        </w:rPr>
        <w:t>次干路</w:t>
      </w:r>
      <w:r>
        <w:rPr>
          <w:rFonts w:ascii="宋体" w:hAnsi="宋体" w:cs="宋体"/>
          <w:sz w:val="24"/>
          <w:szCs w:val="24"/>
        </w:rPr>
        <w:t>作为次要救援疏散通道，救援通道需保证震后7</w:t>
      </w:r>
      <w:r>
        <w:rPr>
          <w:rFonts w:hint="eastAsia" w:ascii="宋体" w:hAnsi="宋体" w:cs="宋体"/>
          <w:sz w:val="24"/>
          <w:szCs w:val="24"/>
        </w:rPr>
        <w:t>米以上的宽度。</w:t>
      </w:r>
    </w:p>
    <w:p>
      <w:pPr>
        <w:pStyle w:val="5"/>
        <w:numPr>
          <w:ilvl w:val="0"/>
          <w:numId w:val="66"/>
        </w:numPr>
        <w:spacing w:line="360" w:lineRule="auto"/>
        <w:ind w:left="0" w:firstLine="482" w:firstLineChars="200"/>
        <w:rPr>
          <w:b/>
          <w:bCs/>
        </w:rPr>
      </w:pPr>
      <w:r>
        <w:rPr>
          <w:rFonts w:hint="eastAsia"/>
          <w:b/>
          <w:bCs/>
        </w:rPr>
        <w:t>风貌管控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将镇区分为三大景观风貌区，包括旧城景观风貌区、新城景观风貌区和工业景观风貌区。旧城景观风貌区位于镇区西侧和南侧，以现状保留建筑为主，重点对临园大道两侧建筑风貌整治提升，体现传统丘陵川中城镇建筑风格。新城景观风貌区位于镇区中部，围绕“江韵小镇”主题，打造滨水现代风貌特色。工业景观风貌区位于镇区北侧，严格控制蓝屋顶厂房，围绕平坝地形特征，塑造现代简洁高效的风貌特点。</w:t>
      </w:r>
    </w:p>
    <w:p>
      <w:pPr>
        <w:pStyle w:val="5"/>
        <w:numPr>
          <w:ilvl w:val="0"/>
          <w:numId w:val="66"/>
        </w:numPr>
        <w:spacing w:line="360" w:lineRule="auto"/>
        <w:ind w:left="0" w:firstLine="482" w:firstLineChars="200"/>
        <w:rPr>
          <w:b/>
          <w:bCs/>
        </w:rPr>
      </w:pPr>
      <w:r>
        <w:rPr>
          <w:rFonts w:hint="eastAsia"/>
          <w:b/>
          <w:bCs/>
        </w:rPr>
        <w:t>四线管控</w:t>
      </w:r>
    </w:p>
    <w:p>
      <w:pPr>
        <w:tabs>
          <w:tab w:val="left" w:pos="0"/>
        </w:tabs>
        <w:spacing w:line="360" w:lineRule="auto"/>
        <w:ind w:firstLine="482" w:firstLineChars="200"/>
        <w:rPr>
          <w:rFonts w:ascii="宋体" w:hAnsi="宋体" w:cs="宋体"/>
          <w:b/>
          <w:bCs/>
          <w:sz w:val="24"/>
          <w:szCs w:val="24"/>
          <w:u w:val="single"/>
        </w:rPr>
      </w:pPr>
      <w:r>
        <w:rPr>
          <w:rFonts w:hint="eastAsia" w:ascii="宋体" w:hAnsi="宋体"/>
          <w:b/>
          <w:bCs/>
          <w:sz w:val="24"/>
          <w:szCs w:val="24"/>
          <w:u w:val="single"/>
        </w:rPr>
        <w:t>规划划定广场用地为城镇绿线范围，总面积1.51公顷，按照《城市绿线管理办法》予以严格管控。划定</w:t>
      </w:r>
      <w:r>
        <w:rPr>
          <w:rFonts w:hint="eastAsia" w:ascii="宋体" w:hAnsi="宋体" w:cs="宋体"/>
          <w:b/>
          <w:bCs/>
          <w:sz w:val="24"/>
          <w:szCs w:val="24"/>
          <w:u w:val="single"/>
        </w:rPr>
        <w:t>污水处理站、变电站、燃气调压站、消防站、防洪堤、社会停车场、客运站等用地为城镇黄线范围，总面积10.</w:t>
      </w:r>
      <w:r>
        <w:rPr>
          <w:rFonts w:ascii="宋体" w:hAnsi="宋体" w:cs="宋体"/>
          <w:b/>
          <w:bCs/>
          <w:sz w:val="24"/>
          <w:szCs w:val="24"/>
          <w:u w:val="single"/>
        </w:rPr>
        <w:t>53</w:t>
      </w:r>
      <w:r>
        <w:rPr>
          <w:rFonts w:hint="eastAsia" w:ascii="宋体" w:hAnsi="宋体" w:cs="宋体"/>
          <w:b/>
          <w:bCs/>
          <w:sz w:val="24"/>
          <w:szCs w:val="24"/>
          <w:u w:val="single"/>
        </w:rPr>
        <w:t>公顷，按照《城市黄线管理办法》严格管控。划定涪江及其支流为城镇蓝线范围，总面积23.23公顷，按照《城市蓝线管理办法》严格管控。划定镇区东侧五显庙为城镇紫线范围，总面积0.27公顷，按照《城市紫线管理办法》严格管控。</w:t>
      </w:r>
    </w:p>
    <w:p>
      <w:pPr>
        <w:pStyle w:val="5"/>
        <w:numPr>
          <w:ilvl w:val="0"/>
          <w:numId w:val="66"/>
        </w:numPr>
        <w:spacing w:line="360" w:lineRule="auto"/>
        <w:ind w:left="0" w:firstLine="482" w:firstLineChars="200"/>
        <w:rPr>
          <w:b/>
          <w:bCs/>
        </w:rPr>
      </w:pPr>
      <w:r>
        <w:rPr>
          <w:rFonts w:hint="eastAsia"/>
          <w:b/>
          <w:bCs/>
        </w:rPr>
        <w:t>土地使用规划控制</w:t>
      </w:r>
    </w:p>
    <w:p>
      <w:pPr>
        <w:pStyle w:val="81"/>
        <w:numPr>
          <w:ilvl w:val="0"/>
          <w:numId w:val="7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用地单元划分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为了便于规划管理和建设实施操作，建立“镇区——街区——地块”的三级用地编号体系，逐层分解、逐级落实、精准有效传导上位规划要求，指导项目建设实施。其中，“镇区”代码为“HM” ；“街区”以城镇道路、河流为边界，划定</w:t>
      </w:r>
      <w:r>
        <w:rPr>
          <w:rFonts w:ascii="宋体" w:hAnsi="宋体" w:cs="宋体"/>
          <w:sz w:val="24"/>
          <w:szCs w:val="24"/>
        </w:rPr>
        <w:t>3</w:t>
      </w:r>
      <w:r>
        <w:rPr>
          <w:rFonts w:hint="eastAsia" w:ascii="宋体" w:hAnsi="宋体" w:cs="宋体"/>
          <w:sz w:val="24"/>
          <w:szCs w:val="24"/>
        </w:rPr>
        <w:t>个街区，编号为数字“01,02,03……”；地块以用地权属边界划分地块，标记为数字“01,02,03……”。</w:t>
      </w:r>
    </w:p>
    <w:p>
      <w:pPr>
        <w:pStyle w:val="81"/>
        <w:numPr>
          <w:ilvl w:val="0"/>
          <w:numId w:val="7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用地属性划分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本次规划按照最新《国土空间调查、规划、用途管制用地用海分类指南（试行）》（2020）严格执行，分至小类，其中部分用地划分至中类。</w:t>
      </w:r>
    </w:p>
    <w:p>
      <w:pPr>
        <w:pStyle w:val="81"/>
        <w:numPr>
          <w:ilvl w:val="0"/>
          <w:numId w:val="7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地块控制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兼顾弹性引导与刚性管控，通过规定性指标和引导性指标进行控制。地块用地性质、建筑密度、建筑高度、容积率、绿地率及其他需要配置的公共设施作为规定性指标（详见附表1</w:t>
      </w:r>
      <w:r>
        <w:rPr>
          <w:rFonts w:ascii="宋体" w:hAnsi="宋体" w:cs="宋体"/>
          <w:sz w:val="24"/>
          <w:szCs w:val="24"/>
        </w:rPr>
        <w:t>5</w:t>
      </w:r>
      <w:r>
        <w:rPr>
          <w:rFonts w:hint="eastAsia" w:ascii="宋体" w:hAnsi="宋体" w:cs="宋体"/>
          <w:sz w:val="24"/>
          <w:szCs w:val="24"/>
        </w:rPr>
        <w:t>），人口容量、建筑形式、体量、风格、色彩要求和其它环境要求为引导性指标。用地规模不小于2000平方米的地块应严格按照规划控制指标进行开发建设，小于2000平方米的地块应根据实际建设条件和《遂宁市城市规划管理技术规定》（修订）和《大英县城市规划管理技术规定》（试行）的相关要求进行确定。</w:t>
      </w:r>
    </w:p>
    <w:p>
      <w:pPr>
        <w:pStyle w:val="81"/>
        <w:numPr>
          <w:ilvl w:val="0"/>
          <w:numId w:val="7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用地兼容性控制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在开发过程中，为适应城镇发展的多种可能性，原则上允许有条件地变更某些地块原定的用地性质（第一使用性质），但必须符合《遂宁市城市规划管理技术规定》（修订）和《大英县城市规划管理技术规定》（试行）的相关规定。</w:t>
      </w:r>
    </w:p>
    <w:p>
      <w:pPr>
        <w:pStyle w:val="81"/>
        <w:numPr>
          <w:ilvl w:val="0"/>
          <w:numId w:val="7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环境容量控制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容积率控制：依据《遂宁市城市规划管理技术规定》（修订）、《大英县城市规划管理技术规定》（试行）和其他相关标准、规范综合确定各类用地容积率，其中，居住用地地块容积率≤1.5，中小学用地地块容积率≤1.0，医疗卫生用地地块容积率≤2.0，文化用地地块容积率≤1.2，商业用地地块容积率≤</w:t>
      </w:r>
      <w:r>
        <w:rPr>
          <w:rFonts w:ascii="宋体" w:hAnsi="宋体" w:cs="宋体"/>
          <w:sz w:val="24"/>
          <w:szCs w:val="24"/>
        </w:rPr>
        <w:t>1.2</w:t>
      </w:r>
      <w:r>
        <w:rPr>
          <w:rFonts w:hint="eastAsia" w:ascii="宋体" w:hAnsi="宋体" w:cs="宋体"/>
          <w:sz w:val="24"/>
          <w:szCs w:val="24"/>
        </w:rPr>
        <w:t>，工业用地地块容积率≥1.0。规划采用通则式规定，情况相似的同类用地采用同样控制指标，保证用地开发权利的公平合理。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绿地率和建筑密度：依据《遂宁市城市规划管理技术规定》（修订）和《大英县城市规划管理技术规定》（试行），综合考虑地形条件、环境质量、地块区位、使用性质、容积率、建筑安全卫生间距、气候条件、朝向等因素，确定各类地块绿地率和建筑密度控制指标，详见附表1</w:t>
      </w:r>
      <w:r>
        <w:rPr>
          <w:rFonts w:ascii="宋体" w:hAnsi="宋体" w:cs="宋体"/>
          <w:sz w:val="24"/>
          <w:szCs w:val="24"/>
        </w:rPr>
        <w:t>5</w:t>
      </w:r>
      <w:r>
        <w:rPr>
          <w:rFonts w:hint="eastAsia" w:ascii="宋体" w:hAnsi="宋体" w:cs="宋体"/>
          <w:sz w:val="24"/>
          <w:szCs w:val="24"/>
        </w:rPr>
        <w:t>。</w:t>
      </w:r>
    </w:p>
    <w:p>
      <w:pPr>
        <w:pStyle w:val="81"/>
        <w:numPr>
          <w:ilvl w:val="0"/>
          <w:numId w:val="7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建筑建造控制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筑高度控制：综合考虑镇区空间形态、地形条件、用地性质等因素，本次规划建筑高度分为三个层级，分别为12米、18米和24米，其中12米及以下主要为中小学用地、文化用地和商业用地，18米及以下主要为居住用地，24米及以下主要为医疗卫生用地和工业用地，详见附表1</w:t>
      </w:r>
      <w:r>
        <w:rPr>
          <w:rFonts w:ascii="宋体" w:hAnsi="宋体" w:cs="宋体"/>
          <w:sz w:val="24"/>
          <w:szCs w:val="24"/>
        </w:rPr>
        <w:t>5</w:t>
      </w:r>
      <w:r>
        <w:rPr>
          <w:rFonts w:hint="eastAsia" w:ascii="宋体" w:hAnsi="宋体" w:cs="宋体"/>
          <w:sz w:val="24"/>
          <w:szCs w:val="24"/>
        </w:rPr>
        <w:t>。对于城镇开发边界范围内的自建民房，建筑高度不应超过12米，层数不超过3层。</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筑退让控制：用地规模不小于2000平方米的地块新建建筑后退控制按照《遂宁市城市规划管理技术规定》（修订）和《大英县城市规划管理技术规定》（试行）执行，对于城镇开发边界内的自建民房，应满足《遂宁市城市规划管理技术规定》（修订）和《大英县城市规划管理技术规定》（试行）中退让道路红线的最小距离要求。沿道路、河道、电力线路保护区两侧的建筑物，以及沿用地边界和文物保护单位周围的建筑物应同时符合消防、环保、防汛和交通安全等方面的要求。</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筑间距控制：应满足《遂宁市城市规划管理技术规定》（修订）和《大英县城市规划管理技术规定》（试行）中建筑间距控制相关要求，同时必须符合国家有关日照、消防、卫生、管线埋设和建筑设计规范的要求。</w:t>
      </w:r>
    </w:p>
    <w:bookmarkEnd w:id="530"/>
    <w:p>
      <w:pPr>
        <w:numPr>
          <w:ilvl w:val="1"/>
          <w:numId w:val="57"/>
        </w:numPr>
        <w:tabs>
          <w:tab w:val="left" w:pos="680"/>
          <w:tab w:val="left" w:pos="840"/>
        </w:tabs>
        <w:spacing w:before="312" w:beforeLines="100" w:line="440" w:lineRule="exact"/>
        <w:jc w:val="left"/>
        <w:outlineLvl w:val="1"/>
        <w:rPr>
          <w:rFonts w:hAnsi="宋体"/>
          <w:b/>
          <w:sz w:val="28"/>
          <w:szCs w:val="28"/>
        </w:rPr>
      </w:pPr>
      <w:bookmarkStart w:id="539" w:name="_Toc141369734"/>
      <w:r>
        <w:rPr>
          <w:rFonts w:hint="eastAsia" w:hAnsi="宋体"/>
          <w:b/>
          <w:sz w:val="28"/>
          <w:szCs w:val="28"/>
        </w:rPr>
        <w:t>金元镇镇区规划</w:t>
      </w:r>
      <w:bookmarkEnd w:id="539"/>
    </w:p>
    <w:p>
      <w:pPr>
        <w:pStyle w:val="5"/>
        <w:numPr>
          <w:ilvl w:val="0"/>
          <w:numId w:val="74"/>
        </w:numPr>
        <w:spacing w:line="360" w:lineRule="auto"/>
        <w:ind w:left="0" w:firstLine="482" w:firstLineChars="200"/>
        <w:rPr>
          <w:b/>
          <w:bCs/>
        </w:rPr>
      </w:pPr>
      <w:r>
        <w:rPr>
          <w:rFonts w:hint="eastAsia"/>
          <w:b/>
          <w:bCs/>
        </w:rPr>
        <w:t>镇区现状概况与问题</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金元镇镇区现状常住人口</w:t>
      </w:r>
      <w:r>
        <w:rPr>
          <w:rFonts w:ascii="宋体" w:hAnsi="宋体" w:cs="宋体"/>
          <w:sz w:val="24"/>
          <w:szCs w:val="24"/>
        </w:rPr>
        <w:t>1444</w:t>
      </w:r>
      <w:r>
        <w:rPr>
          <w:rFonts w:hint="eastAsia" w:ascii="宋体" w:hAnsi="宋体" w:cs="宋体"/>
          <w:sz w:val="24"/>
          <w:szCs w:val="24"/>
        </w:rPr>
        <w:t>人，城镇建设用地面积</w:t>
      </w:r>
      <w:r>
        <w:rPr>
          <w:rFonts w:ascii="宋体" w:hAnsi="宋体" w:cs="宋体"/>
          <w:sz w:val="24"/>
          <w:szCs w:val="24"/>
        </w:rPr>
        <w:t>18.57</w:t>
      </w:r>
      <w:r>
        <w:rPr>
          <w:rFonts w:hint="eastAsia" w:ascii="宋体" w:hAnsi="宋体" w:cs="宋体"/>
          <w:sz w:val="24"/>
          <w:szCs w:val="24"/>
        </w:rPr>
        <w:t>公顷，人均建设用地面积为</w:t>
      </w:r>
      <w:r>
        <w:rPr>
          <w:rFonts w:ascii="宋体" w:hAnsi="宋体" w:cs="宋体"/>
          <w:sz w:val="24"/>
          <w:szCs w:val="24"/>
        </w:rPr>
        <w:t>128.6</w:t>
      </w:r>
      <w:r>
        <w:rPr>
          <w:rFonts w:hint="eastAsia" w:ascii="宋体" w:hAnsi="宋体" w:cs="宋体"/>
          <w:sz w:val="24"/>
          <w:szCs w:val="24"/>
        </w:rPr>
        <w:t>㎡，人均建设用地指标较高。建设用地以居住用地为主，占比</w:t>
      </w:r>
      <w:r>
        <w:rPr>
          <w:rFonts w:ascii="宋体" w:hAnsi="宋体" w:cs="宋体"/>
          <w:sz w:val="24"/>
          <w:szCs w:val="24"/>
        </w:rPr>
        <w:t>46.69%，其次是公共管理与公共服务用地，占比27.03%</w:t>
      </w:r>
      <w:r>
        <w:rPr>
          <w:rFonts w:hint="eastAsia" w:ascii="宋体" w:hAnsi="宋体" w:cs="宋体"/>
          <w:sz w:val="24"/>
          <w:szCs w:val="24"/>
        </w:rPr>
        <w:t>，详见附表</w:t>
      </w:r>
      <w:r>
        <w:rPr>
          <w:rFonts w:ascii="宋体" w:hAnsi="宋体" w:cs="宋体"/>
          <w:sz w:val="24"/>
          <w:szCs w:val="24"/>
        </w:rPr>
        <w:t>10。</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通过对镇区历史演变、人口情况、土地利用、基础设施、空间形态和景观风貌等现状情况进行评估，综合研判镇区建设存在的四个方面主要问题：</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一是城镇常住人口规模较小，城镇化水平较低。金元镇常住城镇人口规模排全县倒数第二，城镇化率为</w:t>
      </w:r>
      <w:r>
        <w:rPr>
          <w:rFonts w:ascii="宋体" w:hAnsi="宋体" w:cs="宋体"/>
          <w:sz w:val="24"/>
          <w:szCs w:val="24"/>
        </w:rPr>
        <w:t>7.46%，排全县</w:t>
      </w:r>
      <w:r>
        <w:rPr>
          <w:rFonts w:hint="eastAsia" w:ascii="宋体" w:hAnsi="宋体" w:cs="宋体"/>
          <w:sz w:val="24"/>
          <w:szCs w:val="24"/>
        </w:rPr>
        <w:t>倒数第四。</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二是部分用地闲置，存量空间开发动力不足。镇区现状客运站、小学等用地处于闲置状态；镇区北侧组团除了已建、在建公共服务设施外，其他性质土地建设基本停滞。镇区闲置用地规模约1</w:t>
      </w:r>
      <w:r>
        <w:rPr>
          <w:rFonts w:ascii="宋体" w:hAnsi="宋体" w:cs="宋体"/>
          <w:sz w:val="24"/>
          <w:szCs w:val="24"/>
        </w:rPr>
        <w:t>.43</w:t>
      </w:r>
      <w:r>
        <w:rPr>
          <w:rFonts w:hint="eastAsia" w:ascii="宋体" w:hAnsi="宋体" w:cs="宋体"/>
          <w:sz w:val="24"/>
          <w:szCs w:val="24"/>
        </w:rPr>
        <w:t>公顷。</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三是过境公路穿越场镇，现状建筑“夹道建设”。现状省道S</w:t>
      </w:r>
      <w:r>
        <w:rPr>
          <w:rFonts w:ascii="宋体" w:hAnsi="宋体" w:cs="宋体"/>
          <w:sz w:val="24"/>
          <w:szCs w:val="24"/>
        </w:rPr>
        <w:t>307穿越场镇，作为镇区对外联系主要交通，过境车辆对场镇影响较大；受地形限制，道路两侧用地基本为一层皮，缺少腹地空间。</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四是场镇风貌缺乏特色，景观资源利用不充分。镇区蓝色彩钢棚建筑较多，部分房屋破旧，整体缺乏风貌指引管控；镇区处于三条溪流交汇处，部分房屋临溪而建，未形成滨水城镇风貌特色。</w:t>
      </w:r>
    </w:p>
    <w:p>
      <w:pPr>
        <w:pStyle w:val="5"/>
        <w:numPr>
          <w:ilvl w:val="0"/>
          <w:numId w:val="74"/>
        </w:numPr>
        <w:spacing w:line="360" w:lineRule="auto"/>
        <w:ind w:left="0" w:firstLine="482" w:firstLineChars="200"/>
        <w:rPr>
          <w:b/>
          <w:bCs/>
        </w:rPr>
      </w:pPr>
      <w:r>
        <w:rPr>
          <w:rFonts w:hint="eastAsia"/>
          <w:b/>
          <w:bCs/>
        </w:rPr>
        <w:t>定位规模</w:t>
      </w:r>
    </w:p>
    <w:p>
      <w:pPr>
        <w:pStyle w:val="81"/>
        <w:numPr>
          <w:ilvl w:val="0"/>
          <w:numId w:val="75"/>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功能定位</w:t>
      </w:r>
    </w:p>
    <w:p>
      <w:pPr>
        <w:tabs>
          <w:tab w:val="left" w:pos="0"/>
        </w:tabs>
        <w:spacing w:line="360" w:lineRule="auto"/>
        <w:ind w:firstLine="480" w:firstLineChars="200"/>
        <w:rPr>
          <w:rFonts w:ascii="宋体" w:hAnsi="宋体" w:cs="宋体"/>
          <w:sz w:val="24"/>
          <w:szCs w:val="24"/>
        </w:rPr>
      </w:pPr>
      <w:bookmarkStart w:id="540" w:name="_Hlk148627798"/>
      <w:r>
        <w:rPr>
          <w:rFonts w:hint="eastAsia" w:ascii="宋体" w:hAnsi="宋体" w:cs="宋体"/>
          <w:sz w:val="24"/>
          <w:szCs w:val="24"/>
        </w:rPr>
        <w:t>作为片区一般镇，以提供镇域基本公共服务为主，结合自身产业特色，将金元镇镇区定位为以居住配套、种养循环产业服务为主的农贸型城镇</w:t>
      </w:r>
      <w:bookmarkEnd w:id="540"/>
      <w:r>
        <w:rPr>
          <w:rFonts w:hint="eastAsia" w:ascii="宋体" w:hAnsi="宋体" w:cs="宋体"/>
          <w:sz w:val="24"/>
          <w:szCs w:val="24"/>
        </w:rPr>
        <w:t>。</w:t>
      </w:r>
    </w:p>
    <w:p>
      <w:pPr>
        <w:pStyle w:val="81"/>
        <w:numPr>
          <w:ilvl w:val="0"/>
          <w:numId w:val="75"/>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城镇规模</w:t>
      </w:r>
    </w:p>
    <w:p>
      <w:pPr>
        <w:tabs>
          <w:tab w:val="left" w:pos="0"/>
        </w:tabs>
        <w:spacing w:line="360" w:lineRule="auto"/>
        <w:ind w:firstLine="480" w:firstLineChars="200"/>
        <w:rPr>
          <w:rFonts w:ascii="宋体" w:hAnsi="宋体"/>
          <w:sz w:val="24"/>
          <w:szCs w:val="24"/>
        </w:rPr>
      </w:pPr>
      <w:r>
        <w:rPr>
          <w:rFonts w:hint="eastAsia" w:ascii="宋体" w:hAnsi="宋体" w:cs="宋体"/>
          <w:sz w:val="24"/>
          <w:szCs w:val="24"/>
        </w:rPr>
        <w:t>金元镇区规划范围</w:t>
      </w:r>
      <w:r>
        <w:rPr>
          <w:rFonts w:ascii="宋体" w:hAnsi="宋体" w:cs="宋体"/>
          <w:sz w:val="24"/>
          <w:szCs w:val="24"/>
        </w:rPr>
        <w:t>90.</w:t>
      </w:r>
      <w:r>
        <w:rPr>
          <w:rFonts w:hint="eastAsia" w:ascii="宋体" w:hAnsi="宋体" w:cs="宋体"/>
          <w:sz w:val="24"/>
          <w:szCs w:val="24"/>
        </w:rPr>
        <w:t>85公顷，</w:t>
      </w:r>
      <w:bookmarkStart w:id="541" w:name="_Hlk148627816"/>
      <w:r>
        <w:rPr>
          <w:rFonts w:hint="eastAsia" w:ascii="宋体" w:hAnsi="宋体" w:cs="宋体"/>
          <w:sz w:val="24"/>
          <w:szCs w:val="24"/>
        </w:rPr>
        <w:t>到</w:t>
      </w:r>
      <w:r>
        <w:rPr>
          <w:rFonts w:ascii="宋体" w:hAnsi="宋体" w:cs="宋体"/>
          <w:sz w:val="24"/>
          <w:szCs w:val="24"/>
        </w:rPr>
        <w:t>2035年，镇区城镇常住人口规模为2000人，镇区规划</w:t>
      </w:r>
      <w:r>
        <w:rPr>
          <w:rFonts w:hint="eastAsia" w:ascii="宋体" w:hAnsi="宋体"/>
          <w:sz w:val="24"/>
          <w:szCs w:val="24"/>
        </w:rPr>
        <w:t>建设用地规模为37.39公顷，</w:t>
      </w:r>
      <w:r>
        <w:rPr>
          <w:rFonts w:hint="eastAsia" w:ascii="宋体" w:hAnsi="宋体"/>
          <w:b/>
          <w:bCs/>
          <w:sz w:val="24"/>
          <w:szCs w:val="24"/>
          <w:u w:val="single"/>
        </w:rPr>
        <w:t>其中城镇建设用地26.93公顷</w:t>
      </w:r>
      <w:r>
        <w:rPr>
          <w:rFonts w:hint="eastAsia" w:ascii="宋体" w:hAnsi="宋体"/>
          <w:sz w:val="24"/>
          <w:szCs w:val="24"/>
        </w:rPr>
        <w:t>（城镇开发边界内），乡村建设用地10.46公顷（城镇开发边界外，包括农村宅基地、交通运输用地、公用设施用地等）</w:t>
      </w:r>
      <w:bookmarkEnd w:id="541"/>
      <w:r>
        <w:rPr>
          <w:rFonts w:hint="eastAsia" w:ascii="宋体" w:hAnsi="宋体"/>
          <w:sz w:val="24"/>
          <w:szCs w:val="24"/>
        </w:rPr>
        <w:t>；其他用地53.46公顷（包括耕地、园地、林地、农业设施建设用地等），</w:t>
      </w:r>
      <w:r>
        <w:rPr>
          <w:rFonts w:hint="eastAsia" w:ascii="宋体" w:hAnsi="宋体" w:cs="宋体"/>
          <w:sz w:val="24"/>
          <w:szCs w:val="24"/>
        </w:rPr>
        <w:t>详见附表</w:t>
      </w:r>
      <w:r>
        <w:rPr>
          <w:rFonts w:ascii="宋体" w:hAnsi="宋体" w:cs="宋体"/>
          <w:sz w:val="24"/>
          <w:szCs w:val="24"/>
        </w:rPr>
        <w:t>13</w:t>
      </w:r>
      <w:r>
        <w:rPr>
          <w:rFonts w:hint="eastAsia" w:ascii="宋体" w:hAnsi="宋体" w:cs="宋体"/>
          <w:sz w:val="24"/>
          <w:szCs w:val="24"/>
        </w:rPr>
        <w:t>。</w:t>
      </w:r>
    </w:p>
    <w:p>
      <w:pPr>
        <w:pStyle w:val="5"/>
        <w:numPr>
          <w:ilvl w:val="0"/>
          <w:numId w:val="74"/>
        </w:numPr>
        <w:spacing w:line="360" w:lineRule="auto"/>
        <w:ind w:left="0" w:firstLine="482" w:firstLineChars="200"/>
        <w:rPr>
          <w:b/>
          <w:bCs/>
        </w:rPr>
      </w:pPr>
      <w:r>
        <w:rPr>
          <w:rFonts w:hint="eastAsia"/>
          <w:b/>
          <w:bCs/>
        </w:rPr>
        <w:t>功能结构</w:t>
      </w:r>
    </w:p>
    <w:p>
      <w:pPr>
        <w:tabs>
          <w:tab w:val="left" w:pos="0"/>
        </w:tabs>
        <w:spacing w:line="360" w:lineRule="auto"/>
        <w:ind w:firstLine="480" w:firstLineChars="200"/>
        <w:rPr>
          <w:rFonts w:ascii="宋体" w:hAnsi="宋体" w:cs="宋体"/>
          <w:sz w:val="24"/>
          <w:szCs w:val="24"/>
        </w:rPr>
      </w:pPr>
      <w:r>
        <w:rPr>
          <w:rFonts w:ascii="宋体" w:hAnsi="宋体" w:cs="宋体"/>
          <w:sz w:val="24"/>
          <w:szCs w:val="24"/>
        </w:rPr>
        <w:t>规划金元镇镇区形成“一心、一带、</w:t>
      </w:r>
      <w:r>
        <w:rPr>
          <w:rFonts w:hint="eastAsia" w:ascii="宋体" w:hAnsi="宋体" w:cs="宋体"/>
          <w:sz w:val="24"/>
          <w:szCs w:val="24"/>
        </w:rPr>
        <w:t>三</w:t>
      </w:r>
      <w:r>
        <w:rPr>
          <w:rFonts w:ascii="宋体" w:hAnsi="宋体" w:cs="宋体"/>
          <w:sz w:val="24"/>
          <w:szCs w:val="24"/>
        </w:rPr>
        <w:t>组团”功能结构。“一心”</w:t>
      </w:r>
      <w:r>
        <w:rPr>
          <w:rFonts w:hint="eastAsia" w:ascii="宋体" w:hAnsi="宋体" w:cs="宋体"/>
          <w:sz w:val="24"/>
          <w:szCs w:val="24"/>
        </w:rPr>
        <w:t>指</w:t>
      </w:r>
      <w:r>
        <w:rPr>
          <w:rFonts w:ascii="宋体" w:hAnsi="宋体" w:cs="宋体"/>
          <w:sz w:val="24"/>
          <w:szCs w:val="24"/>
        </w:rPr>
        <w:t>城镇综合服务中心</w:t>
      </w:r>
      <w:r>
        <w:rPr>
          <w:rFonts w:hint="eastAsia" w:ascii="宋体" w:hAnsi="宋体" w:cs="宋体"/>
          <w:sz w:val="24"/>
          <w:szCs w:val="24"/>
        </w:rPr>
        <w:t>，</w:t>
      </w:r>
      <w:r>
        <w:rPr>
          <w:rFonts w:ascii="宋体" w:hAnsi="宋体" w:cs="宋体"/>
          <w:sz w:val="24"/>
          <w:szCs w:val="24"/>
        </w:rPr>
        <w:t>“一带”</w:t>
      </w:r>
      <w:r>
        <w:rPr>
          <w:rFonts w:hint="eastAsia" w:ascii="宋体" w:hAnsi="宋体" w:cs="宋体"/>
          <w:sz w:val="24"/>
          <w:szCs w:val="24"/>
        </w:rPr>
        <w:t>指</w:t>
      </w:r>
      <w:r>
        <w:rPr>
          <w:rFonts w:ascii="宋体" w:hAnsi="宋体" w:cs="宋体"/>
          <w:sz w:val="24"/>
          <w:szCs w:val="24"/>
        </w:rPr>
        <w:t>黄腊溪滨水</w:t>
      </w:r>
      <w:r>
        <w:rPr>
          <w:rFonts w:hint="eastAsia" w:ascii="宋体" w:hAnsi="宋体" w:cs="宋体"/>
          <w:sz w:val="24"/>
          <w:szCs w:val="24"/>
        </w:rPr>
        <w:t>景观</w:t>
      </w:r>
      <w:r>
        <w:rPr>
          <w:rFonts w:ascii="宋体" w:hAnsi="宋体" w:cs="宋体"/>
          <w:sz w:val="24"/>
          <w:szCs w:val="24"/>
        </w:rPr>
        <w:t>带</w:t>
      </w:r>
      <w:r>
        <w:rPr>
          <w:rFonts w:hint="eastAsia" w:ascii="宋体" w:hAnsi="宋体" w:cs="宋体"/>
          <w:sz w:val="24"/>
          <w:szCs w:val="24"/>
        </w:rPr>
        <w:t>，</w:t>
      </w:r>
      <w:bookmarkStart w:id="542" w:name="_Hlk132704916"/>
      <w:r>
        <w:rPr>
          <w:rFonts w:ascii="宋体" w:hAnsi="宋体" w:cs="宋体"/>
          <w:sz w:val="24"/>
          <w:szCs w:val="24"/>
        </w:rPr>
        <w:t>“</w:t>
      </w:r>
      <w:r>
        <w:rPr>
          <w:rFonts w:hint="eastAsia" w:ascii="宋体" w:hAnsi="宋体" w:cs="宋体"/>
          <w:sz w:val="24"/>
          <w:szCs w:val="24"/>
        </w:rPr>
        <w:t>三组团</w:t>
      </w:r>
      <w:r>
        <w:rPr>
          <w:rFonts w:ascii="宋体" w:hAnsi="宋体" w:cs="宋体"/>
          <w:sz w:val="24"/>
          <w:szCs w:val="24"/>
        </w:rPr>
        <w:t>”</w:t>
      </w:r>
      <w:r>
        <w:rPr>
          <w:rFonts w:hint="eastAsia" w:ascii="宋体" w:hAnsi="宋体" w:cs="宋体"/>
          <w:sz w:val="24"/>
          <w:szCs w:val="24"/>
        </w:rPr>
        <w:t>指老城综合</w:t>
      </w:r>
      <w:r>
        <w:rPr>
          <w:rFonts w:ascii="宋体" w:hAnsi="宋体" w:cs="宋体"/>
          <w:sz w:val="24"/>
          <w:szCs w:val="24"/>
        </w:rPr>
        <w:t>服务组团</w:t>
      </w:r>
      <w:r>
        <w:rPr>
          <w:rFonts w:hint="eastAsia" w:ascii="宋体" w:hAnsi="宋体" w:cs="宋体"/>
          <w:sz w:val="24"/>
          <w:szCs w:val="24"/>
        </w:rPr>
        <w:t>、江北居住服务组团和西部居住</w:t>
      </w:r>
      <w:r>
        <w:rPr>
          <w:rFonts w:ascii="宋体" w:hAnsi="宋体" w:cs="宋体"/>
          <w:sz w:val="24"/>
          <w:szCs w:val="24"/>
        </w:rPr>
        <w:t>组团</w:t>
      </w:r>
      <w:bookmarkEnd w:id="542"/>
      <w:r>
        <w:rPr>
          <w:rFonts w:hint="eastAsia" w:ascii="宋体" w:hAnsi="宋体" w:cs="宋体"/>
          <w:sz w:val="24"/>
          <w:szCs w:val="24"/>
        </w:rPr>
        <w:t>。</w:t>
      </w:r>
    </w:p>
    <w:p>
      <w:pPr>
        <w:pStyle w:val="5"/>
        <w:numPr>
          <w:ilvl w:val="0"/>
          <w:numId w:val="74"/>
        </w:numPr>
        <w:spacing w:line="360" w:lineRule="auto"/>
        <w:ind w:left="0" w:firstLine="482" w:firstLineChars="200"/>
        <w:rPr>
          <w:b/>
          <w:bCs/>
        </w:rPr>
      </w:pPr>
      <w:r>
        <w:rPr>
          <w:rFonts w:hint="eastAsia"/>
          <w:b/>
          <w:bCs/>
        </w:rPr>
        <w:t>用地布局</w:t>
      </w:r>
    </w:p>
    <w:p>
      <w:pPr>
        <w:tabs>
          <w:tab w:val="left" w:pos="0"/>
        </w:tabs>
        <w:spacing w:line="360" w:lineRule="auto"/>
        <w:ind w:firstLine="480" w:firstLineChars="200"/>
        <w:rPr>
          <w:lang w:val="zh-CN"/>
        </w:rPr>
      </w:pPr>
      <w:r>
        <w:rPr>
          <w:rFonts w:hint="eastAsia" w:ascii="宋体" w:hAnsi="宋体" w:cs="宋体"/>
          <w:bCs/>
          <w:sz w:val="24"/>
          <w:szCs w:val="24"/>
        </w:rPr>
        <w:t>规划镇区建设用地面积37.39公顷，</w:t>
      </w:r>
      <w:r>
        <w:rPr>
          <w:rFonts w:hint="eastAsia" w:ascii="宋体" w:hAnsi="宋体" w:cs="宋体"/>
          <w:b/>
          <w:sz w:val="24"/>
          <w:szCs w:val="24"/>
          <w:u w:val="single"/>
        </w:rPr>
        <w:t>其中城镇建设用地26.93公顷，</w:t>
      </w:r>
      <w:r>
        <w:rPr>
          <w:rFonts w:hint="eastAsia" w:ascii="宋体" w:hAnsi="宋体" w:cs="宋体"/>
          <w:sz w:val="24"/>
          <w:szCs w:val="24"/>
        </w:rPr>
        <w:t>详见附表</w:t>
      </w:r>
      <w:r>
        <w:rPr>
          <w:rFonts w:ascii="宋体" w:hAnsi="宋体" w:cs="宋体"/>
          <w:sz w:val="24"/>
          <w:szCs w:val="24"/>
        </w:rPr>
        <w:t>13</w:t>
      </w:r>
      <w:r>
        <w:rPr>
          <w:rFonts w:hint="eastAsia" w:ascii="宋体" w:hAnsi="宋体" w:cs="宋体"/>
          <w:sz w:val="24"/>
          <w:szCs w:val="24"/>
        </w:rPr>
        <w:t>。</w:t>
      </w:r>
    </w:p>
    <w:p>
      <w:pPr>
        <w:pStyle w:val="81"/>
        <w:numPr>
          <w:ilvl w:val="0"/>
          <w:numId w:val="7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居住用地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优化居住用地空间布局，有序引导农村人口往城镇聚居，在镇区西部、省道S</w:t>
      </w:r>
      <w:r>
        <w:rPr>
          <w:rFonts w:ascii="宋体" w:hAnsi="宋体" w:cs="宋体"/>
          <w:sz w:val="24"/>
          <w:szCs w:val="24"/>
        </w:rPr>
        <w:t>207</w:t>
      </w:r>
      <w:r>
        <w:rPr>
          <w:rFonts w:hint="eastAsia" w:ascii="宋体" w:hAnsi="宋体" w:cs="宋体"/>
          <w:sz w:val="24"/>
          <w:szCs w:val="24"/>
        </w:rPr>
        <w:t>沿线增加部分居住用地，满足未来镇区人口聚集带来的居住用地需求。规划居住用地20.89</w:t>
      </w:r>
      <w:r>
        <w:rPr>
          <w:rFonts w:ascii="宋体" w:hAnsi="宋体" w:cs="宋体"/>
          <w:sz w:val="24"/>
          <w:szCs w:val="24"/>
        </w:rPr>
        <w:t>公顷</w:t>
      </w:r>
      <w:r>
        <w:rPr>
          <w:rFonts w:hint="eastAsia" w:ascii="宋体" w:hAnsi="宋体" w:cs="宋体"/>
          <w:sz w:val="24"/>
          <w:szCs w:val="24"/>
        </w:rPr>
        <w:t>，其中城镇建设用地16.77公顷，乡村建设用地4.12公顷。</w:t>
      </w:r>
    </w:p>
    <w:p>
      <w:pPr>
        <w:pStyle w:val="81"/>
        <w:numPr>
          <w:ilvl w:val="0"/>
          <w:numId w:val="7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公共管理与公共服务用地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保留金元镇人民政府、派出所等机关团体用地，将搬迁后的派出所改造为便民服务中心；盘活闲置小学用地，改造为文体活动用地；保留现状中小学用地和幼儿园用地；保留镇区现状医疗卫生用地。规划公共管理与公共服务设施用地面积</w:t>
      </w:r>
      <w:r>
        <w:rPr>
          <w:rFonts w:ascii="宋体" w:hAnsi="宋体" w:cs="宋体"/>
          <w:sz w:val="24"/>
          <w:szCs w:val="24"/>
        </w:rPr>
        <w:t>4.7</w:t>
      </w:r>
      <w:r>
        <w:rPr>
          <w:rFonts w:hint="eastAsia" w:ascii="宋体" w:hAnsi="宋体" w:cs="宋体"/>
          <w:sz w:val="24"/>
          <w:szCs w:val="24"/>
        </w:rPr>
        <w:t>6公顷，均为城镇建设用地</w:t>
      </w:r>
      <w:r>
        <w:rPr>
          <w:rFonts w:ascii="宋体" w:hAnsi="宋体" w:cs="宋体"/>
          <w:sz w:val="24"/>
          <w:szCs w:val="24"/>
        </w:rPr>
        <w:t>。</w:t>
      </w:r>
    </w:p>
    <w:p>
      <w:pPr>
        <w:pStyle w:val="81"/>
        <w:numPr>
          <w:ilvl w:val="0"/>
          <w:numId w:val="7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商业服务业用地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规划引导农副产品交易向北部农贸市场集聚，优化提升金元街沿街商业品质，在镇区南部新增加油加气站用地。规划商业服务业用地1.38</w:t>
      </w:r>
      <w:r>
        <w:rPr>
          <w:rFonts w:ascii="宋体" w:hAnsi="宋体" w:cs="宋体"/>
          <w:sz w:val="24"/>
          <w:szCs w:val="24"/>
        </w:rPr>
        <w:t>公顷，</w:t>
      </w:r>
      <w:r>
        <w:rPr>
          <w:rFonts w:hint="eastAsia" w:ascii="宋体" w:hAnsi="宋体" w:cs="宋体"/>
          <w:sz w:val="24"/>
          <w:szCs w:val="24"/>
        </w:rPr>
        <w:t>均为城镇建设用地</w:t>
      </w:r>
      <w:r>
        <w:rPr>
          <w:rFonts w:ascii="宋体" w:hAnsi="宋体" w:cs="宋体"/>
          <w:sz w:val="24"/>
          <w:szCs w:val="24"/>
        </w:rPr>
        <w:t>。</w:t>
      </w:r>
    </w:p>
    <w:p>
      <w:pPr>
        <w:pStyle w:val="81"/>
        <w:numPr>
          <w:ilvl w:val="0"/>
          <w:numId w:val="7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交通运输用地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优化调整过境道路，规划西迁省道S307城镇段，解决过境交通问题；规划布局两处社会停车场用地，分别位于</w:t>
      </w:r>
      <w:bookmarkStart w:id="543" w:name="_Hlk129853151"/>
      <w:r>
        <w:rPr>
          <w:rFonts w:hint="eastAsia" w:ascii="宋体" w:hAnsi="宋体" w:cs="宋体"/>
          <w:sz w:val="24"/>
          <w:szCs w:val="24"/>
        </w:rPr>
        <w:t>闲置小学南侧和卫生院对面</w:t>
      </w:r>
      <w:bookmarkEnd w:id="543"/>
      <w:r>
        <w:rPr>
          <w:rFonts w:hint="eastAsia" w:ascii="宋体" w:hAnsi="宋体" w:cs="宋体"/>
          <w:sz w:val="24"/>
          <w:szCs w:val="24"/>
        </w:rPr>
        <w:t>；扩建现有客运站，位于金马街东侧。规划交通运输用地9.64</w:t>
      </w:r>
      <w:r>
        <w:rPr>
          <w:rFonts w:ascii="宋体" w:hAnsi="宋体" w:cs="宋体"/>
          <w:sz w:val="24"/>
          <w:szCs w:val="24"/>
        </w:rPr>
        <w:t>公顷</w:t>
      </w:r>
      <w:r>
        <w:rPr>
          <w:rFonts w:hint="eastAsia" w:ascii="宋体" w:hAnsi="宋体" w:cs="宋体"/>
          <w:sz w:val="24"/>
          <w:szCs w:val="24"/>
        </w:rPr>
        <w:t>，其中城镇建设用地3.84公顷，乡村建设用地5.80公顷</w:t>
      </w:r>
      <w:r>
        <w:rPr>
          <w:rFonts w:ascii="宋体" w:hAnsi="宋体" w:cs="宋体"/>
          <w:sz w:val="24"/>
          <w:szCs w:val="24"/>
        </w:rPr>
        <w:t>。</w:t>
      </w:r>
    </w:p>
    <w:p>
      <w:pPr>
        <w:pStyle w:val="81"/>
        <w:numPr>
          <w:ilvl w:val="0"/>
          <w:numId w:val="7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公用设施用地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规划扩建镇区污水处理站，用地规模0</w:t>
      </w:r>
      <w:r>
        <w:rPr>
          <w:rFonts w:ascii="宋体" w:hAnsi="宋体" w:cs="宋体"/>
          <w:sz w:val="24"/>
          <w:szCs w:val="24"/>
        </w:rPr>
        <w:t>.24</w:t>
      </w:r>
      <w:r>
        <w:rPr>
          <w:rFonts w:hint="eastAsia" w:ascii="宋体" w:hAnsi="宋体" w:cs="宋体"/>
          <w:sz w:val="24"/>
          <w:szCs w:val="24"/>
        </w:rPr>
        <w:t>公顷；保留现状供水站，远期改建为供水泵站。规划公用设施用地0.30公顷，均为乡村建设用地</w:t>
      </w:r>
      <w:r>
        <w:rPr>
          <w:rFonts w:ascii="宋体" w:hAnsi="宋体" w:cs="宋体"/>
          <w:sz w:val="24"/>
          <w:szCs w:val="24"/>
        </w:rPr>
        <w:t>。</w:t>
      </w:r>
    </w:p>
    <w:p>
      <w:pPr>
        <w:pStyle w:val="81"/>
        <w:numPr>
          <w:ilvl w:val="0"/>
          <w:numId w:val="7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绿地开敞空间用地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规划新建一处公园绿地，位于镇区中部；新建一处广场用地，位于幼儿园南侧。规划绿地开敞空间用地0.18公顷，均为城镇建设用地。</w:t>
      </w:r>
    </w:p>
    <w:p>
      <w:pPr>
        <w:pStyle w:val="81"/>
        <w:numPr>
          <w:ilvl w:val="0"/>
          <w:numId w:val="76"/>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留白用地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在镇区东侧布局留白用地，作为金元未来发展预留空间。规划留白用地0.24公顷，均为乡村建设用地。</w:t>
      </w:r>
    </w:p>
    <w:p>
      <w:pPr>
        <w:pStyle w:val="5"/>
        <w:numPr>
          <w:ilvl w:val="0"/>
          <w:numId w:val="74"/>
        </w:numPr>
        <w:spacing w:line="360" w:lineRule="auto"/>
        <w:ind w:left="0" w:firstLine="482" w:firstLineChars="200"/>
        <w:rPr>
          <w:b/>
          <w:bCs/>
        </w:rPr>
      </w:pPr>
      <w:r>
        <w:rPr>
          <w:rFonts w:hint="eastAsia"/>
          <w:b/>
          <w:bCs/>
        </w:rPr>
        <w:t>公共服务设施规划</w:t>
      </w:r>
    </w:p>
    <w:p>
      <w:pPr>
        <w:pStyle w:val="81"/>
        <w:numPr>
          <w:ilvl w:val="0"/>
          <w:numId w:val="77"/>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机关团体</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保留现状镇政府、派出所等机关团体设施，地块编码分别为JY-04-15、JY-01-06；改建原派出所为便民服务中心，地块编码为JY-04-15</w:t>
      </w:r>
      <w:r>
        <w:rPr>
          <w:rFonts w:hint="eastAsia" w:ascii="宋体" w:hAnsi="宋体" w:cs="宋体"/>
          <w:sz w:val="24"/>
          <w:szCs w:val="24"/>
        </w:rPr>
        <w:t>。规划机关团体用地</w:t>
      </w:r>
      <w:r>
        <w:rPr>
          <w:rFonts w:ascii="宋体" w:hAnsi="宋体" w:cs="宋体"/>
          <w:sz w:val="24"/>
          <w:szCs w:val="24"/>
        </w:rPr>
        <w:t xml:space="preserve"> 0.8</w:t>
      </w:r>
      <w:r>
        <w:rPr>
          <w:rFonts w:hint="eastAsia" w:ascii="宋体" w:hAnsi="宋体" w:cs="宋体"/>
          <w:sz w:val="24"/>
          <w:szCs w:val="24"/>
        </w:rPr>
        <w:t>公顷</w:t>
      </w:r>
      <w:r>
        <w:rPr>
          <w:rFonts w:ascii="宋体" w:hAnsi="宋体" w:cs="宋体"/>
          <w:sz w:val="24"/>
          <w:szCs w:val="24"/>
        </w:rPr>
        <w:t>。</w:t>
      </w:r>
    </w:p>
    <w:p>
      <w:pPr>
        <w:pStyle w:val="81"/>
        <w:numPr>
          <w:ilvl w:val="0"/>
          <w:numId w:val="77"/>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文化设施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利用闲置小学用地新建文化活动站,地块编码为JY-04-16。</w:t>
      </w:r>
      <w:r>
        <w:rPr>
          <w:rFonts w:hint="eastAsia" w:ascii="宋体" w:hAnsi="宋体" w:cs="宋体"/>
          <w:sz w:val="24"/>
          <w:szCs w:val="24"/>
        </w:rPr>
        <w:t>规划文化用地</w:t>
      </w:r>
      <w:r>
        <w:rPr>
          <w:rFonts w:ascii="宋体" w:hAnsi="宋体" w:cs="宋体"/>
          <w:sz w:val="24"/>
          <w:szCs w:val="24"/>
        </w:rPr>
        <w:t>0.37</w:t>
      </w:r>
      <w:r>
        <w:rPr>
          <w:rFonts w:hint="eastAsia" w:ascii="宋体" w:hAnsi="宋体" w:cs="宋体"/>
          <w:sz w:val="24"/>
          <w:szCs w:val="24"/>
        </w:rPr>
        <w:t>公顷</w:t>
      </w:r>
      <w:r>
        <w:rPr>
          <w:rFonts w:ascii="宋体" w:hAnsi="宋体" w:cs="宋体"/>
          <w:sz w:val="24"/>
          <w:szCs w:val="24"/>
        </w:rPr>
        <w:t>。</w:t>
      </w:r>
    </w:p>
    <w:p>
      <w:pPr>
        <w:pStyle w:val="81"/>
        <w:numPr>
          <w:ilvl w:val="0"/>
          <w:numId w:val="77"/>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教育设施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规划保留现状中学、小学和幼儿园，地块编码分别为JY-03-06、JY-01-02、JY-01-08。</w:t>
      </w:r>
      <w:r>
        <w:rPr>
          <w:rFonts w:hint="eastAsia" w:ascii="宋体" w:hAnsi="宋体" w:cs="宋体"/>
          <w:sz w:val="24"/>
          <w:szCs w:val="24"/>
        </w:rPr>
        <w:t>规划教育用地</w:t>
      </w:r>
      <w:r>
        <w:rPr>
          <w:rFonts w:ascii="宋体" w:hAnsi="宋体" w:cs="宋体"/>
          <w:sz w:val="24"/>
          <w:szCs w:val="24"/>
        </w:rPr>
        <w:t xml:space="preserve"> 3.</w:t>
      </w:r>
      <w:r>
        <w:rPr>
          <w:rFonts w:hint="eastAsia" w:ascii="宋体" w:hAnsi="宋体" w:cs="宋体"/>
          <w:sz w:val="24"/>
          <w:szCs w:val="24"/>
        </w:rPr>
        <w:t>28公顷，</w:t>
      </w:r>
      <w:r>
        <w:rPr>
          <w:rFonts w:ascii="宋体" w:hAnsi="宋体" w:cs="宋体"/>
          <w:sz w:val="24"/>
          <w:szCs w:val="24"/>
        </w:rPr>
        <w:t>其中中小学用地</w:t>
      </w:r>
      <w:r>
        <w:rPr>
          <w:rFonts w:hint="eastAsia" w:ascii="宋体" w:hAnsi="宋体" w:cs="宋体"/>
          <w:sz w:val="24"/>
          <w:szCs w:val="24"/>
        </w:rPr>
        <w:t>2.85公顷，幼儿园用地</w:t>
      </w:r>
      <w:r>
        <w:rPr>
          <w:rFonts w:ascii="宋体" w:hAnsi="宋体" w:cs="宋体"/>
          <w:sz w:val="24"/>
          <w:szCs w:val="24"/>
        </w:rPr>
        <w:t>0.43</w:t>
      </w:r>
      <w:r>
        <w:rPr>
          <w:rFonts w:hint="eastAsia" w:ascii="宋体" w:hAnsi="宋体" w:cs="宋体"/>
          <w:sz w:val="24"/>
          <w:szCs w:val="24"/>
        </w:rPr>
        <w:t>公顷。</w:t>
      </w:r>
    </w:p>
    <w:p>
      <w:pPr>
        <w:pStyle w:val="81"/>
        <w:numPr>
          <w:ilvl w:val="0"/>
          <w:numId w:val="77"/>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体育设施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结合规划文化活动站设置健身活动场地，地块编码为JY-04-16；新建1处健身活动广场，</w:t>
      </w:r>
      <w:r>
        <w:rPr>
          <w:rFonts w:hint="eastAsia" w:ascii="宋体" w:hAnsi="宋体" w:cs="宋体"/>
          <w:sz w:val="24"/>
          <w:szCs w:val="24"/>
        </w:rPr>
        <w:t>并配建居民健身设施，位于幼儿园南侧，</w:t>
      </w:r>
      <w:r>
        <w:rPr>
          <w:rFonts w:hint="eastAsia" w:ascii="宋体" w:hAnsi="宋体" w:cs="宋体"/>
          <w:b/>
          <w:bCs/>
          <w:sz w:val="24"/>
          <w:szCs w:val="24"/>
          <w:u w:val="single"/>
        </w:rPr>
        <w:t>地块编码为JY-01-07。</w:t>
      </w:r>
      <w:r>
        <w:rPr>
          <w:rFonts w:hint="eastAsia" w:ascii="宋体" w:hAnsi="宋体" w:cs="宋体"/>
          <w:sz w:val="24"/>
          <w:szCs w:val="24"/>
        </w:rPr>
        <w:t>规划广场用地0.6公顷，鼓励中小学操场对外开放，为居民提供健身场所。</w:t>
      </w:r>
    </w:p>
    <w:p>
      <w:pPr>
        <w:pStyle w:val="81"/>
        <w:numPr>
          <w:ilvl w:val="0"/>
          <w:numId w:val="77"/>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医疗卫生设施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保留金元镇卫生院，地块编码为JY-04-07。</w:t>
      </w:r>
      <w:r>
        <w:rPr>
          <w:rFonts w:hint="eastAsia" w:ascii="宋体" w:hAnsi="宋体" w:cs="宋体"/>
          <w:sz w:val="24"/>
          <w:szCs w:val="24"/>
        </w:rPr>
        <w:t>规划医疗卫生用地</w:t>
      </w:r>
      <w:r>
        <w:rPr>
          <w:rFonts w:ascii="宋体" w:hAnsi="宋体" w:cs="宋体"/>
          <w:sz w:val="24"/>
          <w:szCs w:val="24"/>
        </w:rPr>
        <w:t>0.31</w:t>
      </w:r>
      <w:r>
        <w:rPr>
          <w:rFonts w:hint="eastAsia" w:ascii="宋体" w:hAnsi="宋体" w:cs="宋体"/>
          <w:sz w:val="24"/>
          <w:szCs w:val="24"/>
        </w:rPr>
        <w:t>公顷</w:t>
      </w:r>
      <w:r>
        <w:rPr>
          <w:rFonts w:ascii="宋体" w:hAnsi="宋体" w:cs="宋体"/>
          <w:sz w:val="24"/>
          <w:szCs w:val="24"/>
        </w:rPr>
        <w:t>。</w:t>
      </w:r>
    </w:p>
    <w:p>
      <w:pPr>
        <w:pStyle w:val="81"/>
        <w:numPr>
          <w:ilvl w:val="0"/>
          <w:numId w:val="77"/>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社会福利设施</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保留金元敬老院</w:t>
      </w:r>
      <w:r>
        <w:rPr>
          <w:rFonts w:hint="eastAsia" w:ascii="宋体" w:hAnsi="宋体" w:cs="宋体"/>
          <w:sz w:val="24"/>
          <w:szCs w:val="24"/>
        </w:rPr>
        <w:t>，位于镇区南侧规划范围外，用地规模0.21公顷。</w:t>
      </w:r>
    </w:p>
    <w:p>
      <w:pPr>
        <w:pStyle w:val="5"/>
        <w:numPr>
          <w:ilvl w:val="0"/>
          <w:numId w:val="74"/>
        </w:numPr>
        <w:spacing w:line="360" w:lineRule="auto"/>
        <w:ind w:left="0" w:firstLine="482" w:firstLineChars="200"/>
        <w:rPr>
          <w:b/>
          <w:bCs/>
        </w:rPr>
      </w:pPr>
      <w:r>
        <w:rPr>
          <w:rFonts w:hint="eastAsia"/>
          <w:b/>
          <w:bCs/>
        </w:rPr>
        <w:t>交通设施规划</w:t>
      </w:r>
    </w:p>
    <w:p>
      <w:pPr>
        <w:pStyle w:val="81"/>
        <w:numPr>
          <w:ilvl w:val="0"/>
          <w:numId w:val="7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镇区路网</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规划金元镇镇区的道路等级分为过境道路、镇区干路和镇区支路三级，形成“</w:t>
      </w:r>
      <w:r>
        <w:rPr>
          <w:rFonts w:ascii="宋体" w:hAnsi="宋体" w:cs="宋体"/>
          <w:sz w:val="24"/>
          <w:szCs w:val="24"/>
        </w:rPr>
        <w:t>X”型的</w:t>
      </w:r>
      <w:r>
        <w:rPr>
          <w:rFonts w:hint="eastAsia" w:ascii="宋体" w:hAnsi="宋体" w:cs="宋体"/>
          <w:sz w:val="24"/>
          <w:szCs w:val="24"/>
        </w:rPr>
        <w:t>干</w:t>
      </w:r>
      <w:r>
        <w:rPr>
          <w:rFonts w:ascii="宋体" w:hAnsi="宋体" w:cs="宋体"/>
          <w:sz w:val="24"/>
          <w:szCs w:val="24"/>
        </w:rPr>
        <w:t>路网格局。</w:t>
      </w:r>
      <w:r>
        <w:rPr>
          <w:rFonts w:hint="eastAsia" w:ascii="宋体" w:hAnsi="宋体" w:cs="宋体"/>
          <w:sz w:val="24"/>
          <w:szCs w:val="24"/>
        </w:rPr>
        <w:t>过境道路为省道S</w:t>
      </w:r>
      <w:r>
        <w:rPr>
          <w:rFonts w:ascii="宋体" w:hAnsi="宋体" w:cs="宋体"/>
          <w:sz w:val="24"/>
          <w:szCs w:val="24"/>
        </w:rPr>
        <w:t>307</w:t>
      </w:r>
      <w:r>
        <w:rPr>
          <w:rFonts w:hint="eastAsia" w:ascii="宋体" w:hAnsi="宋体" w:cs="宋体"/>
          <w:sz w:val="24"/>
          <w:szCs w:val="24"/>
        </w:rPr>
        <w:t>改线，从镇区西侧穿过，红线宽度1</w:t>
      </w:r>
      <w:r>
        <w:rPr>
          <w:rFonts w:ascii="宋体" w:hAnsi="宋体" w:cs="宋体"/>
          <w:sz w:val="24"/>
          <w:szCs w:val="24"/>
        </w:rPr>
        <w:t>0</w:t>
      </w:r>
      <w:r>
        <w:rPr>
          <w:rFonts w:hint="eastAsia" w:ascii="宋体" w:hAnsi="宋体" w:cs="宋体"/>
          <w:sz w:val="24"/>
          <w:szCs w:val="24"/>
        </w:rPr>
        <w:t>米；镇区干路包括金元街、和平街、金马街和金容路，均为现状道路，红线宽度</w:t>
      </w:r>
      <w:r>
        <w:rPr>
          <w:rFonts w:ascii="宋体" w:hAnsi="宋体" w:cs="宋体"/>
          <w:sz w:val="24"/>
          <w:szCs w:val="24"/>
        </w:rPr>
        <w:t>10</w:t>
      </w:r>
      <w:r>
        <w:rPr>
          <w:rFonts w:hint="eastAsia" w:ascii="宋体" w:hAnsi="宋体" w:cs="宋体"/>
          <w:sz w:val="24"/>
          <w:szCs w:val="24"/>
        </w:rPr>
        <w:t>米；其余道路为支路，红线宽度4～</w:t>
      </w:r>
      <w:r>
        <w:rPr>
          <w:rFonts w:ascii="宋体" w:hAnsi="宋体" w:cs="宋体"/>
          <w:sz w:val="24"/>
          <w:szCs w:val="24"/>
        </w:rPr>
        <w:t>10</w:t>
      </w:r>
      <w:r>
        <w:rPr>
          <w:rFonts w:hint="eastAsia" w:ascii="宋体" w:hAnsi="宋体" w:cs="宋体"/>
          <w:sz w:val="24"/>
          <w:szCs w:val="24"/>
        </w:rPr>
        <w:t>米</w:t>
      </w:r>
      <w:r>
        <w:rPr>
          <w:rFonts w:ascii="宋体" w:hAnsi="宋体" w:cs="宋体"/>
          <w:sz w:val="24"/>
          <w:szCs w:val="24"/>
        </w:rPr>
        <w:t>。</w:t>
      </w:r>
    </w:p>
    <w:p>
      <w:pPr>
        <w:pStyle w:val="81"/>
        <w:numPr>
          <w:ilvl w:val="0"/>
          <w:numId w:val="7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停车设施</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新建建筑配建停车场标准参考《遂宁市城市规划管理技术规定》（修订）和《大英县城市规划管理技术规定》（试行）。规划新增、保留公共停车场2处，用地面积共0</w:t>
      </w:r>
      <w:r>
        <w:rPr>
          <w:rFonts w:ascii="宋体" w:hAnsi="宋体" w:cs="宋体"/>
          <w:sz w:val="24"/>
          <w:szCs w:val="24"/>
        </w:rPr>
        <w:t>.2</w:t>
      </w:r>
      <w:r>
        <w:rPr>
          <w:rFonts w:hint="eastAsia" w:ascii="宋体" w:hAnsi="宋体" w:cs="宋体"/>
          <w:sz w:val="24"/>
          <w:szCs w:val="24"/>
        </w:rPr>
        <w:t>1公顷，分别位于闲置小学南侧和卫生院对面，地块编码分别为JY-04-05、JY-04-19。</w:t>
      </w:r>
    </w:p>
    <w:p>
      <w:pPr>
        <w:pStyle w:val="81"/>
        <w:numPr>
          <w:ilvl w:val="0"/>
          <w:numId w:val="78"/>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道路交通技术指标控制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根据《城乡建设用地竖向规划规范》（CJJ83—2016）规定，综合考虑地形、防洪防涝、排水和工程管线的布线等要求，新建道路规划最大纵坡为3</w:t>
      </w:r>
      <w:r>
        <w:rPr>
          <w:rFonts w:ascii="宋体" w:hAnsi="宋体" w:cs="宋体"/>
          <w:sz w:val="24"/>
          <w:szCs w:val="24"/>
        </w:rPr>
        <w:t>.23</w:t>
      </w:r>
      <w:r>
        <w:rPr>
          <w:rFonts w:hint="eastAsia" w:ascii="宋体" w:hAnsi="宋体" w:cs="宋体"/>
          <w:sz w:val="24"/>
          <w:szCs w:val="24"/>
        </w:rPr>
        <w:t>％，最小纵坡为0.3％。镇区道路交叉口均为平交。禁止开口路段长度按照主干道自交叉口路缘石半径切点起向后</w:t>
      </w:r>
      <w:r>
        <w:rPr>
          <w:rFonts w:ascii="宋体" w:hAnsi="宋体" w:cs="宋体"/>
          <w:sz w:val="24"/>
          <w:szCs w:val="24"/>
        </w:rPr>
        <w:t>3</w:t>
      </w:r>
      <w:r>
        <w:rPr>
          <w:rFonts w:hint="eastAsia" w:ascii="宋体" w:hAnsi="宋体" w:cs="宋体"/>
          <w:sz w:val="24"/>
          <w:szCs w:val="24"/>
        </w:rPr>
        <w:t>0米、次干道</w:t>
      </w:r>
      <w:r>
        <w:rPr>
          <w:rFonts w:ascii="宋体" w:hAnsi="宋体" w:cs="宋体"/>
          <w:sz w:val="24"/>
          <w:szCs w:val="24"/>
        </w:rPr>
        <w:t>2</w:t>
      </w:r>
      <w:r>
        <w:rPr>
          <w:rFonts w:hint="eastAsia" w:ascii="宋体" w:hAnsi="宋体" w:cs="宋体"/>
          <w:sz w:val="24"/>
          <w:szCs w:val="24"/>
        </w:rPr>
        <w:t>0米、支路</w:t>
      </w:r>
      <w:r>
        <w:rPr>
          <w:rFonts w:ascii="宋体" w:hAnsi="宋体" w:cs="宋体"/>
          <w:sz w:val="24"/>
          <w:szCs w:val="24"/>
        </w:rPr>
        <w:t>1</w:t>
      </w:r>
      <w:r>
        <w:rPr>
          <w:rFonts w:hint="eastAsia" w:ascii="宋体" w:hAnsi="宋体" w:cs="宋体"/>
          <w:sz w:val="24"/>
          <w:szCs w:val="24"/>
        </w:rPr>
        <w:t>0米进行控制。</w:t>
      </w:r>
    </w:p>
    <w:p>
      <w:pPr>
        <w:pStyle w:val="5"/>
        <w:numPr>
          <w:ilvl w:val="0"/>
          <w:numId w:val="74"/>
        </w:numPr>
        <w:spacing w:line="360" w:lineRule="auto"/>
        <w:ind w:left="0" w:firstLine="482" w:firstLineChars="200"/>
        <w:rPr>
          <w:b/>
          <w:bCs/>
        </w:rPr>
      </w:pPr>
      <w:r>
        <w:rPr>
          <w:rFonts w:hint="eastAsia"/>
          <w:b/>
          <w:bCs/>
        </w:rPr>
        <w:t>市政设施规划</w:t>
      </w:r>
    </w:p>
    <w:p>
      <w:pPr>
        <w:pStyle w:val="81"/>
        <w:numPr>
          <w:ilvl w:val="0"/>
          <w:numId w:val="7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给水工程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规划期末金元镇城镇常住人口为0.2万人，依据《镇(乡)村给水工程规划规范》（CJJ</w:t>
      </w:r>
      <w:r>
        <w:rPr>
          <w:rFonts w:ascii="宋体" w:hAnsi="宋体" w:cs="宋体"/>
          <w:sz w:val="24"/>
          <w:szCs w:val="24"/>
        </w:rPr>
        <w:t>/</w:t>
      </w:r>
      <w:r>
        <w:rPr>
          <w:rFonts w:hint="eastAsia" w:ascii="宋体" w:hAnsi="宋体" w:cs="宋体"/>
          <w:sz w:val="24"/>
          <w:szCs w:val="24"/>
        </w:rPr>
        <w:t>T</w:t>
      </w:r>
      <w:r>
        <w:rPr>
          <w:rFonts w:ascii="宋体" w:hAnsi="宋体" w:cs="宋体"/>
          <w:sz w:val="24"/>
          <w:szCs w:val="24"/>
        </w:rPr>
        <w:t xml:space="preserve"> </w:t>
      </w:r>
      <w:r>
        <w:rPr>
          <w:rFonts w:hint="eastAsia" w:ascii="宋体" w:hAnsi="宋体" w:cs="宋体"/>
          <w:sz w:val="24"/>
          <w:szCs w:val="24"/>
        </w:rPr>
        <w:t>246—2016），综合考虑生活用水、公共建筑用水、管网漏损水量以及未预见用水，镇区人均生活用水量按0.22 m³/d计算，预测镇区远期最高日用水量为</w:t>
      </w:r>
      <w:r>
        <w:rPr>
          <w:rFonts w:ascii="宋体" w:hAnsi="宋体" w:cs="宋体"/>
          <w:sz w:val="24"/>
          <w:szCs w:val="24"/>
        </w:rPr>
        <w:t>440m³/d。</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规划近期保留金元供水站，远期改建为供水加压泵站，设计规模为</w:t>
      </w:r>
      <w:r>
        <w:rPr>
          <w:rFonts w:ascii="宋体" w:hAnsi="宋体" w:cs="宋体"/>
          <w:b/>
          <w:bCs/>
          <w:sz w:val="24"/>
          <w:szCs w:val="24"/>
          <w:u w:val="single"/>
        </w:rPr>
        <w:t>13</w:t>
      </w:r>
      <w:r>
        <w:rPr>
          <w:rFonts w:hint="eastAsia" w:ascii="宋体" w:hAnsi="宋体" w:cs="宋体"/>
          <w:b/>
          <w:bCs/>
          <w:sz w:val="24"/>
          <w:szCs w:val="24"/>
          <w:u w:val="single"/>
        </w:rPr>
        <w:t>00</w:t>
      </w:r>
      <w:r>
        <w:rPr>
          <w:rFonts w:ascii="宋体" w:hAnsi="宋体" w:cs="宋体"/>
          <w:b/>
          <w:bCs/>
          <w:sz w:val="24"/>
          <w:szCs w:val="24"/>
          <w:u w:val="single"/>
        </w:rPr>
        <w:t>m³/d</w:t>
      </w:r>
      <w:r>
        <w:rPr>
          <w:rFonts w:hint="eastAsia" w:ascii="宋体" w:hAnsi="宋体" w:cs="宋体"/>
          <w:b/>
          <w:bCs/>
          <w:sz w:val="24"/>
          <w:szCs w:val="24"/>
          <w:u w:val="single"/>
        </w:rPr>
        <w:t>，地块编码为JY-04-21。</w:t>
      </w:r>
      <w:r>
        <w:rPr>
          <w:rFonts w:hint="eastAsia" w:ascii="宋体" w:hAnsi="宋体" w:cs="宋体"/>
          <w:sz w:val="24"/>
          <w:szCs w:val="24"/>
        </w:rPr>
        <w:t>保留清水池</w:t>
      </w:r>
      <w:r>
        <w:rPr>
          <w:rFonts w:ascii="宋体" w:hAnsi="宋体" w:cs="宋体"/>
          <w:sz w:val="24"/>
          <w:szCs w:val="24"/>
        </w:rPr>
        <w:t>1</w:t>
      </w:r>
      <w:r>
        <w:rPr>
          <w:rFonts w:hint="eastAsia" w:ascii="宋体" w:hAnsi="宋体" w:cs="宋体"/>
          <w:sz w:val="24"/>
          <w:szCs w:val="24"/>
        </w:rPr>
        <w:t>处，位于镇区中部。</w:t>
      </w:r>
      <w:r>
        <w:rPr>
          <w:rFonts w:ascii="宋体" w:hAnsi="宋体" w:cs="宋体"/>
          <w:sz w:val="24"/>
          <w:szCs w:val="24"/>
        </w:rPr>
        <w:t xml:space="preserve"> </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规划形成</w:t>
      </w:r>
      <w:r>
        <w:rPr>
          <w:rFonts w:ascii="宋体" w:hAnsi="宋体" w:cs="宋体"/>
          <w:sz w:val="24"/>
          <w:szCs w:val="24"/>
        </w:rPr>
        <w:t>“</w:t>
      </w:r>
      <w:r>
        <w:rPr>
          <w:rFonts w:hint="eastAsia" w:ascii="宋体" w:hAnsi="宋体" w:cs="宋体"/>
          <w:sz w:val="24"/>
          <w:szCs w:val="24"/>
        </w:rPr>
        <w:t>条状</w:t>
      </w:r>
      <w:r>
        <w:rPr>
          <w:rFonts w:ascii="宋体" w:hAnsi="宋体" w:cs="宋体"/>
          <w:sz w:val="24"/>
          <w:szCs w:val="24"/>
        </w:rPr>
        <w:t>+</w:t>
      </w:r>
      <w:r>
        <w:rPr>
          <w:rFonts w:hint="eastAsia" w:ascii="宋体" w:hAnsi="宋体" w:cs="宋体"/>
          <w:sz w:val="24"/>
          <w:szCs w:val="24"/>
        </w:rPr>
        <w:t>放射线</w:t>
      </w:r>
      <w:r>
        <w:rPr>
          <w:rFonts w:ascii="宋体" w:hAnsi="宋体" w:cs="宋体"/>
          <w:sz w:val="24"/>
          <w:szCs w:val="24"/>
        </w:rPr>
        <w:t>”</w:t>
      </w:r>
      <w:r>
        <w:rPr>
          <w:rFonts w:hint="eastAsia" w:ascii="宋体" w:hAnsi="宋体" w:cs="宋体"/>
          <w:sz w:val="24"/>
          <w:szCs w:val="24"/>
        </w:rPr>
        <w:t>的给水管网布局，沿城镇道路敷设，主干给水管网互联互通</w:t>
      </w:r>
      <w:r>
        <w:rPr>
          <w:rFonts w:ascii="宋体" w:hAnsi="宋体" w:cs="宋体"/>
          <w:sz w:val="24"/>
          <w:szCs w:val="24"/>
        </w:rPr>
        <w:t>，并向周边农村聚居点延伸</w:t>
      </w:r>
      <w:r>
        <w:rPr>
          <w:rFonts w:hint="eastAsia" w:ascii="宋体" w:hAnsi="宋体" w:cs="宋体"/>
          <w:sz w:val="24"/>
          <w:szCs w:val="24"/>
        </w:rPr>
        <w:t>，规划管径</w:t>
      </w:r>
      <w:r>
        <w:rPr>
          <w:rFonts w:ascii="宋体" w:hAnsi="宋体" w:cs="宋体"/>
          <w:sz w:val="24"/>
          <w:szCs w:val="24"/>
        </w:rPr>
        <w:t>DN</w:t>
      </w:r>
      <w:r>
        <w:rPr>
          <w:rFonts w:hint="eastAsia" w:ascii="宋体" w:hAnsi="宋体" w:cs="宋体"/>
          <w:sz w:val="24"/>
          <w:szCs w:val="24"/>
        </w:rPr>
        <w:t>100～</w:t>
      </w:r>
      <w:r>
        <w:rPr>
          <w:rFonts w:ascii="宋体" w:hAnsi="宋体" w:cs="宋体"/>
          <w:sz w:val="24"/>
          <w:szCs w:val="24"/>
        </w:rPr>
        <w:t>DN</w:t>
      </w:r>
      <w:r>
        <w:rPr>
          <w:rFonts w:hint="eastAsia" w:ascii="宋体" w:hAnsi="宋体" w:cs="宋体"/>
          <w:sz w:val="24"/>
          <w:szCs w:val="24"/>
        </w:rPr>
        <w:t>30</w:t>
      </w:r>
      <w:r>
        <w:rPr>
          <w:rFonts w:ascii="宋体" w:hAnsi="宋体" w:cs="宋体"/>
          <w:sz w:val="24"/>
          <w:szCs w:val="24"/>
        </w:rPr>
        <w:t>0</w:t>
      </w:r>
      <w:r>
        <w:rPr>
          <w:rFonts w:hint="eastAsia" w:ascii="宋体" w:hAnsi="宋体" w:cs="宋体"/>
          <w:sz w:val="24"/>
          <w:szCs w:val="24"/>
        </w:rPr>
        <w:t>。镇区消防供水与生活供水共用管网与水源。</w:t>
      </w:r>
    </w:p>
    <w:p>
      <w:pPr>
        <w:pStyle w:val="81"/>
        <w:numPr>
          <w:ilvl w:val="0"/>
          <w:numId w:val="7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排水工程</w:t>
      </w:r>
    </w:p>
    <w:p>
      <w:pPr>
        <w:tabs>
          <w:tab w:val="left" w:pos="0"/>
        </w:tabs>
        <w:spacing w:line="360" w:lineRule="auto"/>
        <w:ind w:firstLine="480" w:firstLineChars="200"/>
        <w:jc w:val="left"/>
        <w:rPr>
          <w:rFonts w:ascii="宋体" w:hAnsi="宋体" w:cs="宋体"/>
          <w:sz w:val="24"/>
          <w:szCs w:val="24"/>
        </w:rPr>
      </w:pPr>
      <w:r>
        <w:rPr>
          <w:rFonts w:hint="eastAsia" w:ascii="宋体" w:hAnsi="宋体" w:cs="宋体"/>
          <w:sz w:val="24"/>
          <w:szCs w:val="24"/>
        </w:rPr>
        <w:t>规划金元镇区采用雨污分流的排水体制，污水排放量按照综合生活用水的85%计算。预测需处理的污水总量为</w:t>
      </w:r>
      <w:r>
        <w:rPr>
          <w:rFonts w:ascii="宋体" w:hAnsi="宋体" w:cs="宋体"/>
          <w:sz w:val="24"/>
          <w:szCs w:val="24"/>
        </w:rPr>
        <w:t>481</w:t>
      </w:r>
      <w:r>
        <w:rPr>
          <w:rFonts w:hint="eastAsia" w:ascii="宋体" w:hAnsi="宋体" w:cs="宋体"/>
          <w:sz w:val="24"/>
          <w:szCs w:val="24"/>
        </w:rPr>
        <w:t>m³/d，其中镇区污水总量为</w:t>
      </w:r>
      <w:r>
        <w:rPr>
          <w:rFonts w:ascii="宋体" w:hAnsi="宋体" w:cs="宋体"/>
          <w:sz w:val="24"/>
          <w:szCs w:val="24"/>
        </w:rPr>
        <w:t>374</w:t>
      </w:r>
      <w:r>
        <w:rPr>
          <w:rFonts w:hint="eastAsia" w:ascii="宋体" w:hAnsi="宋体" w:cs="宋体"/>
          <w:sz w:val="24"/>
          <w:szCs w:val="24"/>
        </w:rPr>
        <w:t>m³/d，纳入镇区处理的周边农村居民点污水重量为1</w:t>
      </w:r>
      <w:r>
        <w:rPr>
          <w:rFonts w:ascii="宋体" w:hAnsi="宋体" w:cs="宋体"/>
          <w:sz w:val="24"/>
          <w:szCs w:val="24"/>
        </w:rPr>
        <w:t>17</w:t>
      </w:r>
      <w:r>
        <w:rPr>
          <w:rFonts w:hint="eastAsia" w:ascii="宋体" w:hAnsi="宋体" w:cs="宋体"/>
          <w:sz w:val="24"/>
          <w:szCs w:val="24"/>
        </w:rPr>
        <w:t>m³/d。</w:t>
      </w:r>
      <w:r>
        <w:rPr>
          <w:rFonts w:hint="eastAsia" w:ascii="宋体" w:hAnsi="宋体" w:cs="宋体"/>
          <w:b/>
          <w:bCs/>
          <w:sz w:val="24"/>
          <w:szCs w:val="24"/>
          <w:u w:val="single"/>
        </w:rPr>
        <w:t>扩建现状污水处理厂，设计处理规模为</w:t>
      </w:r>
      <w:r>
        <w:rPr>
          <w:rFonts w:ascii="宋体" w:hAnsi="宋体" w:cs="宋体"/>
          <w:b/>
          <w:bCs/>
          <w:sz w:val="24"/>
          <w:szCs w:val="24"/>
          <w:u w:val="single"/>
        </w:rPr>
        <w:t>5</w:t>
      </w:r>
      <w:r>
        <w:rPr>
          <w:rFonts w:hint="eastAsia" w:ascii="宋体" w:hAnsi="宋体" w:cs="宋体"/>
          <w:b/>
          <w:bCs/>
          <w:sz w:val="24"/>
          <w:szCs w:val="24"/>
          <w:u w:val="single"/>
        </w:rPr>
        <w:t>00m³/d，地块编码为JY-01-10、JY-01-11，用地规模0.24公顷。</w:t>
      </w:r>
      <w:r>
        <w:rPr>
          <w:rFonts w:hint="eastAsia" w:ascii="宋体" w:hAnsi="宋体" w:cs="宋体"/>
          <w:sz w:val="24"/>
          <w:szCs w:val="24"/>
        </w:rPr>
        <w:t>完善镇区污水管网，沿黄腊溪和主要道路敷设，并向周边农村居民点延伸，规划管径DN300～DN500。</w:t>
      </w:r>
      <w:r>
        <w:rPr>
          <w:rFonts w:hint="eastAsia" w:ascii="宋体" w:hAnsi="宋体" w:cs="宋体"/>
          <w:b/>
          <w:bCs/>
          <w:sz w:val="24"/>
          <w:szCs w:val="24"/>
          <w:u w:val="single"/>
        </w:rPr>
        <w:t>排入城镇污水管网的各类污水必须符合《污水排入城镇下水道水质标准》（GB</w:t>
      </w:r>
      <w:r>
        <w:rPr>
          <w:rFonts w:ascii="宋体" w:hAnsi="宋体" w:cs="宋体"/>
          <w:b/>
          <w:bCs/>
          <w:sz w:val="24"/>
          <w:szCs w:val="24"/>
          <w:u w:val="single"/>
        </w:rPr>
        <w:t>/</w:t>
      </w:r>
      <w:r>
        <w:rPr>
          <w:rFonts w:hint="eastAsia" w:ascii="宋体" w:hAnsi="宋体" w:cs="宋体"/>
          <w:b/>
          <w:bCs/>
          <w:sz w:val="24"/>
          <w:szCs w:val="24"/>
          <w:u w:val="single"/>
        </w:rPr>
        <w:t>T</w:t>
      </w:r>
      <w:r>
        <w:rPr>
          <w:rFonts w:ascii="宋体" w:hAnsi="宋体" w:cs="宋体"/>
          <w:b/>
          <w:bCs/>
          <w:sz w:val="24"/>
          <w:szCs w:val="24"/>
          <w:u w:val="single"/>
        </w:rPr>
        <w:t>31962—2015</w:t>
      </w:r>
      <w:r>
        <w:rPr>
          <w:rFonts w:hint="eastAsia" w:ascii="宋体" w:hAnsi="宋体" w:cs="宋体"/>
          <w:b/>
          <w:bCs/>
          <w:sz w:val="24"/>
          <w:szCs w:val="24"/>
          <w:u w:val="single"/>
        </w:rPr>
        <w:t>），污水处理站处理后排放标准不低于《城镇污水处理厂污染物排放标准》中的一级A 标准。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大英县距遂宁市区较近，气象条件与遂宁市差别小，遂宁市的暴雨强度基本上能代表大英县的降雨特征，因此，金元镇的雨水流量计算采用遂宁市暴雨强度公式：</w:t>
      </w:r>
    </w:p>
    <w:p>
      <w:pPr>
        <w:tabs>
          <w:tab w:val="left" w:pos="0"/>
        </w:tabs>
        <w:spacing w:line="360" w:lineRule="auto"/>
        <w:ind w:firstLine="480" w:firstLineChars="200"/>
        <w:jc w:val="center"/>
        <w:rPr>
          <w:rFonts w:ascii="宋体" w:hAnsi="宋体" w:cs="宋体"/>
          <w:sz w:val="24"/>
          <w:szCs w:val="24"/>
        </w:rPr>
      </w:pPr>
      <w:r>
        <w:rPr>
          <w:rFonts w:hint="eastAsia" w:ascii="宋体" w:hAnsi="宋体" w:cs="宋体"/>
          <w:sz w:val="24"/>
          <w:szCs w:val="24"/>
        </w:rPr>
        <w:drawing>
          <wp:inline distT="0" distB="0" distL="0" distR="0">
            <wp:extent cx="3238500" cy="8108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95830" cy="825583"/>
                    </a:xfrm>
                    <a:prstGeom prst="rect">
                      <a:avLst/>
                    </a:prstGeom>
                    <a:noFill/>
                    <a:ln>
                      <a:noFill/>
                    </a:ln>
                  </pic:spPr>
                </pic:pic>
              </a:graphicData>
            </a:graphic>
          </wp:inline>
        </w:drawing>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镇区根据道路重要程度不同，设计重现期P取1～3 年，径流系数取0.50～0.60，地面集水时间≤10 分钟。</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考虑到水质污染问题，将镇区原先的雨水沟规划为雨水管道，雨水排放遵循就近排放原则，规划共划分4个雨水分区。规划镇区雨水管道管径</w:t>
      </w:r>
      <w:r>
        <w:rPr>
          <w:rFonts w:ascii="宋体" w:hAnsi="宋体" w:cs="宋体"/>
          <w:sz w:val="24"/>
          <w:szCs w:val="24"/>
        </w:rPr>
        <w:t>DN</w:t>
      </w:r>
      <w:r>
        <w:rPr>
          <w:rFonts w:hint="eastAsia" w:ascii="宋体" w:hAnsi="宋体" w:cs="宋体"/>
          <w:sz w:val="24"/>
          <w:szCs w:val="24"/>
        </w:rPr>
        <w:t>6</w:t>
      </w:r>
      <w:r>
        <w:rPr>
          <w:rFonts w:ascii="宋体" w:hAnsi="宋体" w:cs="宋体"/>
          <w:sz w:val="24"/>
          <w:szCs w:val="24"/>
        </w:rPr>
        <w:t>00</w:t>
      </w:r>
      <w:r>
        <w:rPr>
          <w:rFonts w:hint="eastAsia" w:ascii="宋体" w:hAnsi="宋体" w:cs="宋体"/>
          <w:sz w:val="24"/>
          <w:szCs w:val="24"/>
        </w:rPr>
        <w:t>～</w:t>
      </w:r>
      <w:r>
        <w:rPr>
          <w:rFonts w:ascii="宋体" w:hAnsi="宋体" w:cs="宋体"/>
          <w:sz w:val="24"/>
          <w:szCs w:val="24"/>
        </w:rPr>
        <w:t>DN</w:t>
      </w:r>
      <w:r>
        <w:rPr>
          <w:rFonts w:hint="eastAsia" w:ascii="宋体" w:hAnsi="宋体" w:cs="宋体"/>
          <w:sz w:val="24"/>
          <w:szCs w:val="24"/>
        </w:rPr>
        <w:t>800，沿城镇道路敷设。雨水管道的管径按均匀满流计算，雨水管道的衔接一般采用管顶平接方式。接纳镇区雨水的河道主要为黄腊溪。</w:t>
      </w:r>
    </w:p>
    <w:p>
      <w:pPr>
        <w:pStyle w:val="81"/>
        <w:numPr>
          <w:ilvl w:val="0"/>
          <w:numId w:val="7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电力工程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依据《城市电力规划规范》（GB/T50293—2014）和大英县电量负荷历史数据分析负荷和电量的变化趋势，再结合片区实际情况确定人均综合用电量为</w:t>
      </w:r>
      <w:r>
        <w:rPr>
          <w:rFonts w:ascii="宋体" w:hAnsi="宋体" w:cs="宋体"/>
          <w:sz w:val="24"/>
          <w:szCs w:val="24"/>
        </w:rPr>
        <w:t>27</w:t>
      </w:r>
      <w:r>
        <w:rPr>
          <w:rFonts w:hint="eastAsia" w:ascii="宋体" w:hAnsi="宋体" w:cs="宋体"/>
          <w:sz w:val="24"/>
          <w:szCs w:val="24"/>
        </w:rPr>
        <w:t>00千瓦时/（人·年），预测到金元镇区规划期末总用电负荷约为</w:t>
      </w:r>
      <w:r>
        <w:rPr>
          <w:rFonts w:ascii="宋体" w:hAnsi="宋体" w:cs="宋体"/>
          <w:sz w:val="24"/>
          <w:szCs w:val="24"/>
        </w:rPr>
        <w:t>0.</w:t>
      </w:r>
      <w:r>
        <w:rPr>
          <w:rFonts w:hint="eastAsia" w:ascii="宋体" w:hAnsi="宋体" w:cs="宋体"/>
          <w:sz w:val="24"/>
          <w:szCs w:val="24"/>
        </w:rPr>
        <w:t>0</w:t>
      </w:r>
      <w:r>
        <w:rPr>
          <w:rFonts w:ascii="宋体" w:hAnsi="宋体" w:cs="宋体"/>
          <w:sz w:val="24"/>
          <w:szCs w:val="24"/>
        </w:rPr>
        <w:t>5</w:t>
      </w:r>
      <w:r>
        <w:rPr>
          <w:rFonts w:hint="eastAsia" w:ascii="宋体" w:hAnsi="宋体" w:cs="宋体"/>
          <w:sz w:val="24"/>
          <w:szCs w:val="24"/>
        </w:rPr>
        <w:t>亿千瓦时/年。最大负荷利用小时数取4</w:t>
      </w:r>
      <w:r>
        <w:rPr>
          <w:rFonts w:ascii="宋体" w:hAnsi="宋体" w:cs="宋体"/>
          <w:sz w:val="24"/>
          <w:szCs w:val="24"/>
        </w:rPr>
        <w:t>500</w:t>
      </w:r>
      <w:r>
        <w:rPr>
          <w:rFonts w:hint="eastAsia" w:ascii="宋体" w:hAnsi="宋体" w:cs="宋体"/>
          <w:sz w:val="24"/>
          <w:szCs w:val="24"/>
        </w:rPr>
        <w:t>小时/年，则最大用电负荷约为</w:t>
      </w:r>
      <w:r>
        <w:rPr>
          <w:rFonts w:ascii="宋体" w:hAnsi="宋体" w:cs="宋体"/>
          <w:sz w:val="24"/>
          <w:szCs w:val="24"/>
        </w:rPr>
        <w:t>0.</w:t>
      </w:r>
      <w:r>
        <w:rPr>
          <w:rFonts w:hint="eastAsia" w:ascii="宋体" w:hAnsi="宋体" w:cs="宋体"/>
          <w:sz w:val="24"/>
          <w:szCs w:val="24"/>
        </w:rPr>
        <w:t>1</w:t>
      </w:r>
      <w:r>
        <w:rPr>
          <w:rFonts w:ascii="宋体" w:hAnsi="宋体" w:cs="宋体"/>
          <w:sz w:val="24"/>
          <w:szCs w:val="24"/>
        </w:rPr>
        <w:t>2</w:t>
      </w:r>
      <w:r>
        <w:rPr>
          <w:rFonts w:hint="eastAsia" w:ascii="宋体" w:hAnsi="宋体" w:cs="宋体"/>
          <w:sz w:val="24"/>
          <w:szCs w:val="24"/>
        </w:rPr>
        <w:t>万千瓦。</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镇区供电以</w:t>
      </w:r>
      <w:r>
        <w:rPr>
          <w:rFonts w:ascii="宋体" w:hAnsi="宋体" w:cs="宋体"/>
          <w:sz w:val="24"/>
          <w:szCs w:val="24"/>
        </w:rPr>
        <w:t>10</w:t>
      </w:r>
      <w:r>
        <w:rPr>
          <w:rFonts w:hint="eastAsia" w:ascii="宋体" w:hAnsi="宋体" w:cs="宋体"/>
          <w:sz w:val="24"/>
          <w:szCs w:val="24"/>
        </w:rPr>
        <w:t>千伏环状中压配电网为主，沿城镇道路敷设，电源来自隆盛供电所</w:t>
      </w:r>
      <w:r>
        <w:rPr>
          <w:rFonts w:ascii="宋体" w:hAnsi="宋体" w:cs="宋体"/>
          <w:sz w:val="24"/>
          <w:szCs w:val="24"/>
        </w:rPr>
        <w:t>。规划</w:t>
      </w:r>
      <w:r>
        <w:rPr>
          <w:rFonts w:hint="eastAsia" w:ascii="宋体" w:hAnsi="宋体" w:cs="宋体"/>
          <w:sz w:val="24"/>
          <w:szCs w:val="24"/>
        </w:rPr>
        <w:t>逐步推进</w:t>
      </w:r>
      <w:r>
        <w:rPr>
          <w:rFonts w:ascii="宋体" w:hAnsi="宋体" w:cs="宋体"/>
          <w:sz w:val="24"/>
          <w:szCs w:val="24"/>
        </w:rPr>
        <w:t>10</w:t>
      </w:r>
      <w:r>
        <w:rPr>
          <w:rFonts w:hint="eastAsia" w:ascii="宋体" w:hAnsi="宋体" w:cs="宋体"/>
          <w:sz w:val="24"/>
          <w:szCs w:val="24"/>
        </w:rPr>
        <w:t>千伏及以下电力线路采用埋地敷设，线缆规格为4孔～</w:t>
      </w:r>
      <w:r>
        <w:rPr>
          <w:rFonts w:ascii="宋体" w:hAnsi="宋体" w:cs="宋体"/>
          <w:sz w:val="24"/>
          <w:szCs w:val="24"/>
        </w:rPr>
        <w:t>6</w:t>
      </w:r>
      <w:r>
        <w:rPr>
          <w:rFonts w:hint="eastAsia" w:ascii="宋体" w:hAnsi="宋体" w:cs="宋体"/>
          <w:sz w:val="24"/>
          <w:szCs w:val="24"/>
        </w:rPr>
        <w:t>孔DN150C-PVC管。在负荷密度高、电缆集中的中心地段，宜采用电缆沟，线路较少的地段可采用直埋或穿管埋地敷设。</w:t>
      </w:r>
    </w:p>
    <w:p>
      <w:pPr>
        <w:pStyle w:val="81"/>
        <w:numPr>
          <w:ilvl w:val="0"/>
          <w:numId w:val="7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通信工程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依据《城市通信工程规划规范》（GB</w:t>
      </w:r>
      <w:r>
        <w:rPr>
          <w:rFonts w:ascii="宋体" w:hAnsi="宋体" w:cs="宋体"/>
          <w:sz w:val="24"/>
          <w:szCs w:val="24"/>
        </w:rPr>
        <w:t>/</w:t>
      </w:r>
      <w:r>
        <w:rPr>
          <w:rFonts w:hint="eastAsia" w:ascii="宋体" w:hAnsi="宋体" w:cs="宋体"/>
          <w:sz w:val="24"/>
          <w:szCs w:val="24"/>
        </w:rPr>
        <w:t>T</w:t>
      </w:r>
      <w:r>
        <w:rPr>
          <w:rFonts w:ascii="宋体" w:hAnsi="宋体" w:cs="宋体"/>
          <w:sz w:val="24"/>
          <w:szCs w:val="24"/>
        </w:rPr>
        <w:t xml:space="preserve"> </w:t>
      </w:r>
      <w:r>
        <w:rPr>
          <w:rFonts w:hint="eastAsia" w:ascii="宋体" w:hAnsi="宋体" w:cs="宋体"/>
          <w:sz w:val="24"/>
          <w:szCs w:val="24"/>
        </w:rPr>
        <w:t>50853—</w:t>
      </w:r>
      <w:r>
        <w:rPr>
          <w:rFonts w:ascii="宋体" w:hAnsi="宋体" w:cs="宋体"/>
          <w:sz w:val="24"/>
          <w:szCs w:val="24"/>
        </w:rPr>
        <w:t>2013</w:t>
      </w:r>
      <w:r>
        <w:rPr>
          <w:rFonts w:hint="eastAsia" w:ascii="宋体" w:hAnsi="宋体" w:cs="宋体"/>
          <w:sz w:val="24"/>
          <w:szCs w:val="24"/>
        </w:rPr>
        <w:t>），金元镇区固定电话主线普及率取54线/百人，移动电话普及率取115卡号/百人，宽带用户取37户/百人。预测到规划期末，金元镇区固定电话主线需求量约</w:t>
      </w:r>
      <w:r>
        <w:rPr>
          <w:rFonts w:ascii="宋体" w:hAnsi="宋体" w:cs="宋体"/>
          <w:sz w:val="24"/>
          <w:szCs w:val="24"/>
        </w:rPr>
        <w:t>0.</w:t>
      </w:r>
      <w:r>
        <w:rPr>
          <w:rFonts w:hint="eastAsia" w:ascii="宋体" w:hAnsi="宋体" w:cs="宋体"/>
          <w:sz w:val="24"/>
          <w:szCs w:val="24"/>
        </w:rPr>
        <w:t>1</w:t>
      </w:r>
      <w:r>
        <w:rPr>
          <w:rFonts w:ascii="宋体" w:hAnsi="宋体" w:cs="宋体"/>
          <w:sz w:val="24"/>
          <w:szCs w:val="24"/>
        </w:rPr>
        <w:t>1</w:t>
      </w:r>
      <w:r>
        <w:rPr>
          <w:rFonts w:hint="eastAsia" w:ascii="宋体" w:hAnsi="宋体" w:cs="宋体"/>
          <w:sz w:val="24"/>
          <w:szCs w:val="24"/>
        </w:rPr>
        <w:t>万线，移动电话需求量约</w:t>
      </w:r>
      <w:r>
        <w:rPr>
          <w:rFonts w:ascii="宋体" w:hAnsi="宋体" w:cs="宋体"/>
          <w:sz w:val="24"/>
          <w:szCs w:val="24"/>
        </w:rPr>
        <w:t>0.</w:t>
      </w:r>
      <w:r>
        <w:rPr>
          <w:rFonts w:hint="eastAsia" w:ascii="宋体" w:hAnsi="宋体" w:cs="宋体"/>
          <w:sz w:val="24"/>
          <w:szCs w:val="24"/>
        </w:rPr>
        <w:t>2</w:t>
      </w:r>
      <w:r>
        <w:rPr>
          <w:rFonts w:ascii="宋体" w:hAnsi="宋体" w:cs="宋体"/>
          <w:sz w:val="24"/>
          <w:szCs w:val="24"/>
        </w:rPr>
        <w:t>3</w:t>
      </w:r>
      <w:r>
        <w:rPr>
          <w:rFonts w:hint="eastAsia" w:ascii="宋体" w:hAnsi="宋体" w:cs="宋体"/>
          <w:sz w:val="24"/>
          <w:szCs w:val="24"/>
        </w:rPr>
        <w:t>万卡号，宽带用户需求量约</w:t>
      </w:r>
      <w:r>
        <w:rPr>
          <w:rFonts w:ascii="宋体" w:hAnsi="宋体" w:cs="宋体"/>
          <w:sz w:val="24"/>
          <w:szCs w:val="24"/>
        </w:rPr>
        <w:t>0.</w:t>
      </w:r>
      <w:r>
        <w:rPr>
          <w:rFonts w:hint="eastAsia" w:ascii="宋体" w:hAnsi="宋体" w:cs="宋体"/>
          <w:sz w:val="24"/>
          <w:szCs w:val="24"/>
        </w:rPr>
        <w:t>0</w:t>
      </w:r>
      <w:r>
        <w:rPr>
          <w:rFonts w:ascii="宋体" w:hAnsi="宋体" w:cs="宋体"/>
          <w:sz w:val="24"/>
          <w:szCs w:val="24"/>
        </w:rPr>
        <w:t>7</w:t>
      </w:r>
      <w:r>
        <w:rPr>
          <w:rFonts w:hint="eastAsia" w:ascii="宋体" w:hAnsi="宋体" w:cs="宋体"/>
          <w:sz w:val="24"/>
          <w:szCs w:val="24"/>
        </w:rPr>
        <w:t>万户。</w:t>
      </w:r>
    </w:p>
    <w:p>
      <w:pPr>
        <w:tabs>
          <w:tab w:val="left" w:pos="0"/>
        </w:tabs>
        <w:spacing w:line="360" w:lineRule="auto"/>
        <w:ind w:firstLine="482" w:firstLineChars="200"/>
        <w:rPr>
          <w:rFonts w:ascii="宋体" w:hAnsi="宋体" w:cs="宋体"/>
          <w:sz w:val="24"/>
          <w:szCs w:val="24"/>
        </w:rPr>
      </w:pPr>
      <w:r>
        <w:rPr>
          <w:rFonts w:hint="eastAsia" w:ascii="宋体" w:hAnsi="宋体" w:cs="宋体"/>
          <w:b/>
          <w:bCs/>
          <w:sz w:val="24"/>
          <w:szCs w:val="24"/>
          <w:u w:val="single"/>
        </w:rPr>
        <w:t>规划保留镇区现状邮政所，地块编码为JY-04-11。</w:t>
      </w:r>
      <w:r>
        <w:rPr>
          <w:rFonts w:hint="eastAsia" w:ascii="宋体" w:hAnsi="宋体" w:cs="宋体"/>
          <w:sz w:val="24"/>
          <w:szCs w:val="24"/>
        </w:rPr>
        <w:t>为提高通讯服务质量和远期容量考虑，规划逐步将全部通信线缆埋地。通信管道采用PVC 管群，规划主干管为9孔，支管为6 孔，沿主要道路敷设，埋深应符合有关规范要求。规划保留现状4座通信基站</w:t>
      </w:r>
      <w:r>
        <w:rPr>
          <w:rFonts w:ascii="宋体" w:hAnsi="宋体" w:cs="宋体"/>
          <w:sz w:val="24"/>
          <w:szCs w:val="24"/>
        </w:rPr>
        <w:t>。</w:t>
      </w:r>
      <w:r>
        <w:rPr>
          <w:rFonts w:hint="eastAsia" w:ascii="宋体" w:hAnsi="宋体" w:cs="宋体"/>
          <w:sz w:val="24"/>
          <w:szCs w:val="24"/>
        </w:rPr>
        <w:t>镇区未来5G基站建设可结合道路两侧居民楼楼顶，沿道路平均每1公里左右修建一处5G基站。</w:t>
      </w:r>
    </w:p>
    <w:p>
      <w:pPr>
        <w:pStyle w:val="81"/>
        <w:numPr>
          <w:ilvl w:val="0"/>
          <w:numId w:val="7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燃气工程</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镇区用气类型主要包括居民生活用气、商业用气、加气站用气和不可预见用气，依据《城镇燃气设计规范》（GB50028—2006）、《城镇燃气规划规范》（GB</w:t>
      </w:r>
      <w:r>
        <w:rPr>
          <w:rFonts w:ascii="宋体" w:hAnsi="宋体" w:cs="宋体"/>
          <w:sz w:val="24"/>
          <w:szCs w:val="24"/>
        </w:rPr>
        <w:t>/T51098—2015</w:t>
      </w:r>
      <w:r>
        <w:rPr>
          <w:rFonts w:hint="eastAsia" w:ascii="宋体" w:hAnsi="宋体" w:cs="宋体"/>
          <w:sz w:val="24"/>
          <w:szCs w:val="24"/>
        </w:rPr>
        <w:t>）及当地的生活水平、生活习惯等因素，镇区居民生活用气按0.3Nm³/人·日，气化率为9</w:t>
      </w:r>
      <w:r>
        <w:rPr>
          <w:rFonts w:ascii="宋体" w:hAnsi="宋体" w:cs="宋体"/>
          <w:sz w:val="24"/>
          <w:szCs w:val="24"/>
        </w:rPr>
        <w:t>0</w:t>
      </w:r>
      <w:r>
        <w:rPr>
          <w:rFonts w:hint="eastAsia" w:ascii="宋体" w:hAnsi="宋体" w:cs="宋体"/>
          <w:sz w:val="24"/>
          <w:szCs w:val="24"/>
        </w:rPr>
        <w:t>%进行计算，商业用气按照居民生活用气的20%计算，加气站用气按照同期居民用气量的30%计算，不可预见用气按前述用气总量的5%计算，则到规划期末，镇区居民生活用气量为</w:t>
      </w:r>
      <w:r>
        <w:rPr>
          <w:rFonts w:ascii="宋体" w:hAnsi="宋体" w:cs="宋体"/>
          <w:sz w:val="24"/>
          <w:szCs w:val="24"/>
        </w:rPr>
        <w:t>540</w:t>
      </w:r>
      <w:r>
        <w:rPr>
          <w:rFonts w:hint="eastAsia" w:ascii="宋体" w:hAnsi="宋体" w:cs="宋体"/>
          <w:sz w:val="24"/>
          <w:szCs w:val="24"/>
        </w:rPr>
        <w:t>Nm³/日，商业用气量为</w:t>
      </w:r>
      <w:r>
        <w:rPr>
          <w:rFonts w:ascii="宋体" w:hAnsi="宋体" w:cs="宋体"/>
          <w:sz w:val="24"/>
          <w:szCs w:val="24"/>
        </w:rPr>
        <w:t>108</w:t>
      </w:r>
      <w:r>
        <w:rPr>
          <w:rFonts w:hint="eastAsia" w:ascii="宋体" w:hAnsi="宋体" w:cs="宋体"/>
          <w:sz w:val="24"/>
          <w:szCs w:val="24"/>
        </w:rPr>
        <w:t>Nm³/日，加气站用气量为</w:t>
      </w:r>
      <w:r>
        <w:rPr>
          <w:rFonts w:ascii="宋体" w:hAnsi="宋体" w:cs="宋体"/>
          <w:sz w:val="24"/>
          <w:szCs w:val="24"/>
        </w:rPr>
        <w:t>162</w:t>
      </w:r>
      <w:r>
        <w:rPr>
          <w:rFonts w:hint="eastAsia" w:ascii="宋体" w:hAnsi="宋体" w:cs="宋体"/>
          <w:sz w:val="24"/>
          <w:szCs w:val="24"/>
        </w:rPr>
        <w:t>Nm³/日，不可预见用气量为</w:t>
      </w:r>
      <w:r>
        <w:rPr>
          <w:rFonts w:ascii="宋体" w:hAnsi="宋体" w:cs="宋体"/>
          <w:sz w:val="24"/>
          <w:szCs w:val="24"/>
        </w:rPr>
        <w:t>40</w:t>
      </w:r>
      <w:r>
        <w:rPr>
          <w:rFonts w:hint="eastAsia" w:ascii="宋体" w:hAnsi="宋体" w:cs="宋体"/>
          <w:sz w:val="24"/>
          <w:szCs w:val="24"/>
        </w:rPr>
        <w:t>Nm³/日，综合预测金元镇区规划总用气量约为</w:t>
      </w:r>
      <w:r>
        <w:rPr>
          <w:rFonts w:ascii="宋体" w:hAnsi="宋体" w:cs="宋体"/>
          <w:sz w:val="24"/>
          <w:szCs w:val="24"/>
        </w:rPr>
        <w:t>850</w:t>
      </w:r>
      <w:r>
        <w:rPr>
          <w:rFonts w:hint="eastAsia" w:ascii="宋体" w:hAnsi="宋体" w:cs="宋体"/>
          <w:sz w:val="24"/>
          <w:szCs w:val="24"/>
        </w:rPr>
        <w:t>N</w:t>
      </w:r>
      <w:r>
        <w:rPr>
          <w:rFonts w:ascii="宋体" w:hAnsi="宋体" w:cs="宋体"/>
          <w:sz w:val="24"/>
          <w:szCs w:val="24"/>
        </w:rPr>
        <w:t>m³/d</w:t>
      </w:r>
      <w:r>
        <w:rPr>
          <w:rFonts w:hint="eastAsia" w:ascii="宋体" w:hAnsi="宋体" w:cs="宋体"/>
          <w:sz w:val="24"/>
          <w:szCs w:val="24"/>
        </w:rPr>
        <w:t>。</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气源来自大英配气站。</w:t>
      </w:r>
      <w:r>
        <w:rPr>
          <w:rFonts w:ascii="宋体" w:hAnsi="宋体" w:cs="宋体"/>
          <w:sz w:val="24"/>
          <w:szCs w:val="24"/>
        </w:rPr>
        <w:t>进一步完善供气管网，</w:t>
      </w:r>
      <w:r>
        <w:rPr>
          <w:rFonts w:hint="eastAsia" w:ascii="宋体" w:hAnsi="宋体" w:cs="宋体"/>
          <w:sz w:val="24"/>
          <w:szCs w:val="24"/>
        </w:rPr>
        <w:t>采用“树枝状”管线布局形态为主，</w:t>
      </w:r>
      <w:r>
        <w:rPr>
          <w:rFonts w:ascii="宋体" w:hAnsi="宋体" w:cs="宋体"/>
          <w:sz w:val="24"/>
          <w:szCs w:val="24"/>
        </w:rPr>
        <w:t>并延伸至农村</w:t>
      </w:r>
      <w:r>
        <w:rPr>
          <w:rFonts w:hint="eastAsia" w:ascii="宋体" w:hAnsi="宋体" w:cs="宋体"/>
          <w:sz w:val="24"/>
          <w:szCs w:val="24"/>
        </w:rPr>
        <w:t>居民点</w:t>
      </w:r>
      <w:r>
        <w:rPr>
          <w:rFonts w:ascii="宋体" w:hAnsi="宋体" w:cs="宋体"/>
          <w:sz w:val="24"/>
          <w:szCs w:val="24"/>
        </w:rPr>
        <w:t>。</w:t>
      </w:r>
      <w:r>
        <w:rPr>
          <w:rFonts w:hint="eastAsia" w:ascii="宋体" w:hAnsi="宋体" w:cs="宋体"/>
          <w:sz w:val="24"/>
          <w:szCs w:val="24"/>
        </w:rPr>
        <w:t>规划燃气管管径DN15</w:t>
      </w:r>
      <w:r>
        <w:rPr>
          <w:rFonts w:ascii="宋体" w:hAnsi="宋体" w:cs="宋体"/>
          <w:sz w:val="24"/>
          <w:szCs w:val="24"/>
        </w:rPr>
        <w:t>～</w:t>
      </w:r>
      <w:r>
        <w:rPr>
          <w:rFonts w:hint="eastAsia" w:ascii="宋体" w:hAnsi="宋体" w:cs="宋体"/>
          <w:sz w:val="24"/>
          <w:szCs w:val="24"/>
        </w:rPr>
        <w:t>DN53。</w:t>
      </w:r>
      <w:r>
        <w:rPr>
          <w:rFonts w:hint="eastAsia" w:ascii="宋体" w:hAnsi="宋体" w:cs="宋体"/>
          <w:b/>
          <w:bCs/>
          <w:sz w:val="24"/>
          <w:szCs w:val="24"/>
          <w:u w:val="single"/>
        </w:rPr>
        <w:t>输气管线安全防护距离应满足《城镇燃气设计规范》《输气管道工程设计规范》等相关国家法律法规和标准规范的要求。</w:t>
      </w:r>
    </w:p>
    <w:p>
      <w:pPr>
        <w:pStyle w:val="81"/>
        <w:numPr>
          <w:ilvl w:val="0"/>
          <w:numId w:val="79"/>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环卫工程</w:t>
      </w:r>
    </w:p>
    <w:p>
      <w:pPr>
        <w:tabs>
          <w:tab w:val="left" w:pos="0"/>
        </w:tabs>
        <w:spacing w:line="360" w:lineRule="auto"/>
        <w:ind w:firstLine="480" w:firstLineChars="200"/>
        <w:rPr>
          <w:rFonts w:ascii="宋体" w:hAnsi="宋体" w:cs="宋体"/>
          <w:b/>
          <w:bCs/>
          <w:sz w:val="24"/>
          <w:szCs w:val="24"/>
          <w:u w:val="single"/>
        </w:rPr>
      </w:pPr>
      <w:r>
        <w:rPr>
          <w:rFonts w:hint="eastAsia" w:ascii="宋体" w:hAnsi="宋体" w:cs="宋体"/>
          <w:sz w:val="24"/>
          <w:szCs w:val="24"/>
        </w:rPr>
        <w:t>依据《城市环境卫生设施规划标准》（GB/T50337—2018）和《四川省城镇生活垃圾收集点设置标准》，预测镇区日人均生活垃圾产量为1kg/(人·d)，生活垃圾日产量不均匀系数取1.5，预测金元镇区生活垃圾产量最高日为</w:t>
      </w:r>
      <w:r>
        <w:rPr>
          <w:rFonts w:ascii="宋体" w:hAnsi="宋体" w:cs="宋体"/>
          <w:sz w:val="24"/>
          <w:szCs w:val="24"/>
        </w:rPr>
        <w:t>3</w:t>
      </w:r>
      <w:r>
        <w:rPr>
          <w:rFonts w:hint="eastAsia" w:ascii="宋体" w:hAnsi="宋体" w:cs="宋体"/>
          <w:sz w:val="24"/>
          <w:szCs w:val="24"/>
        </w:rPr>
        <w:t>吨</w:t>
      </w:r>
      <w:r>
        <w:rPr>
          <w:rFonts w:ascii="宋体" w:hAnsi="宋体" w:cs="宋体"/>
          <w:sz w:val="24"/>
          <w:szCs w:val="24"/>
        </w:rPr>
        <w:t>/d，规划在镇区西侧2</w:t>
      </w:r>
      <w:r>
        <w:rPr>
          <w:rFonts w:hint="eastAsia" w:ascii="宋体" w:hAnsi="宋体" w:cs="宋体"/>
          <w:sz w:val="24"/>
          <w:szCs w:val="24"/>
        </w:rPr>
        <w:t>公里处设置垃圾转运站，设计转运规模为</w:t>
      </w:r>
      <w:r>
        <w:rPr>
          <w:rFonts w:ascii="宋体" w:hAnsi="宋体" w:cs="宋体"/>
          <w:sz w:val="24"/>
          <w:szCs w:val="24"/>
        </w:rPr>
        <w:t>16</w:t>
      </w:r>
      <w:r>
        <w:rPr>
          <w:rFonts w:hint="eastAsia" w:ascii="宋体" w:hAnsi="宋体" w:cs="宋体"/>
          <w:sz w:val="24"/>
          <w:szCs w:val="24"/>
        </w:rPr>
        <w:t>吨</w:t>
      </w:r>
      <w:r>
        <w:rPr>
          <w:rFonts w:ascii="宋体" w:hAnsi="宋体" w:cs="宋体"/>
          <w:sz w:val="24"/>
          <w:szCs w:val="24"/>
        </w:rPr>
        <w:t>/d，用地面积0.11</w:t>
      </w:r>
      <w:r>
        <w:rPr>
          <w:rFonts w:hint="eastAsia" w:ascii="宋体" w:hAnsi="宋体" w:cs="宋体"/>
          <w:sz w:val="24"/>
          <w:szCs w:val="24"/>
        </w:rPr>
        <w:t>公顷，统一收集转运镇区及农村各聚居点产生垃圾，由三方公司（遂宁川能环卫公司）打包运至射洪发电厂进行焚烧发电。</w:t>
      </w:r>
      <w:r>
        <w:rPr>
          <w:rFonts w:hint="eastAsia" w:ascii="宋体" w:hAnsi="宋体" w:cs="宋体"/>
          <w:b/>
          <w:bCs/>
          <w:sz w:val="24"/>
          <w:szCs w:val="24"/>
          <w:u w:val="single"/>
        </w:rPr>
        <w:t>医疗垃圾、危险废弃物必须单独收集、运输和处理，大英县无法自行处理处置的医疗垃圾、危险废弃物集中运至成都市医疗废物和危险固废处置中心进行处理处置。</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规划保留镇区现状8处垃圾收集点，</w:t>
      </w:r>
      <w:r>
        <w:rPr>
          <w:rFonts w:ascii="宋体" w:hAnsi="宋体" w:cs="宋体"/>
          <w:sz w:val="24"/>
          <w:szCs w:val="24"/>
        </w:rPr>
        <w:t>按照</w:t>
      </w:r>
      <w:r>
        <w:rPr>
          <w:rFonts w:hint="eastAsia" w:ascii="宋体" w:hAnsi="宋体" w:cs="宋体"/>
          <w:sz w:val="24"/>
          <w:szCs w:val="24"/>
        </w:rPr>
        <w:t>集中居住区收集点的服务半径不宜超过70m，散居区可根据垃圾产生量，因地制宜、科学合理布局点位，通常服务半径不宜超过200m，规划新增7处垃圾收集点，占地不小于</w:t>
      </w:r>
      <w:r>
        <w:rPr>
          <w:rFonts w:ascii="宋体" w:hAnsi="宋体" w:cs="宋体"/>
          <w:sz w:val="24"/>
          <w:szCs w:val="24"/>
        </w:rPr>
        <w:t>5</w:t>
      </w:r>
      <w:r>
        <w:rPr>
          <w:rFonts w:hint="eastAsia" w:ascii="宋体" w:hAnsi="宋体" w:cs="宋体"/>
          <w:sz w:val="24"/>
          <w:szCs w:val="24"/>
        </w:rPr>
        <w:t>平方米，设专职保洁人员收集、打扫和清运。在道路两侧以及各类交通客运设施、公共设施、广场、社会停车场等出入口附近设置果皮箱，相邻果皮箱间距为2</w:t>
      </w:r>
      <w:r>
        <w:rPr>
          <w:rFonts w:ascii="宋体" w:hAnsi="宋体" w:cs="宋体"/>
          <w:sz w:val="24"/>
          <w:szCs w:val="24"/>
        </w:rPr>
        <w:t>5～50</w:t>
      </w:r>
      <w:r>
        <w:rPr>
          <w:rFonts w:hint="eastAsia" w:ascii="宋体" w:hAnsi="宋体" w:cs="宋体"/>
          <w:sz w:val="24"/>
          <w:szCs w:val="24"/>
        </w:rPr>
        <w:t>米；在交通干道上每</w:t>
      </w:r>
      <w:r>
        <w:rPr>
          <w:rFonts w:ascii="宋体" w:hAnsi="宋体" w:cs="宋体"/>
          <w:sz w:val="24"/>
          <w:szCs w:val="24"/>
        </w:rPr>
        <w:t>50</w:t>
      </w:r>
      <w:r>
        <w:rPr>
          <w:rFonts w:hint="eastAsia" w:ascii="宋体" w:hAnsi="宋体" w:cs="宋体"/>
          <w:sz w:val="24"/>
          <w:szCs w:val="24"/>
        </w:rPr>
        <w:t>～</w:t>
      </w:r>
      <w:r>
        <w:rPr>
          <w:rFonts w:ascii="宋体" w:hAnsi="宋体" w:cs="宋体"/>
          <w:sz w:val="24"/>
          <w:szCs w:val="24"/>
        </w:rPr>
        <w:t>8</w:t>
      </w:r>
      <w:r>
        <w:rPr>
          <w:rFonts w:hint="eastAsia" w:ascii="宋体" w:hAnsi="宋体" w:cs="宋体"/>
          <w:sz w:val="24"/>
          <w:szCs w:val="24"/>
        </w:rPr>
        <w:t>0m设置一个，一般街道上每</w:t>
      </w:r>
      <w:r>
        <w:rPr>
          <w:rFonts w:ascii="宋体" w:hAnsi="宋体" w:cs="宋体"/>
          <w:sz w:val="24"/>
          <w:szCs w:val="24"/>
        </w:rPr>
        <w:t>8</w:t>
      </w:r>
      <w:r>
        <w:rPr>
          <w:rFonts w:hint="eastAsia" w:ascii="宋体" w:hAnsi="宋体" w:cs="宋体"/>
          <w:sz w:val="24"/>
          <w:szCs w:val="24"/>
        </w:rPr>
        <w:t>0～</w:t>
      </w:r>
      <w:r>
        <w:rPr>
          <w:rFonts w:ascii="宋体" w:hAnsi="宋体" w:cs="宋体"/>
          <w:sz w:val="24"/>
          <w:szCs w:val="24"/>
        </w:rPr>
        <w:t>10</w:t>
      </w:r>
      <w:r>
        <w:rPr>
          <w:rFonts w:hint="eastAsia" w:ascii="宋体" w:hAnsi="宋体" w:cs="宋体"/>
          <w:sz w:val="24"/>
          <w:szCs w:val="24"/>
        </w:rPr>
        <w:t>0m设置一个，同时对老旧垃圾收集点位按照垃圾四分类要求进行改造升级。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公共厕所的服务半径根据地段和人口而定，繁华街道间距为300～500 米，一般街道为750～1000 米，新建居民区以300～500 米为半径，也可以地域面积计算，每平方公里不少于3 处。规划共新增公共厕所2 处，保留现状的1 处公共厕所，宜结合公厕设置环卫休息驿站，建筑面积不小于20平方米。</w:t>
      </w:r>
    </w:p>
    <w:p>
      <w:pPr>
        <w:pStyle w:val="5"/>
        <w:numPr>
          <w:ilvl w:val="0"/>
          <w:numId w:val="74"/>
        </w:numPr>
        <w:spacing w:line="360" w:lineRule="auto"/>
        <w:ind w:left="0" w:firstLine="482" w:firstLineChars="200"/>
        <w:rPr>
          <w:b/>
          <w:bCs/>
        </w:rPr>
      </w:pPr>
      <w:r>
        <w:rPr>
          <w:rFonts w:hint="eastAsia"/>
          <w:b/>
          <w:bCs/>
        </w:rPr>
        <w:t>防灾设施规划</w:t>
      </w:r>
    </w:p>
    <w:p>
      <w:pPr>
        <w:pStyle w:val="81"/>
        <w:numPr>
          <w:ilvl w:val="0"/>
          <w:numId w:val="8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防洪规划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依据《大英县国土空间总体规划（2</w:t>
      </w:r>
      <w:r>
        <w:rPr>
          <w:rFonts w:ascii="宋体" w:hAnsi="宋体" w:cs="宋体"/>
          <w:sz w:val="24"/>
          <w:szCs w:val="24"/>
        </w:rPr>
        <w:t>021—2035</w:t>
      </w:r>
      <w:r>
        <w:rPr>
          <w:rFonts w:hint="eastAsia" w:ascii="宋体" w:hAnsi="宋体" w:cs="宋体"/>
          <w:sz w:val="24"/>
          <w:szCs w:val="24"/>
        </w:rPr>
        <w:t>年）》，流经镇区的主要河流为黄腊溪，</w:t>
      </w:r>
      <w:r>
        <w:rPr>
          <w:rFonts w:hint="eastAsia" w:ascii="宋体" w:hAnsi="宋体" w:cs="宋体"/>
          <w:b/>
          <w:bCs/>
          <w:sz w:val="24"/>
          <w:szCs w:val="24"/>
          <w:u w:val="single"/>
        </w:rPr>
        <w:t>按照</w:t>
      </w:r>
      <w:r>
        <w:rPr>
          <w:rFonts w:ascii="宋体" w:hAnsi="宋体" w:cs="宋体"/>
          <w:b/>
          <w:bCs/>
          <w:sz w:val="24"/>
          <w:szCs w:val="24"/>
          <w:u w:val="single"/>
        </w:rPr>
        <w:t>1</w:t>
      </w:r>
      <w:r>
        <w:rPr>
          <w:rFonts w:hint="eastAsia" w:ascii="宋体" w:hAnsi="宋体" w:cs="宋体"/>
          <w:b/>
          <w:bCs/>
          <w:sz w:val="24"/>
          <w:szCs w:val="24"/>
          <w:u w:val="single"/>
        </w:rPr>
        <w:t>0年一遇洪水标准设防。</w:t>
      </w:r>
    </w:p>
    <w:p>
      <w:pPr>
        <w:pStyle w:val="81"/>
        <w:numPr>
          <w:ilvl w:val="0"/>
          <w:numId w:val="8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消防规划</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在金元镇设立微型消防站,结合工业区消防站，负责金元镇的消防安全。消防供水与生活供水共用管网与水源，室外消火栓沿各道路布置，间距不大于</w:t>
      </w:r>
      <w:r>
        <w:rPr>
          <w:rFonts w:ascii="宋体" w:hAnsi="宋体" w:cs="宋体"/>
          <w:sz w:val="24"/>
          <w:szCs w:val="24"/>
        </w:rPr>
        <w:t>120</w:t>
      </w:r>
      <w:r>
        <w:rPr>
          <w:rFonts w:hint="eastAsia" w:ascii="宋体" w:hAnsi="宋体" w:cs="宋体"/>
          <w:sz w:val="24"/>
          <w:szCs w:val="24"/>
        </w:rPr>
        <w:t xml:space="preserve">米，并在道路交叉口保证有 </w:t>
      </w:r>
      <w:r>
        <w:rPr>
          <w:rFonts w:ascii="宋体" w:hAnsi="宋体" w:cs="宋体"/>
          <w:sz w:val="24"/>
          <w:szCs w:val="24"/>
        </w:rPr>
        <w:t xml:space="preserve"> </w:t>
      </w:r>
      <w:r>
        <w:rPr>
          <w:rFonts w:hint="eastAsia" w:ascii="宋体" w:hAnsi="宋体" w:cs="宋体"/>
          <w:sz w:val="24"/>
          <w:szCs w:val="24"/>
        </w:rPr>
        <w:t>一处消火栓。在规划区的通讯建设时应该考虑设置至少一条</w:t>
      </w:r>
      <w:r>
        <w:rPr>
          <w:rFonts w:ascii="宋体" w:hAnsi="宋体" w:cs="宋体"/>
          <w:sz w:val="24"/>
          <w:szCs w:val="24"/>
        </w:rPr>
        <w:t>119</w:t>
      </w:r>
      <w:r>
        <w:rPr>
          <w:rFonts w:hint="eastAsia" w:ascii="宋体" w:hAnsi="宋体" w:cs="宋体"/>
          <w:sz w:val="24"/>
          <w:szCs w:val="24"/>
        </w:rPr>
        <w:t>专线。</w:t>
      </w:r>
    </w:p>
    <w:p>
      <w:pPr>
        <w:pStyle w:val="81"/>
        <w:numPr>
          <w:ilvl w:val="0"/>
          <w:numId w:val="80"/>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抗震减灾规划</w:t>
      </w:r>
    </w:p>
    <w:p>
      <w:pPr>
        <w:tabs>
          <w:tab w:val="left" w:pos="0"/>
        </w:tabs>
        <w:spacing w:line="360" w:lineRule="auto"/>
        <w:ind w:firstLine="482" w:firstLineChars="200"/>
        <w:rPr>
          <w:rFonts w:ascii="宋体" w:hAnsi="宋体" w:cs="宋体"/>
          <w:b/>
          <w:bCs/>
          <w:sz w:val="24"/>
          <w:szCs w:val="24"/>
          <w:u w:val="single"/>
        </w:rPr>
      </w:pPr>
      <w:r>
        <w:rPr>
          <w:rFonts w:hint="eastAsia" w:ascii="宋体" w:hAnsi="宋体" w:cs="宋体"/>
          <w:b/>
          <w:bCs/>
          <w:sz w:val="24"/>
          <w:szCs w:val="24"/>
          <w:u w:val="single"/>
        </w:rPr>
        <w:t>金元镇区地震动峰值加速度为0.05g，地震动反应谱特征周期秒0.35s，地震基本烈度值为Ⅵ度。一般工程按照六度标准设防，重大基础设施工程、生命线工程、易发生次生灾害的设施应按《建筑工程抗震设防分标准》进行设防。</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完善应急通道和避难场所。依托金元镇政府，建设镇域应急指挥中心；依托金元镇卫生院，建设镇域防灾救护中心。结合镇区公园广场、学校操场等开敞空间，规划设置3</w:t>
      </w:r>
      <w:r>
        <w:rPr>
          <w:rFonts w:ascii="宋体" w:hAnsi="宋体" w:cs="宋体"/>
          <w:sz w:val="24"/>
          <w:szCs w:val="24"/>
        </w:rPr>
        <w:t>处</w:t>
      </w:r>
      <w:r>
        <w:rPr>
          <w:rFonts w:hint="eastAsia" w:ascii="宋体" w:hAnsi="宋体" w:cs="宋体"/>
          <w:sz w:val="24"/>
          <w:szCs w:val="24"/>
        </w:rPr>
        <w:t>固定</w:t>
      </w:r>
      <w:r>
        <w:rPr>
          <w:rFonts w:ascii="宋体" w:hAnsi="宋体" w:cs="宋体"/>
          <w:sz w:val="24"/>
          <w:szCs w:val="24"/>
        </w:rPr>
        <w:t>避难场所</w:t>
      </w:r>
      <w:r>
        <w:rPr>
          <w:rFonts w:hint="eastAsia" w:ascii="宋体" w:hAnsi="宋体" w:cs="宋体"/>
          <w:sz w:val="24"/>
          <w:szCs w:val="24"/>
        </w:rPr>
        <w:t>和5处紧急避难场所</w:t>
      </w:r>
      <w:r>
        <w:rPr>
          <w:rFonts w:ascii="宋体" w:hAnsi="宋体" w:cs="宋体"/>
          <w:sz w:val="24"/>
          <w:szCs w:val="24"/>
        </w:rPr>
        <w:t>，在避难场所设置标示标牌、生活必需品、药品与消防储备库。</w:t>
      </w:r>
      <w:r>
        <w:rPr>
          <w:rFonts w:hint="eastAsia" w:ascii="宋体" w:hAnsi="宋体" w:cs="宋体"/>
          <w:sz w:val="24"/>
          <w:szCs w:val="24"/>
        </w:rPr>
        <w:t>结合规划主次干道，设置避难疏散通道，</w:t>
      </w:r>
      <w:r>
        <w:rPr>
          <w:rFonts w:ascii="宋体" w:hAnsi="宋体" w:cs="宋体"/>
          <w:sz w:val="24"/>
          <w:szCs w:val="24"/>
        </w:rPr>
        <w:t>规划以</w:t>
      </w:r>
      <w:r>
        <w:rPr>
          <w:rFonts w:hint="eastAsia" w:ascii="宋体" w:hAnsi="宋体" w:cs="宋体"/>
          <w:sz w:val="24"/>
          <w:szCs w:val="24"/>
        </w:rPr>
        <w:t>县道</w:t>
      </w:r>
      <w:r>
        <w:rPr>
          <w:rFonts w:ascii="宋体" w:hAnsi="宋体" w:cs="宋体"/>
          <w:sz w:val="24"/>
          <w:szCs w:val="24"/>
        </w:rPr>
        <w:t>X011</w:t>
      </w:r>
      <w:r>
        <w:rPr>
          <w:rFonts w:hint="eastAsia" w:ascii="宋体" w:hAnsi="宋体" w:cs="宋体"/>
          <w:sz w:val="24"/>
          <w:szCs w:val="24"/>
        </w:rPr>
        <w:t>、</w:t>
      </w:r>
      <w:r>
        <w:rPr>
          <w:rFonts w:ascii="宋体" w:hAnsi="宋体" w:cs="宋体"/>
          <w:sz w:val="24"/>
          <w:szCs w:val="24"/>
        </w:rPr>
        <w:t>X012</w:t>
      </w:r>
      <w:r>
        <w:rPr>
          <w:rFonts w:hint="eastAsia" w:ascii="宋体" w:hAnsi="宋体" w:cs="宋体"/>
          <w:sz w:val="24"/>
          <w:szCs w:val="24"/>
        </w:rPr>
        <w:t>等为主要救援疏散通道，镇区支路为次要救援疏散通道，救援通道需保证震后</w:t>
      </w:r>
      <w:r>
        <w:rPr>
          <w:rFonts w:ascii="宋体" w:hAnsi="宋体" w:cs="宋体"/>
          <w:sz w:val="24"/>
          <w:szCs w:val="24"/>
        </w:rPr>
        <w:t>7</w:t>
      </w:r>
      <w:r>
        <w:rPr>
          <w:rFonts w:hint="eastAsia" w:ascii="宋体" w:hAnsi="宋体" w:cs="宋体"/>
          <w:sz w:val="24"/>
          <w:szCs w:val="24"/>
        </w:rPr>
        <w:t>米以上的宽度。</w:t>
      </w:r>
    </w:p>
    <w:p>
      <w:pPr>
        <w:pStyle w:val="5"/>
        <w:numPr>
          <w:ilvl w:val="0"/>
          <w:numId w:val="74"/>
        </w:numPr>
        <w:spacing w:line="360" w:lineRule="auto"/>
        <w:ind w:left="0" w:firstLine="482" w:firstLineChars="200"/>
        <w:rPr>
          <w:b/>
          <w:bCs/>
        </w:rPr>
      </w:pPr>
      <w:r>
        <w:rPr>
          <w:rFonts w:hint="eastAsia"/>
          <w:b/>
          <w:bCs/>
        </w:rPr>
        <w:t>风貌管控</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规划将镇区分为老城风貌区和新城居住风貌区。老城风貌区为黄腊溪以南、以东部分，主要为现状保留建筑，重点对金元街、和平街以及滨水沿线建筑风貌整治提升，体现传统丘陵川中城镇建筑风格和滨水特色。新城居住风貌区为黄腊溪以北、以西部分，重点营造滨水现代风格。</w:t>
      </w:r>
    </w:p>
    <w:p>
      <w:pPr>
        <w:pStyle w:val="5"/>
        <w:numPr>
          <w:ilvl w:val="0"/>
          <w:numId w:val="74"/>
        </w:numPr>
        <w:spacing w:line="360" w:lineRule="auto"/>
        <w:ind w:left="0" w:firstLine="482" w:firstLineChars="200"/>
      </w:pPr>
      <w:r>
        <w:rPr>
          <w:rFonts w:hint="eastAsia"/>
          <w:b/>
          <w:bCs/>
        </w:rPr>
        <w:t>四线管控</w:t>
      </w:r>
    </w:p>
    <w:p>
      <w:pPr>
        <w:tabs>
          <w:tab w:val="left" w:pos="0"/>
        </w:tabs>
        <w:spacing w:line="360" w:lineRule="auto"/>
        <w:ind w:firstLine="482" w:firstLineChars="200"/>
        <w:rPr>
          <w:rFonts w:ascii="宋体" w:hAnsi="宋体" w:cs="宋体"/>
          <w:b/>
          <w:bCs/>
          <w:sz w:val="24"/>
          <w:szCs w:val="24"/>
          <w:u w:val="single"/>
        </w:rPr>
      </w:pPr>
      <w:r>
        <w:rPr>
          <w:rFonts w:hint="eastAsia" w:ascii="宋体" w:hAnsi="宋体"/>
          <w:b/>
          <w:bCs/>
          <w:sz w:val="24"/>
          <w:szCs w:val="24"/>
          <w:u w:val="single"/>
        </w:rPr>
        <w:t>划定公园绿地与广场用地为城镇绿线范围，总面积0.18公顷，按照《城市绿线管理办法》予以严格管控。划定污水处理站、供水泵站等用地为城镇黄线范围，总面积</w:t>
      </w:r>
      <w:r>
        <w:rPr>
          <w:rFonts w:ascii="宋体" w:hAnsi="宋体"/>
          <w:b/>
          <w:bCs/>
          <w:sz w:val="24"/>
          <w:szCs w:val="24"/>
          <w:u w:val="single"/>
        </w:rPr>
        <w:t>0.</w:t>
      </w:r>
      <w:r>
        <w:rPr>
          <w:rFonts w:hint="eastAsia" w:ascii="宋体" w:hAnsi="宋体"/>
          <w:b/>
          <w:bCs/>
          <w:sz w:val="24"/>
          <w:szCs w:val="24"/>
          <w:u w:val="single"/>
        </w:rPr>
        <w:t>30公顷，按照《城市黄线管理办法》严格管控。划定黄腊溪及其支流为城镇蓝线范围，总面积4.02公顷，按照《城市蓝线管理办法》严格管控。镇区范围内无紫线</w:t>
      </w:r>
      <w:r>
        <w:rPr>
          <w:rFonts w:hint="eastAsia" w:ascii="宋体" w:hAnsi="宋体" w:cs="宋体"/>
          <w:b/>
          <w:bCs/>
          <w:sz w:val="24"/>
          <w:szCs w:val="24"/>
          <w:u w:val="single"/>
        </w:rPr>
        <w:t>。</w:t>
      </w:r>
    </w:p>
    <w:p>
      <w:pPr>
        <w:pStyle w:val="5"/>
        <w:numPr>
          <w:ilvl w:val="0"/>
          <w:numId w:val="74"/>
        </w:numPr>
        <w:spacing w:line="360" w:lineRule="auto"/>
        <w:ind w:left="0" w:firstLine="482" w:firstLineChars="200"/>
        <w:rPr>
          <w:b/>
          <w:bCs/>
          <w:lang w:val="en-US"/>
        </w:rPr>
      </w:pPr>
      <w:r>
        <w:rPr>
          <w:rFonts w:hint="eastAsia"/>
          <w:b/>
          <w:bCs/>
          <w:lang w:val="en-US"/>
        </w:rPr>
        <w:t>土地使用规划控制</w:t>
      </w:r>
    </w:p>
    <w:p>
      <w:pPr>
        <w:pStyle w:val="81"/>
        <w:numPr>
          <w:ilvl w:val="0"/>
          <w:numId w:val="8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用地单元划分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为了便于规划管理和建设实施操作，建立“镇区——街区——地块”的三级用地编号体系，逐层分解、逐级落实、精准有效传导上位规划要求，指导项目建设实施。其中，“镇区”代码为“JY” ；“街区”以城镇道路、河流为边界，划定</w:t>
      </w:r>
      <w:r>
        <w:rPr>
          <w:rFonts w:ascii="宋体" w:hAnsi="宋体" w:cs="宋体"/>
          <w:sz w:val="24"/>
          <w:szCs w:val="24"/>
        </w:rPr>
        <w:t>4</w:t>
      </w:r>
      <w:r>
        <w:rPr>
          <w:rFonts w:hint="eastAsia" w:ascii="宋体" w:hAnsi="宋体" w:cs="宋体"/>
          <w:sz w:val="24"/>
          <w:szCs w:val="24"/>
        </w:rPr>
        <w:t>个街区，编号为数字“01,02,03……”；地块以用地权属边界划分地块，标记为数字“01,02,03……”。</w:t>
      </w:r>
    </w:p>
    <w:p>
      <w:pPr>
        <w:pStyle w:val="81"/>
        <w:numPr>
          <w:ilvl w:val="0"/>
          <w:numId w:val="8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用地属性划分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本次规划按照最新《国土空间调查、规划、用途管制用地用海分类指南（试行）》（2020）严格执行，分至小类，其中部分用地划分至中类。</w:t>
      </w:r>
    </w:p>
    <w:p>
      <w:pPr>
        <w:pStyle w:val="81"/>
        <w:numPr>
          <w:ilvl w:val="0"/>
          <w:numId w:val="8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地块控制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兼顾弹性引导与刚性管控，通过规定性指标和引导性指标进行控制。地块用地性质、建筑密度、建筑高度、容积率、绿地率及其他需要配置的公共设施作为规定性指标（详见附表1</w:t>
      </w:r>
      <w:r>
        <w:rPr>
          <w:rFonts w:ascii="宋体" w:hAnsi="宋体" w:cs="宋体"/>
          <w:sz w:val="24"/>
          <w:szCs w:val="24"/>
        </w:rPr>
        <w:t>6</w:t>
      </w:r>
      <w:r>
        <w:rPr>
          <w:rFonts w:hint="eastAsia" w:ascii="宋体" w:hAnsi="宋体" w:cs="宋体"/>
          <w:sz w:val="24"/>
          <w:szCs w:val="24"/>
        </w:rPr>
        <w:t>），人口容量、建筑形式、体量、风格、色彩要求和其它环境要求为引导性指标。用地规模不小于2000平方米的地块应严格按照规划控制指标进行开发建设，小于2000平方米的地块应根据实际建设条件和《遂宁市城市规划管理技术规定》（修订）和《大英县城市规划管理技术规定》（试行）的相关要求进行确定。</w:t>
      </w:r>
    </w:p>
    <w:p>
      <w:pPr>
        <w:pStyle w:val="81"/>
        <w:numPr>
          <w:ilvl w:val="0"/>
          <w:numId w:val="8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用地兼容性控制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在开发过程中，为适应城镇发展的多种可能性，原则上允许有条件地变更某些地块原定的用地性质（第一使用性质），但必须符合《遂宁市城市规划管理技术规定》（修订）和《大英县城市规划管理技术规定》（试行）的相关规定。</w:t>
      </w:r>
    </w:p>
    <w:p>
      <w:pPr>
        <w:pStyle w:val="81"/>
        <w:numPr>
          <w:ilvl w:val="0"/>
          <w:numId w:val="8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环境容量控制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容积率控制：依据《遂宁市城市规划管理技术规定》（修订）、《大英县城市规划管理技术规定》（试行）和其他相关标准、规范综合确定各类用地容积率，其中，居住用地地块容积率≤1.5。规划采用通则式规定，情况相似的同类用地采用同样控制指标，保证用地开发权利的公平合理。</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绿地率和建筑密度：依据《遂宁市城市规划管理技术规定》（修订）和《大英县城市规划管理技术规定》（试行），综合考虑地形条件、环境质量、地块区位、使用性质、容积率、建筑安全卫生间距、气候条件、朝向等因素，确定各类地块绿地率和建筑密度控制指标，详见附表1</w:t>
      </w:r>
      <w:r>
        <w:rPr>
          <w:rFonts w:ascii="宋体" w:hAnsi="宋体" w:cs="宋体"/>
          <w:sz w:val="24"/>
          <w:szCs w:val="24"/>
        </w:rPr>
        <w:t>6</w:t>
      </w:r>
      <w:r>
        <w:rPr>
          <w:rFonts w:hint="eastAsia" w:ascii="宋体" w:hAnsi="宋体" w:cs="宋体"/>
          <w:sz w:val="24"/>
          <w:szCs w:val="24"/>
        </w:rPr>
        <w:t>。</w:t>
      </w:r>
    </w:p>
    <w:p>
      <w:pPr>
        <w:pStyle w:val="81"/>
        <w:numPr>
          <w:ilvl w:val="0"/>
          <w:numId w:val="81"/>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建筑建造控制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建筑高度控制：除现状保留地块外，城镇开发边界内新建地块主要为居住用地，建筑高度控制在18米及以下，详见附表1</w:t>
      </w:r>
      <w:r>
        <w:rPr>
          <w:rFonts w:ascii="宋体" w:hAnsi="宋体" w:cs="宋体"/>
          <w:sz w:val="24"/>
          <w:szCs w:val="24"/>
        </w:rPr>
        <w:t>6</w:t>
      </w:r>
      <w:r>
        <w:rPr>
          <w:rFonts w:hint="eastAsia" w:ascii="宋体" w:hAnsi="宋体" w:cs="宋体"/>
          <w:sz w:val="24"/>
          <w:szCs w:val="24"/>
        </w:rPr>
        <w:t>。对于城镇开发边界内的自建民房，建筑高度不应超过12米，层数不超过3层。</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筑退让控制：用地规模不小于2000平方米的地块新建建筑后退控制按照《遂宁市城市规划管理技术规定》（修订）和《大英县城市规划管理技术规定》（试行）执行，对于城镇开发边界内的自建民房，应满足《遂宁市城市规划管理技术规定》（修订）和《大英县城市规划管理技术规定》（试行）中退让道路红线的最小距离要求。沿道路、河道、电力线路保护区两侧的建筑物，以及沿用地边界和文物保护单位周围的建筑物应同时符合消防、环保、防汛和交通安全等方面的要求。</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筑间距控制：应满足《遂宁市城市规划管理技术规定》（修订）和《大英县城市规划管理技术规定》（试行）中建筑间距控制相关要求，同时必须符合国家有关日照、消防、卫生、管线埋设和建筑设计规范的要求。</w:t>
      </w:r>
    </w:p>
    <w:p>
      <w:pPr>
        <w:widowControl/>
        <w:jc w:val="left"/>
        <w:rPr>
          <w:rFonts w:hAnsi="宋体"/>
          <w:b/>
          <w:sz w:val="28"/>
          <w:szCs w:val="28"/>
        </w:rPr>
      </w:pPr>
      <w:r>
        <w:rPr>
          <w:rFonts w:hAnsi="宋体"/>
          <w:b/>
          <w:sz w:val="28"/>
          <w:szCs w:val="28"/>
        </w:rPr>
        <w:br w:type="page"/>
      </w:r>
    </w:p>
    <w:p>
      <w:pPr>
        <w:pStyle w:val="81"/>
        <w:numPr>
          <w:ilvl w:val="0"/>
          <w:numId w:val="3"/>
        </w:numPr>
        <w:spacing w:before="312" w:beforeLines="100" w:after="312" w:afterLines="100" w:line="360" w:lineRule="auto"/>
        <w:ind w:firstLineChars="0"/>
        <w:jc w:val="center"/>
        <w:outlineLvl w:val="0"/>
        <w:rPr>
          <w:rFonts w:ascii="黑体" w:hAnsi="黑体" w:eastAsia="黑体"/>
          <w:b/>
          <w:sz w:val="32"/>
          <w:szCs w:val="32"/>
        </w:rPr>
      </w:pPr>
      <w:bookmarkStart w:id="544" w:name="_Toc141369735"/>
      <w:bookmarkStart w:id="545" w:name="_Toc106960189"/>
      <w:r>
        <w:rPr>
          <w:rFonts w:hint="eastAsia" w:ascii="黑体" w:hAnsi="黑体" w:eastAsia="黑体"/>
          <w:b/>
          <w:sz w:val="32"/>
          <w:szCs w:val="32"/>
        </w:rPr>
        <w:t>实施保障</w:t>
      </w:r>
      <w:bookmarkEnd w:id="544"/>
      <w:bookmarkEnd w:id="545"/>
    </w:p>
    <w:p>
      <w:pPr>
        <w:pStyle w:val="5"/>
        <w:numPr>
          <w:ilvl w:val="0"/>
          <w:numId w:val="82"/>
        </w:numPr>
        <w:spacing w:line="360" w:lineRule="auto"/>
        <w:ind w:left="0" w:firstLine="482" w:firstLineChars="200"/>
        <w:rPr>
          <w:b/>
          <w:bCs/>
        </w:rPr>
      </w:pPr>
      <w:bookmarkStart w:id="546" w:name="_Toc345770369"/>
      <w:r>
        <w:rPr>
          <w:rFonts w:hint="eastAsia"/>
          <w:b/>
          <w:bCs/>
        </w:rPr>
        <w:t>组织保障</w:t>
      </w:r>
      <w:bookmarkEnd w:id="546"/>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本规划由大英县人民政府与隆盛、回马、金元镇人民政府共同规划实施，按片区建立政府负责、部门协调、公众参与、上下联动的工作机制，制定推进规划的实施措施，按照项目计划制定年度工作安排，监督检查各年度工作的推进执行情况。完善规划决策体制和制度，建立重大问题的政策研究机制和专家论证制度，以及重大建设项目公示与听证制度，提高决策的科学性。健全乡村建设规划许可管理制度，按照先规划、后许可、再建设的原则，优化审批流程，简化管理措施，强化规划权威，确保建设符合规划不走样。充实规划管理力量，推行乡村规划师制度。</w:t>
      </w:r>
    </w:p>
    <w:p>
      <w:pPr>
        <w:pStyle w:val="5"/>
        <w:numPr>
          <w:ilvl w:val="0"/>
          <w:numId w:val="82"/>
        </w:numPr>
        <w:spacing w:line="360" w:lineRule="auto"/>
        <w:ind w:left="0" w:firstLine="482" w:firstLineChars="200"/>
        <w:rPr>
          <w:b/>
          <w:bCs/>
        </w:rPr>
      </w:pPr>
      <w:bookmarkStart w:id="547" w:name="_Toc345770373"/>
      <w:r>
        <w:rPr>
          <w:rFonts w:hint="eastAsia"/>
          <w:b/>
          <w:bCs/>
        </w:rPr>
        <w:t>实施计划</w:t>
      </w:r>
      <w:bookmarkEnd w:id="547"/>
    </w:p>
    <w:p>
      <w:pPr>
        <w:pStyle w:val="81"/>
        <w:numPr>
          <w:ilvl w:val="0"/>
          <w:numId w:val="8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片区近期建设规划</w:t>
      </w:r>
    </w:p>
    <w:p>
      <w:pPr>
        <w:tabs>
          <w:tab w:val="left" w:pos="0"/>
        </w:tabs>
        <w:spacing w:line="360" w:lineRule="auto"/>
        <w:ind w:firstLine="480" w:firstLineChars="200"/>
        <w:rPr>
          <w:rFonts w:ascii="宋体" w:hAnsi="宋体" w:cs="宋体"/>
          <w:sz w:val="24"/>
          <w:szCs w:val="24"/>
        </w:rPr>
      </w:pPr>
      <w:bookmarkStart w:id="548" w:name="_Hlk148628585"/>
      <w:r>
        <w:rPr>
          <w:rFonts w:hint="eastAsia" w:ascii="宋体" w:hAnsi="宋体" w:cs="宋体"/>
          <w:sz w:val="24"/>
          <w:szCs w:val="24"/>
        </w:rPr>
        <w:t>片区近期建设主要围绕产业发展、镇村建设、基础设施、整治修复等相关任务，重点建设道地中药材、绿色蔬菜和种养循环三大现代农业产业园区，以及土门香街、中药材加工区（仓储）等一、二、三产融合发展项目，统筹推进全域土地综合整治，协调开展农村居民点建设，实施区域交通基础设施建设</w:t>
      </w:r>
      <w:bookmarkEnd w:id="548"/>
      <w:r>
        <w:rPr>
          <w:rFonts w:hint="eastAsia" w:ascii="宋体" w:hAnsi="宋体" w:cs="宋体"/>
          <w:sz w:val="24"/>
          <w:szCs w:val="24"/>
        </w:rPr>
        <w:t>（详见附表</w:t>
      </w:r>
      <w:r>
        <w:rPr>
          <w:rFonts w:ascii="宋体" w:hAnsi="宋体" w:cs="宋体"/>
          <w:sz w:val="24"/>
          <w:szCs w:val="24"/>
        </w:rPr>
        <w:t>17</w:t>
      </w:r>
      <w:r>
        <w:rPr>
          <w:rFonts w:hint="eastAsia" w:ascii="宋体" w:hAnsi="宋体" w:cs="宋体"/>
          <w:sz w:val="24"/>
          <w:szCs w:val="24"/>
        </w:rPr>
        <w:t>）。</w:t>
      </w:r>
    </w:p>
    <w:p>
      <w:pPr>
        <w:pStyle w:val="81"/>
        <w:numPr>
          <w:ilvl w:val="0"/>
          <w:numId w:val="83"/>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镇区近期建设规划</w:t>
      </w:r>
    </w:p>
    <w:p>
      <w:pPr>
        <w:tabs>
          <w:tab w:val="left" w:pos="0"/>
        </w:tabs>
        <w:spacing w:line="360" w:lineRule="auto"/>
        <w:ind w:firstLine="480" w:firstLineChars="200"/>
        <w:rPr>
          <w:rFonts w:ascii="宋体" w:hAnsi="宋体" w:cs="宋体"/>
          <w:sz w:val="24"/>
          <w:szCs w:val="24"/>
        </w:rPr>
      </w:pPr>
      <w:bookmarkStart w:id="549" w:name="_Hlk148629130"/>
      <w:r>
        <w:rPr>
          <w:rFonts w:hint="eastAsia" w:ascii="宋体" w:hAnsi="宋体" w:cs="宋体"/>
          <w:sz w:val="24"/>
          <w:szCs w:val="24"/>
        </w:rPr>
        <w:t>根据各镇发展实际，规划城镇近期建设项目主要针对政府主导性建设项目而制订，分为居住保障、公共服务、商贸服务、基础设施、产业发展、环境改善等六大方面，并按类型、项目名称、建设性质、用地规模等，建立项目库</w:t>
      </w:r>
      <w:bookmarkEnd w:id="549"/>
      <w:r>
        <w:rPr>
          <w:rFonts w:hint="eastAsia" w:ascii="宋体" w:hAnsi="宋体" w:cs="宋体"/>
          <w:sz w:val="24"/>
          <w:szCs w:val="24"/>
        </w:rPr>
        <w:t>（详见附表</w:t>
      </w:r>
      <w:r>
        <w:rPr>
          <w:rFonts w:ascii="宋体" w:hAnsi="宋体" w:cs="宋体"/>
          <w:sz w:val="24"/>
          <w:szCs w:val="24"/>
        </w:rPr>
        <w:t>18</w:t>
      </w:r>
      <w:r>
        <w:rPr>
          <w:rFonts w:hint="eastAsia" w:ascii="宋体" w:hAnsi="宋体" w:cs="宋体"/>
          <w:sz w:val="24"/>
          <w:szCs w:val="24"/>
        </w:rPr>
        <w:t>）。</w:t>
      </w:r>
    </w:p>
    <w:p>
      <w:pPr>
        <w:pStyle w:val="5"/>
        <w:numPr>
          <w:ilvl w:val="0"/>
          <w:numId w:val="82"/>
        </w:numPr>
        <w:spacing w:line="360" w:lineRule="auto"/>
        <w:ind w:left="0" w:firstLine="482" w:firstLineChars="200"/>
        <w:rPr>
          <w:b/>
          <w:bCs/>
        </w:rPr>
      </w:pPr>
      <w:r>
        <w:rPr>
          <w:rFonts w:hint="eastAsia"/>
          <w:b/>
          <w:bCs/>
        </w:rPr>
        <w:t>政策配套</w:t>
      </w:r>
    </w:p>
    <w:p>
      <w:pPr>
        <w:pStyle w:val="81"/>
        <w:numPr>
          <w:ilvl w:val="0"/>
          <w:numId w:val="8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探索建立更加完善的永久基本农田管理制度</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增强永久基本农田保护韧性。在乡镇规划中以规划耕地为基础划定永久基本农田规划线，在规划实施中严格遵守“先补后占”制度，在拆旧复垦并保质保量补划更新永久基本农田数据库后，方可建新。结合全域土地综合整治项目，探索占补同时、同步验收的管理制度。为农业设施和农村新产业新业态建设用地预留弹性。由于农业设施和农村新产业新业态建设用地的不确定性，农业设施和农村新产业新业态实施建设时不得不占用永久基本农田的，可以和规划确定的建设用地位置互换，但必须保证数量和质量对等。</w:t>
      </w:r>
    </w:p>
    <w:p>
      <w:pPr>
        <w:pStyle w:val="81"/>
        <w:numPr>
          <w:ilvl w:val="0"/>
          <w:numId w:val="8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建立区域统筹的耕地保护平衡机制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依托跨区域规划编制模式，探索建立区域统筹的耕地保护平衡机制，建立耕地保护利益平衡机制，推动实现以片区为单元的耕地保护责任共担、利益共享机制。</w:t>
      </w:r>
    </w:p>
    <w:p>
      <w:pPr>
        <w:pStyle w:val="81"/>
        <w:numPr>
          <w:ilvl w:val="0"/>
          <w:numId w:val="8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制定集体经营性建设用地入市配套政策</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明确集体经营性建设用地入市相关配套制度，落实具体操作细则，明确相关利益分配机制，保障农村一、二、三产业融合发展。下放新增集体建设用地涉及农用地转用权限，由当地人民政府审批，集体建设用地报转时只报总量，不固定图斑，年底统一结算并定图斑、定数量，完善相关资料上报备案。</w:t>
      </w:r>
    </w:p>
    <w:p>
      <w:pPr>
        <w:pStyle w:val="81"/>
        <w:numPr>
          <w:ilvl w:val="0"/>
          <w:numId w:val="8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适当放开点状供地政策</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在符合国土空间规划的前提下，进行土地零星征地，以便吸引更多社会资金流入，推动产业发展。</w:t>
      </w:r>
    </w:p>
    <w:p>
      <w:pPr>
        <w:pStyle w:val="81"/>
        <w:numPr>
          <w:ilvl w:val="0"/>
          <w:numId w:val="84"/>
        </w:numPr>
        <w:tabs>
          <w:tab w:val="left" w:pos="0"/>
        </w:tabs>
        <w:spacing w:line="360" w:lineRule="auto"/>
        <w:ind w:firstLineChars="0"/>
        <w:rPr>
          <w:rFonts w:ascii="宋体" w:hAnsi="宋体" w:cs="宋体"/>
          <w:b/>
          <w:bCs/>
          <w:sz w:val="24"/>
          <w:szCs w:val="24"/>
        </w:rPr>
      </w:pPr>
      <w:r>
        <w:rPr>
          <w:rFonts w:ascii="宋体" w:hAnsi="宋体" w:cs="宋体"/>
          <w:b/>
          <w:bCs/>
          <w:sz w:val="24"/>
          <w:szCs w:val="24"/>
        </w:rPr>
        <w:t xml:space="preserve"> </w:t>
      </w:r>
      <w:r>
        <w:rPr>
          <w:rFonts w:hint="eastAsia" w:ascii="宋体" w:hAnsi="宋体" w:cs="宋体"/>
          <w:b/>
          <w:bCs/>
          <w:sz w:val="24"/>
          <w:szCs w:val="24"/>
        </w:rPr>
        <w:t>探索集中居住激励政策</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政府方面，通过基础设施建设、公共服务完善、经济补贴等方式鼓励村民搬迁到集中居民点聚居。村集体方面，在一户一宅的前提下，采用集中居住后腾退的宅基地面积作价入股等方式，保障集体经济组织成员对原有宅基地的财产权，鼓励集中居住。</w:t>
      </w:r>
    </w:p>
    <w:p>
      <w:pPr>
        <w:pStyle w:val="81"/>
        <w:numPr>
          <w:ilvl w:val="0"/>
          <w:numId w:val="8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探索宅基地有偿退出机制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放活宅基地使用权。在土地、财政、融资等方面出台对城镇集中居住、农村集中归并、自愿退出宅基地配套支持政策。</w:t>
      </w:r>
    </w:p>
    <w:p>
      <w:pPr>
        <w:pStyle w:val="81"/>
        <w:numPr>
          <w:ilvl w:val="0"/>
          <w:numId w:val="84"/>
        </w:numPr>
        <w:tabs>
          <w:tab w:val="left" w:pos="0"/>
        </w:tabs>
        <w:spacing w:line="360" w:lineRule="auto"/>
        <w:ind w:firstLineChars="0"/>
        <w:rPr>
          <w:rFonts w:ascii="宋体" w:hAnsi="宋体" w:cs="宋体"/>
          <w:b/>
          <w:bCs/>
          <w:sz w:val="24"/>
          <w:szCs w:val="24"/>
        </w:rPr>
      </w:pPr>
      <w:r>
        <w:rPr>
          <w:rFonts w:hint="eastAsia" w:ascii="宋体" w:hAnsi="宋体" w:cs="宋体"/>
          <w:b/>
          <w:bCs/>
          <w:sz w:val="24"/>
          <w:szCs w:val="24"/>
        </w:rPr>
        <w:t>完善土地综合整治政策</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建议将大英县纳入全域土地综合整治试点工作中。通过全域土地综合整治为发展提供建设用地保障。</w:t>
      </w:r>
      <w:r>
        <w:rPr>
          <w:rFonts w:ascii="宋体" w:hAnsi="宋体" w:cs="宋体"/>
          <w:sz w:val="24"/>
          <w:szCs w:val="24"/>
        </w:rPr>
        <w:t xml:space="preserve"> </w:t>
      </w:r>
      <w:r>
        <w:rPr>
          <w:rFonts w:hint="eastAsia" w:ascii="宋体" w:hAnsi="宋体" w:cs="宋体"/>
          <w:sz w:val="24"/>
          <w:szCs w:val="24"/>
        </w:rPr>
        <w:t>探索“经济区和行政区适度分离”土地综合整治模式。设立土地流转基金，建立土地整理政府融资平台，由政府统筹推进土地流转和土地整理。</w:t>
      </w:r>
    </w:p>
    <w:p>
      <w:pPr>
        <w:pStyle w:val="5"/>
        <w:numPr>
          <w:ilvl w:val="0"/>
          <w:numId w:val="82"/>
        </w:numPr>
        <w:spacing w:line="360" w:lineRule="auto"/>
        <w:ind w:left="0" w:firstLine="482" w:firstLineChars="200"/>
        <w:rPr>
          <w:b/>
          <w:bCs/>
        </w:rPr>
      </w:pPr>
      <w:r>
        <w:rPr>
          <w:rFonts w:hint="eastAsia"/>
          <w:b/>
          <w:bCs/>
        </w:rPr>
        <w:t>监督评估</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完善公众参与制度，建立贯穿规划编制、实施、监督及乡村治理全过程的公众参与机制。</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建立并用好国土空间规划“一张图”实施监督信息系统，数据库汇入上级国土空间基础信息平台和“一张图”实施监督信息系统。</w:t>
      </w:r>
    </w:p>
    <w:p>
      <w:pPr>
        <w:tabs>
          <w:tab w:val="left" w:pos="0"/>
        </w:tabs>
        <w:spacing w:line="360" w:lineRule="auto"/>
        <w:ind w:firstLine="480" w:firstLineChars="200"/>
        <w:rPr>
          <w:rFonts w:ascii="宋体" w:hAnsi="宋体" w:cs="宋体"/>
          <w:sz w:val="24"/>
          <w:szCs w:val="24"/>
        </w:rPr>
      </w:pPr>
      <w:r>
        <w:rPr>
          <w:rFonts w:hint="eastAsia" w:ascii="宋体" w:hAnsi="宋体" w:cs="宋体"/>
          <w:sz w:val="24"/>
          <w:szCs w:val="24"/>
        </w:rPr>
        <w:t>完善规划实施动态监测、评估、预警、考核机制，将国土空间规划执行情况纳入自然资源执法督察内容，建立规划实施考核制度，实行规划实施考核结果与实施主体责任、绩效挂钩的考核机制。</w:t>
      </w:r>
    </w:p>
    <w:p>
      <w:pPr>
        <w:spacing w:line="360" w:lineRule="auto"/>
        <w:jc w:val="left"/>
        <w:rPr>
          <w:rFonts w:ascii="黑体" w:hAnsi="黑体" w:eastAsia="黑体"/>
          <w:sz w:val="24"/>
          <w:szCs w:val="24"/>
        </w:rPr>
      </w:pPr>
    </w:p>
    <w:p>
      <w:pPr>
        <w:spacing w:line="360" w:lineRule="auto"/>
        <w:jc w:val="left"/>
        <w:rPr>
          <w:rFonts w:ascii="黑体" w:hAnsi="黑体" w:eastAsia="黑体"/>
          <w:sz w:val="24"/>
          <w:szCs w:val="24"/>
        </w:rPr>
      </w:pPr>
    </w:p>
    <w:p>
      <w:pPr>
        <w:spacing w:line="360" w:lineRule="auto"/>
        <w:jc w:val="left"/>
        <w:rPr>
          <w:rFonts w:ascii="黑体" w:hAnsi="黑体" w:eastAsia="黑体"/>
          <w:sz w:val="24"/>
          <w:szCs w:val="24"/>
        </w:rPr>
      </w:pPr>
    </w:p>
    <w:p>
      <w:pPr>
        <w:spacing w:line="360" w:lineRule="auto"/>
        <w:jc w:val="left"/>
        <w:rPr>
          <w:rFonts w:ascii="黑体" w:hAnsi="黑体" w:eastAsia="黑体"/>
          <w:sz w:val="24"/>
          <w:szCs w:val="24"/>
        </w:rPr>
      </w:pPr>
    </w:p>
    <w:p>
      <w:pPr>
        <w:spacing w:line="360" w:lineRule="auto"/>
        <w:jc w:val="left"/>
        <w:rPr>
          <w:rFonts w:ascii="黑体" w:hAnsi="黑体" w:eastAsia="黑体"/>
          <w:sz w:val="24"/>
          <w:szCs w:val="24"/>
        </w:rPr>
      </w:pPr>
    </w:p>
    <w:p>
      <w:pPr>
        <w:spacing w:line="360" w:lineRule="auto"/>
        <w:jc w:val="left"/>
        <w:rPr>
          <w:rFonts w:ascii="黑体" w:hAnsi="黑体" w:eastAsia="黑体"/>
          <w:sz w:val="24"/>
          <w:szCs w:val="24"/>
        </w:rPr>
      </w:pPr>
    </w:p>
    <w:p>
      <w:pPr>
        <w:spacing w:line="360" w:lineRule="auto"/>
        <w:jc w:val="left"/>
        <w:rPr>
          <w:rFonts w:ascii="黑体" w:hAnsi="黑体" w:eastAsia="黑体"/>
          <w:sz w:val="24"/>
          <w:szCs w:val="24"/>
        </w:rPr>
      </w:pPr>
    </w:p>
    <w:p>
      <w:pPr>
        <w:spacing w:line="360" w:lineRule="auto"/>
        <w:jc w:val="left"/>
        <w:rPr>
          <w:rFonts w:ascii="黑体" w:hAnsi="黑体" w:eastAsia="黑体"/>
          <w:sz w:val="24"/>
          <w:szCs w:val="24"/>
        </w:rPr>
      </w:pPr>
    </w:p>
    <w:p>
      <w:pPr>
        <w:widowControl/>
        <w:jc w:val="left"/>
        <w:rPr>
          <w:rFonts w:ascii="黑体" w:hAnsi="黑体" w:eastAsia="黑体"/>
          <w:sz w:val="24"/>
          <w:szCs w:val="24"/>
        </w:rPr>
      </w:pPr>
      <w:r>
        <w:rPr>
          <w:rFonts w:ascii="黑体" w:hAnsi="黑体" w:eastAsia="黑体"/>
          <w:sz w:val="24"/>
          <w:szCs w:val="24"/>
        </w:rPr>
        <w:br w:type="page"/>
      </w:r>
    </w:p>
    <w:p>
      <w:pPr>
        <w:spacing w:line="360" w:lineRule="auto"/>
        <w:jc w:val="left"/>
        <w:outlineLvl w:val="0"/>
        <w:rPr>
          <w:rFonts w:ascii="黑体" w:hAnsi="黑体" w:eastAsia="黑体"/>
          <w:sz w:val="24"/>
          <w:szCs w:val="24"/>
        </w:rPr>
      </w:pPr>
      <w:bookmarkStart w:id="550" w:name="_Toc141369736"/>
      <w:bookmarkStart w:id="551" w:name="_Toc106960190"/>
      <w:r>
        <w:rPr>
          <w:rFonts w:hint="eastAsia" w:ascii="黑体" w:hAnsi="黑体" w:eastAsia="黑体"/>
          <w:sz w:val="24"/>
          <w:szCs w:val="24"/>
        </w:rPr>
        <w:t>附表</w:t>
      </w:r>
      <w:r>
        <w:rPr>
          <w:rFonts w:ascii="黑体" w:hAnsi="黑体" w:eastAsia="黑体"/>
          <w:sz w:val="24"/>
          <w:szCs w:val="24"/>
        </w:rPr>
        <w:t xml:space="preserve">1  </w:t>
      </w:r>
      <w:r>
        <w:rPr>
          <w:rFonts w:hint="eastAsia" w:ascii="黑体" w:hAnsi="黑体" w:eastAsia="黑体"/>
          <w:sz w:val="24"/>
          <w:szCs w:val="24"/>
        </w:rPr>
        <w:t>片区国土空间保护利用现状表</w:t>
      </w:r>
      <w:bookmarkEnd w:id="550"/>
      <w:bookmarkEnd w:id="551"/>
    </w:p>
    <w:tbl>
      <w:tblPr>
        <w:tblStyle w:val="41"/>
        <w:tblW w:w="8278" w:type="dxa"/>
        <w:tblInd w:w="93" w:type="dxa"/>
        <w:tblLayout w:type="autofit"/>
        <w:tblCellMar>
          <w:top w:w="0" w:type="dxa"/>
          <w:left w:w="108" w:type="dxa"/>
          <w:bottom w:w="0" w:type="dxa"/>
          <w:right w:w="108" w:type="dxa"/>
        </w:tblCellMar>
      </w:tblPr>
      <w:tblGrid>
        <w:gridCol w:w="2865"/>
        <w:gridCol w:w="2606"/>
        <w:gridCol w:w="1843"/>
        <w:gridCol w:w="964"/>
      </w:tblGrid>
      <w:tr>
        <w:tblPrEx>
          <w:tblCellMar>
            <w:top w:w="0" w:type="dxa"/>
            <w:left w:w="108" w:type="dxa"/>
            <w:bottom w:w="0" w:type="dxa"/>
            <w:right w:w="108" w:type="dxa"/>
          </w:tblCellMar>
        </w:tblPrEx>
        <w:trPr>
          <w:trHeight w:val="300" w:hRule="atLeast"/>
        </w:trPr>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一级类</w:t>
            </w:r>
          </w:p>
        </w:tc>
        <w:tc>
          <w:tcPr>
            <w:tcW w:w="2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二级类</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用地面积(公顷)</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比例(%)</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耕地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水田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2499.07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11.92%</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水浇地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51.33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0.24%</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旱地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7105.40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33.90%</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园地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果园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259.61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1.24%</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其他园地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213.04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1.02%</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林地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乔木林地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5377.03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25.65%</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竹林地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269.07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1.28%</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灌木林地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1162.91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5.55%</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其他林地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117.39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0.56%</w:t>
            </w:r>
          </w:p>
        </w:tc>
      </w:tr>
      <w:tr>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草地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其他草地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29.70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0.14%</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湿地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内陆滩涂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57.05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0.27%</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农业设施建设用地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乡村道路用地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285.97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1.36%</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种植设施建设用地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38.39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0.18%</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畜禽养殖设施建设用地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29.65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0.14%</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居住用地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城镇住宅用地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53.18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0.25%</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农村宅基地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1594.60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7.61%</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农村社区服务设施用地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16.34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0.08%</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公共管理与公共服务用地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机关团体用地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4.48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0.02%</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科研用地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文化用地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教育用地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19.39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0.09%</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医疗卫生用地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0.01%</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社会福利用地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0.01%</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商业服务业用地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商业用地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0.05%</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商务金融用地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其他商业服务业用地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工矿用地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工业用地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68.69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0.33%</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采矿用地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134.35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0.64%</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仓储用地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物流仓储用地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0.02%</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储备库用地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0.01%</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交通运输用地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铁路用地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37.53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0.18%</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公路用地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261.70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1.25%</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城镇道路用地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12.58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0.06%</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交通场站用地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0.01%</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其他交通设施用地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16.05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0.08%</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公用设施用地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供水用地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排水用地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供电用地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3.07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0.01%</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供燃气用地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0.27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邮政用地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0.19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水工设施用地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0.03%</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其他公用设施用地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0.01%</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绿地与开敞空间用地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广场用地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特殊用地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宗教用地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1.60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0.01%</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文物古迹用地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0.01%</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其他特殊用地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7.84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0.04%</w:t>
            </w:r>
          </w:p>
        </w:tc>
      </w:tr>
      <w:tr>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陆地水域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河流水面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660.16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3.15%</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水库水面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84.70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0.40%</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坑塘水面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386.24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1.84%</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沟渠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64.24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0.31%</w:t>
            </w:r>
          </w:p>
        </w:tc>
      </w:tr>
      <w:tr>
        <w:tblPrEx>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其他土地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空闲地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4.49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0.02%</w:t>
            </w:r>
          </w:p>
        </w:tc>
      </w:tr>
      <w:tr>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裸土地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r>
      <w:tr>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总计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20961.56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100.00%</w:t>
            </w:r>
          </w:p>
        </w:tc>
      </w:tr>
    </w:tbl>
    <w:p>
      <w:pPr>
        <w:spacing w:before="312" w:beforeLines="100" w:line="360" w:lineRule="auto"/>
        <w:jc w:val="left"/>
        <w:outlineLvl w:val="0"/>
        <w:rPr>
          <w:rFonts w:ascii="黑体" w:hAnsi="黑体" w:eastAsia="黑体"/>
          <w:sz w:val="24"/>
          <w:szCs w:val="24"/>
        </w:rPr>
      </w:pPr>
      <w:bookmarkStart w:id="552" w:name="_Toc141369737"/>
      <w:bookmarkStart w:id="553" w:name="_Toc106960191"/>
      <w:r>
        <w:rPr>
          <w:rFonts w:hint="eastAsia" w:ascii="黑体" w:hAnsi="黑体" w:eastAsia="黑体"/>
          <w:sz w:val="24"/>
          <w:szCs w:val="24"/>
        </w:rPr>
        <w:t>附表</w:t>
      </w:r>
      <w:r>
        <w:rPr>
          <w:rFonts w:ascii="黑体" w:hAnsi="黑体" w:eastAsia="黑体"/>
          <w:sz w:val="24"/>
          <w:szCs w:val="24"/>
        </w:rPr>
        <w:t>2  片区规划指标</w:t>
      </w:r>
      <w:r>
        <w:rPr>
          <w:rFonts w:hint="eastAsia" w:ascii="黑体" w:hAnsi="黑体" w:eastAsia="黑体"/>
          <w:sz w:val="24"/>
          <w:szCs w:val="24"/>
        </w:rPr>
        <w:t>体系表</w:t>
      </w:r>
      <w:bookmarkEnd w:id="552"/>
      <w:bookmarkEnd w:id="553"/>
    </w:p>
    <w:tbl>
      <w:tblPr>
        <w:tblStyle w:val="41"/>
        <w:tblW w:w="8318" w:type="dxa"/>
        <w:jc w:val="center"/>
        <w:tblLayout w:type="fixed"/>
        <w:tblCellMar>
          <w:top w:w="0" w:type="dxa"/>
          <w:left w:w="0" w:type="dxa"/>
          <w:bottom w:w="0" w:type="dxa"/>
          <w:right w:w="0" w:type="dxa"/>
        </w:tblCellMar>
      </w:tblPr>
      <w:tblGrid>
        <w:gridCol w:w="390"/>
        <w:gridCol w:w="458"/>
        <w:gridCol w:w="1479"/>
        <w:gridCol w:w="553"/>
        <w:gridCol w:w="1236"/>
        <w:gridCol w:w="1137"/>
        <w:gridCol w:w="1422"/>
        <w:gridCol w:w="801"/>
        <w:gridCol w:w="842"/>
      </w:tblGrid>
      <w:tr>
        <w:trPr>
          <w:trHeight w:val="457" w:hRule="atLeast"/>
          <w:tblHeader/>
          <w:jc w:val="center"/>
        </w:trPr>
        <w:tc>
          <w:tcPr>
            <w:tcW w:w="3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 w:val="18"/>
                <w:szCs w:val="18"/>
              </w:rPr>
            </w:pPr>
            <w:bookmarkStart w:id="554" w:name="_Toc106960192"/>
            <w:r>
              <w:rPr>
                <w:rFonts w:hint="eastAsia" w:cs="宋体" w:asciiTheme="minorEastAsia" w:hAnsiTheme="minorEastAsia"/>
                <w:bCs/>
                <w:kern w:val="0"/>
                <w:sz w:val="18"/>
                <w:szCs w:val="18"/>
              </w:rPr>
              <w:t>序号</w:t>
            </w:r>
          </w:p>
        </w:tc>
        <w:tc>
          <w:tcPr>
            <w:tcW w:w="45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指标类型</w:t>
            </w:r>
          </w:p>
        </w:tc>
        <w:tc>
          <w:tcPr>
            <w:tcW w:w="147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指标名称</w:t>
            </w:r>
          </w:p>
        </w:tc>
        <w:tc>
          <w:tcPr>
            <w:tcW w:w="5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单位</w:t>
            </w:r>
          </w:p>
        </w:tc>
        <w:tc>
          <w:tcPr>
            <w:tcW w:w="123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规划基期年</w:t>
            </w:r>
            <w:r>
              <w:rPr>
                <w:rFonts w:cs="宋体" w:asciiTheme="minorEastAsia" w:hAnsiTheme="minorEastAsia"/>
                <w:bCs/>
                <w:kern w:val="0"/>
                <w:sz w:val="18"/>
                <w:szCs w:val="18"/>
              </w:rPr>
              <w:t>(2020年)</w:t>
            </w:r>
          </w:p>
        </w:tc>
        <w:tc>
          <w:tcPr>
            <w:tcW w:w="113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规划近期年</w:t>
            </w:r>
            <w:r>
              <w:rPr>
                <w:rFonts w:cs="宋体" w:asciiTheme="minorEastAsia" w:hAnsiTheme="minorEastAsia"/>
                <w:bCs/>
                <w:kern w:val="0"/>
                <w:sz w:val="18"/>
                <w:szCs w:val="18"/>
              </w:rPr>
              <w:t>(2025年)</w:t>
            </w:r>
          </w:p>
        </w:tc>
        <w:tc>
          <w:tcPr>
            <w:tcW w:w="14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规划目标年（</w:t>
            </w:r>
            <w:r>
              <w:rPr>
                <w:rFonts w:cs="宋体" w:asciiTheme="minorEastAsia" w:hAnsiTheme="minorEastAsia"/>
                <w:bCs/>
                <w:kern w:val="0"/>
                <w:sz w:val="18"/>
                <w:szCs w:val="18"/>
              </w:rPr>
              <w:t>2035年）</w:t>
            </w:r>
          </w:p>
        </w:tc>
        <w:tc>
          <w:tcPr>
            <w:tcW w:w="8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指标属性</w:t>
            </w:r>
          </w:p>
        </w:tc>
        <w:tc>
          <w:tcPr>
            <w:tcW w:w="8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指标层级</w:t>
            </w:r>
          </w:p>
        </w:tc>
      </w:tr>
      <w:tr>
        <w:tblPrEx>
          <w:tblCellMar>
            <w:top w:w="0" w:type="dxa"/>
            <w:left w:w="0" w:type="dxa"/>
            <w:bottom w:w="0" w:type="dxa"/>
            <w:right w:w="0" w:type="dxa"/>
          </w:tblCellMar>
        </w:tblPrEx>
        <w:trPr>
          <w:trHeight w:val="275"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w:t>
            </w:r>
          </w:p>
        </w:tc>
        <w:tc>
          <w:tcPr>
            <w:tcW w:w="4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资源底线</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永久基本农田保护面积</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公顷</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8243.33</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8243.33</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约束性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263"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2</w:t>
            </w:r>
          </w:p>
        </w:tc>
        <w:tc>
          <w:tcPr>
            <w:tcW w:w="458"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生态保护红线面积</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公顷</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17.51</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17.51</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17.51</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约束性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263"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3</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耕地保有量</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公顷</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9655.80</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9677.08</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9677.08</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约束性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227"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4</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林地保有量</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公顷</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6926.40</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6752.03</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6752.03</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约束性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227"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5</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基本草原面积</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公顷</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约束性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227"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6</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湿地面积</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公顷</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57.05</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57.05</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58.</w:t>
            </w:r>
            <w:r>
              <w:rPr>
                <w:rFonts w:hint="eastAsia" w:cs="宋体" w:asciiTheme="minorEastAsia" w:hAnsiTheme="minorEastAsia"/>
                <w:kern w:val="0"/>
                <w:sz w:val="18"/>
                <w:szCs w:val="18"/>
              </w:rPr>
              <w:t>84</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约束性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227"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7</w:t>
            </w:r>
          </w:p>
        </w:tc>
        <w:tc>
          <w:tcPr>
            <w:tcW w:w="4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发展质量</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建设用地总面积</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公顷</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2270.54</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2329.95</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2448.77</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约束性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263"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8</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城乡建设用地面积</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公顷</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1819.73</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1780.81</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1702.97</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约束性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337"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9</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常住人口规模</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万人</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8.1</w:t>
            </w:r>
            <w:r>
              <w:rPr>
                <w:rFonts w:hint="eastAsia" w:cs="宋体" w:asciiTheme="minorEastAsia" w:hAnsiTheme="minorEastAsia"/>
                <w:kern w:val="0"/>
                <w:sz w:val="18"/>
                <w:szCs w:val="18"/>
              </w:rPr>
              <w:t>0</w:t>
            </w:r>
            <w:r>
              <w:rPr>
                <w:rFonts w:cs="宋体" w:asciiTheme="minorEastAsia" w:hAnsiTheme="minorEastAsia"/>
                <w:kern w:val="0"/>
                <w:sz w:val="18"/>
                <w:szCs w:val="18"/>
              </w:rPr>
              <w:t>、</w:t>
            </w:r>
            <w:r>
              <w:rPr>
                <w:rFonts w:hint="eastAsia" w:cs="宋体" w:asciiTheme="minorEastAsia" w:hAnsiTheme="minorEastAsia"/>
                <w:kern w:val="0"/>
                <w:sz w:val="18"/>
                <w:szCs w:val="18"/>
              </w:rPr>
              <w:t>0.97</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6.96、</w:t>
            </w:r>
            <w:r>
              <w:rPr>
                <w:rFonts w:cs="宋体" w:asciiTheme="minorEastAsia" w:hAnsiTheme="minorEastAsia"/>
                <w:kern w:val="0"/>
                <w:sz w:val="18"/>
                <w:szCs w:val="18"/>
              </w:rPr>
              <w:t>1.</w:t>
            </w:r>
            <w:r>
              <w:rPr>
                <w:rFonts w:hint="eastAsia" w:cs="宋体" w:asciiTheme="minorEastAsia" w:hAnsiTheme="minorEastAsia"/>
                <w:kern w:val="0"/>
                <w:sz w:val="18"/>
                <w:szCs w:val="18"/>
              </w:rPr>
              <w:t>65</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6.</w:t>
            </w:r>
            <w:r>
              <w:rPr>
                <w:rFonts w:hint="eastAsia" w:cs="宋体" w:asciiTheme="minorEastAsia" w:hAnsiTheme="minorEastAsia"/>
                <w:kern w:val="0"/>
                <w:sz w:val="18"/>
                <w:szCs w:val="18"/>
              </w:rPr>
              <w:t>30</w:t>
            </w:r>
            <w:r>
              <w:rPr>
                <w:rFonts w:cs="宋体" w:asciiTheme="minorEastAsia" w:hAnsiTheme="minorEastAsia"/>
                <w:kern w:val="0"/>
                <w:sz w:val="18"/>
                <w:szCs w:val="18"/>
              </w:rPr>
              <w:t>、2.</w:t>
            </w:r>
            <w:r>
              <w:rPr>
                <w:rFonts w:hint="eastAsia" w:cs="宋体" w:asciiTheme="minorEastAsia" w:hAnsiTheme="minorEastAsia"/>
                <w:kern w:val="0"/>
                <w:sz w:val="18"/>
                <w:szCs w:val="18"/>
              </w:rPr>
              <w:t>05</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预期性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片区、镇区</w:t>
            </w:r>
          </w:p>
        </w:tc>
      </w:tr>
      <w:tr>
        <w:tblPrEx>
          <w:tblCellMar>
            <w:top w:w="0" w:type="dxa"/>
            <w:left w:w="0" w:type="dxa"/>
            <w:bottom w:w="0" w:type="dxa"/>
            <w:right w:w="0" w:type="dxa"/>
          </w:tblCellMar>
        </w:tblPrEx>
        <w:trPr>
          <w:trHeight w:val="421"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10</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人均城镇建设用地面积</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平方米</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12</w:t>
            </w:r>
            <w:r>
              <w:rPr>
                <w:rFonts w:cs="宋体" w:asciiTheme="minorEastAsia" w:hAnsiTheme="minorEastAsia"/>
                <w:kern w:val="0"/>
                <w:sz w:val="18"/>
                <w:szCs w:val="18"/>
              </w:rPr>
              <w:t>5.96</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115.39</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109.68</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预期性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镇区</w:t>
            </w:r>
          </w:p>
        </w:tc>
      </w:tr>
      <w:tr>
        <w:tblPrEx>
          <w:tblCellMar>
            <w:top w:w="0" w:type="dxa"/>
            <w:left w:w="0" w:type="dxa"/>
            <w:bottom w:w="0" w:type="dxa"/>
            <w:right w:w="0" w:type="dxa"/>
          </w:tblCellMar>
        </w:tblPrEx>
        <w:trPr>
          <w:trHeight w:val="517"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11</w:t>
            </w:r>
          </w:p>
        </w:tc>
        <w:tc>
          <w:tcPr>
            <w:tcW w:w="45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服务能力</w:t>
            </w: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每千人口医疗卫生机构床位</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张</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3.98</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4</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4.5</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预期性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517"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12</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每千名老年人养老床位数</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张</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11.24</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20</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30</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预期性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263"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13</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农村自来水普及率</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50</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80</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95</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预期性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517"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14</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农村生活垃圾处理率</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95</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100</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100</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预期性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263"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15</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农村污水处理率</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65</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85</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100</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预期性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227"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16</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行政村等级公路通达率</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83.4</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95</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100</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预期性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w:t>
            </w:r>
          </w:p>
        </w:tc>
      </w:tr>
      <w:tr>
        <w:tblPrEx>
          <w:tblCellMar>
            <w:top w:w="0" w:type="dxa"/>
            <w:left w:w="0" w:type="dxa"/>
            <w:bottom w:w="0" w:type="dxa"/>
            <w:right w:w="0" w:type="dxa"/>
          </w:tblCellMar>
        </w:tblPrEx>
        <w:trPr>
          <w:trHeight w:val="70" w:hRule="atLeast"/>
          <w:jc w:val="center"/>
        </w:trPr>
        <w:tc>
          <w:tcPr>
            <w:tcW w:w="3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17</w:t>
            </w:r>
          </w:p>
        </w:tc>
        <w:tc>
          <w:tcPr>
            <w:tcW w:w="458" w:type="dxa"/>
            <w:vMerge w:val="continue"/>
            <w:tcBorders>
              <w:top w:val="nil"/>
              <w:left w:val="single" w:color="auto" w:sz="4" w:space="0"/>
              <w:bottom w:val="single" w:color="auto" w:sz="4" w:space="0"/>
              <w:right w:val="single" w:color="auto" w:sz="4" w:space="0"/>
            </w:tcBorders>
            <w:vAlign w:val="center"/>
          </w:tcPr>
          <w:p>
            <w:pPr>
              <w:widowControl/>
              <w:jc w:val="center"/>
              <w:rPr>
                <w:rFonts w:cs="宋体" w:asciiTheme="minorEastAsia" w:hAnsiTheme="minorEastAsia"/>
                <w:kern w:val="0"/>
                <w:sz w:val="18"/>
                <w:szCs w:val="18"/>
              </w:rPr>
            </w:pPr>
          </w:p>
        </w:tc>
        <w:tc>
          <w:tcPr>
            <w:tcW w:w="1479"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道路网密度</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r>
              <w:rPr>
                <w:rFonts w:cs="宋体" w:asciiTheme="minorEastAsia" w:hAnsiTheme="minorEastAsia"/>
                <w:kern w:val="0"/>
                <w:sz w:val="18"/>
                <w:szCs w:val="18"/>
              </w:rPr>
              <w:t>/k㎡</w:t>
            </w:r>
          </w:p>
        </w:tc>
        <w:tc>
          <w:tcPr>
            <w:tcW w:w="1236"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5.57</w:t>
            </w:r>
          </w:p>
        </w:tc>
        <w:tc>
          <w:tcPr>
            <w:tcW w:w="1137"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6.96</w:t>
            </w:r>
          </w:p>
        </w:tc>
        <w:tc>
          <w:tcPr>
            <w:tcW w:w="142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cs="宋体" w:asciiTheme="minorEastAsia" w:hAnsiTheme="minorEastAsia"/>
                <w:kern w:val="0"/>
                <w:sz w:val="18"/>
                <w:szCs w:val="18"/>
              </w:rPr>
              <w:t>9.75</w:t>
            </w:r>
          </w:p>
        </w:tc>
        <w:tc>
          <w:tcPr>
            <w:tcW w:w="80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预期性</w:t>
            </w:r>
          </w:p>
        </w:tc>
        <w:tc>
          <w:tcPr>
            <w:tcW w:w="842"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镇区</w:t>
            </w:r>
          </w:p>
        </w:tc>
      </w:tr>
      <w:tr>
        <w:tblPrEx>
          <w:tblCellMar>
            <w:top w:w="0" w:type="dxa"/>
            <w:left w:w="0" w:type="dxa"/>
            <w:bottom w:w="0" w:type="dxa"/>
            <w:right w:w="0" w:type="dxa"/>
          </w:tblCellMar>
        </w:tblPrEx>
        <w:trPr>
          <w:trHeight w:val="70" w:hRule="atLeast"/>
          <w:jc w:val="center"/>
        </w:trPr>
        <w:tc>
          <w:tcPr>
            <w:tcW w:w="8318"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备注：常住城镇人口和人均城镇建设用地指标统计范围为三镇镇区</w:t>
            </w:r>
          </w:p>
        </w:tc>
      </w:tr>
    </w:tbl>
    <w:p>
      <w:pPr>
        <w:widowControl/>
        <w:jc w:val="center"/>
        <w:rPr>
          <w:rFonts w:ascii="黑体" w:hAnsi="黑体" w:eastAsia="黑体"/>
          <w:sz w:val="24"/>
          <w:szCs w:val="24"/>
        </w:rPr>
      </w:pPr>
    </w:p>
    <w:p>
      <w:pPr>
        <w:spacing w:before="312" w:beforeLines="100" w:line="360" w:lineRule="auto"/>
        <w:jc w:val="left"/>
        <w:outlineLvl w:val="0"/>
        <w:rPr>
          <w:rFonts w:ascii="黑体" w:hAnsi="黑体" w:eastAsia="黑体"/>
          <w:sz w:val="24"/>
          <w:szCs w:val="24"/>
        </w:rPr>
      </w:pPr>
      <w:bookmarkStart w:id="555" w:name="_Toc141369738"/>
      <w:r>
        <w:rPr>
          <w:rFonts w:hint="eastAsia" w:ascii="黑体" w:hAnsi="黑体" w:eastAsia="黑体"/>
          <w:sz w:val="24"/>
          <w:szCs w:val="24"/>
        </w:rPr>
        <w:t>附表</w:t>
      </w:r>
      <w:r>
        <w:rPr>
          <w:rFonts w:ascii="黑体" w:hAnsi="黑体" w:eastAsia="黑体"/>
          <w:sz w:val="24"/>
          <w:szCs w:val="24"/>
        </w:rPr>
        <w:t xml:space="preserve">3  </w:t>
      </w:r>
      <w:bookmarkStart w:id="556" w:name="_Hlk148626113"/>
      <w:r>
        <w:rPr>
          <w:rFonts w:ascii="黑体" w:hAnsi="黑体" w:eastAsia="黑体"/>
          <w:sz w:val="24"/>
          <w:szCs w:val="24"/>
        </w:rPr>
        <w:t>片区国土空间用途结构调整表</w:t>
      </w:r>
      <w:bookmarkEnd w:id="554"/>
      <w:bookmarkEnd w:id="555"/>
      <w:bookmarkEnd w:id="556"/>
    </w:p>
    <w:tbl>
      <w:tblPr>
        <w:tblStyle w:val="41"/>
        <w:tblW w:w="8418" w:type="dxa"/>
        <w:tblInd w:w="93" w:type="dxa"/>
        <w:tblLayout w:type="autofit"/>
        <w:tblCellMar>
          <w:top w:w="0" w:type="dxa"/>
          <w:left w:w="108" w:type="dxa"/>
          <w:bottom w:w="0" w:type="dxa"/>
          <w:right w:w="108" w:type="dxa"/>
        </w:tblCellMar>
      </w:tblPr>
      <w:tblGrid>
        <w:gridCol w:w="493"/>
        <w:gridCol w:w="1348"/>
        <w:gridCol w:w="1107"/>
        <w:gridCol w:w="1001"/>
        <w:gridCol w:w="1191"/>
        <w:gridCol w:w="1077"/>
        <w:gridCol w:w="2201"/>
      </w:tblGrid>
      <w:tr>
        <w:tblPrEx>
          <w:tblCellMar>
            <w:top w:w="0" w:type="dxa"/>
            <w:left w:w="108" w:type="dxa"/>
            <w:bottom w:w="0" w:type="dxa"/>
            <w:right w:w="108" w:type="dxa"/>
          </w:tblCellMar>
        </w:tblPrEx>
        <w:trPr>
          <w:trHeight w:val="321" w:hRule="atLeast"/>
        </w:trPr>
        <w:tc>
          <w:tcPr>
            <w:tcW w:w="184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bookmarkStart w:id="557" w:name="_Hlk148626086"/>
            <w:r>
              <w:rPr>
                <w:rFonts w:hint="eastAsia" w:cs="宋体" w:asciiTheme="minorEastAsia" w:hAnsiTheme="minorEastAsia"/>
                <w:kern w:val="0"/>
                <w:sz w:val="18"/>
                <w:szCs w:val="18"/>
              </w:rPr>
              <w:t>用地类型</w:t>
            </w:r>
          </w:p>
        </w:tc>
        <w:tc>
          <w:tcPr>
            <w:tcW w:w="21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规划基期年</w:t>
            </w:r>
          </w:p>
        </w:tc>
        <w:tc>
          <w:tcPr>
            <w:tcW w:w="22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规划目标年</w:t>
            </w:r>
          </w:p>
        </w:tc>
        <w:tc>
          <w:tcPr>
            <w:tcW w:w="22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规划期间面积增减情况</w:t>
            </w:r>
          </w:p>
        </w:tc>
      </w:tr>
      <w:tr>
        <w:tblPrEx>
          <w:tblCellMar>
            <w:top w:w="0" w:type="dxa"/>
            <w:left w:w="108" w:type="dxa"/>
            <w:bottom w:w="0" w:type="dxa"/>
            <w:right w:w="108" w:type="dxa"/>
          </w:tblCellMar>
        </w:tblPrEx>
        <w:trPr>
          <w:trHeight w:val="321" w:hRule="atLeast"/>
        </w:trPr>
        <w:tc>
          <w:tcPr>
            <w:tcW w:w="184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面积</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比重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面积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比重</w:t>
            </w:r>
          </w:p>
        </w:tc>
        <w:tc>
          <w:tcPr>
            <w:tcW w:w="22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耕地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9655.80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46.06%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9677.08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46.17%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21.2</w:t>
            </w:r>
            <w:r>
              <w:rPr>
                <w:rFonts w:cs="宋体" w:asciiTheme="minorEastAsia" w:hAnsiTheme="minorEastAsia"/>
                <w:kern w:val="0"/>
                <w:sz w:val="18"/>
                <w:szCs w:val="18"/>
              </w:rPr>
              <w:t>8</w:t>
            </w:r>
            <w:r>
              <w:rPr>
                <w:rFonts w:hint="eastAsia" w:cs="宋体" w:asciiTheme="minorEastAsia" w:hAnsiTheme="minorEastAsia"/>
                <w:kern w:val="0"/>
                <w:sz w:val="18"/>
                <w:szCs w:val="18"/>
              </w:rPr>
              <w:t xml:space="preserve"> </w:t>
            </w:r>
          </w:p>
        </w:tc>
      </w:tr>
      <w:tr>
        <w:tblPrEx>
          <w:tblCellMar>
            <w:top w:w="0" w:type="dxa"/>
            <w:left w:w="108" w:type="dxa"/>
            <w:bottom w:w="0" w:type="dxa"/>
            <w:right w:w="108" w:type="dxa"/>
          </w:tblCellMar>
        </w:tblPrEx>
        <w:trPr>
          <w:trHeight w:val="631"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其中</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永久基本农田</w:t>
            </w:r>
          </w:p>
        </w:tc>
        <w:tc>
          <w:tcPr>
            <w:tcW w:w="1107" w:type="dxa"/>
            <w:tcBorders>
              <w:top w:val="nil"/>
              <w:left w:val="nil"/>
              <w:bottom w:val="nil"/>
              <w:right w:val="nil"/>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0" w:type="auto"/>
            <w:tcBorders>
              <w:top w:val="nil"/>
              <w:left w:val="nil"/>
              <w:bottom w:val="nil"/>
              <w:right w:val="nil"/>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8243.33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39.33%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园地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472.64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455.40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2.17%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-17.2</w:t>
            </w:r>
            <w:r>
              <w:rPr>
                <w:rFonts w:cs="宋体" w:asciiTheme="minorEastAsia" w:hAnsiTheme="minorEastAsia"/>
                <w:kern w:val="0"/>
                <w:sz w:val="18"/>
                <w:szCs w:val="18"/>
              </w:rPr>
              <w:t>4</w:t>
            </w:r>
            <w:r>
              <w:rPr>
                <w:rFonts w:hint="eastAsia" w:cs="宋体" w:asciiTheme="minorEastAsia" w:hAnsiTheme="minorEastAsia"/>
                <w:kern w:val="0"/>
                <w:sz w:val="18"/>
                <w:szCs w:val="18"/>
              </w:rPr>
              <w:t xml:space="preserve"> </w:t>
            </w: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林地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6926.40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33.04%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6752.03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32.21%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-174.37 </w:t>
            </w: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草地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29.70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26.09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-3.61 </w:t>
            </w: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湿地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57.05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58.84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w:t>
            </w:r>
            <w:r>
              <w:rPr>
                <w:rFonts w:cs="宋体" w:asciiTheme="minorEastAsia" w:hAnsiTheme="minorEastAsia"/>
                <w:kern w:val="0"/>
                <w:sz w:val="18"/>
                <w:szCs w:val="18"/>
              </w:rPr>
              <w:t>79</w:t>
            </w:r>
            <w:r>
              <w:rPr>
                <w:rFonts w:hint="eastAsia" w:cs="宋体" w:asciiTheme="minorEastAsia" w:hAnsiTheme="minorEastAsia"/>
                <w:kern w:val="0"/>
                <w:sz w:val="18"/>
                <w:szCs w:val="18"/>
              </w:rPr>
              <w:t xml:space="preserve"> </w:t>
            </w: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农业设施建设用地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354.01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371.11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17.</w:t>
            </w:r>
            <w:r>
              <w:rPr>
                <w:rFonts w:cs="宋体" w:asciiTheme="minorEastAsia" w:hAnsiTheme="minorEastAsia"/>
                <w:kern w:val="0"/>
                <w:sz w:val="18"/>
                <w:szCs w:val="18"/>
              </w:rPr>
              <w:t>10</w:t>
            </w:r>
            <w:r>
              <w:rPr>
                <w:rFonts w:hint="eastAsia" w:cs="宋体" w:asciiTheme="minorEastAsia" w:hAnsiTheme="minorEastAsia"/>
                <w:kern w:val="0"/>
                <w:sz w:val="18"/>
                <w:szCs w:val="18"/>
              </w:rPr>
              <w:t xml:space="preserve"> </w:t>
            </w: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城乡建设用地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1819.73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8.68%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1702.97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8.12%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-116.76 </w:t>
            </w:r>
          </w:p>
        </w:tc>
      </w:tr>
      <w:tr>
        <w:tblPrEx>
          <w:tblCellMar>
            <w:top w:w="0" w:type="dxa"/>
            <w:left w:w="108" w:type="dxa"/>
            <w:bottom w:w="0" w:type="dxa"/>
            <w:right w:w="108" w:type="dxa"/>
          </w:tblCellMar>
        </w:tblPrEx>
        <w:trPr>
          <w:trHeight w:val="631" w:hRule="atLeast"/>
        </w:trPr>
        <w:tc>
          <w:tcPr>
            <w:tcW w:w="4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其中</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城镇建设用地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127.00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290.53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163.53 </w:t>
            </w:r>
          </w:p>
        </w:tc>
      </w:tr>
      <w:tr>
        <w:tblPrEx>
          <w:tblCellMar>
            <w:top w:w="0" w:type="dxa"/>
            <w:left w:w="108" w:type="dxa"/>
            <w:bottom w:w="0" w:type="dxa"/>
            <w:right w:w="108" w:type="dxa"/>
          </w:tblCellMar>
        </w:tblPrEx>
        <w:trPr>
          <w:trHeight w:val="631" w:hRule="atLeast"/>
        </w:trPr>
        <w:tc>
          <w:tcPr>
            <w:tcW w:w="4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村庄建设用地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1692.73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8.08%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1412.44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6.74%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-280.29 </w:t>
            </w: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区域基础设施用地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304.83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679.0</w:t>
            </w:r>
            <w:r>
              <w:rPr>
                <w:rFonts w:cs="宋体" w:asciiTheme="minorEastAsia" w:hAnsiTheme="minorEastAsia"/>
                <w:kern w:val="0"/>
                <w:sz w:val="18"/>
                <w:szCs w:val="18"/>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3.24%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374.1</w:t>
            </w:r>
            <w:r>
              <w:rPr>
                <w:rFonts w:cs="宋体" w:asciiTheme="minorEastAsia" w:hAnsiTheme="minorEastAsia"/>
                <w:kern w:val="0"/>
                <w:sz w:val="18"/>
                <w:szCs w:val="18"/>
              </w:rPr>
              <w:t>8</w:t>
            </w:r>
            <w:r>
              <w:rPr>
                <w:rFonts w:hint="eastAsia" w:cs="宋体" w:asciiTheme="minorEastAsia" w:hAnsiTheme="minorEastAsia"/>
                <w:kern w:val="0"/>
                <w:sz w:val="18"/>
                <w:szCs w:val="18"/>
              </w:rPr>
              <w:t xml:space="preserve"> </w:t>
            </w: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其他建设用地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145.98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66.79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-79.19 </w:t>
            </w: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陆地水域</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1195.34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5.70%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1172.24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5.59%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-23.10 </w:t>
            </w:r>
          </w:p>
        </w:tc>
      </w:tr>
      <w:tr>
        <w:tblPrEx>
          <w:tblCellMar>
            <w:top w:w="0" w:type="dxa"/>
            <w:left w:w="108" w:type="dxa"/>
            <w:bottom w:w="0" w:type="dxa"/>
            <w:right w:w="108" w:type="dxa"/>
          </w:tblCellMar>
        </w:tblPrEx>
        <w:trPr>
          <w:trHeight w:val="32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其他土地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0.08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-0.08 </w:t>
            </w:r>
          </w:p>
        </w:tc>
      </w:tr>
      <w:tr>
        <w:tblPrEx>
          <w:tblCellMar>
            <w:top w:w="0" w:type="dxa"/>
            <w:left w:w="108" w:type="dxa"/>
            <w:bottom w:w="0" w:type="dxa"/>
            <w:right w:w="108" w:type="dxa"/>
          </w:tblCellMar>
        </w:tblPrEx>
        <w:trPr>
          <w:trHeight w:val="331" w:hRule="atLeast"/>
        </w:trPr>
        <w:tc>
          <w:tcPr>
            <w:tcW w:w="18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合计</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20961.56 </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20961.56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0.00 </w:t>
            </w:r>
          </w:p>
        </w:tc>
      </w:tr>
      <w:bookmarkEnd w:id="557"/>
    </w:tbl>
    <w:p>
      <w:pPr>
        <w:widowControl/>
        <w:jc w:val="center"/>
        <w:rPr>
          <w:rFonts w:cs="宋体" w:asciiTheme="minorEastAsia" w:hAnsiTheme="minorEastAsia"/>
          <w:kern w:val="0"/>
          <w:sz w:val="18"/>
          <w:szCs w:val="18"/>
        </w:rPr>
      </w:pPr>
    </w:p>
    <w:p>
      <w:pPr>
        <w:spacing w:before="312" w:beforeLines="100" w:line="360" w:lineRule="auto"/>
        <w:jc w:val="left"/>
        <w:outlineLvl w:val="0"/>
        <w:rPr>
          <w:rFonts w:ascii="黑体" w:hAnsi="黑体" w:eastAsia="黑体"/>
          <w:sz w:val="24"/>
          <w:szCs w:val="24"/>
        </w:rPr>
      </w:pPr>
      <w:bookmarkStart w:id="558" w:name="_Toc141369739"/>
      <w:r>
        <w:rPr>
          <w:rFonts w:hint="eastAsia" w:ascii="黑体" w:hAnsi="黑体" w:eastAsia="黑体"/>
          <w:sz w:val="24"/>
          <w:szCs w:val="24"/>
        </w:rPr>
        <w:t>附表4</w:t>
      </w:r>
      <w:r>
        <w:rPr>
          <w:rFonts w:ascii="黑体" w:hAnsi="黑体" w:eastAsia="黑体"/>
          <w:sz w:val="24"/>
          <w:szCs w:val="24"/>
        </w:rPr>
        <w:t xml:space="preserve"> </w:t>
      </w:r>
      <w:r>
        <w:rPr>
          <w:rFonts w:hint="eastAsia" w:ascii="黑体" w:hAnsi="黑体" w:eastAsia="黑体"/>
          <w:sz w:val="24"/>
          <w:szCs w:val="24"/>
        </w:rPr>
        <w:t>不可移动文物保护范围划定一览表</w:t>
      </w:r>
      <w:bookmarkEnd w:id="558"/>
    </w:p>
    <w:tbl>
      <w:tblPr>
        <w:tblStyle w:val="42"/>
        <w:tblW w:w="50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60"/>
        <w:gridCol w:w="497"/>
        <w:gridCol w:w="629"/>
        <w:gridCol w:w="928"/>
        <w:gridCol w:w="941"/>
        <w:gridCol w:w="4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blHeader/>
        </w:trPr>
        <w:tc>
          <w:tcPr>
            <w:tcW w:w="515" w:type="pct"/>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名称</w:t>
            </w:r>
          </w:p>
        </w:tc>
        <w:tc>
          <w:tcPr>
            <w:tcW w:w="298" w:type="pct"/>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级别</w:t>
            </w:r>
          </w:p>
        </w:tc>
        <w:tc>
          <w:tcPr>
            <w:tcW w:w="377" w:type="pct"/>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年代</w:t>
            </w:r>
          </w:p>
        </w:tc>
        <w:tc>
          <w:tcPr>
            <w:tcW w:w="556" w:type="pct"/>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所在地</w:t>
            </w:r>
          </w:p>
        </w:tc>
        <w:tc>
          <w:tcPr>
            <w:tcW w:w="564" w:type="pct"/>
            <w:vAlign w:val="center"/>
          </w:tcPr>
          <w:p>
            <w:pPr>
              <w:widowControl/>
              <w:jc w:val="center"/>
              <w:rPr>
                <w:rFonts w:cs="宋体" w:asciiTheme="minorEastAsia" w:hAnsiTheme="minorEastAsia"/>
                <w:bCs/>
                <w:kern w:val="0"/>
                <w:sz w:val="18"/>
                <w:szCs w:val="18"/>
              </w:rPr>
            </w:pPr>
            <w:r>
              <w:rPr>
                <w:rFonts w:hint="eastAsia" w:cs="宋体" w:asciiTheme="minorEastAsia" w:hAnsiTheme="minorEastAsia"/>
                <w:bCs/>
                <w:kern w:val="0"/>
                <w:sz w:val="18"/>
                <w:szCs w:val="18"/>
              </w:rPr>
              <w:t>面积</w:t>
            </w:r>
          </w:p>
        </w:tc>
        <w:tc>
          <w:tcPr>
            <w:tcW w:w="2691" w:type="pct"/>
            <w:vAlign w:val="center"/>
          </w:tcPr>
          <w:p>
            <w:pPr>
              <w:widowControl/>
              <w:ind w:firstLine="560"/>
              <w:jc w:val="center"/>
              <w:rPr>
                <w:rFonts w:cs="宋体" w:asciiTheme="minorEastAsia" w:hAnsiTheme="minorEastAsia"/>
                <w:bCs/>
                <w:kern w:val="0"/>
                <w:sz w:val="18"/>
                <w:szCs w:val="18"/>
              </w:rPr>
            </w:pPr>
            <w:r>
              <w:rPr>
                <w:rFonts w:hint="eastAsia" w:cs="宋体" w:asciiTheme="minorEastAsia" w:hAnsiTheme="minorEastAsia"/>
                <w:bCs/>
                <w:kern w:val="0"/>
                <w:sz w:val="18"/>
                <w:szCs w:val="18"/>
              </w:rPr>
              <w:t>保护范围和建设控制地带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 w:hRule="atLeast"/>
        </w:trPr>
        <w:tc>
          <w:tcPr>
            <w:tcW w:w="515" w:type="pct"/>
            <w:vMerge w:val="restart"/>
            <w:vAlign w:val="center"/>
          </w:tcPr>
          <w:p>
            <w:pPr>
              <w:jc w:val="center"/>
              <w:rPr>
                <w:rFonts w:ascii="宋体" w:hAnsi="宋体" w:eastAsia="宋体" w:cs="宋体"/>
                <w:sz w:val="18"/>
                <w:szCs w:val="18"/>
              </w:rPr>
            </w:pPr>
            <w:r>
              <w:rPr>
                <w:rFonts w:hint="eastAsia" w:ascii="宋体" w:hAnsi="宋体" w:eastAsia="宋体" w:cs="宋体"/>
                <w:sz w:val="18"/>
                <w:szCs w:val="18"/>
              </w:rPr>
              <w:t>郭氏家族墓地（郭子仪后裔墓葬群）</w:t>
            </w:r>
          </w:p>
        </w:tc>
        <w:tc>
          <w:tcPr>
            <w:tcW w:w="298" w:type="pct"/>
            <w:vMerge w:val="restart"/>
            <w:vAlign w:val="center"/>
          </w:tcPr>
          <w:p>
            <w:pPr>
              <w:jc w:val="center"/>
              <w:rPr>
                <w:rFonts w:ascii="宋体" w:hAnsi="宋体" w:eastAsia="宋体" w:cs="宋体"/>
                <w:sz w:val="18"/>
                <w:szCs w:val="18"/>
              </w:rPr>
            </w:pPr>
            <w:r>
              <w:rPr>
                <w:rFonts w:hint="eastAsia" w:ascii="宋体" w:hAnsi="宋体" w:eastAsia="宋体" w:cs="宋体"/>
                <w:sz w:val="18"/>
                <w:szCs w:val="18"/>
              </w:rPr>
              <w:t>省级</w:t>
            </w:r>
          </w:p>
        </w:tc>
        <w:tc>
          <w:tcPr>
            <w:tcW w:w="377" w:type="pct"/>
            <w:vMerge w:val="restart"/>
            <w:vAlign w:val="center"/>
          </w:tcPr>
          <w:p>
            <w:pPr>
              <w:jc w:val="center"/>
              <w:rPr>
                <w:rFonts w:ascii="宋体" w:hAnsi="宋体" w:eastAsia="宋体" w:cs="宋体"/>
                <w:sz w:val="18"/>
                <w:szCs w:val="18"/>
              </w:rPr>
            </w:pPr>
            <w:r>
              <w:rPr>
                <w:rFonts w:hint="eastAsia" w:ascii="宋体" w:hAnsi="宋体" w:eastAsia="宋体" w:cs="宋体"/>
                <w:sz w:val="18"/>
                <w:szCs w:val="18"/>
              </w:rPr>
              <w:t>清</w:t>
            </w:r>
          </w:p>
        </w:tc>
        <w:tc>
          <w:tcPr>
            <w:tcW w:w="556" w:type="pct"/>
            <w:vMerge w:val="restart"/>
            <w:vAlign w:val="center"/>
          </w:tcPr>
          <w:p>
            <w:pPr>
              <w:rPr>
                <w:rFonts w:ascii="宋体" w:hAnsi="宋体" w:eastAsia="宋体" w:cs="宋体"/>
                <w:sz w:val="18"/>
                <w:szCs w:val="18"/>
              </w:rPr>
            </w:pPr>
            <w:r>
              <w:rPr>
                <w:rFonts w:hint="eastAsia" w:ascii="宋体" w:hAnsi="宋体" w:eastAsia="宋体" w:cs="宋体"/>
                <w:sz w:val="18"/>
                <w:szCs w:val="18"/>
              </w:rPr>
              <w:t>隆盛镇崇英村</w:t>
            </w:r>
          </w:p>
        </w:tc>
        <w:tc>
          <w:tcPr>
            <w:tcW w:w="564" w:type="pct"/>
            <w:vMerge w:val="restart"/>
            <w:vAlign w:val="center"/>
          </w:tcPr>
          <w:p>
            <w:pPr>
              <w:jc w:val="left"/>
              <w:rPr>
                <w:rFonts w:ascii="宋体" w:hAnsi="宋体" w:eastAsia="宋体" w:cs="宋体"/>
                <w:sz w:val="18"/>
                <w:szCs w:val="18"/>
              </w:rPr>
            </w:pPr>
            <w:r>
              <w:rPr>
                <w:rFonts w:hint="eastAsia" w:ascii="宋体" w:hAnsi="宋体" w:eastAsia="宋体" w:cs="宋体"/>
                <w:sz w:val="18"/>
                <w:szCs w:val="18"/>
              </w:rPr>
              <w:t>200平方米</w:t>
            </w:r>
          </w:p>
        </w:tc>
        <w:tc>
          <w:tcPr>
            <w:tcW w:w="2691" w:type="pct"/>
            <w:vAlign w:val="center"/>
          </w:tcPr>
          <w:p>
            <w:pPr>
              <w:rPr>
                <w:rFonts w:ascii="宋体" w:hAnsi="宋体" w:eastAsia="宋体"/>
                <w:sz w:val="18"/>
                <w:szCs w:val="18"/>
              </w:rPr>
            </w:pPr>
            <w:r>
              <w:rPr>
                <w:rFonts w:hint="eastAsia" w:ascii="宋体" w:hAnsi="宋体" w:eastAsia="宋体"/>
                <w:sz w:val="18"/>
                <w:szCs w:val="18"/>
              </w:rPr>
              <w:t>保护范围：以</w:t>
            </w:r>
            <w:r>
              <w:rPr>
                <w:rFonts w:ascii="宋体" w:hAnsi="宋体" w:eastAsia="宋体"/>
                <w:sz w:val="18"/>
                <w:szCs w:val="18"/>
              </w:rPr>
              <w:t>M2</w:t>
            </w:r>
            <w:r>
              <w:rPr>
                <w:rFonts w:hint="eastAsia" w:ascii="宋体" w:hAnsi="宋体" w:eastAsia="宋体"/>
                <w:sz w:val="18"/>
                <w:szCs w:val="18"/>
              </w:rPr>
              <w:t>墓碑为中心外延</w:t>
            </w:r>
            <w:r>
              <w:rPr>
                <w:rFonts w:ascii="宋体" w:hAnsi="宋体" w:eastAsia="宋体"/>
                <w:sz w:val="18"/>
                <w:szCs w:val="18"/>
              </w:rPr>
              <w:t>100</w:t>
            </w:r>
            <w:r>
              <w:rPr>
                <w:rFonts w:hint="eastAsia" w:ascii="宋体" w:hAnsi="宋体" w:eastAsia="宋体"/>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trPr>
        <w:tc>
          <w:tcPr>
            <w:tcW w:w="515" w:type="pct"/>
            <w:vMerge w:val="continue"/>
            <w:vAlign w:val="center"/>
          </w:tcPr>
          <w:p>
            <w:pPr>
              <w:ind w:firstLine="480"/>
              <w:jc w:val="center"/>
              <w:rPr>
                <w:rFonts w:ascii="宋体" w:hAnsi="宋体" w:eastAsia="宋体" w:cs="宋体"/>
                <w:sz w:val="18"/>
                <w:szCs w:val="18"/>
              </w:rPr>
            </w:pPr>
          </w:p>
        </w:tc>
        <w:tc>
          <w:tcPr>
            <w:tcW w:w="298" w:type="pct"/>
            <w:vMerge w:val="continue"/>
            <w:vAlign w:val="center"/>
          </w:tcPr>
          <w:p>
            <w:pPr>
              <w:ind w:firstLine="480"/>
              <w:jc w:val="center"/>
              <w:rPr>
                <w:rFonts w:ascii="宋体" w:hAnsi="宋体" w:eastAsia="宋体" w:cs="宋体"/>
                <w:sz w:val="18"/>
                <w:szCs w:val="18"/>
              </w:rPr>
            </w:pPr>
          </w:p>
        </w:tc>
        <w:tc>
          <w:tcPr>
            <w:tcW w:w="377" w:type="pct"/>
            <w:vMerge w:val="continue"/>
            <w:vAlign w:val="center"/>
          </w:tcPr>
          <w:p>
            <w:pPr>
              <w:ind w:firstLine="480"/>
              <w:jc w:val="center"/>
              <w:rPr>
                <w:rFonts w:ascii="宋体" w:hAnsi="宋体" w:eastAsia="宋体" w:cs="宋体"/>
                <w:sz w:val="18"/>
                <w:szCs w:val="18"/>
              </w:rPr>
            </w:pPr>
          </w:p>
        </w:tc>
        <w:tc>
          <w:tcPr>
            <w:tcW w:w="556" w:type="pct"/>
            <w:vMerge w:val="continue"/>
            <w:vAlign w:val="center"/>
          </w:tcPr>
          <w:p>
            <w:pPr>
              <w:ind w:firstLine="480"/>
              <w:jc w:val="center"/>
              <w:rPr>
                <w:rFonts w:ascii="宋体" w:hAnsi="宋体" w:eastAsia="宋体" w:cs="宋体"/>
                <w:sz w:val="18"/>
                <w:szCs w:val="18"/>
              </w:rPr>
            </w:pPr>
          </w:p>
        </w:tc>
        <w:tc>
          <w:tcPr>
            <w:tcW w:w="564" w:type="pct"/>
            <w:vMerge w:val="continue"/>
            <w:vAlign w:val="center"/>
          </w:tcPr>
          <w:p>
            <w:pPr>
              <w:ind w:firstLine="480"/>
              <w:jc w:val="center"/>
              <w:rPr>
                <w:rFonts w:ascii="宋体" w:hAnsi="宋体" w:eastAsia="宋体" w:cs="宋体"/>
                <w:sz w:val="18"/>
                <w:szCs w:val="18"/>
              </w:rPr>
            </w:pPr>
          </w:p>
        </w:tc>
        <w:tc>
          <w:tcPr>
            <w:tcW w:w="2691" w:type="pct"/>
            <w:vAlign w:val="center"/>
          </w:tcPr>
          <w:p>
            <w:pPr>
              <w:rPr>
                <w:rFonts w:ascii="宋体" w:hAnsi="宋体" w:eastAsia="宋体"/>
                <w:sz w:val="18"/>
                <w:szCs w:val="18"/>
              </w:rPr>
            </w:pPr>
            <w:r>
              <w:rPr>
                <w:rFonts w:hint="eastAsia" w:ascii="宋体" w:hAnsi="宋体" w:eastAsia="宋体"/>
                <w:sz w:val="18"/>
                <w:szCs w:val="18"/>
              </w:rPr>
              <w:t>建设控制地带：保护范围外延</w:t>
            </w:r>
            <w:r>
              <w:rPr>
                <w:rFonts w:ascii="宋体" w:hAnsi="宋体" w:eastAsia="宋体"/>
                <w:sz w:val="18"/>
                <w:szCs w:val="18"/>
              </w:rPr>
              <w:t>200</w:t>
            </w:r>
            <w:r>
              <w:rPr>
                <w:rFonts w:hint="eastAsia" w:ascii="宋体" w:hAnsi="宋体" w:eastAsia="宋体"/>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trPr>
        <w:tc>
          <w:tcPr>
            <w:tcW w:w="515" w:type="pct"/>
            <w:vMerge w:val="restart"/>
            <w:vAlign w:val="center"/>
          </w:tcPr>
          <w:p>
            <w:pPr>
              <w:jc w:val="center"/>
              <w:rPr>
                <w:rFonts w:ascii="宋体" w:hAnsi="宋体" w:eastAsia="宋体" w:cs="宋体"/>
                <w:sz w:val="18"/>
                <w:szCs w:val="18"/>
              </w:rPr>
            </w:pPr>
            <w:r>
              <w:rPr>
                <w:rFonts w:hint="eastAsia" w:ascii="宋体" w:hAnsi="宋体" w:eastAsia="宋体" w:cs="宋体"/>
                <w:sz w:val="18"/>
                <w:szCs w:val="18"/>
              </w:rPr>
              <w:t>长江坝遗址</w:t>
            </w:r>
          </w:p>
        </w:tc>
        <w:tc>
          <w:tcPr>
            <w:tcW w:w="298" w:type="pct"/>
            <w:vMerge w:val="restart"/>
            <w:vAlign w:val="center"/>
          </w:tcPr>
          <w:p>
            <w:pPr>
              <w:jc w:val="center"/>
              <w:rPr>
                <w:rFonts w:ascii="宋体" w:hAnsi="宋体" w:eastAsia="宋体" w:cs="宋体"/>
                <w:sz w:val="18"/>
                <w:szCs w:val="18"/>
              </w:rPr>
            </w:pPr>
            <w:r>
              <w:rPr>
                <w:rFonts w:hint="eastAsia" w:ascii="宋体" w:hAnsi="宋体" w:eastAsia="宋体" w:cs="宋体"/>
                <w:sz w:val="18"/>
                <w:szCs w:val="18"/>
              </w:rPr>
              <w:t>省级</w:t>
            </w:r>
          </w:p>
        </w:tc>
        <w:tc>
          <w:tcPr>
            <w:tcW w:w="377" w:type="pct"/>
            <w:vMerge w:val="restart"/>
            <w:vAlign w:val="center"/>
          </w:tcPr>
          <w:p>
            <w:pPr>
              <w:jc w:val="center"/>
              <w:rPr>
                <w:rFonts w:ascii="宋体" w:hAnsi="宋体" w:eastAsia="宋体" w:cs="宋体"/>
                <w:sz w:val="18"/>
                <w:szCs w:val="18"/>
              </w:rPr>
            </w:pPr>
            <w:r>
              <w:rPr>
                <w:rFonts w:hint="eastAsia" w:ascii="宋体" w:hAnsi="宋体" w:eastAsia="宋体" w:cs="宋体"/>
                <w:sz w:val="18"/>
                <w:szCs w:val="18"/>
              </w:rPr>
              <w:t>汉-宋</w:t>
            </w:r>
          </w:p>
        </w:tc>
        <w:tc>
          <w:tcPr>
            <w:tcW w:w="556" w:type="pct"/>
            <w:vMerge w:val="restart"/>
            <w:vAlign w:val="center"/>
          </w:tcPr>
          <w:p>
            <w:pPr>
              <w:rPr>
                <w:rFonts w:ascii="宋体" w:hAnsi="宋体" w:eastAsia="宋体" w:cs="宋体"/>
                <w:sz w:val="18"/>
                <w:szCs w:val="18"/>
              </w:rPr>
            </w:pPr>
            <w:r>
              <w:rPr>
                <w:rFonts w:hint="eastAsia" w:ascii="宋体" w:hAnsi="宋体" w:eastAsia="宋体" w:cs="宋体"/>
                <w:sz w:val="18"/>
                <w:szCs w:val="18"/>
              </w:rPr>
              <w:t>回马镇梨园村</w:t>
            </w:r>
          </w:p>
        </w:tc>
        <w:tc>
          <w:tcPr>
            <w:tcW w:w="564" w:type="pct"/>
            <w:vMerge w:val="restart"/>
            <w:vAlign w:val="center"/>
          </w:tcPr>
          <w:p>
            <w:pPr>
              <w:rPr>
                <w:rFonts w:ascii="宋体" w:hAnsi="宋体" w:eastAsia="宋体" w:cs="宋体"/>
                <w:sz w:val="18"/>
                <w:szCs w:val="18"/>
              </w:rPr>
            </w:pPr>
            <w:r>
              <w:rPr>
                <w:rFonts w:hint="eastAsia" w:ascii="宋体" w:hAnsi="宋体" w:eastAsia="宋体"/>
                <w:sz w:val="18"/>
                <w:szCs w:val="18"/>
              </w:rPr>
              <w:t>约240000平方米</w:t>
            </w:r>
          </w:p>
        </w:tc>
        <w:tc>
          <w:tcPr>
            <w:tcW w:w="2691" w:type="pct"/>
            <w:vAlign w:val="center"/>
          </w:tcPr>
          <w:p>
            <w:pPr>
              <w:rPr>
                <w:rFonts w:ascii="宋体" w:hAnsi="宋体" w:eastAsia="宋体"/>
                <w:sz w:val="18"/>
                <w:szCs w:val="18"/>
              </w:rPr>
            </w:pPr>
            <w:r>
              <w:rPr>
                <w:rFonts w:hint="eastAsia" w:ascii="宋体" w:hAnsi="宋体" w:eastAsia="宋体"/>
                <w:sz w:val="18"/>
                <w:szCs w:val="18"/>
              </w:rPr>
              <w:t>保护范围：以贾公祠遗址为中心向北延伸</w:t>
            </w:r>
            <w:r>
              <w:rPr>
                <w:rFonts w:ascii="宋体" w:hAnsi="宋体" w:eastAsia="宋体"/>
                <w:sz w:val="18"/>
                <w:szCs w:val="18"/>
              </w:rPr>
              <w:t>1000</w:t>
            </w:r>
            <w:r>
              <w:rPr>
                <w:rFonts w:hint="eastAsia" w:ascii="宋体" w:hAnsi="宋体" w:eastAsia="宋体"/>
                <w:sz w:val="18"/>
                <w:szCs w:val="18"/>
              </w:rPr>
              <w:t>米至梨园村小学，向东延伸</w:t>
            </w:r>
            <w:r>
              <w:rPr>
                <w:rFonts w:ascii="宋体" w:hAnsi="宋体" w:eastAsia="宋体"/>
                <w:sz w:val="18"/>
                <w:szCs w:val="18"/>
              </w:rPr>
              <w:t>800</w:t>
            </w:r>
            <w:r>
              <w:rPr>
                <w:rFonts w:hint="eastAsia" w:ascii="宋体" w:hAnsi="宋体" w:eastAsia="宋体"/>
                <w:sz w:val="18"/>
                <w:szCs w:val="18"/>
              </w:rPr>
              <w:t>米至莲花井，向南延伸至白衣庵，向西延伸</w:t>
            </w:r>
            <w:r>
              <w:rPr>
                <w:rFonts w:ascii="宋体" w:hAnsi="宋体" w:eastAsia="宋体"/>
                <w:sz w:val="18"/>
                <w:szCs w:val="18"/>
              </w:rPr>
              <w:t>1000</w:t>
            </w:r>
            <w:r>
              <w:rPr>
                <w:rFonts w:hint="eastAsia" w:ascii="宋体" w:hAnsi="宋体" w:eastAsia="宋体"/>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trPr>
        <w:tc>
          <w:tcPr>
            <w:tcW w:w="515" w:type="pct"/>
            <w:vMerge w:val="continue"/>
            <w:vAlign w:val="center"/>
          </w:tcPr>
          <w:p>
            <w:pPr>
              <w:ind w:firstLine="480"/>
              <w:jc w:val="center"/>
              <w:rPr>
                <w:rFonts w:ascii="宋体" w:hAnsi="宋体" w:eastAsia="宋体" w:cs="宋体"/>
                <w:sz w:val="18"/>
                <w:szCs w:val="18"/>
              </w:rPr>
            </w:pPr>
          </w:p>
        </w:tc>
        <w:tc>
          <w:tcPr>
            <w:tcW w:w="298" w:type="pct"/>
            <w:vMerge w:val="continue"/>
            <w:vAlign w:val="center"/>
          </w:tcPr>
          <w:p>
            <w:pPr>
              <w:ind w:firstLine="480"/>
              <w:jc w:val="center"/>
              <w:rPr>
                <w:rFonts w:ascii="宋体" w:hAnsi="宋体" w:eastAsia="宋体" w:cs="宋体"/>
                <w:sz w:val="18"/>
                <w:szCs w:val="18"/>
              </w:rPr>
            </w:pPr>
          </w:p>
        </w:tc>
        <w:tc>
          <w:tcPr>
            <w:tcW w:w="377" w:type="pct"/>
            <w:vMerge w:val="continue"/>
            <w:vAlign w:val="center"/>
          </w:tcPr>
          <w:p>
            <w:pPr>
              <w:ind w:firstLine="480"/>
              <w:jc w:val="center"/>
              <w:rPr>
                <w:rFonts w:ascii="宋体" w:hAnsi="宋体" w:eastAsia="宋体" w:cs="宋体"/>
                <w:sz w:val="18"/>
                <w:szCs w:val="18"/>
              </w:rPr>
            </w:pPr>
          </w:p>
        </w:tc>
        <w:tc>
          <w:tcPr>
            <w:tcW w:w="556" w:type="pct"/>
            <w:vMerge w:val="continue"/>
            <w:vAlign w:val="center"/>
          </w:tcPr>
          <w:p>
            <w:pPr>
              <w:ind w:firstLine="480"/>
              <w:jc w:val="center"/>
              <w:rPr>
                <w:rFonts w:ascii="宋体" w:hAnsi="宋体" w:eastAsia="宋体" w:cs="宋体"/>
                <w:sz w:val="18"/>
                <w:szCs w:val="18"/>
              </w:rPr>
            </w:pPr>
          </w:p>
        </w:tc>
        <w:tc>
          <w:tcPr>
            <w:tcW w:w="564" w:type="pct"/>
            <w:vMerge w:val="continue"/>
            <w:vAlign w:val="center"/>
          </w:tcPr>
          <w:p>
            <w:pPr>
              <w:ind w:firstLine="480"/>
              <w:jc w:val="center"/>
              <w:rPr>
                <w:rFonts w:ascii="宋体" w:hAnsi="宋体" w:eastAsia="宋体" w:cs="宋体"/>
                <w:sz w:val="18"/>
                <w:szCs w:val="18"/>
              </w:rPr>
            </w:pPr>
          </w:p>
        </w:tc>
        <w:tc>
          <w:tcPr>
            <w:tcW w:w="2691" w:type="pct"/>
            <w:vAlign w:val="center"/>
          </w:tcPr>
          <w:p>
            <w:pPr>
              <w:rPr>
                <w:rFonts w:ascii="宋体" w:hAnsi="宋体" w:eastAsia="宋体"/>
                <w:sz w:val="18"/>
                <w:szCs w:val="18"/>
              </w:rPr>
            </w:pPr>
            <w:r>
              <w:rPr>
                <w:rFonts w:hint="eastAsia" w:ascii="宋体" w:hAnsi="宋体" w:eastAsia="宋体"/>
                <w:sz w:val="18"/>
                <w:szCs w:val="18"/>
              </w:rPr>
              <w:t>建设控制地带：保护范围向北延伸至凤凰山山脚，向东延伸</w:t>
            </w:r>
            <w:r>
              <w:rPr>
                <w:rFonts w:ascii="宋体" w:hAnsi="宋体" w:eastAsia="宋体"/>
                <w:sz w:val="18"/>
                <w:szCs w:val="18"/>
              </w:rPr>
              <w:t>200</w:t>
            </w:r>
            <w:r>
              <w:rPr>
                <w:rFonts w:hint="eastAsia" w:ascii="宋体" w:hAnsi="宋体" w:eastAsia="宋体"/>
                <w:sz w:val="18"/>
                <w:szCs w:val="18"/>
              </w:rPr>
              <w:t>米，向南延伸至河堤，向西延伸</w:t>
            </w:r>
            <w:r>
              <w:rPr>
                <w:rFonts w:ascii="宋体" w:hAnsi="宋体" w:eastAsia="宋体"/>
                <w:sz w:val="18"/>
                <w:szCs w:val="18"/>
              </w:rPr>
              <w:t>200</w:t>
            </w:r>
            <w:r>
              <w:rPr>
                <w:rFonts w:hint="eastAsia" w:ascii="宋体" w:hAnsi="宋体" w:eastAsia="宋体"/>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rPr>
        <w:tc>
          <w:tcPr>
            <w:tcW w:w="515" w:type="pct"/>
            <w:vMerge w:val="restart"/>
            <w:vAlign w:val="center"/>
          </w:tcPr>
          <w:p>
            <w:pPr>
              <w:jc w:val="center"/>
              <w:rPr>
                <w:rFonts w:ascii="宋体" w:hAnsi="宋体" w:eastAsia="宋体" w:cs="宋体"/>
                <w:sz w:val="18"/>
                <w:szCs w:val="18"/>
              </w:rPr>
            </w:pPr>
            <w:r>
              <w:rPr>
                <w:rFonts w:hint="eastAsia" w:ascii="宋体" w:hAnsi="宋体" w:eastAsia="宋体" w:cs="宋体"/>
                <w:sz w:val="18"/>
                <w:szCs w:val="18"/>
              </w:rPr>
              <w:t>金鹏寺摩崖造像</w:t>
            </w:r>
          </w:p>
        </w:tc>
        <w:tc>
          <w:tcPr>
            <w:tcW w:w="298" w:type="pct"/>
            <w:vMerge w:val="restart"/>
            <w:vAlign w:val="center"/>
          </w:tcPr>
          <w:p>
            <w:pPr>
              <w:jc w:val="center"/>
              <w:rPr>
                <w:rFonts w:ascii="宋体" w:hAnsi="宋体" w:eastAsia="宋体" w:cs="宋体"/>
                <w:sz w:val="18"/>
                <w:szCs w:val="18"/>
              </w:rPr>
            </w:pPr>
            <w:r>
              <w:rPr>
                <w:rFonts w:hint="eastAsia" w:ascii="宋体" w:hAnsi="宋体" w:eastAsia="宋体" w:cs="宋体"/>
                <w:sz w:val="18"/>
                <w:szCs w:val="18"/>
              </w:rPr>
              <w:t>省级</w:t>
            </w:r>
          </w:p>
        </w:tc>
        <w:tc>
          <w:tcPr>
            <w:tcW w:w="377" w:type="pct"/>
            <w:vMerge w:val="restart"/>
            <w:vAlign w:val="center"/>
          </w:tcPr>
          <w:p>
            <w:pPr>
              <w:jc w:val="center"/>
              <w:rPr>
                <w:rFonts w:ascii="宋体" w:hAnsi="宋体" w:eastAsia="宋体" w:cs="宋体"/>
                <w:sz w:val="18"/>
                <w:szCs w:val="18"/>
              </w:rPr>
            </w:pPr>
            <w:r>
              <w:rPr>
                <w:rFonts w:hint="eastAsia" w:ascii="宋体" w:hAnsi="宋体" w:eastAsia="宋体" w:cs="宋体"/>
                <w:sz w:val="18"/>
                <w:szCs w:val="18"/>
              </w:rPr>
              <w:t>清</w:t>
            </w:r>
          </w:p>
        </w:tc>
        <w:tc>
          <w:tcPr>
            <w:tcW w:w="556" w:type="pct"/>
            <w:vMerge w:val="restart"/>
            <w:vAlign w:val="center"/>
          </w:tcPr>
          <w:p>
            <w:pPr>
              <w:rPr>
                <w:rFonts w:ascii="宋体" w:hAnsi="宋体" w:eastAsia="宋体" w:cs="宋体"/>
                <w:sz w:val="18"/>
                <w:szCs w:val="18"/>
              </w:rPr>
            </w:pPr>
            <w:r>
              <w:rPr>
                <w:rFonts w:hint="eastAsia" w:ascii="宋体" w:hAnsi="宋体" w:eastAsia="宋体" w:cs="宋体"/>
                <w:sz w:val="18"/>
                <w:szCs w:val="18"/>
              </w:rPr>
              <w:t>隆盛镇黄腊溪村</w:t>
            </w:r>
          </w:p>
        </w:tc>
        <w:tc>
          <w:tcPr>
            <w:tcW w:w="564" w:type="pct"/>
            <w:vMerge w:val="restart"/>
            <w:vAlign w:val="center"/>
          </w:tcPr>
          <w:p>
            <w:pPr>
              <w:rPr>
                <w:rFonts w:ascii="宋体" w:hAnsi="宋体" w:eastAsia="宋体" w:cs="宋体"/>
                <w:sz w:val="18"/>
                <w:szCs w:val="18"/>
              </w:rPr>
            </w:pPr>
            <w:r>
              <w:rPr>
                <w:rFonts w:hint="eastAsia" w:ascii="宋体" w:hAnsi="宋体" w:eastAsia="宋体" w:cs="宋体"/>
                <w:sz w:val="18"/>
                <w:szCs w:val="18"/>
              </w:rPr>
              <w:t>20平方米</w:t>
            </w:r>
          </w:p>
        </w:tc>
        <w:tc>
          <w:tcPr>
            <w:tcW w:w="2691" w:type="pct"/>
            <w:vAlign w:val="center"/>
          </w:tcPr>
          <w:p>
            <w:pPr>
              <w:rPr>
                <w:rFonts w:ascii="宋体" w:hAnsi="宋体" w:eastAsia="宋体"/>
                <w:sz w:val="18"/>
                <w:szCs w:val="18"/>
              </w:rPr>
            </w:pPr>
            <w:r>
              <w:rPr>
                <w:rFonts w:hint="eastAsia" w:ascii="宋体" w:hAnsi="宋体" w:eastAsia="宋体"/>
                <w:sz w:val="18"/>
                <w:szCs w:val="18"/>
              </w:rPr>
              <w:t>保护范围：</w:t>
            </w:r>
            <w:r>
              <w:rPr>
                <w:rFonts w:ascii="宋体" w:hAnsi="宋体" w:eastAsia="宋体"/>
                <w:sz w:val="18"/>
                <w:szCs w:val="18"/>
              </w:rPr>
              <w:t>以</w:t>
            </w:r>
            <w:r>
              <w:rPr>
                <w:rFonts w:hint="eastAsia" w:ascii="宋体" w:hAnsi="宋体" w:eastAsia="宋体"/>
                <w:sz w:val="18"/>
                <w:szCs w:val="18"/>
              </w:rPr>
              <w:t>四号龛</w:t>
            </w:r>
            <w:r>
              <w:rPr>
                <w:rFonts w:ascii="宋体" w:hAnsi="宋体" w:eastAsia="宋体"/>
                <w:sz w:val="18"/>
                <w:szCs w:val="18"/>
              </w:rPr>
              <w:t>摩崖造像</w:t>
            </w:r>
            <w:r>
              <w:rPr>
                <w:rFonts w:hint="eastAsia" w:ascii="宋体" w:hAnsi="宋体" w:eastAsia="宋体"/>
                <w:sz w:val="18"/>
                <w:szCs w:val="18"/>
              </w:rPr>
              <w:t>为中心向四周外延</w:t>
            </w:r>
            <w:r>
              <w:rPr>
                <w:rFonts w:ascii="宋体" w:hAnsi="宋体" w:eastAsia="宋体"/>
                <w:sz w:val="18"/>
                <w:szCs w:val="18"/>
              </w:rPr>
              <w:t>50</w:t>
            </w:r>
            <w:r>
              <w:rPr>
                <w:rFonts w:hint="eastAsia" w:ascii="宋体" w:hAnsi="宋体" w:eastAsia="宋体"/>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515" w:type="pct"/>
            <w:vMerge w:val="continue"/>
            <w:vAlign w:val="center"/>
          </w:tcPr>
          <w:p>
            <w:pPr>
              <w:ind w:firstLine="480"/>
              <w:jc w:val="center"/>
              <w:rPr>
                <w:rFonts w:ascii="宋体" w:hAnsi="宋体" w:eastAsia="宋体" w:cs="宋体"/>
                <w:sz w:val="18"/>
                <w:szCs w:val="18"/>
              </w:rPr>
            </w:pPr>
          </w:p>
        </w:tc>
        <w:tc>
          <w:tcPr>
            <w:tcW w:w="298" w:type="pct"/>
            <w:vMerge w:val="continue"/>
            <w:vAlign w:val="center"/>
          </w:tcPr>
          <w:p>
            <w:pPr>
              <w:ind w:firstLine="480"/>
              <w:jc w:val="center"/>
              <w:rPr>
                <w:rFonts w:ascii="宋体" w:hAnsi="宋体" w:eastAsia="宋体" w:cs="宋体"/>
                <w:sz w:val="18"/>
                <w:szCs w:val="18"/>
              </w:rPr>
            </w:pPr>
          </w:p>
        </w:tc>
        <w:tc>
          <w:tcPr>
            <w:tcW w:w="377" w:type="pct"/>
            <w:vMerge w:val="continue"/>
            <w:vAlign w:val="center"/>
          </w:tcPr>
          <w:p>
            <w:pPr>
              <w:jc w:val="center"/>
              <w:rPr>
                <w:rFonts w:ascii="宋体" w:hAnsi="宋体" w:eastAsia="宋体" w:cs="宋体"/>
                <w:sz w:val="18"/>
                <w:szCs w:val="18"/>
              </w:rPr>
            </w:pPr>
          </w:p>
        </w:tc>
        <w:tc>
          <w:tcPr>
            <w:tcW w:w="556" w:type="pct"/>
            <w:vMerge w:val="continue"/>
            <w:vAlign w:val="center"/>
          </w:tcPr>
          <w:p>
            <w:pPr>
              <w:ind w:firstLine="480"/>
              <w:jc w:val="center"/>
              <w:rPr>
                <w:rFonts w:ascii="宋体" w:hAnsi="宋体" w:eastAsia="宋体" w:cs="宋体"/>
                <w:sz w:val="18"/>
                <w:szCs w:val="18"/>
              </w:rPr>
            </w:pPr>
          </w:p>
        </w:tc>
        <w:tc>
          <w:tcPr>
            <w:tcW w:w="564" w:type="pct"/>
            <w:vMerge w:val="continue"/>
            <w:vAlign w:val="center"/>
          </w:tcPr>
          <w:p>
            <w:pPr>
              <w:ind w:firstLine="480"/>
              <w:jc w:val="center"/>
              <w:rPr>
                <w:rFonts w:ascii="宋体" w:hAnsi="宋体" w:eastAsia="宋体" w:cs="宋体"/>
                <w:sz w:val="18"/>
                <w:szCs w:val="18"/>
              </w:rPr>
            </w:pPr>
          </w:p>
        </w:tc>
        <w:tc>
          <w:tcPr>
            <w:tcW w:w="2691" w:type="pct"/>
            <w:vAlign w:val="center"/>
          </w:tcPr>
          <w:p>
            <w:pPr>
              <w:rPr>
                <w:rFonts w:ascii="宋体" w:hAnsi="宋体" w:eastAsia="宋体"/>
                <w:sz w:val="18"/>
                <w:szCs w:val="18"/>
              </w:rPr>
            </w:pPr>
            <w:r>
              <w:rPr>
                <w:rFonts w:hint="eastAsia" w:ascii="宋体" w:hAnsi="宋体" w:eastAsia="宋体"/>
                <w:sz w:val="18"/>
                <w:szCs w:val="18"/>
              </w:rPr>
              <w:t>建设控制地带：保护范围向北外延</w:t>
            </w:r>
            <w:r>
              <w:rPr>
                <w:rFonts w:ascii="宋体" w:hAnsi="宋体" w:eastAsia="宋体"/>
                <w:sz w:val="18"/>
                <w:szCs w:val="18"/>
              </w:rPr>
              <w:t>50</w:t>
            </w:r>
            <w:r>
              <w:rPr>
                <w:rFonts w:hint="eastAsia" w:ascii="宋体" w:hAnsi="宋体" w:eastAsia="宋体"/>
                <w:sz w:val="18"/>
                <w:szCs w:val="18"/>
              </w:rPr>
              <w:t>米至坡顶，向西外延</w:t>
            </w:r>
            <w:r>
              <w:rPr>
                <w:rFonts w:ascii="宋体" w:hAnsi="宋体" w:eastAsia="宋体"/>
                <w:sz w:val="18"/>
                <w:szCs w:val="18"/>
              </w:rPr>
              <w:t>200</w:t>
            </w:r>
            <w:r>
              <w:rPr>
                <w:rFonts w:hint="eastAsia" w:ascii="宋体" w:hAnsi="宋体" w:eastAsia="宋体"/>
                <w:sz w:val="18"/>
                <w:szCs w:val="18"/>
              </w:rPr>
              <w:t>米，向东外延</w:t>
            </w:r>
            <w:r>
              <w:rPr>
                <w:rFonts w:ascii="宋体" w:hAnsi="宋体" w:eastAsia="宋体"/>
                <w:sz w:val="18"/>
                <w:szCs w:val="18"/>
              </w:rPr>
              <w:t>150</w:t>
            </w:r>
            <w:r>
              <w:rPr>
                <w:rFonts w:hint="eastAsia" w:ascii="宋体" w:hAnsi="宋体" w:eastAsia="宋体"/>
                <w:sz w:val="18"/>
                <w:szCs w:val="18"/>
              </w:rPr>
              <w:t>米，向南外延</w:t>
            </w:r>
            <w:r>
              <w:rPr>
                <w:rFonts w:ascii="宋体" w:hAnsi="宋体" w:eastAsia="宋体"/>
                <w:sz w:val="18"/>
                <w:szCs w:val="18"/>
              </w:rPr>
              <w:t>150</w:t>
            </w:r>
            <w:r>
              <w:rPr>
                <w:rFonts w:hint="eastAsia" w:ascii="宋体" w:hAnsi="宋体" w:eastAsia="宋体"/>
                <w:sz w:val="18"/>
                <w:szCs w:val="18"/>
              </w:rPr>
              <w:t>米至前岩下大土。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陈家大桥</w:t>
            </w:r>
          </w:p>
        </w:tc>
        <w:tc>
          <w:tcPr>
            <w:tcW w:w="298" w:type="pct"/>
            <w:vAlign w:val="center"/>
          </w:tcPr>
          <w:p>
            <w:pPr>
              <w:rPr>
                <w:rFonts w:ascii="宋体" w:hAnsi="宋体" w:eastAsia="宋体" w:cs="宋体"/>
                <w:sz w:val="18"/>
                <w:szCs w:val="18"/>
              </w:rPr>
            </w:pPr>
            <w:r>
              <w:rPr>
                <w:rFonts w:hint="eastAsia" w:ascii="宋体" w:hAnsi="宋体" w:eastAsia="宋体" w:cs="宋体"/>
                <w:sz w:val="18"/>
                <w:szCs w:val="18"/>
              </w:rPr>
              <w:t>市级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清</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回马镇金竹村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100平方米</w:t>
            </w:r>
          </w:p>
        </w:tc>
        <w:tc>
          <w:tcPr>
            <w:tcW w:w="2691" w:type="pct"/>
            <w:vAlign w:val="center"/>
          </w:tcPr>
          <w:p>
            <w:pPr>
              <w:rPr>
                <w:rFonts w:ascii="宋体" w:hAnsi="宋体" w:eastAsia="宋体"/>
                <w:sz w:val="18"/>
                <w:szCs w:val="18"/>
              </w:rPr>
            </w:pPr>
            <w:r>
              <w:rPr>
                <w:rFonts w:hint="eastAsia" w:ascii="宋体" w:hAnsi="宋体" w:eastAsia="宋体"/>
                <w:sz w:val="18"/>
                <w:szCs w:val="18"/>
              </w:rPr>
              <w:t>保护范围：西至金山水电站外8米，东至田埂路外6米，南至桥墩以南20米，北至桥墩以北20米为界。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双龙桥</w:t>
            </w:r>
          </w:p>
        </w:tc>
        <w:tc>
          <w:tcPr>
            <w:tcW w:w="298" w:type="pct"/>
            <w:vAlign w:val="center"/>
          </w:tcPr>
          <w:p>
            <w:pPr>
              <w:rPr>
                <w:rFonts w:ascii="宋体" w:hAnsi="宋体" w:eastAsia="宋体" w:cs="宋体"/>
                <w:sz w:val="18"/>
                <w:szCs w:val="18"/>
              </w:rPr>
            </w:pPr>
            <w:r>
              <w:rPr>
                <w:rFonts w:hint="eastAsia" w:ascii="宋体" w:hAnsi="宋体" w:eastAsia="宋体" w:cs="宋体"/>
                <w:sz w:val="18"/>
                <w:szCs w:val="18"/>
              </w:rPr>
              <w:t>市级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清</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隆盛镇双界村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22.8平方米</w:t>
            </w:r>
          </w:p>
        </w:tc>
        <w:tc>
          <w:tcPr>
            <w:tcW w:w="2691" w:type="pct"/>
            <w:vAlign w:val="center"/>
          </w:tcPr>
          <w:p>
            <w:pPr>
              <w:rPr>
                <w:rFonts w:ascii="宋体" w:hAnsi="宋体" w:eastAsia="宋体"/>
                <w:sz w:val="18"/>
                <w:szCs w:val="18"/>
              </w:rPr>
            </w:pPr>
            <w:r>
              <w:rPr>
                <w:rFonts w:hint="eastAsia" w:ascii="宋体" w:hAnsi="宋体" w:eastAsia="宋体"/>
                <w:sz w:val="18"/>
                <w:szCs w:val="18"/>
              </w:rPr>
              <w:t>保护范围：西、北至加工房外8米，东、南至船山区界。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五显庙</w:t>
            </w:r>
          </w:p>
        </w:tc>
        <w:tc>
          <w:tcPr>
            <w:tcW w:w="298" w:type="pct"/>
            <w:vAlign w:val="center"/>
          </w:tcPr>
          <w:p>
            <w:pPr>
              <w:rPr>
                <w:rFonts w:ascii="宋体" w:hAnsi="宋体" w:eastAsia="宋体" w:cs="宋体"/>
                <w:sz w:val="18"/>
                <w:szCs w:val="18"/>
              </w:rPr>
            </w:pPr>
            <w:r>
              <w:rPr>
                <w:rFonts w:hint="eastAsia" w:ascii="宋体" w:hAnsi="宋体" w:eastAsia="宋体" w:cs="宋体"/>
                <w:sz w:val="18"/>
                <w:szCs w:val="18"/>
              </w:rPr>
              <w:t>市级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清</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回马镇农林村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3808.5平方米</w:t>
            </w:r>
          </w:p>
        </w:tc>
        <w:tc>
          <w:tcPr>
            <w:tcW w:w="2691" w:type="pct"/>
            <w:vAlign w:val="center"/>
          </w:tcPr>
          <w:p>
            <w:pPr>
              <w:rPr>
                <w:rFonts w:ascii="宋体" w:hAnsi="宋体" w:eastAsia="宋体"/>
                <w:sz w:val="18"/>
                <w:szCs w:val="18"/>
              </w:rPr>
            </w:pPr>
            <w:r>
              <w:rPr>
                <w:rFonts w:hint="eastAsia" w:ascii="宋体" w:hAnsi="宋体" w:eastAsia="宋体"/>
                <w:sz w:val="18"/>
                <w:szCs w:val="18"/>
              </w:rPr>
              <w:t>保护范围：北至渡管所，西至何开福宅，东至涪江，南至村道路为界。</w:t>
            </w:r>
          </w:p>
          <w:p>
            <w:pPr>
              <w:ind w:firstLine="480"/>
              <w:jc w:val="left"/>
              <w:rPr>
                <w:rFonts w:ascii="宋体" w:hAnsi="宋体"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席书墓</w:t>
            </w:r>
          </w:p>
        </w:tc>
        <w:tc>
          <w:tcPr>
            <w:tcW w:w="298" w:type="pct"/>
            <w:vAlign w:val="center"/>
          </w:tcPr>
          <w:p>
            <w:pPr>
              <w:rPr>
                <w:rFonts w:ascii="宋体" w:hAnsi="宋体" w:eastAsia="宋体" w:cs="宋体"/>
                <w:sz w:val="18"/>
                <w:szCs w:val="18"/>
              </w:rPr>
            </w:pPr>
            <w:r>
              <w:rPr>
                <w:rFonts w:hint="eastAsia" w:ascii="宋体" w:hAnsi="宋体" w:eastAsia="宋体" w:cs="宋体"/>
                <w:sz w:val="18"/>
                <w:szCs w:val="18"/>
              </w:rPr>
              <w:t>市级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明</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回马镇文武村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300平方米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保护范围：以文物为中心，东、西、南、北延伸100米为界。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农林村窑址</w:t>
            </w:r>
          </w:p>
        </w:tc>
        <w:tc>
          <w:tcPr>
            <w:tcW w:w="298" w:type="pct"/>
            <w:vAlign w:val="center"/>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宋</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回马镇农林村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50000平方米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保护范围：杨家窑包四面10米为界，南至涪江界。北至农家院落界，东至街道为界，西至砂石厂为界。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叶家祠堂</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清</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金元乡龙塘湾村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4000平方米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保护范围：西北至叶能华宅20米，东北至教师宿舍6米，西南至操场8米，东南至月亮坡坡脚10米。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庙子坡墓</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清</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金元乡洞坡村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36平方米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保护范围：西至彭和国土地10米，东至矮子坡坡脚8米，南至彭开立土地6米，北至彭俊中土地8米。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干咀子石粮仓</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1958年</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金元乡洞湾村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150平方米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保护范围：北至村道路3米，南至李平安田地6米，西至竹林8米，东至李兴华宅6米。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崇报寺</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清</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隆盛镇街村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200平方米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保护范围：以正殿为中心，北至6米，南至办公楼5米，东临民宅，西至民宅3米为界。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佛爷庙戏楼</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清</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隆盛镇中心街</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292.5平方米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保护范围：以戏楼为中心，东至周和平宅5米，西至李沿平宅3米，东临中心街3米，南临顺江街6米。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花古坟墓群</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宋</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隆盛镇杜家寨村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130平方米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保护范围：以墓1为中心四周向外延伸8米。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老虎坡熊氏墓群</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清</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隆盛镇老虎坡村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120平方米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保护范围：以熊应鼎墓为中心四面向外延伸10米为界。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驼柳崖墓</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汉</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隆盛镇驼柳村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15平方米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保护范围：以崖墓为中心，四周向外延伸4米。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熊氏墓</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明</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隆盛镇月样堰村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100平方米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保护范围：以墓为中心，四周向外延伸至5米。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哑铃寨遗址</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明</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隆盛镇玄音村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5850平方米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保护范围：以寨墙为准，四周向外延伸3米。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冉家桥水闸</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1962年</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隆盛镇三江渡村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720平方米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保护范围：东至养殖户8米，西至田埂路8米为界。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弘观财摩崖造像</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宋</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隆盛镇崇英村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50平方米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保护范围：以造像为中心四面4米为界。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菩萨岩摩崖造像</w:t>
            </w:r>
          </w:p>
        </w:tc>
        <w:tc>
          <w:tcPr>
            <w:tcW w:w="298" w:type="pct"/>
          </w:tcPr>
          <w:p>
            <w:pPr>
              <w:rPr>
                <w:rFonts w:ascii="宋体" w:hAnsi="宋体" w:eastAsia="宋体" w:cs="宋体"/>
                <w:sz w:val="18"/>
                <w:szCs w:val="18"/>
              </w:rPr>
            </w:pPr>
            <w:r>
              <w:rPr>
                <w:rFonts w:hint="eastAsia" w:ascii="宋体" w:hAnsi="宋体" w:eastAsia="宋体" w:cs="宋体"/>
                <w:sz w:val="18"/>
                <w:szCs w:val="18"/>
              </w:rPr>
              <w:t>县级</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明、清</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隆盛镇郭安村</w:t>
            </w:r>
          </w:p>
        </w:tc>
        <w:tc>
          <w:tcPr>
            <w:tcW w:w="564" w:type="pct"/>
            <w:vAlign w:val="center"/>
          </w:tcPr>
          <w:p>
            <w:pPr>
              <w:rPr>
                <w:rFonts w:ascii="宋体" w:hAnsi="宋体" w:eastAsia="宋体" w:cs="宋体"/>
                <w:sz w:val="18"/>
                <w:szCs w:val="18"/>
              </w:rPr>
            </w:pPr>
            <w:r>
              <w:rPr>
                <w:rFonts w:hint="eastAsia" w:ascii="宋体" w:hAnsi="宋体" w:eastAsia="宋体" w:cs="宋体"/>
                <w:sz w:val="18"/>
                <w:szCs w:val="18"/>
              </w:rPr>
              <w:t>335平方米</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保护范围：以造像龛为中心四面10米为界。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515" w:type="pct"/>
            <w:vAlign w:val="center"/>
          </w:tcPr>
          <w:p>
            <w:pPr>
              <w:rPr>
                <w:rFonts w:ascii="宋体" w:hAnsi="宋体" w:eastAsia="宋体" w:cs="宋体"/>
                <w:sz w:val="18"/>
                <w:szCs w:val="18"/>
              </w:rPr>
            </w:pPr>
            <w:r>
              <w:rPr>
                <w:rFonts w:hint="eastAsia" w:ascii="宋体" w:hAnsi="宋体" w:eastAsia="宋体" w:cs="宋体"/>
                <w:sz w:val="18"/>
                <w:szCs w:val="18"/>
              </w:rPr>
              <w:t>94处文物点</w:t>
            </w:r>
          </w:p>
        </w:tc>
        <w:tc>
          <w:tcPr>
            <w:tcW w:w="298" w:type="pct"/>
            <w:vAlign w:val="center"/>
          </w:tcPr>
          <w:p>
            <w:pPr>
              <w:rPr>
                <w:rFonts w:ascii="宋体" w:hAnsi="宋体" w:eastAsia="宋体" w:cs="宋体"/>
                <w:sz w:val="18"/>
                <w:szCs w:val="18"/>
              </w:rPr>
            </w:pPr>
            <w:r>
              <w:rPr>
                <w:rFonts w:hint="eastAsia" w:ascii="宋体" w:hAnsi="宋体" w:eastAsia="宋体" w:cs="宋体"/>
                <w:sz w:val="18"/>
                <w:szCs w:val="18"/>
              </w:rPr>
              <w:t>/</w:t>
            </w:r>
          </w:p>
        </w:tc>
        <w:tc>
          <w:tcPr>
            <w:tcW w:w="377" w:type="pct"/>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556" w:type="pct"/>
            <w:vAlign w:val="center"/>
          </w:tcPr>
          <w:p>
            <w:pPr>
              <w:rPr>
                <w:rFonts w:ascii="宋体" w:hAnsi="宋体" w:eastAsia="宋体" w:cs="宋体"/>
                <w:sz w:val="18"/>
                <w:szCs w:val="18"/>
              </w:rPr>
            </w:pPr>
            <w:r>
              <w:rPr>
                <w:rFonts w:hint="eastAsia" w:ascii="宋体" w:hAnsi="宋体" w:eastAsia="宋体" w:cs="宋体"/>
                <w:sz w:val="18"/>
                <w:szCs w:val="18"/>
              </w:rPr>
              <w:t>/</w:t>
            </w:r>
          </w:p>
        </w:tc>
        <w:tc>
          <w:tcPr>
            <w:tcW w:w="564" w:type="pct"/>
            <w:vAlign w:val="center"/>
          </w:tcPr>
          <w:p>
            <w:pPr>
              <w:ind w:firstLine="480"/>
              <w:jc w:val="center"/>
              <w:rPr>
                <w:rFonts w:ascii="宋体" w:hAnsi="宋体" w:eastAsia="宋体" w:cs="宋体"/>
                <w:sz w:val="18"/>
                <w:szCs w:val="18"/>
              </w:rPr>
            </w:pPr>
            <w:r>
              <w:rPr>
                <w:rFonts w:hint="eastAsia" w:ascii="宋体" w:hAnsi="宋体" w:eastAsia="宋体" w:cs="宋体"/>
                <w:sz w:val="18"/>
                <w:szCs w:val="18"/>
              </w:rPr>
              <w:t>/</w:t>
            </w:r>
          </w:p>
        </w:tc>
        <w:tc>
          <w:tcPr>
            <w:tcW w:w="2691" w:type="pct"/>
            <w:vAlign w:val="center"/>
          </w:tcPr>
          <w:p>
            <w:pPr>
              <w:jc w:val="left"/>
              <w:rPr>
                <w:rFonts w:ascii="宋体" w:hAnsi="宋体" w:eastAsia="宋体"/>
                <w:sz w:val="18"/>
                <w:szCs w:val="18"/>
              </w:rPr>
            </w:pPr>
            <w:r>
              <w:rPr>
                <w:rFonts w:hint="eastAsia" w:ascii="宋体" w:hAnsi="宋体" w:eastAsia="宋体"/>
                <w:sz w:val="18"/>
                <w:szCs w:val="18"/>
              </w:rPr>
              <w:t>保护范围：以文物点为中心，东、西、南、北延伸50米为界。</w:t>
            </w:r>
          </w:p>
        </w:tc>
      </w:tr>
    </w:tbl>
    <w:p>
      <w:pPr>
        <w:pStyle w:val="85"/>
        <w:spacing w:line="360" w:lineRule="auto"/>
        <w:ind w:firstLine="0" w:firstLineChars="0"/>
      </w:pPr>
    </w:p>
    <w:p>
      <w:pPr>
        <w:pStyle w:val="85"/>
        <w:spacing w:line="360" w:lineRule="auto"/>
        <w:ind w:firstLine="0" w:firstLineChars="0"/>
      </w:pPr>
    </w:p>
    <w:p>
      <w:pPr>
        <w:pStyle w:val="85"/>
        <w:spacing w:line="360" w:lineRule="auto"/>
        <w:ind w:firstLine="0" w:firstLineChars="0"/>
      </w:pPr>
    </w:p>
    <w:p>
      <w:pPr>
        <w:pStyle w:val="85"/>
        <w:spacing w:line="360" w:lineRule="auto"/>
        <w:ind w:firstLine="0" w:firstLineChars="0"/>
      </w:pPr>
    </w:p>
    <w:p>
      <w:pPr>
        <w:spacing w:before="312" w:beforeLines="100" w:line="360" w:lineRule="auto"/>
        <w:jc w:val="left"/>
        <w:outlineLvl w:val="0"/>
        <w:rPr>
          <w:rFonts w:ascii="黑体" w:hAnsi="黑体" w:eastAsia="黑体"/>
          <w:sz w:val="24"/>
          <w:szCs w:val="24"/>
        </w:rPr>
      </w:pPr>
      <w:bookmarkStart w:id="559" w:name="_Toc141369740"/>
      <w:r>
        <w:rPr>
          <w:rFonts w:hint="eastAsia" w:ascii="黑体" w:hAnsi="黑体" w:eastAsia="黑体"/>
          <w:sz w:val="24"/>
          <w:szCs w:val="24"/>
        </w:rPr>
        <w:t>附表5</w:t>
      </w:r>
      <w:r>
        <w:rPr>
          <w:rFonts w:ascii="黑体" w:hAnsi="黑体" w:eastAsia="黑体"/>
          <w:sz w:val="24"/>
          <w:szCs w:val="24"/>
        </w:rPr>
        <w:t xml:space="preserve"> </w:t>
      </w:r>
      <w:bookmarkStart w:id="560" w:name="_Hlk148628357"/>
      <w:r>
        <w:rPr>
          <w:rFonts w:hint="eastAsia" w:ascii="黑体" w:hAnsi="黑体" w:eastAsia="黑体"/>
          <w:sz w:val="24"/>
          <w:szCs w:val="24"/>
        </w:rPr>
        <w:t>村级片区规划指标分解表</w:t>
      </w:r>
      <w:bookmarkEnd w:id="559"/>
      <w:bookmarkEnd w:id="560"/>
    </w:p>
    <w:tbl>
      <w:tblPr>
        <w:tblStyle w:val="41"/>
        <w:tblW w:w="8176" w:type="dxa"/>
        <w:tblInd w:w="93" w:type="dxa"/>
        <w:tblLayout w:type="fixed"/>
        <w:tblCellMar>
          <w:top w:w="0" w:type="dxa"/>
          <w:left w:w="0" w:type="dxa"/>
          <w:bottom w:w="0" w:type="dxa"/>
          <w:right w:w="0" w:type="dxa"/>
        </w:tblCellMar>
      </w:tblPr>
      <w:tblGrid>
        <w:gridCol w:w="411"/>
        <w:gridCol w:w="411"/>
        <w:gridCol w:w="411"/>
        <w:gridCol w:w="348"/>
        <w:gridCol w:w="1050"/>
        <w:gridCol w:w="966"/>
        <w:gridCol w:w="778"/>
        <w:gridCol w:w="820"/>
        <w:gridCol w:w="720"/>
        <w:gridCol w:w="792"/>
        <w:gridCol w:w="753"/>
        <w:gridCol w:w="716"/>
      </w:tblGrid>
      <w:tr>
        <w:tblPrEx>
          <w:tblCellMar>
            <w:top w:w="0" w:type="dxa"/>
            <w:left w:w="0" w:type="dxa"/>
            <w:bottom w:w="0" w:type="dxa"/>
            <w:right w:w="0" w:type="dxa"/>
          </w:tblCellMar>
        </w:tblPrEx>
        <w:trPr>
          <w:trHeight w:val="527" w:hRule="atLeast"/>
          <w:tblHeader/>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bookmarkStart w:id="561" w:name="_Hlk148628391"/>
            <w:r>
              <w:rPr>
                <w:rFonts w:hint="eastAsia" w:cs="宋体" w:asciiTheme="minorEastAsia" w:hAnsiTheme="minorEastAsia"/>
                <w:kern w:val="0"/>
                <w:sz w:val="18"/>
                <w:szCs w:val="18"/>
              </w:rPr>
              <w:t>乡镇</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片区编号</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片区划分</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中心村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基层村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永久基本农田保护面积(公顷)</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生态红线保护面积(公顷)</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耕地保有量面积(公顷)</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建设用地面积(公顷)</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城乡建设用地面积(公顷)</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林地保有量面积(公顷)</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湿地面积(公顷)</w:t>
            </w:r>
          </w:p>
        </w:tc>
      </w:tr>
      <w:tr>
        <w:tblPrEx>
          <w:tblCellMar>
            <w:top w:w="0" w:type="dxa"/>
            <w:left w:w="0" w:type="dxa"/>
            <w:bottom w:w="0" w:type="dxa"/>
            <w:right w:w="0" w:type="dxa"/>
          </w:tblCellMar>
        </w:tblPrEx>
        <w:trPr>
          <w:trHeight w:val="671" w:hRule="atLeast"/>
        </w:trPr>
        <w:tc>
          <w:tcPr>
            <w:tcW w:w="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回马镇</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长江坝片区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长江坝村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团结村、花园村、郪口村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849.40 </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17.51 </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918.09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212.06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186.41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474.30 </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50.74 </w:t>
            </w:r>
          </w:p>
        </w:tc>
      </w:tr>
      <w:tr>
        <w:tblPrEx>
          <w:tblCellMar>
            <w:top w:w="0" w:type="dxa"/>
            <w:left w:w="0" w:type="dxa"/>
            <w:bottom w:w="0" w:type="dxa"/>
            <w:right w:w="0" w:type="dxa"/>
          </w:tblCellMar>
        </w:tblPrEx>
        <w:trPr>
          <w:trHeight w:val="653" w:hRule="atLeast"/>
        </w:trPr>
        <w:tc>
          <w:tcPr>
            <w:tcW w:w="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2</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文武片区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文武村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夏家沟村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275.28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298.47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135.60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102.73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84.34 </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6.01 </w:t>
            </w:r>
          </w:p>
        </w:tc>
      </w:tr>
      <w:tr>
        <w:tblPrEx>
          <w:tblCellMar>
            <w:top w:w="0" w:type="dxa"/>
            <w:left w:w="0" w:type="dxa"/>
            <w:bottom w:w="0" w:type="dxa"/>
            <w:right w:w="0" w:type="dxa"/>
          </w:tblCellMar>
        </w:tblPrEx>
        <w:trPr>
          <w:trHeight w:val="596" w:hRule="atLeast"/>
        </w:trPr>
        <w:tc>
          <w:tcPr>
            <w:tcW w:w="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3</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园艺片区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园艺村、光明村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215.78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300.61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183.89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154.31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200.42 </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1.28 </w:t>
            </w:r>
          </w:p>
        </w:tc>
      </w:tr>
      <w:tr>
        <w:tblPrEx>
          <w:tblCellMar>
            <w:top w:w="0" w:type="dxa"/>
            <w:left w:w="0" w:type="dxa"/>
            <w:bottom w:w="0" w:type="dxa"/>
            <w:right w:w="0" w:type="dxa"/>
          </w:tblCellMar>
        </w:tblPrEx>
        <w:trPr>
          <w:trHeight w:val="527" w:hRule="atLeast"/>
        </w:trPr>
        <w:tc>
          <w:tcPr>
            <w:tcW w:w="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4</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金山片区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金山村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永新村、山河村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686.18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737.94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161.06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97.81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763.31 </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0.52 </w:t>
            </w:r>
          </w:p>
        </w:tc>
      </w:tr>
      <w:tr>
        <w:tblPrEx>
          <w:tblCellMar>
            <w:top w:w="0" w:type="dxa"/>
            <w:left w:w="0" w:type="dxa"/>
            <w:bottom w:w="0" w:type="dxa"/>
            <w:right w:w="0" w:type="dxa"/>
          </w:tblCellMar>
        </w:tblPrEx>
        <w:trPr>
          <w:trHeight w:val="804" w:hRule="atLeast"/>
        </w:trPr>
        <w:tc>
          <w:tcPr>
            <w:tcW w:w="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隆盛镇</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5</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土门垭片区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土门垭村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郪江上村、干柏树村、百盛村、青坪村、双龙桥村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563.18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804.00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383.21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228.72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546.63 </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r>
      <w:tr>
        <w:tblPrEx>
          <w:tblCellMar>
            <w:top w:w="0" w:type="dxa"/>
            <w:left w:w="0" w:type="dxa"/>
            <w:bottom w:w="0" w:type="dxa"/>
            <w:right w:w="0" w:type="dxa"/>
          </w:tblCellMar>
        </w:tblPrEx>
        <w:trPr>
          <w:trHeight w:val="659" w:hRule="atLeast"/>
        </w:trPr>
        <w:tc>
          <w:tcPr>
            <w:tcW w:w="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6</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黄土岭片区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黄土岭村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明溪村、玉龙村、飞钟村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737.38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777.35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223.36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150.28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516.84 </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r>
      <w:tr>
        <w:tblPrEx>
          <w:tblCellMar>
            <w:top w:w="0" w:type="dxa"/>
            <w:left w:w="0" w:type="dxa"/>
            <w:bottom w:w="0" w:type="dxa"/>
            <w:right w:w="0" w:type="dxa"/>
          </w:tblCellMar>
        </w:tblPrEx>
        <w:trPr>
          <w:trHeight w:val="527" w:hRule="atLeast"/>
        </w:trPr>
        <w:tc>
          <w:tcPr>
            <w:tcW w:w="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7</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五莲片区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五莲村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平安寨村、长滩市村、狮子坡村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469.10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548.02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186.12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116.45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488.99 </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r>
      <w:tr>
        <w:tblPrEx>
          <w:tblCellMar>
            <w:top w:w="0" w:type="dxa"/>
            <w:left w:w="0" w:type="dxa"/>
            <w:bottom w:w="0" w:type="dxa"/>
            <w:right w:w="0" w:type="dxa"/>
          </w:tblCellMar>
        </w:tblPrEx>
        <w:trPr>
          <w:trHeight w:val="659" w:hRule="atLeast"/>
        </w:trPr>
        <w:tc>
          <w:tcPr>
            <w:tcW w:w="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8</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五龙桥片区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五龙桥村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元龙村、白寨村、道祖村、罗家沟村、王家堰村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1108.10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1236.11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191.47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143.46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913.64 </w:t>
            </w: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0.29 </w:t>
            </w:r>
          </w:p>
        </w:tc>
      </w:tr>
      <w:tr>
        <w:tblPrEx>
          <w:tblCellMar>
            <w:top w:w="0" w:type="dxa"/>
            <w:left w:w="0" w:type="dxa"/>
            <w:bottom w:w="0" w:type="dxa"/>
            <w:right w:w="0" w:type="dxa"/>
          </w:tblCellMar>
        </w:tblPrEx>
        <w:trPr>
          <w:trHeight w:val="527" w:hRule="atLeast"/>
        </w:trPr>
        <w:tc>
          <w:tcPr>
            <w:tcW w:w="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9</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望龙片区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望龙村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前明村、双河口村、新民村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708.31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863.50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169.16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105.19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535.13 </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r>
      <w:tr>
        <w:tblPrEx>
          <w:tblCellMar>
            <w:top w:w="0" w:type="dxa"/>
            <w:left w:w="0" w:type="dxa"/>
            <w:bottom w:w="0" w:type="dxa"/>
            <w:right w:w="0" w:type="dxa"/>
          </w:tblCellMar>
        </w:tblPrEx>
        <w:trPr>
          <w:trHeight w:val="696" w:hRule="atLeast"/>
        </w:trPr>
        <w:tc>
          <w:tcPr>
            <w:tcW w:w="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10</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五一片区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五一村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子仪村、景家坝村、聂家坝村、席家沟村、石长村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88.54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475.54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155.63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103.26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420.45 </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r>
      <w:tr>
        <w:tblPrEx>
          <w:tblCellMar>
            <w:top w:w="0" w:type="dxa"/>
            <w:left w:w="0" w:type="dxa"/>
            <w:bottom w:w="0" w:type="dxa"/>
            <w:right w:w="0" w:type="dxa"/>
          </w:tblCellMar>
        </w:tblPrEx>
        <w:trPr>
          <w:trHeight w:val="816" w:hRule="atLeast"/>
        </w:trPr>
        <w:tc>
          <w:tcPr>
            <w:tcW w:w="4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金元镇</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11</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金宝片区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金宝村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金山桥村、明月村、金河湾村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997.49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1060.97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212.20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149.82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676.16 </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r>
      <w:tr>
        <w:tblPrEx>
          <w:tblCellMar>
            <w:top w:w="0" w:type="dxa"/>
            <w:left w:w="0" w:type="dxa"/>
            <w:bottom w:w="0" w:type="dxa"/>
            <w:right w:w="0" w:type="dxa"/>
          </w:tblCellMar>
        </w:tblPrEx>
        <w:trPr>
          <w:trHeight w:val="1018" w:hRule="atLeast"/>
        </w:trPr>
        <w:tc>
          <w:tcPr>
            <w:tcW w:w="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12</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金容寨片区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金容寨村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峡码口村、松林沟村、宝祥村、洞坡村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872.17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930.51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137.69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94.19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595.46 </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r>
      <w:tr>
        <w:tblPrEx>
          <w:tblCellMar>
            <w:top w:w="0" w:type="dxa"/>
            <w:left w:w="0" w:type="dxa"/>
            <w:bottom w:w="0" w:type="dxa"/>
            <w:right w:w="0" w:type="dxa"/>
          </w:tblCellMar>
        </w:tblPrEx>
        <w:trPr>
          <w:trHeight w:val="532" w:hRule="atLeast"/>
        </w:trPr>
        <w:tc>
          <w:tcPr>
            <w:tcW w:w="4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13</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江柏片区</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江柏村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高金村、斑竹山村、盘龙村</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672.42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725.98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97.32 </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70.35 </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 xml:space="preserve">536.34 </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w:t>
            </w:r>
          </w:p>
        </w:tc>
      </w:tr>
      <w:bookmarkEnd w:id="561"/>
    </w:tbl>
    <w:p>
      <w:pPr>
        <w:widowControl/>
        <w:jc w:val="center"/>
        <w:rPr>
          <w:rFonts w:cs="宋体" w:asciiTheme="minorEastAsia" w:hAnsiTheme="minorEastAsia"/>
          <w:kern w:val="0"/>
          <w:sz w:val="18"/>
          <w:szCs w:val="18"/>
        </w:rPr>
      </w:pPr>
    </w:p>
    <w:p>
      <w:pPr>
        <w:spacing w:before="312" w:beforeLines="100" w:line="360" w:lineRule="auto"/>
        <w:jc w:val="left"/>
        <w:outlineLvl w:val="0"/>
        <w:rPr>
          <w:rFonts w:ascii="黑体" w:hAnsi="黑体" w:eastAsia="黑体"/>
          <w:sz w:val="24"/>
          <w:szCs w:val="24"/>
        </w:rPr>
      </w:pPr>
      <w:bookmarkStart w:id="562" w:name="_Toc141369741"/>
      <w:bookmarkStart w:id="563" w:name="_Toc106960193"/>
      <w:r>
        <w:rPr>
          <w:rFonts w:hint="eastAsia" w:ascii="黑体" w:hAnsi="黑体" w:eastAsia="黑体"/>
          <w:sz w:val="24"/>
          <w:szCs w:val="24"/>
        </w:rPr>
        <w:t>附表</w:t>
      </w:r>
      <w:r>
        <w:rPr>
          <w:rFonts w:ascii="黑体" w:hAnsi="黑体" w:eastAsia="黑体"/>
          <w:sz w:val="24"/>
          <w:szCs w:val="24"/>
        </w:rPr>
        <w:t xml:space="preserve">6  </w:t>
      </w:r>
      <w:bookmarkStart w:id="564" w:name="_Hlk148628344"/>
      <w:r>
        <w:rPr>
          <w:rFonts w:hint="eastAsia" w:ascii="黑体" w:hAnsi="黑体" w:eastAsia="黑体"/>
          <w:sz w:val="24"/>
          <w:szCs w:val="24"/>
        </w:rPr>
        <w:t>村级片区规划发展指引表</w:t>
      </w:r>
      <w:bookmarkEnd w:id="562"/>
      <w:bookmarkEnd w:id="563"/>
      <w:bookmarkEnd w:id="564"/>
    </w:p>
    <w:tbl>
      <w:tblPr>
        <w:tblStyle w:val="41"/>
        <w:tblW w:w="8303" w:type="dxa"/>
        <w:tblInd w:w="0" w:type="dxa"/>
        <w:tblLayout w:type="autofit"/>
        <w:tblCellMar>
          <w:top w:w="0" w:type="dxa"/>
          <w:left w:w="0" w:type="dxa"/>
          <w:bottom w:w="0" w:type="dxa"/>
          <w:right w:w="0" w:type="dxa"/>
        </w:tblCellMar>
      </w:tblPr>
      <w:tblGrid>
        <w:gridCol w:w="279"/>
        <w:gridCol w:w="425"/>
        <w:gridCol w:w="568"/>
        <w:gridCol w:w="559"/>
        <w:gridCol w:w="848"/>
        <w:gridCol w:w="1130"/>
        <w:gridCol w:w="1130"/>
        <w:gridCol w:w="1293"/>
        <w:gridCol w:w="2071"/>
      </w:tblGrid>
      <w:tr>
        <w:trPr>
          <w:trHeight w:val="502" w:hRule="atLeast"/>
          <w:tblHeader/>
        </w:trPr>
        <w:tc>
          <w:tcPr>
            <w:tcW w:w="27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bookmarkStart w:id="565" w:name="_Hlk148628403"/>
            <w:bookmarkStart w:id="566" w:name="_Toc106960194"/>
            <w:bookmarkStart w:id="567" w:name="_Toc141369742"/>
            <w:r>
              <w:rPr>
                <w:rFonts w:hint="eastAsia" w:ascii="宋体" w:hAnsi="宋体" w:eastAsia="宋体" w:cs="宋体"/>
                <w:sz w:val="18"/>
                <w:szCs w:val="18"/>
              </w:rPr>
              <w:t>乡镇</w:t>
            </w:r>
          </w:p>
        </w:tc>
        <w:tc>
          <w:tcPr>
            <w:tcW w:w="42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片区编号</w:t>
            </w:r>
          </w:p>
        </w:tc>
        <w:tc>
          <w:tcPr>
            <w:tcW w:w="56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片区</w:t>
            </w:r>
          </w:p>
        </w:tc>
        <w:tc>
          <w:tcPr>
            <w:tcW w:w="559"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中心村</w:t>
            </w:r>
          </w:p>
        </w:tc>
        <w:tc>
          <w:tcPr>
            <w:tcW w:w="84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基层村</w:t>
            </w:r>
          </w:p>
        </w:tc>
        <w:tc>
          <w:tcPr>
            <w:tcW w:w="11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规划乡村户籍人口(万人)</w:t>
            </w:r>
          </w:p>
        </w:tc>
        <w:tc>
          <w:tcPr>
            <w:tcW w:w="1130"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规划乡村常住人口(万人)</w:t>
            </w:r>
          </w:p>
        </w:tc>
        <w:tc>
          <w:tcPr>
            <w:tcW w:w="129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功能定位</w:t>
            </w:r>
          </w:p>
        </w:tc>
        <w:tc>
          <w:tcPr>
            <w:tcW w:w="2071"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产业发展指引</w:t>
            </w:r>
          </w:p>
        </w:tc>
      </w:tr>
      <w:tr>
        <w:tblPrEx>
          <w:tblCellMar>
            <w:top w:w="0" w:type="dxa"/>
            <w:left w:w="0" w:type="dxa"/>
            <w:bottom w:w="0" w:type="dxa"/>
            <w:right w:w="0" w:type="dxa"/>
          </w:tblCellMar>
        </w:tblPrEx>
        <w:trPr>
          <w:trHeight w:val="1737" w:hRule="atLeast"/>
        </w:trPr>
        <w:tc>
          <w:tcPr>
            <w:tcW w:w="27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回马镇</w:t>
            </w: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1</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长江坝片区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长江坝村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团结村、花园村、郪口村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1.04</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0.47</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大英绿色蔬菜现代农业园核心区，高标准农业种植和农业休闲旅游片区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以蔬菜产业为核心，构建“蔬菜+”农业发展体系，结合阆仙贾岛文化、“石龙过江”等特色资源，加快推进农文旅融合发展。</w:t>
            </w:r>
          </w:p>
        </w:tc>
      </w:tr>
      <w:tr>
        <w:tblPrEx>
          <w:tblCellMar>
            <w:top w:w="0" w:type="dxa"/>
            <w:left w:w="0" w:type="dxa"/>
            <w:bottom w:w="0" w:type="dxa"/>
            <w:right w:w="0" w:type="dxa"/>
          </w:tblCellMar>
        </w:tblPrEx>
        <w:trPr>
          <w:trHeight w:val="1063" w:hRule="atLeast"/>
        </w:trPr>
        <w:tc>
          <w:tcPr>
            <w:tcW w:w="279"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sz w:val="18"/>
                <w:szCs w:val="18"/>
              </w:rPr>
            </w:pP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2</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文武片区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文武村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夏家沟村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0.48</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0.27</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大英绿色蔬菜现代农业园核心区，现代蔬菜产业示范片区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以蔬菜产业为核心，重点发展智慧农业、无公害蔬菜，推进农旅融合发展。</w:t>
            </w:r>
          </w:p>
        </w:tc>
      </w:tr>
      <w:tr>
        <w:tblPrEx>
          <w:tblCellMar>
            <w:top w:w="0" w:type="dxa"/>
            <w:left w:w="0" w:type="dxa"/>
            <w:bottom w:w="0" w:type="dxa"/>
            <w:right w:w="0" w:type="dxa"/>
          </w:tblCellMar>
        </w:tblPrEx>
        <w:trPr>
          <w:trHeight w:val="1063" w:hRule="atLeast"/>
        </w:trPr>
        <w:tc>
          <w:tcPr>
            <w:tcW w:w="279"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sz w:val="18"/>
                <w:szCs w:val="18"/>
              </w:rPr>
            </w:pP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3</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园艺片区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园艺村、光明村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0.24</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0.05</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传统农业发展片区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以粮油和特色水果种植为主。</w:t>
            </w:r>
          </w:p>
        </w:tc>
      </w:tr>
      <w:tr>
        <w:tblPrEx>
          <w:tblCellMar>
            <w:top w:w="0" w:type="dxa"/>
            <w:left w:w="0" w:type="dxa"/>
            <w:bottom w:w="0" w:type="dxa"/>
            <w:right w:w="0" w:type="dxa"/>
          </w:tblCellMar>
        </w:tblPrEx>
        <w:trPr>
          <w:trHeight w:val="1257" w:hRule="atLeast"/>
        </w:trPr>
        <w:tc>
          <w:tcPr>
            <w:tcW w:w="279"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sz w:val="18"/>
                <w:szCs w:val="18"/>
              </w:rPr>
            </w:pP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4</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金山片区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金山村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永新村、山河村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0.64</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0.21</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特色养殖与林下经济发展片区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结合丰富的林地资源发展林下经济，结合生猪、梅花鹿、水产等特色养殖发展生态种养循环产业。</w:t>
            </w:r>
          </w:p>
        </w:tc>
      </w:tr>
      <w:tr>
        <w:tblPrEx>
          <w:tblCellMar>
            <w:top w:w="0" w:type="dxa"/>
            <w:left w:w="0" w:type="dxa"/>
            <w:bottom w:w="0" w:type="dxa"/>
            <w:right w:w="0" w:type="dxa"/>
          </w:tblCellMar>
        </w:tblPrEx>
        <w:trPr>
          <w:trHeight w:val="2309" w:hRule="atLeast"/>
        </w:trPr>
        <w:tc>
          <w:tcPr>
            <w:tcW w:w="27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隆盛镇</w:t>
            </w: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5</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土门垭片区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土门垭村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郪江上村、干柏树村、百盛村、青坪村、双龙桥村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1.08</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0.795</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集种植、加工、旅游、康养、科教、研发于一体的复合型省级中药材现代农业园区核心区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以中药材产业为主导产业，辅以优质水果、有机蔬菜种植，带动中药材加工、乡村医药康养旅游的发展，形成完善的产业链；积极引导种养结合、生态循环，拓宽延长产业链。</w:t>
            </w:r>
          </w:p>
        </w:tc>
      </w:tr>
      <w:tr>
        <w:tblPrEx>
          <w:tblCellMar>
            <w:top w:w="0" w:type="dxa"/>
            <w:left w:w="0" w:type="dxa"/>
            <w:bottom w:w="0" w:type="dxa"/>
            <w:right w:w="0" w:type="dxa"/>
          </w:tblCellMar>
        </w:tblPrEx>
        <w:trPr>
          <w:trHeight w:val="1257" w:hRule="atLeast"/>
        </w:trPr>
        <w:tc>
          <w:tcPr>
            <w:tcW w:w="279"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sz w:val="18"/>
                <w:szCs w:val="18"/>
              </w:rPr>
            </w:pP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6</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黄土岭片区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黄土岭村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明溪村、玉龙村、飞钟村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1.04</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0.4</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以粮油、蔬菜和水产为主导的现代农业发展片区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引导粮蔬轮作，融入回马蔬菜现代农业园区；推广稻渔种养模式，发展特色生态水产。</w:t>
            </w:r>
          </w:p>
        </w:tc>
      </w:tr>
      <w:tr>
        <w:tblPrEx>
          <w:tblCellMar>
            <w:top w:w="0" w:type="dxa"/>
            <w:left w:w="0" w:type="dxa"/>
            <w:bottom w:w="0" w:type="dxa"/>
            <w:right w:w="0" w:type="dxa"/>
          </w:tblCellMar>
        </w:tblPrEx>
        <w:trPr>
          <w:trHeight w:val="1006" w:hRule="atLeast"/>
        </w:trPr>
        <w:tc>
          <w:tcPr>
            <w:tcW w:w="279"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sz w:val="18"/>
                <w:szCs w:val="18"/>
              </w:rPr>
            </w:pP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7</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五莲片区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五莲村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平安寨村、长滩市村、狮子坡村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0.82</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0.415</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立体农业发展示范片区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以粮油种植为基础，发展以生猪、乌骨鸡为特色的立体农业、果下经济。</w:t>
            </w:r>
          </w:p>
        </w:tc>
      </w:tr>
      <w:tr>
        <w:tblPrEx>
          <w:tblCellMar>
            <w:top w:w="0" w:type="dxa"/>
            <w:left w:w="0" w:type="dxa"/>
            <w:bottom w:w="0" w:type="dxa"/>
            <w:right w:w="0" w:type="dxa"/>
          </w:tblCellMar>
        </w:tblPrEx>
        <w:trPr>
          <w:trHeight w:val="1014" w:hRule="atLeast"/>
        </w:trPr>
        <w:tc>
          <w:tcPr>
            <w:tcW w:w="279"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sz w:val="18"/>
                <w:szCs w:val="18"/>
              </w:rPr>
            </w:pP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8</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五龙桥片区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五龙桥村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元龙村、白寨村、道祖村、罗家沟村、王家堰村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1.03</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0.35</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以粮油、生猪为主导的现代农业发展片区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以粮油种植为基础，发展以生猪养殖为主导的种养循环产业</w:t>
            </w:r>
          </w:p>
        </w:tc>
      </w:tr>
      <w:tr>
        <w:tblPrEx>
          <w:tblCellMar>
            <w:top w:w="0" w:type="dxa"/>
            <w:left w:w="0" w:type="dxa"/>
            <w:bottom w:w="0" w:type="dxa"/>
            <w:right w:w="0" w:type="dxa"/>
          </w:tblCellMar>
        </w:tblPrEx>
        <w:trPr>
          <w:trHeight w:val="1006" w:hRule="atLeast"/>
        </w:trPr>
        <w:tc>
          <w:tcPr>
            <w:tcW w:w="279"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sz w:val="18"/>
                <w:szCs w:val="18"/>
              </w:rPr>
            </w:pP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9</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望龙片区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望龙村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前明村、双河口村、新民村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0.8</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0.34</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省级中药材现代农业园区辐射区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以粮油种植为基础，采用粮药轮作、套种等模式，大力发展道地中药材产业。</w:t>
            </w:r>
          </w:p>
        </w:tc>
      </w:tr>
      <w:tr>
        <w:tblPrEx>
          <w:tblCellMar>
            <w:top w:w="0" w:type="dxa"/>
            <w:left w:w="0" w:type="dxa"/>
            <w:bottom w:w="0" w:type="dxa"/>
            <w:right w:w="0" w:type="dxa"/>
          </w:tblCellMar>
        </w:tblPrEx>
        <w:trPr>
          <w:trHeight w:val="1257" w:hRule="atLeast"/>
        </w:trPr>
        <w:tc>
          <w:tcPr>
            <w:tcW w:w="279"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sz w:val="18"/>
                <w:szCs w:val="18"/>
              </w:rPr>
            </w:pP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10</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五一片区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五一村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子仪村、景家坝村、聂家坝村、席家沟村、石长村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0.73</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0.15</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城郊融合发展片区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以粮油种植为基础，推进耕地连片化、规模化发展；依托经开区建设，积极引导村民进园务工。</w:t>
            </w:r>
          </w:p>
        </w:tc>
      </w:tr>
      <w:tr>
        <w:tblPrEx>
          <w:tblCellMar>
            <w:top w:w="0" w:type="dxa"/>
            <w:left w:w="0" w:type="dxa"/>
            <w:bottom w:w="0" w:type="dxa"/>
            <w:right w:w="0" w:type="dxa"/>
          </w:tblCellMar>
        </w:tblPrEx>
        <w:trPr>
          <w:trHeight w:val="1474" w:hRule="atLeast"/>
        </w:trPr>
        <w:tc>
          <w:tcPr>
            <w:tcW w:w="279"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金元镇</w:t>
            </w: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11</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金宝村片区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金宝村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金山桥村、明月村、金河湾村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1.02</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0.37</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种养循环现代农业园区辐射区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以粮油种植为基础，围绕牛、梅花鹿等特色禽畜养殖和鲈鱼、白对虾等特色生态水产养殖，发展种养循环产业。</w:t>
            </w:r>
          </w:p>
        </w:tc>
      </w:tr>
      <w:tr>
        <w:tblPrEx>
          <w:tblCellMar>
            <w:top w:w="0" w:type="dxa"/>
            <w:left w:w="0" w:type="dxa"/>
            <w:bottom w:w="0" w:type="dxa"/>
            <w:right w:w="0" w:type="dxa"/>
          </w:tblCellMar>
        </w:tblPrEx>
        <w:trPr>
          <w:trHeight w:val="1840" w:hRule="atLeast"/>
        </w:trPr>
        <w:tc>
          <w:tcPr>
            <w:tcW w:w="279"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sz w:val="18"/>
                <w:szCs w:val="18"/>
              </w:rPr>
            </w:pP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12</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金容寨片区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金容寨村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峡码口村、松林沟村、宝祥村、洞坡村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0.72</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0.23</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集于种植、养殖、科普教育于一体的种养循环现代农业园区核心区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以粮油种植为基础，围绕以生猪为主，跑山鸡、生态水产为辅的特色养殖，以及青花椒、柠檬等特色种植，发展种养循环产业。</w:t>
            </w:r>
          </w:p>
        </w:tc>
      </w:tr>
      <w:tr>
        <w:tblPrEx>
          <w:tblCellMar>
            <w:top w:w="0" w:type="dxa"/>
            <w:left w:w="0" w:type="dxa"/>
            <w:bottom w:w="0" w:type="dxa"/>
            <w:right w:w="0" w:type="dxa"/>
          </w:tblCellMar>
        </w:tblPrEx>
        <w:trPr>
          <w:trHeight w:val="1700" w:hRule="atLeast"/>
        </w:trPr>
        <w:tc>
          <w:tcPr>
            <w:tcW w:w="279" w:type="dxa"/>
            <w:vMerge w:val="continue"/>
            <w:tcBorders>
              <w:top w:val="nil"/>
              <w:left w:val="single" w:color="auto" w:sz="4" w:space="0"/>
              <w:bottom w:val="single" w:color="auto" w:sz="4" w:space="0"/>
              <w:right w:val="single" w:color="auto" w:sz="4" w:space="0"/>
            </w:tcBorders>
            <w:vAlign w:val="center"/>
          </w:tcPr>
          <w:p>
            <w:pPr>
              <w:jc w:val="center"/>
              <w:rPr>
                <w:rFonts w:ascii="宋体" w:hAnsi="宋体" w:eastAsia="宋体" w:cs="宋体"/>
                <w:sz w:val="18"/>
                <w:szCs w:val="18"/>
              </w:rPr>
            </w:pPr>
          </w:p>
        </w:tc>
        <w:tc>
          <w:tcPr>
            <w:tcW w:w="425"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13</w:t>
            </w:r>
          </w:p>
        </w:tc>
        <w:tc>
          <w:tcPr>
            <w:tcW w:w="56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江柏片区</w:t>
            </w:r>
          </w:p>
        </w:tc>
        <w:tc>
          <w:tcPr>
            <w:tcW w:w="559"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江柏村</w:t>
            </w:r>
          </w:p>
        </w:tc>
        <w:tc>
          <w:tcPr>
            <w:tcW w:w="848"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高金村、斑竹山村、盘龙村</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0.56</w:t>
            </w:r>
          </w:p>
        </w:tc>
        <w:tc>
          <w:tcPr>
            <w:tcW w:w="1130" w:type="dxa"/>
            <w:tcBorders>
              <w:top w:val="nil"/>
              <w:left w:val="nil"/>
              <w:bottom w:val="single" w:color="auto" w:sz="4" w:space="0"/>
              <w:right w:val="single" w:color="auto" w:sz="4" w:space="0"/>
            </w:tcBorders>
            <w:shd w:val="clear" w:color="auto" w:fill="auto"/>
            <w:vAlign w:val="center"/>
          </w:tcPr>
          <w:p>
            <w:pPr>
              <w:jc w:val="center"/>
              <w:rPr>
                <w:rFonts w:ascii="宋体" w:hAnsi="宋体" w:eastAsia="宋体" w:cs="宋体"/>
                <w:sz w:val="18"/>
                <w:szCs w:val="18"/>
              </w:rPr>
            </w:pPr>
            <w:r>
              <w:rPr>
                <w:rFonts w:hint="eastAsia" w:ascii="宋体" w:hAnsi="宋体" w:eastAsia="宋体" w:cs="宋体"/>
                <w:sz w:val="18"/>
                <w:szCs w:val="18"/>
              </w:rPr>
              <w:t>0.2</w:t>
            </w:r>
          </w:p>
        </w:tc>
        <w:tc>
          <w:tcPr>
            <w:tcW w:w="1293"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种养循环现代农业园区辐射区</w:t>
            </w:r>
          </w:p>
        </w:tc>
        <w:tc>
          <w:tcPr>
            <w:tcW w:w="2071" w:type="dxa"/>
            <w:tcBorders>
              <w:top w:val="nil"/>
              <w:left w:val="nil"/>
              <w:bottom w:val="single" w:color="auto" w:sz="4" w:space="0"/>
              <w:right w:val="single" w:color="auto" w:sz="4" w:space="0"/>
            </w:tcBorders>
            <w:shd w:val="clear" w:color="auto" w:fill="auto"/>
            <w:vAlign w:val="center"/>
          </w:tcPr>
          <w:p>
            <w:pPr>
              <w:rPr>
                <w:rFonts w:ascii="宋体" w:hAnsi="宋体" w:eastAsia="宋体" w:cs="宋体"/>
                <w:sz w:val="18"/>
                <w:szCs w:val="18"/>
              </w:rPr>
            </w:pPr>
            <w:r>
              <w:rPr>
                <w:rFonts w:hint="eastAsia" w:ascii="宋体" w:hAnsi="宋体" w:eastAsia="宋体" w:cs="宋体"/>
                <w:sz w:val="18"/>
                <w:szCs w:val="18"/>
              </w:rPr>
              <w:t>以粮油种植为基础，围绕生猪、鸽子、生态水产等特色养殖和中药材、精品水果等特色种植，发展种养循环产业。</w:t>
            </w:r>
          </w:p>
        </w:tc>
      </w:tr>
      <w:bookmarkEnd w:id="565"/>
    </w:tbl>
    <w:p>
      <w:pPr>
        <w:spacing w:before="312" w:beforeLines="100" w:line="360" w:lineRule="auto"/>
        <w:jc w:val="left"/>
        <w:outlineLvl w:val="0"/>
        <w:rPr>
          <w:rFonts w:ascii="黑体" w:hAnsi="黑体" w:eastAsia="黑体"/>
          <w:sz w:val="24"/>
          <w:szCs w:val="24"/>
        </w:rPr>
      </w:pPr>
      <w:r>
        <w:rPr>
          <w:rFonts w:hint="eastAsia" w:ascii="黑体" w:hAnsi="黑体" w:eastAsia="黑体"/>
          <w:sz w:val="24"/>
          <w:szCs w:val="24"/>
        </w:rPr>
        <w:t>附表</w:t>
      </w:r>
      <w:r>
        <w:rPr>
          <w:rFonts w:ascii="黑体" w:hAnsi="黑体" w:eastAsia="黑体"/>
          <w:sz w:val="24"/>
          <w:szCs w:val="24"/>
        </w:rPr>
        <w:t xml:space="preserve">7  </w:t>
      </w:r>
      <w:r>
        <w:rPr>
          <w:rFonts w:hint="eastAsia" w:ascii="黑体" w:hAnsi="黑体" w:eastAsia="黑体"/>
          <w:sz w:val="24"/>
          <w:szCs w:val="24"/>
        </w:rPr>
        <w:t>农房风貌管控指引表</w:t>
      </w:r>
      <w:bookmarkEnd w:id="566"/>
      <w:bookmarkEnd w:id="567"/>
    </w:p>
    <w:tbl>
      <w:tblPr>
        <w:tblStyle w:val="41"/>
        <w:tblW w:w="8248" w:type="dxa"/>
        <w:jc w:val="center"/>
        <w:tblLayout w:type="autofit"/>
        <w:tblCellMar>
          <w:top w:w="0" w:type="dxa"/>
          <w:left w:w="0" w:type="dxa"/>
          <w:bottom w:w="0" w:type="dxa"/>
          <w:right w:w="0" w:type="dxa"/>
        </w:tblCellMar>
      </w:tblPr>
      <w:tblGrid>
        <w:gridCol w:w="436"/>
        <w:gridCol w:w="3271"/>
        <w:gridCol w:w="4541"/>
      </w:tblGrid>
      <w:tr>
        <w:tblPrEx>
          <w:tblCellMar>
            <w:top w:w="0" w:type="dxa"/>
            <w:left w:w="0" w:type="dxa"/>
            <w:bottom w:w="0" w:type="dxa"/>
            <w:right w:w="0" w:type="dxa"/>
          </w:tblCellMar>
        </w:tblPrEx>
        <w:trPr>
          <w:trHeight w:val="377" w:hRule="atLeast"/>
          <w:tblHeader/>
          <w:jc w:val="center"/>
        </w:trPr>
        <w:tc>
          <w:tcPr>
            <w:tcW w:w="4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bookmarkStart w:id="568" w:name="_Toc106960195"/>
            <w:r>
              <w:rPr>
                <w:rFonts w:hint="eastAsia" w:cs="宋体" w:asciiTheme="minorEastAsia" w:hAnsiTheme="minorEastAsia"/>
                <w:kern w:val="0"/>
                <w:sz w:val="18"/>
                <w:szCs w:val="18"/>
              </w:rPr>
              <w:t>要素名称</w:t>
            </w:r>
          </w:p>
        </w:tc>
        <w:tc>
          <w:tcPr>
            <w:tcW w:w="327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
                <w:bCs/>
                <w:kern w:val="0"/>
                <w:sz w:val="18"/>
                <w:szCs w:val="18"/>
              </w:rPr>
            </w:pPr>
            <w:r>
              <w:rPr>
                <w:rFonts w:hint="eastAsia" w:cs="宋体" w:asciiTheme="minorEastAsia" w:hAnsiTheme="minorEastAsia"/>
                <w:kern w:val="0"/>
                <w:sz w:val="18"/>
                <w:szCs w:val="18"/>
              </w:rPr>
              <w:t>平坝新川式风貌区管控要求</w:t>
            </w:r>
          </w:p>
        </w:tc>
        <w:tc>
          <w:tcPr>
            <w:tcW w:w="45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滨水现代式风貌区管控要求</w:t>
            </w:r>
          </w:p>
        </w:tc>
      </w:tr>
      <w:tr>
        <w:tblPrEx>
          <w:tblCellMar>
            <w:top w:w="0" w:type="dxa"/>
            <w:left w:w="0" w:type="dxa"/>
            <w:bottom w:w="0" w:type="dxa"/>
            <w:right w:w="0" w:type="dxa"/>
          </w:tblCellMar>
        </w:tblPrEx>
        <w:trPr>
          <w:trHeight w:val="4571" w:hRule="atLeast"/>
          <w:jc w:val="center"/>
        </w:trPr>
        <w:tc>
          <w:tcPr>
            <w:tcW w:w="43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建筑组团</w:t>
            </w:r>
          </w:p>
        </w:tc>
        <w:tc>
          <w:tcPr>
            <w:tcW w:w="3271"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b/>
                <w:bCs/>
                <w:kern w:val="0"/>
                <w:sz w:val="18"/>
                <w:szCs w:val="18"/>
              </w:rPr>
            </w:pPr>
            <w:r>
              <w:rPr>
                <w:rFonts w:hint="eastAsia" w:cs="宋体" w:asciiTheme="minorEastAsia" w:hAnsiTheme="minorEastAsia"/>
                <w:b/>
                <w:bCs/>
                <w:kern w:val="0"/>
                <w:sz w:val="18"/>
                <w:szCs w:val="18"/>
              </w:rPr>
              <w:t>风格：</w:t>
            </w:r>
            <w:r>
              <w:rPr>
                <w:rFonts w:hint="eastAsia" w:cs="宋体" w:asciiTheme="minorEastAsia" w:hAnsiTheme="minorEastAsia"/>
                <w:kern w:val="0"/>
                <w:sz w:val="18"/>
                <w:szCs w:val="18"/>
              </w:rPr>
              <w:t>以现代复合风格为主，传统简约风格为辅。</w:t>
            </w:r>
          </w:p>
          <w:p>
            <w:pPr>
              <w:widowControl/>
              <w:jc w:val="left"/>
              <w:rPr>
                <w:rFonts w:cs="宋体" w:asciiTheme="minorEastAsia" w:hAnsiTheme="minorEastAsia"/>
                <w:kern w:val="0"/>
                <w:sz w:val="18"/>
                <w:szCs w:val="18"/>
              </w:rPr>
            </w:pPr>
            <w:r>
              <w:rPr>
                <w:rFonts w:hint="eastAsia" w:cs="宋体" w:asciiTheme="minorEastAsia" w:hAnsiTheme="minorEastAsia"/>
                <w:b/>
                <w:bCs/>
                <w:kern w:val="0"/>
                <w:sz w:val="18"/>
                <w:szCs w:val="18"/>
              </w:rPr>
              <w:t>色彩：</w:t>
            </w:r>
            <w:r>
              <w:rPr>
                <w:rFonts w:hint="eastAsia" w:cs="宋体" w:asciiTheme="minorEastAsia" w:hAnsiTheme="minorEastAsia"/>
                <w:kern w:val="0"/>
                <w:sz w:val="18"/>
                <w:szCs w:val="18"/>
              </w:rPr>
              <w:t>以黑、白、灰为主要色调，以木质原色(褐色)为辅助色调，禁止采用过于艳丽的颜色作为建筑主体控制色调。</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屋顶：</w:t>
            </w:r>
            <w:r>
              <w:rPr>
                <w:rFonts w:hint="eastAsia" w:cs="宋体" w:asciiTheme="minorEastAsia" w:hAnsiTheme="minorEastAsia"/>
                <w:kern w:val="0"/>
                <w:sz w:val="18"/>
                <w:szCs w:val="18"/>
              </w:rPr>
              <w:t>延续传统川中悬山坡屋顶样式，屋脊主要为平脊、凸脊，以经济简洁的叠瓦式造型构建脊饰，细部简化装饰。</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建筑装饰构件：</w:t>
            </w:r>
            <w:r>
              <w:rPr>
                <w:rFonts w:hint="eastAsia" w:cs="宋体" w:asciiTheme="minorEastAsia" w:hAnsiTheme="minorEastAsia"/>
                <w:kern w:val="0"/>
                <w:sz w:val="18"/>
                <w:szCs w:val="18"/>
              </w:rPr>
              <w:t>窗宜采用木材辅以玻璃材质，山墙面不宜开窗。门宜采用木或竹的材料进行构件，鼓励使用当地建筑工艺并创新。栏杆宜用当地材料，以木材或木材与砖石相结合的方式为主。</w:t>
            </w:r>
          </w:p>
        </w:tc>
        <w:tc>
          <w:tcPr>
            <w:tcW w:w="454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b/>
                <w:bCs/>
                <w:kern w:val="0"/>
                <w:sz w:val="18"/>
                <w:szCs w:val="18"/>
              </w:rPr>
            </w:pPr>
            <w:r>
              <w:rPr>
                <w:rFonts w:hint="eastAsia" w:cs="宋体" w:asciiTheme="minorEastAsia" w:hAnsiTheme="minorEastAsia"/>
                <w:b/>
                <w:bCs/>
                <w:kern w:val="0"/>
                <w:sz w:val="18"/>
                <w:szCs w:val="18"/>
              </w:rPr>
              <w:t>风格：</w:t>
            </w:r>
            <w:r>
              <w:rPr>
                <w:rFonts w:hint="eastAsia" w:cs="宋体" w:asciiTheme="minorEastAsia" w:hAnsiTheme="minorEastAsia"/>
                <w:kern w:val="0"/>
                <w:sz w:val="18"/>
                <w:szCs w:val="18"/>
              </w:rPr>
              <w:t>以现代中式风格为主，现代构成风格为辅。</w:t>
            </w:r>
          </w:p>
          <w:p>
            <w:pPr>
              <w:widowControl/>
              <w:jc w:val="left"/>
              <w:rPr>
                <w:rFonts w:cs="宋体" w:asciiTheme="minorEastAsia" w:hAnsiTheme="minorEastAsia"/>
                <w:kern w:val="0"/>
                <w:sz w:val="18"/>
                <w:szCs w:val="18"/>
              </w:rPr>
            </w:pPr>
            <w:r>
              <w:rPr>
                <w:rFonts w:hint="eastAsia" w:cs="宋体" w:asciiTheme="minorEastAsia" w:hAnsiTheme="minorEastAsia"/>
                <w:b/>
                <w:bCs/>
                <w:kern w:val="0"/>
                <w:sz w:val="18"/>
                <w:szCs w:val="18"/>
              </w:rPr>
              <w:t>色彩：</w:t>
            </w:r>
            <w:r>
              <w:rPr>
                <w:rFonts w:hint="eastAsia" w:cs="宋体" w:asciiTheme="minorEastAsia" w:hAnsiTheme="minorEastAsia"/>
                <w:kern w:val="0"/>
                <w:sz w:val="18"/>
                <w:szCs w:val="18"/>
              </w:rPr>
              <w:t>以黑、白、灰为主要色调，以木质原色(褐色)为辅助色调。一个村应明确一个基调色，禁止采用过于艳丽、夸张的颜色破坏整体风貌。单体建筑色彩不宜超过三种。</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屋顶：</w:t>
            </w:r>
            <w:r>
              <w:rPr>
                <w:rFonts w:hint="eastAsia" w:cs="宋体" w:asciiTheme="minorEastAsia" w:hAnsiTheme="minorEastAsia"/>
                <w:kern w:val="0"/>
                <w:sz w:val="18"/>
                <w:szCs w:val="18"/>
              </w:rPr>
              <w:t>鼓励采用错坡双坡屋顶、单双坡屋顶、坡屋顶露台组合等设计手法，丰富屋顶组合形式。延续传统川中悬山坡屋顶样式，允许一定比例平坡结合的屋顶形式，但平屋顶风貌不可过于现代，占比不得大于30%。</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建筑装饰构件：</w:t>
            </w:r>
            <w:r>
              <w:rPr>
                <w:rFonts w:hint="eastAsia" w:cs="宋体" w:asciiTheme="minorEastAsia" w:hAnsiTheme="minorEastAsia"/>
                <w:kern w:val="0"/>
                <w:sz w:val="18"/>
                <w:szCs w:val="18"/>
              </w:rPr>
              <w:t>窗应根据不同使用功能，考虑通窗、落地窗、竖条窗等，落地窗不宜大面积使用，山墙面不宜开窗。门以木色、棕色为主，宜采用木质、仿木质或金属门。栏杆形式应简约雅致，以砖石或仿木栅栏为宜，避免使用欧式栏杆。</w:t>
            </w:r>
          </w:p>
        </w:tc>
      </w:tr>
      <w:tr>
        <w:tblPrEx>
          <w:tblCellMar>
            <w:top w:w="0" w:type="dxa"/>
            <w:left w:w="0" w:type="dxa"/>
            <w:bottom w:w="0" w:type="dxa"/>
            <w:right w:w="0" w:type="dxa"/>
          </w:tblCellMar>
        </w:tblPrEx>
        <w:trPr>
          <w:trHeight w:val="2647" w:hRule="atLeast"/>
          <w:jc w:val="center"/>
        </w:trPr>
        <w:tc>
          <w:tcPr>
            <w:tcW w:w="436" w:type="dxa"/>
            <w:vMerge w:val="continue"/>
            <w:tcBorders>
              <w:top w:val="nil"/>
              <w:left w:val="single" w:color="auto" w:sz="4" w:space="0"/>
              <w:bottom w:val="single" w:color="000000" w:sz="4" w:space="0"/>
              <w:right w:val="single" w:color="auto" w:sz="4" w:space="0"/>
            </w:tcBorders>
            <w:vAlign w:val="center"/>
          </w:tcPr>
          <w:p>
            <w:pPr>
              <w:widowControl/>
              <w:jc w:val="center"/>
              <w:rPr>
                <w:rFonts w:cs="宋体" w:asciiTheme="minorEastAsia" w:hAnsiTheme="minorEastAsia"/>
                <w:kern w:val="0"/>
                <w:sz w:val="18"/>
                <w:szCs w:val="18"/>
              </w:rPr>
            </w:pPr>
          </w:p>
        </w:tc>
        <w:tc>
          <w:tcPr>
            <w:tcW w:w="781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cs="宋体" w:asciiTheme="minorEastAsia" w:hAnsiTheme="minorEastAsia"/>
                <w:kern w:val="0"/>
                <w:sz w:val="18"/>
                <w:szCs w:val="18"/>
              </w:rPr>
            </w:pPr>
            <w:r>
              <w:rPr>
                <w:rFonts w:hint="eastAsia" w:cs="宋体" w:asciiTheme="minorEastAsia" w:hAnsiTheme="minorEastAsia"/>
                <w:b/>
                <w:bCs/>
                <w:kern w:val="0"/>
                <w:sz w:val="18"/>
                <w:szCs w:val="18"/>
              </w:rPr>
              <w:t>屋顶：</w:t>
            </w:r>
            <w:r>
              <w:rPr>
                <w:rFonts w:hint="eastAsia" w:cs="宋体" w:asciiTheme="minorEastAsia" w:hAnsiTheme="minorEastAsia"/>
                <w:kern w:val="0"/>
                <w:sz w:val="18"/>
                <w:szCs w:val="18"/>
              </w:rPr>
              <w:t>坡屋顶坡度宜控制在 20%～40%，屋正面出檐长度应控制在900mm～1200mm，悬山山墙面出檐深度不宜小于600mm ，重檐高差不得低于500mm。</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材料：</w:t>
            </w:r>
            <w:r>
              <w:rPr>
                <w:rFonts w:hint="eastAsia" w:cs="宋体" w:asciiTheme="minorEastAsia" w:hAnsiTheme="minorEastAsia"/>
                <w:kern w:val="0"/>
                <w:sz w:val="18"/>
                <w:szCs w:val="18"/>
              </w:rPr>
              <w:t>结合乡土材料，适量使用与传统川中民居材质相近的材料，如木材、青砖、青瓦、白墙等。屋顶材料宜采用机制瓦（小青瓦样式）、琉璃瓦、彩钢仿古瓦等，墙面粉刷白色系涂料或贴仿古砖为主，墙裙宜采用青砖、仿石砖。</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高度：</w:t>
            </w:r>
            <w:r>
              <w:rPr>
                <w:rFonts w:hint="eastAsia" w:cs="宋体" w:asciiTheme="minorEastAsia" w:hAnsiTheme="minorEastAsia"/>
                <w:kern w:val="0"/>
                <w:sz w:val="18"/>
                <w:szCs w:val="18"/>
              </w:rPr>
              <w:t>农村住宅应以低层为主，建筑层数不宜超过2层，檐口高度不超过10米；公共建筑和产业建筑不超过 3 层，高度不超过 12 米。</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体量：</w:t>
            </w:r>
            <w:r>
              <w:rPr>
                <w:rFonts w:hint="eastAsia" w:cs="宋体" w:asciiTheme="minorEastAsia" w:hAnsiTheme="minorEastAsia"/>
                <w:kern w:val="0"/>
                <w:sz w:val="18"/>
                <w:szCs w:val="18"/>
              </w:rPr>
              <w:t xml:space="preserve">严禁出现庞大、横长或矮胖形体，单体建筑连续长度不超过25米。 </w:t>
            </w:r>
            <w:r>
              <w:rPr>
                <w:rFonts w:hint="eastAsia" w:cs="宋体" w:asciiTheme="minorEastAsia" w:hAnsiTheme="minorEastAsia"/>
                <w:kern w:val="0"/>
                <w:sz w:val="18"/>
                <w:szCs w:val="18"/>
              </w:rPr>
              <w:br w:type="textWrapping"/>
            </w:r>
            <w:r>
              <w:rPr>
                <w:rFonts w:hint="eastAsia" w:cs="宋体" w:asciiTheme="minorEastAsia" w:hAnsiTheme="minorEastAsia"/>
                <w:kern w:val="0"/>
                <w:sz w:val="18"/>
                <w:szCs w:val="18"/>
              </w:rPr>
              <w:t>墙面装饰：墙面装饰可采用仿抬梁涂刷、仿木柱涂刷、墙面彩绘、墙面挂饰、墙面绿化等形式。</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组合：</w:t>
            </w:r>
            <w:r>
              <w:rPr>
                <w:rFonts w:hint="eastAsia" w:cs="宋体" w:asciiTheme="minorEastAsia" w:hAnsiTheme="minorEastAsia"/>
                <w:kern w:val="0"/>
                <w:sz w:val="18"/>
                <w:szCs w:val="18"/>
              </w:rPr>
              <w:t>可采用围合式、半围合式、错列式、自由式等手法，形成活泼多样的平面形态，不宜采用单调呆板的行列式或简单联排拼接。</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退距：</w:t>
            </w:r>
            <w:r>
              <w:rPr>
                <w:rFonts w:hint="eastAsia" w:cs="宋体" w:asciiTheme="minorEastAsia" w:hAnsiTheme="minorEastAsia"/>
                <w:kern w:val="0"/>
                <w:sz w:val="18"/>
                <w:szCs w:val="18"/>
              </w:rPr>
              <w:t>建筑后退国道不少于 20 米，省道不少于15米，县道不少于10米，乡道、村道不少于5 米。</w:t>
            </w:r>
          </w:p>
        </w:tc>
      </w:tr>
      <w:tr>
        <w:tblPrEx>
          <w:tblCellMar>
            <w:top w:w="0" w:type="dxa"/>
            <w:left w:w="0" w:type="dxa"/>
            <w:bottom w:w="0" w:type="dxa"/>
            <w:right w:w="0" w:type="dxa"/>
          </w:tblCellMar>
        </w:tblPrEx>
        <w:trPr>
          <w:trHeight w:val="1154" w:hRule="atLeast"/>
          <w:jc w:val="center"/>
        </w:trPr>
        <w:tc>
          <w:tcPr>
            <w:tcW w:w="4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民居院落</w:t>
            </w:r>
          </w:p>
        </w:tc>
        <w:tc>
          <w:tcPr>
            <w:tcW w:w="781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cs="宋体" w:asciiTheme="minorEastAsia" w:hAnsiTheme="minorEastAsia"/>
                <w:kern w:val="0"/>
                <w:sz w:val="18"/>
                <w:szCs w:val="18"/>
              </w:rPr>
            </w:pPr>
            <w:r>
              <w:rPr>
                <w:rFonts w:hint="eastAsia" w:cs="宋体" w:asciiTheme="minorEastAsia" w:hAnsiTheme="minorEastAsia"/>
                <w:b/>
                <w:bCs/>
                <w:kern w:val="0"/>
                <w:sz w:val="18"/>
                <w:szCs w:val="18"/>
              </w:rPr>
              <w:t>平面布局：</w:t>
            </w:r>
            <w:r>
              <w:rPr>
                <w:rFonts w:hint="eastAsia" w:cs="宋体" w:asciiTheme="minorEastAsia" w:hAnsiTheme="minorEastAsia"/>
                <w:kern w:val="0"/>
                <w:sz w:val="18"/>
                <w:szCs w:val="18"/>
              </w:rPr>
              <w:t>宜采用“前庭后院”的布置方式，“前庭”满足家庭生活功能，“后院”满足农副业生产需要，留有放置农机具的位置；厨房、 卫生间应直接采光、自然通风；农村住房首层宜作檐廊设计，厨房烟道应尽量设置在靠近后院外墙的位置。可预留不超过人均30平方米的生产用房面积。</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院墙：</w:t>
            </w:r>
            <w:r>
              <w:rPr>
                <w:rFonts w:hint="eastAsia" w:cs="宋体" w:asciiTheme="minorEastAsia" w:hAnsiTheme="minorEastAsia"/>
                <w:kern w:val="0"/>
                <w:sz w:val="18"/>
                <w:szCs w:val="18"/>
              </w:rPr>
              <w:t>围栏高度宜控制在1.3米以下，围墙高度宜控制在2.4米以下，通透率不低于 30%，宜采用镂空砖瓦、竹栅、木栏等材料，宜结合攀缘瓜果进行绿化覆盖。</w:t>
            </w:r>
          </w:p>
        </w:tc>
      </w:tr>
      <w:tr>
        <w:tblPrEx>
          <w:tblCellMar>
            <w:top w:w="0" w:type="dxa"/>
            <w:left w:w="0" w:type="dxa"/>
            <w:bottom w:w="0" w:type="dxa"/>
            <w:right w:w="0" w:type="dxa"/>
          </w:tblCellMar>
        </w:tblPrEx>
        <w:trPr>
          <w:trHeight w:val="1779" w:hRule="atLeast"/>
          <w:jc w:val="center"/>
        </w:trPr>
        <w:tc>
          <w:tcPr>
            <w:tcW w:w="4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kern w:val="0"/>
                <w:sz w:val="18"/>
                <w:szCs w:val="18"/>
              </w:rPr>
            </w:pPr>
            <w:r>
              <w:rPr>
                <w:rFonts w:hint="eastAsia" w:cs="宋体" w:asciiTheme="minorEastAsia" w:hAnsiTheme="minorEastAsia"/>
                <w:kern w:val="0"/>
                <w:sz w:val="18"/>
                <w:szCs w:val="18"/>
              </w:rPr>
              <w:t>道路门户</w:t>
            </w:r>
          </w:p>
        </w:tc>
        <w:tc>
          <w:tcPr>
            <w:tcW w:w="781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cs="宋体" w:asciiTheme="minorEastAsia" w:hAnsiTheme="minorEastAsia"/>
                <w:kern w:val="0"/>
                <w:sz w:val="18"/>
                <w:szCs w:val="18"/>
              </w:rPr>
            </w:pPr>
            <w:r>
              <w:rPr>
                <w:rFonts w:hint="eastAsia" w:cs="宋体" w:asciiTheme="minorEastAsia" w:hAnsiTheme="minorEastAsia"/>
                <w:b/>
                <w:bCs/>
                <w:kern w:val="0"/>
                <w:sz w:val="18"/>
                <w:szCs w:val="18"/>
              </w:rPr>
              <w:t>铺装：</w:t>
            </w:r>
            <w:r>
              <w:rPr>
                <w:rFonts w:hint="eastAsia" w:cs="宋体" w:asciiTheme="minorEastAsia" w:hAnsiTheme="minorEastAsia"/>
                <w:kern w:val="0"/>
                <w:sz w:val="18"/>
                <w:szCs w:val="18"/>
              </w:rPr>
              <w:t>村道可采用混凝土路面铺装，有条件的村可采用沥青路面；村宅门前的道路宜采用石板、卵石、青砖等铺装。</w:t>
            </w:r>
            <w:r>
              <w:rPr>
                <w:rFonts w:hint="eastAsia" w:cs="宋体" w:asciiTheme="minorEastAsia" w:hAnsiTheme="minorEastAsia"/>
                <w:kern w:val="0"/>
                <w:sz w:val="18"/>
                <w:szCs w:val="18"/>
              </w:rPr>
              <w:br w:type="textWrapping"/>
            </w:r>
            <w:r>
              <w:rPr>
                <w:rFonts w:hint="eastAsia" w:cs="宋体" w:asciiTheme="minorEastAsia" w:hAnsiTheme="minorEastAsia"/>
                <w:b/>
                <w:bCs/>
                <w:kern w:val="0"/>
                <w:sz w:val="18"/>
                <w:szCs w:val="18"/>
              </w:rPr>
              <w:t>照明：</w:t>
            </w:r>
            <w:r>
              <w:rPr>
                <w:rFonts w:hint="eastAsia" w:cs="宋体" w:asciiTheme="minorEastAsia" w:hAnsiTheme="minorEastAsia"/>
                <w:kern w:val="0"/>
                <w:sz w:val="18"/>
                <w:szCs w:val="18"/>
              </w:rPr>
              <w:t>承担主要通行功能的村道应当配备路灯照明，可采取单侧布置、路灯间距 25～40 米，灯杆高度 3～5 米。</w:t>
            </w:r>
          </w:p>
        </w:tc>
      </w:tr>
    </w:tbl>
    <w:p>
      <w:pPr>
        <w:spacing w:before="312" w:beforeLines="100" w:line="360" w:lineRule="auto"/>
        <w:jc w:val="left"/>
        <w:outlineLvl w:val="0"/>
        <w:rPr>
          <w:rFonts w:ascii="黑体" w:hAnsi="黑体" w:eastAsia="黑体"/>
          <w:sz w:val="24"/>
          <w:szCs w:val="24"/>
        </w:rPr>
      </w:pPr>
      <w:bookmarkStart w:id="569" w:name="_Toc141369743"/>
      <w:r>
        <w:rPr>
          <w:rFonts w:hint="eastAsia" w:ascii="黑体" w:hAnsi="黑体" w:eastAsia="黑体"/>
          <w:sz w:val="24"/>
          <w:szCs w:val="24"/>
        </w:rPr>
        <w:t>附表8</w:t>
      </w:r>
      <w:r>
        <w:rPr>
          <w:rFonts w:ascii="黑体" w:hAnsi="黑体" w:eastAsia="黑体"/>
          <w:sz w:val="24"/>
          <w:szCs w:val="24"/>
        </w:rPr>
        <w:t xml:space="preserve">  </w:t>
      </w:r>
      <w:r>
        <w:rPr>
          <w:rFonts w:hint="eastAsia" w:ascii="黑体" w:hAnsi="黑体" w:eastAsia="黑体"/>
          <w:sz w:val="24"/>
          <w:szCs w:val="24"/>
        </w:rPr>
        <w:t>隆盛镇镇区用地结构现状表</w:t>
      </w:r>
      <w:bookmarkEnd w:id="568"/>
      <w:bookmarkEnd w:id="569"/>
    </w:p>
    <w:tbl>
      <w:tblPr>
        <w:tblStyle w:val="41"/>
        <w:tblW w:w="5007" w:type="pct"/>
        <w:tblInd w:w="0" w:type="dxa"/>
        <w:tblLayout w:type="fixed"/>
        <w:tblCellMar>
          <w:top w:w="0" w:type="dxa"/>
          <w:left w:w="108" w:type="dxa"/>
          <w:bottom w:w="0" w:type="dxa"/>
          <w:right w:w="108" w:type="dxa"/>
        </w:tblCellMar>
      </w:tblPr>
      <w:tblGrid>
        <w:gridCol w:w="1022"/>
        <w:gridCol w:w="1436"/>
        <w:gridCol w:w="1011"/>
        <w:gridCol w:w="2438"/>
        <w:gridCol w:w="1425"/>
        <w:gridCol w:w="1209"/>
      </w:tblGrid>
      <w:tr>
        <w:tblPrEx>
          <w:tblCellMar>
            <w:top w:w="0" w:type="dxa"/>
            <w:left w:w="108" w:type="dxa"/>
            <w:bottom w:w="0" w:type="dxa"/>
            <w:right w:w="108" w:type="dxa"/>
          </w:tblCellMar>
        </w:tblPrEx>
        <w:trPr>
          <w:trHeight w:val="398" w:hRule="atLeast"/>
        </w:trPr>
        <w:tc>
          <w:tcPr>
            <w:tcW w:w="143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大类</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一级</w:t>
            </w: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二级</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面积（公顷）</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占比（%）</w:t>
            </w:r>
          </w:p>
        </w:tc>
      </w:tr>
      <w:tr>
        <w:tblPrEx>
          <w:tblCellMar>
            <w:top w:w="0" w:type="dxa"/>
            <w:left w:w="108" w:type="dxa"/>
            <w:bottom w:w="0" w:type="dxa"/>
            <w:right w:w="108" w:type="dxa"/>
          </w:tblCellMar>
        </w:tblPrEx>
        <w:trPr>
          <w:trHeight w:val="384" w:hRule="atLeast"/>
        </w:trPr>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农用地</w:t>
            </w:r>
          </w:p>
        </w:tc>
        <w:tc>
          <w:tcPr>
            <w:tcW w:w="285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耕地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141.19</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64.05</w:t>
            </w: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285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园地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3.75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285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林地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73.54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285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草地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0.32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98"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285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小计</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218.79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建设用地</w:t>
            </w:r>
          </w:p>
        </w:tc>
        <w:tc>
          <w:tcPr>
            <w:tcW w:w="8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城乡建设用地</w:t>
            </w:r>
          </w:p>
        </w:tc>
        <w:tc>
          <w:tcPr>
            <w:tcW w:w="5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城镇用地</w:t>
            </w: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居住用地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 xml:space="preserve">27.04 </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 xml:space="preserve">28.27 </w:t>
            </w: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公共管理与公共服务用地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7.83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商业服务业用地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1.21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工业用地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3.70</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仓储用地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1.26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城镇道路用地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4.95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交通场站用地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0.94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公用设施用地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0.29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98"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小计</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47.21</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村庄用地</w:t>
            </w: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居住用地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29.47</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农业设施建设用地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4.53</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商业用地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0.14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公用设施用地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0.43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98"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5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小计</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34.56</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98"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8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201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小计</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81.77</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区域基础设施用地</w:t>
            </w: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公路用地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11.58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水工设施用地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0.13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98"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小计</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 xml:space="preserve">11.71 </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其他建设用地</w:t>
            </w: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文物古迹用地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0.26</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33" w:type="pct"/>
            <w:gridSpan w:val="2"/>
            <w:vMerge w:val="continue"/>
            <w:tcBorders>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宗教用地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1.60</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采矿用地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1.23</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98"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小计</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3.08</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98"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285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小计</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96.56</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84" w:hRule="atLeast"/>
        </w:trPr>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其他土地</w:t>
            </w:r>
          </w:p>
        </w:tc>
        <w:tc>
          <w:tcPr>
            <w:tcW w:w="285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陆地水域</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 xml:space="preserve">22.31 </w:t>
            </w:r>
          </w:p>
        </w:tc>
        <w:tc>
          <w:tcPr>
            <w:tcW w:w="70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7.69</w:t>
            </w:r>
          </w:p>
        </w:tc>
      </w:tr>
      <w:tr>
        <w:tblPrEx>
          <w:tblCellMar>
            <w:top w:w="0" w:type="dxa"/>
            <w:left w:w="108" w:type="dxa"/>
            <w:bottom w:w="0" w:type="dxa"/>
            <w:right w:w="108" w:type="dxa"/>
          </w:tblCellMar>
        </w:tblPrEx>
        <w:trPr>
          <w:trHeight w:val="38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空闲地</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3.95</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98"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285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小计</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26.26</w:t>
            </w:r>
          </w:p>
        </w:tc>
        <w:tc>
          <w:tcPr>
            <w:tcW w:w="70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r>
      <w:tr>
        <w:tblPrEx>
          <w:tblCellMar>
            <w:top w:w="0" w:type="dxa"/>
            <w:left w:w="108" w:type="dxa"/>
            <w:bottom w:w="0" w:type="dxa"/>
            <w:right w:w="108" w:type="dxa"/>
          </w:tblCellMar>
        </w:tblPrEx>
        <w:trPr>
          <w:trHeight w:val="398" w:hRule="atLeast"/>
        </w:trPr>
        <w:tc>
          <w:tcPr>
            <w:tcW w:w="3458"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合计</w:t>
            </w:r>
          </w:p>
        </w:tc>
        <w:tc>
          <w:tcPr>
            <w:tcW w:w="8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 xml:space="preserve">341.61 </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r>
              <w:rPr>
                <w:rFonts w:hint="eastAsia" w:ascii="宋体" w:hAnsi="宋体" w:eastAsia="宋体" w:cs="宋体"/>
                <w:sz w:val="18"/>
                <w:szCs w:val="18"/>
              </w:rPr>
              <w:t xml:space="preserve">100.00 </w:t>
            </w:r>
          </w:p>
        </w:tc>
      </w:tr>
    </w:tbl>
    <w:p>
      <w:pPr>
        <w:spacing w:before="312" w:beforeLines="100" w:line="360" w:lineRule="auto"/>
        <w:jc w:val="left"/>
        <w:outlineLvl w:val="0"/>
        <w:rPr>
          <w:rFonts w:ascii="黑体" w:hAnsi="黑体" w:eastAsia="黑体"/>
          <w:sz w:val="24"/>
          <w:szCs w:val="24"/>
        </w:rPr>
      </w:pPr>
      <w:bookmarkStart w:id="570" w:name="_Toc106960196"/>
      <w:bookmarkStart w:id="571" w:name="_Toc141369744"/>
      <w:r>
        <w:rPr>
          <w:rFonts w:hint="eastAsia" w:ascii="黑体" w:hAnsi="黑体" w:eastAsia="黑体"/>
          <w:sz w:val="24"/>
          <w:szCs w:val="24"/>
        </w:rPr>
        <w:t>附表</w:t>
      </w:r>
      <w:r>
        <w:rPr>
          <w:rFonts w:ascii="黑体" w:hAnsi="黑体" w:eastAsia="黑体"/>
          <w:sz w:val="24"/>
          <w:szCs w:val="24"/>
        </w:rPr>
        <w:t xml:space="preserve">9  </w:t>
      </w:r>
      <w:r>
        <w:rPr>
          <w:rFonts w:hint="eastAsia" w:ascii="黑体" w:hAnsi="黑体" w:eastAsia="黑体"/>
          <w:sz w:val="24"/>
          <w:szCs w:val="24"/>
        </w:rPr>
        <w:t>回马镇镇区用地结构现状表</w:t>
      </w:r>
      <w:bookmarkEnd w:id="570"/>
      <w:bookmarkEnd w:id="571"/>
    </w:p>
    <w:tbl>
      <w:tblPr>
        <w:tblStyle w:val="41"/>
        <w:tblW w:w="8165" w:type="dxa"/>
        <w:tblInd w:w="93" w:type="dxa"/>
        <w:tblLayout w:type="fixed"/>
        <w:tblCellMar>
          <w:top w:w="0" w:type="dxa"/>
          <w:left w:w="108" w:type="dxa"/>
          <w:bottom w:w="0" w:type="dxa"/>
          <w:right w:w="108" w:type="dxa"/>
        </w:tblCellMar>
      </w:tblPr>
      <w:tblGrid>
        <w:gridCol w:w="1026"/>
        <w:gridCol w:w="1378"/>
        <w:gridCol w:w="984"/>
        <w:gridCol w:w="2394"/>
        <w:gridCol w:w="1345"/>
        <w:gridCol w:w="1038"/>
      </w:tblGrid>
      <w:tr>
        <w:tblPrEx>
          <w:tblCellMar>
            <w:top w:w="0" w:type="dxa"/>
            <w:left w:w="108" w:type="dxa"/>
            <w:bottom w:w="0" w:type="dxa"/>
            <w:right w:w="108" w:type="dxa"/>
          </w:tblCellMar>
        </w:tblPrEx>
        <w:trPr>
          <w:trHeight w:val="417" w:hRule="atLeast"/>
        </w:trPr>
        <w:tc>
          <w:tcPr>
            <w:tcW w:w="24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大类</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一级</w:t>
            </w: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二级</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面积（公顷）</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占比（%）</w:t>
            </w:r>
          </w:p>
        </w:tc>
      </w:tr>
      <w:tr>
        <w:tblPrEx>
          <w:tblCellMar>
            <w:top w:w="0" w:type="dxa"/>
            <w:left w:w="108" w:type="dxa"/>
            <w:bottom w:w="0" w:type="dxa"/>
            <w:right w:w="108" w:type="dxa"/>
          </w:tblCellMar>
        </w:tblPrEx>
        <w:trPr>
          <w:trHeight w:val="417" w:hRule="atLeast"/>
        </w:trPr>
        <w:tc>
          <w:tcPr>
            <w:tcW w:w="10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农用地</w:t>
            </w:r>
          </w:p>
        </w:tc>
        <w:tc>
          <w:tcPr>
            <w:tcW w:w="47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耕地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119.55 </w:t>
            </w:r>
          </w:p>
        </w:tc>
        <w:tc>
          <w:tcPr>
            <w:tcW w:w="10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46.88 </w:t>
            </w: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47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园地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6.82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47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林地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23.08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47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湿地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1.81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47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151.26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建设用地</w:t>
            </w:r>
          </w:p>
        </w:tc>
        <w:tc>
          <w:tcPr>
            <w:tcW w:w="13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城乡建设用地</w:t>
            </w: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城镇用地</w:t>
            </w: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居住用地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15.81 </w:t>
            </w:r>
          </w:p>
        </w:tc>
        <w:tc>
          <w:tcPr>
            <w:tcW w:w="10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45.10 </w:t>
            </w: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公共管理与公共服务用地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6.14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商业服务业用地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1.83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工业用地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23.88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仓储用地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0.30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城镇道路用地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6.03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交通场站用地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0.71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公用设施用地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1.56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绿地与开敞空间用地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0.14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56.40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村庄用地</w:t>
            </w: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居住用地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44.37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乡村道路用地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2.99 </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公用设施用地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0.44</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47.80</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3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337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104.20</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区域基础设施用地</w:t>
            </w: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公路用地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14.02</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14.02</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6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其他建设用地</w:t>
            </w: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特殊用地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0.55</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采矿用地</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26.76</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6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2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27.31</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47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145.53</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7" w:hRule="atLeast"/>
        </w:trPr>
        <w:tc>
          <w:tcPr>
            <w:tcW w:w="10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其他土地</w:t>
            </w:r>
          </w:p>
        </w:tc>
        <w:tc>
          <w:tcPr>
            <w:tcW w:w="47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陆地水域</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25.89</w:t>
            </w:r>
          </w:p>
        </w:tc>
        <w:tc>
          <w:tcPr>
            <w:tcW w:w="10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8.02 </w:t>
            </w:r>
          </w:p>
        </w:tc>
      </w:tr>
      <w:tr>
        <w:tblPrEx>
          <w:tblCellMar>
            <w:top w:w="0" w:type="dxa"/>
            <w:left w:w="108" w:type="dxa"/>
            <w:bottom w:w="0" w:type="dxa"/>
            <w:right w:w="108" w:type="dxa"/>
          </w:tblCellMar>
        </w:tblPrEx>
        <w:trPr>
          <w:trHeight w:val="417" w:hRule="atLeast"/>
        </w:trPr>
        <w:tc>
          <w:tcPr>
            <w:tcW w:w="10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47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25.89</w:t>
            </w:r>
          </w:p>
        </w:tc>
        <w:tc>
          <w:tcPr>
            <w:tcW w:w="10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31" w:hRule="atLeast"/>
        </w:trPr>
        <w:tc>
          <w:tcPr>
            <w:tcW w:w="578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合计</w:t>
            </w:r>
          </w:p>
        </w:tc>
        <w:tc>
          <w:tcPr>
            <w:tcW w:w="13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322.68</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100.00 </w:t>
            </w:r>
          </w:p>
        </w:tc>
      </w:tr>
    </w:tbl>
    <w:p>
      <w:pPr>
        <w:spacing w:before="312" w:beforeLines="100" w:line="360" w:lineRule="auto"/>
        <w:jc w:val="left"/>
        <w:outlineLvl w:val="0"/>
        <w:rPr>
          <w:rFonts w:ascii="黑体" w:hAnsi="黑体" w:eastAsia="黑体"/>
          <w:sz w:val="24"/>
          <w:szCs w:val="24"/>
        </w:rPr>
      </w:pPr>
      <w:bookmarkStart w:id="572" w:name="_Toc141369745"/>
      <w:bookmarkStart w:id="573" w:name="_Toc106960197"/>
      <w:r>
        <w:rPr>
          <w:rFonts w:hint="eastAsia" w:ascii="黑体" w:hAnsi="黑体" w:eastAsia="黑体"/>
          <w:sz w:val="24"/>
          <w:szCs w:val="24"/>
        </w:rPr>
        <w:t>附表</w:t>
      </w:r>
      <w:r>
        <w:rPr>
          <w:rFonts w:ascii="黑体" w:hAnsi="黑体" w:eastAsia="黑体"/>
          <w:sz w:val="24"/>
          <w:szCs w:val="24"/>
        </w:rPr>
        <w:t>10  金元镇镇区用地结构现状表</w:t>
      </w:r>
      <w:bookmarkEnd w:id="572"/>
      <w:bookmarkEnd w:id="573"/>
    </w:p>
    <w:tbl>
      <w:tblPr>
        <w:tblStyle w:val="41"/>
        <w:tblW w:w="8220" w:type="dxa"/>
        <w:tblInd w:w="93" w:type="dxa"/>
        <w:tblLayout w:type="autofit"/>
        <w:tblCellMar>
          <w:top w:w="0" w:type="dxa"/>
          <w:left w:w="108" w:type="dxa"/>
          <w:bottom w:w="0" w:type="dxa"/>
          <w:right w:w="108" w:type="dxa"/>
        </w:tblCellMar>
      </w:tblPr>
      <w:tblGrid>
        <w:gridCol w:w="1001"/>
        <w:gridCol w:w="1386"/>
        <w:gridCol w:w="1001"/>
        <w:gridCol w:w="2349"/>
        <w:gridCol w:w="1386"/>
        <w:gridCol w:w="1097"/>
      </w:tblGrid>
      <w:tr>
        <w:tblPrEx>
          <w:tblCellMar>
            <w:top w:w="0" w:type="dxa"/>
            <w:left w:w="108" w:type="dxa"/>
            <w:bottom w:w="0" w:type="dxa"/>
            <w:right w:w="108" w:type="dxa"/>
          </w:tblCellMar>
        </w:tblPrEx>
        <w:trPr>
          <w:trHeight w:val="787"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一级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二级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面积（公顷）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占比（%）</w:t>
            </w:r>
          </w:p>
        </w:tc>
      </w:tr>
      <w:tr>
        <w:tblPrEx>
          <w:tblCellMar>
            <w:top w:w="0" w:type="dxa"/>
            <w:left w:w="108" w:type="dxa"/>
            <w:bottom w:w="0" w:type="dxa"/>
            <w:right w:w="108" w:type="dxa"/>
          </w:tblCellMar>
        </w:tblPrEx>
        <w:trPr>
          <w:trHeight w:val="39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农用地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耕地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38.32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61.14 </w:t>
            </w: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园地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2.44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林地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14.34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草地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0.45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55.54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建设用地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城乡建设用地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城镇用地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居住用地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8.67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30.03 </w:t>
            </w:r>
          </w:p>
        </w:tc>
      </w:tr>
      <w:tr>
        <w:tblPrEx>
          <w:tblCellMar>
            <w:top w:w="0" w:type="dxa"/>
            <w:left w:w="108" w:type="dxa"/>
            <w:bottom w:w="0" w:type="dxa"/>
            <w:right w:w="108" w:type="dxa"/>
          </w:tblCellMar>
        </w:tblPrEx>
        <w:trPr>
          <w:trHeight w:val="78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公共管理与公共服务用地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5.02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商业服务业用地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1.32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工矿用地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1.69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仓储用地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0.07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城镇道路用地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1.38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交通场站用地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0.15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公用设施用地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0.28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18.57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村庄用地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居住用地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6.03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78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农业设施建设用地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1.06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商业服务业用地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0.11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7.20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25.77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区域基础设施用地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公路用地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1.47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1.47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其他建设用地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特殊用地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0.04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0.04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27.28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其他土地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陆地水域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7.49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8.83 </w:t>
            </w: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空闲地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0.54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3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8.02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r>
      <w:tr>
        <w:tblPrEx>
          <w:tblCellMar>
            <w:top w:w="0" w:type="dxa"/>
            <w:left w:w="108" w:type="dxa"/>
            <w:bottom w:w="0" w:type="dxa"/>
            <w:right w:w="108" w:type="dxa"/>
          </w:tblCellMar>
        </w:tblPrEx>
        <w:trPr>
          <w:trHeight w:val="411"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90.85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100.00 </w:t>
            </w:r>
          </w:p>
        </w:tc>
      </w:tr>
    </w:tbl>
    <w:p>
      <w:pPr>
        <w:spacing w:before="312" w:beforeLines="100" w:line="360" w:lineRule="auto"/>
        <w:jc w:val="left"/>
        <w:outlineLvl w:val="0"/>
        <w:rPr>
          <w:rFonts w:ascii="黑体" w:hAnsi="黑体" w:eastAsia="黑体"/>
          <w:sz w:val="24"/>
          <w:szCs w:val="24"/>
        </w:rPr>
      </w:pPr>
      <w:bookmarkStart w:id="574" w:name="_Toc141369746"/>
      <w:bookmarkStart w:id="575" w:name="_Toc106960198"/>
      <w:r>
        <w:rPr>
          <w:rFonts w:hint="eastAsia" w:ascii="黑体" w:hAnsi="黑体" w:eastAsia="黑体"/>
          <w:sz w:val="24"/>
          <w:szCs w:val="24"/>
        </w:rPr>
        <w:t>附表</w:t>
      </w:r>
      <w:r>
        <w:rPr>
          <w:rFonts w:ascii="黑体" w:hAnsi="黑体" w:eastAsia="黑体"/>
          <w:sz w:val="24"/>
          <w:szCs w:val="24"/>
        </w:rPr>
        <w:t>11  隆盛镇镇区用地结构规划表</w:t>
      </w:r>
      <w:bookmarkEnd w:id="574"/>
      <w:bookmarkEnd w:id="575"/>
    </w:p>
    <w:tbl>
      <w:tblPr>
        <w:tblStyle w:val="41"/>
        <w:tblW w:w="4967" w:type="pct"/>
        <w:tblInd w:w="0" w:type="dxa"/>
        <w:tblLayout w:type="fixed"/>
        <w:tblCellMar>
          <w:top w:w="0" w:type="dxa"/>
          <w:left w:w="108" w:type="dxa"/>
          <w:bottom w:w="0" w:type="dxa"/>
          <w:right w:w="108" w:type="dxa"/>
        </w:tblCellMar>
      </w:tblPr>
      <w:tblGrid>
        <w:gridCol w:w="1086"/>
        <w:gridCol w:w="1954"/>
        <w:gridCol w:w="1140"/>
        <w:gridCol w:w="1164"/>
        <w:gridCol w:w="921"/>
        <w:gridCol w:w="1254"/>
        <w:gridCol w:w="952"/>
      </w:tblGrid>
      <w:tr>
        <w:tblPrEx>
          <w:tblCellMar>
            <w:top w:w="0" w:type="dxa"/>
            <w:left w:w="108" w:type="dxa"/>
            <w:bottom w:w="0" w:type="dxa"/>
            <w:right w:w="108" w:type="dxa"/>
          </w:tblCellMar>
        </w:tblPrEx>
        <w:trPr>
          <w:trHeight w:val="62" w:hRule="atLeast"/>
          <w:tblHeader/>
        </w:trPr>
        <w:tc>
          <w:tcPr>
            <w:tcW w:w="6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一级</w:t>
            </w:r>
          </w:p>
        </w:tc>
        <w:tc>
          <w:tcPr>
            <w:tcW w:w="11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二级</w:t>
            </w:r>
          </w:p>
        </w:tc>
        <w:tc>
          <w:tcPr>
            <w:tcW w:w="6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三级</w:t>
            </w:r>
          </w:p>
        </w:tc>
        <w:tc>
          <w:tcPr>
            <w:tcW w:w="1231" w:type="pct"/>
            <w:gridSpan w:val="2"/>
            <w:tcBorders>
              <w:top w:val="single" w:color="000000" w:sz="4" w:space="0"/>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规划基期年</w:t>
            </w:r>
          </w:p>
        </w:tc>
        <w:tc>
          <w:tcPr>
            <w:tcW w:w="130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规划目标年</w:t>
            </w:r>
          </w:p>
        </w:tc>
      </w:tr>
      <w:tr>
        <w:tblPrEx>
          <w:tblCellMar>
            <w:top w:w="0" w:type="dxa"/>
            <w:left w:w="108" w:type="dxa"/>
            <w:bottom w:w="0" w:type="dxa"/>
            <w:right w:w="108" w:type="dxa"/>
          </w:tblCellMar>
        </w:tblPrEx>
        <w:trPr>
          <w:trHeight w:val="58" w:hRule="atLeast"/>
          <w:tblHeader/>
        </w:trPr>
        <w:tc>
          <w:tcPr>
            <w:tcW w:w="6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nil"/>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面积(公顷)</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比例(%)</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面积(公顷)</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比例(%)</w:t>
            </w:r>
          </w:p>
        </w:tc>
      </w:tr>
      <w:tr>
        <w:tblPrEx>
          <w:tblCellMar>
            <w:top w:w="0" w:type="dxa"/>
            <w:left w:w="108" w:type="dxa"/>
            <w:bottom w:w="0" w:type="dxa"/>
            <w:right w:w="108" w:type="dxa"/>
          </w:tblCellMar>
        </w:tblPrEx>
        <w:trPr>
          <w:trHeight w:val="264"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耕地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141.19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41.36%</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112.33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32.91%</w:t>
            </w:r>
          </w:p>
        </w:tc>
      </w:tr>
      <w:tr>
        <w:tblPrEx>
          <w:tblCellMar>
            <w:top w:w="0" w:type="dxa"/>
            <w:left w:w="108" w:type="dxa"/>
            <w:bottom w:w="0" w:type="dxa"/>
            <w:right w:w="108" w:type="dxa"/>
          </w:tblCellMar>
        </w:tblPrEx>
        <w:trPr>
          <w:trHeight w:val="264"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园地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3.75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1.10%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2.49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0.73%</w:t>
            </w:r>
          </w:p>
        </w:tc>
      </w:tr>
      <w:tr>
        <w:tblPrEx>
          <w:tblCellMar>
            <w:top w:w="0" w:type="dxa"/>
            <w:left w:w="108" w:type="dxa"/>
            <w:bottom w:w="0" w:type="dxa"/>
            <w:right w:w="108" w:type="dxa"/>
          </w:tblCellMar>
        </w:tblPrEx>
        <w:trPr>
          <w:trHeight w:val="264"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林地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73.53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21.54%</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58.74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17.21%</w:t>
            </w:r>
          </w:p>
        </w:tc>
      </w:tr>
      <w:tr>
        <w:tblPrEx>
          <w:tblCellMar>
            <w:top w:w="0" w:type="dxa"/>
            <w:left w:w="108" w:type="dxa"/>
            <w:bottom w:w="0" w:type="dxa"/>
            <w:right w:w="108" w:type="dxa"/>
          </w:tblCellMar>
        </w:tblPrEx>
        <w:trPr>
          <w:trHeight w:val="264"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草地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0.32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0.09%</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r>
      <w:tr>
        <w:tblPrEx>
          <w:tblCellMar>
            <w:top w:w="0" w:type="dxa"/>
            <w:left w:w="108" w:type="dxa"/>
            <w:bottom w:w="0" w:type="dxa"/>
            <w:right w:w="108" w:type="dxa"/>
          </w:tblCellMar>
        </w:tblPrEx>
        <w:trPr>
          <w:trHeight w:val="264"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农业设施建设用地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4.53</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1.33%</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3.69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1.08%</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223.32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65.42%</w:t>
            </w:r>
          </w:p>
        </w:tc>
        <w:tc>
          <w:tcPr>
            <w:tcW w:w="740" w:type="pct"/>
            <w:tcBorders>
              <w:top w:val="nil"/>
              <w:left w:val="nil"/>
              <w:bottom w:val="nil"/>
              <w:right w:val="nil"/>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177.25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51.93%</w:t>
            </w:r>
          </w:p>
        </w:tc>
      </w:tr>
      <w:tr>
        <w:tblPrEx>
          <w:tblCellMar>
            <w:top w:w="0" w:type="dxa"/>
            <w:left w:w="108" w:type="dxa"/>
            <w:bottom w:w="0" w:type="dxa"/>
            <w:right w:w="108" w:type="dxa"/>
          </w:tblCellMar>
        </w:tblPrEx>
        <w:trPr>
          <w:trHeight w:val="264" w:hRule="atLeast"/>
        </w:trPr>
        <w:tc>
          <w:tcPr>
            <w:tcW w:w="641" w:type="pct"/>
            <w:vMerge w:val="restart"/>
            <w:tcBorders>
              <w:top w:val="nil"/>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居住用地</w:t>
            </w:r>
          </w:p>
        </w:tc>
        <w:tc>
          <w:tcPr>
            <w:tcW w:w="1153"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城镇住宅用地</w:t>
            </w:r>
          </w:p>
        </w:tc>
        <w:tc>
          <w:tcPr>
            <w:tcW w:w="673"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27.04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7.92%</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35.86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10.51%</w:t>
            </w:r>
          </w:p>
        </w:tc>
      </w:tr>
      <w:tr>
        <w:tblPrEx>
          <w:tblCellMar>
            <w:top w:w="0" w:type="dxa"/>
            <w:left w:w="108" w:type="dxa"/>
            <w:bottom w:w="0" w:type="dxa"/>
            <w:right w:w="108" w:type="dxa"/>
          </w:tblCellMar>
        </w:tblPrEx>
        <w:trPr>
          <w:trHeight w:val="264" w:hRule="atLeast"/>
        </w:trPr>
        <w:tc>
          <w:tcPr>
            <w:tcW w:w="641" w:type="pct"/>
            <w:vMerge w:val="continue"/>
            <w:tcBorders>
              <w:top w:val="nil"/>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农村宅基地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28.87</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8.46%</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24.47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7.17%</w:t>
            </w:r>
          </w:p>
        </w:tc>
      </w:tr>
      <w:tr>
        <w:tblPrEx>
          <w:tblCellMar>
            <w:top w:w="0" w:type="dxa"/>
            <w:left w:w="108" w:type="dxa"/>
            <w:bottom w:w="0" w:type="dxa"/>
            <w:right w:w="108" w:type="dxa"/>
          </w:tblCellMar>
        </w:tblPrEx>
        <w:trPr>
          <w:trHeight w:val="274" w:hRule="atLeast"/>
        </w:trPr>
        <w:tc>
          <w:tcPr>
            <w:tcW w:w="641" w:type="pct"/>
            <w:vMerge w:val="continue"/>
            <w:tcBorders>
              <w:top w:val="nil"/>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农村社区服务设施用地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0.60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0.18%</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0.60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0.18%</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56.51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16.56%</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60.93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17.85%</w:t>
            </w:r>
          </w:p>
        </w:tc>
      </w:tr>
      <w:tr>
        <w:tblPrEx>
          <w:tblCellMar>
            <w:top w:w="0" w:type="dxa"/>
            <w:left w:w="108" w:type="dxa"/>
            <w:bottom w:w="0" w:type="dxa"/>
            <w:right w:w="108" w:type="dxa"/>
          </w:tblCellMar>
        </w:tblPrEx>
        <w:trPr>
          <w:trHeight w:val="264" w:hRule="atLeast"/>
        </w:trPr>
        <w:tc>
          <w:tcPr>
            <w:tcW w:w="641"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公共管理与公共服务用地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机关团体用地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1.22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0.36%</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1.49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0.44%</w:t>
            </w:r>
          </w:p>
        </w:tc>
      </w:tr>
      <w:tr>
        <w:tblPrEx>
          <w:tblCellMar>
            <w:top w:w="0" w:type="dxa"/>
            <w:left w:w="108" w:type="dxa"/>
            <w:bottom w:w="0" w:type="dxa"/>
            <w:right w:w="108" w:type="dxa"/>
          </w:tblCellMar>
        </w:tblPrEx>
        <w:trPr>
          <w:trHeight w:val="264" w:hRule="atLeast"/>
        </w:trPr>
        <w:tc>
          <w:tcPr>
            <w:tcW w:w="641"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文化用地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文化活动用地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0.08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0.02%</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0.07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0.02%</w:t>
            </w:r>
          </w:p>
        </w:tc>
      </w:tr>
      <w:tr>
        <w:tblPrEx>
          <w:tblCellMar>
            <w:top w:w="0" w:type="dxa"/>
            <w:left w:w="108" w:type="dxa"/>
            <w:bottom w:w="0" w:type="dxa"/>
            <w:right w:w="108" w:type="dxa"/>
          </w:tblCellMar>
        </w:tblPrEx>
        <w:trPr>
          <w:trHeight w:val="264" w:hRule="atLeast"/>
        </w:trPr>
        <w:tc>
          <w:tcPr>
            <w:tcW w:w="641"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教育用地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中小学用地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3.15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0.92%</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3.45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1.01%</w:t>
            </w:r>
          </w:p>
        </w:tc>
      </w:tr>
      <w:tr>
        <w:tblPrEx>
          <w:tblCellMar>
            <w:top w:w="0" w:type="dxa"/>
            <w:left w:w="108" w:type="dxa"/>
            <w:bottom w:w="0" w:type="dxa"/>
            <w:right w:w="108" w:type="dxa"/>
          </w:tblCellMar>
        </w:tblPrEx>
        <w:trPr>
          <w:trHeight w:val="264" w:hRule="atLeast"/>
        </w:trPr>
        <w:tc>
          <w:tcPr>
            <w:tcW w:w="641"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幼儿园用地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1.41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0.41%</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1.20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0.35%</w:t>
            </w:r>
          </w:p>
        </w:tc>
      </w:tr>
      <w:tr>
        <w:tblPrEx>
          <w:tblCellMar>
            <w:top w:w="0" w:type="dxa"/>
            <w:left w:w="108" w:type="dxa"/>
            <w:bottom w:w="0" w:type="dxa"/>
            <w:right w:w="108" w:type="dxa"/>
          </w:tblCellMar>
        </w:tblPrEx>
        <w:trPr>
          <w:trHeight w:val="264" w:hRule="atLeast"/>
        </w:trPr>
        <w:tc>
          <w:tcPr>
            <w:tcW w:w="641"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医疗卫生用地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医院用地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1.96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0.58%</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1.67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0.49%</w:t>
            </w:r>
          </w:p>
        </w:tc>
      </w:tr>
      <w:tr>
        <w:tblPrEx>
          <w:tblCellMar>
            <w:top w:w="0" w:type="dxa"/>
            <w:left w:w="108" w:type="dxa"/>
            <w:bottom w:w="0" w:type="dxa"/>
            <w:right w:w="108" w:type="dxa"/>
          </w:tblCellMar>
        </w:tblPrEx>
        <w:trPr>
          <w:trHeight w:val="264" w:hRule="atLeast"/>
        </w:trPr>
        <w:tc>
          <w:tcPr>
            <w:tcW w:w="641" w:type="pct"/>
            <w:vMerge w:val="continue"/>
            <w:tcBorders>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社会福利用地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老年人社会福利用地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0.36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0.11%</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7.83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2.29%</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8.23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2.41%</w:t>
            </w:r>
          </w:p>
        </w:tc>
      </w:tr>
      <w:tr>
        <w:tblPrEx>
          <w:tblCellMar>
            <w:top w:w="0" w:type="dxa"/>
            <w:left w:w="108" w:type="dxa"/>
            <w:bottom w:w="0" w:type="dxa"/>
            <w:right w:w="108" w:type="dxa"/>
          </w:tblCellMar>
        </w:tblPrEx>
        <w:trPr>
          <w:trHeight w:val="264" w:hRule="atLeast"/>
        </w:trPr>
        <w:tc>
          <w:tcPr>
            <w:tcW w:w="641"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商业服务业用地</w:t>
            </w:r>
          </w:p>
        </w:tc>
        <w:tc>
          <w:tcPr>
            <w:tcW w:w="11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商业用地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零售商业用地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0.85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0.25%</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3.56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1.04%</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批发市场用地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0.23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0.07%</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1.48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0.43%</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旅馆用地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1.12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0.33%</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公用设施营业网点用地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0.24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0.07%</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商务金融用地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0.07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0.02%</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0.05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0.01%</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其他商业服务业用地</w:t>
            </w:r>
          </w:p>
        </w:tc>
        <w:tc>
          <w:tcPr>
            <w:tcW w:w="673" w:type="pct"/>
            <w:tcBorders>
              <w:top w:val="nil"/>
              <w:left w:val="nil"/>
              <w:bottom w:val="nil"/>
              <w:right w:val="nil"/>
            </w:tcBorders>
            <w:shd w:val="clear" w:color="auto" w:fill="auto"/>
            <w:noWrap/>
            <w:vAlign w:val="center"/>
          </w:tcPr>
          <w:p>
            <w:pP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0.19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0.06%</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0.30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0.09%</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1.35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0.39%</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6.74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1.98%</w:t>
            </w:r>
          </w:p>
        </w:tc>
      </w:tr>
      <w:tr>
        <w:tblPrEx>
          <w:tblCellMar>
            <w:top w:w="0" w:type="dxa"/>
            <w:left w:w="108" w:type="dxa"/>
            <w:bottom w:w="0" w:type="dxa"/>
            <w:right w:w="108" w:type="dxa"/>
          </w:tblCellMar>
        </w:tblPrEx>
        <w:trPr>
          <w:trHeight w:val="264" w:hRule="atLeast"/>
        </w:trPr>
        <w:tc>
          <w:tcPr>
            <w:tcW w:w="641" w:type="pct"/>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工矿用地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工业用地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3.70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1.08%</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14.67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4.30%</w:t>
            </w:r>
          </w:p>
        </w:tc>
      </w:tr>
      <w:tr>
        <w:tblPrEx>
          <w:tblCellMar>
            <w:top w:w="0" w:type="dxa"/>
            <w:left w:w="108" w:type="dxa"/>
            <w:bottom w:w="0" w:type="dxa"/>
            <w:right w:w="108" w:type="dxa"/>
          </w:tblCellMar>
        </w:tblPrEx>
        <w:trPr>
          <w:trHeight w:val="274" w:hRule="atLeast"/>
        </w:trPr>
        <w:tc>
          <w:tcPr>
            <w:tcW w:w="641"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采矿用地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1.23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0.36%</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4.28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1.25%</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14.67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4.30%</w:t>
            </w:r>
          </w:p>
        </w:tc>
      </w:tr>
      <w:tr>
        <w:tblPrEx>
          <w:tblCellMar>
            <w:top w:w="0" w:type="dxa"/>
            <w:left w:w="108" w:type="dxa"/>
            <w:bottom w:w="0" w:type="dxa"/>
            <w:right w:w="108" w:type="dxa"/>
          </w:tblCellMar>
        </w:tblPrEx>
        <w:trPr>
          <w:trHeight w:val="264"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仓储用地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物流仓储用地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0.09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0.03%</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5.81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1.70%</w:t>
            </w:r>
          </w:p>
        </w:tc>
      </w:tr>
      <w:tr>
        <w:tblPrEx>
          <w:tblCellMar>
            <w:top w:w="0" w:type="dxa"/>
            <w:left w:w="108" w:type="dxa"/>
            <w:bottom w:w="0" w:type="dxa"/>
            <w:right w:w="108" w:type="dxa"/>
          </w:tblCellMar>
        </w:tblPrEx>
        <w:trPr>
          <w:trHeight w:val="274"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储备库用地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1.16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0.34%</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1.26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0.37%</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5.81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1.70%</w:t>
            </w:r>
          </w:p>
        </w:tc>
      </w:tr>
      <w:tr>
        <w:tblPrEx>
          <w:tblCellMar>
            <w:top w:w="0" w:type="dxa"/>
            <w:left w:w="108" w:type="dxa"/>
            <w:bottom w:w="0" w:type="dxa"/>
            <w:right w:w="108" w:type="dxa"/>
          </w:tblCellMar>
        </w:tblPrEx>
        <w:trPr>
          <w:trHeight w:val="264" w:hRule="atLeast"/>
        </w:trPr>
        <w:tc>
          <w:tcPr>
            <w:tcW w:w="641"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交通运输用地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公路用地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11.58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3.39%</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15.43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4.52%</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城镇道路用地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4.95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1.45%</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10.23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3.00%</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交通场站用地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对外交通场站用地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1.25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0.37%</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社会停车场用地</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0.94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0.28%</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1.10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0.32%</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17.47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5.12%</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28.01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8.21%</w:t>
            </w:r>
          </w:p>
        </w:tc>
      </w:tr>
      <w:tr>
        <w:tblPrEx>
          <w:tblCellMar>
            <w:top w:w="0" w:type="dxa"/>
            <w:left w:w="108" w:type="dxa"/>
            <w:bottom w:w="0" w:type="dxa"/>
            <w:right w:w="108" w:type="dxa"/>
          </w:tblCellMar>
        </w:tblPrEx>
        <w:trPr>
          <w:trHeight w:val="264" w:hRule="atLeast"/>
        </w:trPr>
        <w:tc>
          <w:tcPr>
            <w:tcW w:w="64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公用设施用地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供水用地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0.15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0.04%</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0.15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0.04%</w:t>
            </w:r>
          </w:p>
        </w:tc>
      </w:tr>
      <w:tr>
        <w:tblPrEx>
          <w:tblCellMar>
            <w:top w:w="0" w:type="dxa"/>
            <w:left w:w="108" w:type="dxa"/>
            <w:bottom w:w="0" w:type="dxa"/>
            <w:right w:w="108" w:type="dxa"/>
          </w:tblCellMar>
        </w:tblPrEx>
        <w:trPr>
          <w:trHeight w:val="274" w:hRule="atLeast"/>
        </w:trPr>
        <w:tc>
          <w:tcPr>
            <w:tcW w:w="6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供电用地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0.36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0.11%</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0.26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0.08%</w:t>
            </w:r>
          </w:p>
        </w:tc>
      </w:tr>
      <w:tr>
        <w:tblPrEx>
          <w:tblCellMar>
            <w:top w:w="0" w:type="dxa"/>
            <w:left w:w="108" w:type="dxa"/>
            <w:bottom w:w="0" w:type="dxa"/>
            <w:right w:w="108" w:type="dxa"/>
          </w:tblCellMar>
        </w:tblPrEx>
        <w:trPr>
          <w:trHeight w:val="274" w:hRule="atLeast"/>
        </w:trPr>
        <w:tc>
          <w:tcPr>
            <w:tcW w:w="6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邮政用地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0.19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0.06%</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0.03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0.01%</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消防用地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0.17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0.05%</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水工设施用地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0.13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0.04%</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12.81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3.75%</w:t>
            </w:r>
          </w:p>
        </w:tc>
      </w:tr>
      <w:tr>
        <w:tblPrEx>
          <w:tblCellMar>
            <w:top w:w="0" w:type="dxa"/>
            <w:left w:w="108" w:type="dxa"/>
            <w:bottom w:w="0" w:type="dxa"/>
            <w:right w:w="108" w:type="dxa"/>
          </w:tblCellMar>
        </w:tblPrEx>
        <w:trPr>
          <w:trHeight w:val="264" w:hRule="atLeast"/>
        </w:trPr>
        <w:tc>
          <w:tcPr>
            <w:tcW w:w="64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其他公用设施用地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0.02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0.01%</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0.02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0.01%</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0.85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0.25%</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13.43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3.94%</w:t>
            </w:r>
          </w:p>
        </w:tc>
      </w:tr>
      <w:tr>
        <w:tblPrEx>
          <w:tblCellMar>
            <w:top w:w="0" w:type="dxa"/>
            <w:left w:w="108" w:type="dxa"/>
            <w:bottom w:w="0" w:type="dxa"/>
            <w:right w:w="108" w:type="dxa"/>
          </w:tblCellMar>
        </w:tblPrEx>
        <w:trPr>
          <w:trHeight w:val="264" w:hRule="atLeast"/>
        </w:trPr>
        <w:tc>
          <w:tcPr>
            <w:tcW w:w="641" w:type="pct"/>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绿地与开敞空间用地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公园绿地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1.03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0.30%</w:t>
            </w:r>
          </w:p>
        </w:tc>
      </w:tr>
      <w:tr>
        <w:tblPrEx>
          <w:tblCellMar>
            <w:top w:w="0" w:type="dxa"/>
            <w:left w:w="108" w:type="dxa"/>
            <w:bottom w:w="0" w:type="dxa"/>
            <w:right w:w="108" w:type="dxa"/>
          </w:tblCellMar>
        </w:tblPrEx>
        <w:trPr>
          <w:trHeight w:val="264" w:hRule="atLeast"/>
        </w:trPr>
        <w:tc>
          <w:tcPr>
            <w:tcW w:w="641"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广场用地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0.67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0.20%</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1.70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0.50%</w:t>
            </w:r>
          </w:p>
        </w:tc>
      </w:tr>
      <w:tr>
        <w:tblPrEx>
          <w:tblCellMar>
            <w:top w:w="0" w:type="dxa"/>
            <w:left w:w="108" w:type="dxa"/>
            <w:bottom w:w="0" w:type="dxa"/>
            <w:right w:w="108" w:type="dxa"/>
          </w:tblCellMar>
        </w:tblPrEx>
        <w:trPr>
          <w:trHeight w:val="274" w:hRule="atLeast"/>
        </w:trPr>
        <w:tc>
          <w:tcPr>
            <w:tcW w:w="641" w:type="pct"/>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特殊用地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宗教用地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1.60</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1.60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0.47%</w:t>
            </w:r>
          </w:p>
        </w:tc>
      </w:tr>
      <w:tr>
        <w:tblPrEx>
          <w:tblCellMar>
            <w:top w:w="0" w:type="dxa"/>
            <w:left w:w="108" w:type="dxa"/>
            <w:bottom w:w="0" w:type="dxa"/>
            <w:right w:w="108" w:type="dxa"/>
          </w:tblCellMar>
        </w:tblPrEx>
        <w:trPr>
          <w:trHeight w:val="274" w:hRule="atLeast"/>
        </w:trPr>
        <w:tc>
          <w:tcPr>
            <w:tcW w:w="641" w:type="pct"/>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文物古迹用地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0.26</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0.47%</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sz w:val="18"/>
                <w:szCs w:val="18"/>
              </w:rPr>
              <w:t>0.10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0.03%</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1.85</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0.08%</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0.50%</w:t>
            </w:r>
          </w:p>
        </w:tc>
      </w:tr>
      <w:tr>
        <w:tblPrEx>
          <w:tblCellMar>
            <w:top w:w="0" w:type="dxa"/>
            <w:left w:w="108" w:type="dxa"/>
            <w:bottom w:w="0" w:type="dxa"/>
            <w:right w:w="108" w:type="dxa"/>
          </w:tblCellMar>
        </w:tblPrEx>
        <w:trPr>
          <w:trHeight w:val="274"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留白用地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3.26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0.96%</w:t>
            </w:r>
          </w:p>
        </w:tc>
      </w:tr>
      <w:tr>
        <w:tblPrEx>
          <w:tblCellMar>
            <w:top w:w="0" w:type="dxa"/>
            <w:left w:w="108" w:type="dxa"/>
            <w:bottom w:w="0" w:type="dxa"/>
            <w:right w:w="108" w:type="dxa"/>
          </w:tblCellMar>
        </w:tblPrEx>
        <w:trPr>
          <w:trHeight w:val="274"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陆地水域</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22.31 </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6.54%</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19.86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5.82%</w:t>
            </w:r>
          </w:p>
        </w:tc>
      </w:tr>
      <w:tr>
        <w:tblPrEx>
          <w:tblCellMar>
            <w:top w:w="0" w:type="dxa"/>
            <w:left w:w="108" w:type="dxa"/>
            <w:bottom w:w="0" w:type="dxa"/>
            <w:right w:w="108" w:type="dxa"/>
          </w:tblCellMar>
        </w:tblPrEx>
        <w:trPr>
          <w:trHeight w:val="274" w:hRule="atLeast"/>
        </w:trPr>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其他土地</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空闲地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18"/>
                <w:szCs w:val="18"/>
              </w:rPr>
            </w:pP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3.95</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1.16%</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0.00%</w:t>
            </w:r>
          </w:p>
        </w:tc>
      </w:tr>
      <w:tr>
        <w:tblPrEx>
          <w:tblCellMar>
            <w:top w:w="0" w:type="dxa"/>
            <w:left w:w="108" w:type="dxa"/>
            <w:bottom w:w="0" w:type="dxa"/>
            <w:right w:w="108" w:type="dxa"/>
          </w:tblCellMar>
        </w:tblPrEx>
        <w:trPr>
          <w:trHeight w:val="274" w:hRule="atLeast"/>
        </w:trPr>
        <w:tc>
          <w:tcPr>
            <w:tcW w:w="24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总计</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341.61</w:t>
            </w:r>
          </w:p>
        </w:tc>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100.00%</w:t>
            </w:r>
          </w:p>
        </w:tc>
        <w:tc>
          <w:tcPr>
            <w:tcW w:w="7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341.61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100.00%</w:t>
            </w:r>
          </w:p>
        </w:tc>
      </w:tr>
    </w:tbl>
    <w:p>
      <w:pPr>
        <w:spacing w:before="312" w:beforeLines="100" w:line="360" w:lineRule="auto"/>
        <w:jc w:val="left"/>
        <w:outlineLvl w:val="0"/>
        <w:rPr>
          <w:rFonts w:ascii="黑体" w:hAnsi="黑体" w:eastAsia="黑体"/>
          <w:sz w:val="24"/>
          <w:szCs w:val="24"/>
        </w:rPr>
      </w:pPr>
      <w:bookmarkStart w:id="576" w:name="_Toc141369747"/>
      <w:bookmarkStart w:id="577" w:name="_Toc106960199"/>
      <w:r>
        <w:rPr>
          <w:rFonts w:hint="eastAsia" w:ascii="黑体" w:hAnsi="黑体" w:eastAsia="黑体"/>
          <w:sz w:val="24"/>
          <w:szCs w:val="24"/>
        </w:rPr>
        <w:t>附表</w:t>
      </w:r>
      <w:r>
        <w:rPr>
          <w:rFonts w:ascii="黑体" w:hAnsi="黑体" w:eastAsia="黑体"/>
          <w:sz w:val="24"/>
          <w:szCs w:val="24"/>
        </w:rPr>
        <w:t xml:space="preserve">12  </w:t>
      </w:r>
      <w:r>
        <w:rPr>
          <w:rFonts w:hint="eastAsia" w:ascii="黑体" w:hAnsi="黑体" w:eastAsia="黑体"/>
          <w:sz w:val="24"/>
          <w:szCs w:val="24"/>
        </w:rPr>
        <w:t>回马镇镇区用地结构规划表</w:t>
      </w:r>
      <w:bookmarkEnd w:id="576"/>
      <w:bookmarkEnd w:id="577"/>
    </w:p>
    <w:tbl>
      <w:tblPr>
        <w:tblStyle w:val="41"/>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2"/>
        <w:gridCol w:w="1984"/>
        <w:gridCol w:w="1139"/>
        <w:gridCol w:w="1134"/>
        <w:gridCol w:w="992"/>
        <w:gridCol w:w="113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 w:hRule="atLeast"/>
          <w:tblHeader/>
        </w:trPr>
        <w:tc>
          <w:tcPr>
            <w:tcW w:w="597"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一级</w:t>
            </w:r>
          </w:p>
        </w:tc>
        <w:tc>
          <w:tcPr>
            <w:tcW w:w="1194"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二级</w:t>
            </w:r>
          </w:p>
        </w:tc>
        <w:tc>
          <w:tcPr>
            <w:tcW w:w="685"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三级</w:t>
            </w:r>
          </w:p>
        </w:tc>
        <w:tc>
          <w:tcPr>
            <w:tcW w:w="1279" w:type="pct"/>
            <w:gridSpan w:val="2"/>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规划基期年</w:t>
            </w:r>
          </w:p>
        </w:tc>
        <w:tc>
          <w:tcPr>
            <w:tcW w:w="1244" w:type="pct"/>
            <w:gridSpan w:val="2"/>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规划目标年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 w:hRule="atLeast"/>
          <w:tblHeader/>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vMerge w:val="continue"/>
            <w:shd w:val="clear" w:color="auto" w:fill="auto"/>
            <w:noWrap/>
            <w:vAlign w:val="center"/>
          </w:tcPr>
          <w:p>
            <w:pPr>
              <w:jc w:val="center"/>
              <w:rPr>
                <w:rFonts w:ascii="宋体" w:hAnsi="宋体" w:eastAsia="宋体" w:cs="宋体"/>
                <w:sz w:val="18"/>
                <w:szCs w:val="18"/>
              </w:rPr>
            </w:pPr>
          </w:p>
        </w:tc>
        <w:tc>
          <w:tcPr>
            <w:tcW w:w="685" w:type="pct"/>
            <w:vMerge w:val="continue"/>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面积(公顷)</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比例(%</w:t>
            </w:r>
            <w:r>
              <w:rPr>
                <w:rFonts w:ascii="宋体" w:hAnsi="宋体" w:eastAsia="宋体" w:cs="宋体"/>
                <w:kern w:val="0"/>
                <w:sz w:val="18"/>
                <w:szCs w:val="18"/>
                <w:lang w:bidi="ar"/>
              </w:rPr>
              <w:t>)</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面积(公顷)</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比例(%</w:t>
            </w:r>
            <w:r>
              <w:rPr>
                <w:rFonts w:ascii="宋体" w:hAnsi="宋体" w:eastAsia="宋体" w:cs="宋体"/>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耕地</w:t>
            </w:r>
          </w:p>
        </w:tc>
        <w:tc>
          <w:tcPr>
            <w:tcW w:w="1194" w:type="pct"/>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119.55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37.05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85.71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园地</w:t>
            </w:r>
          </w:p>
        </w:tc>
        <w:tc>
          <w:tcPr>
            <w:tcW w:w="1194" w:type="pct"/>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6.82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2.11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5.57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林地</w:t>
            </w:r>
          </w:p>
        </w:tc>
        <w:tc>
          <w:tcPr>
            <w:tcW w:w="1194" w:type="pct"/>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23.08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7.15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31.35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9.72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湿地</w:t>
            </w:r>
          </w:p>
        </w:tc>
        <w:tc>
          <w:tcPr>
            <w:tcW w:w="1194" w:type="pct"/>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1.81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0.56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1.81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农业设施建设用地</w:t>
            </w:r>
          </w:p>
        </w:tc>
        <w:tc>
          <w:tcPr>
            <w:tcW w:w="1194" w:type="pct"/>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2.99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0.93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2.14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154.25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47.80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126.58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39.23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居住用地</w:t>
            </w: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城镇住宅用地</w:t>
            </w: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二类城镇住宅用地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15.81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4.90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59.69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18.50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城镇社区服务设施用地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0.07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农村宅基地</w:t>
            </w: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二类农村宅基地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43.77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13.56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9.91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农村社区服务设施用地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0.60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0.19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60.18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18.65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69.67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公共管理与公共服务用地</w:t>
            </w: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机关团体用地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1.86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0.58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1.61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文化用地</w:t>
            </w: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文化活动用地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0.60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教育用地</w:t>
            </w: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中小学用地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3.52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1.09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3.32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vMerge w:val="continue"/>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幼儿园用地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0.48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0.15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0.48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医疗卫生用地</w:t>
            </w: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医院用地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3.43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vMerge w:val="continue"/>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基层医疗卫生设施用地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0.28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0.09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6.14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1.90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9.44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商业服务业用地</w:t>
            </w:r>
          </w:p>
        </w:tc>
        <w:tc>
          <w:tcPr>
            <w:tcW w:w="1194"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商业用地</w:t>
            </w: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零售商业用地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0.14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0.04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9.99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vMerge w:val="continue"/>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批发市场用地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0.78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0.24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0.75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vMerge w:val="continue"/>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公用设施营业网点用地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0.80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0.25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0.85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其他商业服务业用地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0.11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0.03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0.53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1.83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0.57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12.12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工矿用地</w:t>
            </w: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工业用地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23.88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7.40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29.94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9.28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采矿用地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26.76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8.29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50.64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15.69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29.94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9.28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仓储用地</w:t>
            </w: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储备库用地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0.30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0.09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0.30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0.09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交通运输用地</w:t>
            </w: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公路用地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14.02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4.34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17.71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5.49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城镇道路用地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6.03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1.87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11.82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交通场站用地</w:t>
            </w: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对外交通场站用地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0.24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0.07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0.75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vMerge w:val="continue"/>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社会停车场用地</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0.47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0.15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1.22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20.76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6.43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31.50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9.76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restar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公用设施用地</w:t>
            </w: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排水用地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0.58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0.18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1.52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供电用地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1.00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0.31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1.01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供燃气用地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0.27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0.08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0.27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消防用地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0.12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水工设施用地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5.65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vMerge w:val="continue"/>
            <w:shd w:val="clear" w:color="auto" w:fill="auto"/>
            <w:noWrap/>
            <w:vAlign w:val="center"/>
          </w:tcPr>
          <w:p>
            <w:pPr>
              <w:jc w:val="center"/>
              <w:rPr>
                <w:rFonts w:ascii="宋体" w:hAnsi="宋体" w:eastAsia="宋体" w:cs="宋体"/>
                <w:sz w:val="18"/>
                <w:szCs w:val="18"/>
              </w:rPr>
            </w:pP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其他公用设施用地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0.15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0.05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0.15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2.00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0.62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8.72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绿地与开敞空间用地</w:t>
            </w: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广场用地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0.14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0.04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1.51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0.14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0.04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1.51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特殊用地</w:t>
            </w:r>
          </w:p>
        </w:tc>
        <w:tc>
          <w:tcPr>
            <w:tcW w:w="119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文物古迹用地</w:t>
            </w: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0.55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0.17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0.27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0.55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0.17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0.27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留白用地</w:t>
            </w:r>
          </w:p>
        </w:tc>
        <w:tc>
          <w:tcPr>
            <w:tcW w:w="1194" w:type="pct"/>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0.00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7.92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陆地水域</w:t>
            </w:r>
          </w:p>
        </w:tc>
        <w:tc>
          <w:tcPr>
            <w:tcW w:w="1194" w:type="pct"/>
            <w:shd w:val="clear" w:color="auto" w:fill="auto"/>
            <w:noWrap/>
            <w:vAlign w:val="center"/>
          </w:tcPr>
          <w:p>
            <w:pPr>
              <w:jc w:val="center"/>
              <w:rPr>
                <w:rFonts w:ascii="宋体" w:hAnsi="宋体" w:eastAsia="宋体" w:cs="宋体"/>
                <w:sz w:val="18"/>
                <w:szCs w:val="18"/>
              </w:rPr>
            </w:pPr>
          </w:p>
        </w:tc>
        <w:tc>
          <w:tcPr>
            <w:tcW w:w="685" w:type="pct"/>
            <w:shd w:val="clear" w:color="auto" w:fill="auto"/>
            <w:noWrap/>
            <w:vAlign w:val="center"/>
          </w:tcPr>
          <w:p>
            <w:pPr>
              <w:jc w:val="center"/>
              <w:rPr>
                <w:rFonts w:ascii="宋体" w:hAnsi="宋体" w:eastAsia="宋体" w:cs="宋体"/>
                <w:sz w:val="18"/>
                <w:szCs w:val="18"/>
              </w:rPr>
            </w:pP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25.89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8.02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25.01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7.75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2476" w:type="pct"/>
            <w:gridSpan w:val="3"/>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总计</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322.68 </w:t>
            </w:r>
          </w:p>
        </w:tc>
        <w:tc>
          <w:tcPr>
            <w:tcW w:w="597"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100.00 </w:t>
            </w:r>
          </w:p>
        </w:tc>
        <w:tc>
          <w:tcPr>
            <w:tcW w:w="68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322.68 </w:t>
            </w:r>
          </w:p>
        </w:tc>
        <w:tc>
          <w:tcPr>
            <w:tcW w:w="56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 xml:space="preserve">100.00 </w:t>
            </w:r>
          </w:p>
        </w:tc>
      </w:tr>
    </w:tbl>
    <w:p>
      <w:pPr>
        <w:spacing w:before="312" w:beforeLines="100" w:line="360" w:lineRule="auto"/>
        <w:jc w:val="left"/>
        <w:outlineLvl w:val="0"/>
        <w:rPr>
          <w:rFonts w:ascii="黑体" w:hAnsi="黑体" w:eastAsia="黑体"/>
          <w:sz w:val="24"/>
          <w:szCs w:val="24"/>
        </w:rPr>
      </w:pPr>
      <w:bookmarkStart w:id="578" w:name="_Toc106960200"/>
      <w:bookmarkStart w:id="579" w:name="_Toc141369748"/>
      <w:r>
        <w:rPr>
          <w:rFonts w:hint="eastAsia" w:ascii="黑体" w:hAnsi="黑体" w:eastAsia="黑体"/>
          <w:sz w:val="24"/>
          <w:szCs w:val="24"/>
        </w:rPr>
        <w:t>附表</w:t>
      </w:r>
      <w:r>
        <w:rPr>
          <w:rFonts w:ascii="黑体" w:hAnsi="黑体" w:eastAsia="黑体"/>
          <w:sz w:val="24"/>
          <w:szCs w:val="24"/>
        </w:rPr>
        <w:t xml:space="preserve">13  </w:t>
      </w:r>
      <w:r>
        <w:rPr>
          <w:rFonts w:hint="eastAsia" w:ascii="黑体" w:hAnsi="黑体" w:eastAsia="黑体"/>
          <w:sz w:val="24"/>
          <w:szCs w:val="24"/>
        </w:rPr>
        <w:t>金元镇镇区用地结构规划表</w:t>
      </w:r>
      <w:bookmarkEnd w:id="578"/>
      <w:bookmarkEnd w:id="579"/>
    </w:p>
    <w:tbl>
      <w:tblPr>
        <w:tblStyle w:val="41"/>
        <w:tblW w:w="5022" w:type="pct"/>
        <w:tblInd w:w="0" w:type="dxa"/>
        <w:tblLayout w:type="fixed"/>
        <w:tblCellMar>
          <w:top w:w="0" w:type="dxa"/>
          <w:left w:w="0" w:type="dxa"/>
          <w:bottom w:w="0" w:type="dxa"/>
          <w:right w:w="0" w:type="dxa"/>
        </w:tblCellMar>
      </w:tblPr>
      <w:tblGrid>
        <w:gridCol w:w="1144"/>
        <w:gridCol w:w="1797"/>
        <w:gridCol w:w="1125"/>
        <w:gridCol w:w="1124"/>
        <w:gridCol w:w="983"/>
        <w:gridCol w:w="1262"/>
        <w:gridCol w:w="924"/>
      </w:tblGrid>
      <w:tr>
        <w:tblPrEx>
          <w:tblCellMar>
            <w:top w:w="0" w:type="dxa"/>
            <w:left w:w="0" w:type="dxa"/>
            <w:bottom w:w="0" w:type="dxa"/>
            <w:right w:w="0" w:type="dxa"/>
          </w:tblCellMar>
        </w:tblPrEx>
        <w:trPr>
          <w:trHeight w:val="274" w:hRule="atLeast"/>
          <w:tblHeader/>
        </w:trPr>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bookmarkStart w:id="580" w:name="_Toc106960201"/>
            <w:r>
              <w:rPr>
                <w:rFonts w:hint="eastAsia" w:ascii="宋体" w:hAnsi="宋体" w:eastAsia="宋体" w:cs="宋体"/>
                <w:kern w:val="0"/>
                <w:sz w:val="18"/>
                <w:szCs w:val="18"/>
                <w:lang w:bidi="ar"/>
              </w:rPr>
              <w:t>一级</w:t>
            </w:r>
          </w:p>
        </w:tc>
        <w:tc>
          <w:tcPr>
            <w:tcW w:w="10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二级</w:t>
            </w:r>
          </w:p>
        </w:tc>
        <w:tc>
          <w:tcPr>
            <w:tcW w:w="6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三级</w:t>
            </w:r>
          </w:p>
        </w:tc>
        <w:tc>
          <w:tcPr>
            <w:tcW w:w="1260" w:type="pct"/>
            <w:gridSpan w:val="2"/>
            <w:tcBorders>
              <w:top w:val="single" w:color="000000" w:sz="4" w:space="0"/>
              <w:left w:val="nil"/>
              <w:bottom w:val="single" w:color="000000" w:sz="4" w:space="0"/>
              <w:right w:val="nil"/>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规划基期年</w:t>
            </w:r>
          </w:p>
        </w:tc>
        <w:tc>
          <w:tcPr>
            <w:tcW w:w="130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规划目标年</w:t>
            </w:r>
          </w:p>
        </w:tc>
      </w:tr>
      <w:tr>
        <w:tblPrEx>
          <w:tblCellMar>
            <w:top w:w="0" w:type="dxa"/>
            <w:left w:w="0" w:type="dxa"/>
            <w:bottom w:w="0" w:type="dxa"/>
            <w:right w:w="0" w:type="dxa"/>
          </w:tblCellMar>
        </w:tblPrEx>
        <w:trPr>
          <w:trHeight w:val="274" w:hRule="atLeast"/>
          <w:tblHeader/>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nil"/>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面积（公顷）</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比例（%）</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面积（公顷）</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比例（%）</w:t>
            </w:r>
          </w:p>
        </w:tc>
      </w:tr>
      <w:tr>
        <w:tblPrEx>
          <w:tblCellMar>
            <w:top w:w="0" w:type="dxa"/>
            <w:left w:w="0" w:type="dxa"/>
            <w:bottom w:w="0" w:type="dxa"/>
            <w:right w:w="0" w:type="dxa"/>
          </w:tblCellMar>
        </w:tblPrEx>
        <w:trPr>
          <w:trHeight w:val="265" w:hRule="atLeast"/>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耕地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38.32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42.18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31.87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35.09 </w:t>
            </w:r>
          </w:p>
        </w:tc>
      </w:tr>
      <w:tr>
        <w:tblPrEx>
          <w:tblCellMar>
            <w:top w:w="0" w:type="dxa"/>
            <w:left w:w="0" w:type="dxa"/>
            <w:bottom w:w="0" w:type="dxa"/>
            <w:right w:w="0" w:type="dxa"/>
          </w:tblCellMar>
        </w:tblPrEx>
        <w:trPr>
          <w:trHeight w:val="265" w:hRule="atLeast"/>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园地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2.44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2.68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1.82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2.00 </w:t>
            </w:r>
          </w:p>
        </w:tc>
      </w:tr>
      <w:tr>
        <w:tblPrEx>
          <w:tblCellMar>
            <w:top w:w="0" w:type="dxa"/>
            <w:left w:w="0" w:type="dxa"/>
            <w:bottom w:w="0" w:type="dxa"/>
            <w:right w:w="0" w:type="dxa"/>
          </w:tblCellMar>
        </w:tblPrEx>
        <w:trPr>
          <w:trHeight w:val="274" w:hRule="atLeast"/>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林地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14.34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15.79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11.40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12.55 </w:t>
            </w:r>
          </w:p>
        </w:tc>
      </w:tr>
      <w:tr>
        <w:tblPrEx>
          <w:tblCellMar>
            <w:top w:w="0" w:type="dxa"/>
            <w:left w:w="0" w:type="dxa"/>
            <w:bottom w:w="0" w:type="dxa"/>
            <w:right w:w="0" w:type="dxa"/>
          </w:tblCellMar>
        </w:tblPrEx>
        <w:trPr>
          <w:trHeight w:val="274" w:hRule="atLeast"/>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草地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0.45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0.49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0.22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0.25 </w:t>
            </w:r>
          </w:p>
        </w:tc>
      </w:tr>
      <w:tr>
        <w:tblPrEx>
          <w:tblCellMar>
            <w:top w:w="0" w:type="dxa"/>
            <w:left w:w="0" w:type="dxa"/>
            <w:bottom w:w="0" w:type="dxa"/>
            <w:right w:w="0" w:type="dxa"/>
          </w:tblCellMar>
        </w:tblPrEx>
        <w:trPr>
          <w:trHeight w:val="274" w:hRule="atLeast"/>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农业设施建设用地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1.06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1.17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0.90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1.00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56.61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62.31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46.22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50.88 </w:t>
            </w:r>
          </w:p>
        </w:tc>
      </w:tr>
      <w:tr>
        <w:tblPrEx>
          <w:tblCellMar>
            <w:top w:w="0" w:type="dxa"/>
            <w:left w:w="0" w:type="dxa"/>
            <w:bottom w:w="0" w:type="dxa"/>
            <w:right w:w="0" w:type="dxa"/>
          </w:tblCellMar>
        </w:tblPrEx>
        <w:trPr>
          <w:trHeight w:val="265" w:hRule="atLeast"/>
        </w:trPr>
        <w:tc>
          <w:tcPr>
            <w:tcW w:w="684" w:type="pct"/>
            <w:vMerge w:val="restart"/>
            <w:tcBorders>
              <w:top w:val="nil"/>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居住用地</w:t>
            </w:r>
          </w:p>
        </w:tc>
        <w:tc>
          <w:tcPr>
            <w:tcW w:w="1075"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城镇住宅用地</w:t>
            </w:r>
          </w:p>
        </w:tc>
        <w:tc>
          <w:tcPr>
            <w:tcW w:w="673"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8.67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9.55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16.69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18.37 </w:t>
            </w:r>
          </w:p>
        </w:tc>
      </w:tr>
      <w:tr>
        <w:tblPrEx>
          <w:tblCellMar>
            <w:top w:w="0" w:type="dxa"/>
            <w:left w:w="0" w:type="dxa"/>
            <w:bottom w:w="0" w:type="dxa"/>
            <w:right w:w="0" w:type="dxa"/>
          </w:tblCellMar>
        </w:tblPrEx>
        <w:trPr>
          <w:trHeight w:val="265" w:hRule="atLeast"/>
        </w:trPr>
        <w:tc>
          <w:tcPr>
            <w:tcW w:w="684" w:type="pct"/>
            <w:vMerge w:val="continue"/>
            <w:tcBorders>
              <w:top w:val="nil"/>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城镇社区服务设施用地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0.09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0.10 </w:t>
            </w:r>
          </w:p>
        </w:tc>
      </w:tr>
      <w:tr>
        <w:tblPrEx>
          <w:tblCellMar>
            <w:top w:w="0" w:type="dxa"/>
            <w:left w:w="0" w:type="dxa"/>
            <w:bottom w:w="0" w:type="dxa"/>
            <w:right w:w="0" w:type="dxa"/>
          </w:tblCellMar>
        </w:tblPrEx>
        <w:trPr>
          <w:trHeight w:val="265" w:hRule="atLeast"/>
        </w:trPr>
        <w:tc>
          <w:tcPr>
            <w:tcW w:w="684" w:type="pct"/>
            <w:vMerge w:val="continue"/>
            <w:tcBorders>
              <w:top w:val="nil"/>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农村宅基地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5.91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6.50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4.11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4.53 </w:t>
            </w:r>
          </w:p>
        </w:tc>
      </w:tr>
      <w:tr>
        <w:tblPrEx>
          <w:tblCellMar>
            <w:top w:w="0" w:type="dxa"/>
            <w:left w:w="0" w:type="dxa"/>
            <w:bottom w:w="0" w:type="dxa"/>
            <w:right w:w="0" w:type="dxa"/>
          </w:tblCellMar>
        </w:tblPrEx>
        <w:trPr>
          <w:trHeight w:val="265" w:hRule="atLeast"/>
        </w:trPr>
        <w:tc>
          <w:tcPr>
            <w:tcW w:w="684" w:type="pct"/>
            <w:vMerge w:val="continue"/>
            <w:tcBorders>
              <w:top w:val="nil"/>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农村社区服务设施用地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0.12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0.13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14.70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16.18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20.89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23.00 </w:t>
            </w:r>
          </w:p>
        </w:tc>
      </w:tr>
      <w:tr>
        <w:tblPrEx>
          <w:tblCellMar>
            <w:top w:w="0" w:type="dxa"/>
            <w:left w:w="0" w:type="dxa"/>
            <w:bottom w:w="0" w:type="dxa"/>
            <w:right w:w="0" w:type="dxa"/>
          </w:tblCellMar>
        </w:tblPrEx>
        <w:trPr>
          <w:trHeight w:val="265" w:hRule="atLeast"/>
        </w:trPr>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公共管理与公共服务用地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机关团体用地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0.89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0.98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0.80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0.88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文化用地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文化活动用地</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0.37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0.41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教育用地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中小学用地</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3.28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3.61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2.85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3.13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幼儿园用地</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0.53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0.58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0.43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0.48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医疗卫生用地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医院用地</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0.32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0.35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0.31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0.34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5.02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5.52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4.76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5.24 </w:t>
            </w:r>
          </w:p>
        </w:tc>
      </w:tr>
      <w:tr>
        <w:tblPrEx>
          <w:tblCellMar>
            <w:top w:w="0" w:type="dxa"/>
            <w:left w:w="0" w:type="dxa"/>
            <w:bottom w:w="0" w:type="dxa"/>
            <w:right w:w="0" w:type="dxa"/>
          </w:tblCellMar>
        </w:tblPrEx>
        <w:trPr>
          <w:trHeight w:val="265" w:hRule="atLeast"/>
        </w:trPr>
        <w:tc>
          <w:tcPr>
            <w:tcW w:w="684"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商业服务业用地</w:t>
            </w:r>
          </w:p>
        </w:tc>
        <w:tc>
          <w:tcPr>
            <w:tcW w:w="10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商业用地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零售商业用地</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1.43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1.58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0.85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0.94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批发市场用地</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0.16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0.17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公用设施营业网点用地</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0.37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0.41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1.43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1.58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1.38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1.52 </w:t>
            </w:r>
          </w:p>
        </w:tc>
      </w:tr>
      <w:tr>
        <w:tblPrEx>
          <w:tblCellMar>
            <w:top w:w="0" w:type="dxa"/>
            <w:left w:w="0" w:type="dxa"/>
            <w:bottom w:w="0" w:type="dxa"/>
            <w:right w:w="0" w:type="dxa"/>
          </w:tblCellMar>
        </w:tblPrEx>
        <w:trPr>
          <w:trHeight w:val="265" w:hRule="atLeast"/>
        </w:trPr>
        <w:tc>
          <w:tcPr>
            <w:tcW w:w="684" w:type="pc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工矿用地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采矿用地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1.69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1.86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1.69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1.86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r>
      <w:tr>
        <w:tblPrEx>
          <w:tblCellMar>
            <w:top w:w="0" w:type="dxa"/>
            <w:left w:w="0" w:type="dxa"/>
            <w:bottom w:w="0" w:type="dxa"/>
            <w:right w:w="0" w:type="dxa"/>
          </w:tblCellMar>
        </w:tblPrEx>
        <w:trPr>
          <w:trHeight w:val="265" w:hRule="atLeast"/>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仓储用地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物流仓储用地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0.07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0.08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0.07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0.08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r>
      <w:tr>
        <w:tblPrEx>
          <w:tblCellMar>
            <w:top w:w="0" w:type="dxa"/>
            <w:left w:w="0" w:type="dxa"/>
            <w:bottom w:w="0" w:type="dxa"/>
            <w:right w:w="0" w:type="dxa"/>
          </w:tblCellMar>
        </w:tblPrEx>
        <w:trPr>
          <w:trHeight w:val="265" w:hRule="atLeast"/>
        </w:trPr>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交通运输用地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公路用地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1.47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1.62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6.17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6.79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城镇道路用地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1.38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1.51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3.22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3.54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交通场站用地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对外交通场站用地</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0.04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0.05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社会停车场用地</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0.15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0.16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0.21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0.23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2.99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3.29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9.64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10.61 </w:t>
            </w:r>
          </w:p>
        </w:tc>
      </w:tr>
      <w:tr>
        <w:tblPrEx>
          <w:tblCellMar>
            <w:top w:w="0" w:type="dxa"/>
            <w:left w:w="0" w:type="dxa"/>
            <w:bottom w:w="0" w:type="dxa"/>
            <w:right w:w="0" w:type="dxa"/>
          </w:tblCellMar>
        </w:tblPrEx>
        <w:trPr>
          <w:trHeight w:val="265" w:hRule="atLeast"/>
        </w:trPr>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公用设施用地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供水用地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0.06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0.07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0.06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0.07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排水用地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0.15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0.16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0.24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0.26 </w:t>
            </w:r>
          </w:p>
        </w:tc>
      </w:tr>
      <w:tr>
        <w:tblPrEx>
          <w:tblCellMar>
            <w:top w:w="0" w:type="dxa"/>
            <w:left w:w="0" w:type="dxa"/>
            <w:bottom w:w="0" w:type="dxa"/>
            <w:right w:w="0" w:type="dxa"/>
          </w:tblCellMar>
        </w:tblPrEx>
        <w:trPr>
          <w:trHeight w:val="265" w:hRule="atLeast"/>
        </w:trPr>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其他公用设施用地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0.07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0.07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0.28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0.31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0.30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0.33 </w:t>
            </w:r>
          </w:p>
        </w:tc>
      </w:tr>
      <w:tr>
        <w:tblPrEx>
          <w:tblCellMar>
            <w:top w:w="0" w:type="dxa"/>
            <w:left w:w="0" w:type="dxa"/>
            <w:bottom w:w="0" w:type="dxa"/>
            <w:right w:w="0" w:type="dxa"/>
          </w:tblCellMar>
        </w:tblPrEx>
        <w:trPr>
          <w:trHeight w:val="265" w:hRule="atLeast"/>
        </w:trPr>
        <w:tc>
          <w:tcPr>
            <w:tcW w:w="684" w:type="pct"/>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绿地与开敞空间用地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公园绿地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0.12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0.13 </w:t>
            </w:r>
          </w:p>
        </w:tc>
      </w:tr>
      <w:tr>
        <w:tblPrEx>
          <w:tblCellMar>
            <w:top w:w="0" w:type="dxa"/>
            <w:left w:w="0" w:type="dxa"/>
            <w:bottom w:w="0" w:type="dxa"/>
            <w:right w:w="0" w:type="dxa"/>
          </w:tblCellMar>
        </w:tblPrEx>
        <w:trPr>
          <w:trHeight w:val="265" w:hRule="atLeast"/>
        </w:trPr>
        <w:tc>
          <w:tcPr>
            <w:tcW w:w="684" w:type="pct"/>
            <w:vMerge w:val="continue"/>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广场用地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0.06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0.07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0.18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0.20 </w:t>
            </w:r>
          </w:p>
        </w:tc>
      </w:tr>
      <w:tr>
        <w:tblPrEx>
          <w:tblCellMar>
            <w:top w:w="0" w:type="dxa"/>
            <w:left w:w="0" w:type="dxa"/>
            <w:bottom w:w="0" w:type="dxa"/>
            <w:right w:w="0" w:type="dxa"/>
          </w:tblCellMar>
        </w:tblPrEx>
        <w:trPr>
          <w:trHeight w:val="265" w:hRule="atLeast"/>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特殊用地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其他特殊用地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0.04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0.04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0.04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0.04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r>
      <w:tr>
        <w:tblPrEx>
          <w:tblCellMar>
            <w:top w:w="0" w:type="dxa"/>
            <w:left w:w="0" w:type="dxa"/>
            <w:bottom w:w="0" w:type="dxa"/>
            <w:right w:w="0" w:type="dxa"/>
          </w:tblCellMar>
        </w:tblPrEx>
        <w:trPr>
          <w:trHeight w:val="274" w:hRule="atLeast"/>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留白用地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0.24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0.27 </w:t>
            </w:r>
          </w:p>
        </w:tc>
      </w:tr>
      <w:tr>
        <w:tblPrEx>
          <w:tblCellMar>
            <w:top w:w="0" w:type="dxa"/>
            <w:left w:w="0" w:type="dxa"/>
            <w:bottom w:w="0" w:type="dxa"/>
            <w:right w:w="0" w:type="dxa"/>
          </w:tblCellMar>
        </w:tblPrEx>
        <w:trPr>
          <w:trHeight w:val="274" w:hRule="atLeast"/>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陆地水域</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7.49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8.24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7.23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7.96 </w:t>
            </w:r>
          </w:p>
        </w:tc>
      </w:tr>
      <w:tr>
        <w:tblPrEx>
          <w:tblCellMar>
            <w:top w:w="0" w:type="dxa"/>
            <w:left w:w="0" w:type="dxa"/>
            <w:bottom w:w="0" w:type="dxa"/>
            <w:right w:w="0" w:type="dxa"/>
          </w:tblCellMar>
        </w:tblPrEx>
        <w:trPr>
          <w:trHeight w:val="274" w:hRule="atLeast"/>
        </w:trPr>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其他土地</w:t>
            </w:r>
          </w:p>
        </w:tc>
        <w:tc>
          <w:tcPr>
            <w:tcW w:w="10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空闲地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0.54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0.59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0.00 </w:t>
            </w:r>
          </w:p>
        </w:tc>
      </w:tr>
      <w:tr>
        <w:tblPrEx>
          <w:tblCellMar>
            <w:top w:w="0" w:type="dxa"/>
            <w:left w:w="0" w:type="dxa"/>
            <w:bottom w:w="0" w:type="dxa"/>
            <w:right w:w="0" w:type="dxa"/>
          </w:tblCellMar>
        </w:tblPrEx>
        <w:trPr>
          <w:trHeight w:val="274" w:hRule="atLeast"/>
        </w:trPr>
        <w:tc>
          <w:tcPr>
            <w:tcW w:w="243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总计</w:t>
            </w:r>
          </w:p>
        </w:tc>
        <w:tc>
          <w:tcPr>
            <w:tcW w:w="6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90.85 </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100.00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90.85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100.00 </w:t>
            </w:r>
          </w:p>
        </w:tc>
      </w:tr>
    </w:tbl>
    <w:p>
      <w:pPr>
        <w:spacing w:before="312" w:beforeLines="100" w:line="360" w:lineRule="auto"/>
        <w:jc w:val="left"/>
        <w:outlineLvl w:val="0"/>
        <w:rPr>
          <w:rFonts w:ascii="黑体" w:hAnsi="黑体" w:eastAsia="黑体"/>
          <w:sz w:val="24"/>
          <w:szCs w:val="24"/>
        </w:rPr>
      </w:pPr>
      <w:bookmarkStart w:id="581" w:name="_Toc141369749"/>
      <w:r>
        <w:rPr>
          <w:rFonts w:hint="eastAsia" w:ascii="黑体" w:hAnsi="黑体" w:eastAsia="黑体"/>
          <w:sz w:val="24"/>
          <w:szCs w:val="24"/>
        </w:rPr>
        <w:t>附表1</w:t>
      </w:r>
      <w:r>
        <w:rPr>
          <w:rFonts w:ascii="黑体" w:hAnsi="黑体" w:eastAsia="黑体"/>
          <w:sz w:val="24"/>
          <w:szCs w:val="24"/>
        </w:rPr>
        <w:t xml:space="preserve">4  </w:t>
      </w:r>
      <w:r>
        <w:rPr>
          <w:rFonts w:hint="eastAsia" w:ascii="黑体" w:hAnsi="黑体" w:eastAsia="黑体"/>
          <w:sz w:val="24"/>
          <w:szCs w:val="24"/>
        </w:rPr>
        <w:t>隆盛镇镇区地块指标控制一览表</w:t>
      </w:r>
      <w:bookmarkEnd w:id="581"/>
    </w:p>
    <w:tbl>
      <w:tblPr>
        <w:tblStyle w:val="41"/>
        <w:tblW w:w="8307" w:type="dxa"/>
        <w:tblInd w:w="0" w:type="dxa"/>
        <w:tblLayout w:type="autofit"/>
        <w:tblCellMar>
          <w:top w:w="0" w:type="dxa"/>
          <w:left w:w="0" w:type="dxa"/>
          <w:bottom w:w="0" w:type="dxa"/>
          <w:right w:w="0" w:type="dxa"/>
        </w:tblCellMar>
      </w:tblPr>
      <w:tblGrid>
        <w:gridCol w:w="407"/>
        <w:gridCol w:w="1042"/>
        <w:gridCol w:w="854"/>
        <w:gridCol w:w="905"/>
        <w:gridCol w:w="851"/>
        <w:gridCol w:w="849"/>
        <w:gridCol w:w="849"/>
        <w:gridCol w:w="851"/>
        <w:gridCol w:w="851"/>
        <w:gridCol w:w="848"/>
      </w:tblGrid>
      <w:tr>
        <w:tblPrEx>
          <w:tblCellMar>
            <w:top w:w="0" w:type="dxa"/>
            <w:left w:w="0" w:type="dxa"/>
            <w:bottom w:w="0" w:type="dxa"/>
            <w:right w:w="0" w:type="dxa"/>
          </w:tblCellMar>
        </w:tblPrEx>
        <w:trPr>
          <w:trHeight w:val="439" w:hRule="atLeast"/>
          <w:tblHeader/>
        </w:trPr>
        <w:tc>
          <w:tcPr>
            <w:tcW w:w="4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bookmarkStart w:id="582" w:name="_Toc141369750"/>
            <w:r>
              <w:rPr>
                <w:rFonts w:hint="eastAsia" w:ascii="宋体" w:hAnsi="宋体" w:eastAsia="宋体" w:cs="宋体"/>
                <w:kern w:val="0"/>
                <w:sz w:val="18"/>
                <w:szCs w:val="18"/>
              </w:rPr>
              <w:t>序号</w:t>
            </w:r>
          </w:p>
        </w:tc>
        <w:tc>
          <w:tcPr>
            <w:tcW w:w="10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地块编号</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用地性质</w:t>
            </w:r>
          </w:p>
        </w:tc>
        <w:tc>
          <w:tcPr>
            <w:tcW w:w="90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用地面积(㎡)</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容积率</w:t>
            </w:r>
          </w:p>
        </w:tc>
        <w:tc>
          <w:tcPr>
            <w:tcW w:w="8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建筑密度(%)</w:t>
            </w:r>
          </w:p>
        </w:tc>
        <w:tc>
          <w:tcPr>
            <w:tcW w:w="8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绿地率(%)</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建筑限高(m）</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配套设施</w:t>
            </w:r>
          </w:p>
        </w:tc>
        <w:tc>
          <w:tcPr>
            <w:tcW w:w="8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LS-01-01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22968.7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LS-01-02</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1063.57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LS-01-03</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5706.84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LS-01-04</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120803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3696.98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社会停车场</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LS-01-05</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9119.39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LS-01-06</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80403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6034.37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≤35</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中学</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扩建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LS-01-07</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4118.44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LS-01-08</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80403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11582.8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中学</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LS-01-09</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5666.35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LS-01-10</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4478.88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LS-01-11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1614.54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LS-01-12</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21258.89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LS-01-13</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379.79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LS-01-14</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6184.59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LS-01-15</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LS-02-01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5174.36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17</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LS-02-02</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10546.42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LS-02-03</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9051.24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19</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LS-02-04</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22859.24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LS-02-05</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1031.34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21</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LS-02-06</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513.33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LS-02-07</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411.03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LS-02-08</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324.59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LS-02-09</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704</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1297.39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25</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LS-03-01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90101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13305.3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商业街</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26</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LS-03-02</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90101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10267.86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商业街</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27</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LS-03-03</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90101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4261.96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商业街</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28</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LS-03-04</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6657.66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439"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29</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LS-03-05</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8361.57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镇政府、便民服务中心</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LS-03-06</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6922.67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31</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LS-03-07</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90101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3870.17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农贸市场</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32</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LS-03-08</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485.35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33</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LS-03-09</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5487.13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439"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34</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LS-03-10</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1403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3134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健身活动广场</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改建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35</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LS-03-11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19551.86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扩建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LS-03-12</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90101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1665.24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37</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LS-03-13</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365.31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38</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LS-03-14</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80701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1536.08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老年学校</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改建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39</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LS-03-15</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1010.25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LS-03-16</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90105</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1055.49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加油加气站</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41</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LS-03-17</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682.72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42</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LS-03-18</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120803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2896.66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社会停车场</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43</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LS-03-19</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14314.65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44</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LS-03-20</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11594.33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45</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LS-03-21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18990.13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46</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LS-03-22</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1307</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291.6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邮政支局</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47</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LS-03-23</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1491.57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供水站</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48</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LS-03-24</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1313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198.51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清水池</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49</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LS-04-01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3608.64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50</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LS-04-02</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90105</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1384.76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加油加气站</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51</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LS-04-03</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704</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1454.36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52</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LS-04-04</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225.4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53</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LS-04-05</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25533.44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54</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LS-04-06</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1310</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1669.52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消防站</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439"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LS-04-07</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80701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2076.5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养老服务综合体</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改建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56</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LS-04-08</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27880.42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57</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LS-04-09</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12191.72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58</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LS-04-10</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487.35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59</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LS-04-11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16231.77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60</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LS-04-12</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390.42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61</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LS-04-13</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1101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936.07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62</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LS-04-14</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1359.69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439"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63</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LS-04-15</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1403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838.06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健身活动广场</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改建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64</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LS-04-16</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80302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677.19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文化活动站</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658"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65</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LS-04-17</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1685.5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隆盛税务分局、人民法庭</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66</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LS-05-01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1827.58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439"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67</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LS-05-02</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1403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708.1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健身活动广场</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68</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LS-05-03</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2702.25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69</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LS-05-04</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80403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16786.27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小学</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LS-05-05</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3933.27</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扩建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71</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LS-05-06</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9669.46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LS-05-07</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9446.81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73</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LS-05-08</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11127.04</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74</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LS-05-09</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80602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16689.38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医院</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LS-05-10</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2081.55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批发市场</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76</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LS-05-11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3155.59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77</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LS-05-12</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6736.32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扩建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78</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LS-05-13</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4507.89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派出所</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79</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LS-05-14</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15586.33</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439"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LS-05-15</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1403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1983.59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健身活动广场</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81</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LS-05-16</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904</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2966.05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82</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LS-05-17</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80404</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11977.1</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幼儿园</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保留</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83</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LS-05-18</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120803</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1372.26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社会停车场</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84</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LS-05-19</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90104</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11168.6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旅馆</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439"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85</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LS-05-20</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90102</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12729.06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1.0～1.6</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农副产品交易中心</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r>
        <w:tblPrEx>
          <w:tblCellMar>
            <w:top w:w="0" w:type="dxa"/>
            <w:left w:w="0" w:type="dxa"/>
            <w:bottom w:w="0" w:type="dxa"/>
            <w:right w:w="0" w:type="dxa"/>
          </w:tblCellMar>
        </w:tblPrEx>
        <w:trPr>
          <w:trHeight w:val="262" w:hRule="atLeast"/>
        </w:trPr>
        <w:tc>
          <w:tcPr>
            <w:tcW w:w="4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86</w:t>
            </w:r>
          </w:p>
        </w:tc>
        <w:tc>
          <w:tcPr>
            <w:tcW w:w="10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LS-05-21</w:t>
            </w:r>
          </w:p>
        </w:tc>
        <w:tc>
          <w:tcPr>
            <w:tcW w:w="85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120801</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12527.55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客运站</w:t>
            </w:r>
          </w:p>
        </w:tc>
        <w:tc>
          <w:tcPr>
            <w:tcW w:w="84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新建</w:t>
            </w:r>
          </w:p>
        </w:tc>
      </w:tr>
    </w:tbl>
    <w:p>
      <w:pPr>
        <w:spacing w:before="312" w:beforeLines="100" w:line="360" w:lineRule="auto"/>
        <w:jc w:val="left"/>
        <w:outlineLvl w:val="0"/>
        <w:rPr>
          <w:rFonts w:ascii="黑体" w:hAnsi="黑体" w:eastAsia="黑体"/>
          <w:sz w:val="24"/>
          <w:szCs w:val="24"/>
        </w:rPr>
      </w:pPr>
      <w:r>
        <w:rPr>
          <w:rFonts w:hint="eastAsia" w:ascii="黑体" w:hAnsi="黑体" w:eastAsia="黑体"/>
          <w:sz w:val="24"/>
          <w:szCs w:val="24"/>
        </w:rPr>
        <w:t>附表1</w:t>
      </w:r>
      <w:r>
        <w:rPr>
          <w:rFonts w:ascii="黑体" w:hAnsi="黑体" w:eastAsia="黑体"/>
          <w:sz w:val="24"/>
          <w:szCs w:val="24"/>
        </w:rPr>
        <w:t xml:space="preserve">5  </w:t>
      </w:r>
      <w:r>
        <w:rPr>
          <w:rFonts w:hint="eastAsia" w:ascii="黑体" w:hAnsi="黑体" w:eastAsia="黑体"/>
          <w:sz w:val="24"/>
          <w:szCs w:val="24"/>
        </w:rPr>
        <w:t>回马镇镇区地块指标控制一览表</w:t>
      </w:r>
      <w:bookmarkEnd w:id="582"/>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2"/>
        <w:gridCol w:w="972"/>
        <w:gridCol w:w="781"/>
        <w:gridCol w:w="1025"/>
        <w:gridCol w:w="713"/>
        <w:gridCol w:w="952"/>
        <w:gridCol w:w="806"/>
        <w:gridCol w:w="970"/>
        <w:gridCol w:w="1017"/>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blHeader/>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序号</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地块编码</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用地代码</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用地面积（㎡）</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容积 率</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建筑密度（</w:t>
            </w:r>
            <w:r>
              <w:rPr>
                <w:rStyle w:val="217"/>
                <w:rFonts w:hint="eastAsia" w:ascii="宋体" w:hAnsi="宋体" w:eastAsia="宋体" w:cs="宋体"/>
                <w:b w:val="0"/>
                <w:bCs w:val="0"/>
                <w:color w:val="auto"/>
                <w:sz w:val="18"/>
                <w:szCs w:val="18"/>
                <w:lang w:bidi="ar"/>
              </w:rPr>
              <w:t>%</w:t>
            </w:r>
            <w:r>
              <w:rPr>
                <w:rStyle w:val="218"/>
                <w:rFonts w:hint="default"/>
                <w:b w:val="0"/>
                <w:bCs w:val="0"/>
                <w:color w:val="auto"/>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绿地率（</w:t>
            </w:r>
            <w:r>
              <w:rPr>
                <w:rStyle w:val="217"/>
                <w:rFonts w:hint="eastAsia" w:ascii="宋体" w:hAnsi="宋体" w:eastAsia="宋体" w:cs="宋体"/>
                <w:b w:val="0"/>
                <w:bCs w:val="0"/>
                <w:color w:val="auto"/>
                <w:sz w:val="18"/>
                <w:szCs w:val="18"/>
                <w:lang w:bidi="ar"/>
              </w:rPr>
              <w:t>%</w:t>
            </w:r>
            <w:r>
              <w:rPr>
                <w:rStyle w:val="218"/>
                <w:rFonts w:hint="default"/>
                <w:b w:val="0"/>
                <w:bCs w:val="0"/>
                <w:color w:val="auto"/>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建筑限高（</w:t>
            </w:r>
            <w:r>
              <w:rPr>
                <w:rStyle w:val="217"/>
                <w:rFonts w:hint="eastAsia" w:ascii="宋体" w:hAnsi="宋体" w:eastAsia="宋体" w:cs="宋体"/>
                <w:b w:val="0"/>
                <w:bCs w:val="0"/>
                <w:color w:val="auto"/>
                <w:sz w:val="18"/>
                <w:szCs w:val="18"/>
                <w:lang w:bidi="ar"/>
              </w:rPr>
              <w:t>m</w:t>
            </w:r>
            <w:r>
              <w:rPr>
                <w:rStyle w:val="218"/>
                <w:rFonts w:hint="default"/>
                <w:b w:val="0"/>
                <w:bCs w:val="0"/>
                <w:color w:val="auto"/>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配套设施</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HM-01-01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54866.54</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HM-01-02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25144.05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HM-01-03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88192.47</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HM-01-04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49938.34</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HM-01-05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6731.82</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HM-01-06</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34898.63</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HM-01-07</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43963.33</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HM-01-08</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12119.68</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HM-01-09</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9379.00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HM-01-10</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0904</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3587.90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11</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HM-01-11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0904</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1759.52</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HM-01-12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23623.13</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HM-01-13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23560.26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HM-01-14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15904.70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HM-01-15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1312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56481.82</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防洪堤</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HM-02-01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19497.70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HM-02-02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7716.92</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HM-02-03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8200.00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污水处理站</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19</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HM-02-04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28510.70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HM-02-05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27861.20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21</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HM-02-06</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120801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7500.54</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客运站</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22</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HM-02-07</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120803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4274.66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停车场</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23</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HM-02-08</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19743.02</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HM-02-09</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0801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1611.64</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HM-02-10</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1051.20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26</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HM-02-11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1487.84</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27</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HM-02-12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2344.43</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28</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HM-02-13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120803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2233.10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停车场</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29</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HM-02-14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11289.32</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HM-02-15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4788.41</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31</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HM-02-16</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080302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6048.61</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≥35</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文化活动站</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32</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HM-02-17</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1403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8948.50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健身广场</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33</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HM-02-18</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3516.87</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34</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HM-02-19</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1310</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1160.15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消防站</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35</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HM-02-20</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24065.90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36</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HM-02-21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6965.25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污水处理站</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37</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HM-02-22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1967.65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38</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HM-02-23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9661.01</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39</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HM-02-24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5220.55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HM-02-25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16278.35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41</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HM-02-26</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34441.25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42</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HM-02-27</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12116.15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43</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HM-02-28</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1313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638.62</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44</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HM-02-29</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11504.57</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45</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HM-02-30</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3666.34</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46</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HM-02-31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5254.19</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47</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HM-02-32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1009.45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48</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HM-02-33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8080.43</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49</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HM-02-34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20285.30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50</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HM-02-35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080601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34290.49</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≤2.0</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≥35</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≤24</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综合医院</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51</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HM-02-36</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6650.97</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52</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HM-02-37</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080403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14454.01</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≤35</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小学</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53</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HM-02-38</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680.19</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便民服务中心</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54</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HM-02-39</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080404</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4801.86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幼儿园</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55</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HM-02-40</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25615.07</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56</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HM-02-41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1403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2933.14</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健身广场</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57</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HM-02-42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120803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2918.61</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停车场</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58</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HM-02-43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22134.24</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59</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HM-02-44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17524.70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60</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HM-02-45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080403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18709.16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中学</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61</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HM-02-46</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47105.06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62</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HM-02-47</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1504</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2725.32</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63</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HM-02-48</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3307.35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64</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HM-03-01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090105</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3744.96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加油加气站</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65</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HM-03-02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805.96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66</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HM-03-03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13026.66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67</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HM-03-04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19593.29</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68</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HM-03-05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12126.05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69</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HM-03-06</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2348.23</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70</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HM-03-07</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7535.11</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71</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HM-03-08</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3722.79</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72</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HM-03-09</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7516.63</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批发市场</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73</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HM-03-10</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5465.95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74</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HM-03-11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1679.93</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75</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HM-03-12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5001.20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76</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HM-03-13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27562.27</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77</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HM-03-14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1304</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2677.27</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燃气站</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78</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HM-03-15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3609.96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79</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HM-03-16</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090105</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4741.45</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国家电网</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80</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HM-03-17</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1709.94</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农贸市场</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81</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HM-03-18</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120803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2809.76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停车场</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82</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HM-03-19</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17548.59</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83</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HM-03-20</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4897.88</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84</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HM-03-21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6453.49</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85</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HM-03-22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1403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3216.82</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健身广场</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86</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HM-03-23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1684.53</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87</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HM-03-24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1303</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10128.11</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变电站</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88</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HM-03-25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30068.46</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89</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HM-03-26</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4946.51</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90</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HM-03-27</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4014.00</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91</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HM-03-28</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21548.44</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92</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HM-03-29</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12909.57</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93</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HM-03-30</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1522.77</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94</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HM-03-31</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090101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1533.78</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95</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HM-03-32</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1303.41</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96</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HM-03-33</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0801</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14495.07</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镇政府、人民法院、交警大队</w:t>
            </w: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97</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HM-03-34</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69524.69</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≤1.5</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≥30</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≤18</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26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98</w:t>
            </w:r>
          </w:p>
        </w:tc>
        <w:tc>
          <w:tcPr>
            <w:tcW w:w="585"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HM-03-35</w:t>
            </w:r>
          </w:p>
        </w:tc>
        <w:tc>
          <w:tcPr>
            <w:tcW w:w="469"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070102</w:t>
            </w:r>
          </w:p>
        </w:tc>
        <w:tc>
          <w:tcPr>
            <w:tcW w:w="61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1040.93</w:t>
            </w:r>
          </w:p>
        </w:tc>
        <w:tc>
          <w:tcPr>
            <w:tcW w:w="428"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72"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484"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583"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w:t>
            </w:r>
          </w:p>
        </w:tc>
        <w:tc>
          <w:tcPr>
            <w:tcW w:w="611" w:type="pct"/>
            <w:shd w:val="clear" w:color="auto" w:fill="auto"/>
            <w:noWrap/>
            <w:vAlign w:val="center"/>
          </w:tcPr>
          <w:p>
            <w:pPr>
              <w:jc w:val="center"/>
              <w:rPr>
                <w:rFonts w:ascii="宋体" w:hAnsi="宋体" w:eastAsia="宋体" w:cs="宋体"/>
                <w:sz w:val="18"/>
                <w:szCs w:val="18"/>
              </w:rPr>
            </w:pPr>
          </w:p>
        </w:tc>
        <w:tc>
          <w:tcPr>
            <w:tcW w:w="386" w:type="pct"/>
            <w:shd w:val="clear" w:color="auto" w:fill="auto"/>
            <w:noWrap/>
            <w:vAlign w:val="center"/>
          </w:tcPr>
          <w:p>
            <w:pPr>
              <w:widowControl/>
              <w:jc w:val="center"/>
              <w:textAlignment w:val="center"/>
              <w:rPr>
                <w:rFonts w:ascii="宋体" w:hAnsi="宋体" w:eastAsia="宋体" w:cs="宋体"/>
                <w:sz w:val="18"/>
                <w:szCs w:val="18"/>
              </w:rPr>
            </w:pPr>
            <w:r>
              <w:rPr>
                <w:rFonts w:hint="eastAsia" w:ascii="宋体" w:hAnsi="宋体" w:eastAsia="宋体" w:cs="宋体"/>
                <w:kern w:val="0"/>
                <w:sz w:val="18"/>
                <w:szCs w:val="18"/>
                <w:lang w:bidi="ar"/>
              </w:rPr>
              <w:t>现状</w:t>
            </w:r>
          </w:p>
        </w:tc>
      </w:tr>
    </w:tbl>
    <w:p>
      <w:pPr>
        <w:spacing w:before="312" w:beforeLines="100" w:line="360" w:lineRule="auto"/>
        <w:jc w:val="left"/>
        <w:outlineLvl w:val="0"/>
        <w:rPr>
          <w:rFonts w:ascii="黑体" w:hAnsi="黑体" w:eastAsia="黑体"/>
          <w:sz w:val="24"/>
          <w:szCs w:val="24"/>
        </w:rPr>
      </w:pPr>
      <w:bookmarkStart w:id="583" w:name="_Toc141369751"/>
      <w:r>
        <w:rPr>
          <w:rFonts w:hint="eastAsia" w:ascii="黑体" w:hAnsi="黑体" w:eastAsia="黑体"/>
          <w:sz w:val="24"/>
          <w:szCs w:val="24"/>
        </w:rPr>
        <w:t>附表1</w:t>
      </w:r>
      <w:r>
        <w:rPr>
          <w:rFonts w:ascii="黑体" w:hAnsi="黑体" w:eastAsia="黑体"/>
          <w:sz w:val="24"/>
          <w:szCs w:val="24"/>
        </w:rPr>
        <w:t xml:space="preserve">6  </w:t>
      </w:r>
      <w:r>
        <w:rPr>
          <w:rFonts w:hint="eastAsia" w:ascii="黑体" w:hAnsi="黑体" w:eastAsia="黑体"/>
          <w:sz w:val="24"/>
          <w:szCs w:val="24"/>
        </w:rPr>
        <w:t>金元镇镇区地块指标控制一览表</w:t>
      </w:r>
      <w:bookmarkEnd w:id="583"/>
    </w:p>
    <w:tbl>
      <w:tblPr>
        <w:tblStyle w:val="41"/>
        <w:tblW w:w="5000" w:type="pct"/>
        <w:tblInd w:w="0" w:type="dxa"/>
        <w:tblLayout w:type="fixed"/>
        <w:tblCellMar>
          <w:top w:w="0" w:type="dxa"/>
          <w:left w:w="0" w:type="dxa"/>
          <w:bottom w:w="0" w:type="dxa"/>
          <w:right w:w="0" w:type="dxa"/>
        </w:tblCellMar>
      </w:tblPr>
      <w:tblGrid>
        <w:gridCol w:w="448"/>
        <w:gridCol w:w="924"/>
        <w:gridCol w:w="827"/>
        <w:gridCol w:w="1025"/>
        <w:gridCol w:w="689"/>
        <w:gridCol w:w="914"/>
        <w:gridCol w:w="864"/>
        <w:gridCol w:w="982"/>
        <w:gridCol w:w="1003"/>
        <w:gridCol w:w="645"/>
      </w:tblGrid>
      <w:tr>
        <w:tblPrEx>
          <w:tblCellMar>
            <w:top w:w="0" w:type="dxa"/>
            <w:left w:w="0" w:type="dxa"/>
            <w:bottom w:w="0" w:type="dxa"/>
            <w:right w:w="0" w:type="dxa"/>
          </w:tblCellMar>
        </w:tblPrEx>
        <w:trPr>
          <w:trHeight w:val="285" w:hRule="atLeast"/>
          <w:tblHeader/>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序号</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地块编号</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用地性质</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用地面积（㎡）</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容积率</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建筑密度（%）</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绿地率（%）</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建筑限高（m)</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配套设施</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备注</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JY-01-01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2519.39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JY-01-02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080403</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20478.03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小学</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JY-01-03</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7899.21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JY-01-04</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090101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7392.69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农贸市场</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JY-01-05</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4661.80</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JY-01-06</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0801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662.98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派出所</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JY-01-07</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1403</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649.07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健身活动广场</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JY-01-08</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080404</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4332.49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幼儿园</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JY-01-09</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6773.76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JY-01-10</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889.67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污水处理厂</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JY-01-11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1486.32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污水处理厂</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JY-02-01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363.64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JY-02-02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5407.22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JY-02-03</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3273.42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JY-02-04</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1279.06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16</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JY-02-05</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1208</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441.3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客运站</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17</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JY-02-06</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6557.31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JY-02-07</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11552.36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19</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JY-02-08</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0801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311.07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JY-02-09</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3189.19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21</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JY-02-10</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0901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1055.91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22</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JY-02-11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922.13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23</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JY-02-12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447.09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24</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JY-02-13</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7932.21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25</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JY-02-14</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261.32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26</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JY-02-15</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0901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297.45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27</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JY-03-01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1027.8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28</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JY-03-02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8124.16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29</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JY-03-03</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4344.83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JY-03-04</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261.54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31</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JY-03-05</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3242.76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32</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JY-03-06</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080403</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7977.69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中学</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33</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JY-03-07</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8355.93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34</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JY-03-08</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1687.77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35</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JY-03-09</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1115.91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36</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JY-03-10</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090105</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3714.57</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加油站</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37</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JY-03-11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2334.76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38</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JY-03-12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7998.33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34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39</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JY-03-13</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11974.89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JY-04-01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11635.06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41</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JY-04-02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1502.84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42</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JY-04-03</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716.41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43</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JY-04-04</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435.63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44</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JY-04-05</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120803</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934.08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社会停车场</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45</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JY-04-06</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5222.49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46</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JY-04-07</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080601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3090.36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卫生院</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47</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JY-04-08</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9759.24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48</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JY-04-09</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090101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639.04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49</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JY-04-10</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10625.13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JY-04-11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0901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672.42</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51</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JY-04-12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809.49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52</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JY-04-13</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5469.95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53</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JY-04-14</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2995.11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54</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JY-04-15</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0801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7032.38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镇政府、便民服务中心</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55</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JY-04-16</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080302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3686.29</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文化活动站、全民健身中心</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56</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JY-04-17</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457.31</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57</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JY-04-18</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4053.75</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58</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JY-04-19</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120803</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1195.43</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社会停车场</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59</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JY-04-20</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070102</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1745.86</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r>
      <w:tr>
        <w:tblPrEx>
          <w:tblCellMar>
            <w:top w:w="0" w:type="dxa"/>
            <w:left w:w="0" w:type="dxa"/>
            <w:bottom w:w="0" w:type="dxa"/>
            <w:right w:w="0" w:type="dxa"/>
          </w:tblCellMar>
        </w:tblPrEx>
        <w:trPr>
          <w:trHeight w:val="2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JY-04-21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1301</w:t>
            </w: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621.64</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备用水厂</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保留</w:t>
            </w:r>
          </w:p>
        </w:tc>
      </w:tr>
    </w:tbl>
    <w:p>
      <w:pPr>
        <w:spacing w:before="312" w:beforeLines="100" w:line="360" w:lineRule="auto"/>
        <w:jc w:val="left"/>
        <w:outlineLvl w:val="0"/>
        <w:rPr>
          <w:rFonts w:ascii="黑体" w:hAnsi="黑体" w:eastAsia="黑体"/>
          <w:sz w:val="24"/>
          <w:szCs w:val="24"/>
        </w:rPr>
      </w:pPr>
      <w:bookmarkStart w:id="584" w:name="_Toc141369752"/>
      <w:r>
        <w:rPr>
          <w:rFonts w:hint="eastAsia" w:ascii="黑体" w:hAnsi="黑体" w:eastAsia="黑体"/>
          <w:sz w:val="24"/>
          <w:szCs w:val="24"/>
        </w:rPr>
        <w:t>附表</w:t>
      </w:r>
      <w:r>
        <w:rPr>
          <w:rFonts w:ascii="黑体" w:hAnsi="黑体" w:eastAsia="黑体"/>
          <w:sz w:val="24"/>
          <w:szCs w:val="24"/>
        </w:rPr>
        <w:t xml:space="preserve">17  </w:t>
      </w:r>
      <w:r>
        <w:rPr>
          <w:rFonts w:hint="eastAsia" w:ascii="黑体" w:hAnsi="黑体" w:eastAsia="黑体"/>
          <w:sz w:val="24"/>
          <w:szCs w:val="24"/>
        </w:rPr>
        <w:t>片区</w:t>
      </w:r>
      <w:r>
        <w:rPr>
          <w:rFonts w:ascii="黑体" w:hAnsi="黑体" w:eastAsia="黑体"/>
          <w:sz w:val="24"/>
          <w:szCs w:val="24"/>
        </w:rPr>
        <w:t>近期建设项目表</w:t>
      </w:r>
      <w:bookmarkEnd w:id="580"/>
      <w:bookmarkEnd w:id="584"/>
    </w:p>
    <w:tbl>
      <w:tblPr>
        <w:tblStyle w:val="41"/>
        <w:tblW w:w="0" w:type="auto"/>
        <w:tblInd w:w="0" w:type="dxa"/>
        <w:tblLayout w:type="fixed"/>
        <w:tblCellMar>
          <w:top w:w="0" w:type="dxa"/>
          <w:left w:w="0" w:type="dxa"/>
          <w:bottom w:w="0" w:type="dxa"/>
          <w:right w:w="0" w:type="dxa"/>
        </w:tblCellMar>
      </w:tblPr>
      <w:tblGrid>
        <w:gridCol w:w="516"/>
        <w:gridCol w:w="334"/>
        <w:gridCol w:w="2882"/>
        <w:gridCol w:w="515"/>
        <w:gridCol w:w="852"/>
        <w:gridCol w:w="1134"/>
        <w:gridCol w:w="1772"/>
        <w:gridCol w:w="297"/>
      </w:tblGrid>
      <w:tr>
        <w:tblPrEx>
          <w:tblCellMar>
            <w:top w:w="0" w:type="dxa"/>
            <w:left w:w="0" w:type="dxa"/>
            <w:bottom w:w="0" w:type="dxa"/>
            <w:right w:w="0" w:type="dxa"/>
          </w:tblCellMar>
        </w:tblPrEx>
        <w:trPr>
          <w:trHeight w:val="20" w:hRule="atLeast"/>
          <w:tblHeader/>
        </w:trPr>
        <w:tc>
          <w:tcPr>
            <w:tcW w:w="5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bookmarkStart w:id="585" w:name="_Toc141369753"/>
            <w:r>
              <w:rPr>
                <w:rFonts w:hint="eastAsia" w:ascii="宋体" w:hAnsi="宋体" w:eastAsia="宋体" w:cs="宋体"/>
                <w:kern w:val="0"/>
                <w:sz w:val="18"/>
                <w:szCs w:val="18"/>
                <w:lang w:bidi="ar"/>
              </w:rPr>
              <w:t>类型</w:t>
            </w:r>
          </w:p>
        </w:tc>
        <w:tc>
          <w:tcPr>
            <w:tcW w:w="33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序号</w:t>
            </w:r>
          </w:p>
        </w:tc>
        <w:tc>
          <w:tcPr>
            <w:tcW w:w="2882"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项目名称</w:t>
            </w:r>
          </w:p>
        </w:tc>
        <w:tc>
          <w:tcPr>
            <w:tcW w:w="515"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建设性质</w:t>
            </w:r>
          </w:p>
        </w:tc>
        <w:tc>
          <w:tcPr>
            <w:tcW w:w="852"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建设年限</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用地规模(㎡)</w:t>
            </w:r>
          </w:p>
        </w:tc>
        <w:tc>
          <w:tcPr>
            <w:tcW w:w="1772"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所在行政区</w:t>
            </w:r>
          </w:p>
        </w:tc>
        <w:tc>
          <w:tcPr>
            <w:tcW w:w="297"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备注</w:t>
            </w:r>
          </w:p>
        </w:tc>
      </w:tr>
      <w:tr>
        <w:tblPrEx>
          <w:tblCellMar>
            <w:top w:w="0" w:type="dxa"/>
            <w:left w:w="0" w:type="dxa"/>
            <w:bottom w:w="0" w:type="dxa"/>
            <w:right w:w="0" w:type="dxa"/>
          </w:tblCellMar>
        </w:tblPrEx>
        <w:trPr>
          <w:trHeight w:val="20" w:hRule="atLeast"/>
        </w:trPr>
        <w:tc>
          <w:tcPr>
            <w:tcW w:w="5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产业发展</w:t>
            </w: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大英齐全牧业有限公司</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55016.06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松林沟村</w:t>
            </w:r>
          </w:p>
        </w:tc>
        <w:tc>
          <w:tcPr>
            <w:tcW w:w="297"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大英县回马镇大英回马温氏种猪场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106271.05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回马物流仓储用地</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12681.01</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回马郭家坝冻库</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894.91</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四川省川中酒业有限公司(时珍酒庄)</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15853.67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双龙桥村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隆盛镇五莲村康养项目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19023.08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五莲村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土门香街</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2022-2023</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3556.47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金元镇高金村冻库</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2477.02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高金村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金山村加工厂1</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2709.97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金山村加工厂2</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510.82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金山村青畜饲料加工</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414.63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金山村有机肥加工</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2244.24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山河村青畜饲料加工</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2363.27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山河村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文武村深加工包装产业服务</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3979.77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夏家沟村加工厂</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1804.36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文武村物流仓储用地</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714.12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文武村养猪厂</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1087.08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夏家沟村养鸡厂</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2525.06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团结村实地蔬菜加工厂1</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922.48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明月酒场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345.14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郪口村蔬菜加工1</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13845.26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郪口村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郪口村蔬菜加工2</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5283.18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郪口村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花园村旅游服务</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6600.19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花园村蔬菜加工</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469.02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花园村冻库</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1250.43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花园村物流仓储用地1</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1363.14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花园村饲料加工厂</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1614.54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花园村物流仓储用地2</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36955.85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长江坝村休闲设施</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466.89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团结村实地蔬菜加工厂2</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653.54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隆盛冷链物流中心</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17293.14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百盛村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大英县中药材加工区（仓储）建设项目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131083.97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百盛村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xml:space="preserve"> 药香康养院子1</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3004.64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回马镇屠宰场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30977.35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望龙村青花椒烘干房</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786.28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望龙村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智慧蔬菜农科公园</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13052.54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团结村滨江营地</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2460.47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团结村坝上美村</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6599.82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百草园</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2022-2023</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16105.3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刺梨星空屋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931.46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年产8552万匹岩页标砖智能化升级改造项目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61266.32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狮子坡村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蓬莱018-H2</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16899.43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金河湾村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蓬莱气区产能建设项目一期</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186728.13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山河村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蓬探104</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16899.4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金河湾村、峡码口村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青坪村养蚕房</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3232.68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青坪村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药香康养院子2</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1752.68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村镇乡村振兴项目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2146.6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狮子坡村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土门垭村便民服务点</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1142.26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土门垭村养心岛</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2022-2023</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2160.24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渝遂绵优质蔬菜生产带项目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24699.57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文武村、长江坝村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土门垭村民宿1</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2986.94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良繁基地建设</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11728.69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土门垭民宿2</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1702.19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四川融智窑</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36396.05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回马工业园</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奇异果农场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2951.13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土门垭民宿3</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2573.85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郪江上村民宿</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3976.2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郪江上村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定情岛屿</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1495.41</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农副产品交易中心</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12729.45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百盛村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年处理12万吨水基钻井岩屑项目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6667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镇村建设</w:t>
            </w: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回马公益性公墓打捆项目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35716.24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永新村</w:t>
            </w:r>
          </w:p>
        </w:tc>
        <w:tc>
          <w:tcPr>
            <w:tcW w:w="297"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金元公益性公墓打捆项目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33204.33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高金村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回马镇“阆仙诗苑”乡村振兴建设项目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20147.83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盛马加油站A站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3753.46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双龙桥村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隆盛公益性公墓打捆项目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5493.27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子仪村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迎香广场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2022-2023</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2232.86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刺梨文化园</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287.05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金元镇盘龙村公厕</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115.17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盘龙村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隆盛镇道祖村公厕</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77.02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道祖村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隆盛镇黄土岭村公厕</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45.52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黄土岭村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永新村农村社区服务设施</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2980.74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永新村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金山村老年康养中心</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22037.85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金山村农村社区服务设施</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6044.09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文武村农业园展厅</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3380.55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团结村村委会与日间照料中心</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2193.35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长江坝村幼儿园扩建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660.52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贾公祠展厅</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1369.08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长江坝村康养服务中心</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2309.47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郪口村新村委会+产业服务站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6187.18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郪口村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花园村康养中心</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1996.56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花园村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金山村老年活动中心</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872.25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席书博物馆</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4188.67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回马镇书院1</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1434.14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回马镇书院2</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2857.12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金元镇洞坡村村级活动阵地建设</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397.3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洞坡村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大英县回马镇加气站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4096.43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回马镇干部周转房</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3902.01</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园艺村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文武村活动广场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781.89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回马镇增减挂钩项目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19079.28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金山村、山河村、郪口村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线性基础设施拆迁安置聚居点</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176192.28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百盛村、永新村、金容寨村、金山桥村等</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土门垭文化广场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758.26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土门垭幼儿园</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2214.21</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拔罐文化园</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150.29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针灸文化园</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397.38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隆盛中学扩建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6562.36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长滩市村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隆盛加气站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1252.82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百盛村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土门垭日渐照料中心</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164.74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推拿文化园</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165.2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AI智慧驿站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253.14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陶艺文化园</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180.75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土门垭生态停车场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5308.96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土门垭园区综合服务中心</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7633.41</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土门垭山顶露营观景台</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4220.56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盛马加油站B站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8620.09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双龙桥村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大英县第二人民医院住院综合楼建设项目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33305.96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园艺村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土门垭村停车场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665.29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土门垭山顶厕所</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84.89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2022年第5批次村镇建设农用地专用</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586.22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2022年第1批次村镇建设农用地专用</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615.3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高金村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基础设施</w:t>
            </w: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双龙桥旅游环线</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23094.18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双龙桥村</w:t>
            </w:r>
          </w:p>
        </w:tc>
        <w:tc>
          <w:tcPr>
            <w:tcW w:w="297"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安岳气田集输气管道工程（杨家湾-大英-同安）</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318.92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明溪村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35kv隆盛变电站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2088.75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郪江上村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蓬溪县红江渡改桥</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17628.61</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四川省达成铁路扩能改造工程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247173.93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望龙村、双、子仪村河口村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G247射洪市沱牌过境段改建工程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5751.15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G42南充至成都段高速公路扩容</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698662.51</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隆盛镇</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S212蓬溪县天福镇至红江镇段改建工程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3122.83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S307射洪市明星镇（明星镇出口至大英界）段改建工程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2188.75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平安寨村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川藏铁路供电配套金上-甘孜特500千伏线路工程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1872.72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宝祥村、金容寨村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大英县郪江隆盛镇防洪治理工程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2023</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24610.4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郪江上村、百盛村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大英县郪江隆盛镇民主段防洪治理工程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2023</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49324.13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玉龙村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大英县乡镇供水设施及管网升级改造工程项目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12780.05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长江坝村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德阳中江至遂宁高速公路</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220712.93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园艺村、夏家沟村、永新村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都江堰大英灌区续建配套与现代化改造江平支渠工程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45881.4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子仪村、五一村、明月村、金山桥村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文武村农村道路加宽</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4999.14</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文武村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隆回路</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128709.38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飞钟村、黄土岭村、光明村、郪口村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土门垭码头</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618.83</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遂宁市涪江右岸引水工程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1039.9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金容寨村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隆盛镇生活污水处理厂提质增效项目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3566.97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百盛村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黄土岭村污水处理站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462.32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黄土岭村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郪口村污水处理站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809.42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郪口村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五家桥村污水处理站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521.25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五龙桥村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涪江村污水泵站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300.25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郪口村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回马镇污水处理厂扩建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1493.09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园艺村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枳壳卫生间</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284.1</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金元镇生活污水处理厂提质增效项目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889.7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金宝村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涪江右岸大英县回马工业园区防洪工程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2023-2025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182823.01</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园艺村、文武村、夏家沟村、永新村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涪江右岸大英县回马镇郭家坝防洪工程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2023</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194603.59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团结村、花园村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139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S307大英县隆盛（射洪界）至河边（乐至界）段改建工程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745138.22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隆盛镇、金元镇</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大英县郪江隆盛镇长滩寺防洪治理工程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2023-2025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111121.77</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长滩市村、郪江上村、百盛村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G350大英县隆盛至玉峰（中江界）段改建工程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661548.08</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隆盛镇</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土门垭旅游厕所</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113.05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土门垭村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隆盛客运站兼游客接待中心</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12527.95</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百盛村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快捷通道停车场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2022-2025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20175.6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百盛村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145</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金元垃圾转运站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1091.96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明月村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146</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隆盛垃圾转运站</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扩建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1025.09</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平安寨村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147</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快捷通道停车场</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20175.6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百盛村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148</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城镇污水支管网完善提升工程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改建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三镇镇区</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149</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农村生活污水治理</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各行政村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整治修复</w:t>
            </w: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150</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大英县黄腊溪重点山洪沟治理项目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9086.62</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郪江上村</w:t>
            </w:r>
          </w:p>
        </w:tc>
        <w:tc>
          <w:tcPr>
            <w:tcW w:w="297" w:type="dxa"/>
            <w:tcBorders>
              <w:top w:val="nil"/>
              <w:left w:val="nil"/>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151</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大英县回马镇夏家沟村边坡治理项目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52196.26</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夏家沟村</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152</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大英县回马镇黄家弯四通机砖厂环境恢复治理</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7600</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回马镇</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153</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隆盛镇小蒜溪、黄腊溪流域水环境综合治理项目</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隆盛镇</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r>
        <w:tblPrEx>
          <w:tblCellMar>
            <w:top w:w="0" w:type="dxa"/>
            <w:left w:w="0" w:type="dxa"/>
            <w:bottom w:w="0" w:type="dxa"/>
            <w:right w:w="0" w:type="dxa"/>
          </w:tblCellMar>
        </w:tblPrEx>
        <w:trPr>
          <w:trHeight w:val="20" w:hRule="atLeast"/>
        </w:trPr>
        <w:tc>
          <w:tcPr>
            <w:tcW w:w="516" w:type="dxa"/>
            <w:vMerge w:val="continue"/>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eastAsia="宋体" w:cs="宋体"/>
                <w:kern w:val="0"/>
                <w:sz w:val="18"/>
                <w:szCs w:val="18"/>
                <w:lang w:bidi="ar"/>
              </w:rPr>
            </w:pPr>
          </w:p>
        </w:tc>
        <w:tc>
          <w:tcPr>
            <w:tcW w:w="3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154</w:t>
            </w:r>
          </w:p>
        </w:tc>
        <w:tc>
          <w:tcPr>
            <w:tcW w:w="288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水土流失综合治理工程</w:t>
            </w:r>
          </w:p>
        </w:tc>
        <w:tc>
          <w:tcPr>
            <w:tcW w:w="515"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新建</w:t>
            </w:r>
          </w:p>
        </w:tc>
        <w:tc>
          <w:tcPr>
            <w:tcW w:w="85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2021-2025</w:t>
            </w:r>
          </w:p>
        </w:tc>
        <w:tc>
          <w:tcPr>
            <w:tcW w:w="1134"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c>
          <w:tcPr>
            <w:tcW w:w="1772"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回马镇</w:t>
            </w:r>
          </w:p>
        </w:tc>
        <w:tc>
          <w:tcPr>
            <w:tcW w:w="297"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kern w:val="0"/>
                <w:sz w:val="18"/>
                <w:szCs w:val="18"/>
                <w:lang w:bidi="ar"/>
              </w:rPr>
            </w:pPr>
            <w:r>
              <w:rPr>
                <w:rFonts w:hint="eastAsia" w:ascii="宋体" w:hAnsi="宋体" w:eastAsia="宋体" w:cs="宋体"/>
                <w:kern w:val="0"/>
                <w:sz w:val="18"/>
                <w:szCs w:val="18"/>
                <w:lang w:bidi="ar"/>
              </w:rPr>
              <w:t>　</w:t>
            </w:r>
          </w:p>
        </w:tc>
      </w:tr>
    </w:tbl>
    <w:p>
      <w:pPr>
        <w:spacing w:before="312" w:beforeLines="100" w:line="360" w:lineRule="auto"/>
        <w:jc w:val="left"/>
        <w:outlineLvl w:val="0"/>
        <w:rPr>
          <w:rFonts w:ascii="黑体" w:hAnsi="黑体" w:eastAsia="黑体"/>
          <w:sz w:val="24"/>
          <w:szCs w:val="24"/>
        </w:rPr>
      </w:pPr>
      <w:r>
        <w:rPr>
          <w:rFonts w:hint="eastAsia" w:ascii="黑体" w:hAnsi="黑体" w:eastAsia="黑体"/>
          <w:sz w:val="24"/>
          <w:szCs w:val="24"/>
        </w:rPr>
        <w:t>附表1</w:t>
      </w:r>
      <w:r>
        <w:rPr>
          <w:rFonts w:ascii="黑体" w:hAnsi="黑体" w:eastAsia="黑体"/>
          <w:sz w:val="24"/>
          <w:szCs w:val="24"/>
        </w:rPr>
        <w:t xml:space="preserve">8  </w:t>
      </w:r>
      <w:r>
        <w:rPr>
          <w:rFonts w:hint="eastAsia" w:ascii="黑体" w:hAnsi="黑体" w:eastAsia="黑体"/>
          <w:sz w:val="24"/>
          <w:szCs w:val="24"/>
        </w:rPr>
        <w:t>镇区</w:t>
      </w:r>
      <w:r>
        <w:rPr>
          <w:rFonts w:ascii="黑体" w:hAnsi="黑体" w:eastAsia="黑体"/>
          <w:sz w:val="24"/>
          <w:szCs w:val="24"/>
        </w:rPr>
        <w:t>近期建设项目表</w:t>
      </w:r>
      <w:bookmarkEnd w:id="585"/>
    </w:p>
    <w:tbl>
      <w:tblPr>
        <w:tblStyle w:val="41"/>
        <w:tblW w:w="8328" w:type="dxa"/>
        <w:tblInd w:w="0" w:type="dxa"/>
        <w:tblLayout w:type="autofit"/>
        <w:tblCellMar>
          <w:top w:w="0" w:type="dxa"/>
          <w:left w:w="0" w:type="dxa"/>
          <w:bottom w:w="0" w:type="dxa"/>
          <w:right w:w="0" w:type="dxa"/>
        </w:tblCellMar>
      </w:tblPr>
      <w:tblGrid>
        <w:gridCol w:w="607"/>
        <w:gridCol w:w="806"/>
        <w:gridCol w:w="3391"/>
        <w:gridCol w:w="1005"/>
        <w:gridCol w:w="906"/>
        <w:gridCol w:w="1204"/>
        <w:gridCol w:w="409"/>
      </w:tblGrid>
      <w:tr>
        <w:tblPrEx>
          <w:tblCellMar>
            <w:top w:w="0" w:type="dxa"/>
            <w:left w:w="0" w:type="dxa"/>
            <w:bottom w:w="0" w:type="dxa"/>
            <w:right w:w="0" w:type="dxa"/>
          </w:tblCellMar>
        </w:tblPrEx>
        <w:trPr>
          <w:trHeight w:val="286"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镇区</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类型</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项目名称</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建设性质</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建设年限</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用地规模(㎡)</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备注</w:t>
            </w:r>
          </w:p>
        </w:tc>
      </w:tr>
      <w:tr>
        <w:tblPrEx>
          <w:tblCellMar>
            <w:top w:w="0" w:type="dxa"/>
            <w:left w:w="0" w:type="dxa"/>
            <w:bottom w:w="0" w:type="dxa"/>
            <w:right w:w="0" w:type="dxa"/>
          </w:tblCellMar>
        </w:tblPrEx>
        <w:trPr>
          <w:trHeight w:val="286" w:hRule="atLeast"/>
        </w:trPr>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隆盛镇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居住保障</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线性基础设施拆迁安置聚居点</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18535</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公共服务</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隆盛中学扩建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扩建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17773</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老年学校</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改建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1537</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养老服务综合体</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改建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2097</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便民服务中心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改建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3316</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健身活动广场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新建、改建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5806</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商贸服务</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农副产品交易中心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12729</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基础设施</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社会停车场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5068</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隆盛客运站兼游客接待中心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12528</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大英县郪江隆盛镇长滩寺防洪治理工程</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2023-2025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92989</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大英县郪江隆盛镇防洪治理工程</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24610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产业发展</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大英县中药材加工区（仓储）建设项目</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131084</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隆盛冷链物流中心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17293</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环境改善</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大英县黄腊溪重点山洪沟治理项目</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9087</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回马镇</w:t>
            </w:r>
          </w:p>
        </w:tc>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居住保障</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回马镇干部周转房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3902</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线性基础设施拆迁安置聚居点</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13264</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公共服务</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回马小学扩建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扩建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14500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大英县第二人民医院住院综合楼</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34300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文化活动站</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6000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健身活动广场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15100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基础设施</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污水处理站</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新建、扩建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15100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社会停车场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新建、改建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12200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回马客运站</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7500</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回马消防站</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3214</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涪江右岸大英县回马工业园区防洪工程</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55025</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国道G247改线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产业发展</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四川融智窑</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2022-2024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36396</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金元镇</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居住保障</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线性基础设施拆迁安置聚居点</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30778</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公共服务</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便民服务中心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改建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3453</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文化活动站</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改建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3686</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健身活动广场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649</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绿地公园</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1183</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基础设施</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社会停车场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新建、改建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2173</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加油加气站</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3715</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污水处理站</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扩建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2376</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0" w:type="dxa"/>
            <w:bottom w:w="0" w:type="dxa"/>
            <w:right w:w="0" w:type="dxa"/>
          </w:tblCellMar>
        </w:tblPrEx>
        <w:trPr>
          <w:trHeight w:val="28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省道307改线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新建</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2021-2025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bl>
    <w:p>
      <w:pPr>
        <w:spacing w:line="360" w:lineRule="auto"/>
        <w:rPr>
          <w:rFonts w:ascii="黑体" w:hAnsi="黑体" w:eastAsia="黑体"/>
          <w:sz w:val="10"/>
          <w:szCs w:val="10"/>
        </w:rPr>
      </w:pPr>
    </w:p>
    <w:sectPr>
      <w:footerReference r:id="rId9" w:type="default"/>
      <w:type w:val="continuous"/>
      <w:pgSz w:w="11906" w:h="16838"/>
      <w:pgMar w:top="1440" w:right="1797" w:bottom="1440" w:left="1797" w:header="851" w:footer="992" w:gutter="0"/>
      <w:pgNumType w:start="1"/>
      <w:cols w:space="1264"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幼圆">
    <w:altName w:val="宋体"/>
    <w:panose1 w:val="02010509060101010101"/>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楷体_GB2312">
    <w:panose1 w:val="02010609030101010101"/>
    <w:charset w:val="86"/>
    <w:family w:val="swiss"/>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561364"/>
    </w:sdtPr>
    <w:sdtContent>
      <w:p>
        <w:pPr>
          <w:pStyle w:val="26"/>
          <w:ind w:firstLine="210"/>
          <w:jc w:val="center"/>
        </w:pPr>
        <w:r>
          <w:fldChar w:fldCharType="begin"/>
        </w:r>
        <w:r>
          <w:instrText xml:space="preserve">PAGE   \* MERGEFORMAT</w:instrText>
        </w:r>
        <w:r>
          <w:fldChar w:fldCharType="separate"/>
        </w:r>
        <w:r>
          <w:t>II</w:t>
        </w:r>
        <w:r>
          <w:fldChar w:fldCharType="end"/>
        </w:r>
      </w:p>
    </w:sdtContent>
  </w:sdt>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592438"/>
    </w:sdtPr>
    <w:sdtContent>
      <w:p>
        <w:pPr>
          <w:pStyle w:val="26"/>
          <w:ind w:firstLine="210"/>
          <w:jc w:val="center"/>
        </w:pPr>
        <w:r>
          <w:fldChar w:fldCharType="begin"/>
        </w:r>
        <w:r>
          <w:instrText xml:space="preserve">PAGE   \* MERGEFORMAT</w:instrText>
        </w:r>
        <w:r>
          <w:fldChar w:fldCharType="separate"/>
        </w:r>
        <w:r>
          <w:t>II</w:t>
        </w:r>
        <w:r>
          <w:fldChar w:fldCharType="end"/>
        </w:r>
      </w:p>
    </w:sdtContent>
  </w:sdt>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6021620"/>
    </w:sdtPr>
    <w:sdtContent>
      <w:p>
        <w:pPr>
          <w:pStyle w:val="26"/>
          <w:ind w:firstLine="210"/>
          <w:jc w:val="center"/>
        </w:pPr>
        <w:r>
          <w:fldChar w:fldCharType="begin"/>
        </w:r>
        <w:r>
          <w:instrText xml:space="preserve">PAGE   \* MERGEFORMAT</w:instrText>
        </w:r>
        <w:r>
          <w:fldChar w:fldCharType="separate"/>
        </w:r>
        <w:r>
          <w:rPr>
            <w:lang w:val="zh-CN"/>
          </w:rPr>
          <w:t>I</w:t>
        </w:r>
        <w:r>
          <w:fldChar w:fldCharType="end"/>
        </w:r>
      </w:p>
    </w:sdtContent>
  </w:sdt>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5597530"/>
    </w:sdtPr>
    <w:sdtContent>
      <w:p>
        <w:pPr>
          <w:pStyle w:val="26"/>
          <w:jc w:val="center"/>
        </w:pPr>
        <w:r>
          <w:fldChar w:fldCharType="begin"/>
        </w:r>
        <w:r>
          <w:instrText xml:space="preserve">PAGE   \* MERGEFORMAT</w:instrText>
        </w:r>
        <w:r>
          <w:fldChar w:fldCharType="separate"/>
        </w:r>
        <w:r>
          <w:rPr>
            <w:lang w:val="zh-CN"/>
          </w:rPr>
          <w:t>10</w:t>
        </w:r>
        <w:r>
          <w:fldChar w:fldCharType="end"/>
        </w:r>
      </w:p>
    </w:sdtContent>
  </w:sdt>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5250" w:hanging="5250" w:hangingChars="2500"/>
      <w:jc w:val="left"/>
      <w:rPr>
        <w:sz w:val="21"/>
        <w:szCs w:val="21"/>
      </w:rPr>
    </w:pPr>
    <w:r>
      <w:rPr>
        <w:rFonts w:hint="eastAsia"/>
        <w:sz w:val="21"/>
        <w:szCs w:val="21"/>
      </w:rPr>
      <w:t>大英县遂大融城发展片区国土空间总体规划（2</w:t>
    </w:r>
    <w:r>
      <w:rPr>
        <w:sz w:val="21"/>
        <w:szCs w:val="21"/>
      </w:rPr>
      <w:t>021-2035</w:t>
    </w:r>
    <w:r>
      <w:rPr>
        <w:rFonts w:hint="eastAsia"/>
        <w:sz w:val="21"/>
        <w:szCs w:val="21"/>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5250" w:hanging="5250" w:hangingChars="2500"/>
      <w:jc w:val="left"/>
      <w:rPr>
        <w:sz w:val="21"/>
        <w:szCs w:val="21"/>
      </w:rPr>
    </w:pPr>
  </w:p>
  <w:p>
    <w:pPr>
      <w:pStyle w:val="27"/>
      <w:ind w:left="5250" w:hanging="5250" w:hangingChars="2500"/>
      <w:jc w:val="left"/>
      <w:rPr>
        <w:sz w:val="21"/>
        <w:szCs w:val="21"/>
      </w:rPr>
    </w:pPr>
    <w:bookmarkStart w:id="586" w:name="_Hlk28180808"/>
    <w:r>
      <w:rPr>
        <w:rFonts w:hint="eastAsia"/>
        <w:sz w:val="21"/>
        <w:szCs w:val="21"/>
      </w:rPr>
      <w:t>大英县遂大融城发展片区</w:t>
    </w:r>
    <w:bookmarkEnd w:id="586"/>
    <w:r>
      <w:rPr>
        <w:rFonts w:hint="eastAsia"/>
        <w:sz w:val="21"/>
        <w:szCs w:val="21"/>
      </w:rPr>
      <w:t>国土空间总体规划（2</w:t>
    </w:r>
    <w:r>
      <w:rPr>
        <w:sz w:val="21"/>
        <w:szCs w:val="21"/>
      </w:rPr>
      <w:t>021-2035</w:t>
    </w:r>
    <w:r>
      <w:rPr>
        <w:rFonts w:hint="eastAsia"/>
        <w:sz w:val="21"/>
        <w:szCs w:val="21"/>
      </w:rPr>
      <w:t>年）</w:t>
    </w:r>
    <w:r>
      <w:rPr>
        <w:sz w:val="21"/>
        <w:szCs w:val="21"/>
      </w:rPr>
      <w:t xml:space="preserve">                    </w:t>
    </w:r>
    <w:r>
      <w:rPr>
        <w:rFonts w:hint="eastAsia"/>
        <w:sz w:val="21"/>
        <w:szCs w:val="21"/>
      </w:rPr>
      <w:t>文 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left="5250" w:hanging="5250" w:hangingChars="2500"/>
      <w:jc w:val="left"/>
    </w:pPr>
    <w:r>
      <w:rPr>
        <w:rFonts w:hint="eastAsia"/>
        <w:sz w:val="21"/>
        <w:szCs w:val="21"/>
      </w:rPr>
      <w:t>大英县遂大融城发展片区国土空间总体规划（2</w:t>
    </w:r>
    <w:r>
      <w:rPr>
        <w:sz w:val="21"/>
        <w:szCs w:val="21"/>
      </w:rPr>
      <w:t>021</w:t>
    </w:r>
    <w:r>
      <w:rPr>
        <w:rFonts w:hint="eastAsia"/>
        <w:sz w:val="21"/>
        <w:szCs w:val="21"/>
      </w:rPr>
      <w:t>—</w:t>
    </w:r>
    <w:r>
      <w:rPr>
        <w:sz w:val="21"/>
        <w:szCs w:val="21"/>
      </w:rPr>
      <w:t>2035</w:t>
    </w:r>
    <w:r>
      <w:rPr>
        <w:rFonts w:hint="eastAsia"/>
        <w:sz w:val="21"/>
        <w:szCs w:val="21"/>
      </w:rPr>
      <w:t>年）</w:t>
    </w:r>
    <w:r>
      <w:rPr>
        <w:sz w:val="21"/>
        <w:szCs w:val="21"/>
      </w:rPr>
      <w:t xml:space="preserve">                       </w:t>
    </w:r>
    <w:r>
      <w:rPr>
        <w:rFonts w:hint="eastAsia"/>
        <w:sz w:val="21"/>
        <w:szCs w:val="21"/>
      </w:rPr>
      <w:t>文 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44A9F"/>
    <w:multiLevelType w:val="multilevel"/>
    <w:tmpl w:val="00F44A9F"/>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1AC4E91"/>
    <w:multiLevelType w:val="multilevel"/>
    <w:tmpl w:val="01AC4E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23E3BFE"/>
    <w:multiLevelType w:val="multilevel"/>
    <w:tmpl w:val="023E3BFE"/>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4624D77"/>
    <w:multiLevelType w:val="multilevel"/>
    <w:tmpl w:val="04624D77"/>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4D350AD"/>
    <w:multiLevelType w:val="multilevel"/>
    <w:tmpl w:val="04D350AD"/>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4F13837"/>
    <w:multiLevelType w:val="multilevel"/>
    <w:tmpl w:val="04F13837"/>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50D7A10"/>
    <w:multiLevelType w:val="multilevel"/>
    <w:tmpl w:val="050D7A10"/>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5610C91"/>
    <w:multiLevelType w:val="multilevel"/>
    <w:tmpl w:val="05610C91"/>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5CF0AFA"/>
    <w:multiLevelType w:val="multilevel"/>
    <w:tmpl w:val="05CF0AFA"/>
    <w:lvl w:ilvl="0" w:tentative="0">
      <w:start w:val="1"/>
      <w:numFmt w:val="decimal"/>
      <w:lvlText w:val="%1."/>
      <w:lvlJc w:val="left"/>
      <w:pPr>
        <w:ind w:left="420" w:hanging="420"/>
      </w:pPr>
      <w:rPr>
        <w:rFonts w:hint="eastAsia"/>
        <w:b/>
        <w:color w:val="auto"/>
        <w:sz w:val="22"/>
        <w:szCs w:val="22"/>
      </w:rPr>
    </w:lvl>
    <w:lvl w:ilvl="1" w:tentative="0">
      <w:start w:val="1"/>
      <w:numFmt w:val="lowerLetter"/>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05E42289"/>
    <w:multiLevelType w:val="multilevel"/>
    <w:tmpl w:val="05E42289"/>
    <w:lvl w:ilvl="0" w:tentative="0">
      <w:start w:val="1"/>
      <w:numFmt w:val="decimal"/>
      <w:pStyle w:val="163"/>
      <w:isLgl/>
      <w:lvlText w:val="%1 "/>
      <w:lvlJc w:val="left"/>
      <w:pPr>
        <w:tabs>
          <w:tab w:val="left" w:pos="567"/>
        </w:tabs>
        <w:ind w:left="11" w:hanging="11"/>
      </w:pPr>
      <w:rPr>
        <w:rFonts w:hint="eastAsia" w:ascii="幼圆" w:eastAsia="幼圆"/>
        <w:sz w:val="44"/>
        <w:szCs w:val="44"/>
      </w:rPr>
    </w:lvl>
    <w:lvl w:ilvl="1" w:tentative="0">
      <w:start w:val="1"/>
      <w:numFmt w:val="decimal"/>
      <w:pStyle w:val="164"/>
      <w:suff w:val="space"/>
      <w:lvlText w:val="%1. %2 "/>
      <w:lvlJc w:val="left"/>
      <w:pPr>
        <w:ind w:left="1129" w:hanging="1129"/>
      </w:pPr>
      <w:rPr>
        <w:rFonts w:hint="eastAsia" w:ascii="幼圆" w:eastAsia="幼圆"/>
        <w:sz w:val="32"/>
        <w:szCs w:val="32"/>
      </w:rPr>
    </w:lvl>
    <w:lvl w:ilvl="2" w:tentative="0">
      <w:start w:val="1"/>
      <w:numFmt w:val="decimal"/>
      <w:suff w:val="space"/>
      <w:lvlText w:val="%1.%2.%3 "/>
      <w:lvlJc w:val="left"/>
      <w:pPr>
        <w:ind w:left="1542" w:hanging="1542"/>
      </w:pPr>
      <w:rPr>
        <w:rFonts w:hint="eastAsia" w:ascii="宋体" w:hAnsi="宋体" w:eastAsia="宋体"/>
        <w:b/>
      </w:rPr>
    </w:lvl>
    <w:lvl w:ilvl="3" w:tentative="0">
      <w:start w:val="1"/>
      <w:numFmt w:val="decimal"/>
      <w:suff w:val="space"/>
      <w:lvlText w:val="%1.%2.%3.%4 "/>
      <w:lvlJc w:val="left"/>
      <w:pPr>
        <w:ind w:left="0" w:firstLine="0"/>
      </w:pPr>
      <w:rPr>
        <w:rFonts w:hint="eastAsia" w:ascii="黑体" w:eastAsia="黑体"/>
        <w:b w:val="0"/>
        <w:sz w:val="24"/>
        <w:szCs w:val="24"/>
      </w:rPr>
    </w:lvl>
    <w:lvl w:ilvl="4" w:tentative="0">
      <w:start w:val="1"/>
      <w:numFmt w:val="decimal"/>
      <w:lvlText w:val="%1.%2.%3.%4.%5"/>
      <w:lvlJc w:val="left"/>
      <w:pPr>
        <w:tabs>
          <w:tab w:val="left" w:pos="3441"/>
        </w:tabs>
        <w:ind w:left="2131" w:hanging="850"/>
      </w:pPr>
      <w:rPr>
        <w:rFonts w:hint="eastAsia"/>
      </w:rPr>
    </w:lvl>
    <w:lvl w:ilvl="5" w:tentative="0">
      <w:start w:val="1"/>
      <w:numFmt w:val="decimal"/>
      <w:lvlText w:val="%1.%2.%3.%4.%5.%6"/>
      <w:lvlJc w:val="left"/>
      <w:pPr>
        <w:tabs>
          <w:tab w:val="left" w:pos="4226"/>
        </w:tabs>
        <w:ind w:left="2840" w:hanging="1134"/>
      </w:pPr>
      <w:rPr>
        <w:rFonts w:hint="eastAsia"/>
      </w:rPr>
    </w:lvl>
    <w:lvl w:ilvl="6" w:tentative="0">
      <w:start w:val="1"/>
      <w:numFmt w:val="decimal"/>
      <w:lvlText w:val="%1.%2.%3.%4.%5.%6.%7"/>
      <w:lvlJc w:val="left"/>
      <w:pPr>
        <w:tabs>
          <w:tab w:val="left" w:pos="5011"/>
        </w:tabs>
        <w:ind w:left="3407" w:hanging="1276"/>
      </w:pPr>
      <w:rPr>
        <w:rFonts w:hint="eastAsia"/>
      </w:rPr>
    </w:lvl>
    <w:lvl w:ilvl="7" w:tentative="0">
      <w:start w:val="1"/>
      <w:numFmt w:val="decimal"/>
      <w:lvlText w:val="%1.%2.%3.%4.%5.%6.%7.%8"/>
      <w:lvlJc w:val="left"/>
      <w:pPr>
        <w:tabs>
          <w:tab w:val="left" w:pos="5796"/>
        </w:tabs>
        <w:ind w:left="3974" w:hanging="1418"/>
      </w:pPr>
      <w:rPr>
        <w:rFonts w:hint="eastAsia"/>
      </w:rPr>
    </w:lvl>
    <w:lvl w:ilvl="8" w:tentative="0">
      <w:start w:val="1"/>
      <w:numFmt w:val="decimal"/>
      <w:lvlText w:val="%1.%2.%3.%4.%5.%6.%7.%8.%9"/>
      <w:lvlJc w:val="left"/>
      <w:pPr>
        <w:tabs>
          <w:tab w:val="left" w:pos="6942"/>
        </w:tabs>
        <w:ind w:left="4682" w:hanging="1700"/>
      </w:pPr>
      <w:rPr>
        <w:rFonts w:hint="eastAsia"/>
      </w:rPr>
    </w:lvl>
  </w:abstractNum>
  <w:abstractNum w:abstractNumId="10">
    <w:nsid w:val="07D11103"/>
    <w:multiLevelType w:val="multilevel"/>
    <w:tmpl w:val="07D11103"/>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8554491"/>
    <w:multiLevelType w:val="multilevel"/>
    <w:tmpl w:val="0855449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F5A17EB"/>
    <w:multiLevelType w:val="multilevel"/>
    <w:tmpl w:val="0F5A17EB"/>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0F852197"/>
    <w:multiLevelType w:val="multilevel"/>
    <w:tmpl w:val="0F852197"/>
    <w:lvl w:ilvl="0" w:tentative="0">
      <w:start w:val="1"/>
      <w:numFmt w:val="chineseCountingThousand"/>
      <w:lvlText w:val="第%1章"/>
      <w:lvlJc w:val="left"/>
      <w:pPr>
        <w:ind w:left="420" w:hanging="420"/>
      </w:pPr>
      <w:rPr>
        <w:rFonts w:hint="eastAsia"/>
        <w:sz w:val="32"/>
        <w:szCs w:val="32"/>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3124D7A"/>
    <w:multiLevelType w:val="multilevel"/>
    <w:tmpl w:val="13124D7A"/>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3D74B7F"/>
    <w:multiLevelType w:val="multilevel"/>
    <w:tmpl w:val="13D74B7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3DF79F4"/>
    <w:multiLevelType w:val="multilevel"/>
    <w:tmpl w:val="13DF79F4"/>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16B25CFA"/>
    <w:multiLevelType w:val="multilevel"/>
    <w:tmpl w:val="16B25C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1827560F"/>
    <w:multiLevelType w:val="multilevel"/>
    <w:tmpl w:val="1827560F"/>
    <w:lvl w:ilvl="0" w:tentative="0">
      <w:start w:val="1"/>
      <w:numFmt w:val="chineseCountingThousand"/>
      <w:lvlText w:val="第%1节"/>
      <w:lvlJc w:val="left"/>
      <w:pPr>
        <w:tabs>
          <w:tab w:val="left" w:pos="840"/>
        </w:tabs>
        <w:ind w:left="840" w:hanging="420"/>
      </w:pPr>
      <w:rPr>
        <w:rFonts w:hint="eastAsia"/>
        <w:b/>
        <w:i w:val="0"/>
        <w:sz w:val="28"/>
        <w:szCs w:val="28"/>
      </w:rPr>
    </w:lvl>
    <w:lvl w:ilvl="1" w:tentative="0">
      <w:start w:val="1"/>
      <w:numFmt w:val="chineseCountingThousand"/>
      <w:lvlText w:val="第%2节"/>
      <w:lvlJc w:val="left"/>
      <w:pPr>
        <w:tabs>
          <w:tab w:val="left" w:pos="397"/>
        </w:tabs>
        <w:ind w:left="567" w:hanging="147"/>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ascii="宋体" w:hAnsi="宋体" w:eastAsia="宋体"/>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9">
    <w:nsid w:val="183B3D16"/>
    <w:multiLevelType w:val="multilevel"/>
    <w:tmpl w:val="183B3D16"/>
    <w:lvl w:ilvl="0" w:tentative="0">
      <w:start w:val="1"/>
      <w:numFmt w:val="decimal"/>
      <w:lvlText w:val="%1."/>
      <w:lvlJc w:val="left"/>
      <w:pPr>
        <w:ind w:left="840" w:hanging="420"/>
      </w:pPr>
      <w:rPr>
        <w:rFonts w:ascii="宋体" w:hAnsi="宋体" w:eastAsia="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19E81A41"/>
    <w:multiLevelType w:val="multilevel"/>
    <w:tmpl w:val="19E81A41"/>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A3F15D8"/>
    <w:multiLevelType w:val="multilevel"/>
    <w:tmpl w:val="1A3F15D8"/>
    <w:lvl w:ilvl="0" w:tentative="0">
      <w:start w:val="1"/>
      <w:numFmt w:val="decimal"/>
      <w:lvlText w:val="%1."/>
      <w:lvlJc w:val="left"/>
      <w:pPr>
        <w:ind w:left="900" w:hanging="420"/>
      </w:pPr>
      <w:rPr>
        <w:rFonts w:ascii="宋体" w:hAnsi="宋体" w:eastAsia="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1A57261B"/>
    <w:multiLevelType w:val="multilevel"/>
    <w:tmpl w:val="1A57261B"/>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AB41EA5"/>
    <w:multiLevelType w:val="multilevel"/>
    <w:tmpl w:val="1AB41EA5"/>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E4D20B5"/>
    <w:multiLevelType w:val="multilevel"/>
    <w:tmpl w:val="1E4D20B5"/>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11855F5"/>
    <w:multiLevelType w:val="multilevel"/>
    <w:tmpl w:val="211855F5"/>
    <w:lvl w:ilvl="0" w:tentative="0">
      <w:start w:val="1"/>
      <w:numFmt w:val="decimal"/>
      <w:lvlText w:val="%1."/>
      <w:lvlJc w:val="left"/>
      <w:pPr>
        <w:ind w:left="420" w:hanging="420"/>
      </w:pPr>
      <w:rPr>
        <w:rFonts w:hint="eastAsia" w:ascii="宋体" w:hAnsi="宋体" w:eastAsia="宋体"/>
        <w:b/>
        <w:color w:val="auto"/>
        <w:sz w:val="22"/>
        <w:szCs w:val="2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2231606D"/>
    <w:multiLevelType w:val="multilevel"/>
    <w:tmpl w:val="2231606D"/>
    <w:lvl w:ilvl="0" w:tentative="0">
      <w:start w:val="1"/>
      <w:numFmt w:val="decimal"/>
      <w:lvlText w:val="%1."/>
      <w:lvlJc w:val="left"/>
      <w:pPr>
        <w:ind w:left="84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3453B38"/>
    <w:multiLevelType w:val="multilevel"/>
    <w:tmpl w:val="23453B38"/>
    <w:lvl w:ilvl="0" w:tentative="0">
      <w:start w:val="1"/>
      <w:numFmt w:val="decimal"/>
      <w:lvlText w:val="%1."/>
      <w:lvlJc w:val="left"/>
      <w:pPr>
        <w:ind w:left="420" w:hanging="420"/>
      </w:pPr>
      <w:rPr>
        <w:rFonts w:hint="eastAsia" w:ascii="宋体" w:hAnsi="宋体" w:eastAsia="宋体"/>
        <w:b/>
        <w:color w:val="auto"/>
        <w:sz w:val="22"/>
        <w:szCs w:val="22"/>
      </w:rPr>
    </w:lvl>
    <w:lvl w:ilvl="1" w:tentative="0">
      <w:start w:val="1"/>
      <w:numFmt w:val="lowerLetter"/>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250E4F2E"/>
    <w:multiLevelType w:val="multilevel"/>
    <w:tmpl w:val="250E4F2E"/>
    <w:lvl w:ilvl="0" w:tentative="0">
      <w:start w:val="1"/>
      <w:numFmt w:val="chineseCountingThousand"/>
      <w:lvlText w:val="第%1节"/>
      <w:lvlJc w:val="left"/>
      <w:pPr>
        <w:tabs>
          <w:tab w:val="left" w:pos="840"/>
        </w:tabs>
        <w:ind w:left="840" w:hanging="420"/>
      </w:pPr>
      <w:rPr>
        <w:rFonts w:hint="eastAsia"/>
        <w:b/>
        <w:i w:val="0"/>
        <w:sz w:val="28"/>
        <w:szCs w:val="28"/>
      </w:rPr>
    </w:lvl>
    <w:lvl w:ilvl="1" w:tentative="0">
      <w:start w:val="1"/>
      <w:numFmt w:val="chineseCountingThousand"/>
      <w:lvlText w:val="第%2节"/>
      <w:lvlJc w:val="left"/>
      <w:pPr>
        <w:tabs>
          <w:tab w:val="left" w:pos="397"/>
        </w:tabs>
        <w:ind w:left="567" w:hanging="147"/>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ascii="宋体" w:hAnsi="宋体" w:eastAsia="宋体"/>
        <w:sz w:val="24"/>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9">
    <w:nsid w:val="27616023"/>
    <w:multiLevelType w:val="multilevel"/>
    <w:tmpl w:val="27616023"/>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28FD26DF"/>
    <w:multiLevelType w:val="multilevel"/>
    <w:tmpl w:val="28FD26DF"/>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2A54257A"/>
    <w:multiLevelType w:val="multilevel"/>
    <w:tmpl w:val="2A54257A"/>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BE51AB4"/>
    <w:multiLevelType w:val="multilevel"/>
    <w:tmpl w:val="2BE51AB4"/>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C1A190E"/>
    <w:multiLevelType w:val="multilevel"/>
    <w:tmpl w:val="2C1A190E"/>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303818D1"/>
    <w:multiLevelType w:val="multilevel"/>
    <w:tmpl w:val="303818D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33132867"/>
    <w:multiLevelType w:val="multilevel"/>
    <w:tmpl w:val="3313286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42F23C0"/>
    <w:multiLevelType w:val="multilevel"/>
    <w:tmpl w:val="342F23C0"/>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5746717"/>
    <w:multiLevelType w:val="multilevel"/>
    <w:tmpl w:val="35746717"/>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7EC1A9A"/>
    <w:multiLevelType w:val="multilevel"/>
    <w:tmpl w:val="37EC1A9A"/>
    <w:lvl w:ilvl="0" w:tentative="0">
      <w:start w:val="1"/>
      <w:numFmt w:val="decimal"/>
      <w:lvlText w:val="%1."/>
      <w:lvlJc w:val="left"/>
      <w:pPr>
        <w:ind w:left="420" w:hanging="420"/>
      </w:pPr>
      <w:rPr>
        <w:rFonts w:hint="eastAsia"/>
        <w:b/>
        <w:color w:val="auto"/>
        <w:sz w:val="22"/>
        <w:szCs w:val="22"/>
      </w:rPr>
    </w:lvl>
    <w:lvl w:ilvl="1" w:tentative="0">
      <w:start w:val="1"/>
      <w:numFmt w:val="lowerLetter"/>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9">
    <w:nsid w:val="3866547F"/>
    <w:multiLevelType w:val="multilevel"/>
    <w:tmpl w:val="3866547F"/>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38A71FA7"/>
    <w:multiLevelType w:val="multilevel"/>
    <w:tmpl w:val="38A71FA7"/>
    <w:lvl w:ilvl="0" w:tentative="0">
      <w:start w:val="1"/>
      <w:numFmt w:val="decimal"/>
      <w:lvlText w:val="%1."/>
      <w:lvlJc w:val="left"/>
      <w:pPr>
        <w:ind w:left="420" w:hanging="420"/>
      </w:pPr>
      <w:rPr>
        <w:rFonts w:hint="eastAsia" w:ascii="宋体" w:hAnsi="宋体" w:eastAsia="宋体"/>
        <w:b/>
        <w:color w:val="auto"/>
        <w:sz w:val="22"/>
        <w:szCs w:val="22"/>
      </w:rPr>
    </w:lvl>
    <w:lvl w:ilvl="1" w:tentative="0">
      <w:start w:val="1"/>
      <w:numFmt w:val="lowerLetter"/>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1">
    <w:nsid w:val="39785F36"/>
    <w:multiLevelType w:val="multilevel"/>
    <w:tmpl w:val="39785F36"/>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3A050E0F"/>
    <w:multiLevelType w:val="multilevel"/>
    <w:tmpl w:val="3A050E0F"/>
    <w:lvl w:ilvl="0" w:tentative="0">
      <w:start w:val="1"/>
      <w:numFmt w:val="decimal"/>
      <w:lvlText w:val="%1."/>
      <w:lvlJc w:val="left"/>
      <w:pPr>
        <w:ind w:left="420" w:hanging="420"/>
      </w:pPr>
      <w:rPr>
        <w:rFonts w:hint="eastAsia" w:ascii="宋体" w:hAnsi="宋体" w:eastAsia="宋体"/>
        <w:b/>
        <w:color w:val="auto"/>
        <w:sz w:val="22"/>
        <w:szCs w:val="2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A2E3FEF"/>
    <w:multiLevelType w:val="multilevel"/>
    <w:tmpl w:val="3A2E3FEF"/>
    <w:lvl w:ilvl="0" w:tentative="0">
      <w:start w:val="1"/>
      <w:numFmt w:val="chineseCountingThousand"/>
      <w:lvlText w:val="第%1节"/>
      <w:lvlJc w:val="left"/>
      <w:pPr>
        <w:tabs>
          <w:tab w:val="left" w:pos="840"/>
        </w:tabs>
        <w:ind w:left="840" w:hanging="420"/>
      </w:pPr>
      <w:rPr>
        <w:rFonts w:hint="eastAsia"/>
        <w:b/>
        <w:i w:val="0"/>
        <w:sz w:val="28"/>
        <w:szCs w:val="28"/>
      </w:rPr>
    </w:lvl>
    <w:lvl w:ilvl="1" w:tentative="0">
      <w:start w:val="1"/>
      <w:numFmt w:val="chineseCountingThousand"/>
      <w:lvlText w:val="第%2节"/>
      <w:lvlJc w:val="left"/>
      <w:pPr>
        <w:tabs>
          <w:tab w:val="left" w:pos="397"/>
        </w:tabs>
        <w:ind w:left="567" w:hanging="147"/>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4">
    <w:nsid w:val="3CD209FE"/>
    <w:multiLevelType w:val="multilevel"/>
    <w:tmpl w:val="3CD209FE"/>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3CFC4D13"/>
    <w:multiLevelType w:val="multilevel"/>
    <w:tmpl w:val="3CFC4D13"/>
    <w:lvl w:ilvl="0" w:tentative="0">
      <w:start w:val="1"/>
      <w:numFmt w:val="decimal"/>
      <w:lvlText w:val="%1."/>
      <w:lvlJc w:val="left"/>
      <w:pPr>
        <w:ind w:left="420" w:hanging="420"/>
      </w:pPr>
      <w:rPr>
        <w:rFonts w:hint="eastAsia" w:ascii="宋体" w:hAnsi="宋体" w:eastAsia="宋体"/>
        <w:b/>
        <w:color w:val="auto"/>
        <w:sz w:val="22"/>
        <w:szCs w:val="2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sz w:val="24"/>
        <w:szCs w:val="24"/>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6">
    <w:nsid w:val="40BE02A3"/>
    <w:multiLevelType w:val="multilevel"/>
    <w:tmpl w:val="40BE02A3"/>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410D649F"/>
    <w:multiLevelType w:val="multilevel"/>
    <w:tmpl w:val="410D649F"/>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421441F7"/>
    <w:multiLevelType w:val="multilevel"/>
    <w:tmpl w:val="421441F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42754CC2"/>
    <w:multiLevelType w:val="multilevel"/>
    <w:tmpl w:val="42754CC2"/>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443271DE"/>
    <w:multiLevelType w:val="multilevel"/>
    <w:tmpl w:val="443271DE"/>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44984C3B"/>
    <w:multiLevelType w:val="multilevel"/>
    <w:tmpl w:val="44984C3B"/>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45D95215"/>
    <w:multiLevelType w:val="multilevel"/>
    <w:tmpl w:val="45D95215"/>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3">
    <w:nsid w:val="46445A09"/>
    <w:multiLevelType w:val="multilevel"/>
    <w:tmpl w:val="46445A09"/>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466D0F57"/>
    <w:multiLevelType w:val="multilevel"/>
    <w:tmpl w:val="466D0F57"/>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46F67FE3"/>
    <w:multiLevelType w:val="multilevel"/>
    <w:tmpl w:val="46F67FE3"/>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4981275B"/>
    <w:multiLevelType w:val="multilevel"/>
    <w:tmpl w:val="4981275B"/>
    <w:lvl w:ilvl="0" w:tentative="0">
      <w:start w:val="1"/>
      <w:numFmt w:val="decimal"/>
      <w:lvlText w:val="%1."/>
      <w:lvlJc w:val="left"/>
      <w:pPr>
        <w:ind w:left="420" w:hanging="420"/>
      </w:pPr>
      <w:rPr>
        <w:rFonts w:hint="eastAsia" w:ascii="宋体" w:hAnsi="宋体" w:eastAsia="宋体"/>
        <w:b/>
        <w:color w:val="auto"/>
        <w:sz w:val="22"/>
        <w:szCs w:val="2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7">
    <w:nsid w:val="51A4474D"/>
    <w:multiLevelType w:val="multilevel"/>
    <w:tmpl w:val="51A4474D"/>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51A55BB0"/>
    <w:multiLevelType w:val="multilevel"/>
    <w:tmpl w:val="51A55BB0"/>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545A4DFE"/>
    <w:multiLevelType w:val="multilevel"/>
    <w:tmpl w:val="545A4DFE"/>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547D7B6A"/>
    <w:multiLevelType w:val="multilevel"/>
    <w:tmpl w:val="547D7B6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552710FD"/>
    <w:multiLevelType w:val="multilevel"/>
    <w:tmpl w:val="552710FD"/>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56857FA1"/>
    <w:multiLevelType w:val="multilevel"/>
    <w:tmpl w:val="56857FA1"/>
    <w:lvl w:ilvl="0" w:tentative="0">
      <w:start w:val="1"/>
      <w:numFmt w:val="chineseCountingThousand"/>
      <w:lvlText w:val="第%1节"/>
      <w:lvlJc w:val="left"/>
      <w:pPr>
        <w:tabs>
          <w:tab w:val="left" w:pos="840"/>
        </w:tabs>
        <w:ind w:left="840" w:hanging="420"/>
      </w:pPr>
      <w:rPr>
        <w:rFonts w:hint="eastAsia"/>
        <w:b/>
        <w:i w:val="0"/>
        <w:sz w:val="28"/>
        <w:szCs w:val="28"/>
      </w:rPr>
    </w:lvl>
    <w:lvl w:ilvl="1" w:tentative="0">
      <w:start w:val="1"/>
      <w:numFmt w:val="chineseCountingThousand"/>
      <w:lvlText w:val="第%2节"/>
      <w:lvlJc w:val="left"/>
      <w:pPr>
        <w:tabs>
          <w:tab w:val="left" w:pos="397"/>
        </w:tabs>
        <w:ind w:left="567" w:hanging="147"/>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ascii="宋体" w:hAnsi="宋体" w:eastAsia="宋体"/>
        <w:sz w:val="24"/>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3">
    <w:nsid w:val="5BEE73F1"/>
    <w:multiLevelType w:val="multilevel"/>
    <w:tmpl w:val="5BEE73F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4">
    <w:nsid w:val="5C0E41E9"/>
    <w:multiLevelType w:val="multilevel"/>
    <w:tmpl w:val="5C0E41E9"/>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5D5E2419"/>
    <w:multiLevelType w:val="multilevel"/>
    <w:tmpl w:val="5D5E2419"/>
    <w:lvl w:ilvl="0" w:tentative="0">
      <w:start w:val="1"/>
      <w:numFmt w:val="chineseCountingThousand"/>
      <w:lvlText w:val="第%1节"/>
      <w:lvlJc w:val="left"/>
      <w:pPr>
        <w:tabs>
          <w:tab w:val="left" w:pos="840"/>
        </w:tabs>
        <w:ind w:left="840" w:hanging="420"/>
      </w:pPr>
      <w:rPr>
        <w:rFonts w:hint="eastAsia"/>
        <w:b/>
        <w:i w:val="0"/>
        <w:sz w:val="28"/>
        <w:szCs w:val="28"/>
      </w:rPr>
    </w:lvl>
    <w:lvl w:ilvl="1" w:tentative="0">
      <w:start w:val="1"/>
      <w:numFmt w:val="chineseCountingThousand"/>
      <w:lvlText w:val="第%2节"/>
      <w:lvlJc w:val="left"/>
      <w:pPr>
        <w:tabs>
          <w:tab w:val="left" w:pos="397"/>
        </w:tabs>
        <w:ind w:left="567" w:hanging="147"/>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6">
    <w:nsid w:val="609F0EDF"/>
    <w:multiLevelType w:val="multilevel"/>
    <w:tmpl w:val="609F0EDF"/>
    <w:lvl w:ilvl="0" w:tentative="0">
      <w:start w:val="1"/>
      <w:numFmt w:val="decimal"/>
      <w:pStyle w:val="15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63365A72"/>
    <w:multiLevelType w:val="multilevel"/>
    <w:tmpl w:val="63365A7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8">
    <w:nsid w:val="653A1C65"/>
    <w:multiLevelType w:val="multilevel"/>
    <w:tmpl w:val="653A1C65"/>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667C6EB0"/>
    <w:multiLevelType w:val="multilevel"/>
    <w:tmpl w:val="667C6EB0"/>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67074552"/>
    <w:multiLevelType w:val="multilevel"/>
    <w:tmpl w:val="67074552"/>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6A2978F4"/>
    <w:multiLevelType w:val="multilevel"/>
    <w:tmpl w:val="6A2978F4"/>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2">
    <w:nsid w:val="6A32490F"/>
    <w:multiLevelType w:val="multilevel"/>
    <w:tmpl w:val="6A32490F"/>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6DF944DE"/>
    <w:multiLevelType w:val="multilevel"/>
    <w:tmpl w:val="6DF944DE"/>
    <w:lvl w:ilvl="0" w:tentative="0">
      <w:start w:val="1"/>
      <w:numFmt w:val="decimal"/>
      <w:lvlText w:val="(%1)"/>
      <w:lvlJc w:val="left"/>
      <w:pPr>
        <w:ind w:left="840" w:hanging="360"/>
      </w:pPr>
      <w:rPr>
        <w:rFonts w:hint="eastAsia"/>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4">
    <w:nsid w:val="726028A2"/>
    <w:multiLevelType w:val="multilevel"/>
    <w:tmpl w:val="726028A2"/>
    <w:lvl w:ilvl="0" w:tentative="0">
      <w:start w:val="1"/>
      <w:numFmt w:val="decimal"/>
      <w:lvlText w:val="(%1)"/>
      <w:lvlJc w:val="left"/>
      <w:pPr>
        <w:ind w:left="840" w:hanging="36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5">
    <w:nsid w:val="73B54561"/>
    <w:multiLevelType w:val="multilevel"/>
    <w:tmpl w:val="73B5456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6">
    <w:nsid w:val="767F3E54"/>
    <w:multiLevelType w:val="multilevel"/>
    <w:tmpl w:val="767F3E54"/>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7">
    <w:nsid w:val="76BE2A9C"/>
    <w:multiLevelType w:val="multilevel"/>
    <w:tmpl w:val="76BE2A9C"/>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784F4071"/>
    <w:multiLevelType w:val="multilevel"/>
    <w:tmpl w:val="784F4071"/>
    <w:lvl w:ilvl="0" w:tentative="0">
      <w:start w:val="1"/>
      <w:numFmt w:val="decimal"/>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7A0D159C"/>
    <w:multiLevelType w:val="multilevel"/>
    <w:tmpl w:val="7A0D159C"/>
    <w:lvl w:ilvl="0" w:tentative="0">
      <w:start w:val="1"/>
      <w:numFmt w:val="decimal"/>
      <w:lvlText w:val="%1."/>
      <w:lvlJc w:val="left"/>
      <w:pPr>
        <w:ind w:left="420" w:hanging="420"/>
      </w:pPr>
      <w:rPr>
        <w:rFonts w:hint="eastAsia"/>
        <w:b/>
        <w:color w:val="auto"/>
        <w:sz w:val="22"/>
        <w:szCs w:val="22"/>
      </w:rPr>
    </w:lvl>
    <w:lvl w:ilvl="1" w:tentative="0">
      <w:start w:val="1"/>
      <w:numFmt w:val="lowerLetter"/>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0">
    <w:nsid w:val="7ADC3000"/>
    <w:multiLevelType w:val="multilevel"/>
    <w:tmpl w:val="7ADC3000"/>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1">
    <w:nsid w:val="7C286C18"/>
    <w:multiLevelType w:val="multilevel"/>
    <w:tmpl w:val="7C286C18"/>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2">
    <w:nsid w:val="7C797C3B"/>
    <w:multiLevelType w:val="multilevel"/>
    <w:tmpl w:val="7C797C3B"/>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7EBC4305"/>
    <w:multiLevelType w:val="multilevel"/>
    <w:tmpl w:val="7EBC4305"/>
    <w:lvl w:ilvl="0" w:tentative="0">
      <w:start w:val="1"/>
      <w:numFmt w:val="decimal"/>
      <w:lvlText w:val="%1."/>
      <w:lvlJc w:val="left"/>
      <w:pPr>
        <w:ind w:left="420" w:hanging="420"/>
      </w:pPr>
      <w:rPr>
        <w:rFonts w:hint="eastAsia"/>
        <w:b/>
        <w:color w:val="auto"/>
        <w:sz w:val="22"/>
        <w:szCs w:val="22"/>
      </w:rPr>
    </w:lvl>
    <w:lvl w:ilvl="1" w:tentative="0">
      <w:start w:val="1"/>
      <w:numFmt w:val="lowerLetter"/>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6"/>
  </w:num>
  <w:num w:numId="2">
    <w:abstractNumId w:val="9"/>
  </w:num>
  <w:num w:numId="3">
    <w:abstractNumId w:val="13"/>
  </w:num>
  <w:num w:numId="4">
    <w:abstractNumId w:val="21"/>
  </w:num>
  <w:num w:numId="5">
    <w:abstractNumId w:val="57"/>
  </w:num>
  <w:num w:numId="6">
    <w:abstractNumId w:val="73"/>
  </w:num>
  <w:num w:numId="7">
    <w:abstractNumId w:val="43"/>
  </w:num>
  <w:num w:numId="8">
    <w:abstractNumId w:val="19"/>
  </w:num>
  <w:num w:numId="9">
    <w:abstractNumId w:val="63"/>
  </w:num>
  <w:num w:numId="10">
    <w:abstractNumId w:val="17"/>
  </w:num>
  <w:num w:numId="11">
    <w:abstractNumId w:val="60"/>
  </w:num>
  <w:num w:numId="12">
    <w:abstractNumId w:val="34"/>
  </w:num>
  <w:num w:numId="13">
    <w:abstractNumId w:val="29"/>
  </w:num>
  <w:num w:numId="14">
    <w:abstractNumId w:val="55"/>
  </w:num>
  <w:num w:numId="15">
    <w:abstractNumId w:val="20"/>
  </w:num>
  <w:num w:numId="16">
    <w:abstractNumId w:val="74"/>
  </w:num>
  <w:num w:numId="17">
    <w:abstractNumId w:val="33"/>
  </w:num>
  <w:num w:numId="18">
    <w:abstractNumId w:val="16"/>
  </w:num>
  <w:num w:numId="19">
    <w:abstractNumId w:val="28"/>
  </w:num>
  <w:num w:numId="20">
    <w:abstractNumId w:val="62"/>
  </w:num>
  <w:num w:numId="21">
    <w:abstractNumId w:val="52"/>
  </w:num>
  <w:num w:numId="22">
    <w:abstractNumId w:val="18"/>
  </w:num>
  <w:num w:numId="23">
    <w:abstractNumId w:val="42"/>
  </w:num>
  <w:num w:numId="24">
    <w:abstractNumId w:val="71"/>
  </w:num>
  <w:num w:numId="25">
    <w:abstractNumId w:val="67"/>
  </w:num>
  <w:num w:numId="26">
    <w:abstractNumId w:val="81"/>
  </w:num>
  <w:num w:numId="27">
    <w:abstractNumId w:val="35"/>
  </w:num>
  <w:num w:numId="28">
    <w:abstractNumId w:val="15"/>
  </w:num>
  <w:num w:numId="29">
    <w:abstractNumId w:val="69"/>
  </w:num>
  <w:num w:numId="30">
    <w:abstractNumId w:val="68"/>
  </w:num>
  <w:num w:numId="31">
    <w:abstractNumId w:val="23"/>
  </w:num>
  <w:num w:numId="32">
    <w:abstractNumId w:val="32"/>
  </w:num>
  <w:num w:numId="33">
    <w:abstractNumId w:val="82"/>
  </w:num>
  <w:num w:numId="34">
    <w:abstractNumId w:val="26"/>
  </w:num>
  <w:num w:numId="35">
    <w:abstractNumId w:val="36"/>
  </w:num>
  <w:num w:numId="36">
    <w:abstractNumId w:val="76"/>
  </w:num>
  <w:num w:numId="37">
    <w:abstractNumId w:val="45"/>
  </w:num>
  <w:num w:numId="38">
    <w:abstractNumId w:val="12"/>
  </w:num>
  <w:num w:numId="39">
    <w:abstractNumId w:val="56"/>
  </w:num>
  <w:num w:numId="40">
    <w:abstractNumId w:val="11"/>
  </w:num>
  <w:num w:numId="41">
    <w:abstractNumId w:val="1"/>
  </w:num>
  <w:num w:numId="42">
    <w:abstractNumId w:val="50"/>
  </w:num>
  <w:num w:numId="43">
    <w:abstractNumId w:val="59"/>
  </w:num>
  <w:num w:numId="44">
    <w:abstractNumId w:val="5"/>
  </w:num>
  <w:num w:numId="45">
    <w:abstractNumId w:val="25"/>
  </w:num>
  <w:num w:numId="46">
    <w:abstractNumId w:val="30"/>
  </w:num>
  <w:num w:numId="47">
    <w:abstractNumId w:val="7"/>
  </w:num>
  <w:num w:numId="48">
    <w:abstractNumId w:val="14"/>
  </w:num>
  <w:num w:numId="49">
    <w:abstractNumId w:val="27"/>
  </w:num>
  <w:num w:numId="50">
    <w:abstractNumId w:val="80"/>
  </w:num>
  <w:num w:numId="51">
    <w:abstractNumId w:val="70"/>
  </w:num>
  <w:num w:numId="52">
    <w:abstractNumId w:val="4"/>
  </w:num>
  <w:num w:numId="53">
    <w:abstractNumId w:val="48"/>
  </w:num>
  <w:num w:numId="54">
    <w:abstractNumId w:val="75"/>
  </w:num>
  <w:num w:numId="55">
    <w:abstractNumId w:val="40"/>
  </w:num>
  <w:num w:numId="56">
    <w:abstractNumId w:val="41"/>
  </w:num>
  <w:num w:numId="57">
    <w:abstractNumId w:val="65"/>
  </w:num>
  <w:num w:numId="58">
    <w:abstractNumId w:val="8"/>
  </w:num>
  <w:num w:numId="59">
    <w:abstractNumId w:val="49"/>
  </w:num>
  <w:num w:numId="60">
    <w:abstractNumId w:val="53"/>
  </w:num>
  <w:num w:numId="61">
    <w:abstractNumId w:val="47"/>
  </w:num>
  <w:num w:numId="62">
    <w:abstractNumId w:val="46"/>
  </w:num>
  <w:num w:numId="63">
    <w:abstractNumId w:val="72"/>
  </w:num>
  <w:num w:numId="64">
    <w:abstractNumId w:val="44"/>
  </w:num>
  <w:num w:numId="65">
    <w:abstractNumId w:val="54"/>
  </w:num>
  <w:num w:numId="66">
    <w:abstractNumId w:val="79"/>
  </w:num>
  <w:num w:numId="67">
    <w:abstractNumId w:val="6"/>
  </w:num>
  <w:num w:numId="68">
    <w:abstractNumId w:val="37"/>
  </w:num>
  <w:num w:numId="69">
    <w:abstractNumId w:val="2"/>
  </w:num>
  <w:num w:numId="70">
    <w:abstractNumId w:val="10"/>
  </w:num>
  <w:num w:numId="71">
    <w:abstractNumId w:val="0"/>
  </w:num>
  <w:num w:numId="72">
    <w:abstractNumId w:val="3"/>
  </w:num>
  <w:num w:numId="73">
    <w:abstractNumId w:val="51"/>
  </w:num>
  <w:num w:numId="74">
    <w:abstractNumId w:val="83"/>
  </w:num>
  <w:num w:numId="75">
    <w:abstractNumId w:val="58"/>
  </w:num>
  <w:num w:numId="76">
    <w:abstractNumId w:val="31"/>
  </w:num>
  <w:num w:numId="77">
    <w:abstractNumId w:val="22"/>
  </w:num>
  <w:num w:numId="78">
    <w:abstractNumId w:val="61"/>
  </w:num>
  <w:num w:numId="79">
    <w:abstractNumId w:val="77"/>
  </w:num>
  <w:num w:numId="80">
    <w:abstractNumId w:val="78"/>
  </w:num>
  <w:num w:numId="81">
    <w:abstractNumId w:val="39"/>
  </w:num>
  <w:num w:numId="82">
    <w:abstractNumId w:val="38"/>
  </w:num>
  <w:num w:numId="83">
    <w:abstractNumId w:val="64"/>
  </w:num>
  <w:num w:numId="8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yMTkwMTk1NWMzMGJlOGQ0Y2ZiMTBlMzQ2ZTZiOGUifQ=="/>
  </w:docVars>
  <w:rsids>
    <w:rsidRoot w:val="002A75DD"/>
    <w:rsid w:val="00000A7B"/>
    <w:rsid w:val="000016BC"/>
    <w:rsid w:val="00001C6A"/>
    <w:rsid w:val="00003267"/>
    <w:rsid w:val="00003741"/>
    <w:rsid w:val="00003A9C"/>
    <w:rsid w:val="00003B49"/>
    <w:rsid w:val="00003EB1"/>
    <w:rsid w:val="00004009"/>
    <w:rsid w:val="00004804"/>
    <w:rsid w:val="00004EFF"/>
    <w:rsid w:val="000050D4"/>
    <w:rsid w:val="000063E7"/>
    <w:rsid w:val="00007C29"/>
    <w:rsid w:val="000100F7"/>
    <w:rsid w:val="000106D8"/>
    <w:rsid w:val="000107C3"/>
    <w:rsid w:val="00011099"/>
    <w:rsid w:val="0001190B"/>
    <w:rsid w:val="00012242"/>
    <w:rsid w:val="000122ED"/>
    <w:rsid w:val="00012439"/>
    <w:rsid w:val="00012871"/>
    <w:rsid w:val="00013C38"/>
    <w:rsid w:val="00013D12"/>
    <w:rsid w:val="00013D49"/>
    <w:rsid w:val="00014AE9"/>
    <w:rsid w:val="00014EBA"/>
    <w:rsid w:val="00014FA8"/>
    <w:rsid w:val="00015423"/>
    <w:rsid w:val="00015A4A"/>
    <w:rsid w:val="00016B1E"/>
    <w:rsid w:val="00016EC5"/>
    <w:rsid w:val="0001715C"/>
    <w:rsid w:val="00020433"/>
    <w:rsid w:val="00020845"/>
    <w:rsid w:val="00020D88"/>
    <w:rsid w:val="000217AC"/>
    <w:rsid w:val="00021D4D"/>
    <w:rsid w:val="0002208A"/>
    <w:rsid w:val="000220DA"/>
    <w:rsid w:val="000227B7"/>
    <w:rsid w:val="000230A1"/>
    <w:rsid w:val="00023139"/>
    <w:rsid w:val="0002324F"/>
    <w:rsid w:val="00023526"/>
    <w:rsid w:val="000255F6"/>
    <w:rsid w:val="000274D4"/>
    <w:rsid w:val="0003037D"/>
    <w:rsid w:val="0003052A"/>
    <w:rsid w:val="00030651"/>
    <w:rsid w:val="0003088A"/>
    <w:rsid w:val="00031017"/>
    <w:rsid w:val="0003153C"/>
    <w:rsid w:val="00033A25"/>
    <w:rsid w:val="00034679"/>
    <w:rsid w:val="00034A0B"/>
    <w:rsid w:val="00034EA8"/>
    <w:rsid w:val="00035FE7"/>
    <w:rsid w:val="000407EA"/>
    <w:rsid w:val="00040FF6"/>
    <w:rsid w:val="00042748"/>
    <w:rsid w:val="00042DAF"/>
    <w:rsid w:val="00043F90"/>
    <w:rsid w:val="00044160"/>
    <w:rsid w:val="000443CE"/>
    <w:rsid w:val="000465DA"/>
    <w:rsid w:val="000465E6"/>
    <w:rsid w:val="00046FED"/>
    <w:rsid w:val="00052E06"/>
    <w:rsid w:val="00053067"/>
    <w:rsid w:val="00053263"/>
    <w:rsid w:val="00054571"/>
    <w:rsid w:val="000553FF"/>
    <w:rsid w:val="00055D3F"/>
    <w:rsid w:val="0005652F"/>
    <w:rsid w:val="00056ECB"/>
    <w:rsid w:val="000577E2"/>
    <w:rsid w:val="00057BBB"/>
    <w:rsid w:val="00057C51"/>
    <w:rsid w:val="0006033A"/>
    <w:rsid w:val="00060747"/>
    <w:rsid w:val="00061A11"/>
    <w:rsid w:val="00061A6A"/>
    <w:rsid w:val="00061DD1"/>
    <w:rsid w:val="000625CB"/>
    <w:rsid w:val="0006266D"/>
    <w:rsid w:val="000627BD"/>
    <w:rsid w:val="000627D9"/>
    <w:rsid w:val="00063554"/>
    <w:rsid w:val="00064337"/>
    <w:rsid w:val="0006683B"/>
    <w:rsid w:val="00070166"/>
    <w:rsid w:val="00070979"/>
    <w:rsid w:val="000710B7"/>
    <w:rsid w:val="000715E4"/>
    <w:rsid w:val="00071A96"/>
    <w:rsid w:val="00071AF3"/>
    <w:rsid w:val="0007272A"/>
    <w:rsid w:val="000747C5"/>
    <w:rsid w:val="00074A90"/>
    <w:rsid w:val="00075FCA"/>
    <w:rsid w:val="0007696D"/>
    <w:rsid w:val="00077290"/>
    <w:rsid w:val="00077EC5"/>
    <w:rsid w:val="00077FD6"/>
    <w:rsid w:val="000802CB"/>
    <w:rsid w:val="00080467"/>
    <w:rsid w:val="000810A3"/>
    <w:rsid w:val="0008157F"/>
    <w:rsid w:val="000829C9"/>
    <w:rsid w:val="000832FA"/>
    <w:rsid w:val="00083D3A"/>
    <w:rsid w:val="00084B9B"/>
    <w:rsid w:val="00084BD1"/>
    <w:rsid w:val="0008540E"/>
    <w:rsid w:val="000858AC"/>
    <w:rsid w:val="0008679E"/>
    <w:rsid w:val="000877CB"/>
    <w:rsid w:val="00087BAA"/>
    <w:rsid w:val="00090083"/>
    <w:rsid w:val="00090D98"/>
    <w:rsid w:val="0009155A"/>
    <w:rsid w:val="00091E37"/>
    <w:rsid w:val="000924FE"/>
    <w:rsid w:val="000935AC"/>
    <w:rsid w:val="00094945"/>
    <w:rsid w:val="000954F3"/>
    <w:rsid w:val="00095593"/>
    <w:rsid w:val="00095A26"/>
    <w:rsid w:val="0009758B"/>
    <w:rsid w:val="000975BC"/>
    <w:rsid w:val="00097774"/>
    <w:rsid w:val="00097948"/>
    <w:rsid w:val="00097B0F"/>
    <w:rsid w:val="000A045B"/>
    <w:rsid w:val="000A08B9"/>
    <w:rsid w:val="000A1066"/>
    <w:rsid w:val="000A16D3"/>
    <w:rsid w:val="000A1FE7"/>
    <w:rsid w:val="000A279A"/>
    <w:rsid w:val="000A3468"/>
    <w:rsid w:val="000A3ED8"/>
    <w:rsid w:val="000A444E"/>
    <w:rsid w:val="000A483F"/>
    <w:rsid w:val="000A4934"/>
    <w:rsid w:val="000A54D0"/>
    <w:rsid w:val="000A582D"/>
    <w:rsid w:val="000A669F"/>
    <w:rsid w:val="000A6880"/>
    <w:rsid w:val="000A6F3F"/>
    <w:rsid w:val="000A6FF2"/>
    <w:rsid w:val="000A7118"/>
    <w:rsid w:val="000A7587"/>
    <w:rsid w:val="000A7C3C"/>
    <w:rsid w:val="000B0541"/>
    <w:rsid w:val="000B1378"/>
    <w:rsid w:val="000B1705"/>
    <w:rsid w:val="000B177E"/>
    <w:rsid w:val="000B18E5"/>
    <w:rsid w:val="000B27B6"/>
    <w:rsid w:val="000B2ADF"/>
    <w:rsid w:val="000B2AE0"/>
    <w:rsid w:val="000B2B32"/>
    <w:rsid w:val="000B3465"/>
    <w:rsid w:val="000B3A65"/>
    <w:rsid w:val="000B4675"/>
    <w:rsid w:val="000B5092"/>
    <w:rsid w:val="000B764E"/>
    <w:rsid w:val="000C06B1"/>
    <w:rsid w:val="000C0FAD"/>
    <w:rsid w:val="000C28DF"/>
    <w:rsid w:val="000C3017"/>
    <w:rsid w:val="000C39C0"/>
    <w:rsid w:val="000C3C1D"/>
    <w:rsid w:val="000C3D3D"/>
    <w:rsid w:val="000C4247"/>
    <w:rsid w:val="000C4863"/>
    <w:rsid w:val="000C501E"/>
    <w:rsid w:val="000C5750"/>
    <w:rsid w:val="000C57EF"/>
    <w:rsid w:val="000C5809"/>
    <w:rsid w:val="000C5C86"/>
    <w:rsid w:val="000C5CBB"/>
    <w:rsid w:val="000C6486"/>
    <w:rsid w:val="000C6703"/>
    <w:rsid w:val="000C769F"/>
    <w:rsid w:val="000C78EE"/>
    <w:rsid w:val="000D2813"/>
    <w:rsid w:val="000D2CFC"/>
    <w:rsid w:val="000D3EAE"/>
    <w:rsid w:val="000D4A8D"/>
    <w:rsid w:val="000D5076"/>
    <w:rsid w:val="000D5EA9"/>
    <w:rsid w:val="000D78E8"/>
    <w:rsid w:val="000D78FD"/>
    <w:rsid w:val="000D7DC1"/>
    <w:rsid w:val="000D7E82"/>
    <w:rsid w:val="000E1227"/>
    <w:rsid w:val="000E18DA"/>
    <w:rsid w:val="000E2505"/>
    <w:rsid w:val="000E36B5"/>
    <w:rsid w:val="000E3C95"/>
    <w:rsid w:val="000E44F4"/>
    <w:rsid w:val="000E5E7A"/>
    <w:rsid w:val="000E63CF"/>
    <w:rsid w:val="000E659F"/>
    <w:rsid w:val="000E674D"/>
    <w:rsid w:val="000E6F60"/>
    <w:rsid w:val="000E73DC"/>
    <w:rsid w:val="000E7425"/>
    <w:rsid w:val="000E7493"/>
    <w:rsid w:val="000F040F"/>
    <w:rsid w:val="000F0D64"/>
    <w:rsid w:val="000F10FA"/>
    <w:rsid w:val="000F1154"/>
    <w:rsid w:val="000F1992"/>
    <w:rsid w:val="000F1BB7"/>
    <w:rsid w:val="000F2313"/>
    <w:rsid w:val="000F35A6"/>
    <w:rsid w:val="000F377F"/>
    <w:rsid w:val="000F37D1"/>
    <w:rsid w:val="000F3B69"/>
    <w:rsid w:val="000F452D"/>
    <w:rsid w:val="000F45D2"/>
    <w:rsid w:val="000F4A6D"/>
    <w:rsid w:val="000F4C54"/>
    <w:rsid w:val="000F5349"/>
    <w:rsid w:val="000F53BE"/>
    <w:rsid w:val="000F6045"/>
    <w:rsid w:val="000F7143"/>
    <w:rsid w:val="000F7CB7"/>
    <w:rsid w:val="000F7FEC"/>
    <w:rsid w:val="0010019B"/>
    <w:rsid w:val="0010193C"/>
    <w:rsid w:val="00102247"/>
    <w:rsid w:val="0010256C"/>
    <w:rsid w:val="00103C73"/>
    <w:rsid w:val="001048D8"/>
    <w:rsid w:val="00104A66"/>
    <w:rsid w:val="00104EF8"/>
    <w:rsid w:val="001055D2"/>
    <w:rsid w:val="001067D3"/>
    <w:rsid w:val="0010735C"/>
    <w:rsid w:val="00107F85"/>
    <w:rsid w:val="0011059B"/>
    <w:rsid w:val="001121E3"/>
    <w:rsid w:val="00112641"/>
    <w:rsid w:val="001128CB"/>
    <w:rsid w:val="0011291B"/>
    <w:rsid w:val="00113F02"/>
    <w:rsid w:val="00114391"/>
    <w:rsid w:val="0011473B"/>
    <w:rsid w:val="00114D18"/>
    <w:rsid w:val="00116A3B"/>
    <w:rsid w:val="00116D77"/>
    <w:rsid w:val="001173FB"/>
    <w:rsid w:val="00117D06"/>
    <w:rsid w:val="001239D4"/>
    <w:rsid w:val="00123C74"/>
    <w:rsid w:val="00124CD0"/>
    <w:rsid w:val="00125183"/>
    <w:rsid w:val="0012565D"/>
    <w:rsid w:val="0012624B"/>
    <w:rsid w:val="00127890"/>
    <w:rsid w:val="00127ACA"/>
    <w:rsid w:val="00127FBF"/>
    <w:rsid w:val="00130939"/>
    <w:rsid w:val="00130DCE"/>
    <w:rsid w:val="00131ED0"/>
    <w:rsid w:val="00133241"/>
    <w:rsid w:val="0013408F"/>
    <w:rsid w:val="0013422F"/>
    <w:rsid w:val="001349C4"/>
    <w:rsid w:val="00134B62"/>
    <w:rsid w:val="00135323"/>
    <w:rsid w:val="00135554"/>
    <w:rsid w:val="001373FD"/>
    <w:rsid w:val="00137684"/>
    <w:rsid w:val="00140783"/>
    <w:rsid w:val="00140810"/>
    <w:rsid w:val="00140E20"/>
    <w:rsid w:val="00141454"/>
    <w:rsid w:val="001416AB"/>
    <w:rsid w:val="001423D5"/>
    <w:rsid w:val="00142FB2"/>
    <w:rsid w:val="00143221"/>
    <w:rsid w:val="00143A0C"/>
    <w:rsid w:val="001441D1"/>
    <w:rsid w:val="00145046"/>
    <w:rsid w:val="0014560A"/>
    <w:rsid w:val="00145747"/>
    <w:rsid w:val="0014603D"/>
    <w:rsid w:val="0014636D"/>
    <w:rsid w:val="00147FE6"/>
    <w:rsid w:val="00151AE7"/>
    <w:rsid w:val="00151FAD"/>
    <w:rsid w:val="0015261A"/>
    <w:rsid w:val="00152923"/>
    <w:rsid w:val="001545D9"/>
    <w:rsid w:val="00154689"/>
    <w:rsid w:val="00154879"/>
    <w:rsid w:val="00154EA7"/>
    <w:rsid w:val="001571AA"/>
    <w:rsid w:val="001574E8"/>
    <w:rsid w:val="001576F0"/>
    <w:rsid w:val="00157A30"/>
    <w:rsid w:val="00157D26"/>
    <w:rsid w:val="00160114"/>
    <w:rsid w:val="00160166"/>
    <w:rsid w:val="00161E0C"/>
    <w:rsid w:val="00162513"/>
    <w:rsid w:val="00162600"/>
    <w:rsid w:val="00162B04"/>
    <w:rsid w:val="001636DF"/>
    <w:rsid w:val="001638ED"/>
    <w:rsid w:val="00163EBE"/>
    <w:rsid w:val="001644F8"/>
    <w:rsid w:val="0016450B"/>
    <w:rsid w:val="00164AED"/>
    <w:rsid w:val="001653A9"/>
    <w:rsid w:val="001659BA"/>
    <w:rsid w:val="00165AD8"/>
    <w:rsid w:val="001664CA"/>
    <w:rsid w:val="00166992"/>
    <w:rsid w:val="0016699C"/>
    <w:rsid w:val="00167456"/>
    <w:rsid w:val="001675DC"/>
    <w:rsid w:val="00170265"/>
    <w:rsid w:val="00170BE5"/>
    <w:rsid w:val="00170F65"/>
    <w:rsid w:val="0017192F"/>
    <w:rsid w:val="001719A3"/>
    <w:rsid w:val="00171EDC"/>
    <w:rsid w:val="00172008"/>
    <w:rsid w:val="00172AF5"/>
    <w:rsid w:val="00172DBD"/>
    <w:rsid w:val="0017316C"/>
    <w:rsid w:val="0017358D"/>
    <w:rsid w:val="00173D63"/>
    <w:rsid w:val="00173FA4"/>
    <w:rsid w:val="00173FDE"/>
    <w:rsid w:val="00174BA0"/>
    <w:rsid w:val="00175D83"/>
    <w:rsid w:val="00175F40"/>
    <w:rsid w:val="001769C7"/>
    <w:rsid w:val="001769ED"/>
    <w:rsid w:val="00176FCE"/>
    <w:rsid w:val="00177AD9"/>
    <w:rsid w:val="00177B69"/>
    <w:rsid w:val="001809A2"/>
    <w:rsid w:val="00181367"/>
    <w:rsid w:val="001815E0"/>
    <w:rsid w:val="0018222D"/>
    <w:rsid w:val="00183FF5"/>
    <w:rsid w:val="0018420A"/>
    <w:rsid w:val="00184B2F"/>
    <w:rsid w:val="00184C57"/>
    <w:rsid w:val="0018638A"/>
    <w:rsid w:val="00186BD8"/>
    <w:rsid w:val="00186D53"/>
    <w:rsid w:val="00190704"/>
    <w:rsid w:val="00190C97"/>
    <w:rsid w:val="001911EB"/>
    <w:rsid w:val="00191578"/>
    <w:rsid w:val="0019219F"/>
    <w:rsid w:val="00193253"/>
    <w:rsid w:val="001936F8"/>
    <w:rsid w:val="00193879"/>
    <w:rsid w:val="00193958"/>
    <w:rsid w:val="00194999"/>
    <w:rsid w:val="001955BE"/>
    <w:rsid w:val="0019593F"/>
    <w:rsid w:val="001A03A2"/>
    <w:rsid w:val="001A0C53"/>
    <w:rsid w:val="001A0DC3"/>
    <w:rsid w:val="001A0E8E"/>
    <w:rsid w:val="001A10FF"/>
    <w:rsid w:val="001A12EB"/>
    <w:rsid w:val="001A1304"/>
    <w:rsid w:val="001A1AC1"/>
    <w:rsid w:val="001A1CFA"/>
    <w:rsid w:val="001A2342"/>
    <w:rsid w:val="001A26FE"/>
    <w:rsid w:val="001A2FBA"/>
    <w:rsid w:val="001A32A9"/>
    <w:rsid w:val="001A45E0"/>
    <w:rsid w:val="001A47C7"/>
    <w:rsid w:val="001A5816"/>
    <w:rsid w:val="001A626D"/>
    <w:rsid w:val="001A6291"/>
    <w:rsid w:val="001A6DFB"/>
    <w:rsid w:val="001A73C6"/>
    <w:rsid w:val="001B000D"/>
    <w:rsid w:val="001B1517"/>
    <w:rsid w:val="001B1DEE"/>
    <w:rsid w:val="001B244C"/>
    <w:rsid w:val="001B268E"/>
    <w:rsid w:val="001B2C6E"/>
    <w:rsid w:val="001B396C"/>
    <w:rsid w:val="001B40BE"/>
    <w:rsid w:val="001B5634"/>
    <w:rsid w:val="001B6945"/>
    <w:rsid w:val="001C130B"/>
    <w:rsid w:val="001C1337"/>
    <w:rsid w:val="001C15A5"/>
    <w:rsid w:val="001C3A8F"/>
    <w:rsid w:val="001C4363"/>
    <w:rsid w:val="001C45D8"/>
    <w:rsid w:val="001C4680"/>
    <w:rsid w:val="001C4F0E"/>
    <w:rsid w:val="001C5491"/>
    <w:rsid w:val="001C57CE"/>
    <w:rsid w:val="001C72FB"/>
    <w:rsid w:val="001C7E5A"/>
    <w:rsid w:val="001D07FA"/>
    <w:rsid w:val="001D1B88"/>
    <w:rsid w:val="001D1C79"/>
    <w:rsid w:val="001D2214"/>
    <w:rsid w:val="001D2351"/>
    <w:rsid w:val="001D2679"/>
    <w:rsid w:val="001D28C5"/>
    <w:rsid w:val="001D2DAD"/>
    <w:rsid w:val="001D2EFA"/>
    <w:rsid w:val="001D32A8"/>
    <w:rsid w:val="001D3369"/>
    <w:rsid w:val="001D354E"/>
    <w:rsid w:val="001D37B0"/>
    <w:rsid w:val="001D5AE0"/>
    <w:rsid w:val="001D7ED5"/>
    <w:rsid w:val="001E0090"/>
    <w:rsid w:val="001E0198"/>
    <w:rsid w:val="001E0491"/>
    <w:rsid w:val="001E0B98"/>
    <w:rsid w:val="001E14BE"/>
    <w:rsid w:val="001E16A3"/>
    <w:rsid w:val="001E23C4"/>
    <w:rsid w:val="001E2678"/>
    <w:rsid w:val="001E2D4E"/>
    <w:rsid w:val="001E3853"/>
    <w:rsid w:val="001E3A05"/>
    <w:rsid w:val="001E4031"/>
    <w:rsid w:val="001E4F7E"/>
    <w:rsid w:val="001E5814"/>
    <w:rsid w:val="001E5E0A"/>
    <w:rsid w:val="001E679D"/>
    <w:rsid w:val="001E74D1"/>
    <w:rsid w:val="001E77E6"/>
    <w:rsid w:val="001E7AB4"/>
    <w:rsid w:val="001F0040"/>
    <w:rsid w:val="001F0422"/>
    <w:rsid w:val="001F0C89"/>
    <w:rsid w:val="001F115E"/>
    <w:rsid w:val="001F1F5D"/>
    <w:rsid w:val="001F4540"/>
    <w:rsid w:val="001F4573"/>
    <w:rsid w:val="001F48FE"/>
    <w:rsid w:val="001F4CE4"/>
    <w:rsid w:val="001F5BDF"/>
    <w:rsid w:val="001F6595"/>
    <w:rsid w:val="001F7511"/>
    <w:rsid w:val="001F7CBB"/>
    <w:rsid w:val="001F7DFF"/>
    <w:rsid w:val="0020098D"/>
    <w:rsid w:val="00201377"/>
    <w:rsid w:val="0020146B"/>
    <w:rsid w:val="00201562"/>
    <w:rsid w:val="00201731"/>
    <w:rsid w:val="0020284D"/>
    <w:rsid w:val="00202CC8"/>
    <w:rsid w:val="00202F41"/>
    <w:rsid w:val="0020376F"/>
    <w:rsid w:val="0020378A"/>
    <w:rsid w:val="00203E5B"/>
    <w:rsid w:val="002049BF"/>
    <w:rsid w:val="00204AE1"/>
    <w:rsid w:val="00204B2E"/>
    <w:rsid w:val="00204F7A"/>
    <w:rsid w:val="002064BE"/>
    <w:rsid w:val="002073BA"/>
    <w:rsid w:val="00207F50"/>
    <w:rsid w:val="00212076"/>
    <w:rsid w:val="00212785"/>
    <w:rsid w:val="00212D37"/>
    <w:rsid w:val="00212FA8"/>
    <w:rsid w:val="00213A8B"/>
    <w:rsid w:val="00213CCB"/>
    <w:rsid w:val="00214B8B"/>
    <w:rsid w:val="00214E53"/>
    <w:rsid w:val="00215EAF"/>
    <w:rsid w:val="00216122"/>
    <w:rsid w:val="002163DD"/>
    <w:rsid w:val="00216425"/>
    <w:rsid w:val="00216437"/>
    <w:rsid w:val="00216762"/>
    <w:rsid w:val="0022093D"/>
    <w:rsid w:val="00221220"/>
    <w:rsid w:val="00221D23"/>
    <w:rsid w:val="00222C38"/>
    <w:rsid w:val="002237BC"/>
    <w:rsid w:val="002237F4"/>
    <w:rsid w:val="00223BE2"/>
    <w:rsid w:val="00223C05"/>
    <w:rsid w:val="002240CF"/>
    <w:rsid w:val="002248D9"/>
    <w:rsid w:val="002248EE"/>
    <w:rsid w:val="00224DAF"/>
    <w:rsid w:val="002255DE"/>
    <w:rsid w:val="00225616"/>
    <w:rsid w:val="00225CE1"/>
    <w:rsid w:val="00226E27"/>
    <w:rsid w:val="002275E8"/>
    <w:rsid w:val="00230202"/>
    <w:rsid w:val="00230833"/>
    <w:rsid w:val="00230B6D"/>
    <w:rsid w:val="00230E29"/>
    <w:rsid w:val="002314BD"/>
    <w:rsid w:val="00231D3A"/>
    <w:rsid w:val="00232B6D"/>
    <w:rsid w:val="00233716"/>
    <w:rsid w:val="00234025"/>
    <w:rsid w:val="00234AC5"/>
    <w:rsid w:val="0023519B"/>
    <w:rsid w:val="00236D06"/>
    <w:rsid w:val="00237BDD"/>
    <w:rsid w:val="0024020F"/>
    <w:rsid w:val="002408D8"/>
    <w:rsid w:val="002424E7"/>
    <w:rsid w:val="0024313F"/>
    <w:rsid w:val="002445F5"/>
    <w:rsid w:val="0024539D"/>
    <w:rsid w:val="002455BB"/>
    <w:rsid w:val="00246D0A"/>
    <w:rsid w:val="0024706B"/>
    <w:rsid w:val="00250183"/>
    <w:rsid w:val="002501A9"/>
    <w:rsid w:val="002508C8"/>
    <w:rsid w:val="00250F26"/>
    <w:rsid w:val="00250F2B"/>
    <w:rsid w:val="002515BE"/>
    <w:rsid w:val="002516C5"/>
    <w:rsid w:val="00251AF8"/>
    <w:rsid w:val="0025410E"/>
    <w:rsid w:val="00254A5A"/>
    <w:rsid w:val="002550A9"/>
    <w:rsid w:val="0025632D"/>
    <w:rsid w:val="002574CE"/>
    <w:rsid w:val="00261F83"/>
    <w:rsid w:val="00262641"/>
    <w:rsid w:val="00262E3E"/>
    <w:rsid w:val="002630E3"/>
    <w:rsid w:val="002630F9"/>
    <w:rsid w:val="002638B3"/>
    <w:rsid w:val="00263B52"/>
    <w:rsid w:val="00263CF8"/>
    <w:rsid w:val="0026407A"/>
    <w:rsid w:val="00264E3E"/>
    <w:rsid w:val="002652BB"/>
    <w:rsid w:val="002661E2"/>
    <w:rsid w:val="00266B4A"/>
    <w:rsid w:val="00266C65"/>
    <w:rsid w:val="00266CC0"/>
    <w:rsid w:val="002673C0"/>
    <w:rsid w:val="00270528"/>
    <w:rsid w:val="0027065B"/>
    <w:rsid w:val="00270C64"/>
    <w:rsid w:val="00271570"/>
    <w:rsid w:val="002718C5"/>
    <w:rsid w:val="00271F2F"/>
    <w:rsid w:val="00273887"/>
    <w:rsid w:val="00274218"/>
    <w:rsid w:val="002743DA"/>
    <w:rsid w:val="00274C0E"/>
    <w:rsid w:val="00274CC1"/>
    <w:rsid w:val="00276ABB"/>
    <w:rsid w:val="00276CB8"/>
    <w:rsid w:val="00277B7A"/>
    <w:rsid w:val="00282098"/>
    <w:rsid w:val="002828CE"/>
    <w:rsid w:val="0028298B"/>
    <w:rsid w:val="00282F11"/>
    <w:rsid w:val="00283DC3"/>
    <w:rsid w:val="00283E77"/>
    <w:rsid w:val="002842FC"/>
    <w:rsid w:val="00284341"/>
    <w:rsid w:val="002843FF"/>
    <w:rsid w:val="00284C32"/>
    <w:rsid w:val="00286A45"/>
    <w:rsid w:val="00286C5A"/>
    <w:rsid w:val="00286D0F"/>
    <w:rsid w:val="00287393"/>
    <w:rsid w:val="00287A66"/>
    <w:rsid w:val="00287C91"/>
    <w:rsid w:val="00290E74"/>
    <w:rsid w:val="0029175A"/>
    <w:rsid w:val="00291B12"/>
    <w:rsid w:val="00292AA4"/>
    <w:rsid w:val="00292E93"/>
    <w:rsid w:val="002939FB"/>
    <w:rsid w:val="00293D1E"/>
    <w:rsid w:val="002940B2"/>
    <w:rsid w:val="00294DDD"/>
    <w:rsid w:val="00294F1C"/>
    <w:rsid w:val="00295711"/>
    <w:rsid w:val="00295BC0"/>
    <w:rsid w:val="00296B00"/>
    <w:rsid w:val="00296CE9"/>
    <w:rsid w:val="00296F93"/>
    <w:rsid w:val="00297CE0"/>
    <w:rsid w:val="00297DF0"/>
    <w:rsid w:val="002A0F56"/>
    <w:rsid w:val="002A107A"/>
    <w:rsid w:val="002A11CF"/>
    <w:rsid w:val="002A1BBE"/>
    <w:rsid w:val="002A22CB"/>
    <w:rsid w:val="002A2886"/>
    <w:rsid w:val="002A4C0F"/>
    <w:rsid w:val="002A5202"/>
    <w:rsid w:val="002A549F"/>
    <w:rsid w:val="002A57E2"/>
    <w:rsid w:val="002A5D9D"/>
    <w:rsid w:val="002A75DD"/>
    <w:rsid w:val="002A7AFD"/>
    <w:rsid w:val="002A7F18"/>
    <w:rsid w:val="002B09F9"/>
    <w:rsid w:val="002B0ACF"/>
    <w:rsid w:val="002B0F01"/>
    <w:rsid w:val="002B14C7"/>
    <w:rsid w:val="002B1BBC"/>
    <w:rsid w:val="002B2B69"/>
    <w:rsid w:val="002B2C8A"/>
    <w:rsid w:val="002B2D3B"/>
    <w:rsid w:val="002B2DDC"/>
    <w:rsid w:val="002B3939"/>
    <w:rsid w:val="002B4528"/>
    <w:rsid w:val="002B5143"/>
    <w:rsid w:val="002B557D"/>
    <w:rsid w:val="002B5672"/>
    <w:rsid w:val="002B57DD"/>
    <w:rsid w:val="002B5B29"/>
    <w:rsid w:val="002B72A1"/>
    <w:rsid w:val="002C029C"/>
    <w:rsid w:val="002C0CC6"/>
    <w:rsid w:val="002C1119"/>
    <w:rsid w:val="002C29ED"/>
    <w:rsid w:val="002C2F4E"/>
    <w:rsid w:val="002C45B8"/>
    <w:rsid w:val="002C4859"/>
    <w:rsid w:val="002C4C87"/>
    <w:rsid w:val="002C6426"/>
    <w:rsid w:val="002C795A"/>
    <w:rsid w:val="002D0A85"/>
    <w:rsid w:val="002D0F58"/>
    <w:rsid w:val="002D1167"/>
    <w:rsid w:val="002D136D"/>
    <w:rsid w:val="002D14B3"/>
    <w:rsid w:val="002D2016"/>
    <w:rsid w:val="002D259F"/>
    <w:rsid w:val="002D3B3C"/>
    <w:rsid w:val="002D3C5C"/>
    <w:rsid w:val="002D4789"/>
    <w:rsid w:val="002D5260"/>
    <w:rsid w:val="002D5276"/>
    <w:rsid w:val="002D56AF"/>
    <w:rsid w:val="002D57F0"/>
    <w:rsid w:val="002D61DC"/>
    <w:rsid w:val="002D625C"/>
    <w:rsid w:val="002D653D"/>
    <w:rsid w:val="002D66B2"/>
    <w:rsid w:val="002D678A"/>
    <w:rsid w:val="002D6E6A"/>
    <w:rsid w:val="002D711F"/>
    <w:rsid w:val="002D7A53"/>
    <w:rsid w:val="002D7C7C"/>
    <w:rsid w:val="002D7CD7"/>
    <w:rsid w:val="002E0091"/>
    <w:rsid w:val="002E296E"/>
    <w:rsid w:val="002E5668"/>
    <w:rsid w:val="002E59B6"/>
    <w:rsid w:val="002E67A7"/>
    <w:rsid w:val="002E7133"/>
    <w:rsid w:val="002F0675"/>
    <w:rsid w:val="002F1219"/>
    <w:rsid w:val="002F17C6"/>
    <w:rsid w:val="002F21A6"/>
    <w:rsid w:val="002F24D1"/>
    <w:rsid w:val="002F27C1"/>
    <w:rsid w:val="002F365A"/>
    <w:rsid w:val="002F36DF"/>
    <w:rsid w:val="002F401B"/>
    <w:rsid w:val="002F4095"/>
    <w:rsid w:val="002F4691"/>
    <w:rsid w:val="002F648C"/>
    <w:rsid w:val="002F6A52"/>
    <w:rsid w:val="002F6E22"/>
    <w:rsid w:val="003006B2"/>
    <w:rsid w:val="003013EF"/>
    <w:rsid w:val="003015D3"/>
    <w:rsid w:val="003019E6"/>
    <w:rsid w:val="003022DE"/>
    <w:rsid w:val="00303210"/>
    <w:rsid w:val="003035CA"/>
    <w:rsid w:val="003037CB"/>
    <w:rsid w:val="003039EC"/>
    <w:rsid w:val="00304668"/>
    <w:rsid w:val="00305170"/>
    <w:rsid w:val="00305AE1"/>
    <w:rsid w:val="00306158"/>
    <w:rsid w:val="00310458"/>
    <w:rsid w:val="003114C1"/>
    <w:rsid w:val="00311912"/>
    <w:rsid w:val="00311E1A"/>
    <w:rsid w:val="003121BB"/>
    <w:rsid w:val="0031222F"/>
    <w:rsid w:val="003125D4"/>
    <w:rsid w:val="003130BE"/>
    <w:rsid w:val="0031398C"/>
    <w:rsid w:val="00313DF5"/>
    <w:rsid w:val="00313FF7"/>
    <w:rsid w:val="0031448E"/>
    <w:rsid w:val="00314666"/>
    <w:rsid w:val="00314A7C"/>
    <w:rsid w:val="00315BFC"/>
    <w:rsid w:val="00315DF5"/>
    <w:rsid w:val="003163B9"/>
    <w:rsid w:val="003164CE"/>
    <w:rsid w:val="00316EFC"/>
    <w:rsid w:val="00316F31"/>
    <w:rsid w:val="00317A4E"/>
    <w:rsid w:val="00320DA9"/>
    <w:rsid w:val="00320E01"/>
    <w:rsid w:val="003211A8"/>
    <w:rsid w:val="0032177C"/>
    <w:rsid w:val="00321D15"/>
    <w:rsid w:val="00321F61"/>
    <w:rsid w:val="00322538"/>
    <w:rsid w:val="003227DE"/>
    <w:rsid w:val="00322922"/>
    <w:rsid w:val="00322F30"/>
    <w:rsid w:val="0032473E"/>
    <w:rsid w:val="003249C7"/>
    <w:rsid w:val="00325219"/>
    <w:rsid w:val="003261AD"/>
    <w:rsid w:val="00326347"/>
    <w:rsid w:val="003263A8"/>
    <w:rsid w:val="0032685C"/>
    <w:rsid w:val="0032698D"/>
    <w:rsid w:val="00326B24"/>
    <w:rsid w:val="0032732C"/>
    <w:rsid w:val="003273EE"/>
    <w:rsid w:val="00327B28"/>
    <w:rsid w:val="00330467"/>
    <w:rsid w:val="00330753"/>
    <w:rsid w:val="00330EE7"/>
    <w:rsid w:val="00330F38"/>
    <w:rsid w:val="00331393"/>
    <w:rsid w:val="0033152F"/>
    <w:rsid w:val="003315C8"/>
    <w:rsid w:val="00331685"/>
    <w:rsid w:val="0033178A"/>
    <w:rsid w:val="00331A8F"/>
    <w:rsid w:val="00332661"/>
    <w:rsid w:val="00332ABD"/>
    <w:rsid w:val="003335F1"/>
    <w:rsid w:val="00333C96"/>
    <w:rsid w:val="00333D15"/>
    <w:rsid w:val="003340AB"/>
    <w:rsid w:val="0033483B"/>
    <w:rsid w:val="00334ABE"/>
    <w:rsid w:val="00334CE3"/>
    <w:rsid w:val="003350AF"/>
    <w:rsid w:val="00340654"/>
    <w:rsid w:val="00340964"/>
    <w:rsid w:val="00340B44"/>
    <w:rsid w:val="00341C67"/>
    <w:rsid w:val="00341E8E"/>
    <w:rsid w:val="00341FC1"/>
    <w:rsid w:val="003420B7"/>
    <w:rsid w:val="00344854"/>
    <w:rsid w:val="00344E88"/>
    <w:rsid w:val="003453EB"/>
    <w:rsid w:val="00345EAF"/>
    <w:rsid w:val="00346967"/>
    <w:rsid w:val="00346A76"/>
    <w:rsid w:val="00347E89"/>
    <w:rsid w:val="00350719"/>
    <w:rsid w:val="003509FC"/>
    <w:rsid w:val="00350CE6"/>
    <w:rsid w:val="00353044"/>
    <w:rsid w:val="00353909"/>
    <w:rsid w:val="003540F7"/>
    <w:rsid w:val="003545C7"/>
    <w:rsid w:val="00355DD1"/>
    <w:rsid w:val="00356B23"/>
    <w:rsid w:val="003579A9"/>
    <w:rsid w:val="003601DC"/>
    <w:rsid w:val="00360D69"/>
    <w:rsid w:val="00360DD1"/>
    <w:rsid w:val="003612A4"/>
    <w:rsid w:val="003615E5"/>
    <w:rsid w:val="00361B3D"/>
    <w:rsid w:val="003622CD"/>
    <w:rsid w:val="003635B1"/>
    <w:rsid w:val="003637A1"/>
    <w:rsid w:val="0036483A"/>
    <w:rsid w:val="003650AB"/>
    <w:rsid w:val="00365D3F"/>
    <w:rsid w:val="003664AD"/>
    <w:rsid w:val="003664B9"/>
    <w:rsid w:val="00371396"/>
    <w:rsid w:val="00371C0C"/>
    <w:rsid w:val="00371C57"/>
    <w:rsid w:val="00371CA1"/>
    <w:rsid w:val="00373115"/>
    <w:rsid w:val="00373941"/>
    <w:rsid w:val="00374D6A"/>
    <w:rsid w:val="00376344"/>
    <w:rsid w:val="0037642B"/>
    <w:rsid w:val="003766AA"/>
    <w:rsid w:val="0037697D"/>
    <w:rsid w:val="0037792C"/>
    <w:rsid w:val="003800E1"/>
    <w:rsid w:val="00380A5F"/>
    <w:rsid w:val="003818EF"/>
    <w:rsid w:val="00381DF1"/>
    <w:rsid w:val="003826FB"/>
    <w:rsid w:val="00384A39"/>
    <w:rsid w:val="00385561"/>
    <w:rsid w:val="00385938"/>
    <w:rsid w:val="0038608C"/>
    <w:rsid w:val="00386459"/>
    <w:rsid w:val="00387579"/>
    <w:rsid w:val="0038784D"/>
    <w:rsid w:val="00387AC9"/>
    <w:rsid w:val="00387F48"/>
    <w:rsid w:val="003900EA"/>
    <w:rsid w:val="003901EB"/>
    <w:rsid w:val="003904DA"/>
    <w:rsid w:val="0039088C"/>
    <w:rsid w:val="00391004"/>
    <w:rsid w:val="0039153B"/>
    <w:rsid w:val="00391B37"/>
    <w:rsid w:val="00392406"/>
    <w:rsid w:val="0039257D"/>
    <w:rsid w:val="00392C53"/>
    <w:rsid w:val="00392ED7"/>
    <w:rsid w:val="00392F6C"/>
    <w:rsid w:val="00394578"/>
    <w:rsid w:val="00394872"/>
    <w:rsid w:val="003950CD"/>
    <w:rsid w:val="00395E48"/>
    <w:rsid w:val="0039657B"/>
    <w:rsid w:val="00396E3B"/>
    <w:rsid w:val="00397C1E"/>
    <w:rsid w:val="003A0048"/>
    <w:rsid w:val="003A05DD"/>
    <w:rsid w:val="003A1237"/>
    <w:rsid w:val="003A141E"/>
    <w:rsid w:val="003A25B5"/>
    <w:rsid w:val="003A271B"/>
    <w:rsid w:val="003A298D"/>
    <w:rsid w:val="003A2BFF"/>
    <w:rsid w:val="003A2C49"/>
    <w:rsid w:val="003A2EC8"/>
    <w:rsid w:val="003A32A6"/>
    <w:rsid w:val="003A3FBE"/>
    <w:rsid w:val="003A5155"/>
    <w:rsid w:val="003A5ABA"/>
    <w:rsid w:val="003A5F88"/>
    <w:rsid w:val="003A7AF1"/>
    <w:rsid w:val="003B13B6"/>
    <w:rsid w:val="003B1652"/>
    <w:rsid w:val="003B2500"/>
    <w:rsid w:val="003B3823"/>
    <w:rsid w:val="003B3A98"/>
    <w:rsid w:val="003B4E77"/>
    <w:rsid w:val="003B562C"/>
    <w:rsid w:val="003B5C80"/>
    <w:rsid w:val="003B60F2"/>
    <w:rsid w:val="003B7FF3"/>
    <w:rsid w:val="003C0305"/>
    <w:rsid w:val="003C14B6"/>
    <w:rsid w:val="003C17C8"/>
    <w:rsid w:val="003C63C0"/>
    <w:rsid w:val="003C68D6"/>
    <w:rsid w:val="003C6B85"/>
    <w:rsid w:val="003C6E96"/>
    <w:rsid w:val="003C7611"/>
    <w:rsid w:val="003D1172"/>
    <w:rsid w:val="003D1AA9"/>
    <w:rsid w:val="003D26F1"/>
    <w:rsid w:val="003D292E"/>
    <w:rsid w:val="003D2DF3"/>
    <w:rsid w:val="003D3C42"/>
    <w:rsid w:val="003D4044"/>
    <w:rsid w:val="003D4E05"/>
    <w:rsid w:val="003D680F"/>
    <w:rsid w:val="003D72AB"/>
    <w:rsid w:val="003D759B"/>
    <w:rsid w:val="003D7815"/>
    <w:rsid w:val="003E0389"/>
    <w:rsid w:val="003E0885"/>
    <w:rsid w:val="003E0F2C"/>
    <w:rsid w:val="003E16D7"/>
    <w:rsid w:val="003E19EB"/>
    <w:rsid w:val="003E1B12"/>
    <w:rsid w:val="003E2B06"/>
    <w:rsid w:val="003E2F44"/>
    <w:rsid w:val="003E3220"/>
    <w:rsid w:val="003E32C9"/>
    <w:rsid w:val="003E67AF"/>
    <w:rsid w:val="003E6A7A"/>
    <w:rsid w:val="003E6A7F"/>
    <w:rsid w:val="003E71ED"/>
    <w:rsid w:val="003E7845"/>
    <w:rsid w:val="003F022F"/>
    <w:rsid w:val="003F059D"/>
    <w:rsid w:val="003F1FE4"/>
    <w:rsid w:val="003F2300"/>
    <w:rsid w:val="003F23CA"/>
    <w:rsid w:val="003F2890"/>
    <w:rsid w:val="003F2CAB"/>
    <w:rsid w:val="003F2DE4"/>
    <w:rsid w:val="003F3FA9"/>
    <w:rsid w:val="003F5793"/>
    <w:rsid w:val="003F5CE1"/>
    <w:rsid w:val="003F629F"/>
    <w:rsid w:val="003F65A2"/>
    <w:rsid w:val="003F755A"/>
    <w:rsid w:val="003F7FD5"/>
    <w:rsid w:val="0040062A"/>
    <w:rsid w:val="004008A3"/>
    <w:rsid w:val="00402202"/>
    <w:rsid w:val="004023D9"/>
    <w:rsid w:val="00402D4D"/>
    <w:rsid w:val="00402EFA"/>
    <w:rsid w:val="0040365E"/>
    <w:rsid w:val="00403739"/>
    <w:rsid w:val="00404D67"/>
    <w:rsid w:val="00404DB9"/>
    <w:rsid w:val="00404E10"/>
    <w:rsid w:val="0040552D"/>
    <w:rsid w:val="004056F1"/>
    <w:rsid w:val="00405D81"/>
    <w:rsid w:val="00406361"/>
    <w:rsid w:val="00406BEF"/>
    <w:rsid w:val="0040760E"/>
    <w:rsid w:val="00407779"/>
    <w:rsid w:val="00407D42"/>
    <w:rsid w:val="004103B8"/>
    <w:rsid w:val="004109D9"/>
    <w:rsid w:val="00410A3B"/>
    <w:rsid w:val="00410BA8"/>
    <w:rsid w:val="00410E24"/>
    <w:rsid w:val="004115FC"/>
    <w:rsid w:val="00411951"/>
    <w:rsid w:val="00411BF5"/>
    <w:rsid w:val="00412083"/>
    <w:rsid w:val="00412A3F"/>
    <w:rsid w:val="00412A5F"/>
    <w:rsid w:val="00412ED1"/>
    <w:rsid w:val="00416435"/>
    <w:rsid w:val="00416E42"/>
    <w:rsid w:val="00417295"/>
    <w:rsid w:val="00417580"/>
    <w:rsid w:val="00420D77"/>
    <w:rsid w:val="004225EA"/>
    <w:rsid w:val="00422C6E"/>
    <w:rsid w:val="00423746"/>
    <w:rsid w:val="00423D6B"/>
    <w:rsid w:val="00424930"/>
    <w:rsid w:val="00424A36"/>
    <w:rsid w:val="0042567F"/>
    <w:rsid w:val="00425BEC"/>
    <w:rsid w:val="00426571"/>
    <w:rsid w:val="0042764A"/>
    <w:rsid w:val="00427961"/>
    <w:rsid w:val="00427E8A"/>
    <w:rsid w:val="00432689"/>
    <w:rsid w:val="00432E47"/>
    <w:rsid w:val="0043376A"/>
    <w:rsid w:val="0043493B"/>
    <w:rsid w:val="0043530A"/>
    <w:rsid w:val="004354E4"/>
    <w:rsid w:val="00436987"/>
    <w:rsid w:val="00436989"/>
    <w:rsid w:val="0043731F"/>
    <w:rsid w:val="004374CB"/>
    <w:rsid w:val="00437BC2"/>
    <w:rsid w:val="00437D31"/>
    <w:rsid w:val="00440CEC"/>
    <w:rsid w:val="00440D97"/>
    <w:rsid w:val="00441695"/>
    <w:rsid w:val="0044170E"/>
    <w:rsid w:val="00441BF7"/>
    <w:rsid w:val="00442091"/>
    <w:rsid w:val="004425C5"/>
    <w:rsid w:val="00442891"/>
    <w:rsid w:val="00443315"/>
    <w:rsid w:val="004448B0"/>
    <w:rsid w:val="00446D7A"/>
    <w:rsid w:val="00446E0C"/>
    <w:rsid w:val="00447075"/>
    <w:rsid w:val="004474B2"/>
    <w:rsid w:val="00447548"/>
    <w:rsid w:val="004476FB"/>
    <w:rsid w:val="00447780"/>
    <w:rsid w:val="00447818"/>
    <w:rsid w:val="00450261"/>
    <w:rsid w:val="00450C26"/>
    <w:rsid w:val="00451002"/>
    <w:rsid w:val="0045140F"/>
    <w:rsid w:val="004516A5"/>
    <w:rsid w:val="00454563"/>
    <w:rsid w:val="0045525A"/>
    <w:rsid w:val="00455512"/>
    <w:rsid w:val="004556D8"/>
    <w:rsid w:val="004559D6"/>
    <w:rsid w:val="00455C46"/>
    <w:rsid w:val="00456E3C"/>
    <w:rsid w:val="004578CD"/>
    <w:rsid w:val="00457954"/>
    <w:rsid w:val="00457DDF"/>
    <w:rsid w:val="00460364"/>
    <w:rsid w:val="004623C4"/>
    <w:rsid w:val="00463FEA"/>
    <w:rsid w:val="00464155"/>
    <w:rsid w:val="0046479C"/>
    <w:rsid w:val="00464D6C"/>
    <w:rsid w:val="004656E7"/>
    <w:rsid w:val="00465E4C"/>
    <w:rsid w:val="00465EC8"/>
    <w:rsid w:val="004661DD"/>
    <w:rsid w:val="00466330"/>
    <w:rsid w:val="004663D2"/>
    <w:rsid w:val="00466CB7"/>
    <w:rsid w:val="004676DB"/>
    <w:rsid w:val="004677CF"/>
    <w:rsid w:val="00467B17"/>
    <w:rsid w:val="00470F57"/>
    <w:rsid w:val="00471939"/>
    <w:rsid w:val="00472CF0"/>
    <w:rsid w:val="0047414F"/>
    <w:rsid w:val="00474386"/>
    <w:rsid w:val="00475517"/>
    <w:rsid w:val="00475831"/>
    <w:rsid w:val="00476554"/>
    <w:rsid w:val="00477BA9"/>
    <w:rsid w:val="00480878"/>
    <w:rsid w:val="00481232"/>
    <w:rsid w:val="00481D9B"/>
    <w:rsid w:val="00482D53"/>
    <w:rsid w:val="0048330D"/>
    <w:rsid w:val="00483F5D"/>
    <w:rsid w:val="00485BD1"/>
    <w:rsid w:val="004868B0"/>
    <w:rsid w:val="00486B7F"/>
    <w:rsid w:val="00490780"/>
    <w:rsid w:val="004908FB"/>
    <w:rsid w:val="00491213"/>
    <w:rsid w:val="00491292"/>
    <w:rsid w:val="004918B5"/>
    <w:rsid w:val="00492A98"/>
    <w:rsid w:val="00493556"/>
    <w:rsid w:val="0049381F"/>
    <w:rsid w:val="0049661E"/>
    <w:rsid w:val="00496D71"/>
    <w:rsid w:val="00496E62"/>
    <w:rsid w:val="004971C2"/>
    <w:rsid w:val="00497241"/>
    <w:rsid w:val="00497A5F"/>
    <w:rsid w:val="00497B7E"/>
    <w:rsid w:val="004A0150"/>
    <w:rsid w:val="004A07A9"/>
    <w:rsid w:val="004A0D28"/>
    <w:rsid w:val="004A121F"/>
    <w:rsid w:val="004A1953"/>
    <w:rsid w:val="004A1B34"/>
    <w:rsid w:val="004A2502"/>
    <w:rsid w:val="004A2996"/>
    <w:rsid w:val="004A2AC3"/>
    <w:rsid w:val="004A2B88"/>
    <w:rsid w:val="004A3852"/>
    <w:rsid w:val="004A3A8D"/>
    <w:rsid w:val="004A4FB3"/>
    <w:rsid w:val="004A53B1"/>
    <w:rsid w:val="004A5886"/>
    <w:rsid w:val="004A653B"/>
    <w:rsid w:val="004A6700"/>
    <w:rsid w:val="004A68C1"/>
    <w:rsid w:val="004A76D0"/>
    <w:rsid w:val="004B0581"/>
    <w:rsid w:val="004B116A"/>
    <w:rsid w:val="004B1897"/>
    <w:rsid w:val="004B1C16"/>
    <w:rsid w:val="004B1DB6"/>
    <w:rsid w:val="004B1FA5"/>
    <w:rsid w:val="004B32B5"/>
    <w:rsid w:val="004B3A4B"/>
    <w:rsid w:val="004B4AC7"/>
    <w:rsid w:val="004B4BF7"/>
    <w:rsid w:val="004B558F"/>
    <w:rsid w:val="004B5625"/>
    <w:rsid w:val="004B64EF"/>
    <w:rsid w:val="004B79AD"/>
    <w:rsid w:val="004C00B9"/>
    <w:rsid w:val="004C0893"/>
    <w:rsid w:val="004C0B6D"/>
    <w:rsid w:val="004C143C"/>
    <w:rsid w:val="004C25B9"/>
    <w:rsid w:val="004C3A0C"/>
    <w:rsid w:val="004C3EBA"/>
    <w:rsid w:val="004C4609"/>
    <w:rsid w:val="004C4C60"/>
    <w:rsid w:val="004C520D"/>
    <w:rsid w:val="004C5286"/>
    <w:rsid w:val="004C5798"/>
    <w:rsid w:val="004C58E4"/>
    <w:rsid w:val="004C6010"/>
    <w:rsid w:val="004C603B"/>
    <w:rsid w:val="004C6457"/>
    <w:rsid w:val="004C6C1D"/>
    <w:rsid w:val="004D01B2"/>
    <w:rsid w:val="004D099A"/>
    <w:rsid w:val="004D0AA3"/>
    <w:rsid w:val="004D0DF4"/>
    <w:rsid w:val="004D149F"/>
    <w:rsid w:val="004D2E7E"/>
    <w:rsid w:val="004D2F88"/>
    <w:rsid w:val="004D379C"/>
    <w:rsid w:val="004D3C17"/>
    <w:rsid w:val="004D4437"/>
    <w:rsid w:val="004D4B31"/>
    <w:rsid w:val="004D64FE"/>
    <w:rsid w:val="004D7244"/>
    <w:rsid w:val="004D7584"/>
    <w:rsid w:val="004E114D"/>
    <w:rsid w:val="004E1168"/>
    <w:rsid w:val="004E191D"/>
    <w:rsid w:val="004E27C1"/>
    <w:rsid w:val="004E3464"/>
    <w:rsid w:val="004E35A3"/>
    <w:rsid w:val="004E3CDC"/>
    <w:rsid w:val="004E4A5C"/>
    <w:rsid w:val="004E5053"/>
    <w:rsid w:val="004E5C80"/>
    <w:rsid w:val="004E611D"/>
    <w:rsid w:val="004E6A92"/>
    <w:rsid w:val="004E6D71"/>
    <w:rsid w:val="004E713A"/>
    <w:rsid w:val="004E7A53"/>
    <w:rsid w:val="004E7B30"/>
    <w:rsid w:val="004F085A"/>
    <w:rsid w:val="004F1710"/>
    <w:rsid w:val="004F1898"/>
    <w:rsid w:val="004F1E81"/>
    <w:rsid w:val="004F2AE0"/>
    <w:rsid w:val="004F2C4D"/>
    <w:rsid w:val="004F3666"/>
    <w:rsid w:val="004F46A4"/>
    <w:rsid w:val="004F50A0"/>
    <w:rsid w:val="004F6147"/>
    <w:rsid w:val="004F71DB"/>
    <w:rsid w:val="004F78E7"/>
    <w:rsid w:val="004F7C58"/>
    <w:rsid w:val="00500CD1"/>
    <w:rsid w:val="00500D80"/>
    <w:rsid w:val="00501116"/>
    <w:rsid w:val="005012AD"/>
    <w:rsid w:val="00501704"/>
    <w:rsid w:val="00501D2C"/>
    <w:rsid w:val="0050261A"/>
    <w:rsid w:val="00502E38"/>
    <w:rsid w:val="00503182"/>
    <w:rsid w:val="0050350B"/>
    <w:rsid w:val="00503D5B"/>
    <w:rsid w:val="00504906"/>
    <w:rsid w:val="00504C49"/>
    <w:rsid w:val="005053E7"/>
    <w:rsid w:val="005059DD"/>
    <w:rsid w:val="00505A95"/>
    <w:rsid w:val="00505F83"/>
    <w:rsid w:val="00506AC3"/>
    <w:rsid w:val="005078D6"/>
    <w:rsid w:val="0051199E"/>
    <w:rsid w:val="00511AC8"/>
    <w:rsid w:val="00511AE5"/>
    <w:rsid w:val="00512373"/>
    <w:rsid w:val="00512603"/>
    <w:rsid w:val="00513691"/>
    <w:rsid w:val="00513F23"/>
    <w:rsid w:val="005159D3"/>
    <w:rsid w:val="00515B87"/>
    <w:rsid w:val="00516177"/>
    <w:rsid w:val="005169E5"/>
    <w:rsid w:val="00516E76"/>
    <w:rsid w:val="00517057"/>
    <w:rsid w:val="00517477"/>
    <w:rsid w:val="0051751F"/>
    <w:rsid w:val="00517ED3"/>
    <w:rsid w:val="0052025A"/>
    <w:rsid w:val="005202AA"/>
    <w:rsid w:val="0052058A"/>
    <w:rsid w:val="00521342"/>
    <w:rsid w:val="00521FB1"/>
    <w:rsid w:val="0052256B"/>
    <w:rsid w:val="00522A7F"/>
    <w:rsid w:val="0052353E"/>
    <w:rsid w:val="00523EA3"/>
    <w:rsid w:val="00523EE2"/>
    <w:rsid w:val="00524776"/>
    <w:rsid w:val="005247EB"/>
    <w:rsid w:val="005259E3"/>
    <w:rsid w:val="00525DB8"/>
    <w:rsid w:val="005262B8"/>
    <w:rsid w:val="005264C0"/>
    <w:rsid w:val="0052684D"/>
    <w:rsid w:val="0052710C"/>
    <w:rsid w:val="00527493"/>
    <w:rsid w:val="005303A0"/>
    <w:rsid w:val="005311E0"/>
    <w:rsid w:val="00531591"/>
    <w:rsid w:val="00531DB4"/>
    <w:rsid w:val="00532C22"/>
    <w:rsid w:val="00533745"/>
    <w:rsid w:val="005348A4"/>
    <w:rsid w:val="00534C15"/>
    <w:rsid w:val="00535665"/>
    <w:rsid w:val="00535D9B"/>
    <w:rsid w:val="00536924"/>
    <w:rsid w:val="00536D39"/>
    <w:rsid w:val="0053719B"/>
    <w:rsid w:val="00537B01"/>
    <w:rsid w:val="005401DD"/>
    <w:rsid w:val="00540BC1"/>
    <w:rsid w:val="005411A2"/>
    <w:rsid w:val="00541365"/>
    <w:rsid w:val="005413AD"/>
    <w:rsid w:val="00541499"/>
    <w:rsid w:val="00542D62"/>
    <w:rsid w:val="00543F53"/>
    <w:rsid w:val="0054431D"/>
    <w:rsid w:val="00544623"/>
    <w:rsid w:val="00544B95"/>
    <w:rsid w:val="00546072"/>
    <w:rsid w:val="00546FD2"/>
    <w:rsid w:val="005471EB"/>
    <w:rsid w:val="00547DC7"/>
    <w:rsid w:val="00550246"/>
    <w:rsid w:val="00550409"/>
    <w:rsid w:val="0055082F"/>
    <w:rsid w:val="00551091"/>
    <w:rsid w:val="00551586"/>
    <w:rsid w:val="00552F19"/>
    <w:rsid w:val="00552F1D"/>
    <w:rsid w:val="005538CA"/>
    <w:rsid w:val="00553EAE"/>
    <w:rsid w:val="00554444"/>
    <w:rsid w:val="00554A22"/>
    <w:rsid w:val="00556914"/>
    <w:rsid w:val="005569FA"/>
    <w:rsid w:val="00561603"/>
    <w:rsid w:val="0056218B"/>
    <w:rsid w:val="0056264F"/>
    <w:rsid w:val="00562C36"/>
    <w:rsid w:val="00562F82"/>
    <w:rsid w:val="00563846"/>
    <w:rsid w:val="005641D1"/>
    <w:rsid w:val="00564320"/>
    <w:rsid w:val="00564802"/>
    <w:rsid w:val="00564ED2"/>
    <w:rsid w:val="00565BE4"/>
    <w:rsid w:val="00565DD4"/>
    <w:rsid w:val="00566221"/>
    <w:rsid w:val="005664E4"/>
    <w:rsid w:val="00567B5C"/>
    <w:rsid w:val="005711C4"/>
    <w:rsid w:val="0057177D"/>
    <w:rsid w:val="005718FF"/>
    <w:rsid w:val="00572106"/>
    <w:rsid w:val="0057210E"/>
    <w:rsid w:val="0057302E"/>
    <w:rsid w:val="005730F6"/>
    <w:rsid w:val="005739A8"/>
    <w:rsid w:val="00573EF5"/>
    <w:rsid w:val="00573F9E"/>
    <w:rsid w:val="005746D9"/>
    <w:rsid w:val="005750C3"/>
    <w:rsid w:val="005756E3"/>
    <w:rsid w:val="00576426"/>
    <w:rsid w:val="00577846"/>
    <w:rsid w:val="00580081"/>
    <w:rsid w:val="0058012C"/>
    <w:rsid w:val="00580428"/>
    <w:rsid w:val="00580ABF"/>
    <w:rsid w:val="00581018"/>
    <w:rsid w:val="005811BE"/>
    <w:rsid w:val="00582042"/>
    <w:rsid w:val="00582810"/>
    <w:rsid w:val="00582C39"/>
    <w:rsid w:val="005830AE"/>
    <w:rsid w:val="0058351C"/>
    <w:rsid w:val="00583DAD"/>
    <w:rsid w:val="00583F5D"/>
    <w:rsid w:val="00583FD9"/>
    <w:rsid w:val="00584CE2"/>
    <w:rsid w:val="0058709B"/>
    <w:rsid w:val="00587175"/>
    <w:rsid w:val="00590022"/>
    <w:rsid w:val="00591A18"/>
    <w:rsid w:val="0059232F"/>
    <w:rsid w:val="00592364"/>
    <w:rsid w:val="005926D2"/>
    <w:rsid w:val="00593FEE"/>
    <w:rsid w:val="00593FFE"/>
    <w:rsid w:val="00594C55"/>
    <w:rsid w:val="00595E8B"/>
    <w:rsid w:val="00596099"/>
    <w:rsid w:val="00596810"/>
    <w:rsid w:val="00596AEA"/>
    <w:rsid w:val="00596E24"/>
    <w:rsid w:val="005977CA"/>
    <w:rsid w:val="005A249A"/>
    <w:rsid w:val="005A2791"/>
    <w:rsid w:val="005A2E39"/>
    <w:rsid w:val="005A2F75"/>
    <w:rsid w:val="005A475A"/>
    <w:rsid w:val="005A4CFE"/>
    <w:rsid w:val="005A53B6"/>
    <w:rsid w:val="005A5DF5"/>
    <w:rsid w:val="005A60F9"/>
    <w:rsid w:val="005A628C"/>
    <w:rsid w:val="005A643D"/>
    <w:rsid w:val="005A783B"/>
    <w:rsid w:val="005A7FF6"/>
    <w:rsid w:val="005B03CE"/>
    <w:rsid w:val="005B13DA"/>
    <w:rsid w:val="005B156B"/>
    <w:rsid w:val="005B1CAA"/>
    <w:rsid w:val="005B37C7"/>
    <w:rsid w:val="005B391C"/>
    <w:rsid w:val="005B3EA0"/>
    <w:rsid w:val="005B4252"/>
    <w:rsid w:val="005B49DC"/>
    <w:rsid w:val="005B625F"/>
    <w:rsid w:val="005B6283"/>
    <w:rsid w:val="005B63CC"/>
    <w:rsid w:val="005B6E94"/>
    <w:rsid w:val="005B77C7"/>
    <w:rsid w:val="005B7B18"/>
    <w:rsid w:val="005B7CC2"/>
    <w:rsid w:val="005B7FB5"/>
    <w:rsid w:val="005C143E"/>
    <w:rsid w:val="005C2D7F"/>
    <w:rsid w:val="005C2E07"/>
    <w:rsid w:val="005C394B"/>
    <w:rsid w:val="005C4A84"/>
    <w:rsid w:val="005C4CA0"/>
    <w:rsid w:val="005C4D77"/>
    <w:rsid w:val="005C54EC"/>
    <w:rsid w:val="005C5D75"/>
    <w:rsid w:val="005C60ED"/>
    <w:rsid w:val="005C6519"/>
    <w:rsid w:val="005C6A31"/>
    <w:rsid w:val="005C7F11"/>
    <w:rsid w:val="005D21B6"/>
    <w:rsid w:val="005D25D4"/>
    <w:rsid w:val="005D25FA"/>
    <w:rsid w:val="005D279D"/>
    <w:rsid w:val="005D401F"/>
    <w:rsid w:val="005D40B1"/>
    <w:rsid w:val="005D4761"/>
    <w:rsid w:val="005D47F6"/>
    <w:rsid w:val="005D4D7D"/>
    <w:rsid w:val="005D51B6"/>
    <w:rsid w:val="005D56DE"/>
    <w:rsid w:val="005D66AC"/>
    <w:rsid w:val="005D7B60"/>
    <w:rsid w:val="005E09AD"/>
    <w:rsid w:val="005E187E"/>
    <w:rsid w:val="005E2976"/>
    <w:rsid w:val="005E340E"/>
    <w:rsid w:val="005E37F5"/>
    <w:rsid w:val="005E4F2F"/>
    <w:rsid w:val="005E5C24"/>
    <w:rsid w:val="005E70D1"/>
    <w:rsid w:val="005E748D"/>
    <w:rsid w:val="005E7B3C"/>
    <w:rsid w:val="005F06B3"/>
    <w:rsid w:val="005F0EFD"/>
    <w:rsid w:val="005F12B0"/>
    <w:rsid w:val="005F15A9"/>
    <w:rsid w:val="005F1694"/>
    <w:rsid w:val="005F17D4"/>
    <w:rsid w:val="005F1A36"/>
    <w:rsid w:val="005F2B02"/>
    <w:rsid w:val="005F2D2F"/>
    <w:rsid w:val="005F2E43"/>
    <w:rsid w:val="005F39FA"/>
    <w:rsid w:val="005F3FA7"/>
    <w:rsid w:val="005F415C"/>
    <w:rsid w:val="005F5266"/>
    <w:rsid w:val="005F5791"/>
    <w:rsid w:val="005F5A5E"/>
    <w:rsid w:val="005F5F5C"/>
    <w:rsid w:val="005F64B5"/>
    <w:rsid w:val="005F667D"/>
    <w:rsid w:val="005F788B"/>
    <w:rsid w:val="0060077B"/>
    <w:rsid w:val="00601524"/>
    <w:rsid w:val="00601C23"/>
    <w:rsid w:val="006039DB"/>
    <w:rsid w:val="00603AEF"/>
    <w:rsid w:val="00605C53"/>
    <w:rsid w:val="00606276"/>
    <w:rsid w:val="00610948"/>
    <w:rsid w:val="00611D80"/>
    <w:rsid w:val="00613200"/>
    <w:rsid w:val="006137C3"/>
    <w:rsid w:val="006147B9"/>
    <w:rsid w:val="0061492B"/>
    <w:rsid w:val="00614A1F"/>
    <w:rsid w:val="00614B56"/>
    <w:rsid w:val="00614E47"/>
    <w:rsid w:val="00615527"/>
    <w:rsid w:val="00615B42"/>
    <w:rsid w:val="00615E3D"/>
    <w:rsid w:val="00616051"/>
    <w:rsid w:val="00616854"/>
    <w:rsid w:val="0061762A"/>
    <w:rsid w:val="00620BEB"/>
    <w:rsid w:val="00621908"/>
    <w:rsid w:val="00623127"/>
    <w:rsid w:val="0062335A"/>
    <w:rsid w:val="006234CD"/>
    <w:rsid w:val="006239B4"/>
    <w:rsid w:val="00623A9D"/>
    <w:rsid w:val="006245A3"/>
    <w:rsid w:val="00624DC1"/>
    <w:rsid w:val="00625A01"/>
    <w:rsid w:val="00625FA4"/>
    <w:rsid w:val="006260DB"/>
    <w:rsid w:val="00626F23"/>
    <w:rsid w:val="00626F72"/>
    <w:rsid w:val="006273D2"/>
    <w:rsid w:val="00627555"/>
    <w:rsid w:val="00627606"/>
    <w:rsid w:val="0063070E"/>
    <w:rsid w:val="0063080D"/>
    <w:rsid w:val="00630980"/>
    <w:rsid w:val="00630B1C"/>
    <w:rsid w:val="00630C06"/>
    <w:rsid w:val="006314B7"/>
    <w:rsid w:val="0063274D"/>
    <w:rsid w:val="006327B8"/>
    <w:rsid w:val="006328BC"/>
    <w:rsid w:val="006338B1"/>
    <w:rsid w:val="00633A72"/>
    <w:rsid w:val="00633ADA"/>
    <w:rsid w:val="00633F4B"/>
    <w:rsid w:val="0063503F"/>
    <w:rsid w:val="00635310"/>
    <w:rsid w:val="00635F87"/>
    <w:rsid w:val="00636523"/>
    <w:rsid w:val="006366E2"/>
    <w:rsid w:val="006370BA"/>
    <w:rsid w:val="00637150"/>
    <w:rsid w:val="006378B3"/>
    <w:rsid w:val="00637E71"/>
    <w:rsid w:val="006407A1"/>
    <w:rsid w:val="00641432"/>
    <w:rsid w:val="00641B42"/>
    <w:rsid w:val="00642137"/>
    <w:rsid w:val="0064256C"/>
    <w:rsid w:val="00642EC6"/>
    <w:rsid w:val="006430A9"/>
    <w:rsid w:val="0064329B"/>
    <w:rsid w:val="006443C3"/>
    <w:rsid w:val="00645113"/>
    <w:rsid w:val="00645BF2"/>
    <w:rsid w:val="00645D63"/>
    <w:rsid w:val="00646A18"/>
    <w:rsid w:val="00646EBA"/>
    <w:rsid w:val="00646ED5"/>
    <w:rsid w:val="00647B79"/>
    <w:rsid w:val="00650CCB"/>
    <w:rsid w:val="006519BF"/>
    <w:rsid w:val="006529F2"/>
    <w:rsid w:val="00652ADA"/>
    <w:rsid w:val="00652CE0"/>
    <w:rsid w:val="00652E34"/>
    <w:rsid w:val="00653B26"/>
    <w:rsid w:val="00653E17"/>
    <w:rsid w:val="00654FD1"/>
    <w:rsid w:val="00654FF8"/>
    <w:rsid w:val="006571D9"/>
    <w:rsid w:val="00657292"/>
    <w:rsid w:val="00661CAA"/>
    <w:rsid w:val="00661EB5"/>
    <w:rsid w:val="006625AE"/>
    <w:rsid w:val="00662B1F"/>
    <w:rsid w:val="006631F4"/>
    <w:rsid w:val="00663F03"/>
    <w:rsid w:val="006653F2"/>
    <w:rsid w:val="0066544B"/>
    <w:rsid w:val="00665E55"/>
    <w:rsid w:val="006671D4"/>
    <w:rsid w:val="00667EDD"/>
    <w:rsid w:val="00670327"/>
    <w:rsid w:val="00670DEE"/>
    <w:rsid w:val="00671903"/>
    <w:rsid w:val="00672074"/>
    <w:rsid w:val="006720A6"/>
    <w:rsid w:val="00672817"/>
    <w:rsid w:val="00673F23"/>
    <w:rsid w:val="006740EB"/>
    <w:rsid w:val="006742CB"/>
    <w:rsid w:val="006744A2"/>
    <w:rsid w:val="006744E9"/>
    <w:rsid w:val="0067508E"/>
    <w:rsid w:val="00675A9D"/>
    <w:rsid w:val="00676462"/>
    <w:rsid w:val="00676D4D"/>
    <w:rsid w:val="0068029C"/>
    <w:rsid w:val="00680340"/>
    <w:rsid w:val="006815A1"/>
    <w:rsid w:val="00682CB4"/>
    <w:rsid w:val="00683666"/>
    <w:rsid w:val="006856A6"/>
    <w:rsid w:val="0068573B"/>
    <w:rsid w:val="00685968"/>
    <w:rsid w:val="00687BAE"/>
    <w:rsid w:val="0069014C"/>
    <w:rsid w:val="00690861"/>
    <w:rsid w:val="00690D13"/>
    <w:rsid w:val="00690D4B"/>
    <w:rsid w:val="006926EE"/>
    <w:rsid w:val="006934FC"/>
    <w:rsid w:val="00693DA7"/>
    <w:rsid w:val="006945CD"/>
    <w:rsid w:val="00694F10"/>
    <w:rsid w:val="00695061"/>
    <w:rsid w:val="006951BC"/>
    <w:rsid w:val="00695639"/>
    <w:rsid w:val="00695C33"/>
    <w:rsid w:val="00696B39"/>
    <w:rsid w:val="00697015"/>
    <w:rsid w:val="00697801"/>
    <w:rsid w:val="00697B54"/>
    <w:rsid w:val="006A061C"/>
    <w:rsid w:val="006A067E"/>
    <w:rsid w:val="006A0BBE"/>
    <w:rsid w:val="006A129B"/>
    <w:rsid w:val="006A1FAD"/>
    <w:rsid w:val="006A2C9C"/>
    <w:rsid w:val="006A3046"/>
    <w:rsid w:val="006A324F"/>
    <w:rsid w:val="006A36BC"/>
    <w:rsid w:val="006A50C4"/>
    <w:rsid w:val="006A5E1A"/>
    <w:rsid w:val="006A69F1"/>
    <w:rsid w:val="006A7265"/>
    <w:rsid w:val="006A7A21"/>
    <w:rsid w:val="006B0153"/>
    <w:rsid w:val="006B018F"/>
    <w:rsid w:val="006B046B"/>
    <w:rsid w:val="006B0B4A"/>
    <w:rsid w:val="006B1E67"/>
    <w:rsid w:val="006B23BC"/>
    <w:rsid w:val="006B2977"/>
    <w:rsid w:val="006B2CA8"/>
    <w:rsid w:val="006B329C"/>
    <w:rsid w:val="006B32F4"/>
    <w:rsid w:val="006B3699"/>
    <w:rsid w:val="006B3787"/>
    <w:rsid w:val="006B3AC5"/>
    <w:rsid w:val="006B40AE"/>
    <w:rsid w:val="006B4A65"/>
    <w:rsid w:val="006B4DF1"/>
    <w:rsid w:val="006B6410"/>
    <w:rsid w:val="006B7A65"/>
    <w:rsid w:val="006B7C31"/>
    <w:rsid w:val="006C08D2"/>
    <w:rsid w:val="006C1A3F"/>
    <w:rsid w:val="006C1D80"/>
    <w:rsid w:val="006C1F14"/>
    <w:rsid w:val="006C1F33"/>
    <w:rsid w:val="006C206C"/>
    <w:rsid w:val="006C2A90"/>
    <w:rsid w:val="006C2E37"/>
    <w:rsid w:val="006C30E2"/>
    <w:rsid w:val="006C454F"/>
    <w:rsid w:val="006C4A81"/>
    <w:rsid w:val="006C4D87"/>
    <w:rsid w:val="006C53E1"/>
    <w:rsid w:val="006C54C6"/>
    <w:rsid w:val="006C5B62"/>
    <w:rsid w:val="006C5C18"/>
    <w:rsid w:val="006C6046"/>
    <w:rsid w:val="006C72C5"/>
    <w:rsid w:val="006C7317"/>
    <w:rsid w:val="006D0259"/>
    <w:rsid w:val="006D23CA"/>
    <w:rsid w:val="006D25F2"/>
    <w:rsid w:val="006D30B9"/>
    <w:rsid w:val="006D3CCE"/>
    <w:rsid w:val="006D4307"/>
    <w:rsid w:val="006D4C79"/>
    <w:rsid w:val="006D5335"/>
    <w:rsid w:val="006D55D9"/>
    <w:rsid w:val="006D5895"/>
    <w:rsid w:val="006D6373"/>
    <w:rsid w:val="006D6BA5"/>
    <w:rsid w:val="006D6C24"/>
    <w:rsid w:val="006D6C3A"/>
    <w:rsid w:val="006D715B"/>
    <w:rsid w:val="006D7732"/>
    <w:rsid w:val="006D79EE"/>
    <w:rsid w:val="006D7F7E"/>
    <w:rsid w:val="006E0637"/>
    <w:rsid w:val="006E0E13"/>
    <w:rsid w:val="006E1BE5"/>
    <w:rsid w:val="006E204B"/>
    <w:rsid w:val="006E2C53"/>
    <w:rsid w:val="006E2D44"/>
    <w:rsid w:val="006E2F75"/>
    <w:rsid w:val="006E4266"/>
    <w:rsid w:val="006E4801"/>
    <w:rsid w:val="006E4FD1"/>
    <w:rsid w:val="006E58B2"/>
    <w:rsid w:val="006E64BD"/>
    <w:rsid w:val="006E730F"/>
    <w:rsid w:val="006E743E"/>
    <w:rsid w:val="006E7445"/>
    <w:rsid w:val="006E7992"/>
    <w:rsid w:val="006F0475"/>
    <w:rsid w:val="006F0B33"/>
    <w:rsid w:val="006F1843"/>
    <w:rsid w:val="006F1CEA"/>
    <w:rsid w:val="006F1EB5"/>
    <w:rsid w:val="006F200B"/>
    <w:rsid w:val="006F26FB"/>
    <w:rsid w:val="006F35F2"/>
    <w:rsid w:val="006F369C"/>
    <w:rsid w:val="006F3C31"/>
    <w:rsid w:val="006F4CCD"/>
    <w:rsid w:val="006F5F1C"/>
    <w:rsid w:val="006F6160"/>
    <w:rsid w:val="006F6CC5"/>
    <w:rsid w:val="00700CF2"/>
    <w:rsid w:val="00701618"/>
    <w:rsid w:val="007016DB"/>
    <w:rsid w:val="00702EDE"/>
    <w:rsid w:val="00703379"/>
    <w:rsid w:val="00703428"/>
    <w:rsid w:val="007035CA"/>
    <w:rsid w:val="007053E7"/>
    <w:rsid w:val="00706A01"/>
    <w:rsid w:val="00707175"/>
    <w:rsid w:val="00711378"/>
    <w:rsid w:val="00711649"/>
    <w:rsid w:val="00711E3E"/>
    <w:rsid w:val="00712879"/>
    <w:rsid w:val="00713499"/>
    <w:rsid w:val="007134E4"/>
    <w:rsid w:val="00713D6C"/>
    <w:rsid w:val="00714410"/>
    <w:rsid w:val="0071500F"/>
    <w:rsid w:val="00715CA7"/>
    <w:rsid w:val="007160AE"/>
    <w:rsid w:val="00716648"/>
    <w:rsid w:val="0071733D"/>
    <w:rsid w:val="007179FB"/>
    <w:rsid w:val="0072019B"/>
    <w:rsid w:val="00721EBF"/>
    <w:rsid w:val="007221B5"/>
    <w:rsid w:val="0072400E"/>
    <w:rsid w:val="007244B9"/>
    <w:rsid w:val="007248E3"/>
    <w:rsid w:val="00724979"/>
    <w:rsid w:val="00724E31"/>
    <w:rsid w:val="00725C7C"/>
    <w:rsid w:val="00725D6D"/>
    <w:rsid w:val="0072623C"/>
    <w:rsid w:val="007264BA"/>
    <w:rsid w:val="00726DCC"/>
    <w:rsid w:val="00726DFE"/>
    <w:rsid w:val="007275D4"/>
    <w:rsid w:val="00731135"/>
    <w:rsid w:val="00731A8D"/>
    <w:rsid w:val="00732593"/>
    <w:rsid w:val="0073278A"/>
    <w:rsid w:val="00734B46"/>
    <w:rsid w:val="00734B5C"/>
    <w:rsid w:val="00734DE8"/>
    <w:rsid w:val="0073532D"/>
    <w:rsid w:val="0073614C"/>
    <w:rsid w:val="00736781"/>
    <w:rsid w:val="00736D62"/>
    <w:rsid w:val="00737BD1"/>
    <w:rsid w:val="00741DD2"/>
    <w:rsid w:val="007422D1"/>
    <w:rsid w:val="00742703"/>
    <w:rsid w:val="007430C6"/>
    <w:rsid w:val="00744938"/>
    <w:rsid w:val="007454DC"/>
    <w:rsid w:val="00745C0D"/>
    <w:rsid w:val="00747208"/>
    <w:rsid w:val="007476AF"/>
    <w:rsid w:val="00750AD3"/>
    <w:rsid w:val="00750E9B"/>
    <w:rsid w:val="00751E0B"/>
    <w:rsid w:val="00752AA7"/>
    <w:rsid w:val="007557D3"/>
    <w:rsid w:val="0075640C"/>
    <w:rsid w:val="0075658D"/>
    <w:rsid w:val="00756BA2"/>
    <w:rsid w:val="00757CB3"/>
    <w:rsid w:val="007606D6"/>
    <w:rsid w:val="0076076A"/>
    <w:rsid w:val="007608E0"/>
    <w:rsid w:val="00760A9E"/>
    <w:rsid w:val="007610E5"/>
    <w:rsid w:val="00761305"/>
    <w:rsid w:val="00762525"/>
    <w:rsid w:val="00762EFC"/>
    <w:rsid w:val="00763234"/>
    <w:rsid w:val="007632F3"/>
    <w:rsid w:val="007635A5"/>
    <w:rsid w:val="00766499"/>
    <w:rsid w:val="007672ED"/>
    <w:rsid w:val="00767427"/>
    <w:rsid w:val="00767DAD"/>
    <w:rsid w:val="00767DFC"/>
    <w:rsid w:val="007711A3"/>
    <w:rsid w:val="00771437"/>
    <w:rsid w:val="00771582"/>
    <w:rsid w:val="00772878"/>
    <w:rsid w:val="00774B8D"/>
    <w:rsid w:val="00774DD8"/>
    <w:rsid w:val="00775341"/>
    <w:rsid w:val="00777053"/>
    <w:rsid w:val="00777ACE"/>
    <w:rsid w:val="0078029B"/>
    <w:rsid w:val="00780370"/>
    <w:rsid w:val="00780F48"/>
    <w:rsid w:val="007810A6"/>
    <w:rsid w:val="00781282"/>
    <w:rsid w:val="00781FE3"/>
    <w:rsid w:val="00782B7F"/>
    <w:rsid w:val="00782FBD"/>
    <w:rsid w:val="0078314C"/>
    <w:rsid w:val="00783A9E"/>
    <w:rsid w:val="00783AC4"/>
    <w:rsid w:val="00784329"/>
    <w:rsid w:val="007845A0"/>
    <w:rsid w:val="00784AAE"/>
    <w:rsid w:val="00785037"/>
    <w:rsid w:val="00786305"/>
    <w:rsid w:val="007874CA"/>
    <w:rsid w:val="00787F2D"/>
    <w:rsid w:val="00790456"/>
    <w:rsid w:val="007915A3"/>
    <w:rsid w:val="007922C3"/>
    <w:rsid w:val="007923DC"/>
    <w:rsid w:val="00792979"/>
    <w:rsid w:val="007930EC"/>
    <w:rsid w:val="0079327D"/>
    <w:rsid w:val="007935AD"/>
    <w:rsid w:val="00793ADD"/>
    <w:rsid w:val="00794833"/>
    <w:rsid w:val="00794D04"/>
    <w:rsid w:val="00794D0A"/>
    <w:rsid w:val="00795163"/>
    <w:rsid w:val="007954E2"/>
    <w:rsid w:val="00795AC2"/>
    <w:rsid w:val="0079687D"/>
    <w:rsid w:val="00797683"/>
    <w:rsid w:val="00797700"/>
    <w:rsid w:val="00797AAC"/>
    <w:rsid w:val="007A0402"/>
    <w:rsid w:val="007A0842"/>
    <w:rsid w:val="007A1875"/>
    <w:rsid w:val="007A1EE2"/>
    <w:rsid w:val="007A4079"/>
    <w:rsid w:val="007A4229"/>
    <w:rsid w:val="007A4FFA"/>
    <w:rsid w:val="007A51FA"/>
    <w:rsid w:val="007A5405"/>
    <w:rsid w:val="007A57DF"/>
    <w:rsid w:val="007A5BC6"/>
    <w:rsid w:val="007A5BD4"/>
    <w:rsid w:val="007A63C3"/>
    <w:rsid w:val="007A6941"/>
    <w:rsid w:val="007A697A"/>
    <w:rsid w:val="007A7F89"/>
    <w:rsid w:val="007B09BA"/>
    <w:rsid w:val="007B0B8A"/>
    <w:rsid w:val="007B11C4"/>
    <w:rsid w:val="007B35E5"/>
    <w:rsid w:val="007B3CC4"/>
    <w:rsid w:val="007B4729"/>
    <w:rsid w:val="007B48B2"/>
    <w:rsid w:val="007B5B6E"/>
    <w:rsid w:val="007B5CD8"/>
    <w:rsid w:val="007B6DCE"/>
    <w:rsid w:val="007B7EA1"/>
    <w:rsid w:val="007C14BE"/>
    <w:rsid w:val="007C1612"/>
    <w:rsid w:val="007C2C96"/>
    <w:rsid w:val="007C342E"/>
    <w:rsid w:val="007C4267"/>
    <w:rsid w:val="007C4AAF"/>
    <w:rsid w:val="007C4B32"/>
    <w:rsid w:val="007C6D06"/>
    <w:rsid w:val="007C748B"/>
    <w:rsid w:val="007C7ABE"/>
    <w:rsid w:val="007C7D55"/>
    <w:rsid w:val="007D1901"/>
    <w:rsid w:val="007D21C2"/>
    <w:rsid w:val="007D2FBE"/>
    <w:rsid w:val="007D35AB"/>
    <w:rsid w:val="007D3657"/>
    <w:rsid w:val="007D3FA4"/>
    <w:rsid w:val="007D4A16"/>
    <w:rsid w:val="007D53D4"/>
    <w:rsid w:val="007D59BF"/>
    <w:rsid w:val="007D6009"/>
    <w:rsid w:val="007D74D9"/>
    <w:rsid w:val="007D75E6"/>
    <w:rsid w:val="007D7ACE"/>
    <w:rsid w:val="007E04C6"/>
    <w:rsid w:val="007E06A5"/>
    <w:rsid w:val="007E1448"/>
    <w:rsid w:val="007E2909"/>
    <w:rsid w:val="007E2E45"/>
    <w:rsid w:val="007E3039"/>
    <w:rsid w:val="007E4E26"/>
    <w:rsid w:val="007E4EA4"/>
    <w:rsid w:val="007E5B8D"/>
    <w:rsid w:val="007E5F37"/>
    <w:rsid w:val="007E628E"/>
    <w:rsid w:val="007E630C"/>
    <w:rsid w:val="007E6D0E"/>
    <w:rsid w:val="007E6FD0"/>
    <w:rsid w:val="007E7EC0"/>
    <w:rsid w:val="007F0C63"/>
    <w:rsid w:val="007F0E98"/>
    <w:rsid w:val="007F1893"/>
    <w:rsid w:val="007F2392"/>
    <w:rsid w:val="007F2918"/>
    <w:rsid w:val="007F3171"/>
    <w:rsid w:val="007F380C"/>
    <w:rsid w:val="007F38AA"/>
    <w:rsid w:val="007F4926"/>
    <w:rsid w:val="007F49A8"/>
    <w:rsid w:val="007F4B7D"/>
    <w:rsid w:val="007F6768"/>
    <w:rsid w:val="007F6A51"/>
    <w:rsid w:val="007F75C2"/>
    <w:rsid w:val="007F7C8F"/>
    <w:rsid w:val="00800B28"/>
    <w:rsid w:val="00801608"/>
    <w:rsid w:val="00801985"/>
    <w:rsid w:val="00801A38"/>
    <w:rsid w:val="00803398"/>
    <w:rsid w:val="0080370A"/>
    <w:rsid w:val="00803BD3"/>
    <w:rsid w:val="00804132"/>
    <w:rsid w:val="0080438E"/>
    <w:rsid w:val="00804A78"/>
    <w:rsid w:val="00805BAA"/>
    <w:rsid w:val="00805BEE"/>
    <w:rsid w:val="00807139"/>
    <w:rsid w:val="008076BB"/>
    <w:rsid w:val="00807C04"/>
    <w:rsid w:val="008106D0"/>
    <w:rsid w:val="0081203C"/>
    <w:rsid w:val="0081284A"/>
    <w:rsid w:val="00812FAA"/>
    <w:rsid w:val="0081373D"/>
    <w:rsid w:val="0081455C"/>
    <w:rsid w:val="008152C2"/>
    <w:rsid w:val="0081536F"/>
    <w:rsid w:val="00815C7B"/>
    <w:rsid w:val="00815D99"/>
    <w:rsid w:val="00815F2A"/>
    <w:rsid w:val="00816134"/>
    <w:rsid w:val="0081692D"/>
    <w:rsid w:val="00816FBE"/>
    <w:rsid w:val="00817662"/>
    <w:rsid w:val="0081780D"/>
    <w:rsid w:val="00817C5A"/>
    <w:rsid w:val="00820EA3"/>
    <w:rsid w:val="00821027"/>
    <w:rsid w:val="00821A80"/>
    <w:rsid w:val="00822C17"/>
    <w:rsid w:val="008231BE"/>
    <w:rsid w:val="008232EE"/>
    <w:rsid w:val="0082406F"/>
    <w:rsid w:val="00824994"/>
    <w:rsid w:val="0082649B"/>
    <w:rsid w:val="00826A17"/>
    <w:rsid w:val="00826D8A"/>
    <w:rsid w:val="00830BB3"/>
    <w:rsid w:val="00830C00"/>
    <w:rsid w:val="008318A4"/>
    <w:rsid w:val="00831B6E"/>
    <w:rsid w:val="008371AB"/>
    <w:rsid w:val="00837799"/>
    <w:rsid w:val="008403DD"/>
    <w:rsid w:val="0084063C"/>
    <w:rsid w:val="00840831"/>
    <w:rsid w:val="008408B8"/>
    <w:rsid w:val="008412A3"/>
    <w:rsid w:val="008416DB"/>
    <w:rsid w:val="0084180E"/>
    <w:rsid w:val="00841B3F"/>
    <w:rsid w:val="00842C79"/>
    <w:rsid w:val="00843D2B"/>
    <w:rsid w:val="0084431A"/>
    <w:rsid w:val="008445D3"/>
    <w:rsid w:val="00844CB0"/>
    <w:rsid w:val="0084518E"/>
    <w:rsid w:val="00845796"/>
    <w:rsid w:val="008457BB"/>
    <w:rsid w:val="008463A2"/>
    <w:rsid w:val="008464B9"/>
    <w:rsid w:val="0084742A"/>
    <w:rsid w:val="008479AB"/>
    <w:rsid w:val="00847E9B"/>
    <w:rsid w:val="0085001D"/>
    <w:rsid w:val="00850343"/>
    <w:rsid w:val="008519C1"/>
    <w:rsid w:val="00851A29"/>
    <w:rsid w:val="008522F6"/>
    <w:rsid w:val="00852981"/>
    <w:rsid w:val="00854BD3"/>
    <w:rsid w:val="008561C6"/>
    <w:rsid w:val="00857016"/>
    <w:rsid w:val="00857884"/>
    <w:rsid w:val="00857A5C"/>
    <w:rsid w:val="00857C35"/>
    <w:rsid w:val="00862763"/>
    <w:rsid w:val="0086441B"/>
    <w:rsid w:val="008652D5"/>
    <w:rsid w:val="0086564E"/>
    <w:rsid w:val="00865806"/>
    <w:rsid w:val="00865B76"/>
    <w:rsid w:val="00865F5F"/>
    <w:rsid w:val="00866207"/>
    <w:rsid w:val="00866458"/>
    <w:rsid w:val="00866BE8"/>
    <w:rsid w:val="008703D5"/>
    <w:rsid w:val="00870F7A"/>
    <w:rsid w:val="00871E55"/>
    <w:rsid w:val="00872543"/>
    <w:rsid w:val="008726F2"/>
    <w:rsid w:val="00872A2A"/>
    <w:rsid w:val="00872C39"/>
    <w:rsid w:val="00872F28"/>
    <w:rsid w:val="00873878"/>
    <w:rsid w:val="008739F1"/>
    <w:rsid w:val="00873A0A"/>
    <w:rsid w:val="00873B4A"/>
    <w:rsid w:val="00874B4F"/>
    <w:rsid w:val="0087544E"/>
    <w:rsid w:val="008759A2"/>
    <w:rsid w:val="00876326"/>
    <w:rsid w:val="0087650E"/>
    <w:rsid w:val="008773F7"/>
    <w:rsid w:val="00877772"/>
    <w:rsid w:val="0088119D"/>
    <w:rsid w:val="00881268"/>
    <w:rsid w:val="008813D1"/>
    <w:rsid w:val="00881786"/>
    <w:rsid w:val="00881997"/>
    <w:rsid w:val="00882002"/>
    <w:rsid w:val="00882771"/>
    <w:rsid w:val="00882A09"/>
    <w:rsid w:val="00882E1D"/>
    <w:rsid w:val="0088449A"/>
    <w:rsid w:val="00884A1A"/>
    <w:rsid w:val="00884CB3"/>
    <w:rsid w:val="00884CCB"/>
    <w:rsid w:val="0088596A"/>
    <w:rsid w:val="0088668A"/>
    <w:rsid w:val="008868AB"/>
    <w:rsid w:val="00886B6B"/>
    <w:rsid w:val="0088706A"/>
    <w:rsid w:val="008879F3"/>
    <w:rsid w:val="008900F4"/>
    <w:rsid w:val="00890814"/>
    <w:rsid w:val="00890E97"/>
    <w:rsid w:val="00890F3F"/>
    <w:rsid w:val="00890F61"/>
    <w:rsid w:val="00890FA2"/>
    <w:rsid w:val="0089143E"/>
    <w:rsid w:val="00891A9E"/>
    <w:rsid w:val="00895D23"/>
    <w:rsid w:val="008963F9"/>
    <w:rsid w:val="00896401"/>
    <w:rsid w:val="0089752C"/>
    <w:rsid w:val="008A0C6E"/>
    <w:rsid w:val="008A1079"/>
    <w:rsid w:val="008A10E3"/>
    <w:rsid w:val="008A1D52"/>
    <w:rsid w:val="008A20C0"/>
    <w:rsid w:val="008A2F4F"/>
    <w:rsid w:val="008A3DA5"/>
    <w:rsid w:val="008A4400"/>
    <w:rsid w:val="008A4505"/>
    <w:rsid w:val="008A4DC9"/>
    <w:rsid w:val="008A57DC"/>
    <w:rsid w:val="008A595D"/>
    <w:rsid w:val="008A6CF2"/>
    <w:rsid w:val="008B054F"/>
    <w:rsid w:val="008B05C2"/>
    <w:rsid w:val="008B0701"/>
    <w:rsid w:val="008B07DC"/>
    <w:rsid w:val="008B0D44"/>
    <w:rsid w:val="008B1002"/>
    <w:rsid w:val="008B10A7"/>
    <w:rsid w:val="008B3883"/>
    <w:rsid w:val="008B3B4B"/>
    <w:rsid w:val="008B3CFA"/>
    <w:rsid w:val="008B4076"/>
    <w:rsid w:val="008B4184"/>
    <w:rsid w:val="008B41EA"/>
    <w:rsid w:val="008B5346"/>
    <w:rsid w:val="008B6231"/>
    <w:rsid w:val="008C0088"/>
    <w:rsid w:val="008C0F06"/>
    <w:rsid w:val="008C152A"/>
    <w:rsid w:val="008C15D9"/>
    <w:rsid w:val="008C1AE1"/>
    <w:rsid w:val="008C2817"/>
    <w:rsid w:val="008C2DF3"/>
    <w:rsid w:val="008C352A"/>
    <w:rsid w:val="008C3755"/>
    <w:rsid w:val="008C3C3D"/>
    <w:rsid w:val="008C3C5A"/>
    <w:rsid w:val="008C422D"/>
    <w:rsid w:val="008C452E"/>
    <w:rsid w:val="008C6437"/>
    <w:rsid w:val="008C670D"/>
    <w:rsid w:val="008C6B03"/>
    <w:rsid w:val="008C725C"/>
    <w:rsid w:val="008C745C"/>
    <w:rsid w:val="008D043E"/>
    <w:rsid w:val="008D0926"/>
    <w:rsid w:val="008D0F16"/>
    <w:rsid w:val="008D1505"/>
    <w:rsid w:val="008D15B5"/>
    <w:rsid w:val="008D1A93"/>
    <w:rsid w:val="008D354A"/>
    <w:rsid w:val="008D3763"/>
    <w:rsid w:val="008D3B22"/>
    <w:rsid w:val="008D4097"/>
    <w:rsid w:val="008D4290"/>
    <w:rsid w:val="008D43D0"/>
    <w:rsid w:val="008D4453"/>
    <w:rsid w:val="008D4A40"/>
    <w:rsid w:val="008D4E47"/>
    <w:rsid w:val="008D5CB3"/>
    <w:rsid w:val="008D62F9"/>
    <w:rsid w:val="008D6808"/>
    <w:rsid w:val="008D6C7A"/>
    <w:rsid w:val="008D7ACB"/>
    <w:rsid w:val="008E00F4"/>
    <w:rsid w:val="008E02D3"/>
    <w:rsid w:val="008E0F1A"/>
    <w:rsid w:val="008E0FED"/>
    <w:rsid w:val="008E1250"/>
    <w:rsid w:val="008E1DA8"/>
    <w:rsid w:val="008E2B38"/>
    <w:rsid w:val="008E315E"/>
    <w:rsid w:val="008E349A"/>
    <w:rsid w:val="008E4A26"/>
    <w:rsid w:val="008E5369"/>
    <w:rsid w:val="008E59D4"/>
    <w:rsid w:val="008E6ACB"/>
    <w:rsid w:val="008E7BFA"/>
    <w:rsid w:val="008E7D2C"/>
    <w:rsid w:val="008F05B0"/>
    <w:rsid w:val="008F0FFE"/>
    <w:rsid w:val="008F10DC"/>
    <w:rsid w:val="008F12D8"/>
    <w:rsid w:val="008F1A1F"/>
    <w:rsid w:val="008F1C67"/>
    <w:rsid w:val="008F3469"/>
    <w:rsid w:val="008F356F"/>
    <w:rsid w:val="008F3AEF"/>
    <w:rsid w:val="008F4034"/>
    <w:rsid w:val="008F43D0"/>
    <w:rsid w:val="008F45A2"/>
    <w:rsid w:val="008F4E4F"/>
    <w:rsid w:val="008F51B1"/>
    <w:rsid w:val="008F6196"/>
    <w:rsid w:val="008F6487"/>
    <w:rsid w:val="008F6E5D"/>
    <w:rsid w:val="008F7CE0"/>
    <w:rsid w:val="008F7CE1"/>
    <w:rsid w:val="009003A0"/>
    <w:rsid w:val="00900779"/>
    <w:rsid w:val="00902E83"/>
    <w:rsid w:val="00903939"/>
    <w:rsid w:val="00904041"/>
    <w:rsid w:val="00904235"/>
    <w:rsid w:val="009046F5"/>
    <w:rsid w:val="009059C3"/>
    <w:rsid w:val="00905BA2"/>
    <w:rsid w:val="00905DB8"/>
    <w:rsid w:val="0090600F"/>
    <w:rsid w:val="00906DAA"/>
    <w:rsid w:val="009073C7"/>
    <w:rsid w:val="0091045D"/>
    <w:rsid w:val="00910699"/>
    <w:rsid w:val="00911C4B"/>
    <w:rsid w:val="00911D45"/>
    <w:rsid w:val="00912507"/>
    <w:rsid w:val="00912E2A"/>
    <w:rsid w:val="00913ECC"/>
    <w:rsid w:val="00914E70"/>
    <w:rsid w:val="00915986"/>
    <w:rsid w:val="009171C7"/>
    <w:rsid w:val="009172FF"/>
    <w:rsid w:val="009200CD"/>
    <w:rsid w:val="00920651"/>
    <w:rsid w:val="00920884"/>
    <w:rsid w:val="00920AE2"/>
    <w:rsid w:val="00920AEE"/>
    <w:rsid w:val="00920D5A"/>
    <w:rsid w:val="00921DFD"/>
    <w:rsid w:val="0092350D"/>
    <w:rsid w:val="00923E0E"/>
    <w:rsid w:val="00923FB8"/>
    <w:rsid w:val="009243FB"/>
    <w:rsid w:val="00924D8F"/>
    <w:rsid w:val="009251B6"/>
    <w:rsid w:val="0092531B"/>
    <w:rsid w:val="00925C8E"/>
    <w:rsid w:val="00926907"/>
    <w:rsid w:val="009272AA"/>
    <w:rsid w:val="00927C0B"/>
    <w:rsid w:val="0093060F"/>
    <w:rsid w:val="00931DBA"/>
    <w:rsid w:val="009320DC"/>
    <w:rsid w:val="0093228E"/>
    <w:rsid w:val="00932D87"/>
    <w:rsid w:val="00932F28"/>
    <w:rsid w:val="00932F9A"/>
    <w:rsid w:val="00933848"/>
    <w:rsid w:val="0093387B"/>
    <w:rsid w:val="009342B0"/>
    <w:rsid w:val="009343D4"/>
    <w:rsid w:val="00934BB5"/>
    <w:rsid w:val="00935153"/>
    <w:rsid w:val="009351F2"/>
    <w:rsid w:val="00935312"/>
    <w:rsid w:val="009353B0"/>
    <w:rsid w:val="00935445"/>
    <w:rsid w:val="00935C31"/>
    <w:rsid w:val="009366A3"/>
    <w:rsid w:val="009372F2"/>
    <w:rsid w:val="00937FDD"/>
    <w:rsid w:val="0094059E"/>
    <w:rsid w:val="009407F6"/>
    <w:rsid w:val="00940CA0"/>
    <w:rsid w:val="009417CD"/>
    <w:rsid w:val="00941B81"/>
    <w:rsid w:val="00942B30"/>
    <w:rsid w:val="00942F5D"/>
    <w:rsid w:val="00943009"/>
    <w:rsid w:val="009430FD"/>
    <w:rsid w:val="009431F4"/>
    <w:rsid w:val="009436D0"/>
    <w:rsid w:val="0094373C"/>
    <w:rsid w:val="00943807"/>
    <w:rsid w:val="00943D66"/>
    <w:rsid w:val="009440AE"/>
    <w:rsid w:val="00944FE8"/>
    <w:rsid w:val="009450AE"/>
    <w:rsid w:val="009450DD"/>
    <w:rsid w:val="0094520E"/>
    <w:rsid w:val="009453D9"/>
    <w:rsid w:val="00946951"/>
    <w:rsid w:val="00947324"/>
    <w:rsid w:val="0094738E"/>
    <w:rsid w:val="0094762B"/>
    <w:rsid w:val="00947740"/>
    <w:rsid w:val="0094784E"/>
    <w:rsid w:val="00950612"/>
    <w:rsid w:val="009507C2"/>
    <w:rsid w:val="00950D6B"/>
    <w:rsid w:val="00950FC7"/>
    <w:rsid w:val="0095122F"/>
    <w:rsid w:val="00951418"/>
    <w:rsid w:val="00951A51"/>
    <w:rsid w:val="00951E8F"/>
    <w:rsid w:val="0095430A"/>
    <w:rsid w:val="00954390"/>
    <w:rsid w:val="00955590"/>
    <w:rsid w:val="009559DB"/>
    <w:rsid w:val="00956CA5"/>
    <w:rsid w:val="0096052D"/>
    <w:rsid w:val="0096064C"/>
    <w:rsid w:val="00960ADC"/>
    <w:rsid w:val="00961B8B"/>
    <w:rsid w:val="009641ED"/>
    <w:rsid w:val="00964433"/>
    <w:rsid w:val="009660A3"/>
    <w:rsid w:val="00966591"/>
    <w:rsid w:val="00966690"/>
    <w:rsid w:val="00966AA2"/>
    <w:rsid w:val="00966CF1"/>
    <w:rsid w:val="00966EE5"/>
    <w:rsid w:val="00966F04"/>
    <w:rsid w:val="009674F5"/>
    <w:rsid w:val="009679B1"/>
    <w:rsid w:val="00967DD4"/>
    <w:rsid w:val="00970FC8"/>
    <w:rsid w:val="00971282"/>
    <w:rsid w:val="00971464"/>
    <w:rsid w:val="009719A8"/>
    <w:rsid w:val="00973C0E"/>
    <w:rsid w:val="00973CB9"/>
    <w:rsid w:val="00974532"/>
    <w:rsid w:val="0097558B"/>
    <w:rsid w:val="00976168"/>
    <w:rsid w:val="0097642A"/>
    <w:rsid w:val="00976A1C"/>
    <w:rsid w:val="009772F9"/>
    <w:rsid w:val="009775DC"/>
    <w:rsid w:val="00980447"/>
    <w:rsid w:val="00980756"/>
    <w:rsid w:val="009809BC"/>
    <w:rsid w:val="009816B5"/>
    <w:rsid w:val="009818E7"/>
    <w:rsid w:val="00981C05"/>
    <w:rsid w:val="00983386"/>
    <w:rsid w:val="0098344F"/>
    <w:rsid w:val="00983900"/>
    <w:rsid w:val="00983AB9"/>
    <w:rsid w:val="0098491B"/>
    <w:rsid w:val="00984CCF"/>
    <w:rsid w:val="00984E7D"/>
    <w:rsid w:val="009851B8"/>
    <w:rsid w:val="00985600"/>
    <w:rsid w:val="00986E38"/>
    <w:rsid w:val="009875C6"/>
    <w:rsid w:val="00987CB1"/>
    <w:rsid w:val="009901BF"/>
    <w:rsid w:val="00990210"/>
    <w:rsid w:val="00991EAF"/>
    <w:rsid w:val="00992A79"/>
    <w:rsid w:val="00992D0A"/>
    <w:rsid w:val="00994352"/>
    <w:rsid w:val="009943E2"/>
    <w:rsid w:val="00994CD6"/>
    <w:rsid w:val="00994E9F"/>
    <w:rsid w:val="00996B5C"/>
    <w:rsid w:val="00996E07"/>
    <w:rsid w:val="00997198"/>
    <w:rsid w:val="009972F8"/>
    <w:rsid w:val="009977F5"/>
    <w:rsid w:val="00997DB6"/>
    <w:rsid w:val="009A21FA"/>
    <w:rsid w:val="009A2D88"/>
    <w:rsid w:val="009A3675"/>
    <w:rsid w:val="009A4024"/>
    <w:rsid w:val="009A4254"/>
    <w:rsid w:val="009A43A1"/>
    <w:rsid w:val="009A5FF3"/>
    <w:rsid w:val="009A6D2B"/>
    <w:rsid w:val="009A6D51"/>
    <w:rsid w:val="009A7EC9"/>
    <w:rsid w:val="009B02D6"/>
    <w:rsid w:val="009B03B7"/>
    <w:rsid w:val="009B04B1"/>
    <w:rsid w:val="009B0CDB"/>
    <w:rsid w:val="009B112D"/>
    <w:rsid w:val="009B12C3"/>
    <w:rsid w:val="009B175D"/>
    <w:rsid w:val="009B17DC"/>
    <w:rsid w:val="009B233F"/>
    <w:rsid w:val="009B303B"/>
    <w:rsid w:val="009B3D1F"/>
    <w:rsid w:val="009B3FC8"/>
    <w:rsid w:val="009B4329"/>
    <w:rsid w:val="009B458F"/>
    <w:rsid w:val="009B45CB"/>
    <w:rsid w:val="009B4C71"/>
    <w:rsid w:val="009B4E1D"/>
    <w:rsid w:val="009B54DC"/>
    <w:rsid w:val="009B644A"/>
    <w:rsid w:val="009B6A80"/>
    <w:rsid w:val="009B787F"/>
    <w:rsid w:val="009C0920"/>
    <w:rsid w:val="009C0925"/>
    <w:rsid w:val="009C2448"/>
    <w:rsid w:val="009C2863"/>
    <w:rsid w:val="009C2908"/>
    <w:rsid w:val="009C2E4B"/>
    <w:rsid w:val="009C2E95"/>
    <w:rsid w:val="009C37DF"/>
    <w:rsid w:val="009C3B1E"/>
    <w:rsid w:val="009C3B36"/>
    <w:rsid w:val="009C4197"/>
    <w:rsid w:val="009C56AE"/>
    <w:rsid w:val="009C6506"/>
    <w:rsid w:val="009C6795"/>
    <w:rsid w:val="009C730F"/>
    <w:rsid w:val="009C7484"/>
    <w:rsid w:val="009C74B0"/>
    <w:rsid w:val="009C77FA"/>
    <w:rsid w:val="009D01A6"/>
    <w:rsid w:val="009D0457"/>
    <w:rsid w:val="009D11DD"/>
    <w:rsid w:val="009D192E"/>
    <w:rsid w:val="009D1FEB"/>
    <w:rsid w:val="009D301F"/>
    <w:rsid w:val="009D30A8"/>
    <w:rsid w:val="009D36C6"/>
    <w:rsid w:val="009D42F0"/>
    <w:rsid w:val="009D4B34"/>
    <w:rsid w:val="009D4E44"/>
    <w:rsid w:val="009D54BE"/>
    <w:rsid w:val="009D58BA"/>
    <w:rsid w:val="009D6626"/>
    <w:rsid w:val="009D6976"/>
    <w:rsid w:val="009D6D0E"/>
    <w:rsid w:val="009D6FDF"/>
    <w:rsid w:val="009E015C"/>
    <w:rsid w:val="009E08FE"/>
    <w:rsid w:val="009E0FAF"/>
    <w:rsid w:val="009E1B29"/>
    <w:rsid w:val="009E2146"/>
    <w:rsid w:val="009E3808"/>
    <w:rsid w:val="009E3E8F"/>
    <w:rsid w:val="009E3F6A"/>
    <w:rsid w:val="009E526B"/>
    <w:rsid w:val="009E57B7"/>
    <w:rsid w:val="009E5C7B"/>
    <w:rsid w:val="009E757A"/>
    <w:rsid w:val="009E7BA7"/>
    <w:rsid w:val="009F0008"/>
    <w:rsid w:val="009F00EB"/>
    <w:rsid w:val="009F0A0D"/>
    <w:rsid w:val="009F126F"/>
    <w:rsid w:val="009F13F1"/>
    <w:rsid w:val="009F1A18"/>
    <w:rsid w:val="009F1BF2"/>
    <w:rsid w:val="009F26E3"/>
    <w:rsid w:val="009F3551"/>
    <w:rsid w:val="009F3E0C"/>
    <w:rsid w:val="009F3EFE"/>
    <w:rsid w:val="009F49C3"/>
    <w:rsid w:val="009F4C7D"/>
    <w:rsid w:val="009F4E9A"/>
    <w:rsid w:val="009F4FFF"/>
    <w:rsid w:val="009F5301"/>
    <w:rsid w:val="009F53BF"/>
    <w:rsid w:val="009F54C4"/>
    <w:rsid w:val="009F5F3B"/>
    <w:rsid w:val="009F610A"/>
    <w:rsid w:val="009F635C"/>
    <w:rsid w:val="009F795E"/>
    <w:rsid w:val="00A00E36"/>
    <w:rsid w:val="00A02294"/>
    <w:rsid w:val="00A029D8"/>
    <w:rsid w:val="00A04B2C"/>
    <w:rsid w:val="00A0623A"/>
    <w:rsid w:val="00A0672D"/>
    <w:rsid w:val="00A070BA"/>
    <w:rsid w:val="00A07247"/>
    <w:rsid w:val="00A07E9A"/>
    <w:rsid w:val="00A10488"/>
    <w:rsid w:val="00A10F4E"/>
    <w:rsid w:val="00A1144A"/>
    <w:rsid w:val="00A12CF4"/>
    <w:rsid w:val="00A1613E"/>
    <w:rsid w:val="00A165DD"/>
    <w:rsid w:val="00A166E1"/>
    <w:rsid w:val="00A16D20"/>
    <w:rsid w:val="00A17301"/>
    <w:rsid w:val="00A17E25"/>
    <w:rsid w:val="00A17F02"/>
    <w:rsid w:val="00A2063F"/>
    <w:rsid w:val="00A20E8E"/>
    <w:rsid w:val="00A21386"/>
    <w:rsid w:val="00A21609"/>
    <w:rsid w:val="00A21612"/>
    <w:rsid w:val="00A21805"/>
    <w:rsid w:val="00A21F7E"/>
    <w:rsid w:val="00A224DF"/>
    <w:rsid w:val="00A22741"/>
    <w:rsid w:val="00A22FE4"/>
    <w:rsid w:val="00A233F6"/>
    <w:rsid w:val="00A23B8E"/>
    <w:rsid w:val="00A2409A"/>
    <w:rsid w:val="00A24582"/>
    <w:rsid w:val="00A24E2B"/>
    <w:rsid w:val="00A2668F"/>
    <w:rsid w:val="00A270DB"/>
    <w:rsid w:val="00A275C7"/>
    <w:rsid w:val="00A27FF0"/>
    <w:rsid w:val="00A30072"/>
    <w:rsid w:val="00A301D5"/>
    <w:rsid w:val="00A302B9"/>
    <w:rsid w:val="00A30821"/>
    <w:rsid w:val="00A32BAD"/>
    <w:rsid w:val="00A32DAD"/>
    <w:rsid w:val="00A330C4"/>
    <w:rsid w:val="00A34837"/>
    <w:rsid w:val="00A34886"/>
    <w:rsid w:val="00A34D51"/>
    <w:rsid w:val="00A36411"/>
    <w:rsid w:val="00A36AC7"/>
    <w:rsid w:val="00A37CD8"/>
    <w:rsid w:val="00A400D9"/>
    <w:rsid w:val="00A40757"/>
    <w:rsid w:val="00A41261"/>
    <w:rsid w:val="00A41455"/>
    <w:rsid w:val="00A41D5F"/>
    <w:rsid w:val="00A41FCA"/>
    <w:rsid w:val="00A41FEA"/>
    <w:rsid w:val="00A42F24"/>
    <w:rsid w:val="00A434C5"/>
    <w:rsid w:val="00A434FD"/>
    <w:rsid w:val="00A43E80"/>
    <w:rsid w:val="00A43FE6"/>
    <w:rsid w:val="00A44475"/>
    <w:rsid w:val="00A45618"/>
    <w:rsid w:val="00A457D3"/>
    <w:rsid w:val="00A45D24"/>
    <w:rsid w:val="00A507AC"/>
    <w:rsid w:val="00A50D2C"/>
    <w:rsid w:val="00A514A4"/>
    <w:rsid w:val="00A514A5"/>
    <w:rsid w:val="00A518F0"/>
    <w:rsid w:val="00A51CA8"/>
    <w:rsid w:val="00A51E4A"/>
    <w:rsid w:val="00A51F73"/>
    <w:rsid w:val="00A525E8"/>
    <w:rsid w:val="00A52F39"/>
    <w:rsid w:val="00A5352A"/>
    <w:rsid w:val="00A5395D"/>
    <w:rsid w:val="00A53A2C"/>
    <w:rsid w:val="00A54E0F"/>
    <w:rsid w:val="00A55B21"/>
    <w:rsid w:val="00A562F0"/>
    <w:rsid w:val="00A5636E"/>
    <w:rsid w:val="00A566B0"/>
    <w:rsid w:val="00A57673"/>
    <w:rsid w:val="00A5771F"/>
    <w:rsid w:val="00A603E3"/>
    <w:rsid w:val="00A604F2"/>
    <w:rsid w:val="00A60634"/>
    <w:rsid w:val="00A60722"/>
    <w:rsid w:val="00A60828"/>
    <w:rsid w:val="00A60A08"/>
    <w:rsid w:val="00A6106D"/>
    <w:rsid w:val="00A610BC"/>
    <w:rsid w:val="00A62959"/>
    <w:rsid w:val="00A6363D"/>
    <w:rsid w:val="00A63C77"/>
    <w:rsid w:val="00A64ECF"/>
    <w:rsid w:val="00A65B05"/>
    <w:rsid w:val="00A65F07"/>
    <w:rsid w:val="00A66B9C"/>
    <w:rsid w:val="00A66BA2"/>
    <w:rsid w:val="00A66C0E"/>
    <w:rsid w:val="00A675DD"/>
    <w:rsid w:val="00A70608"/>
    <w:rsid w:val="00A706B3"/>
    <w:rsid w:val="00A70F78"/>
    <w:rsid w:val="00A71006"/>
    <w:rsid w:val="00A711FC"/>
    <w:rsid w:val="00A71ECD"/>
    <w:rsid w:val="00A72C6F"/>
    <w:rsid w:val="00A73776"/>
    <w:rsid w:val="00A747D2"/>
    <w:rsid w:val="00A74A2F"/>
    <w:rsid w:val="00A759AA"/>
    <w:rsid w:val="00A768F4"/>
    <w:rsid w:val="00A76910"/>
    <w:rsid w:val="00A76AB3"/>
    <w:rsid w:val="00A76B06"/>
    <w:rsid w:val="00A76EEF"/>
    <w:rsid w:val="00A77C2C"/>
    <w:rsid w:val="00A80E62"/>
    <w:rsid w:val="00A81F99"/>
    <w:rsid w:val="00A823BD"/>
    <w:rsid w:val="00A8361F"/>
    <w:rsid w:val="00A843F6"/>
    <w:rsid w:val="00A843FE"/>
    <w:rsid w:val="00A84AA4"/>
    <w:rsid w:val="00A84C94"/>
    <w:rsid w:val="00A84D16"/>
    <w:rsid w:val="00A85E6D"/>
    <w:rsid w:val="00A86034"/>
    <w:rsid w:val="00A86A1B"/>
    <w:rsid w:val="00A872EA"/>
    <w:rsid w:val="00A874B9"/>
    <w:rsid w:val="00A878CF"/>
    <w:rsid w:val="00A905C7"/>
    <w:rsid w:val="00A90B45"/>
    <w:rsid w:val="00A91A64"/>
    <w:rsid w:val="00A933AA"/>
    <w:rsid w:val="00A93871"/>
    <w:rsid w:val="00A93ADE"/>
    <w:rsid w:val="00A93B37"/>
    <w:rsid w:val="00A94203"/>
    <w:rsid w:val="00A94CE6"/>
    <w:rsid w:val="00A94EEB"/>
    <w:rsid w:val="00A95B0D"/>
    <w:rsid w:val="00A9627B"/>
    <w:rsid w:val="00A96C87"/>
    <w:rsid w:val="00A9719E"/>
    <w:rsid w:val="00A97856"/>
    <w:rsid w:val="00A97BA4"/>
    <w:rsid w:val="00AA06BD"/>
    <w:rsid w:val="00AA079F"/>
    <w:rsid w:val="00AA08DF"/>
    <w:rsid w:val="00AA0959"/>
    <w:rsid w:val="00AA0C9C"/>
    <w:rsid w:val="00AA1EE5"/>
    <w:rsid w:val="00AA2AEA"/>
    <w:rsid w:val="00AA37F0"/>
    <w:rsid w:val="00AA5C1F"/>
    <w:rsid w:val="00AA5D21"/>
    <w:rsid w:val="00AA6B0C"/>
    <w:rsid w:val="00AA6FC0"/>
    <w:rsid w:val="00AA7030"/>
    <w:rsid w:val="00AB0219"/>
    <w:rsid w:val="00AB078C"/>
    <w:rsid w:val="00AB0C3B"/>
    <w:rsid w:val="00AB1EAE"/>
    <w:rsid w:val="00AB20C9"/>
    <w:rsid w:val="00AB2362"/>
    <w:rsid w:val="00AB29C8"/>
    <w:rsid w:val="00AB2FA0"/>
    <w:rsid w:val="00AB37CC"/>
    <w:rsid w:val="00AB395C"/>
    <w:rsid w:val="00AB3E98"/>
    <w:rsid w:val="00AB3F6A"/>
    <w:rsid w:val="00AB3FC1"/>
    <w:rsid w:val="00AB6574"/>
    <w:rsid w:val="00AB6DCF"/>
    <w:rsid w:val="00AB7854"/>
    <w:rsid w:val="00AC005E"/>
    <w:rsid w:val="00AC08B0"/>
    <w:rsid w:val="00AC0A89"/>
    <w:rsid w:val="00AC1405"/>
    <w:rsid w:val="00AC2AB3"/>
    <w:rsid w:val="00AC2ABF"/>
    <w:rsid w:val="00AC548B"/>
    <w:rsid w:val="00AC6AEE"/>
    <w:rsid w:val="00AC6C59"/>
    <w:rsid w:val="00AC7198"/>
    <w:rsid w:val="00AC75B3"/>
    <w:rsid w:val="00AC7E6F"/>
    <w:rsid w:val="00AD1A53"/>
    <w:rsid w:val="00AD1F9F"/>
    <w:rsid w:val="00AD2291"/>
    <w:rsid w:val="00AD27FC"/>
    <w:rsid w:val="00AD3660"/>
    <w:rsid w:val="00AD421C"/>
    <w:rsid w:val="00AD43AB"/>
    <w:rsid w:val="00AD442C"/>
    <w:rsid w:val="00AD46D0"/>
    <w:rsid w:val="00AD4907"/>
    <w:rsid w:val="00AD4AEB"/>
    <w:rsid w:val="00AD52FE"/>
    <w:rsid w:val="00AD5A12"/>
    <w:rsid w:val="00AD6841"/>
    <w:rsid w:val="00AD745C"/>
    <w:rsid w:val="00AD75D4"/>
    <w:rsid w:val="00AD7690"/>
    <w:rsid w:val="00AE0D9A"/>
    <w:rsid w:val="00AE1206"/>
    <w:rsid w:val="00AE14C4"/>
    <w:rsid w:val="00AE18B8"/>
    <w:rsid w:val="00AE1AEA"/>
    <w:rsid w:val="00AE285E"/>
    <w:rsid w:val="00AE3820"/>
    <w:rsid w:val="00AE396C"/>
    <w:rsid w:val="00AE3D68"/>
    <w:rsid w:val="00AE492F"/>
    <w:rsid w:val="00AE510D"/>
    <w:rsid w:val="00AE5A07"/>
    <w:rsid w:val="00AE5DCF"/>
    <w:rsid w:val="00AE637F"/>
    <w:rsid w:val="00AE68BA"/>
    <w:rsid w:val="00AE6C03"/>
    <w:rsid w:val="00AF0392"/>
    <w:rsid w:val="00AF0F9D"/>
    <w:rsid w:val="00AF1A59"/>
    <w:rsid w:val="00AF3529"/>
    <w:rsid w:val="00AF4D1C"/>
    <w:rsid w:val="00AF4D28"/>
    <w:rsid w:val="00AF4D80"/>
    <w:rsid w:val="00AF5A59"/>
    <w:rsid w:val="00AF630E"/>
    <w:rsid w:val="00AF68FB"/>
    <w:rsid w:val="00AF6A48"/>
    <w:rsid w:val="00B001D2"/>
    <w:rsid w:val="00B00B40"/>
    <w:rsid w:val="00B00F53"/>
    <w:rsid w:val="00B014E9"/>
    <w:rsid w:val="00B017B3"/>
    <w:rsid w:val="00B01806"/>
    <w:rsid w:val="00B02246"/>
    <w:rsid w:val="00B0246D"/>
    <w:rsid w:val="00B02DB2"/>
    <w:rsid w:val="00B03247"/>
    <w:rsid w:val="00B03B90"/>
    <w:rsid w:val="00B05361"/>
    <w:rsid w:val="00B0662A"/>
    <w:rsid w:val="00B077B3"/>
    <w:rsid w:val="00B07FCA"/>
    <w:rsid w:val="00B11DE9"/>
    <w:rsid w:val="00B11DEA"/>
    <w:rsid w:val="00B123DD"/>
    <w:rsid w:val="00B12C49"/>
    <w:rsid w:val="00B12ECA"/>
    <w:rsid w:val="00B13368"/>
    <w:rsid w:val="00B13564"/>
    <w:rsid w:val="00B14071"/>
    <w:rsid w:val="00B14574"/>
    <w:rsid w:val="00B145F3"/>
    <w:rsid w:val="00B14A43"/>
    <w:rsid w:val="00B15527"/>
    <w:rsid w:val="00B159BF"/>
    <w:rsid w:val="00B15A8F"/>
    <w:rsid w:val="00B15AD3"/>
    <w:rsid w:val="00B15B1F"/>
    <w:rsid w:val="00B16EC7"/>
    <w:rsid w:val="00B17FD4"/>
    <w:rsid w:val="00B2030F"/>
    <w:rsid w:val="00B20954"/>
    <w:rsid w:val="00B21126"/>
    <w:rsid w:val="00B216A7"/>
    <w:rsid w:val="00B226FD"/>
    <w:rsid w:val="00B237C3"/>
    <w:rsid w:val="00B24D44"/>
    <w:rsid w:val="00B24EE4"/>
    <w:rsid w:val="00B251C2"/>
    <w:rsid w:val="00B26421"/>
    <w:rsid w:val="00B26B9D"/>
    <w:rsid w:val="00B26EA9"/>
    <w:rsid w:val="00B2770B"/>
    <w:rsid w:val="00B304B2"/>
    <w:rsid w:val="00B30742"/>
    <w:rsid w:val="00B3105F"/>
    <w:rsid w:val="00B3141B"/>
    <w:rsid w:val="00B316F9"/>
    <w:rsid w:val="00B3173E"/>
    <w:rsid w:val="00B32899"/>
    <w:rsid w:val="00B329BF"/>
    <w:rsid w:val="00B32A62"/>
    <w:rsid w:val="00B3313E"/>
    <w:rsid w:val="00B34631"/>
    <w:rsid w:val="00B34A9F"/>
    <w:rsid w:val="00B35292"/>
    <w:rsid w:val="00B35406"/>
    <w:rsid w:val="00B35D05"/>
    <w:rsid w:val="00B3659E"/>
    <w:rsid w:val="00B36D15"/>
    <w:rsid w:val="00B37520"/>
    <w:rsid w:val="00B379EC"/>
    <w:rsid w:val="00B37D56"/>
    <w:rsid w:val="00B4054F"/>
    <w:rsid w:val="00B40C3B"/>
    <w:rsid w:val="00B40E64"/>
    <w:rsid w:val="00B4171B"/>
    <w:rsid w:val="00B41B24"/>
    <w:rsid w:val="00B424FE"/>
    <w:rsid w:val="00B42525"/>
    <w:rsid w:val="00B425E8"/>
    <w:rsid w:val="00B43B59"/>
    <w:rsid w:val="00B45874"/>
    <w:rsid w:val="00B45C0F"/>
    <w:rsid w:val="00B45EE6"/>
    <w:rsid w:val="00B4634E"/>
    <w:rsid w:val="00B46EF7"/>
    <w:rsid w:val="00B46F4A"/>
    <w:rsid w:val="00B4742F"/>
    <w:rsid w:val="00B47991"/>
    <w:rsid w:val="00B50B20"/>
    <w:rsid w:val="00B51511"/>
    <w:rsid w:val="00B519CB"/>
    <w:rsid w:val="00B5210E"/>
    <w:rsid w:val="00B5247E"/>
    <w:rsid w:val="00B53A86"/>
    <w:rsid w:val="00B547F4"/>
    <w:rsid w:val="00B54EC8"/>
    <w:rsid w:val="00B5580E"/>
    <w:rsid w:val="00B559A4"/>
    <w:rsid w:val="00B56237"/>
    <w:rsid w:val="00B56C25"/>
    <w:rsid w:val="00B57295"/>
    <w:rsid w:val="00B603C3"/>
    <w:rsid w:val="00B60A90"/>
    <w:rsid w:val="00B62092"/>
    <w:rsid w:val="00B62367"/>
    <w:rsid w:val="00B62934"/>
    <w:rsid w:val="00B62F03"/>
    <w:rsid w:val="00B63F5F"/>
    <w:rsid w:val="00B66903"/>
    <w:rsid w:val="00B6736F"/>
    <w:rsid w:val="00B67F70"/>
    <w:rsid w:val="00B71466"/>
    <w:rsid w:val="00B71944"/>
    <w:rsid w:val="00B71AA4"/>
    <w:rsid w:val="00B7262F"/>
    <w:rsid w:val="00B7289B"/>
    <w:rsid w:val="00B7387D"/>
    <w:rsid w:val="00B738BD"/>
    <w:rsid w:val="00B74574"/>
    <w:rsid w:val="00B7547A"/>
    <w:rsid w:val="00B75A5A"/>
    <w:rsid w:val="00B760DF"/>
    <w:rsid w:val="00B768D3"/>
    <w:rsid w:val="00B771EA"/>
    <w:rsid w:val="00B77A8C"/>
    <w:rsid w:val="00B77FE1"/>
    <w:rsid w:val="00B803FB"/>
    <w:rsid w:val="00B807ED"/>
    <w:rsid w:val="00B810A9"/>
    <w:rsid w:val="00B81518"/>
    <w:rsid w:val="00B81618"/>
    <w:rsid w:val="00B824AA"/>
    <w:rsid w:val="00B8258A"/>
    <w:rsid w:val="00B8260B"/>
    <w:rsid w:val="00B827BA"/>
    <w:rsid w:val="00B838D8"/>
    <w:rsid w:val="00B83B2B"/>
    <w:rsid w:val="00B83C84"/>
    <w:rsid w:val="00B8602C"/>
    <w:rsid w:val="00B868E1"/>
    <w:rsid w:val="00B86A00"/>
    <w:rsid w:val="00B87150"/>
    <w:rsid w:val="00B877F8"/>
    <w:rsid w:val="00B8799D"/>
    <w:rsid w:val="00B90772"/>
    <w:rsid w:val="00B9095F"/>
    <w:rsid w:val="00B9187D"/>
    <w:rsid w:val="00B91BBD"/>
    <w:rsid w:val="00B93105"/>
    <w:rsid w:val="00B93631"/>
    <w:rsid w:val="00B93CED"/>
    <w:rsid w:val="00B93F59"/>
    <w:rsid w:val="00B94C2B"/>
    <w:rsid w:val="00B9559B"/>
    <w:rsid w:val="00B95680"/>
    <w:rsid w:val="00B956A5"/>
    <w:rsid w:val="00B97C6A"/>
    <w:rsid w:val="00B97FEA"/>
    <w:rsid w:val="00BA01BE"/>
    <w:rsid w:val="00BA13E4"/>
    <w:rsid w:val="00BA13F0"/>
    <w:rsid w:val="00BA14B2"/>
    <w:rsid w:val="00BA1E04"/>
    <w:rsid w:val="00BA21BF"/>
    <w:rsid w:val="00BA244D"/>
    <w:rsid w:val="00BA2666"/>
    <w:rsid w:val="00BA4151"/>
    <w:rsid w:val="00BA44F1"/>
    <w:rsid w:val="00BA4593"/>
    <w:rsid w:val="00BA6AF7"/>
    <w:rsid w:val="00BA795B"/>
    <w:rsid w:val="00BB0826"/>
    <w:rsid w:val="00BB090B"/>
    <w:rsid w:val="00BB1129"/>
    <w:rsid w:val="00BB1A20"/>
    <w:rsid w:val="00BB2016"/>
    <w:rsid w:val="00BB203A"/>
    <w:rsid w:val="00BB2814"/>
    <w:rsid w:val="00BB4ABE"/>
    <w:rsid w:val="00BB5858"/>
    <w:rsid w:val="00BB5868"/>
    <w:rsid w:val="00BB677D"/>
    <w:rsid w:val="00BB6B9E"/>
    <w:rsid w:val="00BB73E9"/>
    <w:rsid w:val="00BB797D"/>
    <w:rsid w:val="00BB7F3C"/>
    <w:rsid w:val="00BC09DE"/>
    <w:rsid w:val="00BC209C"/>
    <w:rsid w:val="00BC2FC6"/>
    <w:rsid w:val="00BC3B3E"/>
    <w:rsid w:val="00BC425D"/>
    <w:rsid w:val="00BC4A79"/>
    <w:rsid w:val="00BC4CF0"/>
    <w:rsid w:val="00BC5033"/>
    <w:rsid w:val="00BC60F8"/>
    <w:rsid w:val="00BC70A4"/>
    <w:rsid w:val="00BC7118"/>
    <w:rsid w:val="00BC7A35"/>
    <w:rsid w:val="00BC7C27"/>
    <w:rsid w:val="00BD0C0C"/>
    <w:rsid w:val="00BD0C0E"/>
    <w:rsid w:val="00BD0D1A"/>
    <w:rsid w:val="00BD1199"/>
    <w:rsid w:val="00BD1253"/>
    <w:rsid w:val="00BD1830"/>
    <w:rsid w:val="00BD20A5"/>
    <w:rsid w:val="00BD289E"/>
    <w:rsid w:val="00BD2C2E"/>
    <w:rsid w:val="00BD3F00"/>
    <w:rsid w:val="00BD40D7"/>
    <w:rsid w:val="00BD4274"/>
    <w:rsid w:val="00BD45A4"/>
    <w:rsid w:val="00BD5F71"/>
    <w:rsid w:val="00BD609C"/>
    <w:rsid w:val="00BD667B"/>
    <w:rsid w:val="00BD748F"/>
    <w:rsid w:val="00BD7948"/>
    <w:rsid w:val="00BE0087"/>
    <w:rsid w:val="00BE114C"/>
    <w:rsid w:val="00BE12AC"/>
    <w:rsid w:val="00BE19C7"/>
    <w:rsid w:val="00BE1B3D"/>
    <w:rsid w:val="00BE1D88"/>
    <w:rsid w:val="00BE20E8"/>
    <w:rsid w:val="00BE2A9D"/>
    <w:rsid w:val="00BE38E9"/>
    <w:rsid w:val="00BE3B5E"/>
    <w:rsid w:val="00BE47C9"/>
    <w:rsid w:val="00BE4C42"/>
    <w:rsid w:val="00BE5EA4"/>
    <w:rsid w:val="00BE624D"/>
    <w:rsid w:val="00BE635E"/>
    <w:rsid w:val="00BE6B77"/>
    <w:rsid w:val="00BE74E2"/>
    <w:rsid w:val="00BE77BA"/>
    <w:rsid w:val="00BF083A"/>
    <w:rsid w:val="00BF0D75"/>
    <w:rsid w:val="00BF0F64"/>
    <w:rsid w:val="00BF115C"/>
    <w:rsid w:val="00BF1779"/>
    <w:rsid w:val="00BF1ED0"/>
    <w:rsid w:val="00BF36D4"/>
    <w:rsid w:val="00BF3C3D"/>
    <w:rsid w:val="00BF3FA0"/>
    <w:rsid w:val="00BF5C08"/>
    <w:rsid w:val="00BF665D"/>
    <w:rsid w:val="00BF6759"/>
    <w:rsid w:val="00BF6C2D"/>
    <w:rsid w:val="00BF7238"/>
    <w:rsid w:val="00C00905"/>
    <w:rsid w:val="00C00C42"/>
    <w:rsid w:val="00C00C4A"/>
    <w:rsid w:val="00C012F5"/>
    <w:rsid w:val="00C01A0B"/>
    <w:rsid w:val="00C01CBB"/>
    <w:rsid w:val="00C02148"/>
    <w:rsid w:val="00C021E6"/>
    <w:rsid w:val="00C02E11"/>
    <w:rsid w:val="00C02F19"/>
    <w:rsid w:val="00C03094"/>
    <w:rsid w:val="00C048BD"/>
    <w:rsid w:val="00C04B13"/>
    <w:rsid w:val="00C053A1"/>
    <w:rsid w:val="00C058B8"/>
    <w:rsid w:val="00C05A7C"/>
    <w:rsid w:val="00C05CD3"/>
    <w:rsid w:val="00C05E8E"/>
    <w:rsid w:val="00C061DD"/>
    <w:rsid w:val="00C0620D"/>
    <w:rsid w:val="00C1078D"/>
    <w:rsid w:val="00C10D35"/>
    <w:rsid w:val="00C10F11"/>
    <w:rsid w:val="00C128E3"/>
    <w:rsid w:val="00C12D29"/>
    <w:rsid w:val="00C1362A"/>
    <w:rsid w:val="00C13BC4"/>
    <w:rsid w:val="00C13C44"/>
    <w:rsid w:val="00C140F7"/>
    <w:rsid w:val="00C15593"/>
    <w:rsid w:val="00C1573A"/>
    <w:rsid w:val="00C158D3"/>
    <w:rsid w:val="00C15A7D"/>
    <w:rsid w:val="00C15E84"/>
    <w:rsid w:val="00C15F8D"/>
    <w:rsid w:val="00C17C6B"/>
    <w:rsid w:val="00C17CFD"/>
    <w:rsid w:val="00C20448"/>
    <w:rsid w:val="00C20A54"/>
    <w:rsid w:val="00C20F29"/>
    <w:rsid w:val="00C22088"/>
    <w:rsid w:val="00C22CC2"/>
    <w:rsid w:val="00C2335B"/>
    <w:rsid w:val="00C23A1A"/>
    <w:rsid w:val="00C2419F"/>
    <w:rsid w:val="00C2440C"/>
    <w:rsid w:val="00C24DD7"/>
    <w:rsid w:val="00C253B6"/>
    <w:rsid w:val="00C25709"/>
    <w:rsid w:val="00C25A8A"/>
    <w:rsid w:val="00C260F6"/>
    <w:rsid w:val="00C271FE"/>
    <w:rsid w:val="00C27678"/>
    <w:rsid w:val="00C27F03"/>
    <w:rsid w:val="00C3095B"/>
    <w:rsid w:val="00C30FBA"/>
    <w:rsid w:val="00C3259B"/>
    <w:rsid w:val="00C32E7F"/>
    <w:rsid w:val="00C33773"/>
    <w:rsid w:val="00C3424D"/>
    <w:rsid w:val="00C3464F"/>
    <w:rsid w:val="00C355E5"/>
    <w:rsid w:val="00C35FA0"/>
    <w:rsid w:val="00C36BCC"/>
    <w:rsid w:val="00C36CD0"/>
    <w:rsid w:val="00C37C2C"/>
    <w:rsid w:val="00C37E87"/>
    <w:rsid w:val="00C42651"/>
    <w:rsid w:val="00C427D8"/>
    <w:rsid w:val="00C428AF"/>
    <w:rsid w:val="00C43BB8"/>
    <w:rsid w:val="00C43D1F"/>
    <w:rsid w:val="00C43FB8"/>
    <w:rsid w:val="00C445A2"/>
    <w:rsid w:val="00C44833"/>
    <w:rsid w:val="00C45248"/>
    <w:rsid w:val="00C45659"/>
    <w:rsid w:val="00C45D36"/>
    <w:rsid w:val="00C46223"/>
    <w:rsid w:val="00C47936"/>
    <w:rsid w:val="00C47A25"/>
    <w:rsid w:val="00C503EF"/>
    <w:rsid w:val="00C50665"/>
    <w:rsid w:val="00C50705"/>
    <w:rsid w:val="00C50921"/>
    <w:rsid w:val="00C51B28"/>
    <w:rsid w:val="00C52620"/>
    <w:rsid w:val="00C53973"/>
    <w:rsid w:val="00C53A11"/>
    <w:rsid w:val="00C53B11"/>
    <w:rsid w:val="00C543B8"/>
    <w:rsid w:val="00C547CD"/>
    <w:rsid w:val="00C547CE"/>
    <w:rsid w:val="00C54FBC"/>
    <w:rsid w:val="00C56082"/>
    <w:rsid w:val="00C560E5"/>
    <w:rsid w:val="00C567B1"/>
    <w:rsid w:val="00C568BF"/>
    <w:rsid w:val="00C575EB"/>
    <w:rsid w:val="00C57C08"/>
    <w:rsid w:val="00C60042"/>
    <w:rsid w:val="00C60338"/>
    <w:rsid w:val="00C603F4"/>
    <w:rsid w:val="00C6041A"/>
    <w:rsid w:val="00C60DE6"/>
    <w:rsid w:val="00C61D54"/>
    <w:rsid w:val="00C62AF1"/>
    <w:rsid w:val="00C62EC2"/>
    <w:rsid w:val="00C633DD"/>
    <w:rsid w:val="00C63AE3"/>
    <w:rsid w:val="00C64581"/>
    <w:rsid w:val="00C64822"/>
    <w:rsid w:val="00C6575D"/>
    <w:rsid w:val="00C65974"/>
    <w:rsid w:val="00C663BE"/>
    <w:rsid w:val="00C666E6"/>
    <w:rsid w:val="00C6704C"/>
    <w:rsid w:val="00C6731A"/>
    <w:rsid w:val="00C67513"/>
    <w:rsid w:val="00C708DE"/>
    <w:rsid w:val="00C70941"/>
    <w:rsid w:val="00C70ECE"/>
    <w:rsid w:val="00C7101D"/>
    <w:rsid w:val="00C718D8"/>
    <w:rsid w:val="00C72002"/>
    <w:rsid w:val="00C726DA"/>
    <w:rsid w:val="00C72BE8"/>
    <w:rsid w:val="00C72C88"/>
    <w:rsid w:val="00C73823"/>
    <w:rsid w:val="00C73CB4"/>
    <w:rsid w:val="00C74598"/>
    <w:rsid w:val="00C74D52"/>
    <w:rsid w:val="00C75C5F"/>
    <w:rsid w:val="00C76414"/>
    <w:rsid w:val="00C764A5"/>
    <w:rsid w:val="00C769EA"/>
    <w:rsid w:val="00C7701B"/>
    <w:rsid w:val="00C7729E"/>
    <w:rsid w:val="00C77DCE"/>
    <w:rsid w:val="00C80376"/>
    <w:rsid w:val="00C80442"/>
    <w:rsid w:val="00C8080C"/>
    <w:rsid w:val="00C80AD9"/>
    <w:rsid w:val="00C811C9"/>
    <w:rsid w:val="00C81DCA"/>
    <w:rsid w:val="00C822E7"/>
    <w:rsid w:val="00C8283D"/>
    <w:rsid w:val="00C838D5"/>
    <w:rsid w:val="00C83BF4"/>
    <w:rsid w:val="00C841D5"/>
    <w:rsid w:val="00C86553"/>
    <w:rsid w:val="00C87306"/>
    <w:rsid w:val="00C87A96"/>
    <w:rsid w:val="00C87CB8"/>
    <w:rsid w:val="00C9016B"/>
    <w:rsid w:val="00C9169C"/>
    <w:rsid w:val="00C916BB"/>
    <w:rsid w:val="00C91ED9"/>
    <w:rsid w:val="00C92ECA"/>
    <w:rsid w:val="00C9387A"/>
    <w:rsid w:val="00C9398E"/>
    <w:rsid w:val="00C942A2"/>
    <w:rsid w:val="00C94657"/>
    <w:rsid w:val="00C95534"/>
    <w:rsid w:val="00C9650B"/>
    <w:rsid w:val="00C96CBC"/>
    <w:rsid w:val="00C97A19"/>
    <w:rsid w:val="00CA0102"/>
    <w:rsid w:val="00CA128F"/>
    <w:rsid w:val="00CA1343"/>
    <w:rsid w:val="00CA1786"/>
    <w:rsid w:val="00CA25A5"/>
    <w:rsid w:val="00CA2CB8"/>
    <w:rsid w:val="00CA2D68"/>
    <w:rsid w:val="00CA2F6F"/>
    <w:rsid w:val="00CA3695"/>
    <w:rsid w:val="00CA3A39"/>
    <w:rsid w:val="00CA4BB3"/>
    <w:rsid w:val="00CA554C"/>
    <w:rsid w:val="00CA584E"/>
    <w:rsid w:val="00CA6742"/>
    <w:rsid w:val="00CA7762"/>
    <w:rsid w:val="00CB008A"/>
    <w:rsid w:val="00CB01F7"/>
    <w:rsid w:val="00CB1E8A"/>
    <w:rsid w:val="00CB2059"/>
    <w:rsid w:val="00CB27B0"/>
    <w:rsid w:val="00CB27C5"/>
    <w:rsid w:val="00CB31EB"/>
    <w:rsid w:val="00CB4043"/>
    <w:rsid w:val="00CB4151"/>
    <w:rsid w:val="00CB4F0C"/>
    <w:rsid w:val="00CB52C3"/>
    <w:rsid w:val="00CB536C"/>
    <w:rsid w:val="00CB571F"/>
    <w:rsid w:val="00CB5929"/>
    <w:rsid w:val="00CB63F8"/>
    <w:rsid w:val="00CB643B"/>
    <w:rsid w:val="00CB69A3"/>
    <w:rsid w:val="00CB6D96"/>
    <w:rsid w:val="00CB6E51"/>
    <w:rsid w:val="00CB74ED"/>
    <w:rsid w:val="00CB7549"/>
    <w:rsid w:val="00CB7EEC"/>
    <w:rsid w:val="00CC061C"/>
    <w:rsid w:val="00CC19BE"/>
    <w:rsid w:val="00CC3BE2"/>
    <w:rsid w:val="00CC3BF7"/>
    <w:rsid w:val="00CC4372"/>
    <w:rsid w:val="00CC4663"/>
    <w:rsid w:val="00CC63B0"/>
    <w:rsid w:val="00CC6D26"/>
    <w:rsid w:val="00CC6D53"/>
    <w:rsid w:val="00CC7E5C"/>
    <w:rsid w:val="00CD0B5C"/>
    <w:rsid w:val="00CD0F21"/>
    <w:rsid w:val="00CD2568"/>
    <w:rsid w:val="00CD2C7C"/>
    <w:rsid w:val="00CD35E1"/>
    <w:rsid w:val="00CD3B1D"/>
    <w:rsid w:val="00CD4EAF"/>
    <w:rsid w:val="00CD4F78"/>
    <w:rsid w:val="00CD51EF"/>
    <w:rsid w:val="00CD5422"/>
    <w:rsid w:val="00CD5462"/>
    <w:rsid w:val="00CD5627"/>
    <w:rsid w:val="00CD568B"/>
    <w:rsid w:val="00CD64F7"/>
    <w:rsid w:val="00CD68CC"/>
    <w:rsid w:val="00CD6C28"/>
    <w:rsid w:val="00CD729E"/>
    <w:rsid w:val="00CD7737"/>
    <w:rsid w:val="00CD7AF2"/>
    <w:rsid w:val="00CD7BB6"/>
    <w:rsid w:val="00CD7DD4"/>
    <w:rsid w:val="00CE02B0"/>
    <w:rsid w:val="00CE0E9D"/>
    <w:rsid w:val="00CE1667"/>
    <w:rsid w:val="00CE2077"/>
    <w:rsid w:val="00CE2668"/>
    <w:rsid w:val="00CE2D16"/>
    <w:rsid w:val="00CE4DB5"/>
    <w:rsid w:val="00CE5669"/>
    <w:rsid w:val="00CE5C96"/>
    <w:rsid w:val="00CE6843"/>
    <w:rsid w:val="00CE76CD"/>
    <w:rsid w:val="00CE7758"/>
    <w:rsid w:val="00CF07EF"/>
    <w:rsid w:val="00CF17D4"/>
    <w:rsid w:val="00CF1DA0"/>
    <w:rsid w:val="00CF2861"/>
    <w:rsid w:val="00CF2982"/>
    <w:rsid w:val="00CF3AEC"/>
    <w:rsid w:val="00CF4697"/>
    <w:rsid w:val="00CF5582"/>
    <w:rsid w:val="00CF5731"/>
    <w:rsid w:val="00CF5B92"/>
    <w:rsid w:val="00CF6250"/>
    <w:rsid w:val="00CF6C3E"/>
    <w:rsid w:val="00CF6C8C"/>
    <w:rsid w:val="00CF7D30"/>
    <w:rsid w:val="00D0004D"/>
    <w:rsid w:val="00D0054E"/>
    <w:rsid w:val="00D0085B"/>
    <w:rsid w:val="00D00F92"/>
    <w:rsid w:val="00D00FBC"/>
    <w:rsid w:val="00D01139"/>
    <w:rsid w:val="00D01EC9"/>
    <w:rsid w:val="00D02621"/>
    <w:rsid w:val="00D0272B"/>
    <w:rsid w:val="00D02D33"/>
    <w:rsid w:val="00D035CC"/>
    <w:rsid w:val="00D04107"/>
    <w:rsid w:val="00D04E3C"/>
    <w:rsid w:val="00D05093"/>
    <w:rsid w:val="00D0530B"/>
    <w:rsid w:val="00D05341"/>
    <w:rsid w:val="00D05457"/>
    <w:rsid w:val="00D06281"/>
    <w:rsid w:val="00D075CF"/>
    <w:rsid w:val="00D07F51"/>
    <w:rsid w:val="00D10680"/>
    <w:rsid w:val="00D10707"/>
    <w:rsid w:val="00D1097F"/>
    <w:rsid w:val="00D1110E"/>
    <w:rsid w:val="00D1126A"/>
    <w:rsid w:val="00D11B7F"/>
    <w:rsid w:val="00D11F93"/>
    <w:rsid w:val="00D12DE5"/>
    <w:rsid w:val="00D13276"/>
    <w:rsid w:val="00D141D8"/>
    <w:rsid w:val="00D1458B"/>
    <w:rsid w:val="00D14C57"/>
    <w:rsid w:val="00D14D58"/>
    <w:rsid w:val="00D152CA"/>
    <w:rsid w:val="00D16813"/>
    <w:rsid w:val="00D16CE9"/>
    <w:rsid w:val="00D16E18"/>
    <w:rsid w:val="00D1735C"/>
    <w:rsid w:val="00D177C0"/>
    <w:rsid w:val="00D17D48"/>
    <w:rsid w:val="00D200C4"/>
    <w:rsid w:val="00D20B35"/>
    <w:rsid w:val="00D20C08"/>
    <w:rsid w:val="00D21311"/>
    <w:rsid w:val="00D218F7"/>
    <w:rsid w:val="00D2225A"/>
    <w:rsid w:val="00D22448"/>
    <w:rsid w:val="00D22706"/>
    <w:rsid w:val="00D2333E"/>
    <w:rsid w:val="00D250FC"/>
    <w:rsid w:val="00D2582D"/>
    <w:rsid w:val="00D276F5"/>
    <w:rsid w:val="00D27A56"/>
    <w:rsid w:val="00D27C08"/>
    <w:rsid w:val="00D27D1F"/>
    <w:rsid w:val="00D30FD6"/>
    <w:rsid w:val="00D318D2"/>
    <w:rsid w:val="00D3241A"/>
    <w:rsid w:val="00D3276F"/>
    <w:rsid w:val="00D32BF3"/>
    <w:rsid w:val="00D33514"/>
    <w:rsid w:val="00D34220"/>
    <w:rsid w:val="00D34311"/>
    <w:rsid w:val="00D34557"/>
    <w:rsid w:val="00D34AA1"/>
    <w:rsid w:val="00D34C38"/>
    <w:rsid w:val="00D3524B"/>
    <w:rsid w:val="00D357DF"/>
    <w:rsid w:val="00D3648B"/>
    <w:rsid w:val="00D37513"/>
    <w:rsid w:val="00D379F0"/>
    <w:rsid w:val="00D37D40"/>
    <w:rsid w:val="00D403F4"/>
    <w:rsid w:val="00D40528"/>
    <w:rsid w:val="00D40EA9"/>
    <w:rsid w:val="00D419FB"/>
    <w:rsid w:val="00D41A10"/>
    <w:rsid w:val="00D422EE"/>
    <w:rsid w:val="00D443BB"/>
    <w:rsid w:val="00D44BB6"/>
    <w:rsid w:val="00D4520C"/>
    <w:rsid w:val="00D455EA"/>
    <w:rsid w:val="00D45F5B"/>
    <w:rsid w:val="00D47A34"/>
    <w:rsid w:val="00D47B9B"/>
    <w:rsid w:val="00D47C11"/>
    <w:rsid w:val="00D50442"/>
    <w:rsid w:val="00D507CE"/>
    <w:rsid w:val="00D51B6A"/>
    <w:rsid w:val="00D52C65"/>
    <w:rsid w:val="00D52D30"/>
    <w:rsid w:val="00D53047"/>
    <w:rsid w:val="00D53175"/>
    <w:rsid w:val="00D5375F"/>
    <w:rsid w:val="00D53916"/>
    <w:rsid w:val="00D53F70"/>
    <w:rsid w:val="00D54203"/>
    <w:rsid w:val="00D5496F"/>
    <w:rsid w:val="00D54B56"/>
    <w:rsid w:val="00D5501A"/>
    <w:rsid w:val="00D55212"/>
    <w:rsid w:val="00D5538A"/>
    <w:rsid w:val="00D55ABF"/>
    <w:rsid w:val="00D55D69"/>
    <w:rsid w:val="00D5643E"/>
    <w:rsid w:val="00D56783"/>
    <w:rsid w:val="00D5684E"/>
    <w:rsid w:val="00D57080"/>
    <w:rsid w:val="00D571A7"/>
    <w:rsid w:val="00D5722F"/>
    <w:rsid w:val="00D572FB"/>
    <w:rsid w:val="00D6142F"/>
    <w:rsid w:val="00D61B5A"/>
    <w:rsid w:val="00D61F4D"/>
    <w:rsid w:val="00D62056"/>
    <w:rsid w:val="00D63116"/>
    <w:rsid w:val="00D63522"/>
    <w:rsid w:val="00D63524"/>
    <w:rsid w:val="00D63529"/>
    <w:rsid w:val="00D6460A"/>
    <w:rsid w:val="00D6479E"/>
    <w:rsid w:val="00D650D6"/>
    <w:rsid w:val="00D65100"/>
    <w:rsid w:val="00D65A37"/>
    <w:rsid w:val="00D66558"/>
    <w:rsid w:val="00D668A9"/>
    <w:rsid w:val="00D66FE5"/>
    <w:rsid w:val="00D67885"/>
    <w:rsid w:val="00D67C11"/>
    <w:rsid w:val="00D67F3D"/>
    <w:rsid w:val="00D7073C"/>
    <w:rsid w:val="00D70AEF"/>
    <w:rsid w:val="00D71C36"/>
    <w:rsid w:val="00D726A2"/>
    <w:rsid w:val="00D72989"/>
    <w:rsid w:val="00D72BB4"/>
    <w:rsid w:val="00D72BCD"/>
    <w:rsid w:val="00D73863"/>
    <w:rsid w:val="00D73C77"/>
    <w:rsid w:val="00D73F60"/>
    <w:rsid w:val="00D7404A"/>
    <w:rsid w:val="00D744D7"/>
    <w:rsid w:val="00D74A94"/>
    <w:rsid w:val="00D74F04"/>
    <w:rsid w:val="00D760AC"/>
    <w:rsid w:val="00D76238"/>
    <w:rsid w:val="00D76287"/>
    <w:rsid w:val="00D764EF"/>
    <w:rsid w:val="00D776B9"/>
    <w:rsid w:val="00D8047F"/>
    <w:rsid w:val="00D80709"/>
    <w:rsid w:val="00D815D4"/>
    <w:rsid w:val="00D81A48"/>
    <w:rsid w:val="00D81C37"/>
    <w:rsid w:val="00D8238F"/>
    <w:rsid w:val="00D8351D"/>
    <w:rsid w:val="00D845B7"/>
    <w:rsid w:val="00D84875"/>
    <w:rsid w:val="00D85264"/>
    <w:rsid w:val="00D8534D"/>
    <w:rsid w:val="00D85532"/>
    <w:rsid w:val="00D86053"/>
    <w:rsid w:val="00D86749"/>
    <w:rsid w:val="00D86E64"/>
    <w:rsid w:val="00D90CE9"/>
    <w:rsid w:val="00D91DD6"/>
    <w:rsid w:val="00D922D2"/>
    <w:rsid w:val="00D929F0"/>
    <w:rsid w:val="00D92BA6"/>
    <w:rsid w:val="00D9318C"/>
    <w:rsid w:val="00D93D6D"/>
    <w:rsid w:val="00D968EE"/>
    <w:rsid w:val="00D9745B"/>
    <w:rsid w:val="00D97A29"/>
    <w:rsid w:val="00D97B28"/>
    <w:rsid w:val="00DA0050"/>
    <w:rsid w:val="00DA0563"/>
    <w:rsid w:val="00DA067E"/>
    <w:rsid w:val="00DA0801"/>
    <w:rsid w:val="00DA0901"/>
    <w:rsid w:val="00DA14FD"/>
    <w:rsid w:val="00DA16F6"/>
    <w:rsid w:val="00DA1BF5"/>
    <w:rsid w:val="00DA1F4B"/>
    <w:rsid w:val="00DA217F"/>
    <w:rsid w:val="00DA2286"/>
    <w:rsid w:val="00DA3D26"/>
    <w:rsid w:val="00DA3FA4"/>
    <w:rsid w:val="00DA5731"/>
    <w:rsid w:val="00DA57A2"/>
    <w:rsid w:val="00DA6068"/>
    <w:rsid w:val="00DA6279"/>
    <w:rsid w:val="00DA6C51"/>
    <w:rsid w:val="00DA7347"/>
    <w:rsid w:val="00DB003E"/>
    <w:rsid w:val="00DB020C"/>
    <w:rsid w:val="00DB0CD9"/>
    <w:rsid w:val="00DB125A"/>
    <w:rsid w:val="00DB14C5"/>
    <w:rsid w:val="00DB16F5"/>
    <w:rsid w:val="00DB1FD1"/>
    <w:rsid w:val="00DB2FD6"/>
    <w:rsid w:val="00DB31FD"/>
    <w:rsid w:val="00DB328B"/>
    <w:rsid w:val="00DB3A46"/>
    <w:rsid w:val="00DB4203"/>
    <w:rsid w:val="00DB44C7"/>
    <w:rsid w:val="00DB4535"/>
    <w:rsid w:val="00DB5291"/>
    <w:rsid w:val="00DB5470"/>
    <w:rsid w:val="00DB6971"/>
    <w:rsid w:val="00DB6A3C"/>
    <w:rsid w:val="00DB7416"/>
    <w:rsid w:val="00DB7978"/>
    <w:rsid w:val="00DC0193"/>
    <w:rsid w:val="00DC0B41"/>
    <w:rsid w:val="00DC0CD3"/>
    <w:rsid w:val="00DC174A"/>
    <w:rsid w:val="00DC1E7A"/>
    <w:rsid w:val="00DC21D9"/>
    <w:rsid w:val="00DC356D"/>
    <w:rsid w:val="00DC4C77"/>
    <w:rsid w:val="00DC4F56"/>
    <w:rsid w:val="00DC6F6E"/>
    <w:rsid w:val="00DC7031"/>
    <w:rsid w:val="00DC7300"/>
    <w:rsid w:val="00DD00C9"/>
    <w:rsid w:val="00DD082C"/>
    <w:rsid w:val="00DD0A40"/>
    <w:rsid w:val="00DD0AAB"/>
    <w:rsid w:val="00DD1029"/>
    <w:rsid w:val="00DD11E1"/>
    <w:rsid w:val="00DD15B0"/>
    <w:rsid w:val="00DD2610"/>
    <w:rsid w:val="00DD30E7"/>
    <w:rsid w:val="00DD329F"/>
    <w:rsid w:val="00DD334B"/>
    <w:rsid w:val="00DD35D6"/>
    <w:rsid w:val="00DD36DF"/>
    <w:rsid w:val="00DD3E3F"/>
    <w:rsid w:val="00DD444D"/>
    <w:rsid w:val="00DD49BE"/>
    <w:rsid w:val="00DD49E5"/>
    <w:rsid w:val="00DD5A4F"/>
    <w:rsid w:val="00DD6577"/>
    <w:rsid w:val="00DD69FD"/>
    <w:rsid w:val="00DD7AAB"/>
    <w:rsid w:val="00DD7AAE"/>
    <w:rsid w:val="00DD7DD6"/>
    <w:rsid w:val="00DD7FA9"/>
    <w:rsid w:val="00DE01BD"/>
    <w:rsid w:val="00DE0D7C"/>
    <w:rsid w:val="00DE0DC8"/>
    <w:rsid w:val="00DE13CB"/>
    <w:rsid w:val="00DE187F"/>
    <w:rsid w:val="00DE1967"/>
    <w:rsid w:val="00DE22F6"/>
    <w:rsid w:val="00DE2CCC"/>
    <w:rsid w:val="00DE3478"/>
    <w:rsid w:val="00DE37F8"/>
    <w:rsid w:val="00DE4CEF"/>
    <w:rsid w:val="00DE52F8"/>
    <w:rsid w:val="00DE5AE4"/>
    <w:rsid w:val="00DE684C"/>
    <w:rsid w:val="00DE7A46"/>
    <w:rsid w:val="00DF0797"/>
    <w:rsid w:val="00DF0F7C"/>
    <w:rsid w:val="00DF1585"/>
    <w:rsid w:val="00DF1C81"/>
    <w:rsid w:val="00DF2198"/>
    <w:rsid w:val="00DF2285"/>
    <w:rsid w:val="00DF3090"/>
    <w:rsid w:val="00DF3767"/>
    <w:rsid w:val="00DF3AE9"/>
    <w:rsid w:val="00DF4674"/>
    <w:rsid w:val="00DF4BE8"/>
    <w:rsid w:val="00DF5557"/>
    <w:rsid w:val="00DF5690"/>
    <w:rsid w:val="00DF6A08"/>
    <w:rsid w:val="00DF6C72"/>
    <w:rsid w:val="00DF6E4B"/>
    <w:rsid w:val="00E00B81"/>
    <w:rsid w:val="00E01D12"/>
    <w:rsid w:val="00E0220F"/>
    <w:rsid w:val="00E02942"/>
    <w:rsid w:val="00E03007"/>
    <w:rsid w:val="00E0435A"/>
    <w:rsid w:val="00E04430"/>
    <w:rsid w:val="00E05E25"/>
    <w:rsid w:val="00E05F89"/>
    <w:rsid w:val="00E0642B"/>
    <w:rsid w:val="00E06852"/>
    <w:rsid w:val="00E06FA7"/>
    <w:rsid w:val="00E077D7"/>
    <w:rsid w:val="00E07CD2"/>
    <w:rsid w:val="00E07ED3"/>
    <w:rsid w:val="00E10139"/>
    <w:rsid w:val="00E10EE1"/>
    <w:rsid w:val="00E11CB7"/>
    <w:rsid w:val="00E12A60"/>
    <w:rsid w:val="00E1351B"/>
    <w:rsid w:val="00E13732"/>
    <w:rsid w:val="00E137FF"/>
    <w:rsid w:val="00E15F26"/>
    <w:rsid w:val="00E162DE"/>
    <w:rsid w:val="00E17B02"/>
    <w:rsid w:val="00E20252"/>
    <w:rsid w:val="00E205DF"/>
    <w:rsid w:val="00E21157"/>
    <w:rsid w:val="00E216EF"/>
    <w:rsid w:val="00E21F02"/>
    <w:rsid w:val="00E225E1"/>
    <w:rsid w:val="00E2308B"/>
    <w:rsid w:val="00E2322D"/>
    <w:rsid w:val="00E23CFF"/>
    <w:rsid w:val="00E2424A"/>
    <w:rsid w:val="00E248E0"/>
    <w:rsid w:val="00E24DD1"/>
    <w:rsid w:val="00E24F7E"/>
    <w:rsid w:val="00E2516D"/>
    <w:rsid w:val="00E2539C"/>
    <w:rsid w:val="00E25779"/>
    <w:rsid w:val="00E25A9F"/>
    <w:rsid w:val="00E2673A"/>
    <w:rsid w:val="00E27338"/>
    <w:rsid w:val="00E30560"/>
    <w:rsid w:val="00E3067A"/>
    <w:rsid w:val="00E30F46"/>
    <w:rsid w:val="00E319CC"/>
    <w:rsid w:val="00E323D8"/>
    <w:rsid w:val="00E3411A"/>
    <w:rsid w:val="00E345A3"/>
    <w:rsid w:val="00E3563D"/>
    <w:rsid w:val="00E362AD"/>
    <w:rsid w:val="00E36DA2"/>
    <w:rsid w:val="00E37919"/>
    <w:rsid w:val="00E40609"/>
    <w:rsid w:val="00E419EE"/>
    <w:rsid w:val="00E41F73"/>
    <w:rsid w:val="00E42187"/>
    <w:rsid w:val="00E4271F"/>
    <w:rsid w:val="00E42785"/>
    <w:rsid w:val="00E42853"/>
    <w:rsid w:val="00E430F9"/>
    <w:rsid w:val="00E43231"/>
    <w:rsid w:val="00E43292"/>
    <w:rsid w:val="00E43836"/>
    <w:rsid w:val="00E43A10"/>
    <w:rsid w:val="00E43B0E"/>
    <w:rsid w:val="00E43CB2"/>
    <w:rsid w:val="00E43EFB"/>
    <w:rsid w:val="00E44802"/>
    <w:rsid w:val="00E449B1"/>
    <w:rsid w:val="00E45268"/>
    <w:rsid w:val="00E4562A"/>
    <w:rsid w:val="00E45D86"/>
    <w:rsid w:val="00E46286"/>
    <w:rsid w:val="00E46C32"/>
    <w:rsid w:val="00E47455"/>
    <w:rsid w:val="00E477C3"/>
    <w:rsid w:val="00E50131"/>
    <w:rsid w:val="00E50BE9"/>
    <w:rsid w:val="00E51305"/>
    <w:rsid w:val="00E51941"/>
    <w:rsid w:val="00E51CFF"/>
    <w:rsid w:val="00E52FCA"/>
    <w:rsid w:val="00E530F7"/>
    <w:rsid w:val="00E532E3"/>
    <w:rsid w:val="00E536B5"/>
    <w:rsid w:val="00E53791"/>
    <w:rsid w:val="00E53E01"/>
    <w:rsid w:val="00E54A5A"/>
    <w:rsid w:val="00E54AE1"/>
    <w:rsid w:val="00E54B58"/>
    <w:rsid w:val="00E55721"/>
    <w:rsid w:val="00E55D35"/>
    <w:rsid w:val="00E603B9"/>
    <w:rsid w:val="00E61026"/>
    <w:rsid w:val="00E61DB8"/>
    <w:rsid w:val="00E623FC"/>
    <w:rsid w:val="00E62D78"/>
    <w:rsid w:val="00E63065"/>
    <w:rsid w:val="00E633A0"/>
    <w:rsid w:val="00E63D08"/>
    <w:rsid w:val="00E6419D"/>
    <w:rsid w:val="00E6431E"/>
    <w:rsid w:val="00E647FC"/>
    <w:rsid w:val="00E64F75"/>
    <w:rsid w:val="00E65088"/>
    <w:rsid w:val="00E65359"/>
    <w:rsid w:val="00E65C20"/>
    <w:rsid w:val="00E65F41"/>
    <w:rsid w:val="00E6680D"/>
    <w:rsid w:val="00E673F1"/>
    <w:rsid w:val="00E67A86"/>
    <w:rsid w:val="00E67D8E"/>
    <w:rsid w:val="00E7088D"/>
    <w:rsid w:val="00E70E5D"/>
    <w:rsid w:val="00E719D5"/>
    <w:rsid w:val="00E72587"/>
    <w:rsid w:val="00E73107"/>
    <w:rsid w:val="00E742D8"/>
    <w:rsid w:val="00E749E5"/>
    <w:rsid w:val="00E74CD8"/>
    <w:rsid w:val="00E77EB1"/>
    <w:rsid w:val="00E805CF"/>
    <w:rsid w:val="00E80F40"/>
    <w:rsid w:val="00E80FF5"/>
    <w:rsid w:val="00E81192"/>
    <w:rsid w:val="00E818A5"/>
    <w:rsid w:val="00E81BF5"/>
    <w:rsid w:val="00E821CE"/>
    <w:rsid w:val="00E8263E"/>
    <w:rsid w:val="00E83D5B"/>
    <w:rsid w:val="00E8427F"/>
    <w:rsid w:val="00E8436E"/>
    <w:rsid w:val="00E85348"/>
    <w:rsid w:val="00E85754"/>
    <w:rsid w:val="00E85A07"/>
    <w:rsid w:val="00E85A27"/>
    <w:rsid w:val="00E85F94"/>
    <w:rsid w:val="00E865AF"/>
    <w:rsid w:val="00E86C7B"/>
    <w:rsid w:val="00E874A4"/>
    <w:rsid w:val="00E875AA"/>
    <w:rsid w:val="00E878D1"/>
    <w:rsid w:val="00E90106"/>
    <w:rsid w:val="00E909D7"/>
    <w:rsid w:val="00E90BD8"/>
    <w:rsid w:val="00E90F97"/>
    <w:rsid w:val="00E913CA"/>
    <w:rsid w:val="00E91FCE"/>
    <w:rsid w:val="00E925F3"/>
    <w:rsid w:val="00E92A81"/>
    <w:rsid w:val="00E93297"/>
    <w:rsid w:val="00E938BC"/>
    <w:rsid w:val="00E93DB5"/>
    <w:rsid w:val="00E97047"/>
    <w:rsid w:val="00EA01CC"/>
    <w:rsid w:val="00EA052D"/>
    <w:rsid w:val="00EA08C9"/>
    <w:rsid w:val="00EA0FA3"/>
    <w:rsid w:val="00EA1C91"/>
    <w:rsid w:val="00EA2086"/>
    <w:rsid w:val="00EA3E90"/>
    <w:rsid w:val="00EA4530"/>
    <w:rsid w:val="00EA4ACA"/>
    <w:rsid w:val="00EA5891"/>
    <w:rsid w:val="00EA675B"/>
    <w:rsid w:val="00EA70A0"/>
    <w:rsid w:val="00EB007C"/>
    <w:rsid w:val="00EB0724"/>
    <w:rsid w:val="00EB18AC"/>
    <w:rsid w:val="00EB1F23"/>
    <w:rsid w:val="00EB254D"/>
    <w:rsid w:val="00EB279D"/>
    <w:rsid w:val="00EB2943"/>
    <w:rsid w:val="00EB340A"/>
    <w:rsid w:val="00EB381F"/>
    <w:rsid w:val="00EB3C91"/>
    <w:rsid w:val="00EB5403"/>
    <w:rsid w:val="00EB5874"/>
    <w:rsid w:val="00EB64F6"/>
    <w:rsid w:val="00EB6538"/>
    <w:rsid w:val="00EB6543"/>
    <w:rsid w:val="00EB67D3"/>
    <w:rsid w:val="00EB6C46"/>
    <w:rsid w:val="00EC044C"/>
    <w:rsid w:val="00EC16EE"/>
    <w:rsid w:val="00EC1871"/>
    <w:rsid w:val="00EC18AA"/>
    <w:rsid w:val="00EC18EB"/>
    <w:rsid w:val="00EC1B5F"/>
    <w:rsid w:val="00EC1CE0"/>
    <w:rsid w:val="00EC30AD"/>
    <w:rsid w:val="00EC319F"/>
    <w:rsid w:val="00EC450C"/>
    <w:rsid w:val="00EC4769"/>
    <w:rsid w:val="00EC502C"/>
    <w:rsid w:val="00EC50EA"/>
    <w:rsid w:val="00EC63F9"/>
    <w:rsid w:val="00EC7E4B"/>
    <w:rsid w:val="00ED072C"/>
    <w:rsid w:val="00ED080D"/>
    <w:rsid w:val="00ED193A"/>
    <w:rsid w:val="00ED19E9"/>
    <w:rsid w:val="00ED299C"/>
    <w:rsid w:val="00ED389B"/>
    <w:rsid w:val="00ED51B2"/>
    <w:rsid w:val="00ED714D"/>
    <w:rsid w:val="00ED73DA"/>
    <w:rsid w:val="00ED7E52"/>
    <w:rsid w:val="00EE0010"/>
    <w:rsid w:val="00EE048F"/>
    <w:rsid w:val="00EE0530"/>
    <w:rsid w:val="00EE0993"/>
    <w:rsid w:val="00EE276A"/>
    <w:rsid w:val="00EE2B0A"/>
    <w:rsid w:val="00EE2D67"/>
    <w:rsid w:val="00EE2EC2"/>
    <w:rsid w:val="00EE3940"/>
    <w:rsid w:val="00EE47D8"/>
    <w:rsid w:val="00EE4F97"/>
    <w:rsid w:val="00EE5764"/>
    <w:rsid w:val="00EE578E"/>
    <w:rsid w:val="00EE5FCE"/>
    <w:rsid w:val="00EE7649"/>
    <w:rsid w:val="00EF0016"/>
    <w:rsid w:val="00EF0352"/>
    <w:rsid w:val="00EF0357"/>
    <w:rsid w:val="00EF144D"/>
    <w:rsid w:val="00EF152B"/>
    <w:rsid w:val="00EF2D0A"/>
    <w:rsid w:val="00EF32E0"/>
    <w:rsid w:val="00EF336B"/>
    <w:rsid w:val="00EF39F4"/>
    <w:rsid w:val="00EF3F62"/>
    <w:rsid w:val="00EF42C7"/>
    <w:rsid w:val="00EF5185"/>
    <w:rsid w:val="00EF57EE"/>
    <w:rsid w:val="00EF5DCF"/>
    <w:rsid w:val="00EF691C"/>
    <w:rsid w:val="00EF79FB"/>
    <w:rsid w:val="00EF7BDF"/>
    <w:rsid w:val="00F03520"/>
    <w:rsid w:val="00F04399"/>
    <w:rsid w:val="00F044AD"/>
    <w:rsid w:val="00F044D7"/>
    <w:rsid w:val="00F054AB"/>
    <w:rsid w:val="00F067D9"/>
    <w:rsid w:val="00F06ABC"/>
    <w:rsid w:val="00F10104"/>
    <w:rsid w:val="00F1015F"/>
    <w:rsid w:val="00F107C5"/>
    <w:rsid w:val="00F110CB"/>
    <w:rsid w:val="00F12597"/>
    <w:rsid w:val="00F1443B"/>
    <w:rsid w:val="00F144D1"/>
    <w:rsid w:val="00F149FB"/>
    <w:rsid w:val="00F15352"/>
    <w:rsid w:val="00F15986"/>
    <w:rsid w:val="00F16DD5"/>
    <w:rsid w:val="00F16E69"/>
    <w:rsid w:val="00F22107"/>
    <w:rsid w:val="00F229B7"/>
    <w:rsid w:val="00F23524"/>
    <w:rsid w:val="00F24BB3"/>
    <w:rsid w:val="00F25126"/>
    <w:rsid w:val="00F2547C"/>
    <w:rsid w:val="00F25DFB"/>
    <w:rsid w:val="00F26098"/>
    <w:rsid w:val="00F2633D"/>
    <w:rsid w:val="00F2665A"/>
    <w:rsid w:val="00F2708A"/>
    <w:rsid w:val="00F2740A"/>
    <w:rsid w:val="00F30016"/>
    <w:rsid w:val="00F3009A"/>
    <w:rsid w:val="00F3139A"/>
    <w:rsid w:val="00F33495"/>
    <w:rsid w:val="00F338F4"/>
    <w:rsid w:val="00F346C8"/>
    <w:rsid w:val="00F34A4E"/>
    <w:rsid w:val="00F352D6"/>
    <w:rsid w:val="00F35705"/>
    <w:rsid w:val="00F358A0"/>
    <w:rsid w:val="00F35EBC"/>
    <w:rsid w:val="00F364F0"/>
    <w:rsid w:val="00F369AD"/>
    <w:rsid w:val="00F369B6"/>
    <w:rsid w:val="00F36E9E"/>
    <w:rsid w:val="00F37293"/>
    <w:rsid w:val="00F37520"/>
    <w:rsid w:val="00F376F3"/>
    <w:rsid w:val="00F4081D"/>
    <w:rsid w:val="00F40AAA"/>
    <w:rsid w:val="00F40C83"/>
    <w:rsid w:val="00F40E63"/>
    <w:rsid w:val="00F41733"/>
    <w:rsid w:val="00F4207E"/>
    <w:rsid w:val="00F42443"/>
    <w:rsid w:val="00F42690"/>
    <w:rsid w:val="00F42D0D"/>
    <w:rsid w:val="00F44842"/>
    <w:rsid w:val="00F44B10"/>
    <w:rsid w:val="00F4540A"/>
    <w:rsid w:val="00F4559D"/>
    <w:rsid w:val="00F46E23"/>
    <w:rsid w:val="00F46E9D"/>
    <w:rsid w:val="00F504B2"/>
    <w:rsid w:val="00F50F84"/>
    <w:rsid w:val="00F512FE"/>
    <w:rsid w:val="00F518BD"/>
    <w:rsid w:val="00F52A06"/>
    <w:rsid w:val="00F52AD8"/>
    <w:rsid w:val="00F52B04"/>
    <w:rsid w:val="00F52E8D"/>
    <w:rsid w:val="00F52EA9"/>
    <w:rsid w:val="00F53475"/>
    <w:rsid w:val="00F53E4E"/>
    <w:rsid w:val="00F55A43"/>
    <w:rsid w:val="00F56E38"/>
    <w:rsid w:val="00F5722A"/>
    <w:rsid w:val="00F57BC5"/>
    <w:rsid w:val="00F60112"/>
    <w:rsid w:val="00F61B5B"/>
    <w:rsid w:val="00F61F50"/>
    <w:rsid w:val="00F6266F"/>
    <w:rsid w:val="00F62CCA"/>
    <w:rsid w:val="00F62E99"/>
    <w:rsid w:val="00F63359"/>
    <w:rsid w:val="00F636B0"/>
    <w:rsid w:val="00F64274"/>
    <w:rsid w:val="00F649EC"/>
    <w:rsid w:val="00F64A63"/>
    <w:rsid w:val="00F65BE2"/>
    <w:rsid w:val="00F65FD1"/>
    <w:rsid w:val="00F701BA"/>
    <w:rsid w:val="00F706A2"/>
    <w:rsid w:val="00F70E72"/>
    <w:rsid w:val="00F719CA"/>
    <w:rsid w:val="00F72080"/>
    <w:rsid w:val="00F720C2"/>
    <w:rsid w:val="00F7303C"/>
    <w:rsid w:val="00F734BA"/>
    <w:rsid w:val="00F7393E"/>
    <w:rsid w:val="00F739AE"/>
    <w:rsid w:val="00F75172"/>
    <w:rsid w:val="00F751D4"/>
    <w:rsid w:val="00F7538D"/>
    <w:rsid w:val="00F75AB4"/>
    <w:rsid w:val="00F75C80"/>
    <w:rsid w:val="00F760AE"/>
    <w:rsid w:val="00F76B51"/>
    <w:rsid w:val="00F77456"/>
    <w:rsid w:val="00F80507"/>
    <w:rsid w:val="00F8068F"/>
    <w:rsid w:val="00F80B33"/>
    <w:rsid w:val="00F812A6"/>
    <w:rsid w:val="00F82427"/>
    <w:rsid w:val="00F82B99"/>
    <w:rsid w:val="00F83FB5"/>
    <w:rsid w:val="00F84167"/>
    <w:rsid w:val="00F849AE"/>
    <w:rsid w:val="00F8556F"/>
    <w:rsid w:val="00F85B29"/>
    <w:rsid w:val="00F86B7E"/>
    <w:rsid w:val="00F87951"/>
    <w:rsid w:val="00F8796A"/>
    <w:rsid w:val="00F87D43"/>
    <w:rsid w:val="00F9126D"/>
    <w:rsid w:val="00F91DD8"/>
    <w:rsid w:val="00F9248B"/>
    <w:rsid w:val="00F924C2"/>
    <w:rsid w:val="00F925C9"/>
    <w:rsid w:val="00F939EB"/>
    <w:rsid w:val="00F93E84"/>
    <w:rsid w:val="00F947EE"/>
    <w:rsid w:val="00F965F7"/>
    <w:rsid w:val="00F96CC0"/>
    <w:rsid w:val="00F9714E"/>
    <w:rsid w:val="00F97743"/>
    <w:rsid w:val="00FA02AE"/>
    <w:rsid w:val="00FA0539"/>
    <w:rsid w:val="00FA14D8"/>
    <w:rsid w:val="00FA2CC0"/>
    <w:rsid w:val="00FA2D9C"/>
    <w:rsid w:val="00FA3E25"/>
    <w:rsid w:val="00FA3ED0"/>
    <w:rsid w:val="00FA48C7"/>
    <w:rsid w:val="00FA4B2A"/>
    <w:rsid w:val="00FA55D4"/>
    <w:rsid w:val="00FA5A88"/>
    <w:rsid w:val="00FA5CD8"/>
    <w:rsid w:val="00FA6BA7"/>
    <w:rsid w:val="00FB0070"/>
    <w:rsid w:val="00FB037A"/>
    <w:rsid w:val="00FB068A"/>
    <w:rsid w:val="00FB0BCD"/>
    <w:rsid w:val="00FB0EA7"/>
    <w:rsid w:val="00FB1744"/>
    <w:rsid w:val="00FB1816"/>
    <w:rsid w:val="00FB1A4E"/>
    <w:rsid w:val="00FB36CC"/>
    <w:rsid w:val="00FB38D4"/>
    <w:rsid w:val="00FB3C42"/>
    <w:rsid w:val="00FB430B"/>
    <w:rsid w:val="00FB4E23"/>
    <w:rsid w:val="00FB4FD9"/>
    <w:rsid w:val="00FB50C7"/>
    <w:rsid w:val="00FB5AD0"/>
    <w:rsid w:val="00FB69E4"/>
    <w:rsid w:val="00FB6C9F"/>
    <w:rsid w:val="00FB6E0D"/>
    <w:rsid w:val="00FB7186"/>
    <w:rsid w:val="00FB7AB1"/>
    <w:rsid w:val="00FC03A9"/>
    <w:rsid w:val="00FC03BE"/>
    <w:rsid w:val="00FC042D"/>
    <w:rsid w:val="00FC132F"/>
    <w:rsid w:val="00FC1752"/>
    <w:rsid w:val="00FC2060"/>
    <w:rsid w:val="00FC35CC"/>
    <w:rsid w:val="00FC3DAE"/>
    <w:rsid w:val="00FC4D31"/>
    <w:rsid w:val="00FC679E"/>
    <w:rsid w:val="00FC6CFB"/>
    <w:rsid w:val="00FC6E92"/>
    <w:rsid w:val="00FC7635"/>
    <w:rsid w:val="00FC7ACA"/>
    <w:rsid w:val="00FD12F1"/>
    <w:rsid w:val="00FD1E9C"/>
    <w:rsid w:val="00FD3028"/>
    <w:rsid w:val="00FD4375"/>
    <w:rsid w:val="00FD4AB1"/>
    <w:rsid w:val="00FD53CE"/>
    <w:rsid w:val="00FD5874"/>
    <w:rsid w:val="00FD62C5"/>
    <w:rsid w:val="00FD6890"/>
    <w:rsid w:val="00FD6D9F"/>
    <w:rsid w:val="00FD71D6"/>
    <w:rsid w:val="00FD7A93"/>
    <w:rsid w:val="00FE0372"/>
    <w:rsid w:val="00FE0914"/>
    <w:rsid w:val="00FE0CBE"/>
    <w:rsid w:val="00FE2697"/>
    <w:rsid w:val="00FE342F"/>
    <w:rsid w:val="00FE484A"/>
    <w:rsid w:val="00FE5F25"/>
    <w:rsid w:val="00FE660F"/>
    <w:rsid w:val="00FE664E"/>
    <w:rsid w:val="00FE69FE"/>
    <w:rsid w:val="00FE7146"/>
    <w:rsid w:val="00FF1E3A"/>
    <w:rsid w:val="00FF272F"/>
    <w:rsid w:val="00FF27B5"/>
    <w:rsid w:val="00FF31C3"/>
    <w:rsid w:val="00FF32CD"/>
    <w:rsid w:val="00FF33AD"/>
    <w:rsid w:val="00FF33BE"/>
    <w:rsid w:val="00FF3951"/>
    <w:rsid w:val="00FF3AA1"/>
    <w:rsid w:val="00FF3B2B"/>
    <w:rsid w:val="00FF4038"/>
    <w:rsid w:val="00FF4274"/>
    <w:rsid w:val="00FF5488"/>
    <w:rsid w:val="00FF6C04"/>
    <w:rsid w:val="00FF724C"/>
    <w:rsid w:val="00FF7BFC"/>
    <w:rsid w:val="0130315B"/>
    <w:rsid w:val="01DC5CC8"/>
    <w:rsid w:val="02E51F3D"/>
    <w:rsid w:val="03533C82"/>
    <w:rsid w:val="04321CCE"/>
    <w:rsid w:val="04456A8D"/>
    <w:rsid w:val="06D2793C"/>
    <w:rsid w:val="08A2453A"/>
    <w:rsid w:val="0D1F7146"/>
    <w:rsid w:val="0D5C45C0"/>
    <w:rsid w:val="11614A1E"/>
    <w:rsid w:val="137E60DF"/>
    <w:rsid w:val="145F04F1"/>
    <w:rsid w:val="15B12BC2"/>
    <w:rsid w:val="16E56389"/>
    <w:rsid w:val="1E085626"/>
    <w:rsid w:val="20BC2EEC"/>
    <w:rsid w:val="20D1112D"/>
    <w:rsid w:val="215A34C5"/>
    <w:rsid w:val="21C1219C"/>
    <w:rsid w:val="22EB7084"/>
    <w:rsid w:val="25902C01"/>
    <w:rsid w:val="259869A0"/>
    <w:rsid w:val="26B86403"/>
    <w:rsid w:val="275405C9"/>
    <w:rsid w:val="29E57F42"/>
    <w:rsid w:val="2CBB28F7"/>
    <w:rsid w:val="2EDA5FAF"/>
    <w:rsid w:val="2F0B03F1"/>
    <w:rsid w:val="314839C8"/>
    <w:rsid w:val="31F67082"/>
    <w:rsid w:val="327E5E4D"/>
    <w:rsid w:val="32935879"/>
    <w:rsid w:val="33906529"/>
    <w:rsid w:val="36244182"/>
    <w:rsid w:val="36EA7111"/>
    <w:rsid w:val="39941AFB"/>
    <w:rsid w:val="3BBD6455"/>
    <w:rsid w:val="3EE639D1"/>
    <w:rsid w:val="3F6A5F87"/>
    <w:rsid w:val="428B4A24"/>
    <w:rsid w:val="45B107A8"/>
    <w:rsid w:val="465B6EEB"/>
    <w:rsid w:val="48F21BCC"/>
    <w:rsid w:val="49B361E0"/>
    <w:rsid w:val="4B203FD6"/>
    <w:rsid w:val="4DFA504D"/>
    <w:rsid w:val="4E2F5E56"/>
    <w:rsid w:val="4F7F2EE9"/>
    <w:rsid w:val="50827466"/>
    <w:rsid w:val="5158008D"/>
    <w:rsid w:val="52153FF2"/>
    <w:rsid w:val="52630BD1"/>
    <w:rsid w:val="52E14345"/>
    <w:rsid w:val="53D91F83"/>
    <w:rsid w:val="54A41F67"/>
    <w:rsid w:val="561565F7"/>
    <w:rsid w:val="57FA046D"/>
    <w:rsid w:val="588B2C30"/>
    <w:rsid w:val="5901420F"/>
    <w:rsid w:val="5AC47BD9"/>
    <w:rsid w:val="5B427479"/>
    <w:rsid w:val="5D573A29"/>
    <w:rsid w:val="5E514F25"/>
    <w:rsid w:val="610151B4"/>
    <w:rsid w:val="61385890"/>
    <w:rsid w:val="61FD399C"/>
    <w:rsid w:val="64361EE4"/>
    <w:rsid w:val="67161AAD"/>
    <w:rsid w:val="67313B7E"/>
    <w:rsid w:val="6A2230A4"/>
    <w:rsid w:val="6C252051"/>
    <w:rsid w:val="71312C91"/>
    <w:rsid w:val="726222CF"/>
    <w:rsid w:val="75381CFD"/>
    <w:rsid w:val="75733D55"/>
    <w:rsid w:val="76760C18"/>
    <w:rsid w:val="78353FA3"/>
    <w:rsid w:val="798C180C"/>
    <w:rsid w:val="7BB25349"/>
    <w:rsid w:val="7C5D0938"/>
    <w:rsid w:val="7F4D1CE2"/>
    <w:rsid w:val="7FDA02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nhideWhenUsed="0" w:uiPriority="99" w:semiHidden="0" w:name="Body Text First Indent 2"/>
    <w:lsdException w:uiPriority="99" w:name="Note Heading"/>
    <w:lsdException w:qFormat="1" w:uiPriority="99" w:name="Body Text 2"/>
    <w:lsdException w:uiPriority="99" w:name="Body Text 3"/>
    <w:lsdException w:qFormat="1" w:unhideWhenUsed="0" w:uiPriority="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2"/>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53"/>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54"/>
    <w:qFormat/>
    <w:uiPriority w:val="0"/>
    <w:pPr>
      <w:keepNext/>
      <w:keepLines/>
      <w:spacing w:before="80" w:after="80"/>
      <w:outlineLvl w:val="2"/>
    </w:pPr>
    <w:rPr>
      <w:rFonts w:ascii="Calibri" w:hAnsi="Calibri" w:eastAsia="黑体" w:cs="Times New Roman"/>
      <w:bCs/>
      <w:sz w:val="24"/>
      <w:szCs w:val="24"/>
    </w:rPr>
  </w:style>
  <w:style w:type="paragraph" w:styleId="5">
    <w:name w:val="heading 4"/>
    <w:basedOn w:val="1"/>
    <w:next w:val="1"/>
    <w:link w:val="55"/>
    <w:unhideWhenUsed/>
    <w:qFormat/>
    <w:uiPriority w:val="0"/>
    <w:pPr>
      <w:keepNext/>
      <w:keepLines/>
      <w:spacing w:before="280" w:after="290" w:line="376" w:lineRule="atLeast"/>
      <w:outlineLvl w:val="3"/>
    </w:pPr>
    <w:rPr>
      <w:rFonts w:ascii="Arial" w:hAnsi="Arial" w:eastAsia="黑体" w:cs="Times New Roman"/>
      <w:sz w:val="24"/>
      <w:szCs w:val="28"/>
      <w:lang w:val="zh-CN"/>
    </w:rPr>
  </w:style>
  <w:style w:type="paragraph" w:styleId="6">
    <w:name w:val="heading 5"/>
    <w:basedOn w:val="1"/>
    <w:next w:val="1"/>
    <w:link w:val="56"/>
    <w:qFormat/>
    <w:uiPriority w:val="0"/>
    <w:pPr>
      <w:keepNext/>
      <w:keepLines/>
      <w:spacing w:before="280" w:afterLines="50" w:line="376" w:lineRule="auto"/>
      <w:outlineLvl w:val="4"/>
    </w:pPr>
    <w:rPr>
      <w:rFonts w:ascii="Times New Roman" w:hAnsi="Times New Roman" w:eastAsia="宋体" w:cs="Times New Roman"/>
      <w:b/>
      <w:bCs/>
      <w:sz w:val="28"/>
      <w:szCs w:val="28"/>
    </w:rPr>
  </w:style>
  <w:style w:type="paragraph" w:styleId="7">
    <w:name w:val="heading 6"/>
    <w:basedOn w:val="1"/>
    <w:next w:val="1"/>
    <w:link w:val="57"/>
    <w:qFormat/>
    <w:uiPriority w:val="0"/>
    <w:pPr>
      <w:keepNext/>
      <w:keepLines/>
      <w:spacing w:before="240" w:afterLines="50" w:line="320" w:lineRule="auto"/>
      <w:outlineLvl w:val="5"/>
    </w:pPr>
    <w:rPr>
      <w:rFonts w:ascii="Arial" w:hAnsi="Arial" w:eastAsia="黑体" w:cs="Times New Roman"/>
      <w:b/>
      <w:bCs/>
      <w:sz w:val="24"/>
      <w:szCs w:val="24"/>
    </w:rPr>
  </w:style>
  <w:style w:type="paragraph" w:styleId="8">
    <w:name w:val="heading 7"/>
    <w:basedOn w:val="1"/>
    <w:next w:val="1"/>
    <w:link w:val="58"/>
    <w:qFormat/>
    <w:uiPriority w:val="0"/>
    <w:pPr>
      <w:keepNext/>
      <w:keepLines/>
      <w:spacing w:before="240" w:afterLines="50" w:line="320" w:lineRule="auto"/>
      <w:outlineLvl w:val="6"/>
    </w:pPr>
    <w:rPr>
      <w:rFonts w:ascii="Times New Roman" w:hAnsi="Times New Roman" w:eastAsia="宋体" w:cs="Times New Roman"/>
      <w:b/>
      <w:bCs/>
      <w:sz w:val="24"/>
      <w:szCs w:val="24"/>
    </w:rPr>
  </w:style>
  <w:style w:type="paragraph" w:styleId="9">
    <w:name w:val="heading 8"/>
    <w:basedOn w:val="1"/>
    <w:next w:val="1"/>
    <w:link w:val="59"/>
    <w:qFormat/>
    <w:uiPriority w:val="0"/>
    <w:pPr>
      <w:keepNext/>
      <w:keepLines/>
      <w:spacing w:before="240" w:afterLines="50" w:line="320" w:lineRule="auto"/>
      <w:outlineLvl w:val="7"/>
    </w:pPr>
    <w:rPr>
      <w:rFonts w:ascii="Arial" w:hAnsi="Arial" w:eastAsia="黑体" w:cs="Times New Roman"/>
      <w:sz w:val="24"/>
      <w:szCs w:val="24"/>
    </w:rPr>
  </w:style>
  <w:style w:type="paragraph" w:styleId="10">
    <w:name w:val="heading 9"/>
    <w:basedOn w:val="1"/>
    <w:next w:val="1"/>
    <w:link w:val="60"/>
    <w:qFormat/>
    <w:uiPriority w:val="0"/>
    <w:pPr>
      <w:keepNext/>
      <w:keepLines/>
      <w:spacing w:before="240" w:after="64" w:line="320" w:lineRule="auto"/>
      <w:outlineLvl w:val="8"/>
    </w:pPr>
    <w:rPr>
      <w:rFonts w:ascii="Cambria" w:hAnsi="Cambria" w:eastAsia="宋体" w:cs="Times New Roman"/>
      <w:szCs w:val="21"/>
    </w:rPr>
  </w:style>
  <w:style w:type="character" w:default="1" w:styleId="43">
    <w:name w:val="Default Paragraph Font"/>
    <w:unhideWhenUsed/>
    <w:qFormat/>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eastAsia="宋体" w:cs="Times New Roman"/>
      <w:sz w:val="18"/>
      <w:szCs w:val="18"/>
    </w:rPr>
  </w:style>
  <w:style w:type="paragraph" w:styleId="12">
    <w:name w:val="Normal Indent"/>
    <w:basedOn w:val="1"/>
    <w:link w:val="61"/>
    <w:qFormat/>
    <w:uiPriority w:val="0"/>
    <w:pPr>
      <w:ind w:firstLine="420"/>
    </w:pPr>
    <w:rPr>
      <w:rFonts w:ascii="宋体" w:hAnsi="Courier New" w:eastAsia="宋体" w:cs="Times New Roman"/>
      <w:b/>
      <w:sz w:val="24"/>
      <w:szCs w:val="20"/>
    </w:rPr>
  </w:style>
  <w:style w:type="paragraph" w:styleId="13">
    <w:name w:val="caption"/>
    <w:basedOn w:val="1"/>
    <w:next w:val="1"/>
    <w:link w:val="62"/>
    <w:unhideWhenUsed/>
    <w:qFormat/>
    <w:uiPriority w:val="35"/>
    <w:rPr>
      <w:rFonts w:ascii="Cambria" w:hAnsi="Cambria" w:eastAsia="黑体" w:cs="Times New Roman"/>
      <w:sz w:val="20"/>
      <w:szCs w:val="20"/>
    </w:rPr>
  </w:style>
  <w:style w:type="paragraph" w:styleId="14">
    <w:name w:val="Document Map"/>
    <w:basedOn w:val="1"/>
    <w:link w:val="63"/>
    <w:semiHidden/>
    <w:unhideWhenUsed/>
    <w:qFormat/>
    <w:uiPriority w:val="99"/>
    <w:rPr>
      <w:rFonts w:ascii="宋体" w:hAnsi="Calibri" w:eastAsia="宋体" w:cs="Times New Roman"/>
      <w:sz w:val="18"/>
      <w:szCs w:val="18"/>
    </w:rPr>
  </w:style>
  <w:style w:type="paragraph" w:styleId="15">
    <w:name w:val="annotation text"/>
    <w:basedOn w:val="1"/>
    <w:link w:val="64"/>
    <w:semiHidden/>
    <w:unhideWhenUsed/>
    <w:qFormat/>
    <w:uiPriority w:val="99"/>
    <w:pPr>
      <w:jc w:val="left"/>
    </w:pPr>
  </w:style>
  <w:style w:type="paragraph" w:styleId="16">
    <w:name w:val="Body Text"/>
    <w:basedOn w:val="1"/>
    <w:link w:val="65"/>
    <w:unhideWhenUsed/>
    <w:qFormat/>
    <w:uiPriority w:val="0"/>
    <w:pPr>
      <w:spacing w:after="120"/>
    </w:pPr>
    <w:rPr>
      <w:rFonts w:ascii="Calibri" w:hAnsi="Calibri" w:eastAsia="宋体" w:cs="Times New Roman"/>
    </w:rPr>
  </w:style>
  <w:style w:type="paragraph" w:styleId="17">
    <w:name w:val="Body Text Indent"/>
    <w:basedOn w:val="1"/>
    <w:link w:val="66"/>
    <w:qFormat/>
    <w:uiPriority w:val="0"/>
    <w:pPr>
      <w:spacing w:after="120"/>
      <w:ind w:left="420" w:leftChars="200"/>
    </w:pPr>
    <w:rPr>
      <w:rFonts w:ascii="Times New Roman" w:hAnsi="Times New Roman" w:eastAsia="宋体" w:cs="Times New Roman"/>
      <w:szCs w:val="24"/>
    </w:rPr>
  </w:style>
  <w:style w:type="paragraph" w:styleId="18">
    <w:name w:val="toc 5"/>
    <w:basedOn w:val="1"/>
    <w:next w:val="1"/>
    <w:unhideWhenUsed/>
    <w:qFormat/>
    <w:uiPriority w:val="39"/>
    <w:pPr>
      <w:ind w:left="840"/>
      <w:jc w:val="left"/>
    </w:pPr>
    <w:rPr>
      <w:rFonts w:ascii="Calibri" w:hAnsi="Calibri" w:eastAsia="宋体" w:cs="Times New Roman"/>
      <w:sz w:val="18"/>
      <w:szCs w:val="18"/>
    </w:rPr>
  </w:style>
  <w:style w:type="paragraph" w:styleId="19">
    <w:name w:val="toc 3"/>
    <w:basedOn w:val="1"/>
    <w:next w:val="1"/>
    <w:unhideWhenUsed/>
    <w:qFormat/>
    <w:uiPriority w:val="39"/>
    <w:pPr>
      <w:ind w:left="420"/>
      <w:jc w:val="left"/>
    </w:pPr>
    <w:rPr>
      <w:rFonts w:ascii="Calibri" w:hAnsi="Calibri" w:eastAsia="宋体" w:cs="Times New Roman"/>
      <w:i/>
      <w:iCs/>
      <w:sz w:val="20"/>
      <w:szCs w:val="20"/>
    </w:rPr>
  </w:style>
  <w:style w:type="paragraph" w:styleId="20">
    <w:name w:val="Plain Text"/>
    <w:basedOn w:val="1"/>
    <w:link w:val="67"/>
    <w:qFormat/>
    <w:uiPriority w:val="0"/>
    <w:pPr>
      <w:spacing w:before="120" w:after="120" w:line="360" w:lineRule="exact"/>
      <w:ind w:right="-28"/>
    </w:pPr>
    <w:rPr>
      <w:rFonts w:ascii="宋体" w:hAnsi="Courier New" w:eastAsia="幼圆" w:cs="Times New Roman"/>
      <w:kern w:val="0"/>
      <w:sz w:val="24"/>
      <w:szCs w:val="20"/>
    </w:rPr>
  </w:style>
  <w:style w:type="paragraph" w:styleId="21">
    <w:name w:val="toc 8"/>
    <w:basedOn w:val="1"/>
    <w:next w:val="1"/>
    <w:unhideWhenUsed/>
    <w:qFormat/>
    <w:uiPriority w:val="39"/>
    <w:pPr>
      <w:ind w:left="1470"/>
      <w:jc w:val="left"/>
    </w:pPr>
    <w:rPr>
      <w:rFonts w:ascii="Calibri" w:hAnsi="Calibri" w:eastAsia="宋体" w:cs="Times New Roman"/>
      <w:sz w:val="18"/>
      <w:szCs w:val="18"/>
    </w:rPr>
  </w:style>
  <w:style w:type="paragraph" w:styleId="22">
    <w:name w:val="Date"/>
    <w:basedOn w:val="1"/>
    <w:next w:val="1"/>
    <w:link w:val="68"/>
    <w:semiHidden/>
    <w:unhideWhenUsed/>
    <w:qFormat/>
    <w:uiPriority w:val="99"/>
    <w:pPr>
      <w:ind w:left="100" w:leftChars="2500"/>
    </w:pPr>
    <w:rPr>
      <w:rFonts w:ascii="Calibri" w:hAnsi="Calibri" w:eastAsia="宋体" w:cs="Times New Roman"/>
    </w:rPr>
  </w:style>
  <w:style w:type="paragraph" w:styleId="23">
    <w:name w:val="Body Text Indent 2"/>
    <w:basedOn w:val="1"/>
    <w:link w:val="69"/>
    <w:semiHidden/>
    <w:qFormat/>
    <w:uiPriority w:val="0"/>
    <w:pPr>
      <w:spacing w:line="300" w:lineRule="auto"/>
      <w:ind w:right="-53" w:rightChars="-25" w:firstLine="480" w:firstLineChars="200"/>
    </w:pPr>
    <w:rPr>
      <w:rFonts w:ascii="宋体" w:hAnsi="宋体" w:eastAsia="宋体" w:cs="Times New Roman"/>
      <w:color w:val="FF00FF"/>
      <w:sz w:val="24"/>
      <w:szCs w:val="24"/>
    </w:rPr>
  </w:style>
  <w:style w:type="paragraph" w:styleId="24">
    <w:name w:val="endnote text"/>
    <w:basedOn w:val="1"/>
    <w:link w:val="70"/>
    <w:semiHidden/>
    <w:unhideWhenUsed/>
    <w:qFormat/>
    <w:uiPriority w:val="99"/>
    <w:pPr>
      <w:snapToGrid w:val="0"/>
      <w:jc w:val="left"/>
    </w:pPr>
    <w:rPr>
      <w:rFonts w:ascii="Calibri" w:hAnsi="Calibri" w:eastAsia="宋体" w:cs="Times New Roman"/>
    </w:rPr>
  </w:style>
  <w:style w:type="paragraph" w:styleId="25">
    <w:name w:val="Balloon Text"/>
    <w:basedOn w:val="1"/>
    <w:link w:val="71"/>
    <w:qFormat/>
    <w:uiPriority w:val="99"/>
    <w:rPr>
      <w:rFonts w:eastAsia="Helvetica"/>
      <w:sz w:val="18"/>
      <w:szCs w:val="18"/>
    </w:rPr>
  </w:style>
  <w:style w:type="paragraph" w:styleId="26">
    <w:name w:val="footer"/>
    <w:basedOn w:val="1"/>
    <w:link w:val="72"/>
    <w:unhideWhenUsed/>
    <w:qFormat/>
    <w:uiPriority w:val="99"/>
    <w:pPr>
      <w:tabs>
        <w:tab w:val="center" w:pos="4153"/>
        <w:tab w:val="right" w:pos="8306"/>
      </w:tabs>
      <w:snapToGrid w:val="0"/>
      <w:jc w:val="left"/>
    </w:pPr>
    <w:rPr>
      <w:sz w:val="18"/>
      <w:szCs w:val="18"/>
    </w:rPr>
  </w:style>
  <w:style w:type="paragraph" w:styleId="27">
    <w:name w:val="header"/>
    <w:basedOn w:val="1"/>
    <w:link w:val="73"/>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unhideWhenUsed/>
    <w:qFormat/>
    <w:uiPriority w:val="39"/>
    <w:pPr>
      <w:tabs>
        <w:tab w:val="left" w:pos="1050"/>
        <w:tab w:val="right" w:leader="dot" w:pos="9802"/>
      </w:tabs>
      <w:spacing w:line="360" w:lineRule="auto"/>
    </w:pPr>
    <w:rPr>
      <w:sz w:val="24"/>
    </w:rPr>
  </w:style>
  <w:style w:type="paragraph" w:styleId="29">
    <w:name w:val="toc 4"/>
    <w:basedOn w:val="1"/>
    <w:next w:val="1"/>
    <w:unhideWhenUsed/>
    <w:qFormat/>
    <w:uiPriority w:val="39"/>
    <w:pPr>
      <w:ind w:left="630"/>
      <w:jc w:val="left"/>
    </w:pPr>
    <w:rPr>
      <w:rFonts w:ascii="Calibri" w:hAnsi="Calibri" w:eastAsia="宋体" w:cs="Times New Roman"/>
      <w:sz w:val="18"/>
      <w:szCs w:val="18"/>
    </w:rPr>
  </w:style>
  <w:style w:type="paragraph" w:styleId="30">
    <w:name w:val="Subtitle"/>
    <w:basedOn w:val="1"/>
    <w:next w:val="1"/>
    <w:link w:val="74"/>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31">
    <w:name w:val="footnote text"/>
    <w:basedOn w:val="1"/>
    <w:link w:val="75"/>
    <w:semiHidden/>
    <w:unhideWhenUsed/>
    <w:qFormat/>
    <w:uiPriority w:val="99"/>
    <w:pPr>
      <w:snapToGrid w:val="0"/>
      <w:jc w:val="left"/>
    </w:pPr>
    <w:rPr>
      <w:rFonts w:ascii="Calibri" w:hAnsi="Calibri" w:eastAsia="宋体" w:cs="Times New Roman"/>
      <w:sz w:val="18"/>
      <w:szCs w:val="18"/>
    </w:rPr>
  </w:style>
  <w:style w:type="paragraph" w:styleId="32">
    <w:name w:val="toc 6"/>
    <w:basedOn w:val="1"/>
    <w:next w:val="1"/>
    <w:unhideWhenUsed/>
    <w:qFormat/>
    <w:uiPriority w:val="39"/>
    <w:pPr>
      <w:ind w:left="1050"/>
      <w:jc w:val="left"/>
    </w:pPr>
    <w:rPr>
      <w:rFonts w:ascii="Calibri" w:hAnsi="Calibri" w:eastAsia="宋体" w:cs="Times New Roman"/>
      <w:sz w:val="18"/>
      <w:szCs w:val="18"/>
    </w:rPr>
  </w:style>
  <w:style w:type="paragraph" w:styleId="33">
    <w:name w:val="toc 2"/>
    <w:basedOn w:val="1"/>
    <w:next w:val="1"/>
    <w:qFormat/>
    <w:uiPriority w:val="39"/>
    <w:pPr>
      <w:tabs>
        <w:tab w:val="right" w:leader="dot" w:pos="9781"/>
      </w:tabs>
      <w:spacing w:before="120" w:after="120"/>
      <w:jc w:val="left"/>
    </w:pPr>
    <w:rPr>
      <w:rFonts w:ascii="宋体" w:hAnsi="宋体" w:eastAsia="宋体" w:cs="Times New Roman"/>
      <w:smallCaps/>
      <w:sz w:val="24"/>
      <w:szCs w:val="24"/>
    </w:rPr>
  </w:style>
  <w:style w:type="paragraph" w:styleId="34">
    <w:name w:val="toc 9"/>
    <w:basedOn w:val="1"/>
    <w:next w:val="1"/>
    <w:unhideWhenUsed/>
    <w:qFormat/>
    <w:uiPriority w:val="39"/>
    <w:pPr>
      <w:ind w:left="1680"/>
      <w:jc w:val="left"/>
    </w:pPr>
    <w:rPr>
      <w:rFonts w:ascii="Calibri" w:hAnsi="Calibri" w:eastAsia="宋体" w:cs="Times New Roman"/>
      <w:sz w:val="18"/>
      <w:szCs w:val="18"/>
    </w:rPr>
  </w:style>
  <w:style w:type="paragraph" w:styleId="35">
    <w:name w:val="Body Text 2"/>
    <w:basedOn w:val="1"/>
    <w:link w:val="76"/>
    <w:semiHidden/>
    <w:unhideWhenUsed/>
    <w:qFormat/>
    <w:uiPriority w:val="99"/>
    <w:pPr>
      <w:spacing w:after="120" w:line="480" w:lineRule="auto"/>
    </w:pPr>
    <w:rPr>
      <w:rFonts w:ascii="Calibri" w:hAnsi="Calibri" w:eastAsia="宋体" w:cs="Times New Roman"/>
    </w:rPr>
  </w:style>
  <w:style w:type="paragraph" w:styleId="36">
    <w:name w:val="Normal (Web)"/>
    <w:basedOn w:val="1"/>
    <w:unhideWhenUsed/>
    <w:qFormat/>
    <w:uiPriority w:val="99"/>
    <w:rPr>
      <w:rFonts w:ascii="Times New Roman" w:hAnsi="Times New Roman" w:cs="Times New Roman"/>
      <w:sz w:val="24"/>
      <w:szCs w:val="24"/>
    </w:rPr>
  </w:style>
  <w:style w:type="paragraph" w:styleId="37">
    <w:name w:val="Title"/>
    <w:basedOn w:val="1"/>
    <w:link w:val="77"/>
    <w:qFormat/>
    <w:uiPriority w:val="0"/>
    <w:pPr>
      <w:spacing w:before="240" w:after="60" w:line="360" w:lineRule="auto"/>
      <w:ind w:firstLine="200" w:firstLineChars="200"/>
      <w:jc w:val="center"/>
      <w:outlineLvl w:val="0"/>
    </w:pPr>
    <w:rPr>
      <w:rFonts w:ascii="Arial" w:hAnsi="Arial" w:eastAsia="宋体" w:cs="Times New Roman"/>
      <w:b/>
      <w:bCs/>
      <w:sz w:val="32"/>
      <w:szCs w:val="32"/>
    </w:rPr>
  </w:style>
  <w:style w:type="paragraph" w:styleId="38">
    <w:name w:val="annotation subject"/>
    <w:basedOn w:val="15"/>
    <w:next w:val="15"/>
    <w:link w:val="78"/>
    <w:semiHidden/>
    <w:unhideWhenUsed/>
    <w:qFormat/>
    <w:uiPriority w:val="99"/>
    <w:rPr>
      <w:b/>
      <w:bCs/>
    </w:rPr>
  </w:style>
  <w:style w:type="paragraph" w:styleId="39">
    <w:name w:val="Body Text First Indent"/>
    <w:basedOn w:val="16"/>
    <w:link w:val="79"/>
    <w:qFormat/>
    <w:uiPriority w:val="0"/>
    <w:pPr>
      <w:ind w:firstLine="420" w:firstLineChars="100"/>
    </w:pPr>
  </w:style>
  <w:style w:type="paragraph" w:styleId="40">
    <w:name w:val="Body Text First Indent 2"/>
    <w:basedOn w:val="17"/>
    <w:link w:val="80"/>
    <w:qFormat/>
    <w:uiPriority w:val="99"/>
    <w:pPr>
      <w:ind w:firstLine="420" w:firstLineChars="200"/>
      <w:jc w:val="left"/>
    </w:pPr>
    <w:rPr>
      <w:szCs w:val="22"/>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22"/>
    <w:rPr>
      <w:b/>
      <w:bCs/>
    </w:rPr>
  </w:style>
  <w:style w:type="character" w:styleId="45">
    <w:name w:val="endnote reference"/>
    <w:semiHidden/>
    <w:unhideWhenUsed/>
    <w:qFormat/>
    <w:uiPriority w:val="99"/>
    <w:rPr>
      <w:vertAlign w:val="superscript"/>
    </w:rPr>
  </w:style>
  <w:style w:type="character" w:styleId="46">
    <w:name w:val="page number"/>
    <w:basedOn w:val="43"/>
    <w:qFormat/>
    <w:uiPriority w:val="0"/>
  </w:style>
  <w:style w:type="character" w:styleId="47">
    <w:name w:val="FollowedHyperlink"/>
    <w:unhideWhenUsed/>
    <w:qFormat/>
    <w:uiPriority w:val="99"/>
    <w:rPr>
      <w:color w:val="800080"/>
      <w:u w:val="single"/>
    </w:rPr>
  </w:style>
  <w:style w:type="character" w:styleId="48">
    <w:name w:val="Emphasis"/>
    <w:qFormat/>
    <w:uiPriority w:val="20"/>
    <w:rPr>
      <w:i/>
      <w:iCs/>
    </w:rPr>
  </w:style>
  <w:style w:type="character" w:styleId="49">
    <w:name w:val="Hyperlink"/>
    <w:basedOn w:val="43"/>
    <w:unhideWhenUsed/>
    <w:qFormat/>
    <w:uiPriority w:val="99"/>
    <w:rPr>
      <w:color w:val="0000FF" w:themeColor="hyperlink"/>
      <w:u w:val="single"/>
      <w14:textFill>
        <w14:solidFill>
          <w14:schemeClr w14:val="hlink"/>
        </w14:solidFill>
      </w14:textFill>
    </w:rPr>
  </w:style>
  <w:style w:type="character" w:styleId="50">
    <w:name w:val="annotation reference"/>
    <w:basedOn w:val="43"/>
    <w:semiHidden/>
    <w:unhideWhenUsed/>
    <w:qFormat/>
    <w:uiPriority w:val="99"/>
    <w:rPr>
      <w:sz w:val="21"/>
      <w:szCs w:val="21"/>
    </w:rPr>
  </w:style>
  <w:style w:type="character" w:styleId="51">
    <w:name w:val="footnote reference"/>
    <w:semiHidden/>
    <w:unhideWhenUsed/>
    <w:qFormat/>
    <w:uiPriority w:val="99"/>
    <w:rPr>
      <w:vertAlign w:val="superscript"/>
    </w:rPr>
  </w:style>
  <w:style w:type="character" w:customStyle="1" w:styleId="52">
    <w:name w:val="标题 1 字符"/>
    <w:basedOn w:val="43"/>
    <w:link w:val="2"/>
    <w:qFormat/>
    <w:uiPriority w:val="0"/>
    <w:rPr>
      <w:rFonts w:ascii="Times New Roman" w:hAnsi="Times New Roman" w:eastAsia="宋体" w:cs="Times New Roman"/>
      <w:b/>
      <w:bCs/>
      <w:kern w:val="44"/>
      <w:sz w:val="44"/>
      <w:szCs w:val="44"/>
    </w:rPr>
  </w:style>
  <w:style w:type="character" w:customStyle="1" w:styleId="53">
    <w:name w:val="标题 2 字符"/>
    <w:basedOn w:val="43"/>
    <w:link w:val="3"/>
    <w:qFormat/>
    <w:uiPriority w:val="0"/>
    <w:rPr>
      <w:rFonts w:ascii="Arial" w:hAnsi="Arial" w:eastAsia="黑体" w:cs="Times New Roman"/>
      <w:b/>
      <w:bCs/>
      <w:sz w:val="32"/>
      <w:szCs w:val="32"/>
    </w:rPr>
  </w:style>
  <w:style w:type="character" w:customStyle="1" w:styleId="54">
    <w:name w:val="标题 3 字符"/>
    <w:basedOn w:val="43"/>
    <w:link w:val="4"/>
    <w:qFormat/>
    <w:uiPriority w:val="0"/>
    <w:rPr>
      <w:rFonts w:ascii="Calibri" w:hAnsi="Calibri" w:eastAsia="黑体" w:cs="Times New Roman"/>
      <w:bCs/>
      <w:sz w:val="24"/>
      <w:szCs w:val="24"/>
    </w:rPr>
  </w:style>
  <w:style w:type="character" w:customStyle="1" w:styleId="55">
    <w:name w:val="标题 4 字符"/>
    <w:basedOn w:val="43"/>
    <w:link w:val="5"/>
    <w:qFormat/>
    <w:uiPriority w:val="0"/>
    <w:rPr>
      <w:rFonts w:ascii="Arial" w:hAnsi="Arial" w:eastAsia="黑体" w:cs="Times New Roman"/>
      <w:sz w:val="24"/>
      <w:szCs w:val="28"/>
      <w:lang w:val="zh-CN" w:eastAsia="zh-CN"/>
    </w:rPr>
  </w:style>
  <w:style w:type="character" w:customStyle="1" w:styleId="56">
    <w:name w:val="标题 5 字符"/>
    <w:basedOn w:val="43"/>
    <w:link w:val="6"/>
    <w:qFormat/>
    <w:uiPriority w:val="0"/>
    <w:rPr>
      <w:rFonts w:ascii="Times New Roman" w:hAnsi="Times New Roman" w:eastAsia="宋体" w:cs="Times New Roman"/>
      <w:b/>
      <w:bCs/>
      <w:sz w:val="28"/>
      <w:szCs w:val="28"/>
    </w:rPr>
  </w:style>
  <w:style w:type="character" w:customStyle="1" w:styleId="57">
    <w:name w:val="标题 6 字符"/>
    <w:basedOn w:val="43"/>
    <w:link w:val="7"/>
    <w:qFormat/>
    <w:uiPriority w:val="0"/>
    <w:rPr>
      <w:rFonts w:ascii="Arial" w:hAnsi="Arial" w:eastAsia="黑体" w:cs="Times New Roman"/>
      <w:b/>
      <w:bCs/>
      <w:sz w:val="24"/>
      <w:szCs w:val="24"/>
    </w:rPr>
  </w:style>
  <w:style w:type="character" w:customStyle="1" w:styleId="58">
    <w:name w:val="标题 7 字符"/>
    <w:basedOn w:val="43"/>
    <w:link w:val="8"/>
    <w:qFormat/>
    <w:uiPriority w:val="0"/>
    <w:rPr>
      <w:rFonts w:ascii="Times New Roman" w:hAnsi="Times New Roman" w:eastAsia="宋体" w:cs="Times New Roman"/>
      <w:b/>
      <w:bCs/>
      <w:sz w:val="24"/>
      <w:szCs w:val="24"/>
    </w:rPr>
  </w:style>
  <w:style w:type="character" w:customStyle="1" w:styleId="59">
    <w:name w:val="标题 8 字符"/>
    <w:basedOn w:val="43"/>
    <w:link w:val="9"/>
    <w:qFormat/>
    <w:uiPriority w:val="0"/>
    <w:rPr>
      <w:rFonts w:ascii="Arial" w:hAnsi="Arial" w:eastAsia="黑体" w:cs="Times New Roman"/>
      <w:sz w:val="24"/>
      <w:szCs w:val="24"/>
    </w:rPr>
  </w:style>
  <w:style w:type="character" w:customStyle="1" w:styleId="60">
    <w:name w:val="标题 9 字符"/>
    <w:basedOn w:val="43"/>
    <w:link w:val="10"/>
    <w:qFormat/>
    <w:uiPriority w:val="0"/>
    <w:rPr>
      <w:rFonts w:ascii="Cambria" w:hAnsi="Cambria" w:eastAsia="宋体" w:cs="Times New Roman"/>
      <w:szCs w:val="21"/>
    </w:rPr>
  </w:style>
  <w:style w:type="character" w:customStyle="1" w:styleId="61">
    <w:name w:val="正文缩进 字符"/>
    <w:link w:val="12"/>
    <w:qFormat/>
    <w:uiPriority w:val="0"/>
    <w:rPr>
      <w:rFonts w:ascii="宋体" w:hAnsi="Courier New" w:eastAsia="宋体" w:cs="Times New Roman"/>
      <w:b/>
      <w:sz w:val="24"/>
      <w:szCs w:val="20"/>
    </w:rPr>
  </w:style>
  <w:style w:type="character" w:customStyle="1" w:styleId="62">
    <w:name w:val="题注 字符"/>
    <w:link w:val="13"/>
    <w:qFormat/>
    <w:uiPriority w:val="35"/>
    <w:rPr>
      <w:rFonts w:ascii="Cambria" w:hAnsi="Cambria" w:eastAsia="黑体" w:cs="Times New Roman"/>
      <w:sz w:val="20"/>
      <w:szCs w:val="20"/>
    </w:rPr>
  </w:style>
  <w:style w:type="character" w:customStyle="1" w:styleId="63">
    <w:name w:val="文档结构图 字符"/>
    <w:basedOn w:val="43"/>
    <w:link w:val="14"/>
    <w:semiHidden/>
    <w:qFormat/>
    <w:uiPriority w:val="99"/>
    <w:rPr>
      <w:rFonts w:ascii="宋体" w:hAnsi="Calibri" w:eastAsia="宋体" w:cs="Times New Roman"/>
      <w:sz w:val="18"/>
      <w:szCs w:val="18"/>
    </w:rPr>
  </w:style>
  <w:style w:type="character" w:customStyle="1" w:styleId="64">
    <w:name w:val="批注文字 字符"/>
    <w:basedOn w:val="43"/>
    <w:link w:val="15"/>
    <w:semiHidden/>
    <w:qFormat/>
    <w:uiPriority w:val="99"/>
  </w:style>
  <w:style w:type="character" w:customStyle="1" w:styleId="65">
    <w:name w:val="正文文本 字符"/>
    <w:basedOn w:val="43"/>
    <w:link w:val="16"/>
    <w:qFormat/>
    <w:uiPriority w:val="0"/>
    <w:rPr>
      <w:rFonts w:ascii="Calibri" w:hAnsi="Calibri" w:eastAsia="宋体" w:cs="Times New Roman"/>
    </w:rPr>
  </w:style>
  <w:style w:type="character" w:customStyle="1" w:styleId="66">
    <w:name w:val="正文文本缩进 字符"/>
    <w:basedOn w:val="43"/>
    <w:link w:val="17"/>
    <w:qFormat/>
    <w:uiPriority w:val="0"/>
    <w:rPr>
      <w:rFonts w:ascii="Times New Roman" w:hAnsi="Times New Roman" w:eastAsia="宋体" w:cs="Times New Roman"/>
      <w:szCs w:val="24"/>
    </w:rPr>
  </w:style>
  <w:style w:type="character" w:customStyle="1" w:styleId="67">
    <w:name w:val="纯文本 字符"/>
    <w:basedOn w:val="43"/>
    <w:link w:val="20"/>
    <w:qFormat/>
    <w:uiPriority w:val="0"/>
    <w:rPr>
      <w:rFonts w:ascii="宋体" w:hAnsi="Courier New" w:eastAsia="幼圆" w:cs="Times New Roman"/>
      <w:kern w:val="0"/>
      <w:sz w:val="24"/>
      <w:szCs w:val="20"/>
    </w:rPr>
  </w:style>
  <w:style w:type="character" w:customStyle="1" w:styleId="68">
    <w:name w:val="日期 字符"/>
    <w:basedOn w:val="43"/>
    <w:link w:val="22"/>
    <w:semiHidden/>
    <w:qFormat/>
    <w:uiPriority w:val="99"/>
    <w:rPr>
      <w:rFonts w:ascii="Calibri" w:hAnsi="Calibri" w:eastAsia="宋体" w:cs="Times New Roman"/>
    </w:rPr>
  </w:style>
  <w:style w:type="character" w:customStyle="1" w:styleId="69">
    <w:name w:val="正文文本缩进 2 字符"/>
    <w:basedOn w:val="43"/>
    <w:link w:val="23"/>
    <w:semiHidden/>
    <w:qFormat/>
    <w:uiPriority w:val="0"/>
    <w:rPr>
      <w:rFonts w:ascii="宋体" w:hAnsi="宋体" w:eastAsia="宋体" w:cs="Times New Roman"/>
      <w:color w:val="FF00FF"/>
      <w:sz w:val="24"/>
      <w:szCs w:val="24"/>
    </w:rPr>
  </w:style>
  <w:style w:type="character" w:customStyle="1" w:styleId="70">
    <w:name w:val="尾注文本 字符"/>
    <w:basedOn w:val="43"/>
    <w:link w:val="24"/>
    <w:semiHidden/>
    <w:qFormat/>
    <w:uiPriority w:val="99"/>
    <w:rPr>
      <w:rFonts w:ascii="Calibri" w:hAnsi="Calibri" w:eastAsia="宋体" w:cs="Times New Roman"/>
    </w:rPr>
  </w:style>
  <w:style w:type="character" w:customStyle="1" w:styleId="71">
    <w:name w:val="批注框文本 字符"/>
    <w:link w:val="25"/>
    <w:qFormat/>
    <w:uiPriority w:val="99"/>
    <w:rPr>
      <w:rFonts w:eastAsia="Helvetica"/>
      <w:sz w:val="18"/>
      <w:szCs w:val="18"/>
    </w:rPr>
  </w:style>
  <w:style w:type="character" w:customStyle="1" w:styleId="72">
    <w:name w:val="页脚 字符"/>
    <w:basedOn w:val="43"/>
    <w:link w:val="26"/>
    <w:qFormat/>
    <w:uiPriority w:val="99"/>
    <w:rPr>
      <w:sz w:val="18"/>
      <w:szCs w:val="18"/>
    </w:rPr>
  </w:style>
  <w:style w:type="character" w:customStyle="1" w:styleId="73">
    <w:name w:val="页眉 字符"/>
    <w:basedOn w:val="43"/>
    <w:link w:val="27"/>
    <w:qFormat/>
    <w:uiPriority w:val="99"/>
    <w:rPr>
      <w:sz w:val="18"/>
      <w:szCs w:val="18"/>
    </w:rPr>
  </w:style>
  <w:style w:type="character" w:customStyle="1" w:styleId="74">
    <w:name w:val="副标题 字符"/>
    <w:basedOn w:val="43"/>
    <w:link w:val="30"/>
    <w:qFormat/>
    <w:uiPriority w:val="11"/>
    <w:rPr>
      <w:rFonts w:ascii="Cambria" w:hAnsi="Cambria" w:eastAsia="宋体" w:cs="Times New Roman"/>
      <w:b/>
      <w:bCs/>
      <w:kern w:val="28"/>
      <w:sz w:val="32"/>
      <w:szCs w:val="32"/>
    </w:rPr>
  </w:style>
  <w:style w:type="character" w:customStyle="1" w:styleId="75">
    <w:name w:val="脚注文本 字符"/>
    <w:basedOn w:val="43"/>
    <w:link w:val="31"/>
    <w:semiHidden/>
    <w:qFormat/>
    <w:uiPriority w:val="99"/>
    <w:rPr>
      <w:rFonts w:ascii="Calibri" w:hAnsi="Calibri" w:eastAsia="宋体" w:cs="Times New Roman"/>
      <w:sz w:val="18"/>
      <w:szCs w:val="18"/>
    </w:rPr>
  </w:style>
  <w:style w:type="character" w:customStyle="1" w:styleId="76">
    <w:name w:val="正文文本 2 字符"/>
    <w:basedOn w:val="43"/>
    <w:link w:val="35"/>
    <w:semiHidden/>
    <w:qFormat/>
    <w:uiPriority w:val="99"/>
    <w:rPr>
      <w:rFonts w:ascii="Calibri" w:hAnsi="Calibri" w:eastAsia="宋体" w:cs="Times New Roman"/>
    </w:rPr>
  </w:style>
  <w:style w:type="character" w:customStyle="1" w:styleId="77">
    <w:name w:val="标题 字符"/>
    <w:basedOn w:val="43"/>
    <w:link w:val="37"/>
    <w:qFormat/>
    <w:uiPriority w:val="0"/>
    <w:rPr>
      <w:rFonts w:ascii="Arial" w:hAnsi="Arial" w:eastAsia="宋体" w:cs="Times New Roman"/>
      <w:b/>
      <w:bCs/>
      <w:sz w:val="32"/>
      <w:szCs w:val="32"/>
    </w:rPr>
  </w:style>
  <w:style w:type="character" w:customStyle="1" w:styleId="78">
    <w:name w:val="批注主题 字符"/>
    <w:basedOn w:val="64"/>
    <w:link w:val="38"/>
    <w:semiHidden/>
    <w:qFormat/>
    <w:uiPriority w:val="99"/>
    <w:rPr>
      <w:b/>
      <w:bCs/>
    </w:rPr>
  </w:style>
  <w:style w:type="character" w:customStyle="1" w:styleId="79">
    <w:name w:val="正文文本首行缩进 字符"/>
    <w:basedOn w:val="65"/>
    <w:link w:val="39"/>
    <w:qFormat/>
    <w:uiPriority w:val="0"/>
    <w:rPr>
      <w:rFonts w:ascii="Calibri" w:hAnsi="Calibri" w:eastAsia="宋体" w:cs="Times New Roman"/>
    </w:rPr>
  </w:style>
  <w:style w:type="character" w:customStyle="1" w:styleId="80">
    <w:name w:val="正文文本首行缩进 2 字符"/>
    <w:basedOn w:val="66"/>
    <w:link w:val="40"/>
    <w:qFormat/>
    <w:uiPriority w:val="99"/>
    <w:rPr>
      <w:rFonts w:ascii="Times New Roman" w:hAnsi="Times New Roman" w:eastAsia="宋体" w:cs="Times New Roman"/>
      <w:szCs w:val="24"/>
    </w:rPr>
  </w:style>
  <w:style w:type="paragraph" w:styleId="81">
    <w:name w:val="List Paragraph"/>
    <w:basedOn w:val="1"/>
    <w:qFormat/>
    <w:uiPriority w:val="34"/>
    <w:pPr>
      <w:ind w:firstLine="420" w:firstLineChars="200"/>
    </w:pPr>
  </w:style>
  <w:style w:type="paragraph" w:customStyle="1" w:styleId="82">
    <w:name w:val="Char"/>
    <w:basedOn w:val="1"/>
    <w:qFormat/>
    <w:uiPriority w:val="0"/>
    <w:rPr>
      <w:rFonts w:ascii="Times New Roman" w:hAnsi="Times New Roman" w:eastAsia="宋体" w:cs="Times New Roman"/>
      <w:szCs w:val="20"/>
    </w:rPr>
  </w:style>
  <w:style w:type="character" w:customStyle="1" w:styleId="83">
    <w:name w:val="批注框文本 Char1"/>
    <w:basedOn w:val="43"/>
    <w:semiHidden/>
    <w:qFormat/>
    <w:uiPriority w:val="99"/>
    <w:rPr>
      <w:sz w:val="18"/>
      <w:szCs w:val="18"/>
    </w:rPr>
  </w:style>
  <w:style w:type="paragraph" w:customStyle="1" w:styleId="84">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85">
    <w:name w:val="KK正文"/>
    <w:basedOn w:val="36"/>
    <w:link w:val="86"/>
    <w:qFormat/>
    <w:uiPriority w:val="0"/>
    <w:pPr>
      <w:widowControl/>
      <w:shd w:val="clear" w:color="auto" w:fill="FFFFFF"/>
      <w:spacing w:line="400" w:lineRule="exact"/>
      <w:ind w:firstLine="200" w:firstLineChars="200"/>
    </w:pPr>
    <w:rPr>
      <w:rFonts w:eastAsia="宋体"/>
      <w:kern w:val="0"/>
    </w:rPr>
  </w:style>
  <w:style w:type="character" w:customStyle="1" w:styleId="86">
    <w:name w:val="KK正文 Char"/>
    <w:link w:val="85"/>
    <w:qFormat/>
    <w:uiPriority w:val="0"/>
    <w:rPr>
      <w:rFonts w:ascii="Times New Roman" w:hAnsi="Times New Roman" w:eastAsia="宋体" w:cs="Times New Roman"/>
      <w:kern w:val="0"/>
      <w:sz w:val="24"/>
      <w:szCs w:val="24"/>
      <w:shd w:val="clear" w:color="auto" w:fill="FFFFFF"/>
    </w:rPr>
  </w:style>
  <w:style w:type="paragraph" w:customStyle="1" w:styleId="87">
    <w:name w:val="KK表格正文"/>
    <w:basedOn w:val="1"/>
    <w:qFormat/>
    <w:uiPriority w:val="99"/>
    <w:pPr>
      <w:adjustRightInd w:val="0"/>
      <w:snapToGrid w:val="0"/>
      <w:jc w:val="left"/>
    </w:pPr>
    <w:rPr>
      <w:rFonts w:ascii="Times New Roman" w:hAnsi="Times New Roman" w:eastAsia="宋体" w:cs="Times New Roman"/>
      <w:szCs w:val="21"/>
    </w:rPr>
  </w:style>
  <w:style w:type="paragraph" w:customStyle="1" w:styleId="88">
    <w:name w:val="缩进正文"/>
    <w:basedOn w:val="1"/>
    <w:qFormat/>
    <w:uiPriority w:val="0"/>
    <w:pPr>
      <w:spacing w:afterLines="50" w:line="288" w:lineRule="auto"/>
      <w:ind w:firstLine="200" w:firstLineChars="200"/>
    </w:pPr>
    <w:rPr>
      <w:rFonts w:ascii="Calibri" w:hAnsi="Calibri" w:eastAsia="宋体" w:cs="Times New Roman"/>
      <w:sz w:val="24"/>
    </w:rPr>
  </w:style>
  <w:style w:type="paragraph" w:customStyle="1" w:styleId="89">
    <w:name w:val="彩色列表 - 强调文字颜色 11"/>
    <w:basedOn w:val="1"/>
    <w:qFormat/>
    <w:uiPriority w:val="0"/>
    <w:pPr>
      <w:ind w:firstLine="420" w:firstLineChars="200"/>
    </w:pPr>
    <w:rPr>
      <w:rFonts w:ascii="Calibri" w:hAnsi="Calibri" w:eastAsia="宋体" w:cs="Times New Roman"/>
    </w:rPr>
  </w:style>
  <w:style w:type="character" w:customStyle="1" w:styleId="90">
    <w:name w:val="正文文本缩进 Char1"/>
    <w:qFormat/>
    <w:uiPriority w:val="0"/>
    <w:rPr>
      <w:rFonts w:ascii="Calibri" w:hAnsi="Calibri" w:eastAsia="宋体" w:cs="Times New Roman"/>
    </w:rPr>
  </w:style>
  <w:style w:type="paragraph" w:customStyle="1" w:styleId="91">
    <w:name w:val="章标题"/>
    <w:basedOn w:val="2"/>
    <w:next w:val="1"/>
    <w:qFormat/>
    <w:uiPriority w:val="0"/>
    <w:pPr>
      <w:tabs>
        <w:tab w:val="left" w:pos="0"/>
      </w:tabs>
      <w:ind w:hanging="425"/>
      <w:jc w:val="center"/>
    </w:pPr>
    <w:rPr>
      <w:rFonts w:eastAsia="黑体"/>
      <w:sz w:val="32"/>
    </w:rPr>
  </w:style>
  <w:style w:type="paragraph" w:customStyle="1" w:styleId="92">
    <w:name w:val="节标题"/>
    <w:basedOn w:val="3"/>
    <w:next w:val="1"/>
    <w:qFormat/>
    <w:uiPriority w:val="0"/>
    <w:pPr>
      <w:keepLines w:val="0"/>
      <w:tabs>
        <w:tab w:val="left" w:pos="0"/>
        <w:tab w:val="left" w:pos="480"/>
      </w:tabs>
      <w:spacing w:before="0" w:beforeLines="20" w:after="0" w:afterLines="20" w:line="240" w:lineRule="auto"/>
    </w:pPr>
    <w:rPr>
      <w:b w:val="0"/>
      <w:sz w:val="28"/>
    </w:rPr>
  </w:style>
  <w:style w:type="paragraph" w:customStyle="1" w:styleId="93">
    <w:name w:val="分项标题"/>
    <w:basedOn w:val="1"/>
    <w:next w:val="1"/>
    <w:qFormat/>
    <w:uiPriority w:val="0"/>
    <w:pPr>
      <w:tabs>
        <w:tab w:val="left" w:pos="160"/>
        <w:tab w:val="left" w:pos="480"/>
      </w:tabs>
      <w:spacing w:line="360" w:lineRule="auto"/>
      <w:ind w:left="160" w:firstLine="66"/>
      <w:outlineLvl w:val="2"/>
    </w:pPr>
    <w:rPr>
      <w:rFonts w:ascii="Times New Roman" w:hAnsi="Times New Roman" w:eastAsia="宋体" w:cs="Times New Roman"/>
      <w:b/>
      <w:sz w:val="24"/>
      <w:szCs w:val="24"/>
    </w:rPr>
  </w:style>
  <w:style w:type="paragraph" w:customStyle="1" w:styleId="94">
    <w:name w:val="表格文字"/>
    <w:basedOn w:val="1"/>
    <w:qFormat/>
    <w:uiPriority w:val="0"/>
    <w:rPr>
      <w:rFonts w:ascii="宋体" w:hAnsi="Times New Roman" w:eastAsia="宋体" w:cs="宋体"/>
      <w:szCs w:val="20"/>
    </w:rPr>
  </w:style>
  <w:style w:type="paragraph" w:customStyle="1" w:styleId="95">
    <w:name w:val="表格标题"/>
    <w:basedOn w:val="1"/>
    <w:next w:val="37"/>
    <w:link w:val="96"/>
    <w:qFormat/>
    <w:uiPriority w:val="0"/>
    <w:pPr>
      <w:spacing w:beforeLines="100" w:line="288" w:lineRule="auto"/>
      <w:jc w:val="center"/>
    </w:pPr>
    <w:rPr>
      <w:rFonts w:ascii="宋体" w:hAnsi="Times New Roman" w:eastAsia="宋体" w:cs="Times New Roman"/>
      <w:b/>
      <w:szCs w:val="20"/>
    </w:rPr>
  </w:style>
  <w:style w:type="character" w:customStyle="1" w:styleId="96">
    <w:name w:val="表格标题 Char"/>
    <w:link w:val="95"/>
    <w:qFormat/>
    <w:uiPriority w:val="0"/>
    <w:rPr>
      <w:rFonts w:ascii="宋体" w:hAnsi="Times New Roman" w:eastAsia="宋体" w:cs="Times New Roman"/>
      <w:b/>
      <w:szCs w:val="20"/>
    </w:rPr>
  </w:style>
  <w:style w:type="paragraph" w:customStyle="1" w:styleId="97">
    <w:name w:val="六号表格文字"/>
    <w:basedOn w:val="94"/>
    <w:qFormat/>
    <w:uiPriority w:val="0"/>
    <w:rPr>
      <w:sz w:val="15"/>
    </w:rPr>
  </w:style>
  <w:style w:type="paragraph" w:customStyle="1" w:styleId="98">
    <w:name w:val="正文文字"/>
    <w:basedOn w:val="1"/>
    <w:qFormat/>
    <w:uiPriority w:val="0"/>
    <w:pPr>
      <w:spacing w:beforeLines="20" w:afterLines="20"/>
      <w:ind w:left="3596" w:leftChars="460" w:hanging="2630" w:hangingChars="548"/>
      <w:jc w:val="center"/>
    </w:pPr>
    <w:rPr>
      <w:rFonts w:ascii="黑体" w:hAnsi="Times New Roman" w:eastAsia="黑体" w:cs="宋体"/>
      <w:bCs/>
      <w:sz w:val="48"/>
      <w:szCs w:val="48"/>
    </w:rPr>
  </w:style>
  <w:style w:type="paragraph" w:customStyle="1" w:styleId="99">
    <w:name w:val="段落文字"/>
    <w:basedOn w:val="1"/>
    <w:qFormat/>
    <w:uiPriority w:val="0"/>
    <w:pPr>
      <w:spacing w:after="120" w:line="360" w:lineRule="auto"/>
      <w:ind w:firstLine="482"/>
    </w:pPr>
    <w:rPr>
      <w:rFonts w:ascii="Times New Roman" w:hAnsi="Times New Roman" w:eastAsia="宋体" w:cs="Times New Roman"/>
      <w:sz w:val="24"/>
      <w:szCs w:val="24"/>
    </w:rPr>
  </w:style>
  <w:style w:type="paragraph" w:customStyle="1" w:styleId="100">
    <w:name w:val="图表标题"/>
    <w:basedOn w:val="1"/>
    <w:qFormat/>
    <w:uiPriority w:val="0"/>
    <w:pPr>
      <w:adjustRightInd w:val="0"/>
      <w:snapToGrid w:val="0"/>
      <w:spacing w:beforeLines="50"/>
      <w:jc w:val="center"/>
    </w:pPr>
    <w:rPr>
      <w:rFonts w:ascii="黑体" w:hAnsi="宋体" w:eastAsia="黑体" w:cs="Times New Roman"/>
      <w:bCs/>
      <w:color w:val="000000"/>
      <w:szCs w:val="24"/>
    </w:rPr>
  </w:style>
  <w:style w:type="paragraph" w:customStyle="1" w:styleId="101">
    <w:name w:val="表格正文-居中"/>
    <w:basedOn w:val="1"/>
    <w:qFormat/>
    <w:uiPriority w:val="0"/>
    <w:pPr>
      <w:widowControl/>
      <w:adjustRightInd w:val="0"/>
      <w:spacing w:line="240" w:lineRule="exact"/>
      <w:jc w:val="center"/>
    </w:pPr>
    <w:rPr>
      <w:rFonts w:ascii="宋体" w:hAnsi="宋体" w:eastAsia="宋体" w:cs="Times New Roman"/>
      <w:kern w:val="0"/>
      <w:sz w:val="18"/>
      <w:szCs w:val="16"/>
    </w:rPr>
  </w:style>
  <w:style w:type="paragraph" w:customStyle="1" w:styleId="102">
    <w:name w:val="样式1"/>
    <w:basedOn w:val="1"/>
    <w:qFormat/>
    <w:uiPriority w:val="0"/>
    <w:pPr>
      <w:spacing w:afterLines="50" w:line="360" w:lineRule="exact"/>
      <w:ind w:firstLine="200" w:firstLineChars="200"/>
    </w:pPr>
    <w:rPr>
      <w:rFonts w:ascii="宋体" w:hAnsi="宋体" w:eastAsia="宋体" w:cs="Times New Roman"/>
      <w:bCs/>
      <w:kern w:val="0"/>
      <w:sz w:val="24"/>
      <w:szCs w:val="20"/>
    </w:rPr>
  </w:style>
  <w:style w:type="paragraph" w:customStyle="1" w:styleId="103">
    <w:name w:val="表格-小四"/>
    <w:basedOn w:val="1"/>
    <w:qFormat/>
    <w:uiPriority w:val="0"/>
    <w:pPr>
      <w:jc w:val="left"/>
    </w:pPr>
    <w:rPr>
      <w:rFonts w:ascii="楷体_GB2312" w:hAnsi="宋体" w:eastAsia="楷体_GB2312" w:cs="Times New Roman"/>
      <w:kern w:val="0"/>
      <w:sz w:val="24"/>
      <w:szCs w:val="24"/>
    </w:rPr>
  </w:style>
  <w:style w:type="paragraph" w:customStyle="1" w:styleId="104">
    <w:name w:val="表格"/>
    <w:basedOn w:val="1"/>
    <w:qFormat/>
    <w:uiPriority w:val="0"/>
    <w:pPr>
      <w:tabs>
        <w:tab w:val="left" w:pos="421"/>
      </w:tabs>
      <w:spacing w:line="420" w:lineRule="exact"/>
      <w:jc w:val="center"/>
    </w:pPr>
    <w:rPr>
      <w:rFonts w:ascii="Arial" w:hAnsi="Arial" w:eastAsia="楷体_GB2312" w:cs="Times New Roman"/>
      <w:szCs w:val="20"/>
    </w:rPr>
  </w:style>
  <w:style w:type="paragraph" w:customStyle="1" w:styleId="105">
    <w:name w:val="首行缩进:  2 字符"/>
    <w:basedOn w:val="1"/>
    <w:qFormat/>
    <w:uiPriority w:val="0"/>
    <w:pPr>
      <w:spacing w:afterLines="100" w:line="360" w:lineRule="auto"/>
      <w:ind w:firstLine="480" w:firstLineChars="200"/>
    </w:pPr>
    <w:rPr>
      <w:rFonts w:ascii="Times New Roman" w:hAnsi="Times New Roman" w:eastAsia="宋体" w:cs="宋体"/>
      <w:sz w:val="24"/>
      <w:szCs w:val="20"/>
    </w:rPr>
  </w:style>
  <w:style w:type="paragraph" w:customStyle="1" w:styleId="106">
    <w:name w:val="说明书表头"/>
    <w:basedOn w:val="1"/>
    <w:qFormat/>
    <w:uiPriority w:val="0"/>
    <w:pPr>
      <w:tabs>
        <w:tab w:val="left" w:pos="0"/>
        <w:tab w:val="left" w:pos="540"/>
      </w:tabs>
      <w:spacing w:beforeLines="50" w:afterLines="50" w:line="240" w:lineRule="atLeast"/>
      <w:outlineLvl w:val="8"/>
    </w:pPr>
    <w:rPr>
      <w:rFonts w:ascii="Times New Roman" w:hAnsi="Times New Roman" w:eastAsia="宋体" w:cs="Times New Roman"/>
      <w:kern w:val="0"/>
      <w:szCs w:val="24"/>
    </w:rPr>
  </w:style>
  <w:style w:type="paragraph" w:customStyle="1" w:styleId="107">
    <w:name w:val="TOC 标题1"/>
    <w:basedOn w:val="2"/>
    <w:next w:val="1"/>
    <w:semiHidden/>
    <w:unhideWhenUsed/>
    <w:qFormat/>
    <w:uiPriority w:val="0"/>
    <w:pPr>
      <w:widowControl/>
      <w:spacing w:before="480" w:after="0" w:line="276" w:lineRule="auto"/>
      <w:jc w:val="left"/>
      <w:outlineLvl w:val="9"/>
    </w:pPr>
    <w:rPr>
      <w:rFonts w:ascii="Cambria" w:hAnsi="Cambria"/>
      <w:color w:val="365F91"/>
      <w:kern w:val="0"/>
      <w:sz w:val="32"/>
      <w:szCs w:val="28"/>
    </w:rPr>
  </w:style>
  <w:style w:type="paragraph" w:customStyle="1" w:styleId="108">
    <w:name w:val="小列表"/>
    <w:basedOn w:val="98"/>
    <w:qFormat/>
    <w:uiPriority w:val="0"/>
    <w:pPr>
      <w:tabs>
        <w:tab w:val="left" w:pos="360"/>
      </w:tabs>
      <w:spacing w:beforeLines="50"/>
      <w:ind w:left="0" w:hanging="360" w:firstLineChars="0"/>
    </w:pPr>
  </w:style>
  <w:style w:type="paragraph" w:customStyle="1" w:styleId="109">
    <w:name w:val="目录1 - 章标题"/>
    <w:basedOn w:val="28"/>
    <w:qFormat/>
    <w:uiPriority w:val="0"/>
    <w:pPr>
      <w:tabs>
        <w:tab w:val="left" w:pos="1200"/>
        <w:tab w:val="right" w:leader="dot" w:pos="8640"/>
        <w:tab w:val="right" w:leader="dot" w:pos="9781"/>
        <w:tab w:val="clear" w:pos="1050"/>
        <w:tab w:val="clear" w:pos="9802"/>
      </w:tabs>
      <w:spacing w:line="240" w:lineRule="auto"/>
      <w:ind w:firstLine="402"/>
      <w:jc w:val="left"/>
    </w:pPr>
    <w:rPr>
      <w:rFonts w:ascii="Times New Roman" w:hAnsi="Times New Roman" w:eastAsia="宋体" w:cs="宋体"/>
      <w:b/>
      <w:bCs/>
      <w:caps/>
      <w:szCs w:val="20"/>
    </w:rPr>
  </w:style>
  <w:style w:type="paragraph" w:customStyle="1" w:styleId="110">
    <w:name w:val="表格文字加粗"/>
    <w:basedOn w:val="94"/>
    <w:qFormat/>
    <w:uiPriority w:val="0"/>
    <w:pPr>
      <w:spacing w:beforeLines="50"/>
    </w:pPr>
    <w:rPr>
      <w:b/>
      <w:bCs/>
      <w:sz w:val="18"/>
    </w:rPr>
  </w:style>
  <w:style w:type="paragraph" w:customStyle="1" w:styleId="111">
    <w:name w:val="扉页文字"/>
    <w:basedOn w:val="98"/>
    <w:qFormat/>
    <w:uiPriority w:val="0"/>
    <w:pPr>
      <w:spacing w:beforeLines="50" w:line="480" w:lineRule="exact"/>
      <w:ind w:firstLine="0" w:firstLineChars="0"/>
    </w:pPr>
    <w:rPr>
      <w:sz w:val="30"/>
      <w:szCs w:val="30"/>
    </w:rPr>
  </w:style>
  <w:style w:type="paragraph" w:customStyle="1" w:styleId="112">
    <w:name w:val="扉页标题"/>
    <w:basedOn w:val="111"/>
    <w:qFormat/>
    <w:uiPriority w:val="0"/>
    <w:pPr>
      <w:spacing w:after="100" w:afterAutospacing="1" w:line="240" w:lineRule="auto"/>
    </w:pPr>
    <w:rPr>
      <w:sz w:val="52"/>
    </w:rPr>
  </w:style>
  <w:style w:type="paragraph" w:customStyle="1" w:styleId="113">
    <w:name w:val="条目首行"/>
    <w:basedOn w:val="98"/>
    <w:qFormat/>
    <w:uiPriority w:val="0"/>
    <w:pPr>
      <w:tabs>
        <w:tab w:val="left" w:pos="0"/>
      </w:tabs>
      <w:spacing w:beforeLines="100"/>
      <w:ind w:left="0" w:firstLine="0" w:firstLineChars="0"/>
      <w:outlineLvl w:val="1"/>
    </w:pPr>
  </w:style>
  <w:style w:type="paragraph" w:customStyle="1" w:styleId="114">
    <w:name w:val="数字列表"/>
    <w:basedOn w:val="98"/>
    <w:qFormat/>
    <w:uiPriority w:val="0"/>
    <w:pPr>
      <w:tabs>
        <w:tab w:val="left" w:pos="0"/>
      </w:tabs>
      <w:spacing w:beforeLines="50"/>
      <w:ind w:left="0" w:firstLine="0" w:firstLineChars="0"/>
      <w:outlineLvl w:val="2"/>
    </w:pPr>
  </w:style>
  <w:style w:type="paragraph" w:customStyle="1" w:styleId="115">
    <w:name w:val="TOC 标题2"/>
    <w:basedOn w:val="2"/>
    <w:next w:val="1"/>
    <w:qFormat/>
    <w:uiPriority w:val="39"/>
    <w:pPr>
      <w:widowControl/>
      <w:spacing w:before="480" w:after="0" w:line="276" w:lineRule="auto"/>
      <w:jc w:val="left"/>
      <w:outlineLvl w:val="9"/>
    </w:pPr>
    <w:rPr>
      <w:rFonts w:ascii="Cambria" w:hAnsi="Cambria"/>
      <w:color w:val="365F91"/>
      <w:kern w:val="0"/>
      <w:sz w:val="32"/>
      <w:szCs w:val="28"/>
    </w:rPr>
  </w:style>
  <w:style w:type="character" w:customStyle="1" w:styleId="116">
    <w:name w:val="文本 Char"/>
    <w:link w:val="117"/>
    <w:qFormat/>
    <w:uiPriority w:val="0"/>
    <w:rPr>
      <w:rFonts w:ascii="仿宋_GB2312" w:hAnsi="宋体" w:eastAsia="仿宋_GB2312"/>
      <w:color w:val="FF0000"/>
      <w:spacing w:val="-10"/>
      <w:sz w:val="30"/>
      <w:lang w:val="en-GB"/>
    </w:rPr>
  </w:style>
  <w:style w:type="paragraph" w:customStyle="1" w:styleId="117">
    <w:name w:val="文本"/>
    <w:basedOn w:val="1"/>
    <w:link w:val="116"/>
    <w:qFormat/>
    <w:uiPriority w:val="0"/>
    <w:pPr>
      <w:spacing w:line="560" w:lineRule="exact"/>
      <w:ind w:firstLine="734" w:firstLineChars="262"/>
    </w:pPr>
    <w:rPr>
      <w:rFonts w:ascii="仿宋_GB2312" w:hAnsi="宋体" w:eastAsia="仿宋_GB2312"/>
      <w:color w:val="FF0000"/>
      <w:spacing w:val="-10"/>
      <w:sz w:val="30"/>
      <w:lang w:val="en-GB"/>
    </w:rPr>
  </w:style>
  <w:style w:type="paragraph" w:customStyle="1" w:styleId="118">
    <w:name w:val="正文 文本"/>
    <w:basedOn w:val="39"/>
    <w:link w:val="119"/>
    <w:qFormat/>
    <w:uiPriority w:val="0"/>
    <w:pPr>
      <w:spacing w:line="288" w:lineRule="auto"/>
      <w:ind w:firstLine="480" w:firstLineChars="200"/>
    </w:pPr>
    <w:rPr>
      <w:sz w:val="24"/>
      <w:szCs w:val="24"/>
    </w:rPr>
  </w:style>
  <w:style w:type="character" w:customStyle="1" w:styleId="119">
    <w:name w:val="正文 文本 Char"/>
    <w:link w:val="118"/>
    <w:qFormat/>
    <w:uiPriority w:val="0"/>
    <w:rPr>
      <w:rFonts w:ascii="Calibri" w:hAnsi="Calibri" w:eastAsia="宋体" w:cs="Times New Roman"/>
      <w:sz w:val="24"/>
      <w:szCs w:val="24"/>
    </w:rPr>
  </w:style>
  <w:style w:type="paragraph" w:customStyle="1" w:styleId="120">
    <w:name w:val="正文-第几条"/>
    <w:basedOn w:val="1"/>
    <w:qFormat/>
    <w:uiPriority w:val="0"/>
    <w:pPr>
      <w:spacing w:line="360" w:lineRule="auto"/>
    </w:pPr>
    <w:rPr>
      <w:rFonts w:ascii="Times New Roman" w:hAnsi="Times New Roman" w:eastAsia="宋体" w:cs="Times New Roman"/>
      <w:b/>
      <w:sz w:val="24"/>
      <w:szCs w:val="24"/>
    </w:rPr>
  </w:style>
  <w:style w:type="character" w:customStyle="1" w:styleId="121">
    <w:name w:val="标题 2 Char1"/>
    <w:qFormat/>
    <w:uiPriority w:val="0"/>
    <w:rPr>
      <w:rFonts w:ascii="微软雅黑" w:hAnsi="微软雅黑" w:eastAsia="微软雅黑"/>
      <w:b/>
      <w:bCs/>
      <w:kern w:val="2"/>
      <w:sz w:val="28"/>
      <w:szCs w:val="28"/>
    </w:rPr>
  </w:style>
  <w:style w:type="paragraph" w:customStyle="1" w:styleId="122">
    <w:name w:val="基本正文"/>
    <w:basedOn w:val="1"/>
    <w:link w:val="123"/>
    <w:qFormat/>
    <w:uiPriority w:val="0"/>
    <w:pPr>
      <w:spacing w:beforeLines="50" w:line="360" w:lineRule="auto"/>
      <w:ind w:firstLine="200" w:firstLineChars="200"/>
    </w:pPr>
    <w:rPr>
      <w:rFonts w:ascii="宋体" w:hAnsi="宋体" w:eastAsia="宋体" w:cs="Times New Roman"/>
      <w:kern w:val="0"/>
      <w:sz w:val="24"/>
      <w:szCs w:val="20"/>
    </w:rPr>
  </w:style>
  <w:style w:type="character" w:customStyle="1" w:styleId="123">
    <w:name w:val="基本正文 Char"/>
    <w:link w:val="122"/>
    <w:qFormat/>
    <w:uiPriority w:val="0"/>
    <w:rPr>
      <w:rFonts w:ascii="宋体" w:hAnsi="宋体" w:eastAsia="宋体" w:cs="Times New Roman"/>
      <w:kern w:val="0"/>
      <w:sz w:val="24"/>
      <w:szCs w:val="20"/>
    </w:rPr>
  </w:style>
  <w:style w:type="paragraph" w:customStyle="1" w:styleId="124">
    <w:name w:val="标准标题三"/>
    <w:basedOn w:val="4"/>
    <w:qFormat/>
    <w:uiPriority w:val="0"/>
    <w:pPr>
      <w:spacing w:beforeLines="100" w:after="60" w:line="360" w:lineRule="auto"/>
    </w:pPr>
    <w:rPr>
      <w:rFonts w:ascii="微软雅黑" w:hAnsi="微软雅黑" w:eastAsia="微软雅黑"/>
      <w:b/>
      <w:szCs w:val="30"/>
    </w:rPr>
  </w:style>
  <w:style w:type="paragraph" w:customStyle="1" w:styleId="125">
    <w:name w:val="正文正文"/>
    <w:basedOn w:val="1"/>
    <w:link w:val="126"/>
    <w:qFormat/>
    <w:uiPriority w:val="0"/>
    <w:pPr>
      <w:widowControl/>
      <w:spacing w:after="40" w:line="288" w:lineRule="auto"/>
      <w:ind w:firstLine="480" w:firstLineChars="200"/>
      <w:jc w:val="left"/>
    </w:pPr>
    <w:rPr>
      <w:rFonts w:ascii="Calibri" w:hAnsi="Calibri" w:eastAsia="宋体" w:cs="Times New Roman"/>
      <w:color w:val="000000"/>
      <w:kern w:val="0"/>
      <w:sz w:val="24"/>
      <w:szCs w:val="20"/>
      <w:lang w:bidi="en-US"/>
    </w:rPr>
  </w:style>
  <w:style w:type="character" w:customStyle="1" w:styleId="126">
    <w:name w:val="正文正文 Char"/>
    <w:link w:val="125"/>
    <w:qFormat/>
    <w:uiPriority w:val="0"/>
    <w:rPr>
      <w:rFonts w:ascii="Calibri" w:hAnsi="Calibri" w:eastAsia="宋体" w:cs="Times New Roman"/>
      <w:color w:val="000000"/>
      <w:kern w:val="0"/>
      <w:sz w:val="24"/>
      <w:szCs w:val="20"/>
      <w:lang w:bidi="en-US"/>
    </w:rPr>
  </w:style>
  <w:style w:type="paragraph" w:customStyle="1" w:styleId="127">
    <w:name w:val="Char1 Char Char Char Char Char Char"/>
    <w:basedOn w:val="1"/>
    <w:qFormat/>
    <w:uiPriority w:val="1"/>
    <w:pPr>
      <w:spacing w:line="360" w:lineRule="auto"/>
      <w:ind w:firstLine="200" w:firstLineChars="200"/>
    </w:pPr>
    <w:rPr>
      <w:rFonts w:ascii="宋体" w:hAnsi="宋体" w:eastAsia="宋体" w:cs="宋体"/>
      <w:sz w:val="24"/>
      <w:szCs w:val="24"/>
    </w:rPr>
  </w:style>
  <w:style w:type="character" w:customStyle="1" w:styleId="128">
    <w:name w:val="批注文字 Char1"/>
    <w:basedOn w:val="43"/>
    <w:semiHidden/>
    <w:qFormat/>
    <w:uiPriority w:val="99"/>
  </w:style>
  <w:style w:type="character" w:customStyle="1" w:styleId="129">
    <w:name w:val="批注主题 Char1"/>
    <w:basedOn w:val="128"/>
    <w:semiHidden/>
    <w:qFormat/>
    <w:uiPriority w:val="99"/>
    <w:rPr>
      <w:b/>
      <w:bCs/>
    </w:rPr>
  </w:style>
  <w:style w:type="paragraph" w:customStyle="1" w:styleId="130">
    <w:name w:val="Char Char Char Char Char Char1"/>
    <w:basedOn w:val="1"/>
    <w:qFormat/>
    <w:uiPriority w:val="1"/>
    <w:pPr>
      <w:spacing w:line="360" w:lineRule="auto"/>
      <w:ind w:firstLine="200" w:firstLineChars="200"/>
    </w:pPr>
    <w:rPr>
      <w:rFonts w:ascii="Times New Roman" w:hAnsi="Times New Roman" w:eastAsia="宋体" w:cs="Times New Roman"/>
      <w:sz w:val="24"/>
      <w:szCs w:val="20"/>
    </w:rPr>
  </w:style>
  <w:style w:type="paragraph" w:customStyle="1" w:styleId="131">
    <w:name w:val="样式 宋体 小四 行距: 多倍行距 1.25 字行 首行缩进:  2 字符"/>
    <w:basedOn w:val="1"/>
    <w:qFormat/>
    <w:uiPriority w:val="0"/>
    <w:pPr>
      <w:spacing w:beforeLines="50" w:afterLines="50" w:line="300" w:lineRule="auto"/>
      <w:ind w:firstLine="200" w:firstLineChars="200"/>
    </w:pPr>
    <w:rPr>
      <w:rFonts w:ascii="宋体" w:hAnsi="宋体" w:eastAsia="宋体" w:cs="宋体"/>
      <w:sz w:val="24"/>
      <w:szCs w:val="20"/>
    </w:rPr>
  </w:style>
  <w:style w:type="character" w:customStyle="1" w:styleId="132">
    <w:name w:val="H2 Char"/>
    <w:qFormat/>
    <w:uiPriority w:val="1"/>
    <w:rPr>
      <w:rFonts w:ascii="Arial" w:hAnsi="Arial" w:eastAsia="黑体"/>
      <w:b/>
      <w:bCs/>
      <w:kern w:val="2"/>
      <w:sz w:val="32"/>
      <w:szCs w:val="32"/>
      <w:lang w:val="en-US" w:eastAsia="zh-CN" w:bidi="ar-SA"/>
    </w:rPr>
  </w:style>
  <w:style w:type="paragraph" w:customStyle="1" w:styleId="133">
    <w:name w:val="样式 标题 1 + 黑体 小二"/>
    <w:basedOn w:val="2"/>
    <w:qFormat/>
    <w:uiPriority w:val="0"/>
    <w:pPr>
      <w:ind w:left="900" w:hanging="420"/>
    </w:pPr>
    <w:rPr>
      <w:rFonts w:ascii="黑体" w:hAnsi="黑体" w:eastAsia="黑体"/>
      <w:sz w:val="36"/>
    </w:rPr>
  </w:style>
  <w:style w:type="paragraph" w:customStyle="1" w:styleId="134">
    <w:name w:val="样式 四号"/>
    <w:basedOn w:val="1"/>
    <w:link w:val="135"/>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35">
    <w:name w:val="样式 四号 Char"/>
    <w:link w:val="134"/>
    <w:qFormat/>
    <w:uiPriority w:val="0"/>
    <w:rPr>
      <w:rFonts w:ascii="Times New Roman" w:hAnsi="Times New Roman" w:eastAsia="宋体" w:cs="Times New Roman"/>
      <w:sz w:val="24"/>
      <w:szCs w:val="24"/>
    </w:rPr>
  </w:style>
  <w:style w:type="paragraph" w:customStyle="1" w:styleId="136">
    <w:name w:val="列出段落1"/>
    <w:basedOn w:val="1"/>
    <w:qFormat/>
    <w:uiPriority w:val="0"/>
    <w:pPr>
      <w:ind w:firstLine="420" w:firstLineChars="200"/>
    </w:pPr>
    <w:rPr>
      <w:rFonts w:ascii="Calibri" w:hAnsi="Calibri" w:eastAsia="宋体" w:cs="Times New Roman"/>
    </w:rPr>
  </w:style>
  <w:style w:type="paragraph" w:customStyle="1" w:styleId="137">
    <w:name w:val="说明书正文"/>
    <w:basedOn w:val="1"/>
    <w:qFormat/>
    <w:uiPriority w:val="0"/>
    <w:pPr>
      <w:spacing w:line="360" w:lineRule="auto"/>
      <w:ind w:right="1634" w:rightChars="1634" w:firstLine="200" w:firstLineChars="200"/>
    </w:pPr>
    <w:rPr>
      <w:rFonts w:ascii="Times New Roman" w:hAnsi="Times New Roman" w:eastAsia="宋体" w:cs="宋体"/>
      <w:sz w:val="24"/>
      <w:szCs w:val="20"/>
    </w:rPr>
  </w:style>
  <w:style w:type="paragraph" w:customStyle="1" w:styleId="138">
    <w:name w:val="列出段落2"/>
    <w:basedOn w:val="1"/>
    <w:qFormat/>
    <w:uiPriority w:val="0"/>
    <w:pPr>
      <w:ind w:firstLine="420" w:firstLineChars="200"/>
    </w:pPr>
    <w:rPr>
      <w:rFonts w:ascii="Calibri" w:hAnsi="Calibri" w:eastAsia="宋体" w:cs="Times New Roman"/>
    </w:rPr>
  </w:style>
  <w:style w:type="character" w:customStyle="1" w:styleId="139">
    <w:name w:val="apple-style-span"/>
    <w:qFormat/>
    <w:uiPriority w:val="1"/>
  </w:style>
  <w:style w:type="paragraph" w:customStyle="1" w:styleId="140">
    <w:name w:val="Char1 Char Char Char Char Char Char1"/>
    <w:basedOn w:val="1"/>
    <w:qFormat/>
    <w:uiPriority w:val="1"/>
    <w:pPr>
      <w:spacing w:line="360" w:lineRule="auto"/>
      <w:ind w:firstLine="200" w:firstLineChars="200"/>
    </w:pPr>
    <w:rPr>
      <w:rFonts w:ascii="宋体" w:hAnsi="宋体" w:eastAsia="宋体" w:cs="宋体"/>
      <w:sz w:val="24"/>
      <w:szCs w:val="24"/>
    </w:rPr>
  </w:style>
  <w:style w:type="paragraph" w:customStyle="1" w:styleId="141">
    <w:name w:val="列出段落11"/>
    <w:basedOn w:val="1"/>
    <w:qFormat/>
    <w:uiPriority w:val="0"/>
    <w:pPr>
      <w:ind w:firstLine="420" w:firstLineChars="200"/>
    </w:pPr>
    <w:rPr>
      <w:rFonts w:ascii="Calibri" w:hAnsi="Calibri" w:eastAsia="宋体" w:cs="Times New Roman"/>
    </w:rPr>
  </w:style>
  <w:style w:type="paragraph" w:customStyle="1" w:styleId="142">
    <w:name w:val="标准正文"/>
    <w:basedOn w:val="1"/>
    <w:qFormat/>
    <w:uiPriority w:val="0"/>
    <w:pPr>
      <w:spacing w:beforeLines="50" w:afterLines="50" w:line="320" w:lineRule="exact"/>
    </w:pPr>
    <w:rPr>
      <w:rFonts w:ascii="Times New Roman" w:hAnsi="Times New Roman" w:eastAsia="宋体" w:cs="Times New Roman"/>
      <w:szCs w:val="24"/>
    </w:rPr>
  </w:style>
  <w:style w:type="paragraph" w:styleId="14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44">
    <w:name w:val="不明显强调1"/>
    <w:qFormat/>
    <w:uiPriority w:val="19"/>
    <w:rPr>
      <w:i/>
      <w:iCs/>
      <w:color w:val="808080"/>
    </w:rPr>
  </w:style>
  <w:style w:type="character" w:customStyle="1" w:styleId="145">
    <w:name w:val="明显强调1"/>
    <w:qFormat/>
    <w:uiPriority w:val="21"/>
    <w:rPr>
      <w:b/>
      <w:bCs/>
      <w:i/>
      <w:iCs/>
      <w:color w:val="4F81BD"/>
    </w:rPr>
  </w:style>
  <w:style w:type="paragraph" w:styleId="146">
    <w:name w:val="Quote"/>
    <w:basedOn w:val="1"/>
    <w:next w:val="1"/>
    <w:link w:val="147"/>
    <w:qFormat/>
    <w:uiPriority w:val="29"/>
    <w:rPr>
      <w:rFonts w:ascii="Calibri" w:hAnsi="Calibri" w:eastAsia="宋体" w:cs="Times New Roman"/>
      <w:i/>
      <w:iCs/>
      <w:color w:val="000000"/>
    </w:rPr>
  </w:style>
  <w:style w:type="character" w:customStyle="1" w:styleId="147">
    <w:name w:val="引用 字符"/>
    <w:basedOn w:val="43"/>
    <w:link w:val="146"/>
    <w:qFormat/>
    <w:uiPriority w:val="29"/>
    <w:rPr>
      <w:rFonts w:ascii="Calibri" w:hAnsi="Calibri" w:eastAsia="宋体" w:cs="Times New Roman"/>
      <w:i/>
      <w:iCs/>
      <w:color w:val="000000"/>
    </w:rPr>
  </w:style>
  <w:style w:type="paragraph" w:styleId="148">
    <w:name w:val="Intense Quote"/>
    <w:basedOn w:val="1"/>
    <w:next w:val="1"/>
    <w:link w:val="149"/>
    <w:qFormat/>
    <w:uiPriority w:val="30"/>
    <w:pPr>
      <w:pBdr>
        <w:bottom w:val="single" w:color="4F81BD" w:sz="4" w:space="4"/>
      </w:pBdr>
      <w:spacing w:before="200" w:after="280"/>
      <w:ind w:left="936" w:right="936"/>
    </w:pPr>
    <w:rPr>
      <w:rFonts w:ascii="Calibri" w:hAnsi="Calibri" w:eastAsia="宋体" w:cs="Times New Roman"/>
      <w:b/>
      <w:bCs/>
      <w:i/>
      <w:iCs/>
      <w:color w:val="4F81BD"/>
    </w:rPr>
  </w:style>
  <w:style w:type="character" w:customStyle="1" w:styleId="149">
    <w:name w:val="明显引用 字符"/>
    <w:basedOn w:val="43"/>
    <w:link w:val="148"/>
    <w:qFormat/>
    <w:uiPriority w:val="30"/>
    <w:rPr>
      <w:rFonts w:ascii="Calibri" w:hAnsi="Calibri" w:eastAsia="宋体" w:cs="Times New Roman"/>
      <w:b/>
      <w:bCs/>
      <w:i/>
      <w:iCs/>
      <w:color w:val="4F81BD"/>
    </w:rPr>
  </w:style>
  <w:style w:type="character" w:customStyle="1" w:styleId="150">
    <w:name w:val="不明显参考1"/>
    <w:qFormat/>
    <w:uiPriority w:val="31"/>
    <w:rPr>
      <w:smallCaps/>
      <w:color w:val="C0504D"/>
      <w:u w:val="single"/>
    </w:rPr>
  </w:style>
  <w:style w:type="character" w:customStyle="1" w:styleId="151">
    <w:name w:val="明显参考1"/>
    <w:qFormat/>
    <w:uiPriority w:val="32"/>
    <w:rPr>
      <w:b/>
      <w:bCs/>
      <w:smallCaps/>
      <w:color w:val="C0504D"/>
      <w:spacing w:val="5"/>
      <w:u w:val="single"/>
    </w:rPr>
  </w:style>
  <w:style w:type="character" w:customStyle="1" w:styleId="152">
    <w:name w:val="书籍标题1"/>
    <w:qFormat/>
    <w:uiPriority w:val="33"/>
    <w:rPr>
      <w:b/>
      <w:bCs/>
      <w:smallCaps/>
      <w:spacing w:val="5"/>
    </w:rPr>
  </w:style>
  <w:style w:type="paragraph" w:customStyle="1" w:styleId="153">
    <w:name w:val="nn正文"/>
    <w:basedOn w:val="36"/>
    <w:link w:val="154"/>
    <w:qFormat/>
    <w:uiPriority w:val="1"/>
    <w:pPr>
      <w:widowControl/>
      <w:shd w:val="clear" w:color="auto" w:fill="FFFFFF"/>
      <w:spacing w:line="360" w:lineRule="exact"/>
      <w:ind w:firstLine="200" w:firstLineChars="200"/>
    </w:pPr>
    <w:rPr>
      <w:rFonts w:eastAsia="宋体"/>
      <w:kern w:val="0"/>
    </w:rPr>
  </w:style>
  <w:style w:type="character" w:customStyle="1" w:styleId="154">
    <w:name w:val="nn正文 Char"/>
    <w:link w:val="153"/>
    <w:qFormat/>
    <w:uiPriority w:val="1"/>
    <w:rPr>
      <w:rFonts w:ascii="Times New Roman" w:hAnsi="Times New Roman" w:eastAsia="宋体" w:cs="Times New Roman"/>
      <w:kern w:val="0"/>
      <w:sz w:val="24"/>
      <w:szCs w:val="24"/>
      <w:shd w:val="clear" w:color="auto" w:fill="FFFFFF"/>
    </w:rPr>
  </w:style>
  <w:style w:type="paragraph" w:customStyle="1" w:styleId="155">
    <w:name w:val="KK表图标题"/>
    <w:qFormat/>
    <w:uiPriority w:val="0"/>
    <w:pPr>
      <w:spacing w:beforeLines="50" w:afterLines="50"/>
      <w:jc w:val="center"/>
    </w:pPr>
    <w:rPr>
      <w:rFonts w:ascii="Times New Roman" w:hAnsi="Times New Roman" w:eastAsia="宋体" w:cs="Times New Roman"/>
      <w:b/>
      <w:sz w:val="21"/>
      <w:szCs w:val="24"/>
      <w:lang w:val="en-US" w:eastAsia="zh-CN" w:bidi="ar-SA"/>
    </w:rPr>
  </w:style>
  <w:style w:type="paragraph" w:customStyle="1" w:styleId="156">
    <w:name w:val="KK图集目录"/>
    <w:basedOn w:val="85"/>
    <w:link w:val="157"/>
    <w:qFormat/>
    <w:uiPriority w:val="0"/>
    <w:pPr>
      <w:numPr>
        <w:ilvl w:val="0"/>
        <w:numId w:val="1"/>
      </w:numPr>
      <w:shd w:val="clear" w:color="auto" w:fill="auto"/>
      <w:spacing w:line="360" w:lineRule="exact"/>
      <w:ind w:firstLine="0" w:firstLineChars="0"/>
      <w:jc w:val="left"/>
    </w:pPr>
  </w:style>
  <w:style w:type="character" w:customStyle="1" w:styleId="157">
    <w:name w:val="KK图集目录 Char"/>
    <w:link w:val="156"/>
    <w:qFormat/>
    <w:uiPriority w:val="0"/>
    <w:rPr>
      <w:sz w:val="24"/>
      <w:szCs w:val="24"/>
    </w:rPr>
  </w:style>
  <w:style w:type="paragraph" w:customStyle="1" w:styleId="158">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
    <w:name w:val="样式3"/>
    <w:basedOn w:val="27"/>
    <w:link w:val="160"/>
    <w:qFormat/>
    <w:uiPriority w:val="0"/>
    <w:pPr>
      <w:pBdr>
        <w:bottom w:val="none" w:color="auto" w:sz="0" w:space="0"/>
      </w:pBdr>
    </w:pPr>
    <w:rPr>
      <w:rFonts w:ascii="Calibri" w:hAnsi="Calibri" w:eastAsia="宋体" w:cs="Times New Roman"/>
    </w:rPr>
  </w:style>
  <w:style w:type="character" w:customStyle="1" w:styleId="160">
    <w:name w:val="样式3 Char"/>
    <w:link w:val="159"/>
    <w:qFormat/>
    <w:uiPriority w:val="0"/>
    <w:rPr>
      <w:rFonts w:ascii="Calibri" w:hAnsi="Calibri" w:eastAsia="宋体" w:cs="Times New Roman"/>
      <w:sz w:val="18"/>
      <w:szCs w:val="18"/>
    </w:rPr>
  </w:style>
  <w:style w:type="paragraph" w:customStyle="1" w:styleId="161">
    <w:name w:val="样式4"/>
    <w:basedOn w:val="27"/>
    <w:link w:val="162"/>
    <w:qFormat/>
    <w:uiPriority w:val="0"/>
    <w:pPr>
      <w:pBdr>
        <w:bottom w:val="none" w:color="auto" w:sz="0" w:space="0"/>
      </w:pBdr>
    </w:pPr>
    <w:rPr>
      <w:rFonts w:ascii="Calibri" w:hAnsi="Calibri" w:eastAsia="宋体" w:cs="Times New Roman"/>
    </w:rPr>
  </w:style>
  <w:style w:type="character" w:customStyle="1" w:styleId="162">
    <w:name w:val="样式4 Char"/>
    <w:link w:val="161"/>
    <w:qFormat/>
    <w:uiPriority w:val="0"/>
    <w:rPr>
      <w:rFonts w:ascii="Calibri" w:hAnsi="Calibri" w:eastAsia="宋体" w:cs="Times New Roman"/>
      <w:sz w:val="18"/>
      <w:szCs w:val="18"/>
    </w:rPr>
  </w:style>
  <w:style w:type="paragraph" w:customStyle="1" w:styleId="163">
    <w:name w:val="!一类 alt-1"/>
    <w:basedOn w:val="2"/>
    <w:next w:val="1"/>
    <w:qFormat/>
    <w:uiPriority w:val="0"/>
    <w:pPr>
      <w:numPr>
        <w:ilvl w:val="0"/>
        <w:numId w:val="2"/>
      </w:numPr>
    </w:pPr>
    <w:rPr>
      <w:rFonts w:ascii="Calibri" w:hAnsi="Calibri" w:eastAsia="幼圆"/>
    </w:rPr>
  </w:style>
  <w:style w:type="paragraph" w:customStyle="1" w:styleId="164">
    <w:name w:val="!二类 alt-2"/>
    <w:basedOn w:val="3"/>
    <w:next w:val="1"/>
    <w:qFormat/>
    <w:uiPriority w:val="0"/>
    <w:pPr>
      <w:numPr>
        <w:ilvl w:val="1"/>
        <w:numId w:val="2"/>
      </w:numPr>
      <w:spacing w:before="0" w:after="0"/>
      <w:jc w:val="left"/>
    </w:pPr>
    <w:rPr>
      <w:rFonts w:eastAsia="幼圆"/>
      <w:bCs w:val="0"/>
    </w:rPr>
  </w:style>
  <w:style w:type="paragraph" w:customStyle="1" w:styleId="165">
    <w:name w:val="!四类 alt-4"/>
    <w:basedOn w:val="5"/>
    <w:next w:val="1"/>
    <w:qFormat/>
    <w:uiPriority w:val="0"/>
    <w:pPr>
      <w:spacing w:line="377" w:lineRule="auto"/>
    </w:pPr>
    <w:rPr>
      <w:bCs/>
      <w:lang w:val="en-US"/>
    </w:rPr>
  </w:style>
  <w:style w:type="paragraph" w:customStyle="1" w:styleId="166">
    <w:name w:val="!三类 atl-3"/>
    <w:basedOn w:val="4"/>
    <w:next w:val="1"/>
    <w:qFormat/>
    <w:uiPriority w:val="0"/>
    <w:pPr>
      <w:spacing w:before="120" w:after="120"/>
      <w:ind w:left="1542" w:hanging="1542"/>
    </w:pPr>
    <w:rPr>
      <w:sz w:val="28"/>
      <w:szCs w:val="32"/>
    </w:rPr>
  </w:style>
  <w:style w:type="paragraph" w:customStyle="1" w:styleId="167">
    <w:name w:val="表格正文"/>
    <w:basedOn w:val="1"/>
    <w:qFormat/>
    <w:uiPriority w:val="0"/>
    <w:pPr>
      <w:jc w:val="center"/>
    </w:pPr>
    <w:rPr>
      <w:rFonts w:ascii="宋体" w:hAnsi="宋体" w:eastAsia="宋体" w:cs="宋体"/>
      <w:kern w:val="0"/>
      <w:szCs w:val="20"/>
    </w:rPr>
  </w:style>
  <w:style w:type="paragraph" w:customStyle="1" w:styleId="168">
    <w:name w:val="qq样式 首行缩进:  2 字符 段前: 0.2 行 段后:"/>
    <w:basedOn w:val="1"/>
    <w:link w:val="169"/>
    <w:qFormat/>
    <w:uiPriority w:val="0"/>
    <w:pPr>
      <w:widowControl/>
      <w:spacing w:line="360" w:lineRule="auto"/>
      <w:ind w:firstLine="480"/>
    </w:pPr>
    <w:rPr>
      <w:rFonts w:ascii="Calibri" w:hAnsi="Calibri" w:eastAsia="宋体" w:cs="Times New Roman"/>
      <w:color w:val="000000"/>
      <w:sz w:val="24"/>
      <w:szCs w:val="20"/>
    </w:rPr>
  </w:style>
  <w:style w:type="character" w:customStyle="1" w:styleId="169">
    <w:name w:val="qq样式 首行缩进:  2 字符 段前: 0.2 行 段后: Char"/>
    <w:link w:val="168"/>
    <w:qFormat/>
    <w:uiPriority w:val="0"/>
    <w:rPr>
      <w:rFonts w:ascii="Calibri" w:hAnsi="Calibri" w:eastAsia="宋体" w:cs="Times New Roman"/>
      <w:color w:val="000000"/>
      <w:sz w:val="24"/>
      <w:szCs w:val="20"/>
    </w:rPr>
  </w:style>
  <w:style w:type="table" w:customStyle="1" w:styleId="170">
    <w:name w:val="乌海海勃湾"/>
    <w:basedOn w:val="41"/>
    <w:qFormat/>
    <w:uiPriority w:val="99"/>
    <w:tblPr>
      <w:tblBorders>
        <w:top w:val="single" w:color="auto" w:sz="12" w:space="0"/>
        <w:bottom w:val="single" w:color="auto" w:sz="12" w:space="0"/>
        <w:insideH w:val="single" w:color="auto" w:sz="4" w:space="0"/>
        <w:insideV w:val="single" w:color="auto" w:sz="4" w:space="0"/>
      </w:tblBorders>
    </w:tblPr>
  </w:style>
  <w:style w:type="paragraph" w:customStyle="1" w:styleId="171">
    <w:name w:val="修订1"/>
    <w:hidden/>
    <w:semiHidden/>
    <w:qFormat/>
    <w:uiPriority w:val="99"/>
    <w:rPr>
      <w:rFonts w:ascii="Calibri" w:hAnsi="Calibri" w:eastAsia="宋体" w:cs="Times New Roman"/>
      <w:kern w:val="2"/>
      <w:sz w:val="21"/>
      <w:szCs w:val="22"/>
      <w:lang w:val="en-US" w:eastAsia="zh-CN" w:bidi="ar-SA"/>
    </w:rPr>
  </w:style>
  <w:style w:type="paragraph" w:customStyle="1" w:styleId="172">
    <w:name w:val="图片样式"/>
    <w:basedOn w:val="1"/>
    <w:link w:val="173"/>
    <w:qFormat/>
    <w:uiPriority w:val="0"/>
    <w:pPr>
      <w:ind w:firstLine="420"/>
      <w:jc w:val="center"/>
    </w:pPr>
    <w:rPr>
      <w:rFonts w:ascii="Calibri" w:hAnsi="Calibri" w:eastAsia="宋体" w:cs="Times New Roman"/>
      <w:color w:val="FF0000"/>
      <w:sz w:val="24"/>
      <w:szCs w:val="21"/>
    </w:rPr>
  </w:style>
  <w:style w:type="character" w:customStyle="1" w:styleId="173">
    <w:name w:val="图片样式 Char"/>
    <w:link w:val="172"/>
    <w:qFormat/>
    <w:uiPriority w:val="0"/>
    <w:rPr>
      <w:rFonts w:ascii="Calibri" w:hAnsi="Calibri" w:eastAsia="宋体" w:cs="Times New Roman"/>
      <w:color w:val="FF0000"/>
      <w:sz w:val="24"/>
      <w:szCs w:val="21"/>
    </w:rPr>
  </w:style>
  <w:style w:type="paragraph" w:customStyle="1" w:styleId="174">
    <w:name w:val="图表名称格式"/>
    <w:basedOn w:val="1"/>
    <w:qFormat/>
    <w:uiPriority w:val="0"/>
    <w:pPr>
      <w:widowControl/>
      <w:spacing w:after="120" w:line="400" w:lineRule="exact"/>
      <w:jc w:val="center"/>
    </w:pPr>
    <w:rPr>
      <w:rFonts w:ascii="宋体" w:hAnsi="宋体" w:eastAsia="宋体" w:cs="Times New Roman"/>
      <w:color w:val="000000"/>
      <w:szCs w:val="21"/>
    </w:rPr>
  </w:style>
  <w:style w:type="paragraph" w:customStyle="1" w:styleId="175">
    <w:name w:val="KK插图文本框"/>
    <w:qFormat/>
    <w:uiPriority w:val="0"/>
    <w:pPr>
      <w:jc w:val="center"/>
    </w:pPr>
    <w:rPr>
      <w:rFonts w:ascii="黑体" w:hAnsi="黑体" w:eastAsia="宋体" w:cs="宋体"/>
      <w:color w:val="000000"/>
      <w:sz w:val="24"/>
      <w:szCs w:val="32"/>
      <w:lang w:val="en-US" w:eastAsia="zh-CN" w:bidi="ar-SA"/>
    </w:rPr>
  </w:style>
  <w:style w:type="table" w:customStyle="1" w:styleId="176">
    <w:name w:val="样式5"/>
    <w:basedOn w:val="41"/>
    <w:qFormat/>
    <w:uiPriority w:val="99"/>
    <w:rPr>
      <w:rFonts w:ascii="Calibri" w:hAnsi="Calibri"/>
      <w:sz w:val="18"/>
    </w:rPr>
    <w:tblPr>
      <w:tblBorders>
        <w:top w:val="single" w:color="auto" w:sz="12" w:space="0"/>
        <w:bottom w:val="single" w:color="auto" w:sz="12" w:space="0"/>
        <w:insideH w:val="single" w:color="auto" w:sz="4" w:space="0"/>
        <w:insideV w:val="single" w:color="auto" w:sz="4" w:space="0"/>
      </w:tblBorders>
    </w:tblPr>
  </w:style>
  <w:style w:type="character" w:styleId="177">
    <w:name w:val="Placeholder Text"/>
    <w:basedOn w:val="43"/>
    <w:semiHidden/>
    <w:qFormat/>
    <w:uiPriority w:val="99"/>
    <w:rPr>
      <w:color w:val="808080"/>
    </w:rPr>
  </w:style>
  <w:style w:type="paragraph" w:customStyle="1" w:styleId="17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79">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0"/>
      <w:szCs w:val="20"/>
    </w:rPr>
  </w:style>
  <w:style w:type="paragraph" w:customStyle="1" w:styleId="1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8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8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8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84">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5">
    <w:name w:val="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86">
    <w:name w:val="标题4"/>
    <w:qFormat/>
    <w:uiPriority w:val="0"/>
    <w:rPr>
      <w:rFonts w:eastAsia="宋体"/>
      <w:b/>
      <w:sz w:val="24"/>
    </w:rPr>
  </w:style>
  <w:style w:type="paragraph" w:customStyle="1" w:styleId="18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Cs w:val="21"/>
    </w:rPr>
  </w:style>
  <w:style w:type="paragraph" w:customStyle="1" w:styleId="188">
    <w:name w:val="font6"/>
    <w:basedOn w:val="1"/>
    <w:qFormat/>
    <w:uiPriority w:val="0"/>
    <w:pPr>
      <w:widowControl/>
      <w:spacing w:before="100" w:beforeAutospacing="1" w:after="100" w:afterAutospacing="1"/>
      <w:jc w:val="left"/>
    </w:pPr>
    <w:rPr>
      <w:rFonts w:ascii="Calibri" w:hAnsi="Calibri" w:eastAsia="宋体" w:cs="Calibri"/>
      <w:kern w:val="0"/>
      <w:szCs w:val="21"/>
    </w:rPr>
  </w:style>
  <w:style w:type="paragraph" w:customStyle="1" w:styleId="189">
    <w:name w:val="font7"/>
    <w:basedOn w:val="1"/>
    <w:qFormat/>
    <w:uiPriority w:val="0"/>
    <w:pPr>
      <w:widowControl/>
      <w:spacing w:before="100" w:beforeAutospacing="1" w:after="100" w:afterAutospacing="1"/>
      <w:jc w:val="left"/>
    </w:pPr>
    <w:rPr>
      <w:rFonts w:ascii="仿宋_GB2312" w:hAnsi="宋体" w:eastAsia="仿宋_GB2312" w:cs="宋体"/>
      <w:b/>
      <w:bCs/>
      <w:kern w:val="0"/>
      <w:sz w:val="20"/>
      <w:szCs w:val="20"/>
    </w:rPr>
  </w:style>
  <w:style w:type="paragraph" w:customStyle="1" w:styleId="190">
    <w:name w:val="font8"/>
    <w:basedOn w:val="1"/>
    <w:qFormat/>
    <w:uiPriority w:val="0"/>
    <w:pPr>
      <w:widowControl/>
      <w:spacing w:before="100" w:beforeAutospacing="1" w:after="100" w:afterAutospacing="1"/>
      <w:jc w:val="left"/>
    </w:pPr>
    <w:rPr>
      <w:rFonts w:ascii="宋体" w:hAnsi="宋体" w:eastAsia="宋体" w:cs="宋体"/>
      <w:b/>
      <w:bCs/>
      <w:kern w:val="0"/>
      <w:sz w:val="20"/>
      <w:szCs w:val="20"/>
    </w:rPr>
  </w:style>
  <w:style w:type="paragraph" w:customStyle="1" w:styleId="191">
    <w:name w:val="xl69"/>
    <w:basedOn w:val="1"/>
    <w:qFormat/>
    <w:uiPriority w:val="0"/>
    <w:pPr>
      <w:widowControl/>
      <w:pBdr>
        <w:bottom w:val="single" w:color="auto" w:sz="8" w:space="0"/>
        <w:right w:val="single" w:color="auto" w:sz="8" w:space="0"/>
      </w:pBdr>
      <w:spacing w:before="100" w:beforeAutospacing="1" w:after="100" w:afterAutospacing="1"/>
      <w:jc w:val="center"/>
    </w:pPr>
    <w:rPr>
      <w:rFonts w:ascii="等线" w:hAnsi="等线" w:eastAsia="等线" w:cs="宋体"/>
      <w:kern w:val="0"/>
      <w:sz w:val="24"/>
      <w:szCs w:val="24"/>
    </w:rPr>
  </w:style>
  <w:style w:type="paragraph" w:customStyle="1" w:styleId="192">
    <w:name w:val="xl70"/>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193">
    <w:name w:val="xl7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4">
    <w:name w:val="xl7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b/>
      <w:bCs/>
      <w:kern w:val="0"/>
      <w:sz w:val="20"/>
      <w:szCs w:val="20"/>
    </w:rPr>
  </w:style>
  <w:style w:type="paragraph" w:customStyle="1" w:styleId="195">
    <w:name w:val="xl73"/>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b/>
      <w:bCs/>
      <w:kern w:val="0"/>
      <w:sz w:val="20"/>
      <w:szCs w:val="20"/>
    </w:rPr>
  </w:style>
  <w:style w:type="paragraph" w:customStyle="1" w:styleId="196">
    <w:name w:val="xl7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b/>
      <w:bCs/>
      <w:kern w:val="0"/>
      <w:sz w:val="20"/>
      <w:szCs w:val="20"/>
    </w:rPr>
  </w:style>
  <w:style w:type="paragraph" w:customStyle="1" w:styleId="197">
    <w:name w:val="xl75"/>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仿宋_GB2312" w:hAnsi="宋体" w:eastAsia="仿宋_GB2312" w:cs="宋体"/>
      <w:b/>
      <w:bCs/>
      <w:kern w:val="0"/>
      <w:sz w:val="20"/>
      <w:szCs w:val="20"/>
    </w:rPr>
  </w:style>
  <w:style w:type="paragraph" w:customStyle="1" w:styleId="198">
    <w:name w:val="xl76"/>
    <w:basedOn w:val="1"/>
    <w:qFormat/>
    <w:uiPriority w:val="0"/>
    <w:pPr>
      <w:widowControl/>
      <w:pBdr>
        <w:bottom w:val="single" w:color="auto" w:sz="8" w:space="0"/>
        <w:right w:val="single" w:color="auto" w:sz="8" w:space="0"/>
      </w:pBdr>
      <w:spacing w:before="100" w:beforeAutospacing="1" w:after="100" w:afterAutospacing="1"/>
      <w:jc w:val="center"/>
    </w:pPr>
    <w:rPr>
      <w:rFonts w:ascii="Calibri" w:hAnsi="Calibri" w:eastAsia="宋体" w:cs="Calibri"/>
      <w:kern w:val="0"/>
      <w:szCs w:val="21"/>
    </w:rPr>
  </w:style>
  <w:style w:type="paragraph" w:customStyle="1" w:styleId="199">
    <w:name w:val="xl7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kern w:val="0"/>
      <w:sz w:val="20"/>
      <w:szCs w:val="20"/>
    </w:rPr>
  </w:style>
  <w:style w:type="paragraph" w:customStyle="1" w:styleId="200">
    <w:name w:val="xl78"/>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1">
    <w:name w:val="xl79"/>
    <w:basedOn w:val="1"/>
    <w:qFormat/>
    <w:uiPriority w:val="0"/>
    <w:pPr>
      <w:widowControl/>
      <w:pBdr>
        <w:bottom w:val="single" w:color="auto" w:sz="8" w:space="0"/>
        <w:right w:val="single" w:color="auto" w:sz="8" w:space="0"/>
      </w:pBdr>
      <w:spacing w:before="100" w:beforeAutospacing="1" w:after="100" w:afterAutospacing="1"/>
      <w:jc w:val="center"/>
    </w:pPr>
    <w:rPr>
      <w:rFonts w:ascii="Calibri" w:hAnsi="Calibri" w:eastAsia="宋体" w:cs="Calibri"/>
      <w:kern w:val="0"/>
      <w:sz w:val="24"/>
      <w:szCs w:val="24"/>
    </w:rPr>
  </w:style>
  <w:style w:type="paragraph" w:customStyle="1" w:styleId="202">
    <w:name w:val="xl80"/>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color w:val="FF0000"/>
      <w:kern w:val="0"/>
      <w:sz w:val="20"/>
      <w:szCs w:val="20"/>
    </w:rPr>
  </w:style>
  <w:style w:type="paragraph" w:customStyle="1" w:styleId="203">
    <w:name w:val="xl81"/>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color w:val="FF0000"/>
      <w:kern w:val="0"/>
      <w:sz w:val="24"/>
      <w:szCs w:val="24"/>
    </w:rPr>
  </w:style>
  <w:style w:type="paragraph" w:customStyle="1" w:styleId="204">
    <w:name w:val="xl8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5">
    <w:name w:val="xl8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eastAsia="宋体" w:cs="Calibri"/>
      <w:color w:val="FF0000"/>
      <w:kern w:val="0"/>
      <w:szCs w:val="21"/>
    </w:rPr>
  </w:style>
  <w:style w:type="paragraph" w:customStyle="1" w:styleId="206">
    <w:name w:val="xl8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eastAsia="宋体" w:cs="Calibri"/>
      <w:kern w:val="0"/>
      <w:szCs w:val="21"/>
    </w:rPr>
  </w:style>
  <w:style w:type="paragraph" w:customStyle="1" w:styleId="207">
    <w:name w:val="xl85"/>
    <w:basedOn w:val="1"/>
    <w:qFormat/>
    <w:uiPriority w:val="0"/>
    <w:pPr>
      <w:widowControl/>
      <w:pBdr>
        <w:bottom w:val="single" w:color="auto" w:sz="8" w:space="0"/>
        <w:right w:val="single" w:color="auto" w:sz="8" w:space="0"/>
      </w:pBdr>
      <w:spacing w:before="100" w:beforeAutospacing="1" w:after="100" w:afterAutospacing="1"/>
      <w:jc w:val="center"/>
    </w:pPr>
    <w:rPr>
      <w:rFonts w:ascii="等线" w:hAnsi="等线" w:eastAsia="等线" w:cs="宋体"/>
      <w:kern w:val="0"/>
      <w:sz w:val="24"/>
      <w:szCs w:val="24"/>
    </w:rPr>
  </w:style>
  <w:style w:type="paragraph" w:customStyle="1" w:styleId="208">
    <w:name w:val="xl86"/>
    <w:basedOn w:val="1"/>
    <w:qFormat/>
    <w:uiPriority w:val="0"/>
    <w:pPr>
      <w:widowControl/>
      <w:pBdr>
        <w:bottom w:val="single" w:color="auto" w:sz="8" w:space="0"/>
        <w:right w:val="single" w:color="auto" w:sz="8" w:space="0"/>
      </w:pBdr>
      <w:spacing w:before="100" w:beforeAutospacing="1" w:after="100" w:afterAutospacing="1"/>
      <w:jc w:val="center"/>
    </w:pPr>
    <w:rPr>
      <w:rFonts w:ascii="等线" w:hAnsi="等线" w:eastAsia="等线" w:cs="宋体"/>
      <w:kern w:val="0"/>
      <w:sz w:val="24"/>
      <w:szCs w:val="24"/>
    </w:rPr>
  </w:style>
  <w:style w:type="paragraph" w:customStyle="1" w:styleId="209">
    <w:name w:val="xl8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kern w:val="0"/>
      <w:sz w:val="20"/>
      <w:szCs w:val="20"/>
    </w:rPr>
  </w:style>
  <w:style w:type="paragraph" w:customStyle="1" w:styleId="210">
    <w:name w:val="xl88"/>
    <w:basedOn w:val="1"/>
    <w:qFormat/>
    <w:uiPriority w:val="0"/>
    <w:pPr>
      <w:widowControl/>
      <w:pBdr>
        <w:bottom w:val="single" w:color="auto" w:sz="8" w:space="0"/>
        <w:right w:val="single" w:color="auto" w:sz="8" w:space="0"/>
      </w:pBdr>
      <w:spacing w:before="100" w:beforeAutospacing="1" w:after="100" w:afterAutospacing="1"/>
      <w:jc w:val="center"/>
    </w:pPr>
    <w:rPr>
      <w:rFonts w:ascii="Calibri" w:hAnsi="Calibri" w:eastAsia="宋体" w:cs="Calibri"/>
      <w:kern w:val="0"/>
      <w:szCs w:val="21"/>
    </w:rPr>
  </w:style>
  <w:style w:type="paragraph" w:customStyle="1" w:styleId="211">
    <w:name w:val="xl89"/>
    <w:basedOn w:val="1"/>
    <w:qFormat/>
    <w:uiPriority w:val="0"/>
    <w:pPr>
      <w:widowControl/>
      <w:pBdr>
        <w:bottom w:val="single" w:color="auto" w:sz="8" w:space="0"/>
        <w:right w:val="single" w:color="auto" w:sz="8" w:space="0"/>
      </w:pBdr>
      <w:spacing w:before="100" w:beforeAutospacing="1" w:after="100" w:afterAutospacing="1"/>
      <w:jc w:val="center"/>
    </w:pPr>
    <w:rPr>
      <w:rFonts w:ascii="等线" w:hAnsi="等线" w:eastAsia="等线" w:cs="宋体"/>
      <w:kern w:val="0"/>
      <w:sz w:val="24"/>
      <w:szCs w:val="24"/>
    </w:rPr>
  </w:style>
  <w:style w:type="paragraph" w:customStyle="1" w:styleId="212">
    <w:name w:val="TOC 标题3"/>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13">
    <w:name w:val="Table Paragraph"/>
    <w:basedOn w:val="1"/>
    <w:qFormat/>
    <w:uiPriority w:val="1"/>
  </w:style>
  <w:style w:type="paragraph" w:customStyle="1" w:styleId="214">
    <w:name w:val="段"/>
    <w:link w:val="21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15">
    <w:name w:val="段 Char Char"/>
    <w:link w:val="214"/>
    <w:qFormat/>
    <w:uiPriority w:val="0"/>
    <w:rPr>
      <w:rFonts w:ascii="宋体"/>
      <w:sz w:val="21"/>
    </w:rPr>
  </w:style>
  <w:style w:type="paragraph" w:customStyle="1" w:styleId="216">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17">
    <w:name w:val="font41"/>
    <w:basedOn w:val="43"/>
    <w:qFormat/>
    <w:uiPriority w:val="0"/>
    <w:rPr>
      <w:rFonts w:ascii="Arial" w:hAnsi="Arial" w:cs="Arial"/>
      <w:b/>
      <w:bCs/>
      <w:color w:val="000000"/>
      <w:sz w:val="20"/>
      <w:szCs w:val="20"/>
      <w:u w:val="none"/>
    </w:rPr>
  </w:style>
  <w:style w:type="character" w:customStyle="1" w:styleId="218">
    <w:name w:val="font21"/>
    <w:basedOn w:val="43"/>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3.emf"/><Relationship Id="rId12" Type="http://schemas.microsoft.com/office/2007/relationships/hdphoto" Target="media/image2.wdp"/><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78A00-223B-4475-BA23-F1E9A4FBE4F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131</Pages>
  <Words>85135</Words>
  <Characters>101838</Characters>
  <Lines>814</Lines>
  <Paragraphs>229</Paragraphs>
  <TotalTime>17</TotalTime>
  <ScaleCrop>false</ScaleCrop>
  <LinksUpToDate>false</LinksUpToDate>
  <CharactersWithSpaces>104019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2023-11-06T07:06:00Z</dcterms:created>
  <dc:creator>AutoBVT</dc:creator>
  <cp:lastModifiedBy>Liuliu</cp:lastModifiedBy>
  <cp:lastPrinted>2024-05-16T14:08:00Z</cp:lastPrinted>
  <dcterms:modified xsi:type="dcterms:W3CDTF">2024-05-30T02:13:15Z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F9F8881CCCD9460F9C5F9BE364E26B5B_13</vt:lpwstr>
  </property>
</Properties>
</file>