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w:t>
      </w:r>
      <w:r>
        <w:rPr>
          <w:rFonts w:hint="default" w:ascii="Times New Roman" w:hAnsi="Times New Roman" w:cs="Times New Roman"/>
          <w:sz w:val="32"/>
          <w:szCs w:val="32"/>
          <w:lang w:val="en-US" w:eastAsia="zh-CN"/>
        </w:rPr>
        <w:t>47</w:t>
      </w:r>
      <w:r>
        <w:rPr>
          <w:rFonts w:hint="eastAsia" w:ascii="仿宋_GB2312" w:hAnsi="仿宋_GB2312" w:eastAsia="仿宋_GB2312" w:cs="仿宋_GB2312"/>
          <w:sz w:val="32"/>
          <w:szCs w:val="32"/>
        </w:rPr>
        <w:t>号</w:t>
      </w:r>
    </w:p>
    <w:p>
      <w:pPr>
        <w:pStyle w:val="4"/>
        <w:pageBreakBefore w:val="0"/>
        <w:widowControl w:val="0"/>
        <w:kinsoku/>
        <w:wordWrap/>
        <w:overflowPunct/>
        <w:topLinePunct w:val="0"/>
        <w:autoSpaceDE/>
        <w:autoSpaceDN/>
        <w:bidi w:val="0"/>
        <w:adjustRightInd/>
        <w:snapToGrid/>
        <w:spacing w:beforeLines="0" w:afterLines="0" w:line="600" w:lineRule="exact"/>
        <w:ind w:left="0" w:leftChars="0" w:firstLine="0" w:firstLineChars="0"/>
        <w:textAlignment w:val="auto"/>
        <w:rPr>
          <w:sz w:val="32"/>
          <w:szCs w:val="32"/>
        </w:rPr>
      </w:pPr>
    </w:p>
    <w:p>
      <w:pPr>
        <w:pageBreakBefore w:val="0"/>
        <w:widowControl w:val="0"/>
        <w:kinsoku/>
        <w:wordWrap/>
        <w:overflowPunct/>
        <w:topLinePunct w:val="0"/>
        <w:autoSpaceDE/>
        <w:autoSpaceDN/>
        <w:bidi w:val="0"/>
        <w:adjustRightInd/>
        <w:snapToGrid/>
        <w:spacing w:line="60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pPr>
        <w:spacing w:line="576" w:lineRule="exact"/>
        <w:jc w:val="center"/>
        <w:rPr>
          <w:rFonts w:hint="eastAsia" w:eastAsia="方正小标宋简体"/>
          <w:sz w:val="44"/>
          <w:szCs w:val="44"/>
        </w:rPr>
      </w:pPr>
      <w:r>
        <w:rPr>
          <w:rFonts w:eastAsia="方正小标宋简体"/>
          <w:sz w:val="44"/>
          <w:szCs w:val="44"/>
        </w:rPr>
        <w:t>关于</w:t>
      </w:r>
      <w:bookmarkStart w:id="0" w:name="_Hlk167891996"/>
      <w:r>
        <w:rPr>
          <w:rFonts w:hint="eastAsia" w:eastAsia="方正小标宋简体"/>
          <w:sz w:val="44"/>
          <w:szCs w:val="44"/>
        </w:rPr>
        <w:t>大英</w:t>
      </w:r>
      <w:r>
        <w:rPr>
          <w:rFonts w:hint="eastAsia" w:ascii="方正小标宋简体" w:hAnsi="方正小标宋简体" w:eastAsia="方正小标宋简体" w:cs="方正小标宋简体"/>
          <w:sz w:val="44"/>
          <w:szCs w:val="44"/>
        </w:rPr>
        <w:t>县2023年</w:t>
      </w:r>
      <w:r>
        <w:rPr>
          <w:rFonts w:hint="eastAsia" w:eastAsia="方正小标宋简体"/>
          <w:sz w:val="44"/>
          <w:szCs w:val="44"/>
        </w:rPr>
        <w:t>中央大中型水库移民后期</w:t>
      </w:r>
    </w:p>
    <w:p>
      <w:pPr>
        <w:spacing w:line="576" w:lineRule="exact"/>
        <w:jc w:val="center"/>
        <w:rPr>
          <w:rFonts w:eastAsia="方正小标宋简体"/>
          <w:sz w:val="44"/>
          <w:szCs w:val="44"/>
        </w:rPr>
      </w:pPr>
      <w:r>
        <w:rPr>
          <w:rFonts w:hint="eastAsia" w:eastAsia="方正小标宋简体"/>
          <w:sz w:val="44"/>
          <w:szCs w:val="44"/>
        </w:rPr>
        <w:t>扶持资金寸塘口水库渡改桥建设项目</w:t>
      </w:r>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sz w:val="44"/>
          <w:szCs w:val="44"/>
        </w:rPr>
      </w:pPr>
      <w:r>
        <w:rPr>
          <w:rFonts w:eastAsia="方正小标宋简体"/>
          <w:sz w:val="44"/>
          <w:szCs w:val="44"/>
        </w:rPr>
        <w:t>环境影响报告表的批复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32"/>
          <w:szCs w:val="32"/>
        </w:rPr>
      </w:pPr>
    </w:p>
    <w:p>
      <w:pPr>
        <w:keepNext w:val="0"/>
        <w:keepLines w:val="0"/>
        <w:pageBreakBefore w:val="0"/>
        <w:widowControl w:val="0"/>
        <w:kinsoku/>
        <w:topLinePunct w:val="0"/>
        <w:autoSpaceDE/>
        <w:autoSpaceDN/>
        <w:bidi w:val="0"/>
        <w:adjustRightInd/>
        <w:spacing w:line="560" w:lineRule="exact"/>
        <w:jc w:val="both"/>
        <w:textAlignment w:val="auto"/>
        <w:rPr>
          <w:rFonts w:eastAsia="仿宋_GB2312"/>
          <w:bCs/>
          <w:kern w:val="0"/>
          <w:sz w:val="32"/>
          <w:szCs w:val="32"/>
          <w:lang w:val="ru-RU"/>
        </w:rPr>
      </w:pPr>
      <w:r>
        <w:rPr>
          <w:rFonts w:hint="eastAsia" w:eastAsia="仿宋_GB2312"/>
          <w:bCs/>
          <w:kern w:val="0"/>
          <w:sz w:val="32"/>
          <w:szCs w:val="32"/>
          <w:lang w:val="ru-RU"/>
        </w:rPr>
        <w:t>大英县蓬莱镇人民政府</w:t>
      </w:r>
      <w:r>
        <w:rPr>
          <w:rFonts w:eastAsia="仿宋_GB2312"/>
          <w:bCs/>
          <w:kern w:val="0"/>
          <w:sz w:val="32"/>
          <w:szCs w:val="32"/>
          <w:lang w:val="ru-RU"/>
        </w:rPr>
        <w:t>：</w:t>
      </w:r>
    </w:p>
    <w:p>
      <w:pPr>
        <w:keepNext w:val="0"/>
        <w:keepLines w:val="0"/>
        <w:pageBreakBefore w:val="0"/>
        <w:widowControl w:val="0"/>
        <w:kinsoku/>
        <w:topLinePunct w:val="0"/>
        <w:autoSpaceDE/>
        <w:autoSpaceDN/>
        <w:bidi w:val="0"/>
        <w:adjustRightInd/>
        <w:spacing w:line="560" w:lineRule="exact"/>
        <w:ind w:firstLine="632" w:firstLineChars="200"/>
        <w:jc w:val="both"/>
        <w:textAlignment w:val="auto"/>
        <w:rPr>
          <w:rFonts w:eastAsia="仿宋_GB2312"/>
          <w:color w:val="000000"/>
          <w:sz w:val="32"/>
          <w:szCs w:val="32"/>
        </w:rPr>
      </w:pPr>
      <w:r>
        <w:rPr>
          <w:rFonts w:eastAsia="仿宋_GB2312"/>
          <w:color w:val="000000"/>
          <w:sz w:val="32"/>
          <w:szCs w:val="32"/>
        </w:rPr>
        <w:t>你</w:t>
      </w:r>
      <w:r>
        <w:rPr>
          <w:rFonts w:hint="eastAsia" w:eastAsia="仿宋_GB2312"/>
          <w:color w:val="000000"/>
          <w:sz w:val="32"/>
          <w:szCs w:val="32"/>
        </w:rPr>
        <w:t>单位</w:t>
      </w:r>
      <w:r>
        <w:rPr>
          <w:rFonts w:eastAsia="仿宋_GB2312"/>
          <w:color w:val="000000"/>
          <w:sz w:val="32"/>
          <w:szCs w:val="32"/>
        </w:rPr>
        <w:t>报送的《</w:t>
      </w:r>
      <w:r>
        <w:rPr>
          <w:rFonts w:hint="eastAsia" w:eastAsia="仿宋_GB2312"/>
          <w:color w:val="000000"/>
          <w:sz w:val="32"/>
          <w:szCs w:val="32"/>
        </w:rPr>
        <w:t>大英县</w:t>
      </w:r>
      <w:r>
        <w:rPr>
          <w:rFonts w:ascii="Times New Roman" w:hAnsi="Times New Roman" w:eastAsia="仿宋_GB2312" w:cs="Times New Roman"/>
          <w:color w:val="000000"/>
          <w:sz w:val="32"/>
          <w:szCs w:val="32"/>
        </w:rPr>
        <w:t>2023</w:t>
      </w:r>
      <w:r>
        <w:rPr>
          <w:rFonts w:hint="eastAsia" w:eastAsia="仿宋_GB2312"/>
          <w:color w:val="000000"/>
          <w:sz w:val="32"/>
          <w:szCs w:val="32"/>
        </w:rPr>
        <w:t>年中央大中型水库移民后期扶持资金寸塘口水库渡改桥建设项目环境影响报告表</w:t>
      </w:r>
      <w:r>
        <w:rPr>
          <w:rFonts w:eastAsia="仿宋_GB2312"/>
          <w:color w:val="000000"/>
          <w:sz w:val="32"/>
          <w:szCs w:val="32"/>
        </w:rPr>
        <w:t>》</w:t>
      </w:r>
      <w:r>
        <w:rPr>
          <w:rFonts w:hint="eastAsia" w:eastAsia="仿宋_GB2312"/>
          <w:color w:val="000000"/>
          <w:sz w:val="32"/>
          <w:szCs w:val="32"/>
        </w:rPr>
        <w:t>（以下简称《报告表》）</w:t>
      </w:r>
      <w:r>
        <w:rPr>
          <w:rFonts w:eastAsia="仿宋_GB2312"/>
          <w:color w:val="000000"/>
          <w:sz w:val="32"/>
          <w:szCs w:val="32"/>
        </w:rPr>
        <w:t>收悉。经研究，批复如下：</w:t>
      </w:r>
    </w:p>
    <w:p>
      <w:pPr>
        <w:keepNext w:val="0"/>
        <w:keepLines w:val="0"/>
        <w:pageBreakBefore w:val="0"/>
        <w:widowControl w:val="0"/>
        <w:kinsoku/>
        <w:topLinePunct w:val="0"/>
        <w:autoSpaceDE/>
        <w:autoSpaceDN/>
        <w:bidi w:val="0"/>
        <w:adjustRightInd/>
        <w:spacing w:line="560" w:lineRule="exact"/>
        <w:ind w:firstLine="632" w:firstLineChars="200"/>
        <w:jc w:val="both"/>
        <w:textAlignment w:val="auto"/>
        <w:rPr>
          <w:rFonts w:ascii="黑体" w:hAnsi="黑体" w:eastAsia="黑体" w:cs="黑体"/>
          <w:sz w:val="32"/>
          <w:szCs w:val="32"/>
        </w:rPr>
      </w:pPr>
      <w:r>
        <w:rPr>
          <w:rFonts w:hint="eastAsia" w:ascii="黑体" w:hAnsi="黑体" w:eastAsia="黑体" w:cs="黑体"/>
          <w:sz w:val="32"/>
          <w:szCs w:val="32"/>
        </w:rPr>
        <w:t>一、项目概况及总体意见</w:t>
      </w:r>
    </w:p>
    <w:p>
      <w:pPr>
        <w:keepNext w:val="0"/>
        <w:keepLines w:val="0"/>
        <w:pageBreakBefore w:val="0"/>
        <w:widowControl w:val="0"/>
        <w:kinsoku/>
        <w:topLinePunct w:val="0"/>
        <w:autoSpaceDE/>
        <w:autoSpaceDN/>
        <w:bidi w:val="0"/>
        <w:adjustRightInd/>
        <w:spacing w:line="560" w:lineRule="exact"/>
        <w:ind w:firstLine="632" w:firstLineChars="200"/>
        <w:jc w:val="both"/>
        <w:textAlignment w:val="auto"/>
        <w:rPr>
          <w:rFonts w:hint="eastAsia" w:ascii="Times New Roman" w:hAnsi="Times New Roman" w:eastAsia="仿宋_GB2312" w:cs="Times New Roman"/>
          <w:color w:val="000000"/>
          <w:sz w:val="32"/>
          <w:szCs w:val="32"/>
        </w:rPr>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AndChars" w:linePitch="579" w:charSpace="-842"/>
        </w:sectPr>
      </w:pPr>
      <w:r>
        <w:rPr>
          <w:rFonts w:ascii="Times New Roman" w:hAnsi="Times New Roman" w:eastAsia="仿宋_GB2312" w:cs="Times New Roman"/>
          <w:color w:val="000000"/>
          <w:sz w:val="32"/>
          <w:szCs w:val="32"/>
        </w:rPr>
        <w:t>项目</w:t>
      </w:r>
      <w:r>
        <w:rPr>
          <w:rFonts w:hint="eastAsia" w:ascii="Times New Roman" w:hAnsi="Times New Roman" w:eastAsia="仿宋_GB2312" w:cs="Times New Roman"/>
          <w:color w:val="000000"/>
          <w:sz w:val="32"/>
          <w:szCs w:val="32"/>
        </w:rPr>
        <w:t>位于大英县蓬莱镇寸塘口村，新建桥梁1座及相关附属设施，路线起点位于凤凰沟村（桩号K0+154），顺接原凤凰沟村唱戏坡既有水泥路，沿既有渡口位置自西向东跨越寸塘口水库，终点顺接原寸塘口村蛇脑壳咀既有水泥路（桩号K0+380），路线全长226m，其中：主桥长170m，宽5.5m（起止桩号：K0+154~K0+324）；引道长56m，宽5.5m（起止桩号：K0+324~K0+380）。主要建设内容包括道路工程、排水工程、桥</w:t>
      </w:r>
    </w:p>
    <w:p>
      <w:pPr>
        <w:keepNext w:val="0"/>
        <w:keepLines w:val="0"/>
        <w:pageBreakBefore w:val="0"/>
        <w:widowControl w:val="0"/>
        <w:kinsoku/>
        <w:topLinePunct w:val="0"/>
        <w:autoSpaceDE/>
        <w:autoSpaceDN/>
        <w:bidi w:val="0"/>
        <w:adjustRightInd/>
        <w:spacing w:line="560" w:lineRule="exact"/>
        <w:jc w:val="both"/>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梁工程等。项目全线采用四级公路（Ⅱ类）技术标准，单车道建设，设计速度15km/h，路基宽度5.5m，路面为水泥混凝土路面。</w:t>
      </w:r>
      <w:r>
        <w:rPr>
          <w:rFonts w:ascii="Times New Roman" w:hAnsi="Times New Roman" w:eastAsia="仿宋_GB2312" w:cs="Times New Roman"/>
          <w:color w:val="000000"/>
          <w:sz w:val="32"/>
          <w:szCs w:val="32"/>
        </w:rPr>
        <w:t>项目总投资</w:t>
      </w:r>
      <w:r>
        <w:rPr>
          <w:rFonts w:hint="eastAsia" w:ascii="Times New Roman" w:hAnsi="Times New Roman" w:eastAsia="仿宋_GB2312" w:cs="Times New Roman"/>
          <w:color w:val="000000"/>
          <w:sz w:val="32"/>
          <w:szCs w:val="32"/>
        </w:rPr>
        <w:t>1399.0178</w:t>
      </w:r>
      <w:r>
        <w:rPr>
          <w:rFonts w:ascii="Times New Roman" w:hAnsi="Times New Roman" w:eastAsia="仿宋_GB2312" w:cs="Times New Roman"/>
          <w:color w:val="000000"/>
          <w:sz w:val="32"/>
          <w:szCs w:val="32"/>
        </w:rPr>
        <w:t>万元，其中环保投资</w:t>
      </w:r>
      <w:r>
        <w:rPr>
          <w:rFonts w:hint="eastAsia" w:ascii="Times New Roman" w:hAnsi="Times New Roman" w:eastAsia="仿宋_GB2312" w:cs="Times New Roman"/>
          <w:color w:val="000000"/>
          <w:sz w:val="32"/>
          <w:szCs w:val="32"/>
        </w:rPr>
        <w:t>145</w:t>
      </w:r>
      <w:r>
        <w:rPr>
          <w:rFonts w:ascii="Times New Roman" w:hAnsi="Times New Roman" w:eastAsia="仿宋_GB2312" w:cs="Times New Roman"/>
          <w:color w:val="000000"/>
          <w:sz w:val="32"/>
          <w:szCs w:val="32"/>
        </w:rPr>
        <w:t>万元。</w:t>
      </w:r>
    </w:p>
    <w:p>
      <w:pPr>
        <w:keepNext w:val="0"/>
        <w:keepLines w:val="0"/>
        <w:pageBreakBefore w:val="0"/>
        <w:widowControl w:val="0"/>
        <w:kinsoku/>
        <w:topLinePunct w:val="0"/>
        <w:autoSpaceDE/>
        <w:autoSpaceDN/>
        <w:bidi w:val="0"/>
        <w:adjustRightInd/>
        <w:spacing w:line="560" w:lineRule="exact"/>
        <w:ind w:firstLine="632"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项目为</w:t>
      </w:r>
      <w:r>
        <w:rPr>
          <w:rFonts w:hint="eastAsia" w:ascii="Times New Roman" w:hAnsi="Times New Roman" w:eastAsia="仿宋_GB2312" w:cs="Times New Roman"/>
          <w:sz w:val="32"/>
          <w:szCs w:val="32"/>
        </w:rPr>
        <w:t>等级公路建设项目</w:t>
      </w:r>
      <w:r>
        <w:rPr>
          <w:rFonts w:ascii="Times New Roman" w:hAnsi="Times New Roman" w:eastAsia="仿宋_GB2312" w:cs="Times New Roman"/>
          <w:sz w:val="32"/>
          <w:szCs w:val="32"/>
        </w:rPr>
        <w:t>，属于《产业结构调整指导目录》（20</w:t>
      </w:r>
      <w:r>
        <w:rPr>
          <w:rFonts w:hint="eastAsia" w:ascii="Times New Roman" w:hAnsi="Times New Roman" w:eastAsia="仿宋_GB2312" w:cs="Times New Roman"/>
          <w:sz w:val="32"/>
          <w:szCs w:val="32"/>
        </w:rPr>
        <w:t>24</w:t>
      </w:r>
      <w:r>
        <w:rPr>
          <w:rFonts w:ascii="Times New Roman" w:hAnsi="Times New Roman" w:eastAsia="仿宋_GB2312" w:cs="Times New Roman"/>
          <w:sz w:val="32"/>
          <w:szCs w:val="32"/>
        </w:rPr>
        <w:t>年本）中的鼓励类</w:t>
      </w:r>
      <w:r>
        <w:rPr>
          <w:rFonts w:ascii="Times New Roman" w:hAnsi="Times New Roman" w:eastAsia="仿宋_GB2312" w:cs="Times New Roman"/>
          <w:color w:val="000000"/>
          <w:sz w:val="32"/>
          <w:szCs w:val="32"/>
        </w:rPr>
        <w:t>项目，</w:t>
      </w:r>
      <w:r>
        <w:rPr>
          <w:rFonts w:hint="eastAsia" w:ascii="Times New Roman" w:hAnsi="Times New Roman" w:eastAsia="仿宋_GB2312" w:cs="Times New Roman"/>
          <w:color w:val="000000"/>
          <w:sz w:val="32"/>
          <w:szCs w:val="32"/>
        </w:rPr>
        <w:t>取得了《大英县发展和改革局关于大英县2023年中央大中型水库移民后期扶持资金寸塘口水库渡改桥建设项目可行性研究报告（代项目建议书）的批复》</w:t>
      </w:r>
      <w:r>
        <w:rPr>
          <w:rFonts w:ascii="Times New Roman" w:hAnsi="Times New Roman" w:eastAsia="仿宋_GB2312" w:cs="Times New Roman"/>
          <w:color w:val="000000"/>
          <w:sz w:val="32"/>
          <w:szCs w:val="32"/>
        </w:rPr>
        <w:t>（大</w:t>
      </w:r>
      <w:r>
        <w:rPr>
          <w:rFonts w:hint="eastAsia" w:ascii="Times New Roman" w:hAnsi="Times New Roman" w:eastAsia="仿宋_GB2312" w:cs="Times New Roman"/>
          <w:color w:val="000000"/>
          <w:sz w:val="32"/>
          <w:szCs w:val="32"/>
        </w:rPr>
        <w:t>发改许可</w:t>
      </w:r>
      <w:r>
        <w:rPr>
          <w:rFonts w:ascii="Times New Roman" w:hAnsi="Times New Roman" w:eastAsia="仿宋_GB2312" w:cs="Times New Roman"/>
          <w:color w:val="000000"/>
          <w:sz w:val="32"/>
          <w:szCs w:val="32"/>
        </w:rPr>
        <w:t>〔2023〕</w:t>
      </w:r>
      <w:r>
        <w:rPr>
          <w:rFonts w:hint="eastAsia" w:ascii="Times New Roman" w:hAnsi="Times New Roman" w:eastAsia="仿宋_GB2312" w:cs="Times New Roman"/>
          <w:color w:val="000000"/>
          <w:sz w:val="32"/>
          <w:szCs w:val="32"/>
        </w:rPr>
        <w:t>360</w:t>
      </w:r>
      <w:r>
        <w:rPr>
          <w:rFonts w:ascii="Times New Roman" w:hAnsi="Times New Roman" w:eastAsia="仿宋_GB2312" w:cs="Times New Roman"/>
          <w:color w:val="000000"/>
          <w:sz w:val="32"/>
          <w:szCs w:val="32"/>
        </w:rPr>
        <w:t>号）</w:t>
      </w:r>
      <w:r>
        <w:rPr>
          <w:rFonts w:hint="eastAsia" w:ascii="Times New Roman" w:hAnsi="Times New Roman" w:eastAsia="仿宋_GB2312" w:cs="Times New Roman"/>
          <w:color w:val="000000"/>
          <w:sz w:val="32"/>
          <w:szCs w:val="32"/>
        </w:rPr>
        <w:t>，不属于《国土资源部 国家发展和改革委员会关于发布实施</w:t>
      </w:r>
      <w:r>
        <w:rPr>
          <w:rFonts w:hint="eastAsia" w:ascii="Times New Roman" w:hAnsi="Times New Roman" w:cs="Times New Roman"/>
          <w:color w:val="000000"/>
          <w:sz w:val="32"/>
          <w:szCs w:val="32"/>
          <w:lang w:eastAsia="zh-CN"/>
        </w:rPr>
        <w:t>〈</w:t>
      </w:r>
      <w:r>
        <w:rPr>
          <w:rFonts w:hint="eastAsia" w:ascii="Times New Roman" w:hAnsi="Times New Roman" w:eastAsia="仿宋_GB2312" w:cs="Times New Roman"/>
          <w:color w:val="000000"/>
          <w:sz w:val="32"/>
          <w:szCs w:val="32"/>
        </w:rPr>
        <w:t>限制用地项目目录（2021年本）</w:t>
      </w:r>
      <w:r>
        <w:rPr>
          <w:rFonts w:hint="eastAsia" w:ascii="Times New Roman" w:hAnsi="Times New Roman" w:cs="Times New Roman"/>
          <w:color w:val="000000"/>
          <w:sz w:val="32"/>
          <w:szCs w:val="32"/>
          <w:lang w:eastAsia="zh-CN"/>
        </w:rPr>
        <w:t>〉</w:t>
      </w:r>
      <w:r>
        <w:rPr>
          <w:rFonts w:hint="eastAsia" w:ascii="Times New Roman" w:hAnsi="Times New Roman" w:eastAsia="仿宋_GB2312" w:cs="Times New Roman"/>
          <w:color w:val="000000"/>
          <w:sz w:val="32"/>
          <w:szCs w:val="32"/>
        </w:rPr>
        <w:t>和</w:t>
      </w:r>
      <w:r>
        <w:rPr>
          <w:rFonts w:hint="eastAsia" w:ascii="Times New Roman" w:hAnsi="Times New Roman" w:cs="Times New Roman"/>
          <w:color w:val="000000"/>
          <w:sz w:val="32"/>
          <w:szCs w:val="32"/>
          <w:lang w:eastAsia="zh-CN"/>
        </w:rPr>
        <w:t>〈</w:t>
      </w:r>
      <w:r>
        <w:rPr>
          <w:rFonts w:hint="eastAsia" w:ascii="Times New Roman" w:hAnsi="Times New Roman" w:eastAsia="仿宋_GB2312" w:cs="Times New Roman"/>
          <w:color w:val="000000"/>
          <w:sz w:val="32"/>
          <w:szCs w:val="32"/>
        </w:rPr>
        <w:t>禁止用地项目目录（2012年本）</w:t>
      </w:r>
      <w:r>
        <w:rPr>
          <w:rFonts w:hint="eastAsia" w:ascii="Times New Roman" w:hAnsi="Times New Roman" w:cs="Times New Roman"/>
          <w:color w:val="000000"/>
          <w:sz w:val="32"/>
          <w:szCs w:val="32"/>
          <w:lang w:eastAsia="zh-CN"/>
        </w:rPr>
        <w:t>〉</w:t>
      </w:r>
      <w:r>
        <w:rPr>
          <w:rFonts w:hint="eastAsia" w:ascii="Times New Roman" w:hAnsi="Times New Roman" w:eastAsia="仿宋_GB2312" w:cs="Times New Roman"/>
          <w:color w:val="000000"/>
          <w:sz w:val="32"/>
          <w:szCs w:val="32"/>
        </w:rPr>
        <w:t>的通知》（国土资发</w:t>
      </w:r>
      <w:r>
        <w:rPr>
          <w:rFonts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rPr>
        <w:t>12</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98</w:t>
      </w:r>
      <w:r>
        <w:rPr>
          <w:rFonts w:ascii="Times New Roman" w:hAnsi="Times New Roman" w:eastAsia="仿宋_GB2312" w:cs="Times New Roman"/>
          <w:color w:val="000000"/>
          <w:sz w:val="32"/>
          <w:szCs w:val="32"/>
        </w:rPr>
        <w:t>号</w:t>
      </w:r>
      <w:r>
        <w:rPr>
          <w:rFonts w:hint="eastAsia" w:ascii="Times New Roman" w:hAnsi="Times New Roman" w:eastAsia="仿宋_GB2312" w:cs="Times New Roman"/>
          <w:color w:val="000000"/>
          <w:sz w:val="32"/>
          <w:szCs w:val="32"/>
        </w:rPr>
        <w:t>）中规定的项目。</w:t>
      </w:r>
      <w:r>
        <w:rPr>
          <w:rFonts w:ascii="Times New Roman" w:hAnsi="Times New Roman" w:eastAsia="仿宋_GB2312" w:cs="Times New Roman"/>
          <w:color w:val="000000"/>
          <w:sz w:val="32"/>
          <w:szCs w:val="32"/>
        </w:rPr>
        <w:t>该项目建设符合国家产业政策，选址符合相关要求</w:t>
      </w:r>
      <w:r>
        <w:rPr>
          <w:rFonts w:ascii="Times New Roman" w:hAnsi="Times New Roman" w:eastAsia="仿宋_GB2312" w:cs="Times New Roman"/>
          <w:sz w:val="32"/>
          <w:szCs w:val="32"/>
        </w:rPr>
        <w:t>。</w:t>
      </w:r>
    </w:p>
    <w:p>
      <w:pPr>
        <w:keepNext w:val="0"/>
        <w:keepLines w:val="0"/>
        <w:pageBreakBefore w:val="0"/>
        <w:widowControl w:val="0"/>
        <w:kinsoku/>
        <w:overflowPunct w:val="0"/>
        <w:topLinePunct w:val="0"/>
        <w:autoSpaceDE/>
        <w:autoSpaceDN/>
        <w:bidi w:val="0"/>
        <w:adjustRightInd/>
        <w:snapToGrid w:val="0"/>
        <w:spacing w:line="56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严格落实《报告表》提出的生态环境保护对策及措施，严格执行环境保护“三同时”制度，认真落实环境风险防范措施及应急预案的前提下，该项目建设从生态环境保护角度可行，我局原则同意《报告表》的总体结论和拟采取的各项生态环境保护措施。你单位应严格按照《报告表》中所列项目的建设性质、规模、工艺、地点和拟采取的生态环境保护措施进行建设和运行，以确保对生态环境的不利影响得到缓解和控制。</w:t>
      </w:r>
    </w:p>
    <w:p>
      <w:pPr>
        <w:keepNext w:val="0"/>
        <w:keepLines w:val="0"/>
        <w:pageBreakBefore w:val="0"/>
        <w:widowControl w:val="0"/>
        <w:kinsoku/>
        <w:topLinePunct w:val="0"/>
        <w:autoSpaceDE/>
        <w:autoSpaceDN/>
        <w:bidi w:val="0"/>
        <w:adjustRightInd/>
        <w:spacing w:line="560" w:lineRule="exact"/>
        <w:ind w:firstLine="632" w:firstLineChars="200"/>
        <w:jc w:val="both"/>
        <w:textAlignment w:val="auto"/>
        <w:rPr>
          <w:rFonts w:ascii="黑体" w:hAnsi="黑体" w:eastAsia="黑体" w:cs="黑体"/>
          <w:sz w:val="32"/>
          <w:szCs w:val="32"/>
        </w:rPr>
      </w:pPr>
      <w:r>
        <w:rPr>
          <w:rFonts w:hint="eastAsia" w:ascii="黑体" w:hAnsi="黑体" w:eastAsia="黑体" w:cs="黑体"/>
          <w:sz w:val="32"/>
          <w:szCs w:val="32"/>
        </w:rPr>
        <w:t>二、项目建设及营运重点做好以下工作</w:t>
      </w:r>
    </w:p>
    <w:p>
      <w:pPr>
        <w:keepNext w:val="0"/>
        <w:keepLines w:val="0"/>
        <w:pageBreakBefore w:val="0"/>
        <w:widowControl w:val="0"/>
        <w:kinsoku/>
        <w:overflowPunct w:val="0"/>
        <w:topLinePunct w:val="0"/>
        <w:autoSpaceDE/>
        <w:autoSpaceDN/>
        <w:bidi w:val="0"/>
        <w:adjustRightInd/>
        <w:snapToGrid w:val="0"/>
        <w:spacing w:line="560" w:lineRule="exact"/>
        <w:ind w:firstLine="632"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（一）落实生态保护措施。</w:t>
      </w:r>
      <w:r>
        <w:rPr>
          <w:rFonts w:hint="eastAsia" w:ascii="仿宋_GB2312" w:hAnsi="仿宋_GB2312" w:eastAsia="仿宋_GB2312" w:cs="仿宋_GB2312"/>
          <w:sz w:val="32"/>
          <w:szCs w:val="32"/>
        </w:rPr>
        <w:t>严格划定施工用地范围，严禁无故扩大，施工过程应避免废水和固废入河对水质及水生生物造成影响，施工结束后对临时占地区域及时复垦复绿，对桥墩施工区域的河床进行恢复治理；加强对施工人员的管理，严禁施工人员在河流及溪沟中进行捕鱼、毒鱼、炸鱼等行为；严格执行各项水土保持和生态环境保护措施，加强路基路面工程区、绿化工程区生态保护，防止水土流失；施工结束后，临时用地土地整治后进行植被恢复。</w:t>
      </w:r>
    </w:p>
    <w:p>
      <w:pPr>
        <w:keepNext w:val="0"/>
        <w:keepLines w:val="0"/>
        <w:pageBreakBefore w:val="0"/>
        <w:widowControl w:val="0"/>
        <w:kinsoku/>
        <w:overflowPunct w:val="0"/>
        <w:topLinePunct w:val="0"/>
        <w:autoSpaceDE/>
        <w:autoSpaceDN/>
        <w:bidi w:val="0"/>
        <w:adjustRightInd/>
        <w:snapToGrid w:val="0"/>
        <w:spacing w:line="560" w:lineRule="exact"/>
        <w:ind w:firstLine="632"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ascii="楷体_GB2312" w:hAnsi="楷体_GB2312" w:eastAsia="楷体_GB2312" w:cs="楷体_GB2312"/>
          <w:sz w:val="32"/>
          <w:szCs w:val="32"/>
        </w:rPr>
        <w:t>落实废水处置措施。</w:t>
      </w:r>
      <w:r>
        <w:rPr>
          <w:rFonts w:hint="eastAsia" w:ascii="仿宋_GB2312" w:hAnsi="仿宋_GB2312" w:eastAsia="仿宋_GB2312" w:cs="仿宋_GB2312"/>
          <w:sz w:val="32"/>
          <w:szCs w:val="32"/>
        </w:rPr>
        <w:t>项目桥梁施工废水经泥沙沉淀池沉淀后回用于施工场地清洗与场地的洒水抑尘，不外排；施工机械及运输车辆冲洗废水、施工生产废水经隔油沉淀池沉淀后全部循环使用，不外排；施工人员生活废水依托周边房屋已有废水处理设施处理后用于周边耕地施肥。</w:t>
      </w:r>
    </w:p>
    <w:p>
      <w:pPr>
        <w:keepNext w:val="0"/>
        <w:keepLines w:val="0"/>
        <w:pageBreakBefore w:val="0"/>
        <w:widowControl w:val="0"/>
        <w:kinsoku/>
        <w:overflowPunct w:val="0"/>
        <w:topLinePunct w:val="0"/>
        <w:autoSpaceDE/>
        <w:autoSpaceDN/>
        <w:bidi w:val="0"/>
        <w:adjustRightInd/>
        <w:snapToGrid w:val="0"/>
        <w:spacing w:line="56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楷体_GB2312" w:hAnsi="楷体_GB2312" w:eastAsia="楷体_GB2312" w:cs="楷体_GB2312"/>
          <w:sz w:val="32"/>
          <w:szCs w:val="32"/>
        </w:rPr>
        <w:t>落实废</w:t>
      </w:r>
      <w:r>
        <w:rPr>
          <w:rFonts w:hint="eastAsia" w:ascii="楷体_GB2312" w:hAnsi="楷体_GB2312" w:eastAsia="楷体_GB2312" w:cs="楷体_GB2312"/>
          <w:sz w:val="32"/>
          <w:szCs w:val="32"/>
        </w:rPr>
        <w:t>气</w:t>
      </w:r>
      <w:r>
        <w:rPr>
          <w:rFonts w:ascii="楷体_GB2312" w:hAnsi="楷体_GB2312" w:eastAsia="楷体_GB2312" w:cs="楷体_GB2312"/>
          <w:sz w:val="32"/>
          <w:szCs w:val="32"/>
        </w:rPr>
        <w:t>处置措施。</w:t>
      </w:r>
      <w:r>
        <w:rPr>
          <w:rFonts w:hint="eastAsia" w:ascii="仿宋_GB2312" w:hAnsi="仿宋_GB2312" w:eastAsia="仿宋_GB2312" w:cs="仿宋_GB2312"/>
          <w:sz w:val="32"/>
          <w:szCs w:val="32"/>
        </w:rPr>
        <w:t>施工过程全面实行“六必须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不准”，加强施工现场及其周边环境卫生管理，施工道路及作业场地应坚实平整，出入现场各种车辆进行清洗；建筑材料、构件、料具按照划定区域堆放；水泥等粉状物料必须严密遮盖；及时清运施工废弃物，运输砂石、水泥、土方、垃圾等易产生扬尘物质的车辆，必须严密遮盖。加强非道路移动机械和施工运输车辆管理，排放的尾气必须满足国家相关排放标准。</w:t>
      </w:r>
    </w:p>
    <w:p>
      <w:pPr>
        <w:keepNext w:val="0"/>
        <w:keepLines w:val="0"/>
        <w:pageBreakBefore w:val="0"/>
        <w:widowControl w:val="0"/>
        <w:kinsoku/>
        <w:overflowPunct w:val="0"/>
        <w:topLinePunct w:val="0"/>
        <w:autoSpaceDE/>
        <w:autoSpaceDN/>
        <w:bidi w:val="0"/>
        <w:adjustRightInd/>
        <w:snapToGrid w:val="0"/>
        <w:spacing w:line="560" w:lineRule="exact"/>
        <w:ind w:firstLine="632" w:firstLineChars="200"/>
        <w:jc w:val="both"/>
        <w:textAlignment w:val="auto"/>
        <w:rPr>
          <w:rFonts w:ascii="仿宋_GB2312" w:hAnsi="仿宋_GB2312" w:eastAsia="仿宋_GB2312" w:cs="仿宋_GB2312"/>
          <w:color w:val="000000"/>
          <w:kern w:val="18"/>
          <w:sz w:val="32"/>
          <w:szCs w:val="32"/>
        </w:rPr>
      </w:pPr>
      <w:r>
        <w:rPr>
          <w:rFonts w:hint="eastAsia" w:ascii="仿宋_GB2312" w:hAnsi="仿宋_GB2312" w:eastAsia="仿宋_GB2312" w:cs="仿宋_GB2312"/>
          <w:color w:val="000000"/>
          <w:kern w:val="18"/>
          <w:sz w:val="32"/>
          <w:szCs w:val="32"/>
        </w:rPr>
        <w:t>（四）</w:t>
      </w:r>
      <w:r>
        <w:rPr>
          <w:rFonts w:hint="eastAsia" w:ascii="楷体_GB2312" w:hAnsi="楷体_GB2312" w:eastAsia="楷体_GB2312" w:cs="楷体_GB2312"/>
          <w:sz w:val="32"/>
          <w:szCs w:val="32"/>
        </w:rPr>
        <w:t>落实固废处置措施。</w:t>
      </w:r>
      <w:r>
        <w:rPr>
          <w:rFonts w:hint="eastAsia" w:ascii="仿宋_GB2312" w:hAnsi="仿宋_GB2312" w:eastAsia="仿宋_GB2312" w:cs="仿宋_GB2312"/>
          <w:color w:val="000000"/>
          <w:kern w:val="18"/>
          <w:sz w:val="32"/>
          <w:szCs w:val="32"/>
        </w:rPr>
        <w:t>弃渣弃土及时清运，交由有处理能力的单位处置利用，暂存时采取篷布遮盖、设置排水沟等水土保持和污染防治措施；钻渣、泥浆通过泥浆沉淀池、储浆池处理后回用于钻孔工序，多余的钻渣与沉淀池的沉渣经收集后交由有处理能力的单位处置利用；废弃建材回收利用，不能利用的部分运至四川富敏建材有限公司进行综合利用；废弃包装材料，外售至废品回收站；生活垃圾在施工现场定点收集，实行袋装化，定期交由当地环卫部门清运。</w:t>
      </w:r>
    </w:p>
    <w:p>
      <w:pPr>
        <w:keepNext w:val="0"/>
        <w:keepLines w:val="0"/>
        <w:pageBreakBefore w:val="0"/>
        <w:widowControl w:val="0"/>
        <w:kinsoku/>
        <w:overflowPunct w:val="0"/>
        <w:topLinePunct w:val="0"/>
        <w:autoSpaceDE/>
        <w:autoSpaceDN/>
        <w:bidi w:val="0"/>
        <w:adjustRightInd/>
        <w:snapToGrid w:val="0"/>
        <w:spacing w:line="560" w:lineRule="exact"/>
        <w:ind w:firstLine="632"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（五）落实噪声处置措施。</w:t>
      </w:r>
      <w:r>
        <w:rPr>
          <w:rFonts w:hint="eastAsia" w:ascii="仿宋_GB2312" w:hAnsi="仿宋_GB2312" w:eastAsia="仿宋_GB2312" w:cs="仿宋_GB2312"/>
          <w:sz w:val="32"/>
          <w:szCs w:val="32"/>
        </w:rPr>
        <w:t>合理安排施工时间，合理布局施工现场，优化施工方法，严格执行《建筑工程施工现场管理规定》，文明施工，原料及弃渣的运输选取合理的运输路线，加强车辆管理等措施，确保噪声不扰民。</w:t>
      </w:r>
    </w:p>
    <w:p>
      <w:pPr>
        <w:keepNext w:val="0"/>
        <w:keepLines w:val="0"/>
        <w:pageBreakBefore w:val="0"/>
        <w:widowControl w:val="0"/>
        <w:kinsoku/>
        <w:overflowPunct w:val="0"/>
        <w:topLinePunct w:val="0"/>
        <w:autoSpaceDE/>
        <w:autoSpaceDN/>
        <w:bidi w:val="0"/>
        <w:adjustRightInd/>
        <w:snapToGrid w:val="0"/>
        <w:spacing w:line="560" w:lineRule="exact"/>
        <w:ind w:firstLine="632" w:firstLineChars="200"/>
        <w:jc w:val="both"/>
        <w:textAlignment w:val="auto"/>
        <w:rPr>
          <w:rFonts w:ascii="仿宋_GB2312" w:hAnsi="仿宋_GB2312" w:eastAsia="仿宋_GB2312" w:cs="仿宋_GB2312"/>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rPr>
        <w:t>六</w:t>
      </w:r>
      <w:r>
        <w:rPr>
          <w:rFonts w:ascii="楷体_GB2312" w:hAnsi="楷体_GB2312" w:eastAsia="楷体_GB2312" w:cs="楷体_GB2312"/>
          <w:sz w:val="32"/>
          <w:szCs w:val="32"/>
        </w:rPr>
        <w:t>）落实环境风险防范措施。</w:t>
      </w:r>
      <w:r>
        <w:rPr>
          <w:rFonts w:hint="eastAsia" w:ascii="仿宋_GB2312" w:hAnsi="仿宋_GB2312" w:eastAsia="仿宋_GB2312" w:cs="仿宋_GB2312"/>
          <w:sz w:val="32"/>
          <w:szCs w:val="32"/>
        </w:rPr>
        <w:t>通过设置桥面径流收集处理系统和事故应急池等工程措施，防止桥面排水和道路交通事故污染水源。加强交通管理，完善警示牌、减速设施、监控设施，桥梁两侧及引道临河段设置防撞护栏，运营</w:t>
      </w:r>
      <w:r>
        <w:rPr>
          <w:rFonts w:hint="eastAsia" w:ascii="仿宋_GB2312" w:hAnsi="仿宋_GB2312" w:cs="仿宋_GB2312"/>
          <w:sz w:val="32"/>
          <w:szCs w:val="32"/>
          <w:lang w:eastAsia="zh-CN"/>
        </w:rPr>
        <w:t>期间</w:t>
      </w:r>
      <w:r>
        <w:rPr>
          <w:rFonts w:hint="eastAsia" w:ascii="仿宋_GB2312" w:hAnsi="仿宋_GB2312" w:eastAsia="仿宋_GB2312" w:cs="仿宋_GB2312"/>
          <w:sz w:val="32"/>
          <w:szCs w:val="32"/>
        </w:rPr>
        <w:t>禁止危险货物运输车辆通行。落实环境事故风险防范及应急措施，确保项目环境安全。</w:t>
      </w:r>
    </w:p>
    <w:p>
      <w:pPr>
        <w:keepNext w:val="0"/>
        <w:keepLines w:val="0"/>
        <w:pageBreakBefore w:val="0"/>
        <w:widowControl w:val="0"/>
        <w:kinsoku/>
        <w:overflowPunct w:val="0"/>
        <w:topLinePunct w:val="0"/>
        <w:autoSpaceDE/>
        <w:autoSpaceDN/>
        <w:bidi w:val="0"/>
        <w:adjustRightInd/>
        <w:snapToGrid w:val="0"/>
        <w:spacing w:line="560" w:lineRule="exact"/>
        <w:ind w:firstLine="632" w:firstLineChars="200"/>
        <w:jc w:val="both"/>
        <w:textAlignment w:val="auto"/>
        <w:rPr>
          <w:rFonts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bCs/>
          <w:sz w:val="32"/>
          <w:szCs w:val="32"/>
        </w:rPr>
        <w:t>项目开工建设前，依法完备其他行政许可手续</w:t>
      </w:r>
    </w:p>
    <w:p>
      <w:pPr>
        <w:keepNext w:val="0"/>
        <w:keepLines w:val="0"/>
        <w:pageBreakBefore w:val="0"/>
        <w:widowControl w:val="0"/>
        <w:kinsoku/>
        <w:overflowPunct w:val="0"/>
        <w:topLinePunct w:val="0"/>
        <w:autoSpaceDE/>
        <w:autoSpaceDN/>
        <w:bidi w:val="0"/>
        <w:adjustRightInd/>
        <w:snapToGrid w:val="0"/>
        <w:spacing w:line="560" w:lineRule="exact"/>
        <w:ind w:firstLine="632" w:firstLineChars="200"/>
        <w:jc w:val="both"/>
        <w:textAlignment w:val="auto"/>
        <w:rPr>
          <w:rFonts w:ascii="黑体" w:hAnsi="黑体" w:eastAsia="黑体" w:cs="黑体"/>
          <w:sz w:val="32"/>
          <w:szCs w:val="32"/>
        </w:rPr>
      </w:pPr>
      <w:r>
        <w:rPr>
          <w:rFonts w:hint="eastAsia" w:ascii="黑体" w:hAnsi="黑体" w:eastAsia="黑体" w:cs="黑体"/>
          <w:sz w:val="32"/>
          <w:szCs w:val="32"/>
        </w:rPr>
        <w:t>四、“三同时”管理和环保验收</w:t>
      </w:r>
    </w:p>
    <w:p>
      <w:pPr>
        <w:keepNext w:val="0"/>
        <w:keepLines w:val="0"/>
        <w:pageBreakBefore w:val="0"/>
        <w:widowControl w:val="0"/>
        <w:kinsoku/>
        <w:topLinePunct w:val="0"/>
        <w:autoSpaceDE/>
        <w:autoSpaceDN/>
        <w:bidi w:val="0"/>
        <w:adjustRightInd/>
        <w:spacing w:line="560" w:lineRule="exact"/>
        <w:ind w:firstLine="648" w:firstLineChars="200"/>
        <w:jc w:val="both"/>
        <w:textAlignment w:val="auto"/>
        <w:rPr>
          <w:rFonts w:ascii="仿宋_GB2312" w:hAnsi="仿宋_GB2312" w:eastAsia="仿宋_GB2312" w:cs="仿宋_GB2312"/>
          <w:color w:val="000000"/>
          <w:spacing w:val="4"/>
          <w:kern w:val="18"/>
          <w:sz w:val="32"/>
          <w:szCs w:val="32"/>
        </w:rPr>
      </w:pPr>
      <w:r>
        <w:rPr>
          <w:rFonts w:hint="eastAsia" w:ascii="仿宋_GB2312" w:hAnsi="仿宋_GB2312" w:eastAsia="仿宋_GB2312" w:cs="仿宋_GB2312"/>
          <w:color w:val="000000"/>
          <w:spacing w:val="4"/>
          <w:kern w:val="18"/>
          <w:sz w:val="32"/>
          <w:szCs w:val="32"/>
        </w:rPr>
        <w:t>项目必须严格执行配套建设的环境保护设施与主体工程同时设计、同时施工、同时投产使用的环境保护“三同时”制度。建设项目竣工后，你单位应当按照规定的程序和标准，组织对生态环境保护对策措施和配套建设的环境保护设施进行验收，并依法向社会公开验收报告等相关信息，接受社会监督。</w:t>
      </w:r>
    </w:p>
    <w:p>
      <w:pPr>
        <w:keepNext w:val="0"/>
        <w:keepLines w:val="0"/>
        <w:pageBreakBefore w:val="0"/>
        <w:widowControl w:val="0"/>
        <w:kinsoku/>
        <w:overflowPunct w:val="0"/>
        <w:topLinePunct w:val="0"/>
        <w:autoSpaceDE/>
        <w:autoSpaceDN/>
        <w:bidi w:val="0"/>
        <w:adjustRightInd/>
        <w:snapToGrid w:val="0"/>
        <w:spacing w:line="560" w:lineRule="exact"/>
        <w:ind w:firstLine="632" w:firstLineChars="200"/>
        <w:jc w:val="both"/>
        <w:textAlignment w:val="auto"/>
        <w:rPr>
          <w:rFonts w:ascii="黑体" w:hAnsi="黑体" w:eastAsia="黑体" w:cs="黑体"/>
          <w:color w:val="000000"/>
          <w:kern w:val="18"/>
          <w:sz w:val="32"/>
          <w:szCs w:val="32"/>
        </w:rPr>
      </w:pPr>
      <w:r>
        <w:rPr>
          <w:rFonts w:hint="eastAsia" w:ascii="黑体" w:hAnsi="黑体" w:eastAsia="黑体" w:cs="黑体"/>
          <w:color w:val="000000"/>
          <w:kern w:val="18"/>
          <w:sz w:val="32"/>
          <w:szCs w:val="32"/>
        </w:rPr>
        <w:t>五、其他规定</w:t>
      </w:r>
    </w:p>
    <w:p>
      <w:pPr>
        <w:keepNext w:val="0"/>
        <w:keepLines w:val="0"/>
        <w:pageBreakBefore w:val="0"/>
        <w:widowControl w:val="0"/>
        <w:kinsoku/>
        <w:wordWrap w:val="0"/>
        <w:topLinePunct w:val="0"/>
        <w:autoSpaceDE/>
        <w:autoSpaceDN/>
        <w:bidi w:val="0"/>
        <w:adjustRightInd/>
        <w:spacing w:line="560" w:lineRule="exact"/>
        <w:ind w:firstLine="632" w:firstLineChars="200"/>
        <w:jc w:val="both"/>
        <w:textAlignment w:val="auto"/>
        <w:rPr>
          <w:rFonts w:ascii="Times New Roman" w:hAnsi="Times New Roman" w:eastAsia="仿宋_GB2312" w:cs="Times New Roman"/>
          <w:spacing w:val="-6"/>
          <w:sz w:val="32"/>
          <w:szCs w:val="32"/>
        </w:rPr>
      </w:pPr>
      <w:r>
        <w:rPr>
          <w:rFonts w:eastAsia="仿宋_GB2312"/>
          <w:sz w:val="32"/>
          <w:szCs w:val="32"/>
        </w:rPr>
        <w:t>项目环境影响评价文件经批准后，如工程的性质、规模、地点、工艺或者防治污染、防止生态破坏的措施发生重大变动，你</w:t>
      </w:r>
      <w:r>
        <w:rPr>
          <w:rFonts w:hint="eastAsia" w:eastAsia="仿宋_GB2312"/>
          <w:sz w:val="32"/>
          <w:szCs w:val="32"/>
        </w:rPr>
        <w:t>单位</w:t>
      </w:r>
      <w:r>
        <w:rPr>
          <w:rFonts w:eastAsia="仿宋_GB2312"/>
          <w:sz w:val="32"/>
          <w:szCs w:val="32"/>
        </w:rPr>
        <w:t>应当重新报批环境影响评价文件，否则不得实施建设。自环境影响评价文件批准之日起，如工程超</w:t>
      </w:r>
      <w:r>
        <w:rPr>
          <w:rFonts w:ascii="Times New Roman" w:hAnsi="Times New Roman" w:eastAsia="仿宋_GB2312" w:cs="Times New Roman"/>
          <w:sz w:val="32"/>
          <w:szCs w:val="32"/>
        </w:rPr>
        <w:t>过5</w:t>
      </w:r>
      <w:r>
        <w:rPr>
          <w:rFonts w:eastAsia="仿宋_GB2312"/>
          <w:sz w:val="32"/>
          <w:szCs w:val="32"/>
        </w:rPr>
        <w:t>年未开工建设，环境影响评价文件应当报我局重新审核。</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outlineLvl w:val="9"/>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firstLine="4864" w:firstLineChars="16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遂宁市大英生态环境局</w:t>
      </w: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pacing w:val="-6"/>
          <w:sz w:val="32"/>
          <w:szCs w:val="32"/>
          <w:lang w:val="en-US" w:eastAsia="zh-CN"/>
        </w:rPr>
        <w:t>2024</w:t>
      </w:r>
      <w:r>
        <w:rPr>
          <w:rFonts w:hint="eastAsia" w:ascii="仿宋_GB2312" w:hAnsi="仿宋_GB2312" w:eastAsia="仿宋_GB2312" w:cs="仿宋_GB2312"/>
          <w:spacing w:val="-6"/>
          <w:sz w:val="32"/>
          <w:szCs w:val="32"/>
          <w:lang w:val="en-US" w:eastAsia="zh-CN"/>
        </w:rPr>
        <w:t>年</w:t>
      </w:r>
      <w:r>
        <w:rPr>
          <w:rFonts w:hint="eastAsia" w:cs="Times New Roman"/>
          <w:spacing w:val="-6"/>
          <w:sz w:val="32"/>
          <w:szCs w:val="32"/>
          <w:lang w:val="en-US" w:eastAsia="zh-CN"/>
        </w:rPr>
        <w:t>6</w:t>
      </w:r>
      <w:r>
        <w:rPr>
          <w:rFonts w:hint="eastAsia" w:ascii="仿宋_GB2312" w:hAnsi="仿宋_GB2312" w:eastAsia="仿宋_GB2312" w:cs="仿宋_GB2312"/>
          <w:spacing w:val="-6"/>
          <w:sz w:val="32"/>
          <w:szCs w:val="32"/>
          <w:lang w:val="en-US" w:eastAsia="zh-CN"/>
        </w:rPr>
        <w:t>月</w:t>
      </w:r>
      <w:r>
        <w:rPr>
          <w:rFonts w:hint="eastAsia" w:cs="Times New Roman"/>
          <w:spacing w:val="-6"/>
          <w:sz w:val="32"/>
          <w:szCs w:val="32"/>
          <w:lang w:val="en-US" w:eastAsia="zh-CN"/>
        </w:rPr>
        <w:t>1</w:t>
      </w:r>
      <w:r>
        <w:rPr>
          <w:rFonts w:hint="eastAsia" w:ascii="Times New Roman" w:hAnsi="Times New Roman" w:eastAsia="仿宋_GB2312" w:cs="Times New Roman"/>
          <w:spacing w:val="-6"/>
          <w:sz w:val="32"/>
          <w:szCs w:val="32"/>
          <w:lang w:val="en-US" w:eastAsia="zh-CN"/>
        </w:rPr>
        <w:t>7</w:t>
      </w:r>
      <w:r>
        <w:rPr>
          <w:rFonts w:hint="eastAsia" w:ascii="仿宋_GB2312" w:hAnsi="仿宋_GB2312" w:eastAsia="仿宋_GB2312" w:cs="仿宋_GB2312"/>
          <w:spacing w:val="-6"/>
          <w:sz w:val="32"/>
          <w:szCs w:val="32"/>
          <w:lang w:val="en-US" w:eastAsia="zh-CN"/>
        </w:rPr>
        <w:t xml:space="preserve">日        </w:t>
      </w:r>
      <w:bookmarkStart w:id="1" w:name="_GoBack"/>
      <w:bookmarkEnd w:id="1"/>
    </w:p>
    <w:sectPr>
      <w:footerReference r:id="rId4" w:type="default"/>
      <w:footerReference r:id="rId5" w:type="even"/>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2000000000000000000"/>
    <w:charset w:val="86"/>
    <w:family w:val="script"/>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posOffset>4749800</wp:posOffset>
              </wp:positionH>
              <wp:positionV relativeFrom="paragraph">
                <wp:posOffset>47625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4pt;margin-top:3.75pt;height:144pt;width:144pt;mso-position-horizontal-relative:margin;mso-wrap-style:none;z-index:251659264;mso-width-relative:page;mso-height-relative:page;" filled="f" stroked="f" coordsize="21600,21600" o:gfxdata="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G84l9gAAAAK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posOffset>238125</wp:posOffset>
              </wp:positionH>
              <wp:positionV relativeFrom="paragraph">
                <wp:posOffset>19050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75pt;margin-top:1.5pt;height:144pt;width:144pt;mso-position-horizontal-relative:margin;mso-wrap-style:none;z-index:251660288;mso-width-relative:page;mso-height-relative:page;" filled="f" stroked="f" coordsize="21600,21600" o:gfxdata="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ye8VvVAAAACA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pPr>
                      <w:pStyle w:val="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6"/>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200875"/>
    <w:rsid w:val="00951FEE"/>
    <w:rsid w:val="009F3AFC"/>
    <w:rsid w:val="011F28D3"/>
    <w:rsid w:val="01844E19"/>
    <w:rsid w:val="01DD1972"/>
    <w:rsid w:val="01FD40F1"/>
    <w:rsid w:val="02B22144"/>
    <w:rsid w:val="030014CC"/>
    <w:rsid w:val="041E0EAD"/>
    <w:rsid w:val="058E1023"/>
    <w:rsid w:val="062B5ABB"/>
    <w:rsid w:val="072702BE"/>
    <w:rsid w:val="07445783"/>
    <w:rsid w:val="08076BAC"/>
    <w:rsid w:val="08157D0A"/>
    <w:rsid w:val="082B7D91"/>
    <w:rsid w:val="08516175"/>
    <w:rsid w:val="088675ED"/>
    <w:rsid w:val="089E130F"/>
    <w:rsid w:val="08A70EB9"/>
    <w:rsid w:val="092A1E12"/>
    <w:rsid w:val="094E2162"/>
    <w:rsid w:val="098F0FA5"/>
    <w:rsid w:val="09A231A8"/>
    <w:rsid w:val="0AE4604C"/>
    <w:rsid w:val="0B327E48"/>
    <w:rsid w:val="0C4C2651"/>
    <w:rsid w:val="0E06452B"/>
    <w:rsid w:val="0E2350DD"/>
    <w:rsid w:val="0F410220"/>
    <w:rsid w:val="0F5D7B56"/>
    <w:rsid w:val="0FB35FED"/>
    <w:rsid w:val="10632F32"/>
    <w:rsid w:val="108B04C2"/>
    <w:rsid w:val="1142587A"/>
    <w:rsid w:val="11553800"/>
    <w:rsid w:val="12011292"/>
    <w:rsid w:val="129F4917"/>
    <w:rsid w:val="13A050E7"/>
    <w:rsid w:val="13A244C7"/>
    <w:rsid w:val="14741B39"/>
    <w:rsid w:val="14AA3E63"/>
    <w:rsid w:val="150D00D3"/>
    <w:rsid w:val="15AB60E4"/>
    <w:rsid w:val="15C947BC"/>
    <w:rsid w:val="16243B6E"/>
    <w:rsid w:val="1735378C"/>
    <w:rsid w:val="17586B74"/>
    <w:rsid w:val="18196B6F"/>
    <w:rsid w:val="1907403C"/>
    <w:rsid w:val="196F039B"/>
    <w:rsid w:val="1A5916FA"/>
    <w:rsid w:val="1ACF0994"/>
    <w:rsid w:val="1ADB2985"/>
    <w:rsid w:val="1B326960"/>
    <w:rsid w:val="1B7C3FB9"/>
    <w:rsid w:val="1BCC1635"/>
    <w:rsid w:val="1D04432C"/>
    <w:rsid w:val="1D1F6E89"/>
    <w:rsid w:val="1DC1221D"/>
    <w:rsid w:val="1DEC2C84"/>
    <w:rsid w:val="1E17071F"/>
    <w:rsid w:val="1E29348B"/>
    <w:rsid w:val="1E6609BF"/>
    <w:rsid w:val="1EAC44A7"/>
    <w:rsid w:val="1F8E271B"/>
    <w:rsid w:val="1FC85967"/>
    <w:rsid w:val="203222E6"/>
    <w:rsid w:val="204F3B10"/>
    <w:rsid w:val="20E64474"/>
    <w:rsid w:val="21464F13"/>
    <w:rsid w:val="224F429B"/>
    <w:rsid w:val="23631F61"/>
    <w:rsid w:val="23E07BD5"/>
    <w:rsid w:val="251C281B"/>
    <w:rsid w:val="25FC1B6A"/>
    <w:rsid w:val="26672398"/>
    <w:rsid w:val="271B5D95"/>
    <w:rsid w:val="273A436A"/>
    <w:rsid w:val="27E16961"/>
    <w:rsid w:val="290D5E5A"/>
    <w:rsid w:val="29E46919"/>
    <w:rsid w:val="2A1F2C38"/>
    <w:rsid w:val="2A2D6A04"/>
    <w:rsid w:val="2A784B2D"/>
    <w:rsid w:val="2A785045"/>
    <w:rsid w:val="2AAB5339"/>
    <w:rsid w:val="2AC24BA7"/>
    <w:rsid w:val="2AC925A6"/>
    <w:rsid w:val="2B79362F"/>
    <w:rsid w:val="2B8C4F39"/>
    <w:rsid w:val="2B9E2295"/>
    <w:rsid w:val="2CFA5D9C"/>
    <w:rsid w:val="2DC309C3"/>
    <w:rsid w:val="2EFC29C4"/>
    <w:rsid w:val="2F1C72B3"/>
    <w:rsid w:val="2FC71794"/>
    <w:rsid w:val="2FD41A10"/>
    <w:rsid w:val="310F7B8F"/>
    <w:rsid w:val="31442D31"/>
    <w:rsid w:val="31774C75"/>
    <w:rsid w:val="31F50C2D"/>
    <w:rsid w:val="31FD6612"/>
    <w:rsid w:val="32C1089D"/>
    <w:rsid w:val="33F01C8F"/>
    <w:rsid w:val="34047828"/>
    <w:rsid w:val="344E1C6F"/>
    <w:rsid w:val="347C2F67"/>
    <w:rsid w:val="34996C6F"/>
    <w:rsid w:val="34A22009"/>
    <w:rsid w:val="34D12CF9"/>
    <w:rsid w:val="354A265C"/>
    <w:rsid w:val="363D60B8"/>
    <w:rsid w:val="370C4333"/>
    <w:rsid w:val="37225683"/>
    <w:rsid w:val="372748CB"/>
    <w:rsid w:val="376A1E4F"/>
    <w:rsid w:val="38C236CA"/>
    <w:rsid w:val="39116741"/>
    <w:rsid w:val="3965276B"/>
    <w:rsid w:val="3A2A31CC"/>
    <w:rsid w:val="3B2522B6"/>
    <w:rsid w:val="3B313DE1"/>
    <w:rsid w:val="3B495557"/>
    <w:rsid w:val="3B7918F6"/>
    <w:rsid w:val="3BD232AA"/>
    <w:rsid w:val="3C1E30AA"/>
    <w:rsid w:val="3C620396"/>
    <w:rsid w:val="3C7D32C2"/>
    <w:rsid w:val="3C8A5E5F"/>
    <w:rsid w:val="3E406C06"/>
    <w:rsid w:val="3ED454B4"/>
    <w:rsid w:val="3EEF569D"/>
    <w:rsid w:val="3F042EDF"/>
    <w:rsid w:val="40B97948"/>
    <w:rsid w:val="40BF5A1E"/>
    <w:rsid w:val="41313A1B"/>
    <w:rsid w:val="415844BA"/>
    <w:rsid w:val="41A33677"/>
    <w:rsid w:val="41D66AFC"/>
    <w:rsid w:val="41EC74B9"/>
    <w:rsid w:val="42A751E8"/>
    <w:rsid w:val="42B94077"/>
    <w:rsid w:val="42D92940"/>
    <w:rsid w:val="433E49AD"/>
    <w:rsid w:val="44000AFA"/>
    <w:rsid w:val="44242A3A"/>
    <w:rsid w:val="445043AE"/>
    <w:rsid w:val="45EE22DC"/>
    <w:rsid w:val="46564467"/>
    <w:rsid w:val="47173438"/>
    <w:rsid w:val="48473F43"/>
    <w:rsid w:val="486C0E54"/>
    <w:rsid w:val="491F4DFE"/>
    <w:rsid w:val="49225801"/>
    <w:rsid w:val="4944487A"/>
    <w:rsid w:val="4BA71E75"/>
    <w:rsid w:val="4C6267F5"/>
    <w:rsid w:val="4D61085B"/>
    <w:rsid w:val="4DA81B78"/>
    <w:rsid w:val="4DC1579E"/>
    <w:rsid w:val="4DC16BB8"/>
    <w:rsid w:val="4E4D24B7"/>
    <w:rsid w:val="4F284BD5"/>
    <w:rsid w:val="4F343D4D"/>
    <w:rsid w:val="4FBE65ED"/>
    <w:rsid w:val="504C6A58"/>
    <w:rsid w:val="509E5922"/>
    <w:rsid w:val="50A22112"/>
    <w:rsid w:val="50D50B0D"/>
    <w:rsid w:val="50E26863"/>
    <w:rsid w:val="518979CC"/>
    <w:rsid w:val="52614E59"/>
    <w:rsid w:val="52A56FED"/>
    <w:rsid w:val="53ED2369"/>
    <w:rsid w:val="54185E47"/>
    <w:rsid w:val="54454557"/>
    <w:rsid w:val="54C73958"/>
    <w:rsid w:val="54E51D72"/>
    <w:rsid w:val="55590D4A"/>
    <w:rsid w:val="55886BA1"/>
    <w:rsid w:val="558A2919"/>
    <w:rsid w:val="55D1023B"/>
    <w:rsid w:val="55E55DA1"/>
    <w:rsid w:val="56655A83"/>
    <w:rsid w:val="566A0472"/>
    <w:rsid w:val="56B365F2"/>
    <w:rsid w:val="571C1C97"/>
    <w:rsid w:val="577473DD"/>
    <w:rsid w:val="57EE76DD"/>
    <w:rsid w:val="585711D8"/>
    <w:rsid w:val="58902BFC"/>
    <w:rsid w:val="58AD279A"/>
    <w:rsid w:val="58AF5164"/>
    <w:rsid w:val="58C4394C"/>
    <w:rsid w:val="58D418CA"/>
    <w:rsid w:val="58E529EC"/>
    <w:rsid w:val="59030A18"/>
    <w:rsid w:val="59205D38"/>
    <w:rsid w:val="59C94FB5"/>
    <w:rsid w:val="59D820AB"/>
    <w:rsid w:val="5A9803FD"/>
    <w:rsid w:val="5C46174B"/>
    <w:rsid w:val="5C781657"/>
    <w:rsid w:val="5CBA1D36"/>
    <w:rsid w:val="5D307EFB"/>
    <w:rsid w:val="5D942597"/>
    <w:rsid w:val="5DCB6DD4"/>
    <w:rsid w:val="5DDD5997"/>
    <w:rsid w:val="5EC51967"/>
    <w:rsid w:val="5EFB1046"/>
    <w:rsid w:val="5F13397F"/>
    <w:rsid w:val="5F304531"/>
    <w:rsid w:val="5F7F5B76"/>
    <w:rsid w:val="5F9E07E1"/>
    <w:rsid w:val="60217911"/>
    <w:rsid w:val="60570CFE"/>
    <w:rsid w:val="60B414A2"/>
    <w:rsid w:val="60E60A94"/>
    <w:rsid w:val="613926B5"/>
    <w:rsid w:val="61CD7A93"/>
    <w:rsid w:val="61CF012A"/>
    <w:rsid w:val="61D562CA"/>
    <w:rsid w:val="62BB2173"/>
    <w:rsid w:val="6307250B"/>
    <w:rsid w:val="63133F4E"/>
    <w:rsid w:val="632C2E62"/>
    <w:rsid w:val="64EF4296"/>
    <w:rsid w:val="65A43DE1"/>
    <w:rsid w:val="670815C7"/>
    <w:rsid w:val="681D537C"/>
    <w:rsid w:val="69966FC3"/>
    <w:rsid w:val="69BE7A7D"/>
    <w:rsid w:val="69CD2D06"/>
    <w:rsid w:val="6A2932E0"/>
    <w:rsid w:val="6A832EF5"/>
    <w:rsid w:val="6AAA7F05"/>
    <w:rsid w:val="6AAE27AE"/>
    <w:rsid w:val="6C846928"/>
    <w:rsid w:val="6D274DA7"/>
    <w:rsid w:val="6D3A2F0E"/>
    <w:rsid w:val="6D3C5791"/>
    <w:rsid w:val="6D5A5D50"/>
    <w:rsid w:val="6E02688E"/>
    <w:rsid w:val="6E550418"/>
    <w:rsid w:val="6E560B0F"/>
    <w:rsid w:val="6EF74724"/>
    <w:rsid w:val="6EFF47BA"/>
    <w:rsid w:val="6F394D3C"/>
    <w:rsid w:val="6F6E3FD1"/>
    <w:rsid w:val="6F705600"/>
    <w:rsid w:val="6FC445FC"/>
    <w:rsid w:val="6FF46C64"/>
    <w:rsid w:val="708C17E3"/>
    <w:rsid w:val="70D24CB2"/>
    <w:rsid w:val="724B2FD5"/>
    <w:rsid w:val="726D3EA0"/>
    <w:rsid w:val="727C1767"/>
    <w:rsid w:val="72B86D8A"/>
    <w:rsid w:val="72C65FB9"/>
    <w:rsid w:val="740B7313"/>
    <w:rsid w:val="746F0F41"/>
    <w:rsid w:val="74C657DF"/>
    <w:rsid w:val="75091655"/>
    <w:rsid w:val="751C3136"/>
    <w:rsid w:val="76150602"/>
    <w:rsid w:val="761738FD"/>
    <w:rsid w:val="76FC7D28"/>
    <w:rsid w:val="77992DA9"/>
    <w:rsid w:val="782446B8"/>
    <w:rsid w:val="78E7601E"/>
    <w:rsid w:val="78F06C72"/>
    <w:rsid w:val="79C96773"/>
    <w:rsid w:val="79D61A12"/>
    <w:rsid w:val="7A195E96"/>
    <w:rsid w:val="7ADF7B23"/>
    <w:rsid w:val="7B191EC6"/>
    <w:rsid w:val="7C663B77"/>
    <w:rsid w:val="7C7535FD"/>
    <w:rsid w:val="7D1512CD"/>
    <w:rsid w:val="7E17693C"/>
    <w:rsid w:val="7E696DF4"/>
    <w:rsid w:val="7EBC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4">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5">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customStyle="1" w:styleId="2">
    <w:name w:val="常用样式（方正仿宋简）"/>
    <w:basedOn w:val="3"/>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3">
    <w:name w:val="正文1"/>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6">
    <w:name w:val="List Number"/>
    <w:basedOn w:val="1"/>
    <w:autoRedefine/>
    <w:qFormat/>
    <w:uiPriority w:val="0"/>
    <w:pPr>
      <w:numPr>
        <w:ilvl w:val="0"/>
        <w:numId w:val="1"/>
      </w:numPr>
    </w:pPr>
  </w:style>
  <w:style w:type="paragraph" w:styleId="7">
    <w:name w:val="toa heading"/>
    <w:basedOn w:val="1"/>
    <w:next w:val="1"/>
    <w:autoRedefine/>
    <w:qFormat/>
    <w:uiPriority w:val="0"/>
    <w:pPr>
      <w:spacing w:before="120"/>
    </w:pPr>
    <w:rPr>
      <w:rFonts w:ascii="Arial" w:hAnsi="Arial" w:cs="Arial"/>
    </w:rPr>
  </w:style>
  <w:style w:type="paragraph" w:styleId="8">
    <w:name w:val="Body Text"/>
    <w:basedOn w:val="1"/>
    <w:autoRedefine/>
    <w:qFormat/>
    <w:uiPriority w:val="0"/>
    <w:pPr>
      <w:ind w:left="120"/>
    </w:pPr>
    <w:rPr>
      <w:rFonts w:ascii="宋体" w:hAnsi="宋体"/>
      <w:sz w:val="32"/>
      <w:szCs w:val="32"/>
    </w:r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eastAsia="宋体" w:cs="Times New Roman"/>
    </w:rPr>
  </w:style>
  <w:style w:type="paragraph" w:styleId="11">
    <w:name w:val="Body Text Indent 2"/>
    <w:basedOn w:val="1"/>
    <w:next w:val="12"/>
    <w:autoRedefine/>
    <w:qFormat/>
    <w:uiPriority w:val="0"/>
    <w:pPr>
      <w:adjustRightInd w:val="0"/>
      <w:snapToGrid w:val="0"/>
      <w:spacing w:line="440" w:lineRule="atLeast"/>
      <w:ind w:firstLine="573"/>
    </w:pPr>
    <w:rPr>
      <w:rFonts w:ascii="宋体"/>
    </w:rPr>
  </w:style>
  <w:style w:type="paragraph" w:customStyle="1" w:styleId="12">
    <w:name w:val="简单回函地址"/>
    <w:basedOn w:val="1"/>
    <w:next w:val="13"/>
    <w:autoRedefine/>
    <w:qFormat/>
    <w:uiPriority w:val="0"/>
    <w:rPr>
      <w:szCs w:val="20"/>
    </w:rPr>
  </w:style>
  <w:style w:type="paragraph" w:customStyle="1" w:styleId="13">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6"/>
    <w:basedOn w:val="1"/>
    <w:next w:val="1"/>
    <w:autoRedefine/>
    <w:qFormat/>
    <w:uiPriority w:val="0"/>
    <w:pPr>
      <w:ind w:left="2100"/>
    </w:pPr>
    <w:rPr>
      <w:rFonts w:ascii="楷体_GB2312" w:hAnsi="Calibri" w:eastAsia="楷体_GB2312"/>
    </w:rPr>
  </w:style>
  <w:style w:type="paragraph" w:styleId="17">
    <w:name w:val="table of figures"/>
    <w:basedOn w:val="1"/>
    <w:next w:val="1"/>
    <w:autoRedefine/>
    <w:qFormat/>
    <w:uiPriority w:val="0"/>
    <w:pPr>
      <w:ind w:left="200" w:leftChars="200" w:hanging="200" w:hangingChars="200"/>
    </w:p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9">
    <w:name w:val="Body Text First Indent 2"/>
    <w:basedOn w:val="9"/>
    <w:autoRedefine/>
    <w:qFormat/>
    <w:uiPriority w:val="0"/>
    <w:pPr>
      <w:ind w:firstLine="420" w:firstLineChars="200"/>
    </w:p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_Style 2"/>
    <w:basedOn w:val="1"/>
    <w:autoRedefine/>
    <w:qFormat/>
    <w:uiPriority w:val="34"/>
    <w:pPr>
      <w:ind w:firstLine="420" w:firstLineChars="200"/>
    </w:pPr>
  </w:style>
  <w:style w:type="paragraph" w:customStyle="1" w:styleId="24">
    <w:name w:val="正文文本1"/>
    <w:basedOn w:val="3"/>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7">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8">
    <w:name w:val="font21"/>
    <w:basedOn w:val="22"/>
    <w:autoRedefine/>
    <w:qFormat/>
    <w:uiPriority w:val="0"/>
    <w:rPr>
      <w:rFonts w:hint="eastAsia" w:ascii="宋体" w:hAnsi="宋体" w:eastAsia="宋体" w:cs="宋体"/>
      <w:color w:val="000000"/>
      <w:sz w:val="20"/>
      <w:szCs w:val="20"/>
      <w:u w:val="none"/>
    </w:rPr>
  </w:style>
  <w:style w:type="paragraph" w:customStyle="1" w:styleId="29">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0">
    <w:name w:val="font71"/>
    <w:basedOn w:val="22"/>
    <w:autoRedefine/>
    <w:qFormat/>
    <w:uiPriority w:val="0"/>
    <w:rPr>
      <w:rFonts w:hint="eastAsia" w:ascii="宋体" w:hAnsi="宋体" w:eastAsia="宋体" w:cs="宋体"/>
      <w:color w:val="000000"/>
      <w:sz w:val="22"/>
      <w:szCs w:val="22"/>
      <w:u w:val="none"/>
    </w:rPr>
  </w:style>
  <w:style w:type="paragraph" w:customStyle="1" w:styleId="31">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2">
    <w:name w:val="List Paragraph"/>
    <w:basedOn w:val="1"/>
    <w:autoRedefine/>
    <w:qFormat/>
    <w:uiPriority w:val="99"/>
    <w:pPr>
      <w:ind w:firstLine="420" w:firstLineChars="200"/>
    </w:pPr>
  </w:style>
  <w:style w:type="character" w:customStyle="1" w:styleId="33">
    <w:name w:val="font01"/>
    <w:basedOn w:val="22"/>
    <w:autoRedefine/>
    <w:qFormat/>
    <w:uiPriority w:val="0"/>
    <w:rPr>
      <w:rFonts w:hint="eastAsia" w:ascii="宋体" w:hAnsi="宋体" w:eastAsia="宋体" w:cs="宋体"/>
      <w:color w:val="000000"/>
      <w:sz w:val="16"/>
      <w:szCs w:val="16"/>
      <w:u w:val="none"/>
    </w:rPr>
  </w:style>
  <w:style w:type="paragraph" w:customStyle="1" w:styleId="34">
    <w:name w:val="章标题"/>
    <w:basedOn w:val="1"/>
    <w:next w:val="1"/>
    <w:autoRedefine/>
    <w:qFormat/>
    <w:uiPriority w:val="0"/>
    <w:pPr>
      <w:widowControl/>
      <w:spacing w:before="158" w:after="153" w:line="323" w:lineRule="atLeast"/>
      <w:ind w:right="-120"/>
      <w:jc w:val="center"/>
      <w:textAlignment w:val="baseline"/>
    </w:pPr>
    <w:rPr>
      <w:color w:val="FF0000"/>
      <w:sz w:val="18"/>
    </w:rPr>
  </w:style>
  <w:style w:type="character" w:customStyle="1" w:styleId="35">
    <w:name w:val="font11"/>
    <w:autoRedefine/>
    <w:qFormat/>
    <w:uiPriority w:val="0"/>
    <w:rPr>
      <w:rFonts w:ascii="宋体" w:eastAsia="宋体" w:cs="宋体"/>
      <w:color w:val="000000"/>
      <w:sz w:val="22"/>
      <w:szCs w:val="22"/>
      <w:u w:val="none"/>
      <w:lang w:bidi="ar-SA"/>
    </w:rPr>
  </w:style>
  <w:style w:type="paragraph" w:customStyle="1" w:styleId="36">
    <w:name w:val="正文_7"/>
    <w:autoRedefine/>
    <w:qFormat/>
    <w:uiPriority w:val="0"/>
    <w:pPr>
      <w:widowControl w:val="0"/>
      <w:overflowPunct w:val="0"/>
      <w:autoSpaceDE w:val="0"/>
      <w:autoSpaceDN w:val="0"/>
      <w:adjustRightInd w:val="0"/>
      <w:snapToGrid w:val="0"/>
      <w:jc w:val="both"/>
    </w:pPr>
    <w:rPr>
      <w:rFonts w:ascii="宋体" w:hAnsi="Times New Roman" w:eastAsia="宋体" w:cs="Times New Roman"/>
      <w:snapToGrid w:val="0"/>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2085</Words>
  <Characters>2186</Characters>
  <Lines>0</Lines>
  <Paragraphs>0</Paragraphs>
  <TotalTime>109</TotalTime>
  <ScaleCrop>false</ScaleCrop>
  <LinksUpToDate>false</LinksUpToDate>
  <CharactersWithSpaces>2195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Administrator</cp:lastModifiedBy>
  <cp:lastPrinted>2024-06-18T01:14:00Z</cp:lastPrinted>
  <dcterms:modified xsi:type="dcterms:W3CDTF">2024-06-18T09:20:59Z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770FC33594934BA7A1849BCD676E20C8_13</vt:lpwstr>
  </property>
</Properties>
</file>