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line="480" w:lineRule="auto"/>
        <w:jc w:val="center"/>
        <w:rPr>
          <w:rFonts w:ascii="Times New Roman" w:hAnsi="Times New Roman" w:eastAsia="宋体" w:cs="Times New Roman"/>
          <w:color w:val="auto"/>
          <w:sz w:val="28"/>
          <w:szCs w:val="28"/>
          <w:lang w:val="en-US" w:eastAsia="zh-CN"/>
        </w:rPr>
      </w:pPr>
    </w:p>
    <w:p>
      <w:pPr>
        <w:spacing w:before="240" w:line="480" w:lineRule="auto"/>
        <w:jc w:val="center"/>
        <w:rPr>
          <w:rFonts w:ascii="Times New Roman" w:hAnsi="Times New Roman" w:cs="Times New Roman"/>
          <w:color w:val="auto"/>
          <w:szCs w:val="21"/>
        </w:rPr>
      </w:pPr>
    </w:p>
    <w:p>
      <w:pPr>
        <w:adjustRightInd w:val="0"/>
        <w:snapToGrid w:val="0"/>
        <w:spacing w:line="360" w:lineRule="auto"/>
        <w:jc w:val="center"/>
        <w:rPr>
          <w:rFonts w:ascii="Times New Roman" w:hAnsi="Times New Roman" w:eastAsia="Arial Unicode MS" w:cs="Times New Roman"/>
          <w:color w:val="auto"/>
          <w:sz w:val="72"/>
          <w:szCs w:val="72"/>
        </w:rPr>
      </w:pPr>
      <w:r>
        <w:rPr>
          <w:rFonts w:ascii="Times New Roman" w:hAnsi="Times New Roman" w:eastAsia="Arial Unicode MS" w:cs="Times New Roman"/>
          <w:color w:val="auto"/>
          <w:sz w:val="72"/>
          <w:szCs w:val="72"/>
        </w:rPr>
        <w:t>建设项目环境影响报告表</w:t>
      </w:r>
    </w:p>
    <w:p>
      <w:pPr>
        <w:adjustRightInd w:val="0"/>
        <w:snapToGrid w:val="0"/>
        <w:jc w:val="center"/>
        <w:rPr>
          <w:rFonts w:ascii="Times New Roman" w:hAnsi="Times New Roman" w:eastAsia="楷体_GB2312" w:cs="Times New Roman"/>
          <w:bCs/>
          <w:color w:val="auto"/>
          <w:sz w:val="48"/>
          <w:szCs w:val="48"/>
        </w:rPr>
      </w:pPr>
      <w:r>
        <w:rPr>
          <w:rFonts w:ascii="Times New Roman" w:hAnsi="Times New Roman" w:eastAsia="楷体_GB2312" w:cs="Times New Roman"/>
          <w:bCs/>
          <w:color w:val="auto"/>
          <w:sz w:val="48"/>
          <w:szCs w:val="48"/>
        </w:rPr>
        <w:t>（污染影响类）</w:t>
      </w:r>
    </w:p>
    <w:p>
      <w:pPr>
        <w:adjustRightInd w:val="0"/>
        <w:snapToGrid w:val="0"/>
        <w:jc w:val="center"/>
        <w:rPr>
          <w:rFonts w:ascii="Times New Roman" w:hAnsi="Times New Roman" w:eastAsia="楷体_GB2312" w:cs="Times New Roman"/>
          <w:bCs/>
          <w:color w:val="auto"/>
          <w:sz w:val="48"/>
          <w:szCs w:val="48"/>
        </w:rPr>
      </w:pPr>
      <w:r>
        <w:rPr>
          <w:rFonts w:ascii="Times New Roman" w:hAnsi="Times New Roman" w:eastAsia="楷体_GB2312" w:cs="Times New Roman"/>
          <w:bCs/>
          <w:color w:val="auto"/>
          <w:sz w:val="48"/>
          <w:szCs w:val="48"/>
        </w:rPr>
        <w:t>（</w:t>
      </w:r>
      <w:r>
        <w:rPr>
          <w:rFonts w:hint="eastAsia" w:eastAsia="楷体_GB2312" w:cs="Times New Roman"/>
          <w:bCs/>
          <w:color w:val="auto"/>
          <w:sz w:val="48"/>
          <w:szCs w:val="48"/>
          <w:lang w:val="en-US" w:eastAsia="zh-CN"/>
        </w:rPr>
        <w:t>公示本</w:t>
      </w:r>
      <w:r>
        <w:rPr>
          <w:rFonts w:ascii="Times New Roman" w:hAnsi="Times New Roman" w:eastAsia="楷体_GB2312" w:cs="Times New Roman"/>
          <w:bCs/>
          <w:color w:val="auto"/>
          <w:sz w:val="48"/>
          <w:szCs w:val="48"/>
        </w:rPr>
        <w:t>）</w:t>
      </w:r>
    </w:p>
    <w:p>
      <w:pPr>
        <w:adjustRightInd w:val="0"/>
        <w:snapToGrid w:val="0"/>
        <w:spacing w:line="288" w:lineRule="auto"/>
        <w:jc w:val="center"/>
        <w:rPr>
          <w:rFonts w:ascii="Times New Roman" w:hAnsi="Times New Roman" w:eastAsia="楷体_GB2312" w:cs="Times New Roman"/>
          <w:color w:val="auto"/>
          <w:kern w:val="44"/>
          <w:sz w:val="44"/>
          <w:szCs w:val="44"/>
        </w:rPr>
      </w:pPr>
    </w:p>
    <w:p>
      <w:pPr>
        <w:tabs>
          <w:tab w:val="left" w:pos="6795"/>
        </w:tabs>
        <w:spacing w:line="480" w:lineRule="auto"/>
        <w:jc w:val="left"/>
        <w:rPr>
          <w:rFonts w:ascii="Times New Roman" w:hAnsi="Times New Roman" w:cs="Times New Roman"/>
          <w:color w:val="auto"/>
          <w:sz w:val="44"/>
          <w:szCs w:val="44"/>
        </w:rPr>
      </w:pPr>
      <w:r>
        <w:rPr>
          <w:rFonts w:ascii="Times New Roman" w:hAnsi="Times New Roman" w:cs="Times New Roman"/>
          <w:color w:val="auto"/>
          <w:sz w:val="44"/>
          <w:szCs w:val="44"/>
        </w:rPr>
        <w:tab/>
      </w:r>
    </w:p>
    <w:p>
      <w:pPr>
        <w:pStyle w:val="20"/>
        <w:ind w:left="210" w:leftChars="100"/>
        <w:rPr>
          <w:rFonts w:ascii="Times New Roman" w:hAnsi="Times New Roman" w:cs="Times New Roman"/>
          <w:color w:val="auto"/>
        </w:rPr>
      </w:pPr>
    </w:p>
    <w:p>
      <w:pPr>
        <w:spacing w:before="240" w:line="480" w:lineRule="auto"/>
        <w:jc w:val="center"/>
        <w:rPr>
          <w:rFonts w:ascii="Times New Roman" w:hAnsi="Times New Roman" w:cs="Times New Roman"/>
          <w:color w:val="auto"/>
          <w:sz w:val="24"/>
        </w:rPr>
      </w:pPr>
    </w:p>
    <w:p>
      <w:pPr>
        <w:tabs>
          <w:tab w:val="left" w:pos="7200"/>
        </w:tabs>
        <w:spacing w:line="360" w:lineRule="auto"/>
        <w:ind w:left="4318" w:leftChars="342" w:hanging="3600" w:hangingChars="1000"/>
        <w:rPr>
          <w:rFonts w:ascii="Times New Roman" w:hAnsi="Times New Roman" w:eastAsia="仿宋_GB2312" w:cs="Times New Roman"/>
          <w:color w:val="auto"/>
          <w:sz w:val="36"/>
          <w:szCs w:val="36"/>
          <w:u w:val="single"/>
        </w:rPr>
      </w:pPr>
      <w:r>
        <w:rPr>
          <w:rFonts w:ascii="Times New Roman" w:hAnsi="Times New Roman" w:eastAsia="仿宋_GB2312" w:cs="Times New Roman"/>
          <w:color w:val="auto"/>
          <w:sz w:val="36"/>
          <w:szCs w:val="36"/>
        </w:rPr>
        <w:t>项目名称：</w:t>
      </w:r>
      <w:r>
        <w:rPr>
          <w:rFonts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eastAsia="zh-CN"/>
        </w:rPr>
        <w:t>四川鸿鹏新材料有限公司生物质气化炉集中供热项目</w:t>
      </w:r>
      <w:r>
        <w:rPr>
          <w:rFonts w:ascii="Times New Roman" w:hAnsi="Times New Roman" w:eastAsia="仿宋_GB2312" w:cs="Times New Roman"/>
          <w:color w:val="auto"/>
          <w:sz w:val="36"/>
          <w:szCs w:val="36"/>
          <w:u w:val="single"/>
        </w:rPr>
        <w:t xml:space="preserve"> </w:t>
      </w:r>
    </w:p>
    <w:p>
      <w:pPr>
        <w:tabs>
          <w:tab w:val="left" w:pos="7200"/>
        </w:tabs>
        <w:spacing w:line="360" w:lineRule="auto"/>
        <w:ind w:left="4318" w:leftChars="342" w:hanging="3600" w:hangingChars="1000"/>
        <w:rPr>
          <w:rFonts w:ascii="Times New Roman" w:hAnsi="Times New Roman" w:eastAsia="仿宋_GB2312" w:cs="Times New Roman"/>
          <w:color w:val="auto"/>
          <w:sz w:val="36"/>
          <w:szCs w:val="36"/>
          <w:u w:val="single"/>
        </w:rPr>
      </w:pPr>
      <w:r>
        <w:rPr>
          <w:rFonts w:ascii="Times New Roman" w:hAnsi="Times New Roman" w:eastAsia="仿宋_GB2312" w:cs="Times New Roman"/>
          <w:color w:val="auto"/>
          <w:sz w:val="36"/>
          <w:szCs w:val="36"/>
        </w:rPr>
        <w:t>建设单位：</w:t>
      </w:r>
      <w:r>
        <w:rPr>
          <w:rFonts w:ascii="Times New Roman" w:hAnsi="Times New Roman" w:eastAsia="仿宋_GB2312" w:cs="Times New Roman"/>
          <w:color w:val="auto"/>
          <w:sz w:val="36"/>
          <w:szCs w:val="36"/>
          <w:u w:val="single"/>
        </w:rPr>
        <w:t xml:space="preserve">   </w:t>
      </w:r>
      <w:r>
        <w:rPr>
          <w:rFonts w:ascii="Times New Roman" w:hAnsi="Times New Roman" w:eastAsia="仿宋_GB2312" w:cs="Times New Roman"/>
          <w:color w:val="auto"/>
          <w:sz w:val="36"/>
          <w:szCs w:val="36"/>
          <w:u w:val="single"/>
          <w:lang w:eastAsia="zh-CN"/>
        </w:rPr>
        <w:t>四川鸿鹏新材料有限公司</w:t>
      </w:r>
      <w:r>
        <w:rPr>
          <w:rFonts w:ascii="Times New Roman" w:hAnsi="Times New Roman" w:eastAsia="仿宋_GB2312" w:cs="Times New Roman"/>
          <w:color w:val="auto"/>
          <w:sz w:val="36"/>
          <w:szCs w:val="36"/>
          <w:u w:val="single"/>
        </w:rPr>
        <w:t xml:space="preserve">     </w:t>
      </w:r>
      <w:r>
        <w:rPr>
          <w:rFonts w:ascii="Times New Roman" w:hAnsi="Times New Roman" w:eastAsia="仿宋_GB2312" w:cs="Times New Roman"/>
          <w:color w:val="auto"/>
          <w:sz w:val="36"/>
          <w:szCs w:val="36"/>
          <w:u w:val="single"/>
          <w:lang w:val="en-US" w:eastAsia="zh-CN"/>
        </w:rPr>
        <w:t xml:space="preserve"> </w:t>
      </w:r>
      <w:r>
        <w:rPr>
          <w:rFonts w:ascii="Times New Roman" w:hAnsi="Times New Roman" w:eastAsia="仿宋_GB2312" w:cs="Times New Roman"/>
          <w:color w:val="auto"/>
          <w:sz w:val="36"/>
          <w:szCs w:val="36"/>
          <w:u w:val="single"/>
        </w:rPr>
        <w:t xml:space="preserve">    </w:t>
      </w:r>
    </w:p>
    <w:p>
      <w:pPr>
        <w:spacing w:line="288" w:lineRule="auto"/>
        <w:ind w:firstLine="720" w:firstLineChars="200"/>
        <w:rPr>
          <w:rFonts w:ascii="Times New Roman" w:hAnsi="Times New Roman" w:eastAsia="仿宋_GB2312" w:cs="Times New Roman"/>
          <w:color w:val="auto"/>
          <w:sz w:val="36"/>
          <w:szCs w:val="36"/>
          <w:u w:val="single"/>
        </w:rPr>
      </w:pPr>
      <w:r>
        <w:rPr>
          <w:rFonts w:ascii="Times New Roman" w:hAnsi="Times New Roman" w:eastAsia="仿宋_GB2312" w:cs="Times New Roman"/>
          <w:color w:val="auto"/>
          <w:sz w:val="36"/>
          <w:szCs w:val="36"/>
        </w:rPr>
        <w:t>编制日期：</w:t>
      </w:r>
      <w:r>
        <w:rPr>
          <w:rFonts w:ascii="Times New Roman" w:hAnsi="Times New Roman" w:eastAsia="仿宋_GB2312" w:cs="Times New Roman"/>
          <w:color w:val="auto"/>
          <w:sz w:val="36"/>
          <w:szCs w:val="36"/>
          <w:u w:val="single"/>
        </w:rPr>
        <w:t xml:space="preserve">         202</w:t>
      </w:r>
      <w:r>
        <w:rPr>
          <w:rFonts w:ascii="Times New Roman" w:hAnsi="Times New Roman" w:eastAsia="仿宋_GB2312" w:cs="Times New Roman"/>
          <w:color w:val="auto"/>
          <w:sz w:val="36"/>
          <w:szCs w:val="36"/>
          <w:u w:val="single"/>
          <w:lang w:val="en-US" w:eastAsia="zh-CN"/>
        </w:rPr>
        <w:t>4</w:t>
      </w:r>
      <w:r>
        <w:rPr>
          <w:rFonts w:ascii="Times New Roman" w:hAnsi="Times New Roman" w:eastAsia="仿宋_GB2312" w:cs="Times New Roman"/>
          <w:color w:val="auto"/>
          <w:sz w:val="36"/>
          <w:szCs w:val="36"/>
          <w:u w:val="single"/>
        </w:rPr>
        <w:t xml:space="preserve">年 </w:t>
      </w:r>
      <w:r>
        <w:rPr>
          <w:rFonts w:ascii="Times New Roman" w:hAnsi="Times New Roman" w:eastAsia="仿宋_GB2312" w:cs="Times New Roman"/>
          <w:color w:val="auto"/>
          <w:sz w:val="36"/>
          <w:szCs w:val="36"/>
          <w:u w:val="single"/>
          <w:lang w:val="en-US" w:eastAsia="zh-CN"/>
        </w:rPr>
        <w:t>0</w:t>
      </w:r>
      <w:r>
        <w:rPr>
          <w:rFonts w:hint="eastAsia" w:eastAsia="仿宋_GB2312" w:cs="Times New Roman"/>
          <w:color w:val="auto"/>
          <w:sz w:val="36"/>
          <w:szCs w:val="36"/>
          <w:u w:val="single"/>
          <w:lang w:val="en-US" w:eastAsia="zh-CN"/>
        </w:rPr>
        <w:t xml:space="preserve">6 </w:t>
      </w:r>
      <w:r>
        <w:rPr>
          <w:rFonts w:ascii="Times New Roman" w:hAnsi="Times New Roman" w:eastAsia="仿宋_GB2312" w:cs="Times New Roman"/>
          <w:color w:val="auto"/>
          <w:sz w:val="36"/>
          <w:szCs w:val="36"/>
          <w:u w:val="single"/>
        </w:rPr>
        <w:t xml:space="preserve">月   </w:t>
      </w:r>
      <w:r>
        <w:rPr>
          <w:rFonts w:ascii="Times New Roman" w:hAnsi="Times New Roman" w:eastAsia="仿宋_GB2312" w:cs="Times New Roman"/>
          <w:color w:val="auto"/>
          <w:sz w:val="36"/>
          <w:szCs w:val="36"/>
          <w:u w:val="single"/>
          <w:lang w:val="en-US" w:eastAsia="zh-CN"/>
        </w:rPr>
        <w:t xml:space="preserve"> </w:t>
      </w:r>
      <w:r>
        <w:rPr>
          <w:rFonts w:ascii="Times New Roman" w:hAnsi="Times New Roman" w:eastAsia="仿宋_GB2312" w:cs="Times New Roman"/>
          <w:color w:val="auto"/>
          <w:sz w:val="36"/>
          <w:szCs w:val="36"/>
          <w:u w:val="single"/>
        </w:rPr>
        <w:t xml:space="preserve">          </w:t>
      </w:r>
    </w:p>
    <w:p>
      <w:pPr>
        <w:jc w:val="right"/>
        <w:rPr>
          <w:rFonts w:ascii="Times New Roman" w:hAnsi="Times New Roman" w:cs="Times New Roman"/>
          <w:color w:val="auto"/>
          <w:sz w:val="32"/>
          <w:szCs w:val="32"/>
          <w:u w:val="single"/>
        </w:rPr>
      </w:pPr>
    </w:p>
    <w:p>
      <w:pPr>
        <w:jc w:val="left"/>
        <w:rPr>
          <w:rFonts w:ascii="Times New Roman" w:hAnsi="Times New Roman" w:cs="Times New Roman"/>
          <w:color w:val="auto"/>
          <w:sz w:val="36"/>
          <w:szCs w:val="36"/>
          <w:u w:val="single"/>
        </w:rPr>
      </w:pPr>
    </w:p>
    <w:p>
      <w:pPr>
        <w:jc w:val="left"/>
        <w:rPr>
          <w:rFonts w:ascii="Times New Roman" w:hAnsi="Times New Roman" w:cs="Times New Roman"/>
          <w:color w:val="auto"/>
          <w:sz w:val="36"/>
          <w:szCs w:val="36"/>
          <w:u w:val="single"/>
        </w:rPr>
      </w:pPr>
    </w:p>
    <w:p>
      <w:pPr>
        <w:jc w:val="center"/>
        <w:rPr>
          <w:rFonts w:ascii="Times New Roman" w:hAnsi="Times New Roman" w:eastAsia="楷体" w:cs="Times New Roman"/>
          <w:color w:val="auto"/>
          <w:sz w:val="36"/>
          <w:szCs w:val="36"/>
        </w:rPr>
      </w:pPr>
    </w:p>
    <w:p>
      <w:pPr>
        <w:tabs>
          <w:tab w:val="left" w:pos="5254"/>
        </w:tabs>
        <w:jc w:val="left"/>
        <w:rPr>
          <w:rFonts w:ascii="Times New Roman" w:hAnsi="Times New Roman" w:eastAsia="楷体" w:cs="Times New Roman"/>
          <w:color w:val="auto"/>
          <w:sz w:val="48"/>
          <w:szCs w:val="48"/>
        </w:rPr>
      </w:pPr>
      <w:r>
        <w:rPr>
          <w:rFonts w:ascii="Times New Roman" w:hAnsi="Times New Roman" w:eastAsia="楷体" w:cs="Times New Roman"/>
          <w:color w:val="auto"/>
          <w:sz w:val="36"/>
          <w:szCs w:val="36"/>
        </w:rPr>
        <w:tab/>
      </w:r>
    </w:p>
    <w:p>
      <w:pPr>
        <w:jc w:val="center"/>
        <w:rPr>
          <w:rFonts w:ascii="Times New Roman" w:hAnsi="Times New Roman" w:eastAsia="楷体" w:cs="Times New Roman"/>
          <w:color w:val="auto"/>
          <w:sz w:val="36"/>
          <w:szCs w:val="36"/>
        </w:rPr>
      </w:pPr>
      <w:r>
        <w:rPr>
          <w:rFonts w:ascii="Times New Roman" w:hAnsi="Times New Roman" w:eastAsia="楷体" w:cs="Times New Roman"/>
          <w:color w:val="auto"/>
          <w:sz w:val="36"/>
          <w:szCs w:val="36"/>
        </w:rPr>
        <w:t>中华人民共和国生态环境部制</w:t>
      </w:r>
    </w:p>
    <w:p>
      <w:pPr>
        <w:rPr>
          <w:rFonts w:ascii="Times New Roman" w:hAnsi="Times New Roman" w:cs="Times New Roman"/>
          <w:color w:val="auto"/>
        </w:rPr>
      </w:pPr>
      <w:r>
        <w:rPr>
          <w:rFonts w:ascii="Times New Roman" w:hAnsi="Times New Roman" w:eastAsia="楷体" w:cs="Times New Roman"/>
          <w:color w:val="auto"/>
          <w:sz w:val="36"/>
          <w:szCs w:val="36"/>
        </w:rPr>
        <w:br w:type="page"/>
      </w:r>
    </w:p>
    <w:p>
      <w:pPr>
        <w:rPr>
          <w:rFonts w:ascii="Times New Roman" w:hAnsi="Times New Roman" w:cs="Times New Roman"/>
          <w:color w:val="auto"/>
        </w:rPr>
      </w:pPr>
      <w:r>
        <w:rPr>
          <w:rFonts w:ascii="Times New Roman" w:hAnsi="Times New Roman" w:cs="Times New Roman"/>
          <w:color w:val="auto"/>
        </w:rPr>
        <w:br w:type="page"/>
      </w:r>
    </w:p>
    <w:p>
      <w:pPr>
        <w:pStyle w:val="20"/>
        <w:rPr>
          <w:rFonts w:ascii="Times New Roman" w:hAnsi="Times New Roman" w:cs="Times New Roman"/>
          <w:color w:val="auto"/>
        </w:rPr>
        <w:sectPr>
          <w:footerReference r:id="rId3" w:type="default"/>
          <w:pgSz w:w="11906" w:h="16838"/>
          <w:pgMar w:top="1701" w:right="1531" w:bottom="1701" w:left="1531" w:header="851" w:footer="1077" w:gutter="0"/>
          <w:cols w:space="720" w:num="1"/>
          <w:docGrid w:linePitch="312" w:charSpace="0"/>
        </w:sectPr>
      </w:pPr>
    </w:p>
    <w:p>
      <w:pPr>
        <w:pStyle w:val="2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5"/>
        <w:gridCol w:w="1673"/>
        <w:gridCol w:w="1702"/>
        <w:gridCol w:w="43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建设项目名称</w:t>
            </w:r>
          </w:p>
        </w:tc>
        <w:tc>
          <w:tcPr>
            <w:tcW w:w="7765" w:type="dxa"/>
            <w:gridSpan w:val="3"/>
            <w:vAlign w:val="center"/>
          </w:tcPr>
          <w:p>
            <w:pPr>
              <w:adjustRightInd w:val="0"/>
              <w:snapToGrid w:val="0"/>
              <w:jc w:val="center"/>
              <w:rPr>
                <w:rFonts w:ascii="Times New Roman" w:hAnsi="Times New Roman" w:eastAsia="宋体" w:cs="Times New Roman"/>
                <w:color w:val="auto"/>
                <w:sz w:val="24"/>
                <w:lang w:eastAsia="zh-CN"/>
              </w:rPr>
            </w:pPr>
            <w:r>
              <w:rPr>
                <w:rFonts w:hint="eastAsia" w:cs="Times New Roman"/>
                <w:color w:val="auto"/>
                <w:kern w:val="0"/>
                <w:sz w:val="24"/>
                <w:lang w:eastAsia="zh-CN"/>
              </w:rPr>
              <w:t>四川鸿鹏新材料有限公司生物质气化炉集中供热项目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项目代码</w:t>
            </w:r>
          </w:p>
        </w:tc>
        <w:tc>
          <w:tcPr>
            <w:tcW w:w="7765" w:type="dxa"/>
            <w:gridSpan w:val="3"/>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b/>
                <w:color w:val="auto"/>
                <w:sz w:val="24"/>
              </w:rPr>
            </w:pPr>
            <w:r>
              <w:rPr>
                <w:rFonts w:ascii="Times New Roman" w:hAnsi="Times New Roman" w:cs="Times New Roman"/>
                <w:color w:val="auto"/>
                <w:sz w:val="24"/>
                <w:lang w:eastAsia="zh-CN"/>
              </w:rPr>
              <w:t xml:space="preserve">【2403-510923-04-01-239147】FGQB-0058 </w:t>
            </w:r>
            <w:r>
              <w:rPr>
                <w:rFonts w:ascii="Times New Roman" w:hAnsi="Times New Roman" w:cs="Times New Roman"/>
                <w:color w:val="auto"/>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建设单位联系人</w:t>
            </w:r>
          </w:p>
        </w:tc>
        <w:tc>
          <w:tcPr>
            <w:tcW w:w="167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 w:val="24"/>
                <w:lang w:val="en-US" w:eastAsia="zh-CN"/>
              </w:rPr>
            </w:pPr>
            <w:r>
              <w:rPr>
                <w:rFonts w:hint="eastAsia" w:cs="Times New Roman"/>
                <w:color w:val="auto"/>
                <w:sz w:val="24"/>
                <w:lang w:val="en-US" w:eastAsia="zh-CN"/>
              </w:rPr>
              <w:t>谭**</w:t>
            </w:r>
          </w:p>
        </w:tc>
        <w:tc>
          <w:tcPr>
            <w:tcW w:w="170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联系方式</w:t>
            </w:r>
          </w:p>
        </w:tc>
        <w:tc>
          <w:tcPr>
            <w:tcW w:w="439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sz w:val="24"/>
                <w:lang w:val="en-US" w:eastAsia="zh-CN"/>
              </w:rPr>
            </w:pPr>
            <w:r>
              <w:rPr>
                <w:rFonts w:ascii="Times New Roman" w:hAnsi="Times New Roman" w:cs="Times New Roman"/>
                <w:color w:val="auto"/>
                <w:sz w:val="24"/>
              </w:rPr>
              <w:t>18</w:t>
            </w:r>
            <w:r>
              <w:rPr>
                <w:rFonts w:hint="eastAsia" w:cs="Times New Roman"/>
                <w:color w:val="auto"/>
                <w:sz w:val="24"/>
                <w:lang w:val="en-US" w:eastAsia="zh-CN"/>
              </w:rPr>
              <w:t>********</w:t>
            </w:r>
            <w:r>
              <w:rPr>
                <w:rFonts w:ascii="Times New Roman" w:hAnsi="Times New Roman" w:cs="Times New Roman"/>
                <w:color w:val="auto"/>
                <w:sz w:val="24"/>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建设地点</w:t>
            </w:r>
          </w:p>
        </w:tc>
        <w:tc>
          <w:tcPr>
            <w:tcW w:w="7765" w:type="dxa"/>
            <w:gridSpan w:val="3"/>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sz w:val="24"/>
                <w:lang w:eastAsia="zh-CN"/>
              </w:rPr>
            </w:pPr>
            <w:r>
              <w:rPr>
                <w:rFonts w:ascii="Times New Roman" w:hAnsi="Times New Roman" w:cs="Times New Roman"/>
                <w:color w:val="auto"/>
                <w:sz w:val="24"/>
                <w:lang w:eastAsia="zh-CN"/>
              </w:rPr>
              <w:t>四川省遂宁市大英县隆盛镇席家沟村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地理坐标</w:t>
            </w:r>
          </w:p>
        </w:tc>
        <w:tc>
          <w:tcPr>
            <w:tcW w:w="7765" w:type="dxa"/>
            <w:gridSpan w:val="3"/>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 w:val="24"/>
              </w:rPr>
            </w:pPr>
            <w:r>
              <w:rPr>
                <w:rFonts w:ascii="Times New Roman" w:hAnsi="Times New Roman" w:cs="Times New Roman"/>
                <w:color w:val="auto"/>
                <w:sz w:val="24"/>
              </w:rPr>
              <w:t>（</w:t>
            </w:r>
            <w:r>
              <w:rPr>
                <w:rFonts w:ascii="Times New Roman" w:hAnsi="Times New Roman" w:cs="Times New Roman"/>
                <w:color w:val="auto"/>
                <w:sz w:val="24"/>
                <w:u w:val="single"/>
              </w:rPr>
              <w:t xml:space="preserve"> 10</w:t>
            </w:r>
            <w:r>
              <w:rPr>
                <w:rFonts w:ascii="Times New Roman" w:hAnsi="Times New Roman" w:cs="Times New Roman"/>
                <w:color w:val="auto"/>
                <w:sz w:val="24"/>
                <w:u w:val="single"/>
                <w:lang w:val="en-US" w:eastAsia="zh-CN"/>
              </w:rPr>
              <w:t>5</w:t>
            </w:r>
            <w:r>
              <w:rPr>
                <w:rFonts w:ascii="Times New Roman" w:hAnsi="Times New Roman" w:cs="Times New Roman"/>
                <w:color w:val="auto"/>
                <w:sz w:val="24"/>
                <w:u w:val="single"/>
              </w:rPr>
              <w:t xml:space="preserve"> </w:t>
            </w:r>
            <w:r>
              <w:rPr>
                <w:rFonts w:ascii="Times New Roman" w:hAnsi="Times New Roman" w:cs="Times New Roman"/>
                <w:color w:val="auto"/>
                <w:sz w:val="24"/>
              </w:rPr>
              <w:t>度</w:t>
            </w:r>
            <w:r>
              <w:rPr>
                <w:rFonts w:ascii="Times New Roman" w:hAnsi="Times New Roman" w:cs="Times New Roman"/>
                <w:color w:val="auto"/>
                <w:sz w:val="24"/>
                <w:u w:val="single"/>
              </w:rPr>
              <w:t xml:space="preserve"> </w:t>
            </w:r>
            <w:r>
              <w:rPr>
                <w:rFonts w:ascii="Times New Roman" w:hAnsi="Times New Roman" w:cs="Times New Roman"/>
                <w:color w:val="auto"/>
                <w:sz w:val="24"/>
                <w:u w:val="single"/>
                <w:lang w:val="en-US" w:eastAsia="zh-CN"/>
              </w:rPr>
              <w:t>18</w:t>
            </w:r>
            <w:r>
              <w:rPr>
                <w:rFonts w:ascii="Times New Roman" w:hAnsi="Times New Roman" w:cs="Times New Roman"/>
                <w:color w:val="auto"/>
                <w:sz w:val="24"/>
                <w:u w:val="single"/>
              </w:rPr>
              <w:t xml:space="preserve"> </w:t>
            </w:r>
            <w:r>
              <w:rPr>
                <w:rFonts w:ascii="Times New Roman" w:hAnsi="Times New Roman" w:cs="Times New Roman"/>
                <w:color w:val="auto"/>
                <w:sz w:val="24"/>
              </w:rPr>
              <w:t>分</w:t>
            </w:r>
            <w:r>
              <w:rPr>
                <w:rFonts w:ascii="Times New Roman" w:hAnsi="Times New Roman" w:cs="Times New Roman"/>
                <w:color w:val="auto"/>
                <w:sz w:val="24"/>
                <w:u w:val="single"/>
              </w:rPr>
              <w:t xml:space="preserve"> </w:t>
            </w:r>
            <w:r>
              <w:rPr>
                <w:rFonts w:ascii="Times New Roman" w:hAnsi="Times New Roman" w:cs="Times New Roman"/>
                <w:color w:val="auto"/>
                <w:sz w:val="24"/>
                <w:u w:val="single"/>
                <w:lang w:val="en-US" w:eastAsia="zh-CN"/>
              </w:rPr>
              <w:t>30.294</w:t>
            </w:r>
            <w:r>
              <w:rPr>
                <w:rFonts w:ascii="Times New Roman" w:hAnsi="Times New Roman" w:cs="Times New Roman"/>
                <w:color w:val="auto"/>
                <w:sz w:val="24"/>
                <w:u w:val="single"/>
              </w:rPr>
              <w:t xml:space="preserve"> </w:t>
            </w:r>
            <w:r>
              <w:rPr>
                <w:rFonts w:ascii="Times New Roman" w:hAnsi="Times New Roman" w:cs="Times New Roman"/>
                <w:color w:val="auto"/>
                <w:sz w:val="24"/>
              </w:rPr>
              <w:t>秒，</w:t>
            </w:r>
            <w:r>
              <w:rPr>
                <w:rFonts w:ascii="Times New Roman" w:hAnsi="Times New Roman" w:cs="Times New Roman"/>
                <w:color w:val="auto"/>
                <w:sz w:val="24"/>
                <w:u w:val="single"/>
              </w:rPr>
              <w:t xml:space="preserve"> 30 </w:t>
            </w:r>
            <w:r>
              <w:rPr>
                <w:rFonts w:ascii="Times New Roman" w:hAnsi="Times New Roman" w:cs="Times New Roman"/>
                <w:color w:val="auto"/>
                <w:sz w:val="24"/>
              </w:rPr>
              <w:t>度</w:t>
            </w:r>
            <w:r>
              <w:rPr>
                <w:rFonts w:ascii="Times New Roman" w:hAnsi="Times New Roman" w:cs="Times New Roman"/>
                <w:color w:val="auto"/>
                <w:sz w:val="24"/>
                <w:u w:val="single"/>
              </w:rPr>
              <w:t xml:space="preserve"> </w:t>
            </w:r>
            <w:r>
              <w:rPr>
                <w:rFonts w:ascii="Times New Roman" w:hAnsi="Times New Roman" w:cs="Times New Roman"/>
                <w:color w:val="auto"/>
                <w:sz w:val="24"/>
                <w:u w:val="single"/>
                <w:lang w:val="en-US" w:eastAsia="zh-CN"/>
              </w:rPr>
              <w:t>36</w:t>
            </w:r>
            <w:r>
              <w:rPr>
                <w:rFonts w:ascii="Times New Roman" w:hAnsi="Times New Roman" w:cs="Times New Roman"/>
                <w:color w:val="auto"/>
                <w:sz w:val="24"/>
                <w:u w:val="single"/>
              </w:rPr>
              <w:t xml:space="preserve"> </w:t>
            </w:r>
            <w:r>
              <w:rPr>
                <w:rFonts w:ascii="Times New Roman" w:hAnsi="Times New Roman" w:cs="Times New Roman"/>
                <w:color w:val="auto"/>
                <w:sz w:val="24"/>
              </w:rPr>
              <w:t>分</w:t>
            </w:r>
            <w:r>
              <w:rPr>
                <w:rFonts w:ascii="Times New Roman" w:hAnsi="Times New Roman" w:cs="Times New Roman"/>
                <w:color w:val="auto"/>
                <w:sz w:val="24"/>
                <w:u w:val="single"/>
              </w:rPr>
              <w:t xml:space="preserve"> 1.321  </w:t>
            </w:r>
            <w:r>
              <w:rPr>
                <w:rFonts w:ascii="Times New Roman" w:hAnsi="Times New Roman" w:cs="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国民经济</w:t>
            </w:r>
          </w:p>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行业类别</w:t>
            </w:r>
          </w:p>
        </w:tc>
        <w:tc>
          <w:tcPr>
            <w:tcW w:w="167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D4430热力生产和供应</w:t>
            </w:r>
          </w:p>
        </w:tc>
        <w:tc>
          <w:tcPr>
            <w:tcW w:w="170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bookmarkStart w:id="0" w:name="_Hlk49843745"/>
            <w:r>
              <w:rPr>
                <w:rFonts w:ascii="Times New Roman" w:hAnsi="Times New Roman" w:cs="Times New Roman"/>
                <w:color w:val="auto"/>
                <w:sz w:val="24"/>
              </w:rPr>
              <w:t>建设项目</w:t>
            </w:r>
          </w:p>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行业类别</w:t>
            </w:r>
            <w:bookmarkEnd w:id="0"/>
          </w:p>
        </w:tc>
        <w:tc>
          <w:tcPr>
            <w:tcW w:w="4390" w:type="dxa"/>
            <w:tcBorders>
              <w:top w:val="single" w:color="auto" w:sz="4" w:space="0"/>
              <w:left w:val="single" w:color="auto" w:sz="4" w:space="0"/>
              <w:right w:val="single" w:color="auto" w:sz="8" w:space="0"/>
            </w:tcBorders>
            <w:vAlign w:val="center"/>
          </w:tcPr>
          <w:p>
            <w:pPr>
              <w:adjustRightInd w:val="0"/>
              <w:snapToGrid w:val="0"/>
              <w:jc w:val="center"/>
              <w:rPr>
                <w:rFonts w:hint="eastAsia" w:ascii="Times New Roman" w:hAnsi="Times New Roman" w:eastAsia="宋体" w:cs="Times New Roman"/>
                <w:color w:val="auto"/>
                <w:sz w:val="24"/>
                <w:lang w:val="en-US" w:eastAsia="zh-CN"/>
              </w:rPr>
            </w:pPr>
            <w:r>
              <w:rPr>
                <w:rFonts w:ascii="Times New Roman" w:hAnsi="Times New Roman" w:cs="Times New Roman"/>
                <w:color w:val="auto"/>
                <w:sz w:val="24"/>
              </w:rPr>
              <w:t>四十一、</w:t>
            </w:r>
            <w:r>
              <w:rPr>
                <w:rFonts w:hint="eastAsia" w:cs="Times New Roman"/>
                <w:color w:val="auto"/>
                <w:sz w:val="24"/>
                <w:lang w:val="en-US" w:eastAsia="zh-CN"/>
              </w:rPr>
              <w:t>电力、热力生产和供应业91</w:t>
            </w:r>
            <w:r>
              <w:rPr>
                <w:rFonts w:ascii="Times New Roman" w:hAnsi="Times New Roman" w:cs="Times New Roman"/>
                <w:color w:val="auto"/>
                <w:sz w:val="24"/>
              </w:rPr>
              <w:t>热力生产和供应</w:t>
            </w:r>
            <w:r>
              <w:rPr>
                <w:rFonts w:hint="eastAsia" w:cs="Times New Roman"/>
                <w:color w:val="auto"/>
                <w:sz w:val="24"/>
                <w:lang w:val="en-US" w:eastAsia="zh-CN"/>
              </w:rPr>
              <w:t>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建设性质</w:t>
            </w:r>
          </w:p>
        </w:tc>
        <w:tc>
          <w:tcPr>
            <w:tcW w:w="1673" w:type="dxa"/>
            <w:tcBorders>
              <w:top w:val="single" w:color="auto" w:sz="4" w:space="0"/>
              <w:left w:val="single" w:color="auto" w:sz="4" w:space="0"/>
              <w:right w:val="single" w:color="auto" w:sz="4" w:space="0"/>
            </w:tcBorders>
            <w:vAlign w:val="center"/>
          </w:tcPr>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新建（迁建）</w:t>
            </w:r>
          </w:p>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改建</w:t>
            </w:r>
          </w:p>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扩建</w:t>
            </w:r>
          </w:p>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技术改造</w:t>
            </w:r>
          </w:p>
        </w:tc>
        <w:tc>
          <w:tcPr>
            <w:tcW w:w="170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建设项目</w:t>
            </w:r>
          </w:p>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申报情形</w:t>
            </w:r>
          </w:p>
        </w:tc>
        <w:tc>
          <w:tcPr>
            <w:tcW w:w="4390" w:type="dxa"/>
            <w:tcBorders>
              <w:top w:val="single" w:color="auto" w:sz="4" w:space="0"/>
              <w:left w:val="single" w:color="auto" w:sz="4" w:space="0"/>
              <w:right w:val="single" w:color="auto" w:sz="8" w:space="0"/>
            </w:tcBorders>
            <w:vAlign w:val="center"/>
          </w:tcPr>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 xml:space="preserve">首次申报项目             </w:t>
            </w:r>
          </w:p>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不予批准后再次申报项目</w:t>
            </w:r>
          </w:p>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 xml:space="preserve">超五年重新审核项目     </w:t>
            </w:r>
          </w:p>
          <w:p>
            <w:pPr>
              <w:jc w:val="left"/>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项目审批（核准/</w:t>
            </w:r>
          </w:p>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备案）部门（选填）</w:t>
            </w:r>
          </w:p>
        </w:tc>
        <w:tc>
          <w:tcPr>
            <w:tcW w:w="167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 w:val="24"/>
                <w:lang w:eastAsia="zh-CN"/>
              </w:rPr>
            </w:pPr>
            <w:r>
              <w:rPr>
                <w:rFonts w:hint="eastAsia" w:cs="Times New Roman"/>
                <w:color w:val="auto"/>
                <w:sz w:val="24"/>
                <w:lang w:eastAsia="zh-CN"/>
              </w:rPr>
              <w:t>大英县发展和改革局</w:t>
            </w:r>
          </w:p>
        </w:tc>
        <w:tc>
          <w:tcPr>
            <w:tcW w:w="170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项目审批（核准/</w:t>
            </w:r>
          </w:p>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备案）文号（选填）</w:t>
            </w:r>
          </w:p>
        </w:tc>
        <w:tc>
          <w:tcPr>
            <w:tcW w:w="439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川投资备</w:t>
            </w:r>
            <w:r>
              <w:rPr>
                <w:rFonts w:ascii="Times New Roman" w:hAnsi="Times New Roman" w:cs="Times New Roman"/>
                <w:color w:val="auto"/>
                <w:sz w:val="24"/>
                <w:lang w:eastAsia="zh-CN"/>
              </w:rPr>
              <w:t xml:space="preserve">【2403-510923-04-01-239147】FGQB-0058 </w:t>
            </w:r>
            <w:r>
              <w:rPr>
                <w:rFonts w:ascii="Times New Roman" w:hAnsi="Times New Roman" w:cs="Times New Roman"/>
                <w:color w:val="auto"/>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总投资（万元）</w:t>
            </w:r>
          </w:p>
        </w:tc>
        <w:tc>
          <w:tcPr>
            <w:tcW w:w="167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lang w:val="en-US" w:eastAsia="zh-CN"/>
              </w:rPr>
              <w:t>1</w:t>
            </w:r>
            <w:r>
              <w:rPr>
                <w:rFonts w:ascii="Times New Roman" w:hAnsi="Times New Roman" w:cs="Times New Roman"/>
                <w:color w:val="auto"/>
                <w:sz w:val="24"/>
              </w:rPr>
              <w:t>000</w:t>
            </w:r>
          </w:p>
        </w:tc>
        <w:tc>
          <w:tcPr>
            <w:tcW w:w="1702" w:type="dxa"/>
            <w:tcBorders>
              <w:top w:val="single" w:color="auto" w:sz="4" w:space="0"/>
              <w:left w:val="single" w:color="auto" w:sz="4"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环保投资（万元）</w:t>
            </w:r>
          </w:p>
        </w:tc>
        <w:tc>
          <w:tcPr>
            <w:tcW w:w="439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sz w:val="24"/>
                <w:lang w:val="en-US" w:eastAsia="zh-CN"/>
              </w:rPr>
            </w:pPr>
            <w:r>
              <w:rPr>
                <w:rFonts w:hint="eastAsia" w:cs="Times New Roman"/>
                <w:color w:val="auto"/>
                <w:sz w:val="24"/>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环保投资占比（%）</w:t>
            </w:r>
          </w:p>
        </w:tc>
        <w:tc>
          <w:tcPr>
            <w:tcW w:w="1673"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 w:val="24"/>
              </w:rPr>
            </w:pPr>
            <w:r>
              <w:rPr>
                <w:rFonts w:hint="eastAsia" w:cs="Times New Roman"/>
                <w:color w:val="auto"/>
                <w:sz w:val="24"/>
                <w:lang w:val="en-US" w:eastAsia="zh-CN"/>
              </w:rPr>
              <w:t>20</w:t>
            </w:r>
            <w:r>
              <w:rPr>
                <w:rFonts w:ascii="Times New Roman" w:hAnsi="Times New Roman" w:cs="Times New Roman"/>
                <w:color w:val="auto"/>
                <w:sz w:val="24"/>
              </w:rPr>
              <w:t>%</w:t>
            </w:r>
          </w:p>
        </w:tc>
        <w:tc>
          <w:tcPr>
            <w:tcW w:w="1702" w:type="dxa"/>
            <w:tcBorders>
              <w:top w:val="single" w:color="auto" w:sz="4" w:space="0"/>
              <w:left w:val="single" w:color="auto" w:sz="4"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施工工期</w:t>
            </w:r>
          </w:p>
        </w:tc>
        <w:tc>
          <w:tcPr>
            <w:tcW w:w="439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5" w:type="dxa"/>
            <w:tcBorders>
              <w:top w:val="single" w:color="auto" w:sz="4" w:space="0"/>
              <w:left w:val="single" w:color="auto" w:sz="8"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是否开工建设</w:t>
            </w:r>
          </w:p>
        </w:tc>
        <w:tc>
          <w:tcPr>
            <w:tcW w:w="1673" w:type="dxa"/>
            <w:tcBorders>
              <w:top w:val="single" w:color="auto" w:sz="4" w:space="0"/>
              <w:left w:val="single" w:color="auto" w:sz="4" w:space="0"/>
              <w:right w:val="single" w:color="auto" w:sz="4" w:space="0"/>
            </w:tcBorders>
            <w:vAlign w:val="center"/>
          </w:tcPr>
          <w:p>
            <w:pPr>
              <w:adjustRightInd w:val="0"/>
              <w:snapToGrid w:val="0"/>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否</w:t>
            </w:r>
          </w:p>
          <w:p>
            <w:pPr>
              <w:adjustRightInd w:val="0"/>
              <w:snapToGrid w:val="0"/>
              <w:rPr>
                <w:rFonts w:ascii="Times New Roman" w:hAnsi="Times New Roman" w:cs="Times New Roman"/>
                <w:color w:val="auto"/>
                <w:sz w:val="24"/>
              </w:rPr>
            </w:pPr>
            <w:r>
              <w:rPr>
                <w:rFonts w:hint="eastAsia" w:cs="Times New Roman"/>
                <w:color w:val="auto"/>
                <w:sz w:val="24"/>
                <w:lang w:eastAsia="zh-CN"/>
              </w:rPr>
              <w:t>□</w:t>
            </w:r>
            <w:r>
              <w:rPr>
                <w:rFonts w:ascii="Times New Roman" w:hAnsi="Times New Roman" w:cs="Times New Roman"/>
                <w:color w:val="auto"/>
                <w:sz w:val="24"/>
              </w:rPr>
              <w:t>是：</w:t>
            </w:r>
            <w:r>
              <w:rPr>
                <w:rFonts w:ascii="Times New Roman" w:hAnsi="Times New Roman" w:cs="Times New Roman"/>
                <w:color w:val="auto"/>
                <w:sz w:val="24"/>
                <w:u w:val="single"/>
              </w:rPr>
              <w:t xml:space="preserve">             </w:t>
            </w:r>
          </w:p>
        </w:tc>
        <w:tc>
          <w:tcPr>
            <w:tcW w:w="1702" w:type="dxa"/>
            <w:tcBorders>
              <w:top w:val="single" w:color="auto" w:sz="4" w:space="0"/>
              <w:left w:val="single" w:color="auto" w:sz="4" w:space="0"/>
              <w:right w:val="single" w:color="auto" w:sz="4" w:space="0"/>
            </w:tcBorders>
            <w:tcMar>
              <w:top w:w="16" w:type="dxa"/>
              <w:left w:w="16" w:type="dxa"/>
              <w:right w:w="16" w:type="dxa"/>
            </w:tcMar>
            <w:vAlign w:val="center"/>
          </w:tcPr>
          <w:p>
            <w:pPr>
              <w:adjustRightInd w:val="0"/>
              <w:snapToGrid w:val="0"/>
              <w:jc w:val="center"/>
              <w:rPr>
                <w:rFonts w:ascii="Times New Roman" w:hAnsi="Times New Roman" w:cs="Times New Roman"/>
                <w:color w:val="auto"/>
                <w:spacing w:val="-6"/>
                <w:sz w:val="24"/>
              </w:rPr>
            </w:pPr>
            <w:r>
              <w:rPr>
                <w:rFonts w:ascii="Times New Roman" w:hAnsi="Times New Roman" w:cs="Times New Roman"/>
                <w:color w:val="auto"/>
                <w:spacing w:val="-6"/>
                <w:sz w:val="24"/>
              </w:rPr>
              <w:t>用地（用海）</w:t>
            </w:r>
          </w:p>
          <w:p>
            <w:pPr>
              <w:adjustRightInd w:val="0"/>
              <w:snapToGrid w:val="0"/>
              <w:jc w:val="center"/>
              <w:rPr>
                <w:rFonts w:ascii="Times New Roman" w:hAnsi="Times New Roman" w:cs="Times New Roman"/>
                <w:color w:val="auto"/>
                <w:sz w:val="24"/>
              </w:rPr>
            </w:pPr>
            <w:r>
              <w:rPr>
                <w:rFonts w:ascii="Times New Roman" w:hAnsi="Times New Roman" w:cs="Times New Roman"/>
                <w:color w:val="auto"/>
                <w:spacing w:val="-6"/>
                <w:sz w:val="24"/>
              </w:rPr>
              <w:t>面积（m</w:t>
            </w:r>
            <w:r>
              <w:rPr>
                <w:rFonts w:ascii="Times New Roman" w:hAnsi="Times New Roman" w:cs="Times New Roman"/>
                <w:color w:val="auto"/>
                <w:spacing w:val="-6"/>
                <w:sz w:val="24"/>
                <w:vertAlign w:val="superscript"/>
              </w:rPr>
              <w:t>2</w:t>
            </w:r>
            <w:r>
              <w:rPr>
                <w:rFonts w:ascii="Times New Roman" w:hAnsi="Times New Roman" w:cs="Times New Roman"/>
                <w:color w:val="auto"/>
                <w:spacing w:val="-6"/>
                <w:sz w:val="24"/>
              </w:rPr>
              <w:t>）</w:t>
            </w:r>
          </w:p>
        </w:tc>
        <w:tc>
          <w:tcPr>
            <w:tcW w:w="439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eastAsia="宋体" w:cs="Times New Roman"/>
                <w:color w:val="auto"/>
                <w:sz w:val="24"/>
                <w:lang w:val="en-US" w:eastAsia="zh-CN"/>
              </w:rPr>
            </w:pPr>
            <w:r>
              <w:rPr>
                <w:rFonts w:ascii="Times New Roman" w:hAnsi="Times New Roman" w:cs="Times New Roman"/>
                <w:color w:val="auto"/>
                <w:sz w:val="24"/>
                <w:lang w:val="en-US" w:eastAsia="zh-CN"/>
              </w:rPr>
              <w:t>7000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1105" w:type="dxa"/>
            <w:tcBorders>
              <w:top w:val="single" w:color="auto" w:sz="4" w:space="0"/>
              <w:left w:val="single" w:color="auto" w:sz="8" w:space="0"/>
              <w:right w:val="single" w:color="auto" w:sz="4" w:space="0"/>
            </w:tcBorders>
            <w:tcMar>
              <w:left w:w="108" w:type="dxa"/>
            </w:tcMar>
            <w:vAlign w:val="center"/>
          </w:tcPr>
          <w:p>
            <w:pPr>
              <w:autoSpaceDE w:val="0"/>
              <w:autoSpaceDN w:val="0"/>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专项评价设置情况</w:t>
            </w:r>
          </w:p>
        </w:tc>
        <w:tc>
          <w:tcPr>
            <w:tcW w:w="7765" w:type="dxa"/>
            <w:gridSpan w:val="3"/>
            <w:tcBorders>
              <w:top w:val="single" w:color="auto" w:sz="4" w:space="0"/>
              <w:left w:val="single" w:color="auto" w:sz="4" w:space="0"/>
              <w:right w:val="single" w:color="auto" w:sz="8" w:space="0"/>
            </w:tcBorders>
            <w:tcMar>
              <w:left w:w="108" w:type="dxa"/>
            </w:tcMar>
            <w:vAlign w:val="center"/>
          </w:tcPr>
          <w:p>
            <w:pPr>
              <w:pStyle w:val="47"/>
              <w:autoSpaceDE w:val="0"/>
              <w:autoSpaceDN w:val="0"/>
              <w:spacing w:before="120" w:beforeLines="50"/>
              <w:jc w:val="left"/>
              <w:rPr>
                <w:rStyle w:val="29"/>
                <w:rFonts w:ascii="Times New Roman" w:hAnsi="Times New Roman" w:cs="Times New Roman"/>
                <w:color w:val="auto"/>
                <w:kern w:val="0"/>
                <w:sz w:val="24"/>
                <w:szCs w:val="22"/>
              </w:rPr>
            </w:pPr>
            <w:r>
              <w:rPr>
                <w:rStyle w:val="29"/>
                <w:rFonts w:ascii="Times New Roman" w:hAnsi="Times New Roman" w:cs="Times New Roman"/>
                <w:color w:val="auto"/>
                <w:kern w:val="0"/>
                <w:sz w:val="24"/>
                <w:szCs w:val="22"/>
              </w:rPr>
              <w:t>根据《建设项目环境影响报告表编制技术指南（污染影响类）（试行）》，专项评价设置原则及本项目设置情况如下：</w:t>
            </w:r>
          </w:p>
          <w:p>
            <w:pPr>
              <w:pStyle w:val="47"/>
              <w:autoSpaceDE w:val="0"/>
              <w:autoSpaceDN w:val="0"/>
              <w:rPr>
                <w:rStyle w:val="29"/>
                <w:rFonts w:ascii="Times New Roman" w:hAnsi="Times New Roman" w:cs="Times New Roman"/>
                <w:b/>
                <w:bCs/>
                <w:color w:val="auto"/>
                <w:kern w:val="0"/>
              </w:rPr>
            </w:pPr>
            <w:r>
              <w:rPr>
                <w:rStyle w:val="29"/>
                <w:rFonts w:ascii="Times New Roman" w:hAnsi="Times New Roman" w:cs="Times New Roman"/>
                <w:b/>
                <w:bCs/>
                <w:color w:val="auto"/>
                <w:kern w:val="0"/>
              </w:rPr>
              <w:t>表1-1专项评价设置原则及情况</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383"/>
              <w:gridCol w:w="3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16" w:type="pct"/>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专项评价的类别</w:t>
                  </w:r>
                </w:p>
              </w:tc>
              <w:tc>
                <w:tcPr>
                  <w:tcW w:w="2212" w:type="pct"/>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设置原则</w:t>
                  </w:r>
                </w:p>
              </w:tc>
              <w:tc>
                <w:tcPr>
                  <w:tcW w:w="1970" w:type="pct"/>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大气</w:t>
                  </w:r>
                </w:p>
              </w:tc>
              <w:tc>
                <w:tcPr>
                  <w:tcW w:w="2212" w:type="pct"/>
                  <w:tcBorders>
                    <w:top w:val="single" w:color="auto" w:sz="4" w:space="0"/>
                    <w:left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排放废气含有毒有害污染物</w:t>
                  </w:r>
                  <w:r>
                    <w:rPr>
                      <w:rStyle w:val="29"/>
                      <w:rFonts w:ascii="Times New Roman" w:hAnsi="Times New Roman" w:cs="Times New Roman"/>
                      <w:snapToGrid w:val="0"/>
                      <w:color w:val="auto"/>
                      <w:kern w:val="0"/>
                      <w:vertAlign w:val="superscript"/>
                    </w:rPr>
                    <w:t>1</w:t>
                  </w:r>
                  <w:r>
                    <w:rPr>
                      <w:rStyle w:val="29"/>
                      <w:rFonts w:ascii="Times New Roman" w:hAnsi="Times New Roman" w:cs="Times New Roman"/>
                      <w:snapToGrid w:val="0"/>
                      <w:color w:val="auto"/>
                      <w:kern w:val="0"/>
                    </w:rPr>
                    <w:t>、二噁英、苯并[a]芘、氰化物、氯气且厂界外500米范围内有环境空气保护目标</w:t>
                  </w:r>
                  <w:r>
                    <w:rPr>
                      <w:rStyle w:val="29"/>
                      <w:rFonts w:ascii="Times New Roman" w:hAnsi="Times New Roman" w:cs="Times New Roman"/>
                      <w:snapToGrid w:val="0"/>
                      <w:color w:val="auto"/>
                      <w:kern w:val="0"/>
                      <w:vertAlign w:val="superscript"/>
                    </w:rPr>
                    <w:t>2</w:t>
                  </w:r>
                  <w:r>
                    <w:rPr>
                      <w:rStyle w:val="29"/>
                      <w:rFonts w:ascii="Times New Roman" w:hAnsi="Times New Roman" w:cs="Times New Roman"/>
                      <w:snapToGrid w:val="0"/>
                      <w:color w:val="auto"/>
                      <w:kern w:val="0"/>
                    </w:rPr>
                    <w:t>的建设项目</w:t>
                  </w:r>
                </w:p>
              </w:tc>
              <w:tc>
                <w:tcPr>
                  <w:tcW w:w="1970" w:type="pct"/>
                  <w:tcBorders>
                    <w:top w:val="single" w:color="auto" w:sz="4" w:space="0"/>
                    <w:lef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本项目排放废气为颗粒物、</w:t>
                  </w:r>
                  <w:r>
                    <w:rPr>
                      <w:rStyle w:val="29"/>
                      <w:rFonts w:hint="eastAsia" w:cs="Times New Roman"/>
                      <w:snapToGrid w:val="0"/>
                      <w:color w:val="auto"/>
                      <w:kern w:val="0"/>
                      <w:lang w:val="en-US" w:eastAsia="zh-CN"/>
                    </w:rPr>
                    <w:t>氮氧化物等</w:t>
                  </w:r>
                  <w:r>
                    <w:rPr>
                      <w:rStyle w:val="29"/>
                      <w:rFonts w:ascii="Times New Roman" w:hAnsi="Times New Roman" w:cs="Times New Roman"/>
                      <w:snapToGrid w:val="0"/>
                      <w:color w:val="auto"/>
                      <w:kern w:val="0"/>
                    </w:rPr>
                    <w:t>，不涉及《有毒有害大气污染物名录》中有毒有害污染物、二噁英、苯并[a]芘、氰化物、氯气，因此，</w:t>
                  </w:r>
                  <w:r>
                    <w:rPr>
                      <w:rStyle w:val="29"/>
                      <w:rFonts w:ascii="Times New Roman" w:hAnsi="Times New Roman" w:cs="Times New Roman"/>
                      <w:b/>
                      <w:snapToGrid w:val="0"/>
                      <w:color w:val="auto"/>
                      <w:kern w:val="0"/>
                    </w:rPr>
                    <w:t>项目无需设置大气专项评价。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16" w:type="pct"/>
                  <w:tcBorders>
                    <w:top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地表水</w:t>
                  </w:r>
                </w:p>
              </w:tc>
              <w:tc>
                <w:tcPr>
                  <w:tcW w:w="2212" w:type="pct"/>
                  <w:tcBorders>
                    <w:top w:val="single" w:color="auto" w:sz="4" w:space="0"/>
                    <w:left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新增工业废水直排建设项目（槽罐车外送污水处理厂的除外）；新增废水直排的污水集中处理厂</w:t>
                  </w:r>
                </w:p>
              </w:tc>
              <w:tc>
                <w:tcPr>
                  <w:tcW w:w="1970" w:type="pct"/>
                  <w:tcBorders>
                    <w:top w:val="single" w:color="auto" w:sz="4" w:space="0"/>
                    <w:lef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锅炉污水同员工生活污水经现有预处理池处理后排入园区管网，排入</w:t>
                  </w:r>
                  <w:r>
                    <w:rPr>
                      <w:rStyle w:val="29"/>
                      <w:rFonts w:hint="eastAsia" w:cs="Times New Roman"/>
                      <w:snapToGrid w:val="0"/>
                      <w:color w:val="auto"/>
                      <w:kern w:val="0"/>
                      <w:lang w:eastAsia="zh-CN"/>
                    </w:rPr>
                    <w:t>大英经济开发区污水处理厂</w:t>
                  </w:r>
                  <w:r>
                    <w:rPr>
                      <w:rStyle w:val="29"/>
                      <w:rFonts w:ascii="Times New Roman" w:hAnsi="Times New Roman" w:cs="Times New Roman"/>
                      <w:snapToGrid w:val="0"/>
                      <w:color w:val="auto"/>
                      <w:kern w:val="0"/>
                    </w:rPr>
                    <w:t>处理达到《地表水环境质量标准》（GB3838-2002）中Ⅲ类水体标准后排入郪江。因此，</w:t>
                  </w:r>
                  <w:r>
                    <w:rPr>
                      <w:rStyle w:val="29"/>
                      <w:rFonts w:ascii="Times New Roman" w:hAnsi="Times New Roman" w:cs="Times New Roman"/>
                      <w:b/>
                      <w:snapToGrid w:val="0"/>
                      <w:color w:val="auto"/>
                      <w:kern w:val="0"/>
                    </w:rPr>
                    <w:t>本项目无需设置地表水专项评价。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环境风险</w:t>
                  </w:r>
                </w:p>
              </w:tc>
              <w:tc>
                <w:tcPr>
                  <w:tcW w:w="2212" w:type="pct"/>
                  <w:tcBorders>
                    <w:top w:val="single" w:color="auto" w:sz="4" w:space="0"/>
                    <w:left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有毒有害和易燃易爆危险物质存储量超过临界量</w:t>
                  </w:r>
                  <w:r>
                    <w:rPr>
                      <w:rStyle w:val="29"/>
                      <w:rFonts w:ascii="Times New Roman" w:hAnsi="Times New Roman" w:cs="Times New Roman"/>
                      <w:snapToGrid w:val="0"/>
                      <w:color w:val="auto"/>
                      <w:kern w:val="0"/>
                      <w:vertAlign w:val="superscript"/>
                    </w:rPr>
                    <w:t>3</w:t>
                  </w:r>
                  <w:r>
                    <w:rPr>
                      <w:rStyle w:val="29"/>
                      <w:rFonts w:ascii="Times New Roman" w:hAnsi="Times New Roman" w:cs="Times New Roman"/>
                      <w:snapToGrid w:val="0"/>
                      <w:color w:val="auto"/>
                      <w:kern w:val="0"/>
                    </w:rPr>
                    <w:t>的建设项目</w:t>
                  </w:r>
                </w:p>
              </w:tc>
              <w:tc>
                <w:tcPr>
                  <w:tcW w:w="1970" w:type="pct"/>
                  <w:tcBorders>
                    <w:top w:val="single" w:color="auto" w:sz="4" w:space="0"/>
                    <w:lef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根据第四章环境风险评价可知，本项目Q&lt;1，风险潜势为I，即有毒有害和易燃易爆危险物质存储量未超过临界量，</w:t>
                  </w:r>
                  <w:r>
                    <w:rPr>
                      <w:rStyle w:val="29"/>
                      <w:rFonts w:ascii="Times New Roman" w:hAnsi="Times New Roman" w:cs="Times New Roman"/>
                      <w:b/>
                      <w:snapToGrid w:val="0"/>
                      <w:color w:val="auto"/>
                      <w:kern w:val="0"/>
                    </w:rPr>
                    <w:t>无需设置环境风险专项评价。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生态</w:t>
                  </w:r>
                </w:p>
              </w:tc>
              <w:tc>
                <w:tcPr>
                  <w:tcW w:w="2212" w:type="pct"/>
                  <w:tcBorders>
                    <w:top w:val="single" w:color="auto" w:sz="4" w:space="0"/>
                    <w:left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取水口下游500米范围内有重要水生生物的自然产卵场、索饵场、越冬场和洄游通道的新增河道取水的污染类建设项目</w:t>
                  </w:r>
                </w:p>
              </w:tc>
              <w:tc>
                <w:tcPr>
                  <w:tcW w:w="1970" w:type="pct"/>
                  <w:tcBorders>
                    <w:top w:val="single" w:color="auto" w:sz="4" w:space="0"/>
                    <w:lef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本项目不涉及取水口，</w:t>
                  </w:r>
                  <w:r>
                    <w:rPr>
                      <w:rStyle w:val="29"/>
                      <w:rFonts w:ascii="Times New Roman" w:hAnsi="Times New Roman" w:cs="Times New Roman"/>
                      <w:b/>
                      <w:snapToGrid w:val="0"/>
                      <w:color w:val="auto"/>
                      <w:kern w:val="0"/>
                    </w:rPr>
                    <w:t>无需设置生态专项评价。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b/>
                      <w:bCs/>
                      <w:snapToGrid w:val="0"/>
                      <w:color w:val="auto"/>
                      <w:kern w:val="0"/>
                    </w:rPr>
                  </w:pPr>
                  <w:r>
                    <w:rPr>
                      <w:rStyle w:val="29"/>
                      <w:rFonts w:ascii="Times New Roman" w:hAnsi="Times New Roman" w:cs="Times New Roman"/>
                      <w:b/>
                      <w:bCs/>
                      <w:snapToGrid w:val="0"/>
                      <w:color w:val="auto"/>
                      <w:kern w:val="0"/>
                    </w:rPr>
                    <w:t>海洋</w:t>
                  </w:r>
                </w:p>
              </w:tc>
              <w:tc>
                <w:tcPr>
                  <w:tcW w:w="2212" w:type="pct"/>
                  <w:tcBorders>
                    <w:top w:val="single" w:color="auto" w:sz="4" w:space="0"/>
                    <w:left w:val="single" w:color="auto" w:sz="4" w:space="0"/>
                    <w:righ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直接向海排放污染物的海洋工程建设项目</w:t>
                  </w:r>
                </w:p>
              </w:tc>
              <w:tc>
                <w:tcPr>
                  <w:tcW w:w="1970" w:type="pct"/>
                  <w:tcBorders>
                    <w:top w:val="single" w:color="auto" w:sz="4" w:space="0"/>
                    <w:left w:val="single" w:color="auto" w:sz="4" w:space="0"/>
                  </w:tcBorders>
                  <w:vAlign w:val="center"/>
                </w:tcPr>
                <w:p>
                  <w:pPr>
                    <w:pStyle w:val="47"/>
                    <w:spacing w:line="240" w:lineRule="auto"/>
                    <w:ind w:firstLine="0" w:firstLineChars="0"/>
                    <w:rPr>
                      <w:rStyle w:val="29"/>
                      <w:rFonts w:ascii="Times New Roman" w:hAnsi="Times New Roman" w:cs="Times New Roman"/>
                      <w:snapToGrid w:val="0"/>
                      <w:color w:val="auto"/>
                      <w:kern w:val="0"/>
                    </w:rPr>
                  </w:pPr>
                  <w:r>
                    <w:rPr>
                      <w:rStyle w:val="29"/>
                      <w:rFonts w:ascii="Times New Roman" w:hAnsi="Times New Roman" w:cs="Times New Roman"/>
                      <w:snapToGrid w:val="0"/>
                      <w:color w:val="auto"/>
                      <w:kern w:val="0"/>
                    </w:rPr>
                    <w:t>本项目不涉及海洋工程，</w:t>
                  </w:r>
                  <w:r>
                    <w:rPr>
                      <w:rStyle w:val="29"/>
                      <w:rFonts w:ascii="Times New Roman" w:hAnsi="Times New Roman" w:cs="Times New Roman"/>
                      <w:b/>
                      <w:snapToGrid w:val="0"/>
                      <w:color w:val="auto"/>
                      <w:kern w:val="0"/>
                    </w:rPr>
                    <w:t>无需设置海洋生态评价。</w:t>
                  </w:r>
                </w:p>
              </w:tc>
            </w:tr>
          </w:tbl>
          <w:p>
            <w:pPr>
              <w:autoSpaceDE w:val="0"/>
              <w:autoSpaceDN w:val="0"/>
              <w:rPr>
                <w:rFonts w:ascii="Times New Roman" w:hAnsi="Times New Roman" w:cs="Times New Roman"/>
                <w:color w:val="auto"/>
              </w:rPr>
            </w:pPr>
            <w:r>
              <w:rPr>
                <w:rFonts w:ascii="Times New Roman" w:hAnsi="Times New Roman" w:cs="Times New Roman"/>
                <w:color w:val="auto"/>
              </w:rPr>
              <w:t>注：1.废气中有毒有害污染物指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p>
            <w:pPr>
              <w:autoSpaceDE w:val="0"/>
              <w:autoSpaceDN w:val="0"/>
              <w:adjustRightInd w:val="0"/>
              <w:snapToGrid w:val="0"/>
              <w:jc w:val="center"/>
              <w:rPr>
                <w:rFonts w:ascii="Times New Roman" w:hAnsi="Times New Roman" w:cs="Times New Roman"/>
                <w:color w:val="auto"/>
                <w:kern w:val="0"/>
                <w:sz w:val="24"/>
              </w:rPr>
            </w:pPr>
            <w:r>
              <w:rPr>
                <w:rFonts w:ascii="Times New Roman" w:hAnsi="Times New Roman" w:cs="Times New Roman"/>
                <w:b/>
                <w:bCs/>
                <w:color w:val="auto"/>
              </w:rPr>
              <w:t>综上所述，本项目无需设置专项评价。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72" w:hRule="atLeast"/>
          <w:jc w:val="center"/>
        </w:trPr>
        <w:tc>
          <w:tcPr>
            <w:tcW w:w="1105" w:type="dxa"/>
            <w:tcBorders>
              <w:top w:val="single" w:color="auto" w:sz="4" w:space="0"/>
              <w:left w:val="single" w:color="auto" w:sz="8" w:space="0"/>
              <w:right w:val="single" w:color="auto" w:sz="4" w:space="0"/>
            </w:tcBorders>
            <w:tcMar>
              <w:left w:w="108" w:type="dxa"/>
            </w:tcMar>
            <w:vAlign w:val="center"/>
          </w:tcPr>
          <w:p>
            <w:pPr>
              <w:autoSpaceDE w:val="0"/>
              <w:autoSpaceDN w:val="0"/>
              <w:adjustRightInd w:val="0"/>
              <w:snapToGrid w:val="0"/>
              <w:jc w:val="center"/>
              <w:rPr>
                <w:rFonts w:ascii="Times New Roman" w:hAnsi="Times New Roman" w:cs="Times New Roman"/>
                <w:color w:val="auto"/>
                <w:kern w:val="0"/>
                <w:sz w:val="24"/>
              </w:rPr>
            </w:pPr>
            <w:r>
              <w:rPr>
                <w:rFonts w:ascii="Times New Roman" w:hAnsi="Times New Roman" w:cs="Times New Roman"/>
                <w:color w:val="auto"/>
                <w:sz w:val="24"/>
              </w:rPr>
              <w:t>规划情况</w:t>
            </w:r>
          </w:p>
        </w:tc>
        <w:tc>
          <w:tcPr>
            <w:tcW w:w="7765" w:type="dxa"/>
            <w:gridSpan w:val="3"/>
            <w:tcBorders>
              <w:top w:val="single" w:color="auto" w:sz="4" w:space="0"/>
              <w:left w:val="single" w:color="auto" w:sz="4" w:space="0"/>
              <w:right w:val="single" w:color="auto" w:sz="8" w:space="0"/>
            </w:tcBorders>
            <w:tcMar>
              <w:left w:w="108" w:type="dxa"/>
            </w:tcMar>
          </w:tcPr>
          <w:p>
            <w:pPr>
              <w:autoSpaceDE w:val="0"/>
              <w:autoSpaceDN w:val="0"/>
              <w:adjustRightInd w:val="0"/>
              <w:snapToGrid w:val="0"/>
              <w:spacing w:line="360" w:lineRule="auto"/>
              <w:rPr>
                <w:rStyle w:val="29"/>
                <w:rFonts w:ascii="Times New Roman" w:hAnsi="Times New Roman" w:cs="Times New Roman"/>
                <w:color w:val="auto"/>
                <w:kern w:val="0"/>
                <w:sz w:val="24"/>
                <w:szCs w:val="22"/>
                <w:u w:val="none"/>
              </w:rPr>
            </w:pPr>
            <w:r>
              <w:rPr>
                <w:rStyle w:val="29"/>
                <w:rFonts w:ascii="Times New Roman" w:hAnsi="Times New Roman" w:cs="Times New Roman"/>
                <w:color w:val="auto"/>
                <w:kern w:val="0"/>
                <w:sz w:val="24"/>
                <w:szCs w:val="22"/>
                <w:u w:val="none"/>
              </w:rPr>
              <w:t>规划名称：《四川大英经济开发区控制性详细规划》；</w:t>
            </w:r>
          </w:p>
          <w:p>
            <w:pPr>
              <w:autoSpaceDE w:val="0"/>
              <w:autoSpaceDN w:val="0"/>
              <w:adjustRightInd w:val="0"/>
              <w:snapToGrid w:val="0"/>
              <w:spacing w:line="360" w:lineRule="auto"/>
              <w:rPr>
                <w:rStyle w:val="29"/>
                <w:rFonts w:ascii="Times New Roman" w:hAnsi="Times New Roman" w:cs="Times New Roman"/>
                <w:color w:val="auto"/>
                <w:kern w:val="0"/>
                <w:sz w:val="24"/>
                <w:szCs w:val="22"/>
                <w:u w:val="none"/>
              </w:rPr>
            </w:pPr>
            <w:r>
              <w:rPr>
                <w:rStyle w:val="29"/>
                <w:rFonts w:ascii="Times New Roman" w:hAnsi="Times New Roman" w:cs="Times New Roman"/>
                <w:color w:val="auto"/>
                <w:kern w:val="0"/>
                <w:sz w:val="24"/>
                <w:szCs w:val="22"/>
                <w:u w:val="none"/>
              </w:rPr>
              <w:t>审批机关：四川省人民政府；</w:t>
            </w:r>
          </w:p>
          <w:p>
            <w:pPr>
              <w:autoSpaceDE w:val="0"/>
              <w:autoSpaceDN w:val="0"/>
              <w:adjustRightInd w:val="0"/>
              <w:snapToGrid w:val="0"/>
              <w:spacing w:line="360" w:lineRule="auto"/>
              <w:rPr>
                <w:rFonts w:ascii="Times New Roman" w:hAnsi="Times New Roman" w:cs="Times New Roman"/>
                <w:color w:val="auto"/>
                <w:kern w:val="0"/>
                <w:sz w:val="24"/>
              </w:rPr>
            </w:pPr>
            <w:r>
              <w:rPr>
                <w:rStyle w:val="29"/>
                <w:rFonts w:ascii="Times New Roman" w:hAnsi="Times New Roman" w:cs="Times New Roman"/>
                <w:color w:val="auto"/>
                <w:kern w:val="0"/>
                <w:sz w:val="24"/>
                <w:szCs w:val="22"/>
                <w:u w:val="none"/>
              </w:rPr>
              <w:t>审批文号：川府函〔2019〕20号。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5" w:hRule="atLeast"/>
          <w:jc w:val="center"/>
        </w:trPr>
        <w:tc>
          <w:tcPr>
            <w:tcW w:w="1105" w:type="dxa"/>
            <w:tcBorders>
              <w:top w:val="single" w:color="auto" w:sz="4" w:space="0"/>
              <w:left w:val="single" w:color="auto" w:sz="8" w:space="0"/>
              <w:right w:val="single" w:color="auto" w:sz="4" w:space="0"/>
            </w:tcBorders>
            <w:tcMar>
              <w:left w:w="108" w:type="dxa"/>
            </w:tcMar>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规划环境影响</w:t>
            </w:r>
          </w:p>
          <w:p>
            <w:pPr>
              <w:adjustRightInd w:val="0"/>
              <w:snapToGrid w:val="0"/>
              <w:jc w:val="center"/>
              <w:rPr>
                <w:rFonts w:ascii="Times New Roman" w:hAnsi="Times New Roman" w:cs="Times New Roman"/>
                <w:color w:val="auto"/>
                <w:kern w:val="0"/>
                <w:sz w:val="24"/>
              </w:rPr>
            </w:pPr>
            <w:r>
              <w:rPr>
                <w:rFonts w:ascii="Times New Roman" w:hAnsi="Times New Roman" w:cs="Times New Roman"/>
                <w:color w:val="auto"/>
                <w:sz w:val="24"/>
              </w:rPr>
              <w:t>评价情况</w:t>
            </w:r>
          </w:p>
        </w:tc>
        <w:tc>
          <w:tcPr>
            <w:tcW w:w="7765" w:type="dxa"/>
            <w:gridSpan w:val="3"/>
            <w:tcBorders>
              <w:top w:val="single" w:color="auto" w:sz="4" w:space="0"/>
              <w:left w:val="single" w:color="auto" w:sz="4" w:space="0"/>
              <w:right w:val="single" w:color="auto" w:sz="8" w:space="0"/>
            </w:tcBorders>
            <w:tcMar>
              <w:left w:w="108" w:type="dxa"/>
            </w:tcMar>
            <w:vAlign w:val="center"/>
          </w:tcPr>
          <w:p>
            <w:pPr>
              <w:adjustRightInd w:val="0"/>
              <w:snapToGrid w:val="0"/>
              <w:spacing w:line="360" w:lineRule="auto"/>
              <w:rPr>
                <w:rFonts w:hint="eastAsia" w:ascii="Times New Roman" w:hAnsi="Times New Roman" w:eastAsia="宋体" w:cs="Times New Roman"/>
                <w:color w:val="auto"/>
                <w:kern w:val="0"/>
                <w:sz w:val="24"/>
                <w:lang w:eastAsia="zh-CN"/>
              </w:rPr>
            </w:pPr>
            <w:r>
              <w:rPr>
                <w:rFonts w:ascii="Times New Roman" w:hAnsi="Times New Roman" w:cs="Times New Roman"/>
                <w:color w:val="auto"/>
                <w:kern w:val="0"/>
                <w:sz w:val="24"/>
              </w:rPr>
              <w:t>文件名称：《四川大英经济开发区规划环境影响报告书》</w:t>
            </w:r>
            <w:r>
              <w:rPr>
                <w:rFonts w:hint="eastAsia" w:cs="Times New Roman"/>
                <w:color w:val="auto"/>
                <w:kern w:val="0"/>
                <w:sz w:val="24"/>
                <w:lang w:eastAsia="zh-CN"/>
              </w:rPr>
              <w:t>；</w:t>
            </w:r>
          </w:p>
          <w:p>
            <w:pPr>
              <w:adjustRightInd w:val="0"/>
              <w:snapToGrid w:val="0"/>
              <w:spacing w:line="360" w:lineRule="auto"/>
              <w:rPr>
                <w:rFonts w:ascii="Times New Roman" w:hAnsi="Times New Roman" w:cs="Times New Roman"/>
                <w:color w:val="auto"/>
                <w:kern w:val="0"/>
                <w:sz w:val="24"/>
              </w:rPr>
            </w:pPr>
            <w:r>
              <w:rPr>
                <w:rFonts w:ascii="Times New Roman" w:hAnsi="Times New Roman" w:cs="Times New Roman"/>
                <w:color w:val="auto"/>
                <w:kern w:val="0"/>
                <w:sz w:val="24"/>
              </w:rPr>
              <w:t>审查机关：四川省</w:t>
            </w:r>
            <w:r>
              <w:rPr>
                <w:rFonts w:ascii="Times New Roman" w:hAnsi="Times New Roman" w:cs="Times New Roman"/>
                <w:color w:val="auto"/>
                <w:kern w:val="0"/>
                <w:sz w:val="24"/>
                <w:lang w:val="en-US" w:eastAsia="zh-CN"/>
              </w:rPr>
              <w:t>生态环境</w:t>
            </w:r>
            <w:r>
              <w:rPr>
                <w:rFonts w:ascii="Times New Roman" w:hAnsi="Times New Roman" w:cs="Times New Roman"/>
                <w:color w:val="auto"/>
                <w:kern w:val="0"/>
                <w:sz w:val="24"/>
              </w:rPr>
              <w:t>厅；</w:t>
            </w:r>
          </w:p>
          <w:p>
            <w:pPr>
              <w:adjustRightInd w:val="0"/>
              <w:snapToGrid w:val="0"/>
              <w:spacing w:line="360" w:lineRule="auto"/>
              <w:rPr>
                <w:rFonts w:ascii="Times New Roman" w:hAnsi="Times New Roman" w:cs="Times New Roman"/>
                <w:color w:val="auto"/>
                <w:kern w:val="0"/>
                <w:sz w:val="24"/>
              </w:rPr>
            </w:pPr>
            <w:r>
              <w:rPr>
                <w:rFonts w:ascii="Times New Roman" w:hAnsi="Times New Roman" w:cs="Times New Roman"/>
                <w:color w:val="auto"/>
                <w:kern w:val="0"/>
                <w:sz w:val="24"/>
              </w:rPr>
              <w:t>审批文件名称及文号：</w:t>
            </w:r>
            <w:r>
              <w:rPr>
                <w:rFonts w:hint="eastAsia"/>
                <w:color w:val="auto"/>
                <w:sz w:val="24"/>
              </w:rPr>
              <w:t>《四川省生态环境厅关于&lt;四川大英经济开发区规划环境影响报告书&gt;的审查意见》（川环建函[2019]48号）</w:t>
            </w:r>
            <w:r>
              <w:rPr>
                <w:rFonts w:hint="eastAsia"/>
                <w:color w:val="auto"/>
                <w:sz w:val="24"/>
                <w:lang w:eastAsia="zh-CN"/>
              </w:rPr>
              <w:t>，</w:t>
            </w:r>
            <w:r>
              <w:rPr>
                <w:rFonts w:hint="eastAsia"/>
                <w:color w:val="auto"/>
                <w:sz w:val="24"/>
              </w:rPr>
              <w:t>2019年8月8日</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5" w:type="dxa"/>
            <w:tcBorders>
              <w:top w:val="single" w:color="auto" w:sz="4" w:space="0"/>
              <w:left w:val="single" w:color="auto" w:sz="8" w:space="0"/>
              <w:right w:val="single" w:color="auto" w:sz="4" w:space="0"/>
            </w:tcBorders>
            <w:tcMar>
              <w:left w:w="108" w:type="dxa"/>
            </w:tcMar>
            <w:vAlign w:val="center"/>
          </w:tcPr>
          <w:p>
            <w:pPr>
              <w:autoSpaceDE w:val="0"/>
              <w:autoSpaceDN w:val="0"/>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规划及规划环境</w:t>
            </w:r>
          </w:p>
          <w:p>
            <w:pPr>
              <w:autoSpaceDE w:val="0"/>
              <w:autoSpaceDN w:val="0"/>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影响评价符合性分析</w:t>
            </w:r>
          </w:p>
        </w:tc>
        <w:tc>
          <w:tcPr>
            <w:tcW w:w="7765" w:type="dxa"/>
            <w:gridSpan w:val="3"/>
            <w:tcBorders>
              <w:top w:val="single" w:color="auto" w:sz="4" w:space="0"/>
              <w:left w:val="single" w:color="auto" w:sz="4" w:space="0"/>
              <w:right w:val="single" w:color="auto" w:sz="8" w:space="0"/>
            </w:tcBorders>
            <w:tcMar>
              <w:left w:w="108"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四川大英经济开发区位于大英县城东侧，西连射大路，东至隆盛镇打儿窝，南邻达成铁路，北至成南高速公路，规划面积16.0平方公里，包括石油化工产业园（梁家坝和红花坝片区）、盐化工产业园（聂家坝片区）、机电轻纺产业园（马家坝片区和景家坝片区、梨子坝-尚家坝片区）、电子产业园（聂家坝片区）及配套居住组团，经开区主导发展石化、纺织、机电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cs="Times New Roman"/>
                <w:b/>
                <w:bCs/>
                <w:iCs/>
                <w:color w:val="auto"/>
                <w:sz w:val="24"/>
                <w:szCs w:val="24"/>
              </w:rPr>
            </w:pPr>
            <w:r>
              <w:rPr>
                <w:rFonts w:ascii="Times New Roman" w:hAnsi="Times New Roman" w:eastAsia="宋体" w:cs="Times New Roman"/>
                <w:color w:val="auto"/>
                <w:sz w:val="24"/>
              </w:rPr>
              <w:t>2019年1月，经开区经省人民政府批准设立为省级经济开发区（川府函〔2019〕20号），2019年8月，取得了《四川省生态环境厅关于&lt;四川大英经济开发区规划环境影响报告书&gt;的审查意见》（川环建函〔2019〕48号）。</w:t>
            </w:r>
          </w:p>
          <w:p>
            <w:pPr>
              <w:spacing w:line="360" w:lineRule="auto"/>
              <w:rPr>
                <w:rFonts w:ascii="Times New Roman" w:hAnsi="Times New Roman" w:eastAsia="宋体" w:cs="Times New Roman"/>
                <w:b/>
                <w:bCs/>
                <w:color w:val="auto"/>
                <w:sz w:val="24"/>
              </w:rPr>
            </w:pPr>
            <w:r>
              <w:rPr>
                <w:rFonts w:hint="eastAsia" w:cs="Times New Roman"/>
                <w:b/>
                <w:bCs/>
                <w:color w:val="auto"/>
                <w:sz w:val="24"/>
                <w:lang w:val="en-US" w:eastAsia="zh-CN"/>
              </w:rPr>
              <w:t>1</w:t>
            </w:r>
            <w:r>
              <w:rPr>
                <w:rFonts w:ascii="Times New Roman" w:hAnsi="Times New Roman" w:cs="Times New Roman"/>
                <w:b/>
                <w:bCs/>
                <w:color w:val="auto"/>
                <w:sz w:val="24"/>
                <w:lang w:val="en-US" w:eastAsia="zh-CN"/>
              </w:rPr>
              <w:t>、</w:t>
            </w:r>
            <w:r>
              <w:rPr>
                <w:rFonts w:ascii="Times New Roman" w:hAnsi="Times New Roman" w:eastAsia="宋体" w:cs="Times New Roman"/>
                <w:b/>
                <w:bCs/>
                <w:color w:val="auto"/>
                <w:sz w:val="24"/>
              </w:rPr>
              <w:t>与</w:t>
            </w:r>
            <w:r>
              <w:rPr>
                <w:rFonts w:ascii="Times New Roman" w:hAnsi="Times New Roman" w:eastAsia="宋体" w:cs="Times New Roman"/>
                <w:b/>
                <w:color w:val="auto"/>
                <w:kern w:val="0"/>
                <w:sz w:val="24"/>
                <w:szCs w:val="24"/>
                <w:highlight w:val="none"/>
              </w:rPr>
              <w:t>四川大英经济开发区的规划</w:t>
            </w:r>
            <w:r>
              <w:rPr>
                <w:rFonts w:ascii="Times New Roman" w:hAnsi="Times New Roman" w:eastAsia="宋体" w:cs="Times New Roman"/>
                <w:b/>
                <w:bCs/>
                <w:color w:val="auto"/>
                <w:sz w:val="24"/>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lang w:val="en-US" w:eastAsia="zh-CN"/>
              </w:rPr>
            </w:pPr>
            <w:r>
              <w:rPr>
                <w:rFonts w:ascii="Times New Roman" w:hAnsi="Times New Roman" w:eastAsia="宋体" w:cs="Times New Roman"/>
                <w:color w:val="auto"/>
                <w:sz w:val="24"/>
                <w:lang w:val="en-US" w:eastAsia="zh-CN"/>
              </w:rPr>
              <w:t>（1）与四川大英经济开发区总体规划符合性分析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四川大英经济开发区产业定位为：以石化、纺织、机电等产业为主的综合型园区。</w:t>
            </w:r>
          </w:p>
          <w:p>
            <w:pPr>
              <w:keepNext w:val="0"/>
              <w:keepLines w:val="0"/>
              <w:pageBreakBefore w:val="0"/>
              <w:widowControl w:val="0"/>
              <w:kinsoku/>
              <w:wordWrap/>
              <w:overflowPunct/>
              <w:topLinePunct w:val="0"/>
              <w:autoSpaceDE/>
              <w:autoSpaceDN/>
              <w:bidi w:val="0"/>
              <w:adjustRightInd/>
              <w:snapToGrid/>
              <w:spacing w:line="360" w:lineRule="auto"/>
              <w:contextualSpacing/>
              <w:textAlignment w:val="auto"/>
              <w:rPr>
                <w:rFonts w:ascii="Times New Roman" w:hAnsi="Times New Roman" w:eastAsia="宋体" w:cs="Times New Roman"/>
                <w:color w:val="auto"/>
                <w:sz w:val="24"/>
              </w:rPr>
            </w:pPr>
            <w:r>
              <w:rPr>
                <w:rFonts w:ascii="Times New Roman" w:hAnsi="Times New Roman" w:cs="Times New Roman"/>
                <w:color w:val="auto"/>
                <w:sz w:val="21"/>
              </w:rPr>
              <mc:AlternateContent>
                <mc:Choice Requires="wps">
                  <w:drawing>
                    <wp:anchor distT="0" distB="0" distL="113665" distR="113665" simplePos="0" relativeHeight="251659264" behindDoc="0" locked="0" layoutInCell="1" allowOverlap="1">
                      <wp:simplePos x="0" y="0"/>
                      <wp:positionH relativeFrom="column">
                        <wp:posOffset>3264535</wp:posOffset>
                      </wp:positionH>
                      <wp:positionV relativeFrom="paragraph">
                        <wp:posOffset>194310</wp:posOffset>
                      </wp:positionV>
                      <wp:extent cx="1009015" cy="399415"/>
                      <wp:effectExtent l="0" t="0" r="0" b="0"/>
                      <wp:wrapNone/>
                      <wp:docPr id="1" name="矩形标注 12"/>
                      <wp:cNvGraphicFramePr/>
                      <a:graphic xmlns:a="http://schemas.openxmlformats.org/drawingml/2006/main">
                        <a:graphicData uri="http://schemas.microsoft.com/office/word/2010/wordprocessingShape">
                          <wps:wsp>
                            <wps:cNvSpPr/>
                            <wps:spPr>
                              <a:xfrm>
                                <a:off x="0" y="0"/>
                                <a:ext cx="1009014" cy="399415"/>
                              </a:xfrm>
                              <a:prstGeom prst="wedgeRectCallout">
                                <a:avLst>
                                  <a:gd name="adj1" fmla="val -9532"/>
                                  <a:gd name="adj2" fmla="val 165101"/>
                                </a:avLst>
                              </a:prstGeom>
                              <a:noFill/>
                              <a:ln w="25400" cap="flat" cmpd="sng">
                                <a:solidFill>
                                  <a:srgbClr val="000000"/>
                                </a:solidFill>
                                <a:prstDash val="solid"/>
                                <a:round/>
                              </a:ln>
                            </wps:spPr>
                            <wps:txbx>
                              <w:txbxContent>
                                <w:p>
                                  <w:pPr>
                                    <w:jc w:val="center"/>
                                    <w:rPr>
                                      <w:rFonts w:eastAsia="宋体"/>
                                      <w:color w:val="FF0000"/>
                                      <w:lang w:val="en-US" w:eastAsia="zh-CN"/>
                                    </w:rPr>
                                  </w:pPr>
                                  <w:r>
                                    <w:rPr>
                                      <w:rFonts w:hint="eastAsia"/>
                                      <w:color w:val="FF0000"/>
                                      <w:lang w:val="en-US" w:eastAsia="zh-CN"/>
                                    </w:rPr>
                                    <w:t>本项目</w:t>
                                  </w:r>
                                </w:p>
                              </w:txbxContent>
                            </wps:txbx>
                            <wps:bodyPr vert="horz" wrap="square" lIns="91440" tIns="45720" rIns="91440" bIns="45720" anchor="ctr" anchorCtr="0" upright="0">
                              <a:noAutofit/>
                            </wps:bodyPr>
                          </wps:wsp>
                        </a:graphicData>
                      </a:graphic>
                    </wp:anchor>
                  </w:drawing>
                </mc:Choice>
                <mc:Fallback>
                  <w:pict>
                    <v:shape id="矩形标注 12" o:spid="_x0000_s1026" o:spt="61" type="#_x0000_t61" style="position:absolute;left:0pt;margin-left:257.05pt;margin-top:15.3pt;height:31.45pt;width:79.45pt;z-index:251659264;v-text-anchor:middle;mso-width-relative:page;mso-height-relative:page;" filled="f" stroked="t" coordsize="21600,21600" o:gfxdata="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gQFi1wAA&#10;AAkBAAAPAAAAAAAAAAEAIAAAACIAAABkcnMvZG93bnJldi54bWxQSwECFAAUAAAACACHTuJAfYgn&#10;zlgCAACVBAAADgAAAAAAAAABACAAAAAmAQAAZHJzL2Uyb0RvYy54bWxQSwUGAAAAAAYABgBZAQAA&#10;8AUAAAAA&#10;" adj="8741,46462">
                      <v:fill on="f" focussize="0,0"/>
                      <v:stroke weight="2pt" color="#000000" joinstyle="round"/>
                      <v:imagedata o:title=""/>
                      <o:lock v:ext="edit" aspectratio="f"/>
                      <v:textbox>
                        <w:txbxContent>
                          <w:p>
                            <w:pPr>
                              <w:jc w:val="center"/>
                              <w:rPr>
                                <w:rFonts w:eastAsia="宋体"/>
                                <w:color w:val="FF0000"/>
                                <w:lang w:val="en-US" w:eastAsia="zh-CN"/>
                              </w:rPr>
                            </w:pPr>
                            <w:r>
                              <w:rPr>
                                <w:rFonts w:hint="eastAsia"/>
                                <w:color w:val="FF0000"/>
                                <w:lang w:val="en-US" w:eastAsia="zh-CN"/>
                              </w:rPr>
                              <w:t>本项目</w:t>
                            </w:r>
                          </w:p>
                        </w:txbxContent>
                      </v:textbox>
                    </v:shape>
                  </w:pict>
                </mc:Fallback>
              </mc:AlternateContent>
            </w:r>
            <w:r>
              <w:rPr>
                <w:rFonts w:ascii="Times New Roman" w:hAnsi="Times New Roman" w:cs="Times New Roman"/>
                <w:color w:val="auto"/>
                <w:highlight w:val="none"/>
              </w:rPr>
              <w:drawing>
                <wp:inline distT="0" distB="0" distL="114300" distR="114300">
                  <wp:extent cx="4745990" cy="3513455"/>
                  <wp:effectExtent l="0" t="0" r="41" b="22"/>
                  <wp:docPr id="4" name="图片 8" descr="附图7 大英县工业集中发展区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附图7 大英县工业集中发展区功能分区规划图"/>
                          <pic:cNvPicPr>
                            <a:picLocks noChangeAspect="1"/>
                          </pic:cNvPicPr>
                        </pic:nvPicPr>
                        <pic:blipFill>
                          <a:blip r:embed="rId7"/>
                          <a:stretch>
                            <a:fillRect/>
                          </a:stretch>
                        </pic:blipFill>
                        <pic:spPr>
                          <a:xfrm>
                            <a:off x="0" y="0"/>
                            <a:ext cx="4745990" cy="3513455"/>
                          </a:xfrm>
                          <a:prstGeom prst="rect">
                            <a:avLst/>
                          </a:prstGeom>
                          <a:noFill/>
                          <a:ln w="9525" cap="flat" cmpd="sng">
                            <a:noFill/>
                            <a:prstDash val="solid"/>
                            <a:round/>
                          </a:ln>
                        </pic:spPr>
                      </pic:pic>
                    </a:graphicData>
                  </a:graphic>
                </wp:inline>
              </w:drawing>
            </w:r>
          </w:p>
          <w:p>
            <w:pPr>
              <w:pStyle w:val="84"/>
              <w:bidi w:val="0"/>
              <w:jc w:val="center"/>
              <w:rPr>
                <w:rFonts w:ascii="Times New Roman" w:hAnsi="Times New Roman" w:eastAsia="宋体" w:cs="Times New Roman"/>
                <w:b/>
                <w:bCs w:val="0"/>
                <w:color w:val="auto"/>
                <w:sz w:val="21"/>
                <w:szCs w:val="21"/>
                <w:highlight w:val="none"/>
                <w:lang w:val="en-US" w:eastAsia="zh-CN"/>
              </w:rPr>
            </w:pPr>
            <w:r>
              <w:rPr>
                <w:rFonts w:ascii="Times New Roman" w:hAnsi="Times New Roman" w:eastAsia="宋体" w:cs="Times New Roman"/>
                <w:b/>
                <w:bCs w:val="0"/>
                <w:color w:val="auto"/>
                <w:sz w:val="21"/>
                <w:szCs w:val="21"/>
                <w:highlight w:val="none"/>
                <w:lang w:val="en-US" w:eastAsia="zh-CN"/>
              </w:rPr>
              <w:t>图1-1园区功能分区图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cs="Times New Roman"/>
                <w:color w:val="auto"/>
                <w:sz w:val="24"/>
                <w:szCs w:val="24"/>
                <w:highlight w:val="none"/>
                <w:lang w:val="en-US" w:eastAsia="zh-CN"/>
              </w:rPr>
              <w:t>由上图可知</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lang w:val="en-US" w:eastAsia="zh-CN"/>
              </w:rPr>
              <w:t>本项目位于</w:t>
            </w:r>
            <w:r>
              <w:rPr>
                <w:rFonts w:hint="eastAsia" w:cs="Times New Roman"/>
                <w:color w:val="auto"/>
                <w:sz w:val="24"/>
                <w:szCs w:val="24"/>
                <w:highlight w:val="none"/>
                <w:lang w:val="en-US" w:eastAsia="zh-CN"/>
              </w:rPr>
              <w:t>石化</w:t>
            </w:r>
            <w:r>
              <w:rPr>
                <w:rFonts w:ascii="Times New Roman" w:hAnsi="Times New Roman" w:cs="Times New Roman"/>
                <w:color w:val="auto"/>
                <w:sz w:val="24"/>
                <w:szCs w:val="24"/>
                <w:highlight w:val="none"/>
              </w:rPr>
              <w:t>产业园</w:t>
            </w:r>
            <w:r>
              <w:rPr>
                <w:rFonts w:ascii="Times New Roman" w:hAnsi="Times New Roman" w:cs="Times New Roman"/>
                <w:color w:val="auto"/>
                <w:sz w:val="24"/>
                <w:szCs w:val="24"/>
                <w:highlight w:val="none"/>
                <w:lang w:val="en-US" w:eastAsia="zh-CN"/>
              </w:rPr>
              <w:t>内</w:t>
            </w:r>
            <w:r>
              <w:rPr>
                <w:rFonts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四川大英经济开发区环境准入条件及负面清单：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hint="eastAsia" w:cs="Times New Roman"/>
                <w:color w:val="auto"/>
                <w:sz w:val="24"/>
                <w:lang w:val="en-US" w:eastAsia="zh-CN"/>
              </w:rPr>
              <w:t>I、</w:t>
            </w:r>
            <w:r>
              <w:rPr>
                <w:rFonts w:ascii="Times New Roman" w:hAnsi="Times New Roman" w:eastAsia="宋体" w:cs="Times New Roman"/>
                <w:color w:val="auto"/>
                <w:sz w:val="24"/>
              </w:rPr>
              <w:t>鼓励类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1）</w:t>
            </w:r>
            <w:r>
              <w:rPr>
                <w:rFonts w:ascii="Times New Roman" w:hAnsi="Times New Roman" w:eastAsia="宋体" w:cs="Times New Roman"/>
                <w:color w:val="auto"/>
                <w:sz w:val="24"/>
              </w:rPr>
              <w:t>鼓励发展环境友好的化工新材料和机械制造产业。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lang w:val="en-US" w:eastAsia="zh-CN"/>
              </w:rPr>
              <w:t>2）</w:t>
            </w:r>
            <w:r>
              <w:rPr>
                <w:rFonts w:ascii="Times New Roman" w:hAnsi="Times New Roman" w:eastAsia="宋体" w:cs="Times New Roman"/>
                <w:b/>
                <w:bCs/>
                <w:color w:val="auto"/>
                <w:sz w:val="24"/>
              </w:rPr>
              <w:t>与规划区主导产业相配套产业，企业效益明显，对区域不造成明显污染，遵循清洁生产及循环经济的项目。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lang w:val="en-US" w:eastAsia="zh-CN"/>
              </w:rPr>
            </w:pPr>
            <w:r>
              <w:rPr>
                <w:rFonts w:hint="eastAsia" w:cs="Times New Roman"/>
                <w:color w:val="auto"/>
                <w:sz w:val="24"/>
                <w:lang w:val="en-US" w:eastAsia="zh-CN"/>
              </w:rPr>
              <w:t>II、负面清单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—总体原则—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①不符合国家行业准入条件的项目，列入国家产能过剩的项目，列入产业结构指导目录限制及禁止类的项目。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②不符合国家环保法律法规、各类污染防治规划及要求的项目。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③清洁生产水平不能达到行业清洁生产标准二级标准要求或低于全国同类企业先进清洁生产水平的项目。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④与园区生活空间冲突或经环保论证与周边企业、规划用地等环境不相容，与居住区紧邻且存在重大危险源的项目。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⑤禁止新建燃煤火电、金属冶炼、制浆（含废纸制浆）、屠宰、皮革鞣制、铅蓄电池制造、原油炼制、煤化工及发酵制药项目。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⑥禁止新引入印制电路板、集成电路制造、平板及柔性显示器件制造等耗、排水量大的项目。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⑦其他与规划环评要求不符的项目。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lang w:val="en-US" w:eastAsia="zh-CN"/>
              </w:rPr>
            </w:pPr>
            <w:r>
              <w:rPr>
                <w:rFonts w:hint="eastAsia" w:cs="Times New Roman"/>
                <w:color w:val="auto"/>
                <w:sz w:val="24"/>
                <w:lang w:val="en-US" w:eastAsia="zh-CN"/>
              </w:rPr>
              <w:t>—负面清单—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规划区项目建设首先应符合《产业结构调整指导目录（2019年本）》、《产业转移指导目录（2012年本）》、《外商投资产业指导目录（2015年修订）》、《环境保护综合名录（2017年版）》等国家产业政策的要求，其次要符合四川省及遂宁市制定的相关产业政策的要求。清单中包括两类，一类是禁止类，涉及的项目禁止新建、改扩建</w:t>
            </w:r>
            <w:r>
              <w:rPr>
                <w:rFonts w:ascii="Times New Roman" w:hAnsi="Times New Roman" w:eastAsia="宋体" w:cs="Times New Roman"/>
                <w:color w:val="auto"/>
                <w:sz w:val="24"/>
                <w:lang w:eastAsia="zh-CN"/>
              </w:rPr>
              <w:t>；</w:t>
            </w:r>
            <w:r>
              <w:rPr>
                <w:rFonts w:ascii="Times New Roman" w:hAnsi="Times New Roman" w:eastAsia="宋体" w:cs="Times New Roman"/>
                <w:color w:val="auto"/>
                <w:sz w:val="24"/>
              </w:rPr>
              <w:t>另一类是限制类，意为有条件发展的项目，现状已建项目可保留发展，禁止新建该类项目。</w:t>
            </w:r>
          </w:p>
          <w:p>
            <w:pPr>
              <w:pStyle w:val="2"/>
              <w:adjustRightInd w:val="0"/>
              <w:snapToGrid w:val="0"/>
              <w:spacing w:before="0" w:after="0" w:line="360" w:lineRule="auto"/>
              <w:ind w:firstLine="422" w:firstLineChars="200"/>
              <w:jc w:val="center"/>
              <w:rPr>
                <w:rFonts w:ascii="Times New Roman" w:hAnsi="Times New Roman" w:eastAsia="宋体" w:cs="Times New Roman"/>
                <w:b/>
                <w:bCs w:val="0"/>
                <w:color w:val="auto"/>
                <w:sz w:val="21"/>
                <w:szCs w:val="21"/>
                <w:lang w:val="en-US" w:eastAsia="zh-CN"/>
              </w:rPr>
            </w:pPr>
            <w:r>
              <w:rPr>
                <w:rFonts w:ascii="Times New Roman" w:hAnsi="Times New Roman" w:eastAsia="宋体" w:cs="Times New Roman"/>
                <w:b/>
                <w:bCs w:val="0"/>
                <w:color w:val="auto"/>
                <w:sz w:val="21"/>
                <w:szCs w:val="21"/>
                <w:lang w:val="en-US" w:eastAsia="zh-CN"/>
              </w:rPr>
              <w:t>表1</w:t>
            </w:r>
            <w:r>
              <w:rPr>
                <w:rFonts w:ascii="Times New Roman" w:hAnsi="Times New Roman" w:cs="Times New Roman"/>
                <w:b/>
                <w:bCs w:val="0"/>
                <w:color w:val="auto"/>
                <w:sz w:val="21"/>
                <w:szCs w:val="21"/>
                <w:lang w:val="en-US" w:eastAsia="zh-CN"/>
              </w:rPr>
              <w:t>-2</w:t>
            </w:r>
            <w:r>
              <w:rPr>
                <w:rFonts w:ascii="Times New Roman" w:hAnsi="Times New Roman" w:eastAsia="宋体" w:cs="Times New Roman"/>
                <w:b/>
                <w:bCs w:val="0"/>
                <w:color w:val="auto"/>
                <w:sz w:val="21"/>
                <w:szCs w:val="21"/>
                <w:lang w:val="en-US" w:eastAsia="zh-CN"/>
              </w:rPr>
              <w:t>四川大英经济开发区主导产业负面清单</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440"/>
              <w:gridCol w:w="3476"/>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行业</w:t>
                  </w:r>
                </w:p>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分类</w:t>
                  </w: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大/中类</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pacing w:val="-12"/>
                      <w:sz w:val="21"/>
                      <w:szCs w:val="21"/>
                    </w:rPr>
                  </w:pPr>
                  <w:r>
                    <w:rPr>
                      <w:rFonts w:ascii="Times New Roman" w:hAnsi="Times New Roman" w:cs="Times New Roman"/>
                      <w:b/>
                      <w:bCs/>
                      <w:color w:val="auto"/>
                      <w:spacing w:val="-12"/>
                      <w:sz w:val="21"/>
                      <w:szCs w:val="21"/>
                    </w:rPr>
                    <w:t>禁止类</w:t>
                  </w:r>
                </w:p>
              </w:tc>
              <w:tc>
                <w:tcPr>
                  <w:tcW w:w="623" w:type="pct"/>
                  <w:tcBorders>
                    <w:tl2br w:val="nil"/>
                    <w:tr2bl w:val="nil"/>
                  </w:tcBorders>
                  <w:noWrap/>
                  <w:vAlign w:val="center"/>
                </w:tcPr>
                <w:p>
                  <w:pPr>
                    <w:widowControl/>
                    <w:autoSpaceDE w:val="0"/>
                    <w:autoSpaceDN w:val="0"/>
                    <w:spacing w:line="240" w:lineRule="auto"/>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限制类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石化</w:t>
                  </w:r>
                </w:p>
              </w:tc>
              <w:tc>
                <w:tcPr>
                  <w:tcW w:w="1595"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251精炼石油产品制造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新建原油炼制、扩建燃料油炼制项目</w:t>
                  </w:r>
                  <w:r>
                    <w:rPr>
                      <w:rFonts w:ascii="Times New Roman" w:hAnsi="Times New Roman" w:cs="Times New Roman"/>
                      <w:color w:val="auto"/>
                      <w:kern w:val="0"/>
                      <w:sz w:val="21"/>
                      <w:szCs w:val="21"/>
                      <w:lang w:eastAsia="zh-CN"/>
                    </w:rPr>
                    <w:t>；</w:t>
                  </w:r>
                  <w:r>
                    <w:rPr>
                      <w:rFonts w:ascii="Times New Roman" w:hAnsi="Times New Roman" w:cs="Times New Roman"/>
                      <w:color w:val="auto"/>
                      <w:kern w:val="0"/>
                      <w:sz w:val="21"/>
                      <w:szCs w:val="21"/>
                    </w:rPr>
                    <w:t>油品升级项目除外</w:t>
                  </w:r>
                </w:p>
              </w:tc>
              <w:tc>
                <w:tcPr>
                  <w:tcW w:w="623" w:type="pct"/>
                  <w:tcBorders>
                    <w:tl2br w:val="nil"/>
                    <w:tr2bl w:val="nil"/>
                  </w:tcBorders>
                  <w:noWrap/>
                  <w:vAlign w:val="center"/>
                </w:tcPr>
                <w:p>
                  <w:pPr>
                    <w:widowControl/>
                    <w:spacing w:line="240" w:lineRule="auto"/>
                    <w:jc w:val="center"/>
                    <w:rPr>
                      <w:rFonts w:ascii="Times New Roman" w:hAnsi="Times New Roman" w:eastAsia="宋体" w:cs="Times New Roman"/>
                      <w:b/>
                      <w:bCs/>
                      <w:color w:val="auto"/>
                      <w:sz w:val="21"/>
                      <w:szCs w:val="21"/>
                      <w:lang w:val="en-US" w:eastAsia="zh-CN"/>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化工</w:t>
                  </w: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261基础化学原料制造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“三酸两碱”（硫酸、盐酸、硝酸，烧碱、纯碱）项目</w:t>
                  </w:r>
                  <w:r>
                    <w:rPr>
                      <w:rFonts w:ascii="Times New Roman" w:hAnsi="Times New Roman" w:cs="Times New Roman"/>
                      <w:color w:val="auto"/>
                      <w:kern w:val="0"/>
                      <w:sz w:val="21"/>
                      <w:szCs w:val="21"/>
                      <w:lang w:eastAsia="zh-CN"/>
                    </w:rPr>
                    <w:t>；</w:t>
                  </w:r>
                  <w:r>
                    <w:rPr>
                      <w:rFonts w:ascii="Times New Roman" w:hAnsi="Times New Roman" w:cs="Times New Roman"/>
                      <w:color w:val="auto"/>
                      <w:kern w:val="0"/>
                      <w:sz w:val="21"/>
                      <w:szCs w:val="21"/>
                    </w:rPr>
                    <w:t>氯碱（PVC）项目</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262肥料制造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除合成氨外的肥料制造项目</w:t>
                  </w:r>
                </w:p>
              </w:tc>
              <w:tc>
                <w:tcPr>
                  <w:tcW w:w="623" w:type="pct"/>
                  <w:tcBorders>
                    <w:tl2br w:val="nil"/>
                    <w:tr2bl w:val="nil"/>
                  </w:tcBorders>
                  <w:noWrap/>
                  <w:vAlign w:val="center"/>
                </w:tcPr>
                <w:p>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合成氨</w:t>
                  </w:r>
                </w:p>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263农药制造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pacing w:val="-12"/>
                      <w:sz w:val="21"/>
                      <w:szCs w:val="21"/>
                    </w:rPr>
                  </w:pPr>
                  <w:r>
                    <w:rPr>
                      <w:rFonts w:ascii="Times New Roman" w:hAnsi="Times New Roman" w:cs="Times New Roman"/>
                      <w:color w:val="auto"/>
                      <w:kern w:val="0"/>
                      <w:sz w:val="21"/>
                      <w:szCs w:val="21"/>
                    </w:rPr>
                    <w:t>全部</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pacing w:val="-12"/>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264涂料、油墨、颜料及类似产品制造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涉及有机溶剂使用和挥发性有机物排放的低固份油性涂料生产</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265合成材料</w:t>
                  </w:r>
                </w:p>
              </w:tc>
              <w:tc>
                <w:tcPr>
                  <w:tcW w:w="2273" w:type="pct"/>
                  <w:tcBorders>
                    <w:tl2br w:val="nil"/>
                    <w:tr2bl w:val="nil"/>
                  </w:tcBorders>
                  <w:noWrap/>
                  <w:vAlign w:val="center"/>
                </w:tcPr>
                <w:p>
                  <w:pPr>
                    <w:widowControl/>
                    <w:spacing w:line="240" w:lineRule="auto"/>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新建、改扩建溶剂型氯丁橡胶类、丁苯热塑性橡胶类、聚氨酯类和聚丙烯酸酯类等通用型胶粘剂生产项目</w:t>
                  </w:r>
                  <w:r>
                    <w:rPr>
                      <w:rFonts w:ascii="Times New Roman" w:hAnsi="Times New Roman" w:cs="Times New Roman"/>
                      <w:color w:val="auto"/>
                      <w:kern w:val="0"/>
                      <w:sz w:val="21"/>
                      <w:szCs w:val="21"/>
                      <w:lang w:eastAsia="zh-CN"/>
                    </w:rPr>
                    <w:t>；</w:t>
                  </w:r>
                  <w:r>
                    <w:rPr>
                      <w:rFonts w:ascii="Times New Roman" w:hAnsi="Times New Roman" w:cs="Times New Roman"/>
                      <w:color w:val="auto"/>
                      <w:kern w:val="0"/>
                      <w:sz w:val="21"/>
                      <w:szCs w:val="21"/>
                    </w:rPr>
                    <w:t>石油化学合成材料制造（丙烯、C4馏分下游产品制造除外）</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266专用化学产品制造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动物胶制造</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267炸药、火工及焰火产品制造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全部</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纺织</w:t>
                  </w:r>
                </w:p>
              </w:tc>
              <w:tc>
                <w:tcPr>
                  <w:tcW w:w="1595"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17纺织业</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pacing w:val="-12"/>
                      <w:sz w:val="21"/>
                      <w:szCs w:val="21"/>
                    </w:rPr>
                  </w:pPr>
                  <w:r>
                    <w:rPr>
                      <w:rFonts w:ascii="Times New Roman" w:hAnsi="Times New Roman" w:cs="Times New Roman"/>
                      <w:color w:val="auto"/>
                      <w:kern w:val="0"/>
                      <w:sz w:val="21"/>
                      <w:szCs w:val="21"/>
                    </w:rPr>
                    <w:t>涉及印染、染整、脱胶工序或产生缫丝、精炼废水的项目</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pacing w:val="-12"/>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建材</w:t>
                  </w: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201木材加工</w:t>
                  </w:r>
                </w:p>
              </w:tc>
              <w:tc>
                <w:tcPr>
                  <w:tcW w:w="2273" w:type="pct"/>
                  <w:vMerge w:val="restar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涉及有机溶剂使用和挥发性有机物排放的沥青类防水材料生产、人造板项目</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202人造板制造</w:t>
                  </w:r>
                </w:p>
              </w:tc>
              <w:tc>
                <w:tcPr>
                  <w:tcW w:w="2273" w:type="pct"/>
                  <w:vMerge w:val="continue"/>
                  <w:tcBorders>
                    <w:tl2br w:val="nil"/>
                    <w:tr2bl w:val="nil"/>
                  </w:tcBorders>
                  <w:noWrap/>
                  <w:vAlign w:val="center"/>
                </w:tcP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ign w:val="center"/>
                </w:tcPr>
                <w:p/>
              </w:tc>
              <w:tc>
                <w:tcPr>
                  <w:tcW w:w="1595"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203木质制品制造</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使用粉末喷涂、水性涂料及UV涂料以及进入共享喷涂中心的项目除外</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509"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食品</w:t>
                  </w:r>
                </w:p>
              </w:tc>
              <w:tc>
                <w:tcPr>
                  <w:tcW w:w="1595" w:type="pct"/>
                  <w:tcBorders>
                    <w:tl2br w:val="nil"/>
                    <w:tr2bl w:val="nil"/>
                  </w:tcBorders>
                  <w:noWrap/>
                  <w:vAlign w:val="center"/>
                </w:tcPr>
                <w:p>
                  <w:pPr>
                    <w:widowControl/>
                    <w:spacing w:line="240" w:lineRule="auto"/>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食品制造业</w:t>
                  </w:r>
                </w:p>
              </w:tc>
              <w:tc>
                <w:tcPr>
                  <w:tcW w:w="227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color w:val="auto"/>
                      <w:kern w:val="0"/>
                      <w:sz w:val="21"/>
                      <w:szCs w:val="21"/>
                    </w:rPr>
                    <w:t>全部</w:t>
                  </w:r>
                </w:p>
              </w:tc>
              <w:tc>
                <w:tcPr>
                  <w:tcW w:w="623" w:type="pct"/>
                  <w:tcBorders>
                    <w:tl2br w:val="nil"/>
                    <w:tr2bl w:val="nil"/>
                  </w:tcBorders>
                  <w:noWrap/>
                  <w:vAlign w:val="center"/>
                </w:tcPr>
                <w:p>
                  <w:pPr>
                    <w:widowControl/>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val="en-US" w:eastAsia="zh-CN"/>
                    </w:rPr>
                    <w:t>/</w:t>
                  </w:r>
                </w:p>
              </w:tc>
            </w:tr>
          </w:tbl>
          <w:p>
            <w:pPr>
              <w:widowControl/>
              <w:autoSpaceDE w:val="0"/>
              <w:autoSpaceDN w:val="0"/>
              <w:spacing w:line="360" w:lineRule="auto"/>
              <w:ind w:left="420" w:leftChars="20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lang w:eastAsia="zh-CN"/>
              </w:rPr>
              <w:t>（</w:t>
            </w:r>
            <w:r>
              <w:rPr>
                <w:rFonts w:ascii="Times New Roman" w:hAnsi="Times New Roman" w:cs="Times New Roman"/>
                <w:color w:val="auto"/>
                <w:kern w:val="0"/>
                <w:sz w:val="24"/>
                <w:szCs w:val="24"/>
                <w:lang w:val="en-US" w:eastAsia="zh-CN"/>
              </w:rPr>
              <w:t>2</w:t>
            </w:r>
            <w:r>
              <w:rPr>
                <w:rFonts w:ascii="Times New Roman" w:hAnsi="Times New Roman" w:cs="Times New Roman"/>
                <w:color w:val="auto"/>
                <w:kern w:val="0"/>
                <w:sz w:val="24"/>
                <w:szCs w:val="24"/>
                <w:lang w:eastAsia="zh-CN"/>
              </w:rPr>
              <w:t>）</w:t>
            </w:r>
            <w:r>
              <w:rPr>
                <w:rFonts w:ascii="Times New Roman" w:hAnsi="Times New Roman" w:cs="Times New Roman"/>
                <w:color w:val="auto"/>
                <w:kern w:val="0"/>
                <w:sz w:val="24"/>
                <w:szCs w:val="24"/>
              </w:rPr>
              <w:t>允许类</w:t>
            </w:r>
          </w:p>
          <w:p>
            <w:pPr>
              <w:widowControl/>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原则上未被列入上述鼓励类、负面清单的属允许发展类，但在具体实施过程中切不可盲目引进项目，应注意按如下原则要求：</w:t>
            </w:r>
          </w:p>
          <w:p>
            <w:pPr>
              <w:widowControl/>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color w:val="auto"/>
                <w:sz w:val="24"/>
                <w:szCs w:val="24"/>
              </w:rPr>
              <w:t>对于不属于规划区规划主导产业和重点发展方向的建设项目，若与规划区产业定位有互补作用，或属于规划区重要项目的下游企业，或属于高品质、高附加值、低污染的企业，或</w:t>
            </w:r>
            <w:bookmarkStart w:id="1" w:name="_Hlk42026673"/>
            <w:r>
              <w:rPr>
                <w:rFonts w:ascii="Times New Roman" w:hAnsi="Times New Roman" w:cs="Times New Roman"/>
                <w:color w:val="auto"/>
                <w:sz w:val="24"/>
                <w:szCs w:val="24"/>
              </w:rPr>
              <w:t>有利于规划区实现循环经济理念和可持续发展</w:t>
            </w:r>
            <w:bookmarkEnd w:id="1"/>
            <w:r>
              <w:rPr>
                <w:rFonts w:ascii="Times New Roman" w:hAnsi="Times New Roman" w:cs="Times New Roman"/>
                <w:color w:val="auto"/>
                <w:sz w:val="24"/>
                <w:szCs w:val="24"/>
              </w:rPr>
              <w:t>，这一类企业若在建设项目环评中经论证分析</w:t>
            </w:r>
            <w:bookmarkStart w:id="2" w:name="_Hlk42026692"/>
            <w:r>
              <w:rPr>
                <w:rFonts w:ascii="Times New Roman" w:hAnsi="Times New Roman" w:cs="Times New Roman"/>
                <w:color w:val="auto"/>
                <w:sz w:val="24"/>
                <w:szCs w:val="24"/>
              </w:rPr>
              <w:t>与规划区规划无明显冲突，不会影响规划区规划实施的</w:t>
            </w:r>
            <w:bookmarkEnd w:id="2"/>
            <w:r>
              <w:rPr>
                <w:rFonts w:ascii="Times New Roman" w:hAnsi="Times New Roman" w:cs="Times New Roman"/>
                <w:color w:val="auto"/>
                <w:sz w:val="24"/>
                <w:szCs w:val="24"/>
              </w:rPr>
              <w:t>，建议允许此类建设项目入驻。</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Times New Roman"/>
                <w:b w:val="0"/>
                <w:bCs w:val="0"/>
                <w:strike w:val="0"/>
                <w:dstrike w:val="0"/>
                <w:color w:val="auto"/>
                <w:kern w:val="0"/>
                <w:sz w:val="24"/>
                <w:szCs w:val="24"/>
                <w:u w:val="none"/>
                <w:lang w:eastAsia="zh-CN"/>
              </w:rPr>
            </w:pPr>
            <w:bookmarkStart w:id="3" w:name="_Hlk32072544"/>
            <w:r>
              <w:rPr>
                <w:rFonts w:ascii="Times New Roman" w:hAnsi="Times New Roman" w:eastAsia="宋体" w:cs="Times New Roman"/>
                <w:b w:val="0"/>
                <w:bCs w:val="0"/>
                <w:strike w:val="0"/>
                <w:dstrike w:val="0"/>
                <w:color w:val="auto"/>
                <w:sz w:val="24"/>
                <w:u w:val="none"/>
              </w:rPr>
              <w:t>本项目位于四川大英经济开发区内，为集中供热项目，属于规划区主导产业相配套产业（为规划区主导石化产业四川鸿鹏新材料有限公司和四川屹光新材料制造有限公司集中供热），项目为规划区的鼓励类项目。可知本项目符合四川大英经济开发区产业规划和布局要求</w:t>
            </w:r>
            <w:r>
              <w:rPr>
                <w:rFonts w:ascii="Times New Roman" w:hAnsi="Times New Roman" w:cs="Times New Roman"/>
                <w:b w:val="0"/>
                <w:bCs w:val="0"/>
                <w:strike w:val="0"/>
                <w:dstrike w:val="0"/>
                <w:color w:val="auto"/>
                <w:kern w:val="0"/>
                <w:sz w:val="24"/>
                <w:szCs w:val="24"/>
                <w:u w:val="none"/>
                <w:lang w:val="en-US" w:eastAsia="zh-CN"/>
              </w:rPr>
              <w:t>。</w:t>
            </w:r>
          </w:p>
          <w:bookmarkEnd w:id="3"/>
          <w:p>
            <w:pPr>
              <w:spacing w:line="360" w:lineRule="auto"/>
              <w:rPr>
                <w:rFonts w:ascii="Times New Roman" w:hAnsi="Times New Roman" w:cs="Times New Roman"/>
                <w:b/>
                <w:bCs/>
                <w:color w:val="auto"/>
                <w:sz w:val="24"/>
                <w:lang w:val="en-US" w:eastAsia="zh-CN"/>
              </w:rPr>
            </w:pPr>
            <w:r>
              <w:rPr>
                <w:rFonts w:ascii="Times New Roman" w:hAnsi="Times New Roman" w:cs="Times New Roman"/>
                <w:b/>
                <w:bCs/>
                <w:color w:val="auto"/>
                <w:sz w:val="24"/>
                <w:lang w:val="en-US" w:eastAsia="zh-CN"/>
              </w:rPr>
              <w:t>4、项目与园区规划环评生态环境准入要求符合性分析</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项目与</w:t>
            </w:r>
            <w:r>
              <w:rPr>
                <w:rFonts w:ascii="Times New Roman" w:hAnsi="Times New Roman" w:cs="Times New Roman"/>
                <w:color w:val="auto"/>
                <w:sz w:val="24"/>
                <w:szCs w:val="24"/>
                <w:lang w:val="en-US" w:eastAsia="zh-CN"/>
              </w:rPr>
              <w:t>四川大英经济开发区</w:t>
            </w:r>
            <w:r>
              <w:rPr>
                <w:rFonts w:ascii="Times New Roman" w:hAnsi="Times New Roman" w:cs="Times New Roman"/>
                <w:color w:val="auto"/>
                <w:sz w:val="24"/>
                <w:szCs w:val="24"/>
              </w:rPr>
              <w:t>规划环评及环评批复的符合性见下表。</w:t>
            </w:r>
          </w:p>
          <w:p>
            <w:pPr>
              <w:pStyle w:val="2"/>
              <w:keepNext w:val="0"/>
              <w:keepLines w:val="0"/>
              <w:pageBreakBefore w:val="0"/>
              <w:widowControl/>
              <w:kinsoku/>
              <w:overflowPunct/>
              <w:topLinePunct w:val="0"/>
              <w:bidi w:val="0"/>
              <w:adjustRightInd w:val="0"/>
              <w:snapToGrid w:val="0"/>
              <w:spacing w:before="0" w:after="0" w:line="240" w:lineRule="auto"/>
              <w:ind w:right="0" w:firstLine="0"/>
              <w:jc w:val="center"/>
              <w:textAlignment w:val="auto"/>
              <w:rPr>
                <w:rFonts w:ascii="Times New Roman" w:hAnsi="Times New Roman" w:eastAsia="宋体" w:cs="Times New Roman"/>
                <w:b/>
                <w:bCs w:val="0"/>
                <w:color w:val="auto"/>
                <w:sz w:val="21"/>
                <w:szCs w:val="21"/>
                <w:lang w:val="en-US" w:eastAsia="zh-CN"/>
              </w:rPr>
            </w:pPr>
            <w:r>
              <w:rPr>
                <w:rFonts w:ascii="Times New Roman" w:hAnsi="Times New Roman" w:eastAsia="宋体" w:cs="Times New Roman"/>
                <w:b/>
                <w:bCs w:val="0"/>
                <w:color w:val="auto"/>
                <w:sz w:val="21"/>
                <w:szCs w:val="21"/>
                <w:lang w:val="en-US" w:eastAsia="zh-CN"/>
              </w:rPr>
              <w:t>表1-</w:t>
            </w:r>
            <w:r>
              <w:rPr>
                <w:rFonts w:ascii="Times New Roman" w:hAnsi="Times New Roman" w:cs="Times New Roman"/>
                <w:b/>
                <w:bCs w:val="0"/>
                <w:color w:val="auto"/>
                <w:sz w:val="21"/>
                <w:szCs w:val="21"/>
                <w:lang w:val="en-US" w:eastAsia="zh-CN"/>
              </w:rPr>
              <w:t>3</w:t>
            </w:r>
            <w:r>
              <w:rPr>
                <w:rFonts w:ascii="Times New Roman" w:hAnsi="Times New Roman" w:eastAsia="宋体" w:cs="Times New Roman"/>
                <w:b/>
                <w:bCs w:val="0"/>
                <w:color w:val="auto"/>
                <w:sz w:val="21"/>
                <w:szCs w:val="21"/>
                <w:lang w:val="en-US" w:eastAsia="zh-CN"/>
              </w:rPr>
              <w:t>项目与发展区规划环评及环评批复的符合性</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3"/>
              <w:gridCol w:w="3670"/>
              <w:gridCol w:w="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b/>
                      <w:color w:val="auto"/>
                      <w:sz w:val="21"/>
                      <w:szCs w:val="21"/>
                      <w:lang w:val="en-US" w:eastAsia="zh-CN"/>
                    </w:rPr>
                  </w:pPr>
                  <w:r>
                    <w:rPr>
                      <w:rFonts w:ascii="Times New Roman" w:hAnsi="Times New Roman" w:cs="Times New Roman"/>
                      <w:b/>
                      <w:color w:val="auto"/>
                      <w:sz w:val="21"/>
                      <w:szCs w:val="21"/>
                      <w:lang w:val="en-US" w:eastAsia="zh-CN"/>
                    </w:rPr>
                    <w:t>规划环评要求</w:t>
                  </w:r>
                </w:p>
              </w:tc>
              <w:tc>
                <w:tcPr>
                  <w:tcW w:w="2401"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b/>
                      <w:color w:val="auto"/>
                      <w:sz w:val="21"/>
                      <w:szCs w:val="21"/>
                    </w:rPr>
                  </w:pPr>
                  <w:r>
                    <w:rPr>
                      <w:rFonts w:ascii="Times New Roman" w:hAnsi="Times New Roman" w:cs="Times New Roman"/>
                      <w:b/>
                      <w:color w:val="auto"/>
                      <w:sz w:val="21"/>
                      <w:szCs w:val="21"/>
                    </w:rPr>
                    <w:t>本项目</w:t>
                  </w:r>
                </w:p>
              </w:tc>
              <w:tc>
                <w:tcPr>
                  <w:tcW w:w="640"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b/>
                      <w:color w:val="auto"/>
                      <w:sz w:val="21"/>
                      <w:szCs w:val="21"/>
                      <w:lang w:val="en-US" w:eastAsia="zh-CN"/>
                    </w:rPr>
                  </w:pPr>
                  <w:r>
                    <w:rPr>
                      <w:rFonts w:ascii="Times New Roman" w:hAnsi="Times New Roman" w:cs="Times New Roman"/>
                      <w:b/>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b/>
                      <w:color w:val="auto"/>
                      <w:sz w:val="21"/>
                      <w:szCs w:val="21"/>
                      <w:u w:val="none"/>
                      <w:lang w:val="en-US" w:eastAsia="zh-CN"/>
                    </w:rPr>
                  </w:pPr>
                  <w:r>
                    <w:rPr>
                      <w:rFonts w:ascii="Times New Roman" w:hAnsi="Times New Roman" w:cs="Times New Roman"/>
                      <w:color w:val="auto"/>
                      <w:sz w:val="21"/>
                      <w:szCs w:val="21"/>
                      <w:u w:val="none"/>
                      <w:lang w:val="en-US" w:eastAsia="zh-CN"/>
                    </w:rPr>
                    <w:t>优化能源结构，除久大盐化现有锅炉外禁止使用燃煤等高污染燃料，以天然气、电等清洁能源为主，新建燃气锅炉加装低氮燃烧装置，鼓励引入天然气分布式能源。</w:t>
                  </w:r>
                </w:p>
              </w:tc>
              <w:tc>
                <w:tcPr>
                  <w:tcW w:w="2401"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b/>
                      <w:color w:val="auto"/>
                      <w:sz w:val="21"/>
                      <w:szCs w:val="21"/>
                      <w:u w:val="none"/>
                      <w:lang w:val="en-US" w:eastAsia="zh-CN"/>
                    </w:rPr>
                  </w:pPr>
                  <w:r>
                    <w:rPr>
                      <w:rFonts w:hint="eastAsia" w:cs="Times New Roman"/>
                      <w:b w:val="0"/>
                      <w:bCs/>
                      <w:color w:val="auto"/>
                      <w:sz w:val="21"/>
                      <w:szCs w:val="21"/>
                      <w:u w:val="none"/>
                      <w:lang w:val="en-US" w:eastAsia="zh-CN"/>
                    </w:rPr>
                    <w:t>根据《高污染燃料目录》（国环规大气〔2017〕2号），本项目燃料为生物质气，不属于燃煤等高污染燃料；本项目所用能源为木片和秸秆分解的生物质气，属于“</w:t>
                  </w:r>
                  <w:r>
                    <w:rPr>
                      <w:rFonts w:ascii="Times New Roman" w:hAnsi="Times New Roman" w:cs="Times New Roman"/>
                      <w:color w:val="auto"/>
                      <w:sz w:val="21"/>
                      <w:szCs w:val="21"/>
                      <w:u w:val="none"/>
                      <w:lang w:val="en-US" w:eastAsia="zh-CN"/>
                    </w:rPr>
                    <w:t>清洁能源</w:t>
                  </w:r>
                  <w:r>
                    <w:rPr>
                      <w:rFonts w:hint="eastAsia" w:cs="Times New Roman"/>
                      <w:b w:val="0"/>
                      <w:bCs/>
                      <w:color w:val="auto"/>
                      <w:sz w:val="21"/>
                      <w:szCs w:val="21"/>
                      <w:u w:val="none"/>
                      <w:lang w:val="en-US" w:eastAsia="zh-CN"/>
                    </w:rPr>
                    <w:t>”中的“可再生能源”。本项目锅炉加装了低氮燃烧装置</w:t>
                  </w:r>
                </w:p>
              </w:tc>
              <w:tc>
                <w:tcPr>
                  <w:tcW w:w="640"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b/>
                      <w:color w:val="auto"/>
                      <w:sz w:val="21"/>
                      <w:szCs w:val="21"/>
                      <w:u w:val="none"/>
                      <w:lang w:val="en-US" w:eastAsia="zh-CN"/>
                    </w:rPr>
                  </w:pPr>
                  <w:r>
                    <w:rPr>
                      <w:rFonts w:hint="eastAsia" w:cs="Times New Roman"/>
                      <w:b w:val="0"/>
                      <w:bCs/>
                      <w:color w:val="auto"/>
                      <w:sz w:val="21"/>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一</w:t>
                  </w:r>
                  <w:r>
                    <w:rPr>
                      <w:rFonts w:ascii="Times New Roman" w:hAnsi="Times New Roman" w:cs="Times New Roman"/>
                      <w:color w:val="auto"/>
                      <w:sz w:val="21"/>
                      <w:szCs w:val="21"/>
                      <w:lang w:eastAsia="zh-CN"/>
                    </w:rPr>
                    <w:t>）</w:t>
                  </w:r>
                  <w:r>
                    <w:rPr>
                      <w:rFonts w:ascii="Times New Roman" w:hAnsi="Times New Roman" w:cs="Times New Roman"/>
                      <w:color w:val="auto"/>
                      <w:sz w:val="21"/>
                      <w:szCs w:val="21"/>
                    </w:rPr>
                    <w:t>禁止引入不符合国家行业准入条件的项目，列入国家产能过剩类别的项目，列入产业结构指导目录限制及禁止类的项目。</w:t>
                  </w:r>
                </w:p>
              </w:tc>
              <w:tc>
                <w:tcPr>
                  <w:tcW w:w="2401" w:type="pct"/>
                  <w:tcBorders>
                    <w:tl2br w:val="nil"/>
                    <w:tr2bl w:val="nil"/>
                  </w:tcBorders>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right="0" w:firstLine="0"/>
                    <w:jc w:val="center"/>
                    <w:textAlignment w:val="auto"/>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lang w:val="en-US" w:eastAsia="zh-CN"/>
                    </w:rPr>
                    <w:t>根据《国民经济行业分类》（GB/T4754-2017），本项目</w:t>
                  </w:r>
                  <w:r>
                    <w:rPr>
                      <w:rFonts w:ascii="Times New Roman" w:hAnsi="Times New Roman" w:eastAsia="宋体" w:cs="Times New Roman"/>
                      <w:color w:val="auto"/>
                      <w:sz w:val="21"/>
                      <w:szCs w:val="21"/>
                      <w:highlight w:val="none"/>
                      <w:lang w:val="en-US" w:eastAsia="zh-CN"/>
                    </w:rPr>
                    <w:t>属于D4430 热力生产和供应，</w:t>
                  </w:r>
                  <w:r>
                    <w:rPr>
                      <w:rFonts w:ascii="Times New Roman" w:hAnsi="Times New Roman" w:eastAsia="宋体" w:cs="Times New Roman"/>
                      <w:color w:val="auto"/>
                      <w:sz w:val="21"/>
                      <w:szCs w:val="21"/>
                      <w:highlight w:val="none"/>
                    </w:rPr>
                    <w:t>根据中</w:t>
                  </w:r>
                  <w:r>
                    <w:rPr>
                      <w:rFonts w:ascii="Times New Roman" w:hAnsi="Times New Roman" w:eastAsia="宋体" w:cs="Times New Roman"/>
                      <w:color w:val="auto"/>
                      <w:sz w:val="21"/>
                      <w:szCs w:val="21"/>
                    </w:rPr>
                    <w:t>华人民共和国国家发展改革委令第29号文《国家发展改革委关于修改&lt;产业结构调整指导目录（2019年本）》，</w:t>
                  </w:r>
                  <w:r>
                    <w:rPr>
                      <w:rFonts w:ascii="Times New Roman" w:hAnsi="Times New Roman" w:eastAsia="宋体" w:cs="Times New Roman"/>
                      <w:color w:val="auto"/>
                      <w:sz w:val="21"/>
                      <w:szCs w:val="21"/>
                      <w:lang w:val="zh-CN"/>
                    </w:rPr>
                    <w:t>本项目不属于“鼓励类”、“限制类”及“淘汰类”之列，为允许类建设项目。</w:t>
                  </w:r>
                </w:p>
              </w:tc>
              <w:tc>
                <w:tcPr>
                  <w:tcW w:w="640"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eastAsia="宋体" w:cs="Times New Roman"/>
                      <w:color w:val="auto"/>
                      <w:kern w:val="0"/>
                      <w:sz w:val="21"/>
                      <w:szCs w:val="21"/>
                      <w:lang w:eastAsia="zh-CN"/>
                    </w:rPr>
                  </w:pPr>
                  <w:r>
                    <w:rPr>
                      <w:rFonts w:ascii="Times New Roman" w:hAnsi="Times New Roman" w:cs="Times New Roman"/>
                      <w:color w:val="auto"/>
                      <w:kern w:val="0"/>
                      <w:sz w:val="21"/>
                      <w:szCs w:val="21"/>
                      <w:lang w:eastAsia="zh-CN"/>
                    </w:rPr>
                    <w:t>（</w:t>
                  </w:r>
                  <w:r>
                    <w:rPr>
                      <w:rFonts w:ascii="Times New Roman" w:hAnsi="Times New Roman" w:cs="Times New Roman"/>
                      <w:color w:val="auto"/>
                      <w:kern w:val="0"/>
                      <w:sz w:val="21"/>
                      <w:szCs w:val="21"/>
                    </w:rPr>
                    <w:t>二）禁止引入不符合国家环保法律法规、各类污染防治规</w:t>
                  </w:r>
                  <w:r>
                    <w:rPr>
                      <w:rFonts w:ascii="Times New Roman" w:hAnsi="Times New Roman" w:cs="Times New Roman"/>
                      <w:color w:val="auto"/>
                      <w:kern w:val="0"/>
                      <w:sz w:val="21"/>
                      <w:szCs w:val="21"/>
                      <w:lang w:eastAsia="zh-CN"/>
                    </w:rPr>
                    <w:t>划及要求的项目。</w:t>
                  </w:r>
                </w:p>
              </w:tc>
              <w:tc>
                <w:tcPr>
                  <w:tcW w:w="2401" w:type="pct"/>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left"/>
                    <w:textAlignment w:val="auto"/>
                    <w:rPr>
                      <w:rFonts w:ascii="Times New Roman" w:hAnsi="Times New Roman" w:eastAsia="宋体" w:cs="Times New Roman"/>
                      <w:color w:val="auto"/>
                      <w:kern w:val="0"/>
                      <w:sz w:val="21"/>
                      <w:szCs w:val="21"/>
                      <w:lang w:val="en-US" w:eastAsia="zh-CN"/>
                    </w:rPr>
                  </w:pPr>
                  <w:r>
                    <w:rPr>
                      <w:rFonts w:ascii="Times New Roman" w:hAnsi="Times New Roman" w:eastAsia="宋体" w:cs="Times New Roman"/>
                      <w:color w:val="auto"/>
                      <w:kern w:val="0"/>
                      <w:sz w:val="21"/>
                      <w:szCs w:val="21"/>
                      <w:lang w:val="en-US" w:eastAsia="zh-CN"/>
                    </w:rPr>
                    <w:t>本项目位于工业园区内，属于</w:t>
                  </w:r>
                  <w:r>
                    <w:rPr>
                      <w:rFonts w:hint="eastAsia" w:cs="Times New Roman"/>
                      <w:color w:val="auto"/>
                      <w:kern w:val="0"/>
                      <w:sz w:val="21"/>
                      <w:szCs w:val="21"/>
                      <w:lang w:val="en-US" w:eastAsia="zh-CN"/>
                    </w:rPr>
                    <w:t>热力生产供应</w:t>
                  </w:r>
                  <w:r>
                    <w:rPr>
                      <w:rFonts w:ascii="Times New Roman" w:hAnsi="Times New Roman" w:eastAsia="宋体" w:cs="Times New Roman"/>
                      <w:color w:val="auto"/>
                      <w:sz w:val="21"/>
                      <w:szCs w:val="21"/>
                      <w:lang w:val="en-US" w:eastAsia="zh-CN"/>
                    </w:rPr>
                    <w:t>，主要大气污染物为生产过程中产生的粉尘</w:t>
                  </w:r>
                  <w:r>
                    <w:rPr>
                      <w:rFonts w:hint="eastAsia" w:cs="Times New Roman"/>
                      <w:color w:val="auto"/>
                      <w:sz w:val="21"/>
                      <w:szCs w:val="21"/>
                      <w:vertAlign w:val="baseline"/>
                      <w:lang w:val="en-US" w:eastAsia="zh-CN"/>
                    </w:rPr>
                    <w:t>和NO</w:t>
                  </w:r>
                  <w:r>
                    <w:rPr>
                      <w:rFonts w:hint="eastAsia" w:cs="Times New Roman"/>
                      <w:color w:val="auto"/>
                      <w:sz w:val="21"/>
                      <w:szCs w:val="21"/>
                      <w:vertAlign w:val="subscript"/>
                      <w:lang w:val="en-US" w:eastAsia="zh-CN"/>
                    </w:rPr>
                    <w:t>x</w:t>
                  </w:r>
                  <w:r>
                    <w:rPr>
                      <w:rFonts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锅炉废气</w:t>
                  </w:r>
                  <w:r>
                    <w:rPr>
                      <w:rFonts w:ascii="Times New Roman" w:hAnsi="Times New Roman" w:cs="Times New Roman"/>
                      <w:color w:val="auto"/>
                      <w:szCs w:val="21"/>
                    </w:rPr>
                    <w:t>经</w:t>
                  </w:r>
                  <w:r>
                    <w:rPr>
                      <w:rFonts w:hint="eastAsia" w:cs="Times New Roman"/>
                      <w:color w:val="auto"/>
                      <w:szCs w:val="21"/>
                      <w:lang w:eastAsia="zh-CN"/>
                    </w:rPr>
                    <w:t>低氮燃烧+SCR脱硝+旋风布袋除尘器处理后由1根</w:t>
                  </w:r>
                  <w:r>
                    <w:rPr>
                      <w:rFonts w:hint="eastAsia" w:cs="Times New Roman"/>
                      <w:color w:val="auto"/>
                      <w:szCs w:val="21"/>
                      <w:lang w:val="en-US" w:eastAsia="zh-CN"/>
                    </w:rPr>
                    <w:t>40</w:t>
                  </w:r>
                  <w:r>
                    <w:rPr>
                      <w:rFonts w:hint="eastAsia" w:cs="Times New Roman"/>
                      <w:color w:val="auto"/>
                      <w:szCs w:val="21"/>
                      <w:lang w:eastAsia="zh-CN"/>
                    </w:rPr>
                    <w:t>m高排气筒排放</w:t>
                  </w:r>
                  <w:r>
                    <w:rPr>
                      <w:rFonts w:ascii="Times New Roman" w:hAnsi="Times New Roman" w:cs="Times New Roman"/>
                      <w:color w:val="auto"/>
                      <w:sz w:val="21"/>
                      <w:szCs w:val="21"/>
                      <w:lang w:eastAsia="zh-CN"/>
                    </w:rPr>
                    <w:t>；</w:t>
                  </w:r>
                  <w:r>
                    <w:rPr>
                      <w:rFonts w:ascii="Times New Roman" w:hAnsi="Times New Roman" w:cs="Times New Roman"/>
                      <w:color w:val="auto"/>
                      <w:szCs w:val="21"/>
                    </w:rPr>
                    <w:t>生活污水、锅炉废水经预处理池（</w:t>
                  </w:r>
                  <w:r>
                    <w:rPr>
                      <w:rFonts w:ascii="Times New Roman" w:hAnsi="Times New Roman" w:cs="Times New Roman"/>
                      <w:color w:val="auto"/>
                      <w:szCs w:val="21"/>
                      <w:lang w:val="en-US" w:eastAsia="zh-CN"/>
                    </w:rPr>
                    <w:t>1</w:t>
                  </w:r>
                  <w:r>
                    <w:rPr>
                      <w:rFonts w:ascii="Times New Roman" w:hAnsi="Times New Roman" w:cs="Times New Roman"/>
                      <w:color w:val="auto"/>
                      <w:szCs w:val="21"/>
                    </w:rPr>
                    <w:t>00m</w:t>
                  </w:r>
                  <w:r>
                    <w:rPr>
                      <w:rFonts w:ascii="Times New Roman" w:hAnsi="Times New Roman" w:cs="Times New Roman"/>
                      <w:color w:val="auto"/>
                      <w:szCs w:val="21"/>
                      <w:vertAlign w:val="superscript"/>
                    </w:rPr>
                    <w:t>3</w:t>
                  </w:r>
                  <w:r>
                    <w:rPr>
                      <w:rFonts w:ascii="Times New Roman" w:hAnsi="Times New Roman" w:cs="Times New Roman"/>
                      <w:color w:val="auto"/>
                      <w:szCs w:val="21"/>
                    </w:rPr>
                    <w:t>）处理后，达到排放标准后进入</w:t>
                  </w:r>
                  <w:r>
                    <w:rPr>
                      <w:rFonts w:ascii="Times New Roman" w:hAnsi="Times New Roman" w:cs="Times New Roman"/>
                      <w:color w:val="auto"/>
                      <w:szCs w:val="21"/>
                      <w:lang w:eastAsia="zh-CN"/>
                    </w:rPr>
                    <w:t>园区污水管网</w:t>
                  </w:r>
                  <w:r>
                    <w:rPr>
                      <w:rFonts w:ascii="Times New Roman" w:hAnsi="Times New Roman" w:cs="Times New Roman"/>
                      <w:color w:val="auto"/>
                      <w:szCs w:val="21"/>
                    </w:rPr>
                    <w:t>后进入</w:t>
                  </w:r>
                  <w:r>
                    <w:rPr>
                      <w:rFonts w:hint="eastAsia" w:cs="Times New Roman"/>
                      <w:color w:val="auto"/>
                      <w:szCs w:val="21"/>
                      <w:lang w:eastAsia="zh-CN"/>
                    </w:rPr>
                    <w:t>大英经济开发区污水处理厂</w:t>
                  </w:r>
                  <w:r>
                    <w:rPr>
                      <w:rFonts w:ascii="Times New Roman" w:hAnsi="Times New Roman" w:cs="Times New Roman"/>
                      <w:color w:val="auto"/>
                      <w:szCs w:val="21"/>
                    </w:rPr>
                    <w:t>处理达标排入</w:t>
                  </w:r>
                  <w:r>
                    <w:rPr>
                      <w:rFonts w:ascii="Times New Roman" w:hAnsi="Times New Roman" w:cs="Times New Roman"/>
                      <w:color w:val="auto"/>
                      <w:szCs w:val="21"/>
                      <w:lang w:eastAsia="zh-CN"/>
                    </w:rPr>
                    <w:t>郪江</w:t>
                  </w:r>
                  <w:r>
                    <w:rPr>
                      <w:rFonts w:hint="eastAsia" w:cs="Times New Roman"/>
                      <w:color w:val="auto"/>
                      <w:szCs w:val="21"/>
                      <w:lang w:eastAsia="zh-CN"/>
                    </w:rPr>
                    <w:t>。</w:t>
                  </w:r>
                  <w:r>
                    <w:rPr>
                      <w:rFonts w:ascii="Times New Roman" w:hAnsi="Times New Roman" w:eastAsia="宋体" w:cs="Times New Roman"/>
                      <w:color w:val="auto"/>
                      <w:sz w:val="21"/>
                      <w:szCs w:val="21"/>
                      <w:lang w:val="en-US" w:eastAsia="zh-CN"/>
                    </w:rPr>
                    <w:t>本项目符合国家法律法规、符合各类污染防治规划要求</w:t>
                  </w:r>
                </w:p>
              </w:tc>
              <w:tc>
                <w:tcPr>
                  <w:tcW w:w="640" w:type="pct"/>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kern w:val="0"/>
                      <w:sz w:val="21"/>
                      <w:szCs w:val="21"/>
                    </w:rPr>
                  </w:pPr>
                  <w:r>
                    <w:rPr>
                      <w:rFonts w:ascii="Times New Roman" w:hAnsi="Times New Roman"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lang w:eastAsia="zh-CN"/>
                    </w:rPr>
                    <w:t>（</w:t>
                  </w:r>
                  <w:r>
                    <w:rPr>
                      <w:rFonts w:ascii="Times New Roman" w:hAnsi="Times New Roman" w:cs="Times New Roman"/>
                      <w:color w:val="auto"/>
                      <w:sz w:val="21"/>
                      <w:szCs w:val="21"/>
                    </w:rPr>
                    <w:t>三）禁止新建燃煤火电、金属冶炼、制浆（含废纸制浆）屠宰、皮革鞣制、铅蓄电池制造、原油炼制、煤化工、印染项目，具体清单见《报告书》。</w:t>
                  </w:r>
                </w:p>
              </w:tc>
              <w:tc>
                <w:tcPr>
                  <w:tcW w:w="2401" w:type="pct"/>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eastAsia="宋体" w:cs="Times New Roman"/>
                      <w:color w:val="auto"/>
                      <w:kern w:val="0"/>
                      <w:sz w:val="21"/>
                      <w:szCs w:val="21"/>
                      <w:lang w:val="en-US" w:eastAsia="zh-CN"/>
                    </w:rPr>
                    <w:t>不涉及</w:t>
                  </w:r>
                </w:p>
              </w:tc>
              <w:tc>
                <w:tcPr>
                  <w:tcW w:w="640" w:type="pct"/>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pct"/>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right="0" w:firstLine="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lang w:eastAsia="zh-CN"/>
                    </w:rPr>
                    <w:t>（</w:t>
                  </w:r>
                  <w:r>
                    <w:rPr>
                      <w:rFonts w:ascii="Times New Roman" w:hAnsi="Times New Roman" w:cs="Times New Roman"/>
                      <w:color w:val="auto"/>
                      <w:sz w:val="21"/>
                      <w:szCs w:val="21"/>
                    </w:rPr>
                    <w:t>四</w:t>
                  </w:r>
                  <w:r>
                    <w:rPr>
                      <w:rFonts w:ascii="Times New Roman" w:hAnsi="Times New Roman" w:cs="Times New Roman"/>
                      <w:color w:val="auto"/>
                      <w:sz w:val="21"/>
                      <w:szCs w:val="21"/>
                      <w:lang w:eastAsia="zh-CN"/>
                    </w:rPr>
                    <w:t>）</w:t>
                  </w:r>
                  <w:r>
                    <w:rPr>
                      <w:rFonts w:ascii="Times New Roman" w:hAnsi="Times New Roman" w:cs="Times New Roman"/>
                      <w:color w:val="auto"/>
                      <w:sz w:val="21"/>
                      <w:szCs w:val="21"/>
                    </w:rPr>
                    <w:t>经开区内现有盛马化工燃料油炼制规模不再扩大。</w:t>
                  </w:r>
                </w:p>
              </w:tc>
              <w:tc>
                <w:tcPr>
                  <w:tcW w:w="2401" w:type="pct"/>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kern w:val="0"/>
                      <w:sz w:val="21"/>
                      <w:szCs w:val="21"/>
                      <w:lang w:val="en-US" w:eastAsia="zh-CN"/>
                    </w:rPr>
                  </w:pPr>
                  <w:r>
                    <w:rPr>
                      <w:rFonts w:ascii="Times New Roman" w:hAnsi="Times New Roman" w:eastAsia="宋体" w:cs="Times New Roman"/>
                      <w:color w:val="auto"/>
                      <w:kern w:val="0"/>
                      <w:sz w:val="21"/>
                      <w:szCs w:val="21"/>
                      <w:lang w:val="en-US" w:eastAsia="zh-CN"/>
                    </w:rPr>
                    <w:t>不涉及</w:t>
                  </w:r>
                </w:p>
              </w:tc>
              <w:tc>
                <w:tcPr>
                  <w:tcW w:w="640" w:type="pct"/>
                  <w:tcBorders>
                    <w:tl2br w:val="nil"/>
                    <w:tr2bl w:val="nil"/>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jc w:val="center"/>
                    <w:textAlignment w:val="auto"/>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符合</w:t>
                  </w:r>
                </w:p>
              </w:tc>
            </w:tr>
          </w:tbl>
          <w:p>
            <w:pPr>
              <w:pStyle w:val="13"/>
              <w:keepNext w:val="0"/>
              <w:keepLines w:val="0"/>
              <w:pageBreakBefore w:val="0"/>
              <w:widowControl/>
              <w:kinsoku/>
              <w:wordWrap/>
              <w:overflowPunct/>
              <w:topLinePunct w:val="0"/>
              <w:autoSpaceDE/>
              <w:autoSpaceDN/>
              <w:bidi w:val="0"/>
              <w:adjustRightInd/>
              <w:snapToGrid/>
              <w:ind w:left="0" w:leftChars="0" w:firstLine="482" w:firstLineChars="200"/>
              <w:jc w:val="both"/>
              <w:textAlignment w:val="auto"/>
              <w:rPr>
                <w:rFonts w:ascii="Times New Roman" w:hAnsi="Times New Roman" w:cs="Times New Roman"/>
                <w:color w:val="auto"/>
                <w:kern w:val="0"/>
                <w:sz w:val="24"/>
              </w:rPr>
            </w:pPr>
            <w:r>
              <w:rPr>
                <w:rFonts w:ascii="Times New Roman" w:hAnsi="Times New Roman" w:eastAsia="宋体" w:cs="Times New Roman"/>
                <w:b/>
                <w:bCs/>
                <w:color w:val="auto"/>
                <w:kern w:val="0"/>
                <w:sz w:val="24"/>
                <w:szCs w:val="24"/>
                <w:highlight w:val="none"/>
                <w:lang w:val="en-US" w:eastAsia="zh-CN" w:bidi="ar-SA"/>
              </w:rPr>
              <w:t>综上，本项目符合四川大英经济开发区规划要求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1105" w:type="dxa"/>
            <w:tcBorders>
              <w:top w:val="single" w:color="auto" w:sz="4" w:space="0"/>
              <w:left w:val="single" w:color="auto" w:sz="8" w:space="0"/>
              <w:right w:val="single" w:color="auto" w:sz="4" w:space="0"/>
            </w:tcBorders>
            <w:tcMar>
              <w:left w:w="108" w:type="dxa"/>
            </w:tcMar>
            <w:vAlign w:val="center"/>
          </w:tcPr>
          <w:p>
            <w:pPr>
              <w:autoSpaceDE w:val="0"/>
              <w:autoSpaceDN w:val="0"/>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其他符合性分析</w:t>
            </w:r>
          </w:p>
        </w:tc>
        <w:tc>
          <w:tcPr>
            <w:tcW w:w="7765" w:type="dxa"/>
            <w:gridSpan w:val="3"/>
            <w:tcBorders>
              <w:top w:val="single" w:color="auto" w:sz="4" w:space="0"/>
              <w:left w:val="single" w:color="auto" w:sz="4" w:space="0"/>
              <w:right w:val="single" w:color="auto" w:sz="8" w:space="0"/>
            </w:tcBorders>
            <w:tcMar>
              <w:left w:w="108" w:type="dxa"/>
            </w:tcMar>
            <w:vAlign w:val="center"/>
          </w:tcPr>
          <w:p>
            <w:pPr>
              <w:pStyle w:val="55"/>
              <w:keepNext w:val="0"/>
              <w:keepLines w:val="0"/>
              <w:pageBreakBefore w:val="0"/>
              <w:widowControl w:val="0"/>
              <w:numPr>
                <w:ilvl w:val="0"/>
                <w:numId w:val="1"/>
              </w:numPr>
              <w:kinsoku/>
              <w:wordWrap/>
              <w:overflowPunct/>
              <w:topLinePunct w:val="0"/>
              <w:autoSpaceDE/>
              <w:autoSpaceDN/>
              <w:bidi w:val="0"/>
              <w:spacing w:line="360" w:lineRule="auto"/>
              <w:ind w:left="0" w:right="0" w:firstLine="482" w:firstLineChars="200"/>
              <w:rPr>
                <w:rFonts w:ascii="Times New Roman" w:hAnsi="Times New Roman" w:cs="Times New Roman"/>
                <w:b/>
                <w:bCs/>
                <w:color w:val="auto"/>
                <w:szCs w:val="24"/>
              </w:rPr>
            </w:pPr>
            <w:r>
              <w:rPr>
                <w:rFonts w:ascii="Times New Roman" w:hAnsi="Times New Roman" w:cs="Times New Roman"/>
                <w:b/>
                <w:color w:val="auto"/>
                <w:szCs w:val="24"/>
              </w:rPr>
              <w:t>建设项目规划选址符合性分析</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32"/>
              </w:rPr>
              <w:t>本项目选址于大英县工业集中发展区梁家坝内，土地性质为工业用地。评价范围内无需要特殊保护的敏感目标，无明显环境制约因素。项目对区域环境影响较小，从环保角度分析，项目选址合理</w:t>
            </w:r>
            <w:r>
              <w:rPr>
                <w:rFonts w:ascii="Times New Roman" w:hAnsi="Times New Roman" w:cs="Times New Roman"/>
                <w:color w:val="auto"/>
                <w:sz w:val="24"/>
                <w:szCs w:val="24"/>
              </w:rPr>
              <w:t>。</w:t>
            </w:r>
          </w:p>
          <w:p>
            <w:pPr>
              <w:pStyle w:val="55"/>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rPr>
                <w:rFonts w:ascii="Times New Roman" w:hAnsi="Times New Roman" w:cs="Times New Roman"/>
                <w:b/>
                <w:bCs/>
                <w:color w:val="auto"/>
                <w:szCs w:val="24"/>
              </w:rPr>
            </w:pPr>
            <w:r>
              <w:rPr>
                <w:rFonts w:ascii="Times New Roman" w:hAnsi="Times New Roman" w:cs="Times New Roman"/>
                <w:b/>
                <w:bCs/>
                <w:color w:val="auto"/>
                <w:szCs w:val="24"/>
              </w:rPr>
              <w:t>2、产业政策符合性分析</w:t>
            </w:r>
          </w:p>
          <w:p>
            <w:pPr>
              <w:keepNext w:val="0"/>
              <w:keepLines w:val="0"/>
              <w:pageBreakBefore w:val="0"/>
              <w:widowControl w:val="0"/>
              <w:kinsoku/>
              <w:wordWrap/>
              <w:overflowPunct/>
              <w:topLinePunct w:val="0"/>
              <w:autoSpaceDE/>
              <w:autoSpaceDN/>
              <w:bidi w:val="0"/>
              <w:spacing w:line="360" w:lineRule="auto"/>
              <w:ind w:left="0" w:right="0" w:firstLine="480" w:firstLineChars="200"/>
              <w:rPr>
                <w:rFonts w:hint="eastAsia" w:ascii="Times New Roman" w:hAnsi="Times New Roman" w:eastAsia="宋体" w:cs="Times New Roman"/>
                <w:color w:val="auto"/>
                <w:sz w:val="24"/>
                <w:lang w:eastAsia="zh-CN"/>
              </w:rPr>
            </w:pPr>
            <w:r>
              <w:rPr>
                <w:rFonts w:ascii="Times New Roman" w:hAnsi="Times New Roman" w:cs="Times New Roman"/>
                <w:color w:val="auto"/>
                <w:sz w:val="24"/>
              </w:rPr>
              <w:t>按照《国民经济行业分类》（GB/T4754-2017），项目属于“D4430 热力生产和供应”类项目。</w:t>
            </w:r>
            <w:r>
              <w:rPr>
                <w:rFonts w:ascii="Times New Roman" w:hAnsi="Times New Roman" w:cs="Times New Roman"/>
                <w:bCs/>
                <w:color w:val="auto"/>
                <w:sz w:val="24"/>
              </w:rPr>
              <w:t>根据</w:t>
            </w:r>
            <w:r>
              <w:rPr>
                <w:rFonts w:hint="eastAsia" w:cs="Times New Roman"/>
                <w:bCs/>
                <w:color w:val="auto"/>
                <w:sz w:val="24"/>
                <w:lang w:val="en-US" w:eastAsia="zh-CN"/>
              </w:rPr>
              <w:t>2</w:t>
            </w:r>
            <w:r>
              <w:rPr>
                <w:rFonts w:ascii="Times New Roman" w:hAnsi="Times New Roman" w:cs="Times New Roman"/>
                <w:bCs/>
                <w:color w:val="auto"/>
                <w:sz w:val="24"/>
              </w:rPr>
              <w:t>023年12月27日国家发展改革委令第7号公布</w:t>
            </w:r>
            <w:r>
              <w:rPr>
                <w:rFonts w:hint="eastAsia" w:cs="Times New Roman"/>
                <w:bCs/>
                <w:color w:val="auto"/>
                <w:sz w:val="24"/>
                <w:lang w:val="en-US" w:eastAsia="zh-CN"/>
              </w:rPr>
              <w:t>的</w:t>
            </w:r>
            <w:r>
              <w:rPr>
                <w:rFonts w:ascii="Times New Roman" w:hAnsi="Times New Roman" w:cs="Times New Roman"/>
                <w:bCs/>
                <w:color w:val="auto"/>
                <w:sz w:val="24"/>
              </w:rPr>
              <w:t>《产业结构调整指导目录（20</w:t>
            </w:r>
            <w:r>
              <w:rPr>
                <w:rFonts w:ascii="Times New Roman" w:hAnsi="Times New Roman" w:cs="Times New Roman"/>
                <w:bCs/>
                <w:color w:val="auto"/>
                <w:sz w:val="24"/>
                <w:lang w:val="en-US" w:eastAsia="zh-CN"/>
              </w:rPr>
              <w:t>24</w:t>
            </w:r>
            <w:r>
              <w:rPr>
                <w:rFonts w:ascii="Times New Roman" w:hAnsi="Times New Roman" w:cs="Times New Roman"/>
                <w:bCs/>
                <w:color w:val="auto"/>
                <w:sz w:val="24"/>
              </w:rPr>
              <w:t>本）》的有关规定，本项目“鼓励类”中“四十二、环境保护与资源节约综合利用”中“</w:t>
            </w:r>
            <w:r>
              <w:rPr>
                <w:rFonts w:hint="eastAsia" w:cs="Times New Roman"/>
                <w:bCs/>
                <w:color w:val="auto"/>
                <w:sz w:val="24"/>
                <w:lang w:val="en-US" w:eastAsia="zh-CN"/>
              </w:rPr>
              <w:t>8</w:t>
            </w:r>
            <w:r>
              <w:rPr>
                <w:rFonts w:ascii="Times New Roman" w:hAnsi="Times New Roman" w:cs="Times New Roman"/>
                <w:bCs/>
                <w:color w:val="auto"/>
                <w:sz w:val="24"/>
                <w:lang w:val="en-US" w:eastAsia="zh-CN"/>
              </w:rPr>
              <w:t>、</w:t>
            </w:r>
            <w:r>
              <w:rPr>
                <w:rFonts w:ascii="Times New Roman" w:hAnsi="Times New Roman" w:cs="Times New Roman"/>
                <w:bCs/>
                <w:color w:val="auto"/>
                <w:sz w:val="24"/>
              </w:rPr>
              <w:t>生物质能技术装备（发电、供热、制油、沼气）”。属于鼓励类</w:t>
            </w:r>
            <w:r>
              <w:rPr>
                <w:rFonts w:ascii="Times New Roman" w:hAnsi="Times New Roman" w:cs="Times New Roman"/>
                <w:color w:val="auto"/>
                <w:sz w:val="24"/>
              </w:rPr>
              <w:t>。</w:t>
            </w:r>
            <w:r>
              <w:rPr>
                <w:rFonts w:hint="eastAsia" w:cs="Times New Roman"/>
                <w:b/>
                <w:bCs/>
                <w:color w:val="0000FF"/>
                <w:sz w:val="24"/>
                <w:u w:val="single"/>
                <w:lang w:val="en-US" w:eastAsia="zh-CN"/>
              </w:rPr>
              <w:t>本项目炉排为旋转式炉排，</w:t>
            </w:r>
            <w:r>
              <w:rPr>
                <w:rFonts w:ascii="Times New Roman" w:hAnsi="Times New Roman" w:cs="Times New Roman"/>
                <w:b/>
                <w:bCs/>
                <w:color w:val="0000FF"/>
                <w:sz w:val="24"/>
                <w:u w:val="single"/>
              </w:rPr>
              <w:t>根据《产业结构调整指导目录》（2024本），</w:t>
            </w:r>
            <w:r>
              <w:rPr>
                <w:rFonts w:hint="eastAsia" w:cs="Times New Roman"/>
                <w:b/>
                <w:bCs/>
                <w:color w:val="0000FF"/>
                <w:sz w:val="24"/>
                <w:u w:val="single"/>
                <w:lang w:val="en-US" w:eastAsia="zh-CN"/>
              </w:rPr>
              <w:t>不属于</w:t>
            </w:r>
            <w:r>
              <w:rPr>
                <w:rFonts w:ascii="Times New Roman" w:hAnsi="Times New Roman" w:cs="Times New Roman"/>
                <w:b/>
                <w:bCs/>
                <w:color w:val="0000FF"/>
                <w:sz w:val="24"/>
                <w:u w:val="single"/>
              </w:rPr>
              <w:t>限制类</w:t>
            </w:r>
            <w:r>
              <w:rPr>
                <w:rFonts w:hint="eastAsia" w:cs="Times New Roman"/>
                <w:b/>
                <w:bCs/>
                <w:color w:val="0000FF"/>
                <w:sz w:val="24"/>
                <w:u w:val="single"/>
                <w:lang w:val="en-US" w:eastAsia="zh-CN"/>
              </w:rPr>
              <w:t>的固定式炉排。</w:t>
            </w:r>
          </w:p>
          <w:p>
            <w:pPr>
              <w:keepNext w:val="0"/>
              <w:keepLines w:val="0"/>
              <w:pageBreakBefore w:val="0"/>
              <w:widowControl w:val="0"/>
              <w:kinsoku/>
              <w:wordWrap/>
              <w:overflowPunct/>
              <w:topLinePunct w:val="0"/>
              <w:autoSpaceDE/>
              <w:autoSpaceDN/>
              <w:bidi w:val="0"/>
              <w:spacing w:line="360" w:lineRule="auto"/>
              <w:ind w:left="0" w:right="0" w:firstLine="480" w:firstLineChars="200"/>
              <w:rPr>
                <w:rFonts w:hint="eastAsia" w:ascii="宋体" w:eastAsia="宋体" w:cs="宋体"/>
                <w:color w:val="auto"/>
                <w:sz w:val="24"/>
                <w:u w:val="none"/>
              </w:rPr>
            </w:pPr>
            <w:r>
              <w:rPr>
                <w:rFonts w:hint="eastAsia" w:ascii="宋体" w:eastAsia="宋体" w:cs="宋体"/>
                <w:color w:val="auto"/>
                <w:sz w:val="24"/>
                <w:u w:val="none"/>
              </w:rPr>
              <w:t>本项目为规划区主导石化产业企业配套的集中供热项目，本项目实施将代替原有两台锅炉，集中供热比分散供热具有更多的优势；①集中供热能够实现能源的高效利用；②集中供热有助于减少环境污染；③集中供热有助于提高供热质量；④使用便利；集中供热为国家鼓励推荐采用的供热</w:t>
            </w:r>
            <w:r>
              <w:rPr>
                <w:rFonts w:hint="eastAsia" w:ascii="宋体" w:eastAsia="宋体" w:cs="宋体"/>
                <w:color w:val="auto"/>
                <w:sz w:val="24"/>
                <w:u w:val="none"/>
                <w:lang w:val="en-US" w:eastAsia="zh-CN"/>
              </w:rPr>
              <w:t>模式</w:t>
            </w:r>
            <w:r>
              <w:rPr>
                <w:rFonts w:hint="eastAsia" w:ascii="宋体" w:eastAsia="宋体" w:cs="宋体"/>
                <w:color w:val="auto"/>
                <w:sz w:val="24"/>
                <w:u w:val="none"/>
              </w:rPr>
              <w:t>。</w:t>
            </w:r>
          </w:p>
          <w:p>
            <w:pPr>
              <w:keepNext w:val="0"/>
              <w:keepLines w:val="0"/>
              <w:pageBreakBefore w:val="0"/>
              <w:widowControl w:val="0"/>
              <w:kinsoku/>
              <w:wordWrap/>
              <w:overflowPunct/>
              <w:topLinePunct w:val="0"/>
              <w:autoSpaceDE/>
              <w:autoSpaceDN/>
              <w:bidi w:val="0"/>
              <w:spacing w:line="360" w:lineRule="auto"/>
              <w:ind w:left="0" w:right="0" w:firstLine="480" w:firstLineChars="200"/>
              <w:rPr>
                <w:rFonts w:ascii="Times New Roman" w:hAnsi="Times New Roman" w:cs="Times New Roman"/>
                <w:color w:val="auto"/>
                <w:sz w:val="24"/>
              </w:rPr>
            </w:pPr>
            <w:r>
              <w:rPr>
                <w:rFonts w:ascii="Times New Roman" w:hAnsi="Times New Roman" w:cs="Times New Roman"/>
                <w:color w:val="auto"/>
                <w:sz w:val="24"/>
              </w:rPr>
              <w:t>同时，本项目经</w:t>
            </w:r>
            <w:r>
              <w:rPr>
                <w:rFonts w:hint="eastAsia" w:cs="Times New Roman"/>
                <w:color w:val="auto"/>
                <w:sz w:val="24"/>
                <w:lang w:eastAsia="zh-CN"/>
              </w:rPr>
              <w:t>大英县发展和改革局</w:t>
            </w:r>
            <w:r>
              <w:rPr>
                <w:rFonts w:ascii="Times New Roman" w:hAnsi="Times New Roman" w:cs="Times New Roman"/>
                <w:color w:val="auto"/>
                <w:sz w:val="24"/>
              </w:rPr>
              <w:t>川投资备</w:t>
            </w:r>
            <w:r>
              <w:rPr>
                <w:rFonts w:ascii="Times New Roman" w:hAnsi="Times New Roman" w:cs="Times New Roman"/>
                <w:color w:val="auto"/>
                <w:sz w:val="24"/>
                <w:lang w:eastAsia="zh-CN"/>
              </w:rPr>
              <w:t>【2403-510923-04-01-239147】FGQB-0058</w:t>
            </w:r>
            <w:r>
              <w:rPr>
                <w:rFonts w:ascii="Times New Roman" w:hAnsi="Times New Roman" w:cs="Times New Roman"/>
                <w:color w:val="auto"/>
                <w:sz w:val="24"/>
              </w:rPr>
              <w:t>号文件予以备案，批准本项目建设。</w:t>
            </w:r>
          </w:p>
          <w:p>
            <w:pPr>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sz w:val="24"/>
              </w:rPr>
              <w:t>综上所述，本项目符合国家现行的法律、法规及产业政策</w:t>
            </w:r>
            <w:r>
              <w:rPr>
                <w:rFonts w:ascii="Times New Roman" w:hAnsi="Times New Roman" w:cs="Times New Roman"/>
                <w:color w:val="auto"/>
                <w:kern w:val="0"/>
                <w:sz w:val="24"/>
              </w:rPr>
              <w:t>。</w:t>
            </w:r>
          </w:p>
          <w:p>
            <w:pPr>
              <w:pStyle w:val="13"/>
              <w:spacing w:after="0" w:line="360" w:lineRule="auto"/>
              <w:ind w:left="0" w:leftChars="0" w:firstLine="482" w:firstLineChars="200"/>
              <w:rPr>
                <w:rFonts w:ascii="Times New Roman" w:hAnsi="Times New Roman" w:cs="Times New Roman"/>
                <w:b/>
                <w:bCs/>
                <w:color w:val="auto"/>
                <w:sz w:val="24"/>
              </w:rPr>
            </w:pPr>
            <w:r>
              <w:rPr>
                <w:rFonts w:ascii="Times New Roman" w:hAnsi="Times New Roman" w:cs="Times New Roman"/>
                <w:b/>
                <w:bCs/>
                <w:color w:val="auto"/>
                <w:sz w:val="24"/>
              </w:rPr>
              <w:t>3、与“三线一单”符合性分析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Times New Roman" w:hAnsi="Times New Roman" w:cs="Times New Roman"/>
                <w:color w:val="auto"/>
                <w:sz w:val="24"/>
                <w:highlight w:val="none"/>
              </w:rPr>
            </w:pPr>
            <w:r>
              <w:rPr>
                <w:rFonts w:ascii="Times New Roman" w:hAnsi="Times New Roman" w:cs="Times New Roman"/>
                <w:color w:val="auto"/>
                <w:sz w:val="24"/>
                <w:highlight w:val="none"/>
              </w:rPr>
              <w:t>按照“四川省生态环境厅办公室关于印发《产业园区规划环评“三线一单”符合性分析技术要点（试行）》和《项目环评“三线一单”符合性分析技术要点（试行）》的通知（川环办函[2021]469号）”的相关要求进行分析。本项目属于污染类项目，属于园区内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Times New Roman" w:hAnsi="Times New Roman" w:cs="Times New Roman"/>
                <w:color w:val="auto"/>
                <w:sz w:val="24"/>
                <w:szCs w:val="24"/>
                <w:highlight w:val="none"/>
                <w:lang w:val="en-US" w:eastAsia="zh-CN"/>
              </w:rPr>
            </w:pPr>
            <w:r>
              <w:rPr>
                <w:rFonts w:ascii="Times New Roman" w:hAnsi="Times New Roman" w:cs="Times New Roman"/>
                <w:color w:val="auto"/>
                <w:sz w:val="24"/>
                <w:szCs w:val="24"/>
                <w:highlight w:val="none"/>
                <w:lang w:val="en-US" w:eastAsia="zh-CN"/>
              </w:rPr>
              <w:t>（1）与生态保护红线符合性分析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szCs w:val="24"/>
                <w:highlight w:val="none"/>
              </w:rPr>
              <w:t>生态保护红线是指依法在重点生态功能区，生态环境敏感区和脆弱区等区域划定严格的管控边界，是国家和区域生态安全的底线，对于维护生态安全格局、保障生态服务功能、支撑经济社会可持续发展具有重要作用。</w:t>
            </w:r>
            <w:r>
              <w:rPr>
                <w:rFonts w:ascii="Times New Roman" w:hAnsi="Times New Roman" w:cs="Times New Roman"/>
                <w:color w:val="auto"/>
                <w:sz w:val="24"/>
                <w:szCs w:val="24"/>
                <w:highlight w:val="none"/>
                <w:lang w:val="en-US" w:eastAsia="zh-CN"/>
              </w:rPr>
              <w:t>遂宁市生态保护红线如下图所示：</w:t>
            </w:r>
          </w:p>
          <w:p>
            <w:pPr>
              <w:pStyle w:val="11"/>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imes New Roman" w:hAnsi="Times New Roman" w:cs="Times New Roman"/>
                <w:color w:val="auto"/>
                <w:highlight w:val="none"/>
              </w:rPr>
            </w:pPr>
            <w:r>
              <w:rPr>
                <w:rFonts w:ascii="Times New Roman" w:hAnsi="Times New Roman" w:cs="Times New Roman"/>
                <w:color w:val="auto"/>
                <w:sz w:val="24"/>
                <w:highlight w:val="none"/>
              </w:rPr>
              <mc:AlternateContent>
                <mc:Choice Requires="wps">
                  <w:drawing>
                    <wp:anchor distT="0" distB="0" distL="113665" distR="113665" simplePos="0" relativeHeight="251659264" behindDoc="0" locked="0" layoutInCell="1" allowOverlap="1">
                      <wp:simplePos x="0" y="0"/>
                      <wp:positionH relativeFrom="column">
                        <wp:posOffset>584200</wp:posOffset>
                      </wp:positionH>
                      <wp:positionV relativeFrom="paragraph">
                        <wp:posOffset>2399030</wp:posOffset>
                      </wp:positionV>
                      <wp:extent cx="1044575" cy="294640"/>
                      <wp:effectExtent l="0" t="0" r="0" b="0"/>
                      <wp:wrapNone/>
                      <wp:docPr id="7" name="矩形标注 17"/>
                      <wp:cNvGraphicFramePr/>
                      <a:graphic xmlns:a="http://schemas.openxmlformats.org/drawingml/2006/main">
                        <a:graphicData uri="http://schemas.microsoft.com/office/word/2010/wordprocessingShape">
                          <wps:wsp>
                            <wps:cNvSpPr/>
                            <wps:spPr>
                              <a:xfrm>
                                <a:off x="0" y="0"/>
                                <a:ext cx="1044575" cy="294639"/>
                              </a:xfrm>
                              <a:prstGeom prst="wedgeRectCallout">
                                <a:avLst>
                                  <a:gd name="adj1" fmla="val 32930"/>
                                  <a:gd name="adj2" fmla="val -252583"/>
                                </a:avLst>
                              </a:prstGeom>
                              <a:solidFill>
                                <a:srgbClr val="FFFFFF"/>
                              </a:solidFill>
                              <a:ln w="9525" cap="flat" cmpd="sng">
                                <a:solidFill>
                                  <a:srgbClr val="FF0000"/>
                                </a:solidFill>
                                <a:prstDash val="solid"/>
                                <a:miter/>
                              </a:ln>
                            </wps:spPr>
                            <wps:txbx>
                              <w:txbxContent>
                                <w:p>
                                  <w:pPr>
                                    <w:rPr>
                                      <w:rFonts w:eastAsia="宋体"/>
                                      <w:color w:val="C00000"/>
                                      <w:lang w:val="en-US" w:eastAsia="zh-CN"/>
                                    </w:rPr>
                                  </w:pPr>
                                  <w:r>
                                    <w:rPr>
                                      <w:rFonts w:hint="eastAsia"/>
                                      <w:color w:val="C00000"/>
                                      <w:lang w:val="en-US" w:eastAsia="zh-CN"/>
                                    </w:rPr>
                                    <w:t>本项目所在地</w:t>
                                  </w:r>
                                </w:p>
                              </w:txbxContent>
                            </wps:txbx>
                            <wps:bodyPr vert="horz" wrap="square" lIns="91440" tIns="45720" rIns="91440" bIns="45720" anchor="t" anchorCtr="0" upright="1">
                              <a:noAutofit/>
                            </wps:bodyPr>
                          </wps:wsp>
                        </a:graphicData>
                      </a:graphic>
                    </wp:anchor>
                  </w:drawing>
                </mc:Choice>
                <mc:Fallback>
                  <w:pict>
                    <v:shape id="矩形标注 17" o:spid="_x0000_s1026" o:spt="61" type="#_x0000_t61" style="position:absolute;left:0pt;margin-left:46pt;margin-top:188.9pt;height:23.2pt;width:82.25pt;z-index:251659264;mso-width-relative:page;mso-height-relative:page;" fillcolor="#FFFFFF" filled="t" stroked="t" coordsize="21600,21600" o:gfxdata="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mJlYXbAAAACgEAAA8AAAAAAAAAAQAgAAAAIgAAAGRycy9kb3ducmV2LnhtbFBLAQIUABQAAAAI&#10;AIdO4kBSIav7XAIAALwEAAAOAAAAAAAAAAEAIAAAACoBAABkcnMvZTJvRG9jLnhtbFBLBQYAAAAA&#10;BgAGAFkBAAD4BQAAAAA=&#10;" adj="17913,-43758">
                      <v:fill on="t" focussize="0,0"/>
                      <v:stroke color="#FF0000" joinstyle="miter"/>
                      <v:imagedata o:title=""/>
                      <o:lock v:ext="edit" aspectratio="f"/>
                      <v:textbox>
                        <w:txbxContent>
                          <w:p>
                            <w:pPr>
                              <w:rPr>
                                <w:rFonts w:eastAsia="宋体"/>
                                <w:color w:val="C00000"/>
                                <w:lang w:val="en-US" w:eastAsia="zh-CN"/>
                              </w:rPr>
                            </w:pPr>
                            <w:r>
                              <w:rPr>
                                <w:rFonts w:hint="eastAsia"/>
                                <w:color w:val="C00000"/>
                                <w:lang w:val="en-US" w:eastAsia="zh-CN"/>
                              </w:rPr>
                              <w:t>本项目所在地</w:t>
                            </w:r>
                          </w:p>
                        </w:txbxContent>
                      </v:textbox>
                    </v:shape>
                  </w:pict>
                </mc:Fallback>
              </mc:AlternateContent>
            </w:r>
            <w:r>
              <w:rPr>
                <w:rFonts w:ascii="Times New Roman" w:hAnsi="Times New Roman" w:cs="Times New Roman"/>
                <w:color w:val="auto"/>
                <w:highlight w:val="none"/>
              </w:rPr>
              <w:drawing>
                <wp:inline distT="0" distB="0" distL="114300" distR="114300">
                  <wp:extent cx="4779010" cy="2945130"/>
                  <wp:effectExtent l="14288" t="14288" r="14277" b="14242"/>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a:off x="0" y="0"/>
                            <a:ext cx="4779010" cy="2945130"/>
                          </a:xfrm>
                          <a:prstGeom prst="rect">
                            <a:avLst/>
                          </a:prstGeom>
                          <a:noFill/>
                          <a:ln w="9525" cap="flat" cmpd="sng">
                            <a:solidFill>
                              <a:srgbClr val="000000"/>
                            </a:solidFill>
                            <a:prstDash val="solid"/>
                            <a:miter/>
                          </a:ln>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ascii="Times New Roman" w:hAnsi="Times New Roman" w:eastAsia="宋体" w:cs="Times New Roman"/>
                <w:b/>
                <w:bCs/>
                <w:color w:val="auto"/>
                <w:sz w:val="21"/>
                <w:szCs w:val="21"/>
                <w:highlight w:val="none"/>
                <w:lang w:val="en-US" w:eastAsia="zh-CN"/>
              </w:rPr>
            </w:pPr>
            <w:r>
              <w:rPr>
                <w:rFonts w:ascii="Times New Roman" w:hAnsi="Times New Roman" w:eastAsia="宋体" w:cs="Times New Roman"/>
                <w:b/>
                <w:bCs/>
                <w:color w:val="auto"/>
                <w:sz w:val="21"/>
                <w:szCs w:val="21"/>
                <w:highlight w:val="none"/>
                <w:lang w:val="en-US" w:eastAsia="zh-CN"/>
              </w:rPr>
              <w:t>图1-</w:t>
            </w:r>
            <w:r>
              <w:rPr>
                <w:rFonts w:ascii="Times New Roman" w:hAnsi="Times New Roman" w:cs="Times New Roman"/>
                <w:b/>
                <w:bCs/>
                <w:color w:val="auto"/>
                <w:sz w:val="21"/>
                <w:szCs w:val="21"/>
                <w:highlight w:val="none"/>
                <w:lang w:val="en-US" w:eastAsia="zh-CN"/>
              </w:rPr>
              <w:t>2</w:t>
            </w:r>
            <w:r>
              <w:rPr>
                <w:rFonts w:ascii="Times New Roman" w:hAnsi="Times New Roman" w:eastAsia="宋体" w:cs="Times New Roman"/>
                <w:b/>
                <w:bCs/>
                <w:color w:val="auto"/>
                <w:sz w:val="21"/>
                <w:szCs w:val="21"/>
                <w:highlight w:val="none"/>
                <w:lang w:val="en-US" w:eastAsia="zh-CN"/>
              </w:rPr>
              <w:t xml:space="preserve"> 遂宁市生态保护红线图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highlight w:val="none"/>
                <w:lang w:eastAsia="zh-CN"/>
              </w:rPr>
            </w:pPr>
            <w:r>
              <w:rPr>
                <w:rFonts w:ascii="Times New Roman" w:hAnsi="Times New Roman" w:cs="Times New Roman"/>
                <w:color w:val="auto"/>
                <w:sz w:val="24"/>
                <w:highlight w:val="none"/>
              </w:rPr>
              <w:t>本项目位于</w:t>
            </w:r>
            <w:r>
              <w:rPr>
                <w:rFonts w:ascii="Times New Roman" w:hAnsi="Times New Roman" w:cs="Times New Roman"/>
                <w:color w:val="auto"/>
                <w:sz w:val="24"/>
                <w:highlight w:val="none"/>
                <w:lang w:val="en-US" w:eastAsia="zh-CN"/>
              </w:rPr>
              <w:t>遂宁市大英经济技术开发区内，</w:t>
            </w:r>
            <w:r>
              <w:rPr>
                <w:rFonts w:ascii="Times New Roman" w:hAnsi="Times New Roman" w:cs="Times New Roman"/>
                <w:color w:val="auto"/>
                <w:sz w:val="24"/>
                <w:highlight w:val="none"/>
              </w:rPr>
              <w:t>不涉及</w:t>
            </w:r>
            <w:r>
              <w:rPr>
                <w:rFonts w:ascii="Times New Roman" w:hAnsi="Times New Roman" w:cs="Times New Roman"/>
                <w:color w:val="auto"/>
                <w:sz w:val="24"/>
                <w:highlight w:val="none"/>
                <w:lang w:val="en-US" w:eastAsia="zh-CN"/>
              </w:rPr>
              <w:t>遂宁</w:t>
            </w:r>
            <w:r>
              <w:rPr>
                <w:rFonts w:ascii="Times New Roman" w:hAnsi="Times New Roman" w:cs="Times New Roman"/>
                <w:color w:val="auto"/>
                <w:sz w:val="24"/>
                <w:highlight w:val="none"/>
              </w:rPr>
              <w:t>市划定的</w:t>
            </w:r>
            <w:r>
              <w:rPr>
                <w:rFonts w:ascii="Times New Roman" w:hAnsi="Times New Roman" w:cs="Times New Roman"/>
                <w:color w:val="auto"/>
                <w:sz w:val="24"/>
                <w:highlight w:val="none"/>
                <w:lang w:val="en-US" w:eastAsia="zh-CN"/>
              </w:rPr>
              <w:t>生态</w:t>
            </w:r>
            <w:r>
              <w:rPr>
                <w:rFonts w:ascii="Times New Roman" w:hAnsi="Times New Roman" w:cs="Times New Roman"/>
                <w:color w:val="auto"/>
                <w:sz w:val="24"/>
                <w:highlight w:val="none"/>
              </w:rPr>
              <w:t>红线</w:t>
            </w:r>
            <w:r>
              <w:rPr>
                <w:rFonts w:ascii="Times New Roman" w:hAnsi="Times New Roman" w:cs="Times New Roman"/>
                <w:color w:val="auto"/>
                <w:sz w:val="24"/>
                <w:highlight w:val="none"/>
                <w:lang w:eastAsia="zh-CN"/>
              </w:rPr>
              <w:t>。</w:t>
            </w:r>
          </w:p>
          <w:p>
            <w:pPr>
              <w:spacing w:line="360" w:lineRule="auto"/>
              <w:ind w:firstLine="480" w:firstLineChars="200"/>
              <w:outlineLvl w:val="0"/>
              <w:rPr>
                <w:rFonts w:ascii="Times New Roman" w:hAnsi="Times New Roman" w:cs="Times New Roman"/>
                <w:color w:val="auto"/>
                <w:sz w:val="24"/>
                <w:szCs w:val="24"/>
                <w:highlight w:val="none"/>
                <w:lang w:val="en-US" w:eastAsia="zh-CN"/>
              </w:rPr>
            </w:pPr>
            <w:r>
              <w:rPr>
                <w:rFonts w:ascii="Times New Roman" w:hAnsi="Times New Roman" w:cs="Times New Roman"/>
                <w:color w:val="auto"/>
                <w:sz w:val="24"/>
                <w:szCs w:val="24"/>
                <w:highlight w:val="none"/>
                <w:lang w:val="en-US" w:eastAsia="zh-CN"/>
              </w:rPr>
              <w:t>（2）</w:t>
            </w:r>
            <w:r>
              <w:rPr>
                <w:rFonts w:ascii="Times New Roman" w:hAnsi="Times New Roman" w:cs="Times New Roman"/>
                <w:color w:val="auto"/>
                <w:sz w:val="24"/>
                <w:highlight w:val="none"/>
              </w:rPr>
              <w:t>环境风险管控单元确定</w:t>
            </w:r>
          </w:p>
          <w:p>
            <w:pPr>
              <w:pStyle w:val="84"/>
              <w:keepNext w:val="0"/>
              <w:keepLines w:val="0"/>
              <w:pageBreakBefore w:val="0"/>
              <w:widowControl/>
              <w:kinsoku/>
              <w:wordWrap/>
              <w:overflowPunct/>
              <w:topLinePunct w:val="0"/>
              <w:autoSpaceDE/>
              <w:autoSpaceDN/>
              <w:bidi w:val="0"/>
              <w:spacing w:before="0" w:after="0" w:line="360" w:lineRule="auto"/>
              <w:ind w:firstLine="480" w:firstLineChars="200"/>
              <w:jc w:val="both"/>
              <w:textAlignment w:val="auto"/>
              <w:outlineLvl w:val="9"/>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根据生态环境部办公厅《关于印发〈2023年生态环境分区管控成果动态更新工作方案》的通知》（环办环评函〔2023）81号)</w:t>
            </w:r>
            <w:r>
              <w:rPr>
                <w:rFonts w:hint="eastAsia" w:eastAsia="宋体"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四川省生态环境保护委员会办公室《关于印发〈四川省2023年生态环境分区管控成果动态更新工作方案》的通知》（川环委办（2023)11号)要求</w:t>
            </w:r>
            <w:r>
              <w:rPr>
                <w:rFonts w:hint="eastAsia" w:eastAsia="宋体"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《项目环评“三线一单”符合性技术分析要求（试行）》川环办函</w:t>
            </w:r>
            <w:r>
              <w:rPr>
                <w:rFonts w:ascii="Times New Roman" w:hAnsi="Times New Roman" w:eastAsia="宋体" w:cs="Times New Roman"/>
                <w:color w:val="auto"/>
                <w:sz w:val="24"/>
                <w:szCs w:val="24"/>
                <w:highlight w:val="none"/>
                <w:u w:val="none"/>
                <w:lang w:val="zh-CN"/>
              </w:rPr>
              <w:t>〔</w:t>
            </w:r>
            <w:r>
              <w:rPr>
                <w:rFonts w:ascii="Times New Roman" w:hAnsi="Times New Roman" w:eastAsia="宋体" w:cs="Times New Roman"/>
                <w:color w:val="auto"/>
                <w:sz w:val="24"/>
                <w:szCs w:val="24"/>
                <w:highlight w:val="none"/>
                <w:u w:val="none"/>
              </w:rPr>
              <w:t>2021</w:t>
            </w:r>
            <w:r>
              <w:rPr>
                <w:rFonts w:ascii="Times New Roman" w:hAnsi="Times New Roman" w:eastAsia="宋体" w:cs="Times New Roman"/>
                <w:color w:val="auto"/>
                <w:sz w:val="24"/>
                <w:szCs w:val="24"/>
                <w:highlight w:val="none"/>
                <w:u w:val="none"/>
                <w:lang w:val="zh-CN"/>
              </w:rPr>
              <w:t>〕</w:t>
            </w:r>
            <w:r>
              <w:rPr>
                <w:rFonts w:ascii="Times New Roman" w:hAnsi="Times New Roman" w:eastAsia="宋体" w:cs="Times New Roman"/>
                <w:color w:val="auto"/>
                <w:sz w:val="24"/>
                <w:szCs w:val="24"/>
                <w:highlight w:val="none"/>
                <w:u w:val="none"/>
              </w:rPr>
              <w:t>469号文件：如建设项目位于产业园区内，且产业园区规划环境影响评价中已开展了园区与“三线一单”符合性分析，则项目环评只需分析与产业园区生态环境准入要求的符合性。</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outlineLvl w:val="9"/>
              <w:rPr>
                <w:rFonts w:ascii="Times New Roman" w:hAnsi="Times New Roman" w:cs="Times New Roman"/>
                <w:color w:val="auto"/>
                <w:sz w:val="24"/>
                <w:szCs w:val="24"/>
                <w:highlight w:val="none"/>
              </w:rPr>
            </w:pPr>
            <w:r>
              <w:rPr>
                <w:rFonts w:ascii="Times New Roman" w:hAnsi="Times New Roman" w:eastAsia="宋体" w:cs="Times New Roman"/>
                <w:b w:val="0"/>
                <w:bCs/>
                <w:color w:val="auto"/>
                <w:kern w:val="44"/>
                <w:sz w:val="24"/>
                <w:szCs w:val="24"/>
                <w:highlight w:val="none"/>
                <w:lang w:val="en-US" w:eastAsia="zh-CN" w:bidi="ar-SA"/>
              </w:rPr>
              <w:t>根据四川政务服务网“三线一单”数据分析系</w:t>
            </w:r>
            <w:r>
              <w:rPr>
                <w:rFonts w:ascii="Times New Roman" w:hAnsi="Times New Roman" w:cs="Times New Roman"/>
                <w:b w:val="0"/>
                <w:bCs/>
                <w:color w:val="auto"/>
                <w:kern w:val="44"/>
                <w:sz w:val="24"/>
                <w:szCs w:val="24"/>
                <w:highlight w:val="none"/>
                <w:lang w:val="en-US" w:eastAsia="zh-CN" w:bidi="ar-SA"/>
              </w:rPr>
              <w:t>统</w:t>
            </w:r>
            <w:r>
              <w:rPr>
                <w:rFonts w:ascii="Times New Roman" w:hAnsi="Times New Roman" w:eastAsia="宋体" w:cs="Times New Roman"/>
                <w:b w:val="0"/>
                <w:bCs/>
                <w:color w:val="auto"/>
                <w:kern w:val="44"/>
                <w:sz w:val="24"/>
                <w:szCs w:val="24"/>
                <w:highlight w:val="none"/>
                <w:lang w:val="en-US" w:eastAsia="zh-CN" w:bidi="ar-SA"/>
              </w:rPr>
              <w:t>，本项目风险管控单元分布详见下图。</w:t>
            </w:r>
            <w:r>
              <w:rPr>
                <w:rFonts w:ascii="Helvetica" w:hAnsi="Helvetica" w:eastAsia="Helvetica"/>
                <w:color w:val="auto"/>
                <w:sz w:val="28"/>
                <w:szCs w:val="24"/>
              </w:rPr>
              <w:drawing>
                <wp:inline distT="0" distB="0" distL="114300" distR="114300">
                  <wp:extent cx="4814570" cy="2888615"/>
                  <wp:effectExtent l="0" t="0" r="41" b="13"/>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4814570" cy="2888615"/>
                          </a:xfrm>
                          <a:prstGeom prst="rect">
                            <a:avLst/>
                          </a:prstGeom>
                          <a:noFill/>
                          <a:ln w="9525" cap="flat" cmpd="sng">
                            <a:noFill/>
                            <a:prstDash val="solid"/>
                            <a:round/>
                          </a:ln>
                        </pic:spPr>
                      </pic:pic>
                    </a:graphicData>
                  </a:graphic>
                </wp:inline>
              </w:drawing>
            </w:r>
          </w:p>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图1-</w:t>
            </w:r>
            <w:r>
              <w:rPr>
                <w:rFonts w:ascii="Times New Roman" w:hAnsi="Times New Roman" w:cs="Times New Roman"/>
                <w:b/>
                <w:bCs/>
                <w:color w:val="auto"/>
                <w:szCs w:val="21"/>
                <w:lang w:val="en-US" w:eastAsia="zh-CN"/>
              </w:rPr>
              <w:t>3</w:t>
            </w:r>
            <w:r>
              <w:rPr>
                <w:rFonts w:ascii="Times New Roman" w:hAnsi="Times New Roman" w:eastAsia="宋体" w:cs="Times New Roman"/>
                <w:b/>
                <w:bCs/>
                <w:color w:val="auto"/>
              </w:rPr>
              <w:t>本项目与管控单元相对位置</w:t>
            </w:r>
            <w:r>
              <w:rPr>
                <w:rFonts w:ascii="Times New Roman" w:hAnsi="Times New Roman" w:eastAsia="宋体" w:cs="Times New Roman"/>
                <w:color w:val="auto"/>
                <w:sz w:val="21"/>
                <w:szCs w:val="21"/>
                <w:lang w:val="en-US" w:eastAsia="zh-CN"/>
              </w:rPr>
              <w:t>（图中</w:t>
            </w:r>
            <w:r>
              <w:rPr>
                <w:rFonts w:ascii="Times New Roman" w:hAnsi="Times New Roman" w:eastAsia="宋体" w:cs="Times New Roman"/>
                <w:color w:val="auto"/>
                <w:sz w:val="21"/>
                <w:szCs w:val="21"/>
              </w:rPr>
              <w:t>▼</w:t>
            </w:r>
            <w:r>
              <w:rPr>
                <w:rFonts w:ascii="Times New Roman" w:hAnsi="Times New Roman" w:eastAsia="宋体" w:cs="Times New Roman"/>
                <w:color w:val="auto"/>
                <w:sz w:val="21"/>
                <w:szCs w:val="21"/>
                <w:lang w:val="en-US" w:eastAsia="zh-CN"/>
              </w:rPr>
              <w:t>表示项目位置）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kern w:val="0"/>
                <w:sz w:val="24"/>
                <w:szCs w:val="20"/>
                <w:lang w:eastAsia="zh-CN"/>
              </w:rPr>
            </w:pPr>
            <w:r>
              <w:rPr>
                <w:rFonts w:ascii="Times New Roman" w:hAnsi="Times New Roman" w:eastAsia="宋体" w:cs="Times New Roman"/>
                <w:color w:val="auto"/>
                <w:kern w:val="0"/>
                <w:sz w:val="24"/>
                <w:szCs w:val="20"/>
              </w:rPr>
              <w:t>根据四川政务服务网“三线一单”数据分析系</w:t>
            </w:r>
            <w:r>
              <w:rPr>
                <w:rFonts w:ascii="Times New Roman" w:hAnsi="Times New Roman" w:cs="Times New Roman"/>
                <w:color w:val="auto"/>
                <w:kern w:val="0"/>
                <w:sz w:val="24"/>
                <w:szCs w:val="20"/>
                <w:lang w:eastAsia="zh-CN"/>
              </w:rPr>
              <w:t>统</w:t>
            </w:r>
            <w:r>
              <w:rPr>
                <w:rFonts w:ascii="Times New Roman" w:hAnsi="Times New Roman" w:eastAsia="宋体" w:cs="Times New Roman"/>
                <w:color w:val="auto"/>
                <w:kern w:val="0"/>
                <w:sz w:val="24"/>
                <w:szCs w:val="20"/>
              </w:rPr>
              <w:t>，本项目涉及</w:t>
            </w:r>
            <w:r>
              <w:rPr>
                <w:rFonts w:ascii="Times New Roman" w:hAnsi="Times New Roman" w:cs="Times New Roman"/>
                <w:color w:val="auto"/>
                <w:kern w:val="0"/>
                <w:sz w:val="24"/>
                <w:szCs w:val="20"/>
                <w:lang w:val="en-US" w:eastAsia="zh-CN"/>
              </w:rPr>
              <w:t>5</w:t>
            </w:r>
            <w:r>
              <w:rPr>
                <w:rFonts w:ascii="Times New Roman" w:hAnsi="Times New Roman" w:eastAsia="宋体" w:cs="Times New Roman"/>
                <w:color w:val="auto"/>
                <w:kern w:val="0"/>
                <w:sz w:val="24"/>
                <w:szCs w:val="20"/>
              </w:rPr>
              <w:t>个环境管控单元，详见下表。</w:t>
            </w:r>
            <w:r>
              <w:rPr>
                <w:rFonts w:ascii="Times New Roman" w:hAnsi="Times New Roman" w:cs="Times New Roman"/>
                <w:color w:val="auto"/>
                <w:kern w:val="0"/>
                <w:sz w:val="24"/>
                <w:szCs w:val="2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ascii="Times New Roman" w:hAnsi="Times New Roman" w:eastAsia="宋体" w:cs="Times New Roman"/>
                <w:b/>
                <w:bCs/>
                <w:color w:val="auto"/>
              </w:rPr>
            </w:pPr>
            <w:r>
              <w:rPr>
                <w:rFonts w:ascii="Times New Roman" w:hAnsi="Times New Roman" w:eastAsia="宋体" w:cs="Times New Roman"/>
                <w:b/>
                <w:bCs/>
                <w:color w:val="auto"/>
              </w:rPr>
              <w:t>表1-</w:t>
            </w:r>
            <w:r>
              <w:rPr>
                <w:rFonts w:hint="eastAsia" w:ascii="Times New Roman" w:hAnsi="Times New Roman" w:cs="Times New Roman"/>
                <w:b/>
                <w:bCs/>
                <w:color w:val="auto"/>
                <w:lang w:val="en-US" w:eastAsia="zh-CN"/>
              </w:rPr>
              <w:t>4</w:t>
            </w:r>
            <w:r>
              <w:rPr>
                <w:rFonts w:ascii="Times New Roman" w:hAnsi="Times New Roman" w:eastAsia="宋体" w:cs="Times New Roman"/>
                <w:b/>
                <w:bCs/>
                <w:color w:val="auto"/>
              </w:rPr>
              <w:t>本项目涉及环境管控单元一览表</w:t>
            </w:r>
          </w:p>
          <w:tbl>
            <w:tblPr>
              <w:tblStyle w:val="25"/>
              <w:tblW w:w="754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696"/>
              <w:gridCol w:w="867"/>
              <w:gridCol w:w="826"/>
              <w:gridCol w:w="1003"/>
              <w:gridCol w:w="1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kern w:val="0"/>
                      <w:sz w:val="21"/>
                      <w:szCs w:val="21"/>
                      <w:lang w:val="en-US" w:eastAsia="zh-CN" w:bidi="ar-SA"/>
                    </w:rPr>
                    <w:t>环境管控单元编码</w:t>
                  </w:r>
                </w:p>
              </w:tc>
              <w:tc>
                <w:tcPr>
                  <w:tcW w:w="169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kern w:val="0"/>
                      <w:sz w:val="21"/>
                      <w:szCs w:val="21"/>
                      <w:lang w:val="en-US" w:eastAsia="zh-CN" w:bidi="ar-SA"/>
                    </w:rPr>
                    <w:t>环境管控单元名称</w:t>
                  </w:r>
                </w:p>
              </w:tc>
              <w:tc>
                <w:tcPr>
                  <w:tcW w:w="867"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kern w:val="0"/>
                      <w:sz w:val="21"/>
                      <w:szCs w:val="21"/>
                      <w:lang w:val="en-US" w:eastAsia="zh-CN" w:bidi="ar-SA"/>
                    </w:rPr>
                    <w:t>所属市（州）</w:t>
                  </w:r>
                </w:p>
              </w:tc>
              <w:tc>
                <w:tcPr>
                  <w:tcW w:w="82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kern w:val="0"/>
                      <w:sz w:val="21"/>
                      <w:szCs w:val="21"/>
                      <w:lang w:val="en-US" w:eastAsia="zh-CN" w:bidi="ar-SA"/>
                    </w:rPr>
                    <w:t>所属区县</w:t>
                  </w:r>
                </w:p>
              </w:tc>
              <w:tc>
                <w:tcPr>
                  <w:tcW w:w="10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kern w:val="0"/>
                      <w:sz w:val="21"/>
                      <w:szCs w:val="21"/>
                      <w:lang w:val="en-US" w:eastAsia="zh-CN" w:bidi="ar-SA"/>
                    </w:rPr>
                    <w:t>准入清单类型</w:t>
                  </w:r>
                </w:p>
              </w:tc>
              <w:tc>
                <w:tcPr>
                  <w:tcW w:w="163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kern w:val="0"/>
                      <w:sz w:val="21"/>
                      <w:szCs w:val="21"/>
                      <w:lang w:val="en-US" w:eastAsia="zh-CN" w:bidi="ar-SA"/>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YS5109232310001</w:t>
                  </w:r>
                </w:p>
              </w:tc>
              <w:tc>
                <w:tcPr>
                  <w:tcW w:w="169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大英县工业集中发展区</w:t>
                  </w:r>
                  <w:r>
                    <w:rPr>
                      <w:rStyle w:val="26"/>
                      <w:rFonts w:hint="eastAsia" w:eastAsia="宋体" w:cs="Times New Roman"/>
                      <w:color w:val="auto"/>
                      <w:kern w:val="2"/>
                      <w:sz w:val="21"/>
                      <w:szCs w:val="21"/>
                      <w:lang w:val="en-US" w:eastAsia="zh-CN" w:bidi="ar-SA"/>
                    </w:rPr>
                    <w:t>（</w:t>
                  </w:r>
                  <w:r>
                    <w:rPr>
                      <w:rStyle w:val="26"/>
                      <w:rFonts w:ascii="Times New Roman" w:hAnsi="Times New Roman" w:eastAsia="宋体" w:cs="Times New Roman"/>
                      <w:color w:val="auto"/>
                      <w:kern w:val="2"/>
                      <w:sz w:val="21"/>
                      <w:szCs w:val="21"/>
                      <w:lang w:val="en-US" w:eastAsia="zh-CN" w:bidi="ar-SA"/>
                    </w:rPr>
                    <w:t>含经开区</w:t>
                  </w:r>
                  <w:r>
                    <w:rPr>
                      <w:rStyle w:val="26"/>
                      <w:rFonts w:hint="eastAsia" w:eastAsia="宋体" w:cs="Times New Roman"/>
                      <w:color w:val="auto"/>
                      <w:kern w:val="2"/>
                      <w:sz w:val="21"/>
                      <w:szCs w:val="21"/>
                      <w:lang w:val="en-US" w:eastAsia="zh-CN" w:bidi="ar-SA"/>
                    </w:rPr>
                    <w:t>）</w:t>
                  </w:r>
                </w:p>
              </w:tc>
              <w:tc>
                <w:tcPr>
                  <w:tcW w:w="867"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遂宁市</w:t>
                  </w:r>
                </w:p>
              </w:tc>
              <w:tc>
                <w:tcPr>
                  <w:tcW w:w="82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w:t>
                  </w:r>
                </w:p>
              </w:tc>
              <w:tc>
                <w:tcPr>
                  <w:tcW w:w="1003"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土壤污染风险管控分区</w:t>
                  </w:r>
                </w:p>
              </w:tc>
              <w:tc>
                <w:tcPr>
                  <w:tcW w:w="163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大气环境高排放重点管控区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YS5109232530001</w:t>
                  </w:r>
                </w:p>
              </w:tc>
              <w:tc>
                <w:tcPr>
                  <w:tcW w:w="169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大英县城镇开发边界</w:t>
                  </w:r>
                </w:p>
              </w:tc>
              <w:tc>
                <w:tcPr>
                  <w:tcW w:w="867"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遂宁市</w:t>
                  </w:r>
                </w:p>
              </w:tc>
              <w:tc>
                <w:tcPr>
                  <w:tcW w:w="82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w:t>
                  </w:r>
                </w:p>
              </w:tc>
              <w:tc>
                <w:tcPr>
                  <w:tcW w:w="1003"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土壤污染风险管控分区</w:t>
                  </w:r>
                </w:p>
              </w:tc>
              <w:tc>
                <w:tcPr>
                  <w:tcW w:w="163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土地资源重点管控区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YS5109232540002</w:t>
                  </w:r>
                </w:p>
              </w:tc>
              <w:tc>
                <w:tcPr>
                  <w:tcW w:w="169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四川大英经济开发区</w:t>
                  </w:r>
                </w:p>
              </w:tc>
              <w:tc>
                <w:tcPr>
                  <w:tcW w:w="867"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遂宁市</w:t>
                  </w:r>
                </w:p>
              </w:tc>
              <w:tc>
                <w:tcPr>
                  <w:tcW w:w="82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w:t>
                  </w:r>
                </w:p>
              </w:tc>
              <w:tc>
                <w:tcPr>
                  <w:tcW w:w="1003"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土壤污染风险管控分区</w:t>
                  </w:r>
                </w:p>
              </w:tc>
              <w:tc>
                <w:tcPr>
                  <w:tcW w:w="163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高污染燃料禁燃区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YS5109232550001</w:t>
                  </w:r>
                </w:p>
              </w:tc>
              <w:tc>
                <w:tcPr>
                  <w:tcW w:w="169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大英县自然资源重点管控区</w:t>
                  </w:r>
                </w:p>
              </w:tc>
              <w:tc>
                <w:tcPr>
                  <w:tcW w:w="867"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遂宁市</w:t>
                  </w:r>
                </w:p>
              </w:tc>
              <w:tc>
                <w:tcPr>
                  <w:tcW w:w="82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w:t>
                  </w:r>
                </w:p>
              </w:tc>
              <w:tc>
                <w:tcPr>
                  <w:tcW w:w="1003"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土壤污染风险管控分区</w:t>
                  </w:r>
                </w:p>
              </w:tc>
              <w:tc>
                <w:tcPr>
                  <w:tcW w:w="163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自然资源重点管控区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21"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ZH51092320002</w:t>
                  </w:r>
                </w:p>
              </w:tc>
              <w:tc>
                <w:tcPr>
                  <w:tcW w:w="169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大英县工业集中发展区</w:t>
                  </w:r>
                  <w:r>
                    <w:rPr>
                      <w:rStyle w:val="26"/>
                      <w:rFonts w:hint="eastAsia" w:eastAsia="宋体" w:cs="Times New Roman"/>
                      <w:color w:val="auto"/>
                      <w:kern w:val="2"/>
                      <w:sz w:val="21"/>
                      <w:szCs w:val="21"/>
                      <w:lang w:val="en-US" w:eastAsia="zh-CN" w:bidi="ar-SA"/>
                    </w:rPr>
                    <w:t>（</w:t>
                  </w:r>
                  <w:r>
                    <w:rPr>
                      <w:rStyle w:val="26"/>
                      <w:rFonts w:ascii="Times New Roman" w:hAnsi="Times New Roman" w:eastAsia="宋体" w:cs="Times New Roman"/>
                      <w:color w:val="auto"/>
                      <w:kern w:val="2"/>
                      <w:sz w:val="21"/>
                      <w:szCs w:val="21"/>
                      <w:lang w:val="en-US" w:eastAsia="zh-CN" w:bidi="ar-SA"/>
                    </w:rPr>
                    <w:t>含经开区</w:t>
                  </w:r>
                  <w:r>
                    <w:rPr>
                      <w:rStyle w:val="26"/>
                      <w:rFonts w:hint="eastAsia" w:eastAsia="宋体" w:cs="Times New Roman"/>
                      <w:color w:val="auto"/>
                      <w:kern w:val="2"/>
                      <w:sz w:val="21"/>
                      <w:szCs w:val="21"/>
                      <w:lang w:val="en-US" w:eastAsia="zh-CN" w:bidi="ar-SA"/>
                    </w:rPr>
                    <w:t>）</w:t>
                  </w:r>
                </w:p>
              </w:tc>
              <w:tc>
                <w:tcPr>
                  <w:tcW w:w="867"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遂宁市</w:t>
                  </w:r>
                </w:p>
              </w:tc>
              <w:tc>
                <w:tcPr>
                  <w:tcW w:w="82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大英县</w:t>
                  </w:r>
                </w:p>
              </w:tc>
              <w:tc>
                <w:tcPr>
                  <w:tcW w:w="1003"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土壤污染风险管控分区</w:t>
                  </w:r>
                </w:p>
              </w:tc>
              <w:tc>
                <w:tcPr>
                  <w:tcW w:w="1636" w:type="dxa"/>
                  <w:tcBorders>
                    <w:tl2br w:val="nil"/>
                    <w:tr2bl w:val="nil"/>
                  </w:tcBorders>
                  <w:noWrap/>
                  <w:vAlign w:val="center"/>
                </w:tcPr>
                <w:p>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r>
                    <w:rPr>
                      <w:rStyle w:val="26"/>
                      <w:rFonts w:ascii="Times New Roman" w:hAnsi="Times New Roman" w:eastAsia="宋体" w:cs="Times New Roman"/>
                      <w:color w:val="auto"/>
                      <w:kern w:val="2"/>
                      <w:sz w:val="21"/>
                      <w:szCs w:val="21"/>
                      <w:lang w:val="en-US" w:eastAsia="zh-CN" w:bidi="ar-SA"/>
                    </w:rPr>
                    <w:t>环境综合管控单元工业重点管控单元</w:t>
                  </w:r>
                </w:p>
              </w:tc>
            </w:tr>
          </w:tbl>
          <w:p>
            <w:pPr>
              <w:pStyle w:val="7"/>
              <w:widowControl/>
              <w:spacing w:line="360" w:lineRule="auto"/>
              <w:ind w:firstLine="480" w:firstLineChars="200"/>
              <w:jc w:val="left"/>
              <w:rPr>
                <w:rFonts w:ascii="Times New Roman" w:hAnsi="Times New Roman" w:cs="Times New Roman"/>
                <w:b/>
                <w:bCs/>
                <w:color w:val="auto"/>
                <w:sz w:val="24"/>
                <w:szCs w:val="24"/>
              </w:rPr>
            </w:pPr>
            <w:r>
              <w:rPr>
                <w:rFonts w:ascii="Times New Roman" w:hAnsi="Times New Roman" w:eastAsia="宋体" w:cs="Times New Roman"/>
                <w:color w:val="auto"/>
                <w:kern w:val="0"/>
                <w:sz w:val="24"/>
                <w:szCs w:val="20"/>
              </w:rPr>
              <w:t>本项目属于</w:t>
            </w:r>
            <w:r>
              <w:rPr>
                <w:rFonts w:ascii="Times New Roman" w:hAnsi="Times New Roman" w:eastAsia="宋体" w:cs="Times New Roman"/>
                <w:color w:val="auto"/>
                <w:kern w:val="0"/>
                <w:sz w:val="24"/>
                <w:szCs w:val="20"/>
                <w:lang w:val="en-US" w:eastAsia="zh-CN"/>
              </w:rPr>
              <w:t>ZH51092320002</w:t>
            </w:r>
            <w:r>
              <w:rPr>
                <w:rFonts w:ascii="Times New Roman" w:hAnsi="Times New Roman" w:eastAsia="宋体" w:cs="Times New Roman"/>
                <w:color w:val="auto"/>
                <w:kern w:val="0"/>
                <w:sz w:val="24"/>
                <w:szCs w:val="20"/>
              </w:rPr>
              <w:t>-</w:t>
            </w:r>
            <w:r>
              <w:rPr>
                <w:rFonts w:ascii="Times New Roman" w:hAnsi="Times New Roman" w:eastAsia="宋体" w:cs="Times New Roman"/>
                <w:color w:val="auto"/>
                <w:kern w:val="0"/>
                <w:sz w:val="24"/>
                <w:szCs w:val="20"/>
                <w:lang w:val="en-US" w:eastAsia="zh-CN"/>
              </w:rPr>
              <w:t>大英县工业集中发展区</w:t>
            </w:r>
            <w:r>
              <w:rPr>
                <w:rFonts w:hint="eastAsia" w:cs="Times New Roman"/>
                <w:color w:val="auto"/>
                <w:kern w:val="0"/>
                <w:sz w:val="24"/>
                <w:szCs w:val="20"/>
                <w:lang w:val="en-US" w:eastAsia="zh-CN"/>
              </w:rPr>
              <w:t>（</w:t>
            </w:r>
            <w:r>
              <w:rPr>
                <w:rFonts w:ascii="Times New Roman" w:hAnsi="Times New Roman" w:eastAsia="宋体" w:cs="Times New Roman"/>
                <w:color w:val="auto"/>
                <w:kern w:val="0"/>
                <w:sz w:val="24"/>
                <w:szCs w:val="20"/>
                <w:lang w:val="en-US" w:eastAsia="zh-CN"/>
              </w:rPr>
              <w:t>含经开区</w:t>
            </w:r>
            <w:r>
              <w:rPr>
                <w:rFonts w:hint="eastAsia" w:cs="Times New Roman"/>
                <w:color w:val="auto"/>
                <w:kern w:val="0"/>
                <w:sz w:val="24"/>
                <w:szCs w:val="20"/>
                <w:lang w:val="en-US" w:eastAsia="zh-CN"/>
              </w:rPr>
              <w:t>）</w:t>
            </w:r>
            <w:r>
              <w:rPr>
                <w:rFonts w:ascii="Times New Roman" w:hAnsi="Times New Roman" w:eastAsia="宋体" w:cs="Times New Roman"/>
                <w:color w:val="auto"/>
                <w:kern w:val="0"/>
                <w:sz w:val="24"/>
                <w:szCs w:val="20"/>
              </w:rPr>
              <w:t>-工业重点管控区，本项目与其管控要求符合性如下表所示</w:t>
            </w:r>
          </w:p>
        </w:tc>
      </w:tr>
    </w:tbl>
    <w:p>
      <w:pPr>
        <w:rPr>
          <w:rFonts w:ascii="Times New Roman" w:hAnsi="Times New Roman" w:cs="Times New Roman"/>
          <w:color w:val="auto"/>
        </w:rPr>
        <w:sectPr>
          <w:footerReference r:id="rId4" w:type="default"/>
          <w:pgSz w:w="11906" w:h="16838"/>
          <w:pgMar w:top="1701" w:right="1531" w:bottom="1701" w:left="1531" w:header="851" w:footer="1077" w:gutter="0"/>
          <w:pgNumType w:start="1"/>
          <w:cols w:space="720" w:num="1"/>
          <w:docGrid w:linePitch="312" w:charSpace="0"/>
        </w:sectPr>
      </w:pPr>
    </w:p>
    <w:p>
      <w:pPr>
        <w:pStyle w:val="2"/>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b/>
          <w:bCs/>
          <w:color w:val="auto"/>
          <w:sz w:val="21"/>
          <w:szCs w:val="21"/>
        </w:rPr>
        <w:t>表1-</w:t>
      </w:r>
      <w:r>
        <w:rPr>
          <w:rFonts w:hint="eastAsia" w:ascii="Times New Roman" w:hAnsi="Times New Roman" w:cs="Times New Roman"/>
          <w:b/>
          <w:bCs/>
          <w:color w:val="auto"/>
          <w:sz w:val="21"/>
          <w:szCs w:val="21"/>
          <w:lang w:val="en-US" w:eastAsia="zh-CN"/>
        </w:rPr>
        <w:t>5</w:t>
      </w:r>
      <w:r>
        <w:rPr>
          <w:rFonts w:ascii="Times New Roman" w:hAnsi="Times New Roman" w:eastAsia="宋体" w:cs="Times New Roman"/>
          <w:b/>
          <w:bCs/>
          <w:color w:val="auto"/>
          <w:sz w:val="21"/>
          <w:szCs w:val="21"/>
        </w:rPr>
        <w:t>本项目涉及环境管控单元</w:t>
      </w:r>
      <w:r>
        <w:rPr>
          <w:rFonts w:hint="eastAsia" w:ascii="Times New Roman" w:hAnsi="Times New Roman" w:cs="Times New Roman"/>
          <w:b/>
          <w:bCs/>
          <w:color w:val="auto"/>
          <w:sz w:val="21"/>
          <w:szCs w:val="21"/>
          <w:lang w:val="en-US" w:eastAsia="zh-CN"/>
        </w:rPr>
        <w:t>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955"/>
        <w:gridCol w:w="3604"/>
        <w:gridCol w:w="2546"/>
        <w:gridCol w:w="3913"/>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ign w:val="center"/>
          </w:tcPr>
          <w:p>
            <w:pPr>
              <w:widowControl/>
              <w:spacing w:line="240" w:lineRule="auto"/>
              <w:ind w:firstLine="0"/>
              <w:jc w:val="center"/>
              <w:rPr>
                <w:rStyle w:val="26"/>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0"/>
                <w:sz w:val="21"/>
                <w:szCs w:val="21"/>
                <w:lang w:val="en-US" w:eastAsia="zh-CN" w:bidi="ar-SA"/>
              </w:rPr>
              <w:t>环境管控单元编码</w:t>
            </w:r>
          </w:p>
        </w:tc>
        <w:tc>
          <w:tcPr>
            <w:tcW w:w="955" w:type="dxa"/>
            <w:noWrap/>
            <w:vAlign w:val="center"/>
          </w:tcPr>
          <w:p>
            <w:pPr>
              <w:widowControl/>
              <w:spacing w:line="240" w:lineRule="auto"/>
              <w:ind w:firstLine="0"/>
              <w:jc w:val="center"/>
              <w:rPr>
                <w:rStyle w:val="26"/>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0"/>
                <w:sz w:val="21"/>
                <w:szCs w:val="21"/>
                <w:lang w:val="en-US" w:eastAsia="zh-CN" w:bidi="ar-SA"/>
              </w:rPr>
              <w:t>环境管控单元名称</w:t>
            </w:r>
          </w:p>
        </w:tc>
        <w:tc>
          <w:tcPr>
            <w:tcW w:w="3604" w:type="dxa"/>
            <w:noWrap/>
            <w:vAlign w:val="center"/>
          </w:tcPr>
          <w:p>
            <w:pPr>
              <w:widowControl w:val="0"/>
              <w:spacing w:line="360" w:lineRule="auto"/>
              <w:ind w:firstLine="0"/>
              <w:jc w:val="center"/>
              <w:rPr>
                <w:rStyle w:val="26"/>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遂宁市普适性清单</w:t>
            </w:r>
          </w:p>
        </w:tc>
        <w:tc>
          <w:tcPr>
            <w:tcW w:w="2546" w:type="dxa"/>
            <w:noWrap/>
            <w:vAlign w:val="center"/>
          </w:tcPr>
          <w:p>
            <w:pPr>
              <w:widowControl/>
              <w:spacing w:line="240" w:lineRule="auto"/>
              <w:ind w:firstLine="0"/>
              <w:jc w:val="center"/>
              <w:rPr>
                <w:rStyle w:val="26"/>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0"/>
                <w:sz w:val="21"/>
                <w:szCs w:val="21"/>
                <w:lang w:val="en-US" w:eastAsia="zh-CN" w:bidi="ar-SA"/>
              </w:rPr>
              <w:t>管控类别</w:t>
            </w:r>
          </w:p>
        </w:tc>
        <w:tc>
          <w:tcPr>
            <w:tcW w:w="3913" w:type="dxa"/>
            <w:noWrap/>
            <w:vAlign w:val="center"/>
          </w:tcPr>
          <w:p>
            <w:pPr>
              <w:widowControl/>
              <w:spacing w:line="240" w:lineRule="auto"/>
              <w:ind w:firstLine="0"/>
              <w:jc w:val="center"/>
              <w:rPr>
                <w:rStyle w:val="26"/>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0"/>
                <w:sz w:val="21"/>
                <w:szCs w:val="21"/>
                <w:lang w:val="en-US" w:eastAsia="zh-CN" w:bidi="ar-SA"/>
              </w:rPr>
              <w:t>单元特性管控要求</w:t>
            </w:r>
          </w:p>
        </w:tc>
        <w:tc>
          <w:tcPr>
            <w:tcW w:w="1597" w:type="dxa"/>
            <w:noWrap/>
            <w:vAlign w:val="center"/>
          </w:tcPr>
          <w:p>
            <w:pPr>
              <w:widowControl/>
              <w:spacing w:line="240" w:lineRule="auto"/>
              <w:ind w:firstLine="0"/>
              <w:jc w:val="center"/>
              <w:rPr>
                <w:rFonts w:ascii="Times New Roman" w:hAnsi="Times New Roman" w:eastAsia="宋体" w:cs="Times New Roman"/>
                <w:b/>
                <w:bCs/>
                <w:color w:val="auto"/>
                <w:kern w:val="0"/>
                <w:sz w:val="21"/>
                <w:szCs w:val="21"/>
                <w:lang w:val="en-US" w:eastAsia="zh-CN" w:bidi="ar-SA"/>
              </w:rPr>
            </w:pPr>
            <w:r>
              <w:rPr>
                <w:rFonts w:ascii="Times New Roman" w:hAnsi="Times New Roman" w:cs="Times New Roman"/>
                <w:b/>
                <w:bCs/>
                <w:color w:val="auto"/>
                <w:kern w:val="0"/>
                <w:sz w:val="21"/>
                <w:szCs w:val="21"/>
                <w:lang w:val="en-US" w:eastAsia="zh-CN" w:bidi="ar-SA"/>
              </w:rPr>
              <w:t>本项目</w:t>
            </w:r>
            <w:r>
              <w:rPr>
                <w:rFonts w:hint="eastAsia" w:cs="Times New Roman"/>
                <w:b/>
                <w:bCs/>
                <w:color w:val="auto"/>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YS5109232310001</w:t>
            </w:r>
          </w:p>
        </w:tc>
        <w:tc>
          <w:tcPr>
            <w:tcW w:w="955"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大英县工业集中发展区</w:t>
            </w:r>
            <w:r>
              <w:rPr>
                <w:rStyle w:val="26"/>
                <w:rFonts w:hint="eastAsia" w:eastAsia="宋体" w:cs="Times New Roman"/>
                <w:color w:val="auto"/>
                <w:kern w:val="2"/>
                <w:sz w:val="21"/>
                <w:szCs w:val="21"/>
                <w:lang w:val="en-US" w:eastAsia="zh-CN" w:bidi="ar-SA"/>
              </w:rPr>
              <w:t>（</w:t>
            </w:r>
            <w:r>
              <w:rPr>
                <w:rStyle w:val="26"/>
                <w:rFonts w:ascii="Times New Roman" w:hAnsi="Times New Roman" w:eastAsia="宋体" w:cs="Times New Roman"/>
                <w:color w:val="auto"/>
                <w:kern w:val="2"/>
                <w:sz w:val="21"/>
                <w:szCs w:val="21"/>
                <w:lang w:val="en-US" w:eastAsia="zh-CN" w:bidi="ar-SA"/>
              </w:rPr>
              <w:t>含经开区</w:t>
            </w:r>
            <w:r>
              <w:rPr>
                <w:rStyle w:val="26"/>
                <w:rFonts w:hint="eastAsia" w:eastAsia="宋体" w:cs="Times New Roman"/>
                <w:color w:val="auto"/>
                <w:kern w:val="2"/>
                <w:sz w:val="21"/>
                <w:szCs w:val="21"/>
                <w:lang w:val="en-US" w:eastAsia="zh-CN" w:bidi="ar-SA"/>
              </w:rPr>
              <w:t>）</w:t>
            </w:r>
          </w:p>
        </w:tc>
        <w:tc>
          <w:tcPr>
            <w:tcW w:w="3604" w:type="dxa"/>
            <w:vMerge w:val="restart"/>
            <w:tcBorders>
              <w:top w:val="single" w:color="auto" w:sz="4" w:space="0"/>
              <w:left w:val="single" w:color="auto" w:sz="4" w:space="0"/>
              <w:right w:val="single" w:color="auto" w:sz="4" w:space="0"/>
            </w:tcBorders>
            <w:noWrap/>
          </w:tcPr>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空间布局约束：</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禁止开发建设活动的要求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限制开发建设活动的要求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不符合空间布局要求活动的退出要求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其他空间布局约束要求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污染物排放管控：</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允许排放量要求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现有源提标升级改造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其他污染物排放管控要求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环境风险防控：</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联防联控要求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其他环境风险防控要求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资源开发利用效率要求：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水资源利用总量要求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地下水开采要求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能源利用总量及效率要求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禁燃区要求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其他资源利用效率要求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暂无</w:t>
            </w: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空间布局约束</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禁止开发建设活动的要求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限制开发建设活动的要求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允许开发建设活动的要求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不符合空间布局要求活动的退出要求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其他空间布局约束要求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污染物排放管控</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大气环境质量执行标准</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《环境空气质量标准》（GB3095-2012）：二级</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区域大气污染物削减/替代要求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燃煤和其他能源大气污染控制要求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工业废气污染控制要求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机动车船大气污染控制要求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扬尘污染控制要求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农业生产经营活动大气污染控制要求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重点行业企业专项治理要求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其他大气污染物排放管控要求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工业废气污染控制要求</w:t>
            </w:r>
            <w:r>
              <w:rPr>
                <w:rStyle w:val="26"/>
                <w:rFonts w:hint="eastAsia" w:ascii="Times New Roman" w:hAnsi="Times New Roman" w:eastAsia="宋体" w:cs="Times New Roman"/>
                <w:color w:val="auto"/>
                <w:kern w:val="2"/>
                <w:sz w:val="21"/>
                <w:szCs w:val="21"/>
                <w:lang w:val="en-US" w:eastAsia="zh-CN" w:bidi="ar-SA"/>
              </w:rPr>
              <w:t>：本项目不属于燃煤锅炉。其他本项目不涉及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环境风险防控</w:t>
            </w:r>
          </w:p>
        </w:tc>
        <w:tc>
          <w:tcPr>
            <w:tcW w:w="3913"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资源开发效率要求</w:t>
            </w:r>
          </w:p>
        </w:tc>
        <w:tc>
          <w:tcPr>
            <w:tcW w:w="3913" w:type="dxa"/>
            <w:vMerge w:val="continue"/>
            <w:tcBorders>
              <w:top w:val="single" w:color="auto" w:sz="4" w:space="0"/>
              <w:left w:val="single" w:color="auto" w:sz="4" w:space="0"/>
              <w:right w:val="single" w:color="auto" w:sz="4" w:space="0"/>
            </w:tcBorders>
            <w:noWrap/>
            <w:vAlign w:val="center"/>
          </w:tcPr>
          <w:p/>
        </w:tc>
        <w:tc>
          <w:tcPr>
            <w:tcW w:w="1597" w:type="dxa"/>
            <w:vMerge w:val="continue"/>
            <w:tcBorders>
              <w:top w:val="single" w:color="auto" w:sz="4" w:space="0"/>
              <w:left w:val="single" w:color="auto" w:sz="4" w:space="0"/>
              <w:right w:val="single" w:color="auto" w:sz="4"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YS5109232530001</w:t>
            </w:r>
          </w:p>
        </w:tc>
        <w:tc>
          <w:tcPr>
            <w:tcW w:w="955"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大英县城镇开发边界</w:t>
            </w: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空间布局约束</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污染物排放管控</w:t>
            </w:r>
          </w:p>
        </w:tc>
        <w:tc>
          <w:tcPr>
            <w:tcW w:w="3913"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环境风险防控</w:t>
            </w:r>
          </w:p>
        </w:tc>
        <w:tc>
          <w:tcPr>
            <w:tcW w:w="3913" w:type="dxa"/>
            <w:vMerge w:val="continue"/>
            <w:tcBorders>
              <w:top w:val="single" w:color="auto" w:sz="4" w:space="0"/>
              <w:left w:val="single" w:color="auto" w:sz="4" w:space="0"/>
              <w:right w:val="single" w:color="auto" w:sz="4" w:space="0"/>
            </w:tcBorders>
            <w:noWrap/>
            <w:vAlign w:val="center"/>
          </w:tcP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资源开发效率要求</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土地资源开发效率要求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土地资源开发利用量不得超过土地资源利用上线控制性指标。</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能源资源开发效率要求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其他资源开发效率要求</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YS5109232540002</w:t>
            </w:r>
          </w:p>
        </w:tc>
        <w:tc>
          <w:tcPr>
            <w:tcW w:w="955"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四川大英经济开发区</w:t>
            </w: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空间布局约束</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坚决遏制“两高一低”项目盲目发展</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本项目不属于</w:t>
            </w:r>
            <w:r>
              <w:rPr>
                <w:rStyle w:val="26"/>
                <w:rFonts w:ascii="Times New Roman" w:hAnsi="Times New Roman" w:eastAsia="宋体" w:cs="Times New Roman"/>
                <w:color w:val="auto"/>
                <w:kern w:val="2"/>
                <w:sz w:val="21"/>
                <w:szCs w:val="21"/>
                <w:lang w:val="en-US" w:eastAsia="zh-CN" w:bidi="ar-SA"/>
              </w:rPr>
              <w:t>“两高一低”项目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污染物排放管控</w:t>
            </w:r>
          </w:p>
        </w:tc>
        <w:tc>
          <w:tcPr>
            <w:tcW w:w="3913"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环境风险防控</w:t>
            </w:r>
          </w:p>
        </w:tc>
        <w:tc>
          <w:tcPr>
            <w:tcW w:w="3913" w:type="dxa"/>
            <w:vMerge w:val="continue"/>
            <w:tcBorders>
              <w:top w:val="single" w:color="auto" w:sz="4" w:space="0"/>
              <w:left w:val="single" w:color="auto" w:sz="4" w:space="0"/>
              <w:right w:val="single" w:color="auto" w:sz="4" w:space="0"/>
            </w:tcBorders>
            <w:noWrap/>
            <w:vAlign w:val="center"/>
          </w:tcPr>
          <w:p/>
        </w:tc>
        <w:tc>
          <w:tcPr>
            <w:tcW w:w="1597" w:type="dxa"/>
            <w:vMerge w:val="continue"/>
            <w:tcBorders>
              <w:top w:val="single" w:color="auto" w:sz="4" w:space="0"/>
              <w:left w:val="single" w:color="auto" w:sz="4" w:space="0"/>
              <w:right w:val="single" w:color="auto" w:sz="4"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资源开发效率要求</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土地资源开发效率要求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能源资源开发效率要求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能源消耗、污染物排放不得超过能源利用上线控制性指标。</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其他资源开发效率要求</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YS5109232550001</w:t>
            </w:r>
          </w:p>
        </w:tc>
        <w:tc>
          <w:tcPr>
            <w:tcW w:w="955"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大英县自然资源重点管控区</w:t>
            </w: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空间布局约束</w:t>
            </w:r>
          </w:p>
        </w:tc>
        <w:tc>
          <w:tcPr>
            <w:tcW w:w="3913"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vMerge w:val="restart"/>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污染物排放管控</w:t>
            </w:r>
          </w:p>
        </w:tc>
        <w:tc>
          <w:tcPr>
            <w:tcW w:w="3913" w:type="dxa"/>
            <w:vMerge w:val="continue"/>
            <w:tcBorders>
              <w:top w:val="single" w:color="auto" w:sz="4" w:space="0"/>
              <w:left w:val="single" w:color="auto" w:sz="4" w:space="0"/>
              <w:right w:val="single" w:color="auto" w:sz="4" w:space="0"/>
            </w:tcBorders>
            <w:noWrap/>
            <w:vAlign w:val="center"/>
          </w:tcPr>
          <w:p/>
        </w:tc>
        <w:tc>
          <w:tcPr>
            <w:tcW w:w="1597" w:type="dxa"/>
            <w:vMerge w:val="continue"/>
            <w:tcBorders>
              <w:top w:val="single" w:color="auto" w:sz="4" w:space="0"/>
              <w:left w:val="single" w:color="auto" w:sz="4" w:space="0"/>
              <w:right w:val="single" w:color="auto" w:sz="4"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环境风险防控</w:t>
            </w:r>
          </w:p>
        </w:tc>
        <w:tc>
          <w:tcPr>
            <w:tcW w:w="3913" w:type="dxa"/>
            <w:vMerge w:val="continue"/>
            <w:tcBorders>
              <w:top w:val="single" w:color="auto" w:sz="4" w:space="0"/>
              <w:left w:val="single" w:color="auto" w:sz="4" w:space="0"/>
              <w:right w:val="single" w:color="auto" w:sz="4" w:space="0"/>
            </w:tcBorders>
            <w:noWrap/>
            <w:vAlign w:val="center"/>
          </w:tcPr>
          <w:p/>
        </w:tc>
        <w:tc>
          <w:tcPr>
            <w:tcW w:w="1597" w:type="dxa"/>
            <w:vMerge w:val="continue"/>
            <w:tcBorders>
              <w:top w:val="single" w:color="auto" w:sz="4" w:space="0"/>
              <w:left w:val="single" w:color="auto" w:sz="4" w:space="0"/>
              <w:right w:val="single" w:color="auto" w:sz="4"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资源开发效率要求</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土地资源开发效率要求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能源资源开发效率要求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其他资源开发效率要求</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ZH51092320002</w:t>
            </w:r>
          </w:p>
        </w:tc>
        <w:tc>
          <w:tcPr>
            <w:tcW w:w="955" w:type="dxa"/>
            <w:vMerge w:val="restart"/>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大英县工业集中发展区</w:t>
            </w:r>
            <w:r>
              <w:rPr>
                <w:rStyle w:val="26"/>
                <w:rFonts w:hint="eastAsia" w:eastAsia="宋体" w:cs="Times New Roman"/>
                <w:color w:val="auto"/>
                <w:kern w:val="2"/>
                <w:sz w:val="21"/>
                <w:szCs w:val="21"/>
                <w:lang w:val="en-US" w:eastAsia="zh-CN" w:bidi="ar-SA"/>
              </w:rPr>
              <w:t>（</w:t>
            </w:r>
            <w:r>
              <w:rPr>
                <w:rStyle w:val="26"/>
                <w:rFonts w:ascii="Times New Roman" w:hAnsi="Times New Roman" w:eastAsia="宋体" w:cs="Times New Roman"/>
                <w:color w:val="auto"/>
                <w:kern w:val="2"/>
                <w:sz w:val="21"/>
                <w:szCs w:val="21"/>
                <w:lang w:val="en-US" w:eastAsia="zh-CN" w:bidi="ar-SA"/>
              </w:rPr>
              <w:t>含经开区</w:t>
            </w:r>
            <w:r>
              <w:rPr>
                <w:rStyle w:val="26"/>
                <w:rFonts w:hint="eastAsia" w:eastAsia="宋体" w:cs="Times New Roman"/>
                <w:color w:val="auto"/>
                <w:kern w:val="2"/>
                <w:sz w:val="21"/>
                <w:szCs w:val="21"/>
                <w:lang w:val="en-US" w:eastAsia="zh-CN" w:bidi="ar-SA"/>
              </w:rPr>
              <w:t>）</w:t>
            </w:r>
          </w:p>
        </w:tc>
        <w:tc>
          <w:tcPr>
            <w:tcW w:w="3604" w:type="dxa"/>
            <w:vMerge w:val="restart"/>
            <w:tcBorders>
              <w:top w:val="single" w:color="auto" w:sz="4" w:space="0"/>
              <w:left w:val="single" w:color="auto" w:sz="4" w:space="0"/>
              <w:right w:val="single" w:color="auto" w:sz="4" w:space="0"/>
            </w:tcBorders>
            <w:noWrap/>
          </w:tcPr>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空间布局约束：</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禁止开发建设活动的要求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1.禁止引入不符合园区用地性质或产业规划的工业企业。</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2.禁止在长江干支流、重要湖泊岸线一公里范围内新建、扩建化工园区和化工项目。</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3.禁止在长江流域河湖管理范围内倾倒、填埋、堆放、弃置、处理固体废物。</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限制开发建设活动的要求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1.严控新建、扩建“两高”项目，对现存企业执行最严格排放标准和总量控制要求。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2.长江干流及主要支流1公里范围内，严控新建石油化工、煤化工、涉磷、造纸、印染、制革等项目。</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不符合空间布局要求活动的退出要求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现有属于禁止引入产业门类的企业，应按相关规定限期整治或退出。</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其他空间布局约束要求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污染物排放管控：</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允许排放量要求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现有源提标升级改造</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1.污水收集处理率达100%。</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2.园区污水处理厂达《城镇污水处理厂污染物排放标准》一级A标或更高标准。</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3.加快推进危险化学品生产企业搬迁改造工程。</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其他污染物排放管控要求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4.化工园区应按照分类收集，分质处理的要求，配备专业化工生产废水集中处理设施（独立建设或依托骨干企业）及专管或明管输送的配套管网，化工生产废水纳管率达到100%。入河排污口设置应符合相关规定。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6.白酒行业参考执行更新后的四川省白酒行业资源环境绩效指标要求。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环境风险防控：</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联防联控要求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其他环境风险防控要求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1.企业环境风险防控要求：涉及有毒有害、易燃易爆物质的新建、改扩建项目，严控准入要求。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资源开发利用效率要求：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水资源利用总量要求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1.到2025年，万元工业增加值用水量下降到32.0m</w:t>
            </w:r>
            <w:r>
              <w:rPr>
                <w:rStyle w:val="26"/>
                <w:rFonts w:ascii="Times New Roman" w:hAnsi="Times New Roman" w:eastAsia="宋体" w:cs="Times New Roman"/>
                <w:color w:val="auto"/>
                <w:kern w:val="0"/>
                <w:sz w:val="21"/>
                <w:szCs w:val="21"/>
                <w:vertAlign w:val="superscript"/>
                <w:lang w:val="en-US" w:eastAsia="zh-CN" w:bidi="ar-SA"/>
              </w:rPr>
              <w:t>3</w:t>
            </w:r>
            <w:r>
              <w:rPr>
                <w:rStyle w:val="26"/>
                <w:rFonts w:ascii="Times New Roman" w:hAnsi="Times New Roman" w:eastAsia="宋体" w:cs="Times New Roman"/>
                <w:color w:val="auto"/>
                <w:kern w:val="0"/>
                <w:sz w:val="21"/>
                <w:szCs w:val="21"/>
                <w:lang w:val="en-US" w:eastAsia="zh-CN" w:bidi="ar-SA"/>
              </w:rPr>
              <w:t>/万元，重复利用率提高到84%；</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2.至2030年，万元工业增加值用水量进一步减少为28.0m</w:t>
            </w:r>
            <w:r>
              <w:rPr>
                <w:rStyle w:val="26"/>
                <w:rFonts w:ascii="Times New Roman" w:hAnsi="Times New Roman" w:eastAsia="宋体" w:cs="Times New Roman"/>
                <w:color w:val="auto"/>
                <w:kern w:val="0"/>
                <w:sz w:val="21"/>
                <w:szCs w:val="21"/>
                <w:vertAlign w:val="superscript"/>
                <w:lang w:val="en-US" w:eastAsia="zh-CN" w:bidi="ar-SA"/>
              </w:rPr>
              <w:t>3</w:t>
            </w:r>
            <w:r>
              <w:rPr>
                <w:rStyle w:val="26"/>
                <w:rFonts w:ascii="Times New Roman" w:hAnsi="Times New Roman" w:eastAsia="宋体" w:cs="Times New Roman"/>
                <w:color w:val="auto"/>
                <w:kern w:val="0"/>
                <w:sz w:val="21"/>
                <w:szCs w:val="21"/>
                <w:lang w:val="en-US" w:eastAsia="zh-CN" w:bidi="ar-SA"/>
              </w:rPr>
              <w:t>/万元，重复利用率提高到85%；</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3.新、改扩建项目水耗指标满足《四川省省级生态工业园区指标》综合类生态工业园区要求。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地下水开采要求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全面建设节水型社会，达到合理高效用水。</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能源利用总量及效率要求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1.扩大高污染燃料禁燃区范围，在市、县（区）、镇（乡）建成区全面实施“煤改气”“煤改电”。</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2.新、改扩建项目能耗指标满足《四川省省级生态工业园区指标》综合类生态工业园区要求。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3.实施新建项目与煤炭消费总量控制挂钩机制，耗煤建设项目实行煤炭消耗等量减量替代。</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4.提高煤炭利用效率和天然气利用占比，工业领域有序推进“煤改电”和“煤改气”。</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5.到2030年，能源消费总量控制在1000万吨标准煤以内。</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禁燃区要求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1.禁燃区内禁止燃烧以下高污染燃料：</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（1）煤炭及其制品（包括原煤、散煤、煤矸石、煤泥、煤 粉、水浆煤、型煤、焦炭、兰炭、油类等常规燃料）。</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（2）石油焦、油页岩、原油、重油、渣油、煤焦油。</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（3）非专用锅炉或未配置高效除尘设施的专用锅炉燃用的 生物质成型燃料。</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2.禁燃区内禁止新建、扩建燃用高污染燃料的锅炉、炉窑、 炉灶等燃烧设施（集中供热、电厂锅炉除外）。</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3.自2020年1月1日起，禁燃区内禁止销售高污染燃料。</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4.加强对集中供热、电厂锅炉、10蒸吨/时以上的在用燃煤锅炉以及改用清洁能源前的在用锅炉等燃烧设施的监管，确保达标排放。</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其他资源利用效率要求</w:t>
            </w:r>
          </w:p>
          <w:p>
            <w:pPr>
              <w:pStyle w:val="86"/>
              <w:widowControl w:val="0"/>
              <w:spacing w:line="360" w:lineRule="auto"/>
              <w:ind w:firstLine="0" w:firstLineChars="0"/>
              <w:jc w:val="both"/>
              <w:rPr>
                <w:rStyle w:val="26"/>
                <w:rFonts w:ascii="Times New Roman" w:hAnsi="Times New Roman" w:eastAsia="宋体" w:cs="Times New Roman"/>
                <w:color w:val="auto"/>
                <w:kern w:val="0"/>
                <w:sz w:val="21"/>
                <w:szCs w:val="21"/>
                <w:lang w:val="en-US" w:eastAsia="zh-CN" w:bidi="ar-SA"/>
              </w:rPr>
            </w:pPr>
            <w:r>
              <w:rPr>
                <w:rStyle w:val="26"/>
                <w:rFonts w:ascii="Times New Roman" w:hAnsi="Times New Roman" w:eastAsia="宋体" w:cs="Times New Roman"/>
                <w:color w:val="auto"/>
                <w:kern w:val="0"/>
                <w:sz w:val="21"/>
                <w:szCs w:val="21"/>
                <w:lang w:val="en-US" w:eastAsia="zh-CN" w:bidi="ar-SA"/>
              </w:rPr>
              <w:t>△</w:t>
            </w: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空间布局约束</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禁止开发建设活动的要求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1.禁止新建纯碱、PVC项目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2.禁止扩大合成氨或实施扩建氮肥项目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3.禁止新引入涉及印染、染整、脱胶工序或产生缫丝、精炼废水的项目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4.禁止引入印制电路板、集成电路制造、平板及柔性显示器件制造等耗、排水量大的项目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5.禁止引进和新建涉及喷漆工艺家具制造（木制品加工）生产项目（使用粉末喷涂、水性涂料及UV涂料以及进入共享喷涂中心除外）</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6.禁止新建燃煤火电、金属冶炼、制浆（含废纸制浆）、屠宰、皮革鞣制、铅蓄电池制造、原油炼制、煤化工及发酵制药项目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7.梨子坝、马家坝片区禁止新引入化工项目片区铅蓄电池生产企业限制发展，待远期条件成熟时，实现铅、汞、镉、铬、砷重金属污染物“零排放”或搬迁出园区</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8.规划区内郪江两侧自防洪堤外源控制线起50m区域纳入生态保护范围，禁止开展采矿、挖沙取土或工业活动</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9.其他参照遂宁市总体准入要求-工业重点管控单元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限制开发建设活动的要求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1.严格限制钢铁、水泥、平板玻璃、有色金属冶炼等高污染、高耗能项目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2.限制引进和新建涉及有机溶剂使用和挥发性有机物排放的低固份油性涂料生产、沥青类防水材料生产、人造板生产等项目；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3.限制高耗水、高污染企业入驻，严控入河污染物</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4.其他参照遂宁市总体准入要求-工业重点管控单元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允许开发建设活动的要求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不符合空间布局要求活动的退出要求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1.岸线一公里范围内的化工企业：（1）根据《中华人民共和国长江保护法》，禁止在长江干支流岸线一公里范围内新建、扩建化工项目（2） 现存化工企业，符合所在法定保护地管理规定、具有合法手续且污染物排放及环境风险满足管理要求，可继续保留</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2.其他参照遂宁市总体准入要求-工业重点管控单元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其他空间布局约束要求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u w:val="none"/>
                <w:lang w:val="en-US" w:eastAsia="zh-CN" w:bidi="ar-SA"/>
              </w:rPr>
              <w:t>本项目为供热项目，为规划区主导的石化产业相配套热力供应产业，为鼓励类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污染物排放管控</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现有源提标升级改造</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1.燃煤热电锅炉完成超低排放改造，规模在20蒸吨/时及以上的现有大中型燃煤锅炉应全部实施脱硫，脱硫效率达到70%以上。</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2.新建化工项目必须配套建设高效脱硫、脱硝、除尘设施，脱硝效率不低于70%。</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3.加强中水回用，逐步将工业污水处理厂中水回用于工业企业的冷却用水等生产性用水，远期回用率达到30%；</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4.其他参照遂宁市总体准入要求-工业重点管控单元。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新增源等量或倍量替代</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新增源排放标准限值</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1.项目产生的生产废水由企业自行处理达到《污水综合排放标准》三级或相应的行业排放标准后排入园区污水处理厂处理达《城镇污水处理厂污染物排放标准》一级A标或更严格标准后排放。</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2.其他参照遂宁市总体准入要求-工业重点管控单元。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污染物排放绩效水平准入要求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其他污染物排放管控要求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hint="eastAsia"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本项目为生物质气燃气锅炉，不属于燃煤锅炉；</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新增源排放标准限值</w:t>
            </w:r>
            <w:r>
              <w:rPr>
                <w:rStyle w:val="26"/>
                <w:rFonts w:hint="eastAsia" w:eastAsia="宋体" w:cs="Times New Roman"/>
                <w:color w:val="auto"/>
                <w:kern w:val="2"/>
                <w:sz w:val="21"/>
                <w:szCs w:val="21"/>
                <w:lang w:val="en-US" w:eastAsia="zh-CN" w:bidi="ar-SA"/>
              </w:rPr>
              <w:t>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项目产生的</w:t>
            </w:r>
            <w:r>
              <w:rPr>
                <w:rStyle w:val="26"/>
                <w:rFonts w:hint="eastAsia" w:ascii="Times New Roman" w:hAnsi="Times New Roman" w:eastAsia="宋体" w:cs="Times New Roman"/>
                <w:color w:val="auto"/>
                <w:kern w:val="2"/>
                <w:sz w:val="21"/>
                <w:szCs w:val="21"/>
                <w:lang w:val="en-US" w:eastAsia="zh-CN" w:bidi="ar-SA"/>
              </w:rPr>
              <w:t>生活污水、锅炉废水依托已建预处理池（100m</w:t>
            </w:r>
            <w:r>
              <w:rPr>
                <w:rStyle w:val="26"/>
                <w:rFonts w:hint="eastAsia" w:ascii="Times New Roman" w:hAnsi="Times New Roman" w:eastAsia="宋体" w:cs="Times New Roman"/>
                <w:color w:val="auto"/>
                <w:kern w:val="2"/>
                <w:sz w:val="21"/>
                <w:szCs w:val="21"/>
                <w:vertAlign w:val="superscript"/>
                <w:lang w:val="en-US" w:eastAsia="zh-CN" w:bidi="ar-SA"/>
              </w:rPr>
              <w:t>3</w:t>
            </w:r>
            <w:r>
              <w:rPr>
                <w:rStyle w:val="26"/>
                <w:rFonts w:hint="eastAsia" w:ascii="Times New Roman" w:hAnsi="Times New Roman" w:eastAsia="宋体" w:cs="Times New Roman"/>
                <w:color w:val="auto"/>
                <w:kern w:val="2"/>
                <w:sz w:val="21"/>
                <w:szCs w:val="21"/>
                <w:lang w:val="en-US" w:eastAsia="zh-CN" w:bidi="ar-SA"/>
              </w:rPr>
              <w:t>）处理后，达到排放标准后进入园区污水管网后进入大英经济开发区污水处理厂</w:t>
            </w:r>
            <w:r>
              <w:rPr>
                <w:rStyle w:val="26"/>
                <w:rFonts w:hint="eastAsia" w:eastAsia="宋体" w:cs="Times New Roman"/>
                <w:color w:val="auto"/>
                <w:kern w:val="2"/>
                <w:sz w:val="21"/>
                <w:szCs w:val="21"/>
                <w:lang w:val="en-US" w:eastAsia="zh-CN" w:bidi="ar-SA"/>
              </w:rPr>
              <w:t>，</w:t>
            </w:r>
            <w:r>
              <w:rPr>
                <w:rStyle w:val="26"/>
                <w:rFonts w:hint="eastAsia" w:ascii="Times New Roman" w:hAnsi="Times New Roman" w:eastAsia="宋体" w:cs="Times New Roman"/>
                <w:color w:val="auto"/>
                <w:kern w:val="2"/>
                <w:sz w:val="21"/>
                <w:szCs w:val="21"/>
                <w:lang w:val="en-US" w:eastAsia="zh-CN" w:bidi="ar-SA"/>
              </w:rPr>
              <w:t>处</w:t>
            </w:r>
            <w:r>
              <w:rPr>
                <w:rStyle w:val="26"/>
                <w:rFonts w:ascii="Times New Roman" w:hAnsi="Times New Roman" w:eastAsia="宋体" w:cs="Times New Roman"/>
                <w:color w:val="auto"/>
                <w:kern w:val="2"/>
                <w:sz w:val="21"/>
                <w:szCs w:val="21"/>
                <w:lang w:val="en-US" w:eastAsia="zh-CN" w:bidi="ar-SA"/>
              </w:rPr>
              <w:t>理达到《地表水环境质量标准》（GB3838-2002）中Ⅲ类水体标准后</w:t>
            </w:r>
            <w:r>
              <w:rPr>
                <w:rStyle w:val="26"/>
                <w:rFonts w:hint="eastAsia" w:ascii="Times New Roman" w:hAnsi="Times New Roman" w:eastAsia="宋体" w:cs="Times New Roman"/>
                <w:color w:val="auto"/>
                <w:kern w:val="2"/>
                <w:sz w:val="21"/>
                <w:szCs w:val="21"/>
                <w:lang w:val="en-US" w:eastAsia="zh-CN" w:bidi="ar-SA"/>
              </w:rPr>
              <w:t>排入郪江</w:t>
            </w:r>
            <w:r>
              <w:rPr>
                <w:rStyle w:val="26"/>
                <w:rFonts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环境风险防控</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严格管控类农用地管控要求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安全利用类农用地管控要求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污染地块管控要求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园区环境风险防控要求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1.距城区500m范围内禁止引入环境风险潜势等级III级及以上的建设项目。</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2.其他参照遂宁市总体准入要求-工业重点管控单元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企业环境风险防控要求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其他环境风险防控要求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本项目环境风险等级为IV级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tcBorders>
              <w:top w:val="single" w:color="auto" w:sz="4" w:space="0"/>
              <w:left w:val="single" w:color="auto" w:sz="4" w:space="0"/>
              <w:right w:val="single" w:color="auto" w:sz="4" w:space="0"/>
            </w:tcBorders>
            <w:noWrap/>
            <w:vAlign w:val="center"/>
          </w:tcPr>
          <w:p/>
        </w:tc>
        <w:tc>
          <w:tcPr>
            <w:tcW w:w="955" w:type="dxa"/>
            <w:vMerge w:val="continue"/>
            <w:tcBorders>
              <w:top w:val="single" w:color="auto" w:sz="4" w:space="0"/>
              <w:left w:val="single" w:color="auto" w:sz="4" w:space="0"/>
              <w:right w:val="single" w:color="auto" w:sz="4" w:space="0"/>
            </w:tcBorders>
            <w:noWrap/>
            <w:vAlign w:val="center"/>
          </w:tcPr>
          <w:p/>
        </w:tc>
        <w:tc>
          <w:tcPr>
            <w:tcW w:w="3604" w:type="dxa"/>
            <w:vMerge w:val="continue"/>
            <w:tcBorders>
              <w:top w:val="single" w:color="auto" w:sz="4" w:space="0"/>
              <w:left w:val="single" w:color="auto" w:sz="4" w:space="0"/>
              <w:right w:val="single" w:color="auto" w:sz="4" w:space="0"/>
            </w:tcBorders>
            <w:noWrap/>
          </w:tcPr>
          <w:p/>
        </w:tc>
        <w:tc>
          <w:tcPr>
            <w:tcW w:w="2546" w:type="dxa"/>
            <w:tcBorders>
              <w:top w:val="single" w:color="auto" w:sz="4" w:space="0"/>
              <w:left w:val="single" w:color="auto" w:sz="4" w:space="0"/>
              <w:right w:val="single" w:color="auto" w:sz="4" w:space="0"/>
            </w:tcBorders>
            <w:noWrap/>
            <w:vAlign w:val="center"/>
          </w:tcPr>
          <w:p>
            <w:pPr>
              <w:pStyle w:val="86"/>
              <w:widowControl/>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资源开发效率要求</w:t>
            </w:r>
          </w:p>
        </w:tc>
        <w:tc>
          <w:tcPr>
            <w:tcW w:w="3913"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水资源利用效率要求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地下水开采要求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（1）大英县2030年地下水开采控制量保持在0.06亿m3以内。（2）全面建设节水型社会，达到合理高效用水。</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能源利用效率要求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参照遂宁市总体准入要求-工业重点管控单元</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其他资源利用效率要求</w:t>
            </w:r>
          </w:p>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ascii="Times New Roman" w:hAnsi="Times New Roman" w:eastAsia="宋体" w:cs="Times New Roman"/>
                <w:color w:val="auto"/>
                <w:kern w:val="2"/>
                <w:sz w:val="21"/>
                <w:szCs w:val="21"/>
                <w:lang w:val="en-US" w:eastAsia="zh-CN" w:bidi="ar-SA"/>
              </w:rPr>
              <w:t>禁燃区管控要求：参照遂宁市总体准入要求-工业重点管控单元</w:t>
            </w:r>
          </w:p>
        </w:tc>
        <w:tc>
          <w:tcPr>
            <w:tcW w:w="1597" w:type="dxa"/>
            <w:tcBorders>
              <w:top w:val="single" w:color="auto" w:sz="4" w:space="0"/>
              <w:left w:val="single" w:color="auto" w:sz="4" w:space="0"/>
              <w:right w:val="single" w:color="auto" w:sz="4" w:space="0"/>
            </w:tcBorders>
            <w:noWrap/>
            <w:vAlign w:val="center"/>
          </w:tcPr>
          <w:p>
            <w:pPr>
              <w:pStyle w:val="86"/>
              <w:widowControl/>
              <w:shd w:val="clear" w:color="auto" w:fill="FFFFFF"/>
              <w:spacing w:line="240" w:lineRule="auto"/>
              <w:ind w:firstLine="0" w:firstLineChars="0"/>
              <w:jc w:val="left"/>
              <w:rPr>
                <w:rStyle w:val="26"/>
                <w:rFonts w:ascii="Times New Roman" w:hAnsi="Times New Roman" w:eastAsia="宋体" w:cs="Times New Roman"/>
                <w:color w:val="auto"/>
                <w:kern w:val="2"/>
                <w:sz w:val="21"/>
                <w:szCs w:val="21"/>
                <w:lang w:val="en-US" w:eastAsia="zh-CN" w:bidi="ar-SA"/>
              </w:rPr>
            </w:pPr>
            <w:r>
              <w:rPr>
                <w:rStyle w:val="26"/>
                <w:rFonts w:hint="eastAsia" w:ascii="Times New Roman" w:hAnsi="Times New Roman" w:eastAsia="宋体" w:cs="Times New Roman"/>
                <w:color w:val="auto"/>
                <w:kern w:val="2"/>
                <w:sz w:val="21"/>
                <w:szCs w:val="21"/>
                <w:lang w:val="en-US" w:eastAsia="zh-CN" w:bidi="ar-SA"/>
              </w:rPr>
              <w:t>本项目不涉及</w:t>
            </w:r>
          </w:p>
        </w:tc>
      </w:tr>
    </w:tbl>
    <w:p>
      <w:pPr>
        <w:pStyle w:val="2"/>
        <w:rPr>
          <w:rFonts w:ascii="Times New Roman" w:hAnsi="Times New Roman" w:cs="Times New Roman"/>
          <w:color w:val="auto"/>
          <w:sz w:val="21"/>
          <w:szCs w:val="22"/>
          <w:lang w:val="en-US" w:eastAsia="zh-CN"/>
        </w:rPr>
      </w:pPr>
    </w:p>
    <w:p>
      <w:pPr>
        <w:pStyle w:val="2"/>
        <w:rPr>
          <w:rFonts w:ascii="Times New Roman" w:hAnsi="Times New Roman" w:cs="Times New Roman"/>
          <w:color w:val="auto"/>
          <w:sz w:val="21"/>
          <w:szCs w:val="22"/>
          <w:lang w:val="en-US" w:eastAsia="zh-CN"/>
        </w:rPr>
      </w:pPr>
    </w:p>
    <w:p>
      <w:pPr>
        <w:pStyle w:val="2"/>
        <w:rPr>
          <w:rFonts w:ascii="Times New Roman" w:hAnsi="Times New Roman" w:cs="Times New Roman"/>
          <w:color w:val="auto"/>
          <w:sz w:val="21"/>
          <w:szCs w:val="22"/>
          <w:lang w:val="en-US" w:eastAsia="zh-CN"/>
        </w:rPr>
        <w:sectPr>
          <w:pgSz w:w="16838" w:h="11906" w:orient="landscape"/>
          <w:pgMar w:top="1531" w:right="1701" w:bottom="1531" w:left="1701" w:header="851" w:footer="1077" w:gutter="0"/>
          <w:cols w:space="720" w:num="1"/>
          <w:docGrid w:linePitch="312" w:charSpace="0"/>
        </w:sectPr>
      </w:pPr>
    </w:p>
    <w:p>
      <w:pPr>
        <w:pStyle w:val="2"/>
        <w:rPr>
          <w:rFonts w:ascii="Times New Roman" w:hAnsi="Times New Roman" w:cs="Times New Roman"/>
          <w:color w:val="auto"/>
          <w:lang w:val="en-US" w:eastAsia="zh-CN"/>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8"/>
        <w:gridCol w:w="8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5" w:type="dxa"/>
            <w:vAlign w:val="center"/>
          </w:tcPr>
          <w:p>
            <w:pPr>
              <w:autoSpaceDE w:val="0"/>
              <w:autoSpaceDN w:val="0"/>
              <w:adjustRightInd w:val="0"/>
              <w:snapToGrid w:val="0"/>
              <w:jc w:val="center"/>
              <w:rPr>
                <w:rFonts w:ascii="Times New Roman" w:hAnsi="Times New Roman" w:cs="Times New Roman"/>
                <w:color w:val="auto"/>
                <w:kern w:val="0"/>
                <w:sz w:val="24"/>
              </w:rPr>
            </w:pPr>
          </w:p>
        </w:tc>
        <w:tc>
          <w:tcPr>
            <w:tcW w:w="7765" w:type="dxa"/>
            <w:vAlign w:val="center"/>
          </w:tcPr>
          <w:p>
            <w:pPr>
              <w:pStyle w:val="87"/>
              <w:jc w:val="left"/>
              <w:rPr>
                <w:rFonts w:ascii="Times New Roman" w:hAnsi="Times New Roman" w:eastAsia="宋体" w:cs="Times New Roman"/>
                <w:b/>
                <w:bCs/>
                <w:color w:val="auto"/>
                <w:sz w:val="24"/>
                <w:highlight w:val="none"/>
                <w:lang w:val="zh-CN"/>
              </w:rPr>
            </w:pPr>
            <w:r>
              <w:rPr>
                <w:rFonts w:ascii="Times New Roman" w:hAnsi="Times New Roman" w:cs="Times New Roman"/>
                <w:b/>
                <w:bCs/>
                <w:color w:val="auto"/>
                <w:sz w:val="24"/>
                <w:highlight w:val="none"/>
                <w:lang w:val="en-US" w:eastAsia="zh-CN"/>
              </w:rPr>
              <w:t>4、</w:t>
            </w:r>
            <w:r>
              <w:rPr>
                <w:rFonts w:ascii="Times New Roman" w:hAnsi="Times New Roman" w:eastAsia="宋体" w:cs="Times New Roman"/>
                <w:b/>
                <w:bCs/>
                <w:color w:val="auto"/>
                <w:sz w:val="24"/>
                <w:highlight w:val="none"/>
                <w:lang w:val="zh-CN"/>
              </w:rPr>
              <w:t>与</w:t>
            </w:r>
            <w:r>
              <w:rPr>
                <w:rFonts w:ascii="Times New Roman" w:hAnsi="Times New Roman" w:cs="Times New Roman"/>
                <w:b/>
                <w:bCs/>
                <w:color w:val="auto"/>
                <w:sz w:val="24"/>
                <w:szCs w:val="24"/>
                <w:highlight w:val="none"/>
                <w:lang w:val="zh-CN"/>
              </w:rPr>
              <w:t>长江经济带发展负面</w:t>
            </w:r>
            <w:r>
              <w:rPr>
                <w:rFonts w:ascii="Times New Roman" w:hAnsi="Times New Roman" w:cs="Times New Roman"/>
                <w:b/>
                <w:bCs/>
                <w:color w:val="auto"/>
                <w:sz w:val="24"/>
                <w:szCs w:val="24"/>
                <w:highlight w:val="none"/>
                <w:lang w:val="en-US" w:eastAsia="zh-CN"/>
              </w:rPr>
              <w:t>清单</w:t>
            </w:r>
            <w:r>
              <w:rPr>
                <w:rFonts w:ascii="Times New Roman" w:hAnsi="Times New Roman" w:eastAsia="宋体" w:cs="Times New Roman"/>
                <w:b/>
                <w:bCs/>
                <w:color w:val="auto"/>
                <w:sz w:val="24"/>
                <w:szCs w:val="24"/>
                <w:highlight w:val="none"/>
                <w:lang w:val="zh-CN"/>
              </w:rPr>
              <w:t>符合</w:t>
            </w:r>
            <w:r>
              <w:rPr>
                <w:rFonts w:ascii="Times New Roman" w:hAnsi="Times New Roman" w:eastAsia="宋体" w:cs="Times New Roman"/>
                <w:b/>
                <w:bCs/>
                <w:color w:val="auto"/>
                <w:sz w:val="24"/>
                <w:highlight w:val="none"/>
                <w:lang w:val="zh-CN"/>
              </w:rPr>
              <w:t>性分析</w:t>
            </w:r>
          </w:p>
          <w:p>
            <w:pPr>
              <w:pStyle w:val="87"/>
              <w:keepNext w:val="0"/>
              <w:keepLines w:val="0"/>
              <w:pageBreakBefore w:val="0"/>
              <w:widowControl w:val="0"/>
              <w:kinsoku/>
              <w:wordWrap/>
              <w:overflowPunct/>
              <w:topLinePunct w:val="0"/>
              <w:autoSpaceDE/>
              <w:autoSpaceDN/>
              <w:bidi w:val="0"/>
              <w:adjustRightInd/>
              <w:snapToGrid/>
              <w:ind w:left="0" w:firstLine="480" w:firstLineChars="200"/>
              <w:jc w:val="both"/>
              <w:textAlignment w:val="auto"/>
              <w:rPr>
                <w:rFonts w:ascii="Times New Roman" w:hAnsi="Times New Roman" w:eastAsia="宋体" w:cs="Times New Roman"/>
                <w:b w:val="0"/>
                <w:bCs/>
                <w:color w:val="auto"/>
                <w:sz w:val="24"/>
                <w:szCs w:val="24"/>
                <w:highlight w:val="none"/>
                <w:lang w:val="zh-CN"/>
              </w:rPr>
            </w:pPr>
            <w:r>
              <w:rPr>
                <w:rFonts w:ascii="Times New Roman" w:hAnsi="Times New Roman" w:eastAsia="宋体" w:cs="Times New Roman"/>
                <w:b w:val="0"/>
                <w:bCs/>
                <w:color w:val="auto"/>
                <w:sz w:val="24"/>
                <w:szCs w:val="24"/>
                <w:highlight w:val="none"/>
                <w:lang w:val="en-US" w:eastAsia="zh-CN"/>
              </w:rPr>
              <w:t>2</w:t>
            </w:r>
            <w:r>
              <w:rPr>
                <w:rFonts w:ascii="Times New Roman" w:hAnsi="Times New Roman" w:eastAsia="宋体" w:cs="Times New Roman"/>
                <w:b w:val="0"/>
                <w:bCs/>
                <w:color w:val="auto"/>
                <w:sz w:val="24"/>
                <w:szCs w:val="24"/>
                <w:highlight w:val="none"/>
              </w:rPr>
              <w:t>022年1月29日推动长江经济带发展领导小组办公室发布了</w:t>
            </w:r>
            <w:r>
              <w:rPr>
                <w:rFonts w:ascii="Times New Roman" w:hAnsi="Times New Roman" w:eastAsia="宋体" w:cs="Times New Roman"/>
                <w:b w:val="0"/>
                <w:bCs/>
                <w:color w:val="auto"/>
                <w:sz w:val="24"/>
                <w:szCs w:val="24"/>
                <w:highlight w:val="none"/>
                <w:lang w:val="zh-CN"/>
              </w:rPr>
              <w:t>《长江经济带发展负面</w:t>
            </w:r>
            <w:r>
              <w:rPr>
                <w:rFonts w:ascii="Times New Roman" w:hAnsi="Times New Roman" w:cs="Times New Roman"/>
                <w:b w:val="0"/>
                <w:bCs/>
                <w:color w:val="auto"/>
                <w:sz w:val="24"/>
                <w:szCs w:val="24"/>
                <w:highlight w:val="none"/>
                <w:lang w:val="zh-CN"/>
              </w:rPr>
              <w:t>清单</w:t>
            </w:r>
            <w:r>
              <w:rPr>
                <w:rFonts w:ascii="Times New Roman" w:hAnsi="Times New Roman" w:eastAsia="宋体" w:cs="Times New Roman"/>
                <w:b w:val="0"/>
                <w:bCs/>
                <w:color w:val="auto"/>
                <w:sz w:val="24"/>
                <w:szCs w:val="24"/>
                <w:highlight w:val="none"/>
                <w:lang w:val="zh-CN"/>
              </w:rPr>
              <w:t>指南试行（</w:t>
            </w:r>
            <w:r>
              <w:rPr>
                <w:rFonts w:ascii="Times New Roman" w:hAnsi="Times New Roman" w:eastAsia="宋体" w:cs="Times New Roman"/>
                <w:b w:val="0"/>
                <w:bCs/>
                <w:color w:val="auto"/>
                <w:sz w:val="24"/>
                <w:szCs w:val="24"/>
                <w:highlight w:val="none"/>
              </w:rPr>
              <w:t>2022版</w:t>
            </w:r>
            <w:r>
              <w:rPr>
                <w:rFonts w:ascii="Times New Roman" w:hAnsi="Times New Roman" w:eastAsia="宋体" w:cs="Times New Roman"/>
                <w:b w:val="0"/>
                <w:bCs/>
                <w:color w:val="auto"/>
                <w:sz w:val="24"/>
                <w:szCs w:val="24"/>
                <w:highlight w:val="none"/>
                <w:lang w:val="zh-CN"/>
              </w:rPr>
              <w:t>）》（长江办〔</w:t>
            </w:r>
            <w:r>
              <w:rPr>
                <w:rFonts w:ascii="Times New Roman" w:hAnsi="Times New Roman" w:eastAsia="宋体" w:cs="Times New Roman"/>
                <w:b w:val="0"/>
                <w:bCs/>
                <w:color w:val="auto"/>
                <w:sz w:val="24"/>
                <w:szCs w:val="24"/>
                <w:highlight w:val="none"/>
              </w:rPr>
              <w:t>2022</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rPr>
              <w:t>7号</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，2022年8月25日四川省及重庆市推动长江经济带发展领导小组办公室发布了</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四川省、重庆市</w:t>
            </w:r>
            <w:r>
              <w:rPr>
                <w:rFonts w:ascii="Times New Roman" w:hAnsi="Times New Roman" w:eastAsia="宋体" w:cs="Times New Roman"/>
                <w:b w:val="0"/>
                <w:bCs/>
                <w:color w:val="auto"/>
                <w:sz w:val="24"/>
                <w:szCs w:val="24"/>
                <w:highlight w:val="none"/>
                <w:lang w:val="zh-CN"/>
              </w:rPr>
              <w:t>长江经济带发展负面</w:t>
            </w:r>
            <w:r>
              <w:rPr>
                <w:rFonts w:ascii="Times New Roman" w:hAnsi="Times New Roman" w:eastAsia="宋体" w:cs="Times New Roman"/>
                <w:b w:val="0"/>
                <w:bCs/>
                <w:color w:val="auto"/>
                <w:sz w:val="24"/>
                <w:szCs w:val="24"/>
                <w:highlight w:val="none"/>
                <w:lang w:val="en-US" w:eastAsia="zh-CN"/>
              </w:rPr>
              <w:t>清单实施细则</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试行，</w:t>
            </w:r>
            <w:r>
              <w:rPr>
                <w:rFonts w:ascii="Times New Roman" w:hAnsi="Times New Roman" w:eastAsia="宋体" w:cs="Times New Roman"/>
                <w:b w:val="0"/>
                <w:bCs/>
                <w:color w:val="auto"/>
                <w:sz w:val="24"/>
                <w:szCs w:val="24"/>
                <w:highlight w:val="none"/>
              </w:rPr>
              <w:t>2022版</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川长江办</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rPr>
              <w:t>2022</w:t>
            </w:r>
            <w:r>
              <w:rPr>
                <w:rFonts w:ascii="Times New Roman" w:hAnsi="Times New Roman" w:eastAsia="宋体" w:cs="Times New Roman"/>
                <w:b w:val="0"/>
                <w:bCs/>
                <w:color w:val="auto"/>
                <w:sz w:val="24"/>
                <w:szCs w:val="24"/>
                <w:highlight w:val="none"/>
                <w:lang w:val="zh-CN"/>
              </w:rPr>
              <w:t>〕</w:t>
            </w:r>
            <w:r>
              <w:rPr>
                <w:rFonts w:ascii="Times New Roman" w:hAnsi="Times New Roman" w:eastAsia="宋体" w:cs="Times New Roman"/>
                <w:b w:val="0"/>
                <w:bCs/>
                <w:color w:val="auto"/>
                <w:sz w:val="24"/>
                <w:szCs w:val="24"/>
                <w:highlight w:val="none"/>
                <w:lang w:val="en-US" w:eastAsia="zh-CN"/>
              </w:rPr>
              <w:t>1</w:t>
            </w:r>
            <w:r>
              <w:rPr>
                <w:rFonts w:ascii="Times New Roman" w:hAnsi="Times New Roman" w:eastAsia="宋体" w:cs="Times New Roman"/>
                <w:b w:val="0"/>
                <w:bCs/>
                <w:color w:val="auto"/>
                <w:sz w:val="24"/>
                <w:szCs w:val="24"/>
                <w:highlight w:val="none"/>
              </w:rPr>
              <w:t>7号</w:t>
            </w:r>
            <w:r>
              <w:rPr>
                <w:rFonts w:ascii="Times New Roman" w:hAnsi="Times New Roman" w:eastAsia="宋体" w:cs="Times New Roman"/>
                <w:b w:val="0"/>
                <w:bCs/>
                <w:color w:val="auto"/>
                <w:sz w:val="24"/>
                <w:szCs w:val="24"/>
                <w:highlight w:val="none"/>
                <w:lang w:val="zh-CN"/>
              </w:rPr>
              <w:t>）。根据文件精神，本项目符合性分析如下：</w:t>
            </w:r>
          </w:p>
          <w:p>
            <w:pPr>
              <w:jc w:val="center"/>
              <w:rPr>
                <w:rFonts w:ascii="Times New Roman" w:hAnsi="Times New Roman" w:cs="Times New Roman"/>
                <w:b/>
                <w:bCs/>
                <w:color w:val="auto"/>
                <w:sz w:val="21"/>
                <w:szCs w:val="21"/>
                <w:highlight w:val="none"/>
                <w:lang w:val="zh-CN"/>
              </w:rPr>
            </w:pPr>
            <w:r>
              <w:rPr>
                <w:rFonts w:ascii="Times New Roman" w:hAnsi="Times New Roman" w:cs="Times New Roman"/>
                <w:b/>
                <w:bCs/>
                <w:color w:val="auto"/>
                <w:sz w:val="21"/>
                <w:szCs w:val="21"/>
                <w:highlight w:val="none"/>
                <w:lang w:val="zh-CN"/>
              </w:rPr>
              <w:t>表1-</w:t>
            </w:r>
            <w:r>
              <w:rPr>
                <w:rFonts w:hint="eastAsia" w:ascii="Times New Roman" w:hAnsi="Times New Roman" w:cs="Times New Roman"/>
                <w:b/>
                <w:bCs/>
                <w:color w:val="auto"/>
                <w:sz w:val="21"/>
                <w:szCs w:val="21"/>
                <w:highlight w:val="none"/>
                <w:lang w:val="en-US" w:eastAsia="zh-CN"/>
              </w:rPr>
              <w:t>6</w:t>
            </w:r>
            <w:r>
              <w:rPr>
                <w:rFonts w:ascii="Times New Roman" w:hAnsi="Times New Roman" w:cs="Times New Roman"/>
                <w:b/>
                <w:bCs/>
                <w:color w:val="auto"/>
                <w:sz w:val="21"/>
                <w:szCs w:val="21"/>
                <w:highlight w:val="none"/>
                <w:lang w:val="zh-CN"/>
              </w:rPr>
              <w:t>项目与长江办〔2022〕7号符合性分析</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2"/>
              <w:gridCol w:w="1139"/>
              <w:gridCol w:w="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446"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lang w:val="zh-CN"/>
                    </w:rPr>
                    <w:t>长江办〔2022〕7号</w:t>
                  </w:r>
                  <w:r>
                    <w:rPr>
                      <w:rFonts w:ascii="Times New Roman" w:hAnsi="Times New Roman" w:eastAsia="宋体" w:cs="Times New Roman"/>
                      <w:b/>
                      <w:bCs/>
                      <w:color w:val="auto"/>
                      <w:sz w:val="21"/>
                      <w:szCs w:val="21"/>
                      <w:highlight w:val="none"/>
                      <w:lang w:val="en-US" w:eastAsia="zh-CN"/>
                    </w:rPr>
                    <w:t>文件</w:t>
                  </w:r>
                  <w:r>
                    <w:rPr>
                      <w:rFonts w:ascii="Times New Roman" w:hAnsi="Times New Roman" w:eastAsia="宋体" w:cs="Times New Roman"/>
                      <w:b/>
                      <w:bCs/>
                      <w:color w:val="auto"/>
                      <w:sz w:val="21"/>
                      <w:szCs w:val="21"/>
                      <w:highlight w:val="none"/>
                    </w:rPr>
                    <w:t>要求</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 w:val="21"/>
                      <w:szCs w:val="21"/>
                      <w:highlight w:val="none"/>
                      <w:lang w:val="en-US" w:eastAsia="zh-CN"/>
                    </w:rPr>
                  </w:pPr>
                  <w:r>
                    <w:rPr>
                      <w:rFonts w:ascii="Times New Roman" w:hAnsi="Times New Roman" w:eastAsia="宋体" w:cs="Times New Roman"/>
                      <w:b/>
                      <w:bCs/>
                      <w:color w:val="auto"/>
                      <w:sz w:val="21"/>
                      <w:szCs w:val="21"/>
                      <w:highlight w:val="none"/>
                    </w:rPr>
                    <w:t>本项目</w:t>
                  </w:r>
                  <w:r>
                    <w:rPr>
                      <w:rFonts w:ascii="Times New Roman" w:hAnsi="Times New Roman" w:eastAsia="宋体" w:cs="Times New Roman"/>
                      <w:b/>
                      <w:bCs/>
                      <w:color w:val="auto"/>
                      <w:sz w:val="21"/>
                      <w:szCs w:val="21"/>
                      <w:highlight w:val="none"/>
                      <w:lang w:val="en-US" w:eastAsia="zh-CN"/>
                    </w:rPr>
                    <w:t>情况</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 w:val="21"/>
                      <w:szCs w:val="21"/>
                      <w:highlight w:val="none"/>
                      <w:lang w:val="en-US" w:eastAsia="zh-CN"/>
                    </w:rPr>
                  </w:pPr>
                  <w:r>
                    <w:rPr>
                      <w:rFonts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禁止建设不符合全国和省级港口布局规划以及港口总体规划的码头项目，禁止建设不符合《长江干线过江通道布局规划》的过长江通道项目。</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禁止未经许可在长江</w:t>
                  </w:r>
                  <w:r>
                    <w:rPr>
                      <w:rFonts w:ascii="Times New Roman" w:hAnsi="Times New Roman" w:eastAsia="宋体" w:cs="Times New Roman"/>
                      <w:color w:val="auto"/>
                      <w:sz w:val="21"/>
                      <w:szCs w:val="21"/>
                      <w:highlight w:val="none"/>
                      <w:lang w:eastAsia="zh-CN"/>
                    </w:rPr>
                    <w:t>干支流</w:t>
                  </w:r>
                  <w:r>
                    <w:rPr>
                      <w:rFonts w:ascii="Times New Roman" w:hAnsi="Times New Roman" w:eastAsia="宋体" w:cs="Times New Roman"/>
                      <w:color w:val="auto"/>
                      <w:sz w:val="21"/>
                      <w:szCs w:val="21"/>
                      <w:highlight w:val="none"/>
                    </w:rPr>
                    <w:t>及湖泊新设、改设或扩大排污口。</w:t>
                  </w:r>
                </w:p>
              </w:tc>
              <w:tc>
                <w:tcPr>
                  <w:tcW w:w="100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禁止在“一江一口两湖七河”和332个水生生物保护区开展生产性捕捞。</w:t>
                  </w:r>
                </w:p>
              </w:tc>
              <w:tc>
                <w:tcPr>
                  <w:tcW w:w="100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446"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jc w:val="left"/>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禁止在长江</w:t>
                  </w:r>
                  <w:r>
                    <w:rPr>
                      <w:rFonts w:ascii="Times New Roman" w:hAnsi="Times New Roman" w:eastAsia="宋体" w:cs="Times New Roman"/>
                      <w:color w:val="auto"/>
                      <w:sz w:val="21"/>
                      <w:szCs w:val="21"/>
                      <w:highlight w:val="none"/>
                      <w:lang w:eastAsia="zh-CN"/>
                    </w:rPr>
                    <w:t>干支流</w:t>
                  </w:r>
                  <w:r>
                    <w:rPr>
                      <w:rFonts w:ascii="Times New Roman" w:hAnsi="Times New Roman" w:eastAsia="宋体" w:cs="Times New Roman"/>
                      <w:color w:val="auto"/>
                      <w:sz w:val="21"/>
                      <w:szCs w:val="21"/>
                      <w:highlight w:val="none"/>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009"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本项目不涉及</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446"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jc w:val="left"/>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禁止在合规园区外新建、扩建钢铁、石化、化工、焦化、建材、有色、制浆造纸等高污染项目。</w:t>
                  </w:r>
                </w:p>
              </w:tc>
              <w:tc>
                <w:tcPr>
                  <w:tcW w:w="1009"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本项目</w:t>
                  </w:r>
                  <w:r>
                    <w:rPr>
                      <w:rFonts w:ascii="Times New Roman" w:hAnsi="Times New Roman" w:eastAsia="宋体" w:cs="Times New Roman"/>
                      <w:color w:val="auto"/>
                      <w:sz w:val="21"/>
                      <w:szCs w:val="21"/>
                      <w:highlight w:val="none"/>
                      <w:lang w:val="en-US" w:eastAsia="zh-CN"/>
                    </w:rPr>
                    <w:t>位于四川大英经济开发区，属合规园区</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禁止新建、扩建不符合国家石化、现代煤化工等产业布局规划的项目。</w:t>
                  </w:r>
                </w:p>
              </w:tc>
              <w:tc>
                <w:tcPr>
                  <w:tcW w:w="1009" w:type="pct"/>
                  <w:vMerge w:val="restar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本项目不属于禁止产业，不属于高耗能项目</w:t>
                  </w: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46"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009" w:type="pct"/>
                  <w:vMerge w:val="continue"/>
                  <w:tcBorders>
                    <w:tl2br w:val="nil"/>
                    <w:tr2bl w:val="nil"/>
                  </w:tcBorders>
                  <w:noWrap/>
                  <w:vAlign w:val="center"/>
                </w:tcPr>
                <w:p/>
              </w:tc>
              <w:tc>
                <w:tcPr>
                  <w:tcW w:w="544"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bl>
          <w:p>
            <w:pPr>
              <w:jc w:val="center"/>
              <w:rPr>
                <w:rFonts w:ascii="Times New Roman" w:hAnsi="Times New Roman" w:cs="Times New Roman"/>
                <w:b/>
                <w:bCs/>
                <w:color w:val="auto"/>
                <w:sz w:val="24"/>
                <w:highlight w:val="none"/>
                <w:lang w:val="zh-CN"/>
              </w:rPr>
            </w:pPr>
            <w:r>
              <w:rPr>
                <w:rFonts w:ascii="Times New Roman" w:hAnsi="Times New Roman" w:cs="Times New Roman"/>
                <w:b/>
                <w:bCs/>
                <w:color w:val="auto"/>
                <w:sz w:val="21"/>
                <w:szCs w:val="21"/>
                <w:highlight w:val="none"/>
                <w:lang w:val="zh-CN"/>
              </w:rPr>
              <w:t>表1-</w:t>
            </w:r>
            <w:r>
              <w:rPr>
                <w:rFonts w:hint="eastAsia" w:ascii="Times New Roman" w:hAnsi="Times New Roman" w:cs="Times New Roman"/>
                <w:b/>
                <w:bCs/>
                <w:color w:val="auto"/>
                <w:sz w:val="21"/>
                <w:szCs w:val="21"/>
                <w:highlight w:val="none"/>
                <w:lang w:val="en-US" w:eastAsia="zh-CN"/>
              </w:rPr>
              <w:t>7</w:t>
            </w:r>
            <w:r>
              <w:rPr>
                <w:rFonts w:ascii="Times New Roman" w:hAnsi="Times New Roman" w:cs="Times New Roman"/>
                <w:b/>
                <w:bCs/>
                <w:color w:val="auto"/>
                <w:sz w:val="21"/>
                <w:szCs w:val="21"/>
                <w:highlight w:val="none"/>
                <w:lang w:val="zh-CN"/>
              </w:rPr>
              <w:t>项目与</w:t>
            </w:r>
            <w:r>
              <w:rPr>
                <w:rFonts w:ascii="Times New Roman" w:hAnsi="Times New Roman" w:cs="Times New Roman"/>
                <w:b/>
                <w:bCs/>
                <w:color w:val="auto"/>
                <w:sz w:val="21"/>
                <w:szCs w:val="21"/>
                <w:highlight w:val="none"/>
                <w:lang w:val="en-US" w:eastAsia="zh-CN"/>
              </w:rPr>
              <w:t>川</w:t>
            </w:r>
            <w:r>
              <w:rPr>
                <w:rFonts w:ascii="Times New Roman" w:hAnsi="Times New Roman" w:cs="Times New Roman"/>
                <w:b/>
                <w:bCs/>
                <w:color w:val="auto"/>
                <w:sz w:val="21"/>
                <w:szCs w:val="21"/>
                <w:highlight w:val="none"/>
                <w:lang w:val="zh-CN"/>
              </w:rPr>
              <w:t>长江办〔2022〕</w:t>
            </w:r>
            <w:r>
              <w:rPr>
                <w:rFonts w:ascii="Times New Roman" w:hAnsi="Times New Roman" w:cs="Times New Roman"/>
                <w:b/>
                <w:bCs/>
                <w:color w:val="auto"/>
                <w:sz w:val="21"/>
                <w:szCs w:val="21"/>
                <w:highlight w:val="none"/>
                <w:lang w:val="en-US" w:eastAsia="zh-CN"/>
              </w:rPr>
              <w:t>1</w:t>
            </w:r>
            <w:r>
              <w:rPr>
                <w:rFonts w:ascii="Times New Roman" w:hAnsi="Times New Roman" w:cs="Times New Roman"/>
                <w:b/>
                <w:bCs/>
                <w:color w:val="auto"/>
                <w:sz w:val="21"/>
                <w:szCs w:val="21"/>
                <w:highlight w:val="none"/>
                <w:lang w:val="zh-CN"/>
              </w:rPr>
              <w:t>7号符合性分析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5"/>
              <w:gridCol w:w="1306"/>
              <w:gridCol w:w="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43"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lang w:val="en-US" w:eastAsia="zh-CN"/>
                    </w:rPr>
                    <w:t>川</w:t>
                  </w:r>
                  <w:r>
                    <w:rPr>
                      <w:rFonts w:ascii="Times New Roman" w:hAnsi="Times New Roman" w:eastAsia="宋体" w:cs="Times New Roman"/>
                      <w:b/>
                      <w:bCs/>
                      <w:color w:val="auto"/>
                      <w:sz w:val="21"/>
                      <w:szCs w:val="21"/>
                      <w:highlight w:val="none"/>
                      <w:lang w:val="zh-CN"/>
                    </w:rPr>
                    <w:t>长江办〔2022〕</w:t>
                  </w:r>
                  <w:r>
                    <w:rPr>
                      <w:rFonts w:ascii="Times New Roman" w:hAnsi="Times New Roman" w:eastAsia="宋体" w:cs="Times New Roman"/>
                      <w:b/>
                      <w:bCs/>
                      <w:color w:val="auto"/>
                      <w:sz w:val="21"/>
                      <w:szCs w:val="21"/>
                      <w:highlight w:val="none"/>
                      <w:lang w:val="en-US" w:eastAsia="zh-CN"/>
                    </w:rPr>
                    <w:t>1</w:t>
                  </w:r>
                  <w:r>
                    <w:rPr>
                      <w:rFonts w:ascii="Times New Roman" w:hAnsi="Times New Roman" w:eastAsia="宋体" w:cs="Times New Roman"/>
                      <w:b/>
                      <w:bCs/>
                      <w:color w:val="auto"/>
                      <w:sz w:val="21"/>
                      <w:szCs w:val="21"/>
                      <w:highlight w:val="none"/>
                      <w:lang w:val="zh-CN"/>
                    </w:rPr>
                    <w:t>7号</w:t>
                  </w:r>
                  <w:r>
                    <w:rPr>
                      <w:rFonts w:ascii="Times New Roman" w:hAnsi="Times New Roman" w:eastAsia="宋体" w:cs="Times New Roman"/>
                      <w:b/>
                      <w:bCs/>
                      <w:color w:val="auto"/>
                      <w:sz w:val="21"/>
                      <w:szCs w:val="21"/>
                      <w:highlight w:val="none"/>
                      <w:lang w:val="en-US" w:eastAsia="zh-CN"/>
                    </w:rPr>
                    <w:t>文件</w:t>
                  </w:r>
                  <w:r>
                    <w:rPr>
                      <w:rFonts w:ascii="Times New Roman" w:hAnsi="Times New Roman" w:eastAsia="宋体" w:cs="Times New Roman"/>
                      <w:b/>
                      <w:bCs/>
                      <w:color w:val="auto"/>
                      <w:sz w:val="21"/>
                      <w:szCs w:val="21"/>
                      <w:highlight w:val="none"/>
                    </w:rPr>
                    <w:t>要求</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本项目</w:t>
                  </w:r>
                  <w:r>
                    <w:rPr>
                      <w:rFonts w:ascii="Times New Roman" w:hAnsi="Times New Roman" w:eastAsia="宋体" w:cs="Times New Roman"/>
                      <w:b/>
                      <w:bCs/>
                      <w:color w:val="auto"/>
                      <w:sz w:val="21"/>
                      <w:szCs w:val="21"/>
                      <w:highlight w:val="none"/>
                      <w:lang w:val="en-US" w:eastAsia="zh-CN"/>
                    </w:rPr>
                    <w:t>情况</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第五条</w:t>
                  </w:r>
                  <w:r>
                    <w:rPr>
                      <w:rFonts w:ascii="Times New Roman" w:hAnsi="Times New Roman" w:eastAsia="宋体" w:cs="Times New Roman"/>
                      <w:color w:val="auto"/>
                      <w:sz w:val="21"/>
                      <w:szCs w:val="21"/>
                      <w:highlight w:val="none"/>
                    </w:rPr>
                    <w:t>禁止新建、改建和扩建不符合全国港口布局规划，以及《四川省内河水运发展规划》《泸州—宜宾—乐山港口群布局规划》《重庆港总体规划</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2035年</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》等省级港口布局规划及市级港口总体规划的码头项目。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第六条</w:t>
                  </w:r>
                  <w:r>
                    <w:rPr>
                      <w:rFonts w:ascii="Times New Roman" w:hAnsi="Times New Roman" w:eastAsia="宋体" w:cs="Times New Roman"/>
                      <w:color w:val="auto"/>
                      <w:sz w:val="21"/>
                      <w:szCs w:val="21"/>
                      <w:highlight w:val="none"/>
                    </w:rPr>
                    <w:t>禁止新建、改建和扩建不符合《长江干线过江通道布局规划</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2020——2035年</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》的过长江通道项目</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含桥梁、隧道</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，国家发展改革委同意过长江通道线位调整的除外。</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第七条禁止在自然保护区核心区、缓冲区的岸线和河段范围内投资建设旅游和生产经营项目。自然保护区的内部未分区的，依照核心区和缓冲区的规定管控。</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第八条禁止违反风景名胜区规划，在风景名胜区内设立各类开发区。禁止在风景名胜区核心景区的岸线和河段范围内建设宾馆、招待所、培训中心、疗养院以及与风景名胜资源保护无关的项目。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不涉及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第九条禁止在饮用水水源</w:t>
                  </w:r>
                  <w:r>
                    <w:rPr>
                      <w:rFonts w:ascii="Times New Roman" w:hAnsi="Times New Roman" w:eastAsia="宋体" w:cs="Times New Roman"/>
                      <w:color w:val="auto"/>
                      <w:sz w:val="21"/>
                      <w:szCs w:val="21"/>
                      <w:highlight w:val="none"/>
                      <w:lang w:eastAsia="zh-CN"/>
                    </w:rPr>
                    <w:t>标</w:t>
                  </w:r>
                  <w:r>
                    <w:rPr>
                      <w:rFonts w:ascii="Times New Roman" w:hAnsi="Times New Roman" w:eastAsia="宋体" w:cs="Times New Roman"/>
                      <w:color w:val="auto"/>
                      <w:sz w:val="21"/>
                      <w:szCs w:val="21"/>
                      <w:highlight w:val="none"/>
                    </w:rPr>
                    <w:t>准保护区的岸线和河段范围内新建、扩建对水体污染严重的建设项目，禁止改建增加排污量的建设项目。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第十条饮用水水源二级保护区的岸线和河段范围内，除遵守准保护区规定外，禁止新建、改建、扩建排放污染物的投资建设项目</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禁止从事对水体有污染的水产养殖等活动。</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第十二条禁止在水产种质资源保护区岸线和河段范围内新建围湖造田、围湖造地或挖沙采石等投资建设项目。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第十三条禁止在国家湿地公园的岸线和河段范围内开</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ascii="Times New Roman" w:hAnsi="Times New Roman" w:eastAsia="宋体" w:cs="Times New Roman"/>
                      <w:color w:val="auto"/>
                      <w:sz w:val="21"/>
                      <w:szCs w:val="21"/>
                      <w:highlight w:val="none"/>
                      <w:lang w:eastAsia="zh-CN"/>
                    </w:rPr>
                    <w:t>洄游</w:t>
                  </w:r>
                  <w:r>
                    <w:rPr>
                      <w:rFonts w:ascii="Times New Roman" w:hAnsi="Times New Roman" w:eastAsia="宋体" w:cs="Times New Roman"/>
                      <w:color w:val="auto"/>
                      <w:sz w:val="21"/>
                      <w:szCs w:val="21"/>
                      <w:highlight w:val="none"/>
                    </w:rPr>
                    <w:t>通道。</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74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第十五条禁止在《全国重要江河湖泊水功能区划》划定的河段及湖泊保护区、保留区内投资建设不利于水资源及自然生态保护的项目。</w:t>
                  </w:r>
                </w:p>
              </w:tc>
              <w:tc>
                <w:tcPr>
                  <w:tcW w:w="74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第十六条禁止在长江流域江河、湖泊新设、改设或者扩大排污口，经有管辖权的生态环境主管部门或者长江流域生态环境监督管理机构同意的除外。</w:t>
                  </w:r>
                </w:p>
              </w:tc>
              <w:tc>
                <w:tcPr>
                  <w:tcW w:w="74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第十七条禁止在长江干流、大渡河、岷江、赤水河、沱江、嘉陵江、乌江、汉江和51个（四川省45个、重庆市6个）水生生物保护区开展生产性捕捞。</w:t>
                  </w:r>
                </w:p>
              </w:tc>
              <w:tc>
                <w:tcPr>
                  <w:tcW w:w="74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43"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第十八条禁止在长江干支流、重要湖泊岸线一公里范围内新建、扩建化工园区和化工项目。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本项目不属于化工项目</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第十九条禁止在长江干流岸线三公里范围内和重要支流岸线一公里范围内新建、改建、扩建尾矿库、冶炼渣库、磷石膏库，以提升安全、生态环境保护水平为</w:t>
                  </w:r>
                  <w:r>
                    <w:rPr>
                      <w:rFonts w:ascii="Times New Roman" w:hAnsi="Times New Roman" w:eastAsia="宋体" w:cs="Times New Roman"/>
                      <w:color w:val="auto"/>
                      <w:sz w:val="21"/>
                      <w:szCs w:val="21"/>
                      <w:highlight w:val="none"/>
                      <w:lang w:val="en-US" w:eastAsia="zh-CN"/>
                    </w:rPr>
                    <w:t>符合</w:t>
                  </w:r>
                  <w:r>
                    <w:rPr>
                      <w:rFonts w:ascii="Times New Roman" w:hAnsi="Times New Roman" w:eastAsia="宋体" w:cs="Times New Roman"/>
                      <w:color w:val="auto"/>
                      <w:sz w:val="21"/>
                      <w:szCs w:val="21"/>
                      <w:highlight w:val="none"/>
                    </w:rPr>
                    <w:t>目的的改建除外。</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43"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第二十条禁止在生态保护红线区域、永久基本农田集中区域和其他需要特别保护的区域内选址建设尾矿库﹑冶炼渣库、磷石膏库。</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本项目不</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743"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第二十一条禁止在合规园区外新建、扩建钢铁、石化、化工、焦化、建材、有色、制浆造纸等高污染项目。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本项目位于合规园区内</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第二十二条禁止新建、扩建不符合国家石化、现代煤化工等产业布局规划的项目。</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一</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严格控制新增炼油产能，未列入《石化产业规划布局方案（修订版</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》的新增炼油产能一律不得建设。</w:t>
                  </w:r>
                </w:p>
                <w:p>
                  <w:pPr>
                    <w:pStyle w:val="84"/>
                    <w:keepNext w:val="0"/>
                    <w:keepLines w:val="0"/>
                    <w:pageBreakBefore w:val="0"/>
                    <w:widowControl w:val="0"/>
                    <w:kinsoku/>
                    <w:wordWrap/>
                    <w:overflowPunct/>
                    <w:topLinePunct w:val="0"/>
                    <w:autoSpaceDE/>
                    <w:autoSpaceDN/>
                    <w:bidi w:val="0"/>
                    <w:spacing w:line="240" w:lineRule="auto"/>
                    <w:ind w:left="0" w:firstLine="48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二）新建</w:t>
                  </w:r>
                  <w:r>
                    <w:rPr>
                      <w:rFonts w:eastAsia="宋体"/>
                      <w:sz w:val="21"/>
                      <w:szCs w:val="21"/>
                    </w:rPr>
                    <w:t>煤制烯烃</w:t>
                  </w:r>
                  <w:r>
                    <w:rPr>
                      <w:rFonts w:ascii="Times New Roman" w:hAnsi="Times New Roman" w:eastAsia="宋体" w:cs="Times New Roman"/>
                      <w:color w:val="auto"/>
                      <w:sz w:val="21"/>
                      <w:szCs w:val="21"/>
                      <w:highlight w:val="none"/>
                    </w:rPr>
                    <w:t>、煤制芳</w:t>
                  </w:r>
                  <w:r>
                    <w:rPr>
                      <w:rFonts w:eastAsia="宋体"/>
                      <w:sz w:val="21"/>
                      <w:szCs w:val="21"/>
                    </w:rPr>
                    <w:t>烃</w:t>
                  </w:r>
                  <w:r>
                    <w:rPr>
                      <w:rFonts w:ascii="Times New Roman" w:hAnsi="Times New Roman" w:eastAsia="宋体" w:cs="Times New Roman"/>
                      <w:color w:val="auto"/>
                      <w:sz w:val="21"/>
                      <w:szCs w:val="21"/>
                      <w:highlight w:val="none"/>
                    </w:rPr>
                    <w:t>项目必须列入《现代煤化工产业创新发展布局方案》，必须符合《现代煤化工建设项目环境准入条件（试行</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》要求。</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本项目不属于石化及煤化工</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第二十三条禁止新建、扩建法律法规和相关政策明令禁止的落后产能项目。对《产业结构调整指导目录》中淘汰类项目，禁止投资</w:t>
                  </w: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限制类的新建项目，禁止投资，对属于限制类的现有生产能力，允许企业在一定期限内采取措施改造升级。</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根据</w:t>
                  </w:r>
                  <w:r>
                    <w:rPr>
                      <w:rFonts w:ascii="Times New Roman" w:hAnsi="Times New Roman" w:eastAsia="宋体" w:cs="Times New Roman"/>
                      <w:color w:val="auto"/>
                      <w:sz w:val="21"/>
                      <w:szCs w:val="21"/>
                      <w:highlight w:val="none"/>
                    </w:rPr>
                    <w:t>《产业结构调整指导目录》</w:t>
                  </w:r>
                  <w:r>
                    <w:rPr>
                      <w:rFonts w:ascii="Times New Roman" w:hAnsi="Times New Roman" w:eastAsia="宋体" w:cs="Times New Roman"/>
                      <w:color w:val="auto"/>
                      <w:sz w:val="21"/>
                      <w:szCs w:val="21"/>
                      <w:highlight w:val="none"/>
                      <w:lang w:val="en-US" w:eastAsia="zh-CN"/>
                    </w:rPr>
                    <w:t>本项目属于鼓励类</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第二十四条禁止新建、扩建不符合国家产能置换要求的严重过剩产能行业的项目。对于不符合国家产能置换要求的严重过剩产能行业，不得以其他任何名义、任何方式备案新增产能项目。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不涉及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第二十五条禁止建设以下燃油汽车投资项目（不在中国境内销售产品的投资项目除外</w:t>
                  </w:r>
                  <w:r>
                    <w:rPr>
                      <w:rFonts w:ascii="Times New Roman" w:hAnsi="Times New Roman" w:eastAsia="宋体" w:cs="Times New Roman"/>
                      <w:color w:val="auto"/>
                      <w:sz w:val="21"/>
                      <w:szCs w:val="21"/>
                      <w:highlight w:val="none"/>
                      <w:lang w:eastAsia="zh-CN"/>
                    </w:rPr>
                    <w:t>）：</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一）新建独立燃油汽车企业</w:t>
                  </w:r>
                  <w:r>
                    <w:rPr>
                      <w:rFonts w:ascii="Times New Roman" w:hAnsi="Times New Roman" w:eastAsia="宋体" w:cs="Times New Roman"/>
                      <w:color w:val="auto"/>
                      <w:sz w:val="21"/>
                      <w:szCs w:val="21"/>
                      <w:highlight w:val="none"/>
                      <w:lang w:eastAsia="zh-CN"/>
                    </w:rPr>
                    <w:t>；</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二）现有汽车企业跨乘用车、商用车类别建设燃油汽车生产能力</w:t>
                  </w:r>
                  <w:r>
                    <w:rPr>
                      <w:rFonts w:ascii="Times New Roman" w:hAnsi="Times New Roman" w:eastAsia="宋体" w:cs="Times New Roman"/>
                      <w:color w:val="auto"/>
                      <w:sz w:val="21"/>
                      <w:szCs w:val="21"/>
                      <w:highlight w:val="none"/>
                      <w:lang w:eastAsia="zh-CN"/>
                    </w:rPr>
                    <w:t>；</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三）外省现有燃油汽车企业整体搬迁至本省（列入国家级区域发展规划或不改变企业股权结构的项目除外</w:t>
                  </w:r>
                  <w:r>
                    <w:rPr>
                      <w:rFonts w:ascii="Times New Roman" w:hAnsi="Times New Roman" w:eastAsia="宋体" w:cs="Times New Roman"/>
                      <w:color w:val="auto"/>
                      <w:sz w:val="21"/>
                      <w:szCs w:val="21"/>
                      <w:highlight w:val="none"/>
                      <w:lang w:eastAsia="zh-CN"/>
                    </w:rPr>
                    <w:t>）；</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四）对行业管理部门特别公示的燃油汽车企业进行投资企业原有股东投资或将该企业转为非独立法人的投资项目除</w:t>
                  </w:r>
                  <w:r>
                    <w:rPr>
                      <w:rFonts w:ascii="Times New Roman" w:hAnsi="Times New Roman" w:eastAsia="宋体" w:cs="Times New Roman"/>
                      <w:color w:val="auto"/>
                      <w:sz w:val="21"/>
                      <w:szCs w:val="21"/>
                      <w:highlight w:val="none"/>
                      <w:lang w:val="en-US" w:eastAsia="zh-CN"/>
                    </w:rPr>
                    <w:t>外。</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不涉及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743" w:type="pct"/>
                  <w:tcBorders>
                    <w:tl2br w:val="nil"/>
                    <w:tr2bl w:val="nil"/>
                  </w:tcBorders>
                  <w:noWrap/>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第二十六条禁止新建、扩建不符合要求的高耗能、高排放、低水平项目。</w:t>
                  </w:r>
                </w:p>
              </w:tc>
              <w:tc>
                <w:tcPr>
                  <w:tcW w:w="74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本项目</w:t>
                  </w:r>
                </w:p>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lang w:val="en-US" w:eastAsia="zh-CN"/>
                    </w:rPr>
                    <w:t>不涉及</w:t>
                  </w:r>
                </w:p>
              </w:tc>
              <w:tc>
                <w:tcPr>
                  <w:tcW w:w="508" w:type="pct"/>
                  <w:tcBorders>
                    <w:tl2br w:val="nil"/>
                    <w:tr2bl w:val="nil"/>
                  </w:tcBorders>
                  <w:noWrap/>
                  <w:vAlign w:val="center"/>
                </w:tcPr>
                <w:p>
                  <w:pPr>
                    <w:pStyle w:val="8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highlight w:val="none"/>
                <w:lang w:val="zh-CN"/>
              </w:rPr>
            </w:pPr>
            <w:r>
              <w:rPr>
                <w:rFonts w:ascii="Times New Roman" w:hAnsi="Times New Roman" w:cs="Times New Roman"/>
                <w:color w:val="auto"/>
                <w:sz w:val="24"/>
                <w:szCs w:val="24"/>
                <w:highlight w:val="none"/>
              </w:rPr>
              <w:t>根据以上分析，</w:t>
            </w:r>
            <w:r>
              <w:rPr>
                <w:rFonts w:ascii="Times New Roman" w:hAnsi="Times New Roman" w:cs="Times New Roman"/>
                <w:color w:val="auto"/>
                <w:sz w:val="24"/>
                <w:szCs w:val="24"/>
                <w:highlight w:val="none"/>
                <w:lang w:val="zh-CN"/>
              </w:rPr>
              <w:t>本项目的建设符合《长江经济带发展负面清单指南试行（</w:t>
            </w:r>
            <w:r>
              <w:rPr>
                <w:rFonts w:ascii="Times New Roman" w:hAnsi="Times New Roman" w:cs="Times New Roman"/>
                <w:color w:val="auto"/>
                <w:sz w:val="24"/>
                <w:szCs w:val="24"/>
                <w:highlight w:val="none"/>
              </w:rPr>
              <w:t>2022版</w:t>
            </w:r>
            <w:r>
              <w:rPr>
                <w:rFonts w:ascii="Times New Roman" w:hAnsi="Times New Roman" w:cs="Times New Roman"/>
                <w:color w:val="auto"/>
                <w:sz w:val="24"/>
                <w:szCs w:val="24"/>
                <w:highlight w:val="none"/>
                <w:lang w:val="zh-CN"/>
              </w:rPr>
              <w:t>）》（长江办〔</w:t>
            </w:r>
            <w:r>
              <w:rPr>
                <w:rFonts w:ascii="Times New Roman" w:hAnsi="Times New Roman" w:cs="Times New Roman"/>
                <w:color w:val="auto"/>
                <w:sz w:val="24"/>
                <w:szCs w:val="24"/>
                <w:highlight w:val="none"/>
              </w:rPr>
              <w:t>2022</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rPr>
              <w:t>7号</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及</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四川省、重庆市</w:t>
            </w:r>
            <w:r>
              <w:rPr>
                <w:rFonts w:ascii="Times New Roman" w:hAnsi="Times New Roman" w:cs="Times New Roman"/>
                <w:color w:val="auto"/>
                <w:sz w:val="24"/>
                <w:szCs w:val="24"/>
                <w:highlight w:val="none"/>
                <w:lang w:val="zh-CN"/>
              </w:rPr>
              <w:t>长江经济带发展负面</w:t>
            </w:r>
            <w:r>
              <w:rPr>
                <w:rFonts w:ascii="Times New Roman" w:hAnsi="Times New Roman" w:cs="Times New Roman"/>
                <w:color w:val="auto"/>
                <w:sz w:val="24"/>
                <w:szCs w:val="24"/>
                <w:highlight w:val="none"/>
                <w:lang w:val="en-US" w:eastAsia="zh-CN"/>
              </w:rPr>
              <w:t>清单实施细则</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试行，</w:t>
            </w:r>
            <w:r>
              <w:rPr>
                <w:rFonts w:ascii="Times New Roman" w:hAnsi="Times New Roman" w:cs="Times New Roman"/>
                <w:color w:val="auto"/>
                <w:sz w:val="24"/>
                <w:szCs w:val="24"/>
                <w:highlight w:val="none"/>
              </w:rPr>
              <w:t>2022版</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川长江办</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rPr>
              <w:t>2022</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7号</w:t>
            </w:r>
            <w:r>
              <w:rPr>
                <w:rFonts w:ascii="Times New Roman" w:hAnsi="Times New Roman" w:cs="Times New Roman"/>
                <w:color w:val="auto"/>
                <w:sz w:val="24"/>
                <w:szCs w:val="24"/>
                <w:highlight w:val="none"/>
                <w:lang w:val="zh-CN"/>
              </w:rPr>
              <w:t>）的</w:t>
            </w:r>
            <w:r>
              <w:rPr>
                <w:rFonts w:ascii="Times New Roman" w:hAnsi="Times New Roman" w:cs="Times New Roman"/>
                <w:color w:val="auto"/>
                <w:sz w:val="24"/>
                <w:szCs w:val="24"/>
                <w:highlight w:val="none"/>
                <w:lang w:val="en-US" w:eastAsia="zh-CN"/>
              </w:rPr>
              <w:t>文件</w:t>
            </w:r>
            <w:r>
              <w:rPr>
                <w:rFonts w:ascii="Times New Roman" w:hAnsi="Times New Roman" w:cs="Times New Roman"/>
                <w:color w:val="auto"/>
                <w:sz w:val="24"/>
                <w:szCs w:val="24"/>
                <w:highlight w:val="none"/>
                <w:lang w:val="zh-CN"/>
              </w:rPr>
              <w:t>要求。</w:t>
            </w:r>
            <w:r>
              <w:rPr>
                <w:rFonts w:ascii="Times New Roman" w:hAnsi="Times New Roman" w:cs="Times New Roman"/>
                <w:color w:val="auto"/>
                <w:sz w:val="24"/>
                <w:szCs w:val="24"/>
                <w:highlight w:val="none"/>
              </w:rPr>
              <w:t>2019年8月27日四川省推动长江经济带发展领导小组发布了</w:t>
            </w:r>
            <w:r>
              <w:rPr>
                <w:rFonts w:ascii="Times New Roman" w:hAnsi="Times New Roman" w:cs="Times New Roman"/>
                <w:color w:val="auto"/>
                <w:sz w:val="24"/>
                <w:szCs w:val="24"/>
                <w:highlight w:val="none"/>
                <w:lang w:val="zh-CN"/>
              </w:rPr>
              <w:t>《四川省长江经济带发展负面清单实施细则（试行）》（川长江办〔</w:t>
            </w:r>
            <w:r>
              <w:rPr>
                <w:rFonts w:ascii="Times New Roman" w:hAnsi="Times New Roman" w:cs="Times New Roman"/>
                <w:color w:val="auto"/>
                <w:sz w:val="24"/>
                <w:szCs w:val="24"/>
                <w:highlight w:val="none"/>
              </w:rPr>
              <w:t>2019</w:t>
            </w:r>
            <w:r>
              <w:rPr>
                <w:rFonts w:ascii="Times New Roman" w:hAnsi="Times New Roman" w:cs="Times New Roman"/>
                <w:color w:val="auto"/>
                <w:sz w:val="24"/>
                <w:szCs w:val="24"/>
                <w:highlight w:val="none"/>
                <w:lang w:val="zh-CN"/>
              </w:rPr>
              <w:t>〕</w:t>
            </w:r>
            <w:r>
              <w:rPr>
                <w:rFonts w:ascii="Times New Roman" w:hAnsi="Times New Roman" w:cs="Times New Roman"/>
                <w:color w:val="auto"/>
                <w:sz w:val="24"/>
                <w:szCs w:val="24"/>
                <w:highlight w:val="none"/>
              </w:rPr>
              <w:t>8号</w:t>
            </w:r>
            <w:r>
              <w:rPr>
                <w:rFonts w:ascii="Times New Roman" w:hAnsi="Times New Roman" w:cs="Times New Roman"/>
                <w:color w:val="auto"/>
                <w:sz w:val="24"/>
                <w:szCs w:val="24"/>
                <w:highlight w:val="none"/>
                <w:lang w:val="zh-CN"/>
              </w:rPr>
              <w:t>）。根据文件精神，……禁止在长江干流和主要支流（包括：岷江干流、沱江干流、赤水河干流、嘉陵江干流、雅砻江干流）1公里〔指长江干支流岸线边界（即水利部门河道管理范围边界）向陆域纵深</w:t>
            </w:r>
            <w:r>
              <w:rPr>
                <w:rFonts w:ascii="Times New Roman" w:hAnsi="Times New Roman" w:cs="Times New Roman"/>
                <w:color w:val="auto"/>
                <w:sz w:val="24"/>
                <w:szCs w:val="24"/>
                <w:highlight w:val="none"/>
              </w:rPr>
              <w:t>1</w:t>
            </w:r>
            <w:r>
              <w:rPr>
                <w:rFonts w:ascii="Times New Roman" w:hAnsi="Times New Roman" w:cs="Times New Roman"/>
                <w:color w:val="auto"/>
                <w:sz w:val="24"/>
                <w:szCs w:val="24"/>
                <w:highlight w:val="none"/>
                <w:lang w:val="zh-CN"/>
              </w:rPr>
              <w:t>公里〕范围内新建、扩建化工园区和化工项目。……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p>
            <w:pPr>
              <w:bidi w:val="0"/>
              <w:spacing w:line="360" w:lineRule="auto"/>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lang w:val="zh-CN"/>
              </w:rPr>
              <w:t>本项目位于</w:t>
            </w:r>
            <w:r>
              <w:rPr>
                <w:rFonts w:ascii="Times New Roman" w:hAnsi="Times New Roman" w:cs="Times New Roman"/>
                <w:b/>
                <w:bCs/>
                <w:color w:val="auto"/>
                <w:sz w:val="24"/>
                <w:szCs w:val="24"/>
                <w:highlight w:val="none"/>
                <w:lang w:val="en-US" w:eastAsia="zh-CN"/>
              </w:rPr>
              <w:t>郪江</w:t>
            </w:r>
            <w:r>
              <w:rPr>
                <w:rFonts w:ascii="Times New Roman" w:hAnsi="Times New Roman" w:cs="Times New Roman"/>
                <w:b/>
                <w:bCs/>
                <w:color w:val="auto"/>
                <w:sz w:val="24"/>
                <w:szCs w:val="24"/>
                <w:highlight w:val="none"/>
                <w:lang w:val="zh-CN"/>
              </w:rPr>
              <w:t>流域，项目不属于化工项目，不属于落后产能，不属于四川大英经济开发区</w:t>
            </w:r>
            <w:r>
              <w:rPr>
                <w:rFonts w:ascii="Times New Roman" w:hAnsi="Times New Roman" w:cs="Times New Roman"/>
                <w:b/>
                <w:bCs/>
                <w:color w:val="auto"/>
                <w:sz w:val="24"/>
                <w:szCs w:val="24"/>
                <w:highlight w:val="none"/>
              </w:rPr>
              <w:t>中的限制类和禁止类</w:t>
            </w:r>
            <w:r>
              <w:rPr>
                <w:rFonts w:ascii="Times New Roman" w:hAnsi="Times New Roman" w:cs="Times New Roman"/>
                <w:b/>
                <w:bCs/>
                <w:color w:val="auto"/>
                <w:sz w:val="24"/>
                <w:szCs w:val="24"/>
                <w:highlight w:val="none"/>
                <w:lang w:val="zh-CN"/>
              </w:rPr>
              <w:t>，</w:t>
            </w:r>
            <w:r>
              <w:rPr>
                <w:rFonts w:ascii="Times New Roman" w:hAnsi="Times New Roman" w:cs="Times New Roman"/>
                <w:b/>
                <w:bCs/>
                <w:color w:val="auto"/>
                <w:sz w:val="24"/>
                <w:szCs w:val="24"/>
                <w:highlight w:val="none"/>
                <w:lang w:val="en-US" w:eastAsia="zh-CN"/>
              </w:rPr>
              <w:t>属于</w:t>
            </w:r>
            <w:r>
              <w:rPr>
                <w:rFonts w:ascii="Times New Roman" w:hAnsi="Times New Roman" w:cs="Times New Roman"/>
                <w:b/>
                <w:bCs/>
                <w:color w:val="auto"/>
                <w:sz w:val="24"/>
                <w:szCs w:val="24"/>
                <w:highlight w:val="none"/>
              </w:rPr>
              <w:t>《产业结构调整指导目录（20</w:t>
            </w:r>
            <w:r>
              <w:rPr>
                <w:rFonts w:ascii="Times New Roman" w:hAnsi="Times New Roman" w:cs="Times New Roman"/>
                <w:b/>
                <w:bCs/>
                <w:color w:val="auto"/>
                <w:sz w:val="24"/>
                <w:szCs w:val="24"/>
                <w:highlight w:val="none"/>
                <w:lang w:val="en-US" w:eastAsia="zh-CN"/>
              </w:rPr>
              <w:t>24</w:t>
            </w:r>
            <w:r>
              <w:rPr>
                <w:rFonts w:ascii="Times New Roman" w:hAnsi="Times New Roman" w:cs="Times New Roman"/>
                <w:b/>
                <w:bCs/>
                <w:color w:val="auto"/>
                <w:sz w:val="24"/>
                <w:szCs w:val="24"/>
                <w:highlight w:val="none"/>
              </w:rPr>
              <w:t>年本）》</w:t>
            </w:r>
            <w:r>
              <w:rPr>
                <w:rFonts w:ascii="Times New Roman" w:hAnsi="Times New Roman" w:cs="Times New Roman"/>
                <w:b/>
                <w:bCs/>
                <w:color w:val="auto"/>
                <w:sz w:val="24"/>
                <w:szCs w:val="24"/>
                <w:highlight w:val="none"/>
                <w:lang w:val="en-US" w:eastAsia="zh-CN"/>
              </w:rPr>
              <w:t>允许类，</w:t>
            </w:r>
            <w:r>
              <w:rPr>
                <w:rFonts w:ascii="Times New Roman" w:hAnsi="Times New Roman" w:cs="Times New Roman"/>
                <w:b/>
                <w:bCs/>
                <w:color w:val="auto"/>
                <w:sz w:val="24"/>
                <w:szCs w:val="24"/>
                <w:highlight w:val="none"/>
                <w:lang w:val="zh-CN"/>
              </w:rPr>
              <w:t>因此本项目的建设符合《四川省长江经济带发展负面清单实施细则（试行）》（川长江办〔</w:t>
            </w:r>
            <w:r>
              <w:rPr>
                <w:rFonts w:ascii="Times New Roman" w:hAnsi="Times New Roman" w:cs="Times New Roman"/>
                <w:b/>
                <w:bCs/>
                <w:color w:val="auto"/>
                <w:sz w:val="24"/>
                <w:szCs w:val="24"/>
                <w:highlight w:val="none"/>
              </w:rPr>
              <w:t>2019</w:t>
            </w:r>
            <w:r>
              <w:rPr>
                <w:rFonts w:ascii="Times New Roman" w:hAnsi="Times New Roman" w:cs="Times New Roman"/>
                <w:b/>
                <w:bCs/>
                <w:color w:val="auto"/>
                <w:sz w:val="24"/>
                <w:szCs w:val="24"/>
                <w:highlight w:val="none"/>
                <w:lang w:val="zh-CN"/>
              </w:rPr>
              <w:t>〕</w:t>
            </w:r>
            <w:r>
              <w:rPr>
                <w:rFonts w:ascii="Times New Roman" w:hAnsi="Times New Roman" w:cs="Times New Roman"/>
                <w:b/>
                <w:bCs/>
                <w:color w:val="auto"/>
                <w:sz w:val="24"/>
                <w:szCs w:val="24"/>
                <w:highlight w:val="none"/>
              </w:rPr>
              <w:t>8号</w:t>
            </w:r>
            <w:r>
              <w:rPr>
                <w:rFonts w:ascii="Times New Roman" w:hAnsi="Times New Roman" w:cs="Times New Roman"/>
                <w:b/>
                <w:bCs/>
                <w:color w:val="auto"/>
                <w:sz w:val="24"/>
                <w:szCs w:val="24"/>
                <w:highlight w:val="none"/>
                <w:lang w:val="zh-CN"/>
              </w:rPr>
              <w:t>）要求。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Times New Roman" w:hAnsi="Times New Roman" w:eastAsia="宋体" w:cs="Times New Roman"/>
                <w:b/>
                <w:color w:val="auto"/>
                <w:sz w:val="24"/>
                <w:szCs w:val="24"/>
                <w:lang w:val="en-US" w:eastAsia="zh-CN"/>
              </w:rPr>
            </w:pPr>
            <w:r>
              <w:rPr>
                <w:rFonts w:ascii="Times New Roman" w:hAnsi="Times New Roman" w:cs="Times New Roman"/>
                <w:b/>
                <w:color w:val="auto"/>
                <w:sz w:val="24"/>
                <w:szCs w:val="24"/>
                <w:lang w:val="en-US" w:eastAsia="zh-CN"/>
              </w:rPr>
              <w:t>5、</w:t>
            </w:r>
            <w:r>
              <w:rPr>
                <w:rFonts w:ascii="Times New Roman" w:hAnsi="Times New Roman" w:eastAsia="宋体" w:cs="Times New Roman"/>
                <w:b/>
                <w:color w:val="auto"/>
                <w:sz w:val="24"/>
                <w:szCs w:val="24"/>
                <w:lang w:val="en-US" w:eastAsia="zh-CN"/>
              </w:rPr>
              <w:t>选址与郪江黄颡鱼国家级水产种质资源符合性分析</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ascii="Times New Roman" w:hAnsi="Times New Roman" w:cs="Times New Roman"/>
                <w:color w:val="auto"/>
                <w:sz w:val="24"/>
                <w:szCs w:val="24"/>
              </w:rPr>
            </w:pPr>
            <w:r>
              <w:rPr>
                <w:rFonts w:ascii="Times New Roman" w:hAnsi="Times New Roman" w:eastAsia="宋体" w:cs="Times New Roman"/>
                <w:color w:val="auto"/>
                <w:sz w:val="24"/>
                <w:szCs w:val="24"/>
              </w:rPr>
              <w:t>郪江黄颡鱼国家级水产种质资源保护区位于长江流域涪江水系的支流郪江河段，辖4个镇（象山镇、蓬莱镇、隆盛镇、回马镇），根据农业部（农办长渔【2015】2号）《关于调整郪江黄颡鱼等2处国家级水产种质资源保护区面积范围和功能分区的通知》，</w:t>
            </w:r>
            <w:r>
              <w:rPr>
                <w:rFonts w:ascii="Times New Roman" w:hAnsi="Times New Roman" w:eastAsia="宋体" w:cs="Times New Roman"/>
                <w:b/>
                <w:color w:val="auto"/>
                <w:sz w:val="24"/>
                <w:szCs w:val="24"/>
              </w:rPr>
              <w:t>调整后的郪江黄颡鱼国家级水产种质资源保护区总面积520公顷，其中核心</w:t>
            </w:r>
            <w:r>
              <w:rPr>
                <w:rFonts w:ascii="Times New Roman" w:hAnsi="Times New Roman" w:eastAsia="宋体" w:cs="Times New Roman"/>
                <w:color w:val="auto"/>
                <w:sz w:val="24"/>
                <w:szCs w:val="24"/>
              </w:rPr>
              <mc:AlternateContent>
                <mc:Choice Requires="wps">
                  <w:drawing>
                    <wp:anchor distT="0" distB="0" distL="113665" distR="113665" simplePos="0" relativeHeight="251659264" behindDoc="0" locked="0" layoutInCell="1" allowOverlap="1">
                      <wp:simplePos x="0" y="0"/>
                      <wp:positionH relativeFrom="column">
                        <wp:posOffset>4292600</wp:posOffset>
                      </wp:positionH>
                      <wp:positionV relativeFrom="paragraph">
                        <wp:posOffset>2143125</wp:posOffset>
                      </wp:positionV>
                      <wp:extent cx="209550" cy="304800"/>
                      <wp:effectExtent l="0" t="0" r="0" b="0"/>
                      <wp:wrapNone/>
                      <wp:docPr id="16" name="文本框 37"/>
                      <wp:cNvGraphicFramePr/>
                      <a:graphic xmlns:a="http://schemas.openxmlformats.org/drawingml/2006/main">
                        <a:graphicData uri="http://schemas.microsoft.com/office/word/2010/wordprocessingShape">
                          <wps:wsp>
                            <wps:cNvSpPr/>
                            <wps:spPr>
                              <a:xfrm>
                                <a:off x="0" y="0"/>
                                <a:ext cx="209550" cy="304799"/>
                              </a:xfrm>
                              <a:prstGeom prst="rect">
                                <a:avLst/>
                              </a:prstGeom>
                              <a:noFill/>
                              <a:ln w="9525" cap="flat" cmpd="sng">
                                <a:noFill/>
                                <a:prstDash val="solid"/>
                                <a:round/>
                              </a:ln>
                            </wps:spPr>
                            <wps:txbx>
                              <w:txbxContent>
                                <w:p/>
                              </w:txbxContent>
                            </wps:txbx>
                            <wps:bodyPr vert="horz" wrap="square" lIns="91440" tIns="45720" rIns="91440" bIns="45720" anchor="t" anchorCtr="0" upright="1">
                              <a:noAutofit/>
                            </wps:bodyPr>
                          </wps:wsp>
                        </a:graphicData>
                      </a:graphic>
                    </wp:anchor>
                  </w:drawing>
                </mc:Choice>
                <mc:Fallback>
                  <w:pict>
                    <v:rect id="文本框 37" o:spid="_x0000_s1026" o:spt="1" style="position:absolute;left:0pt;margin-left:338pt;margin-top:168.75pt;height:24pt;width:16.5pt;z-index:251659264;mso-width-relative:page;mso-height-relative:page;" filled="f" stroked="f" coordsize="21600,21600" o:gfxdata="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XjivdwAAAALAQAADwAAAAAA&#10;AAABACAAAAAiAAAAZHJzL2Rvd25yZXYueG1sUEsBAhQAFAAAAAgAh07iQC62urQPAgAACAQAAA4A&#10;AAAAAAAAAQAgAAAAKwEAAGRycy9lMm9Eb2MueG1sUEsFBgAAAAAGAAYAWQEAAKwFAAAAAA==&#10;">
                      <v:fill on="f" focussize="0,0"/>
                      <v:stroke on="f" joinstyle="round"/>
                      <v:imagedata o:title=""/>
                      <o:lock v:ext="edit" aspectratio="f"/>
                      <v:textbox>
                        <w:txbxContent>
                          <w:p/>
                        </w:txbxContent>
                      </v:textbox>
                    </v:rect>
                  </w:pict>
                </mc:Fallback>
              </mc:AlternateContent>
            </w:r>
            <w:r>
              <w:rPr>
                <w:rFonts w:ascii="Times New Roman" w:hAnsi="Times New Roman" w:eastAsia="宋体" w:cs="Times New Roman"/>
                <w:b/>
                <w:color w:val="auto"/>
                <w:sz w:val="24"/>
                <w:szCs w:val="24"/>
              </w:rPr>
              <w:t>区面积431.25公顷，实验区面积88.75公顷，范围在</w:t>
            </w:r>
            <w:r>
              <w:rPr>
                <w:rFonts w:ascii="Times New Roman" w:hAnsi="Times New Roman" w:eastAsia="宋体" w:cs="Times New Roman"/>
                <w:b/>
                <w:color w:val="auto"/>
                <w:sz w:val="24"/>
                <w:szCs w:val="24"/>
                <w:lang w:eastAsia="zh-CN"/>
              </w:rPr>
              <w:t>东经</w:t>
            </w:r>
            <w:r>
              <w:rPr>
                <w:rFonts w:ascii="Times New Roman" w:hAnsi="Times New Roman" w:eastAsia="宋体" w:cs="Times New Roman"/>
                <w:b/>
                <w:color w:val="auto"/>
                <w:sz w:val="24"/>
                <w:szCs w:val="24"/>
              </w:rPr>
              <w:t>105°04′23.15″~105°16′3.30″，北纬30°33′8.46″~30°45′49.57″之间</w:t>
            </w:r>
            <w:r>
              <w:rPr>
                <w:rFonts w:ascii="Times New Roman" w:hAnsi="Times New Roman" w:eastAsia="宋体" w:cs="Times New Roman"/>
                <w:color w:val="auto"/>
                <w:sz w:val="24"/>
                <w:szCs w:val="24"/>
              </w:rPr>
              <w:t>，以</w:t>
            </w:r>
            <w:r>
              <w:rPr>
                <w:rFonts w:ascii="Times New Roman" w:hAnsi="Times New Roman" w:cs="Times New Roman"/>
                <w:color w:val="auto"/>
                <w:sz w:val="24"/>
                <w:szCs w:val="24"/>
              </w:rPr>
              <w:t>涉及场镇河段最高警戒水位线为界。根据分区原则结合郪江具体情况将保护区划分为核心区、实验区二个功能区。保护区位于四川省遂宁市大英县和德阳市中江县郪江干流联合镇会仙桥-蓬莱镇康家咀-蓬莱镇张家堰及其支流寸塘口河蓬莱镇赵家湾-窝窝店-寸塘口河河口全长74km，保护区范围全为水域，不涉及陆域。该保护区主要保护对象为黄颡鱼、鳜鱼、中华鳖，</w:t>
            </w:r>
            <w:r>
              <w:rPr>
                <w:rFonts w:ascii="Times New Roman" w:hAnsi="Times New Roman" w:cs="Times New Roman"/>
                <w:bCs/>
                <w:color w:val="auto"/>
                <w:sz w:val="24"/>
                <w:szCs w:val="24"/>
              </w:rPr>
              <w:t>其它</w:t>
            </w:r>
            <w:r>
              <w:rPr>
                <w:rFonts w:ascii="Times New Roman" w:hAnsi="Times New Roman" w:cs="Times New Roman"/>
                <w:color w:val="auto"/>
                <w:sz w:val="24"/>
                <w:szCs w:val="24"/>
              </w:rPr>
              <w:t>保护物种包括南方鲇、鲤、鲫、鲢等经济鱼类。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cs="Times New Roman"/>
                <w:bCs/>
                <w:color w:val="auto"/>
                <w:sz w:val="24"/>
                <w:szCs w:val="24"/>
              </w:rPr>
            </w:pPr>
            <w:r>
              <w:rPr>
                <w:rFonts w:ascii="Times New Roman" w:hAnsi="Times New Roman" w:cs="Times New Roman"/>
                <w:bCs/>
                <w:color w:val="auto"/>
                <w:sz w:val="24"/>
                <w:szCs w:val="24"/>
              </w:rPr>
              <w:t>根据《水产种质资源保护区管理暂行办法》第二十一条规定：</w:t>
            </w:r>
            <w:r>
              <w:rPr>
                <w:rFonts w:ascii="Times New Roman" w:hAnsi="Times New Roman" w:cs="Times New Roman"/>
                <w:b/>
                <w:bCs/>
                <w:color w:val="auto"/>
                <w:sz w:val="24"/>
                <w:szCs w:val="24"/>
                <w:u w:val="none"/>
              </w:rPr>
              <w:t>禁止在水产种质资源保护区内新建排污口。在水产种质资源保护区附近新建、改建、扩建排污口，应当保证保护区水体不受污染。</w:t>
            </w:r>
          </w:p>
          <w:p>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Times New Roman" w:hAnsi="Times New Roman" w:cs="Times New Roman"/>
                <w:color w:val="auto"/>
              </w:rPr>
            </w:pPr>
            <w:r>
              <w:rPr>
                <w:rFonts w:ascii="Times New Roman" w:hAnsi="Times New Roman" w:cs="Times New Roman"/>
                <w:color w:val="auto"/>
                <w:sz w:val="21"/>
              </w:rPr>
              <mc:AlternateContent>
                <mc:Choice Requires="wps">
                  <w:drawing>
                    <wp:anchor distT="0" distB="0" distL="113665" distR="113665" simplePos="0" relativeHeight="251659264" behindDoc="0" locked="0" layoutInCell="1" allowOverlap="1">
                      <wp:simplePos x="0" y="0"/>
                      <wp:positionH relativeFrom="column">
                        <wp:posOffset>3034665</wp:posOffset>
                      </wp:positionH>
                      <wp:positionV relativeFrom="paragraph">
                        <wp:posOffset>1823720</wp:posOffset>
                      </wp:positionV>
                      <wp:extent cx="444500" cy="334010"/>
                      <wp:effectExtent l="0" t="0" r="0" b="0"/>
                      <wp:wrapNone/>
                      <wp:docPr id="19" name="文本框 2"/>
                      <wp:cNvGraphicFramePr/>
                      <a:graphic xmlns:a="http://schemas.openxmlformats.org/drawingml/2006/main">
                        <a:graphicData uri="http://schemas.microsoft.com/office/word/2010/wordprocessingShape">
                          <wps:wsp>
                            <wps:cNvSpPr/>
                            <wps:spPr>
                              <a:xfrm>
                                <a:off x="0" y="0"/>
                                <a:ext cx="444500" cy="334010"/>
                              </a:xfrm>
                              <a:prstGeom prst="rect">
                                <a:avLst/>
                              </a:prstGeom>
                              <a:noFill/>
                              <a:ln w="6350" cap="flat" cmpd="sng">
                                <a:noFill/>
                                <a:prstDash val="solid"/>
                                <a:round/>
                              </a:ln>
                            </wps:spPr>
                            <wps:txbx>
                              <w:txbxContent>
                                <w:p>
                                  <w:pPr>
                                    <w:rPr>
                                      <w:sz w:val="10"/>
                                      <w:szCs w:val="10"/>
                                    </w:rPr>
                                  </w:pPr>
                                  <w:r>
                                    <w:rPr>
                                      <w:rFonts w:ascii="Helvetica" w:hAnsi="Helvetica" w:eastAsia="Helvetica"/>
                                      <w:color w:val="00FFFF"/>
                                      <w:sz w:val="10"/>
                                      <w:szCs w:val="10"/>
                                    </w:rPr>
                                    <w:t>▼</w:t>
                                  </w:r>
                                </w:p>
                              </w:txbxContent>
                            </wps:txbx>
                            <wps:bodyPr vert="horz" wrap="square" lIns="91440" tIns="45720" rIns="91440" bIns="45720" anchor="t" anchorCtr="0" upright="1">
                              <a:noAutofit/>
                            </wps:bodyPr>
                          </wps:wsp>
                        </a:graphicData>
                      </a:graphic>
                    </wp:anchor>
                  </w:drawing>
                </mc:Choice>
                <mc:Fallback>
                  <w:pict>
                    <v:rect id="文本框 2" o:spid="_x0000_s1026" o:spt="1" style="position:absolute;left:0pt;margin-left:238.95pt;margin-top:143.6pt;height:26.3pt;width:35pt;z-index:251659264;mso-width-relative:page;mso-height-relative:page;" filled="f" stroked="f" coordsize="21600,21600" o:gfxdata="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IEOodwAAAALAQAADwAAAAAAAAAB&#10;ACAAAAAiAAAAZHJzL2Rvd25yZXYueG1sUEsBAhQAFAAAAAgAh07iQMK0ZGUMAgAABwQAAA4AAAAA&#10;AAAAAQAgAAAAKwEAAGRycy9lMm9Eb2MueG1sUEsFBgAAAAAGAAYAWQEAAKkFAAAAAA==&#10;">
                      <v:fill on="f" focussize="0,0"/>
                      <v:stroke on="f" weight="0.5pt" joinstyle="round"/>
                      <v:imagedata o:title=""/>
                      <o:lock v:ext="edit" aspectratio="f"/>
                      <v:textbox>
                        <w:txbxContent>
                          <w:p>
                            <w:pPr>
                              <w:rPr>
                                <w:sz w:val="10"/>
                                <w:szCs w:val="10"/>
                              </w:rPr>
                            </w:pPr>
                            <w:r>
                              <w:rPr>
                                <w:rFonts w:ascii="Helvetica" w:hAnsi="Helvetica" w:eastAsia="Helvetica"/>
                                <w:color w:val="00FFFF"/>
                                <w:sz w:val="10"/>
                                <w:szCs w:val="10"/>
                              </w:rPr>
                              <w:t>▼</w:t>
                            </w:r>
                          </w:p>
                        </w:txbxContent>
                      </v:textbox>
                    </v:rect>
                  </w:pict>
                </mc:Fallback>
              </mc:AlternateContent>
            </w:r>
            <w:r>
              <w:rPr>
                <w:rFonts w:ascii="Times New Roman" w:hAnsi="Times New Roman" w:cs="Times New Roman"/>
                <w:color w:val="auto"/>
              </w:rPr>
              <w:drawing>
                <wp:inline distT="0" distB="0" distL="114300" distR="114300">
                  <wp:extent cx="4815205" cy="3102610"/>
                  <wp:effectExtent l="9" t="0" r="1" b="16"/>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0"/>
                          <a:stretch>
                            <a:fillRect/>
                          </a:stretch>
                        </pic:blipFill>
                        <pic:spPr>
                          <a:xfrm flipH="1">
                            <a:off x="0" y="0"/>
                            <a:ext cx="4815205" cy="3102610"/>
                          </a:xfrm>
                          <a:prstGeom prst="rect">
                            <a:avLst/>
                          </a:prstGeom>
                          <a:noFill/>
                          <a:ln w="9525" cap="flat" cmpd="sng">
                            <a:noFill/>
                            <a:prstDash val="solid"/>
                            <a:round/>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2" w:firstLineChars="200"/>
              <w:jc w:val="center"/>
              <w:textAlignment w:val="auto"/>
              <w:rPr>
                <w:rFonts w:ascii="Times New Roman" w:hAnsi="Times New Roman" w:eastAsia="宋体" w:cs="Times New Roman"/>
                <w:color w:val="auto"/>
                <w:sz w:val="21"/>
                <w:szCs w:val="21"/>
                <w:lang w:val="en-US" w:eastAsia="zh-CN"/>
              </w:rPr>
            </w:pPr>
            <w:r>
              <w:rPr>
                <w:rFonts w:ascii="Times New Roman" w:hAnsi="Times New Roman" w:eastAsia="宋体" w:cs="Times New Roman"/>
                <w:b/>
                <w:bCs/>
                <w:color w:val="auto"/>
                <w:sz w:val="21"/>
                <w:szCs w:val="21"/>
              </w:rPr>
              <w:t>图1-</w:t>
            </w:r>
            <w:r>
              <w:rPr>
                <w:rFonts w:hint="eastAsia" w:ascii="Times New Roman" w:hAnsi="Times New Roman" w:cs="Times New Roman"/>
                <w:b/>
                <w:bCs/>
                <w:color w:val="auto"/>
                <w:sz w:val="21"/>
                <w:szCs w:val="21"/>
                <w:lang w:val="en-US" w:eastAsia="zh-CN"/>
              </w:rPr>
              <w:t>1</w:t>
            </w:r>
            <w:r>
              <w:rPr>
                <w:rFonts w:ascii="Times New Roman" w:hAnsi="Times New Roman" w:eastAsia="宋体" w:cs="Times New Roman"/>
                <w:b/>
                <w:bCs/>
                <w:color w:val="auto"/>
                <w:sz w:val="21"/>
                <w:szCs w:val="21"/>
              </w:rPr>
              <w:t>项目与种质资源保护区的位置关系图</w:t>
            </w:r>
            <w:r>
              <w:rPr>
                <w:rFonts w:ascii="Times New Roman" w:hAnsi="Times New Roman" w:eastAsia="宋体" w:cs="Times New Roman"/>
                <w:color w:val="auto"/>
                <w:sz w:val="21"/>
                <w:szCs w:val="21"/>
                <w:lang w:val="en-US" w:eastAsia="zh-CN"/>
              </w:rPr>
              <w:t>（图中</w:t>
            </w:r>
            <w:r>
              <w:rPr>
                <w:rFonts w:ascii="Times New Roman" w:hAnsi="Times New Roman" w:eastAsia="宋体" w:cs="Times New Roman"/>
                <w:color w:val="auto"/>
                <w:sz w:val="21"/>
                <w:szCs w:val="21"/>
              </w:rPr>
              <w:t>▼</w:t>
            </w:r>
            <w:r>
              <w:rPr>
                <w:rFonts w:ascii="Times New Roman" w:hAnsi="Times New Roman" w:eastAsia="宋体" w:cs="Times New Roman"/>
                <w:color w:val="auto"/>
                <w:sz w:val="21"/>
                <w:szCs w:val="21"/>
                <w:lang w:val="en-US" w:eastAsia="zh-CN"/>
              </w:rPr>
              <w:t>表示项目位置）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lang w:val="en-US" w:eastAsia="zh-CN"/>
              </w:rPr>
              <w:t>本</w:t>
            </w:r>
            <w:r>
              <w:rPr>
                <w:rFonts w:ascii="Times New Roman" w:hAnsi="Times New Roman" w:eastAsia="宋体" w:cs="Times New Roman"/>
                <w:color w:val="auto"/>
                <w:sz w:val="24"/>
                <w:szCs w:val="24"/>
              </w:rPr>
              <w:t>项目与保护区具体范围关系如</w:t>
            </w:r>
            <w:r>
              <w:rPr>
                <w:rFonts w:ascii="Times New Roman" w:hAnsi="Times New Roman" w:eastAsia="宋体" w:cs="Times New Roman"/>
                <w:color w:val="auto"/>
                <w:sz w:val="24"/>
                <w:szCs w:val="24"/>
                <w:lang w:val="en-US" w:eastAsia="zh-CN"/>
              </w:rPr>
              <w:t>上</w:t>
            </w:r>
            <w:r>
              <w:rPr>
                <w:rFonts w:ascii="Times New Roman" w:hAnsi="Times New Roman" w:eastAsia="宋体" w:cs="Times New Roman"/>
                <w:color w:val="auto"/>
                <w:sz w:val="24"/>
                <w:szCs w:val="24"/>
              </w:rPr>
              <w:t>图所示。项目污水经厂区</w:t>
            </w:r>
            <w:r>
              <w:rPr>
                <w:rFonts w:ascii="Times New Roman" w:hAnsi="Times New Roman" w:eastAsia="宋体" w:cs="Times New Roman"/>
                <w:color w:val="auto"/>
                <w:sz w:val="24"/>
                <w:szCs w:val="24"/>
                <w:lang w:val="en-US" w:eastAsia="zh-CN"/>
              </w:rPr>
              <w:t>预处理池</w:t>
            </w:r>
            <w:r>
              <w:rPr>
                <w:rFonts w:ascii="Times New Roman" w:hAnsi="Times New Roman" w:eastAsia="宋体" w:cs="Times New Roman"/>
                <w:color w:val="auto"/>
                <w:sz w:val="24"/>
                <w:szCs w:val="24"/>
              </w:rPr>
              <w:t>处理后执行《污水综合排放标准》（GB8978-1996）中三级标准后进入</w:t>
            </w:r>
            <w:r>
              <w:rPr>
                <w:rFonts w:hint="eastAsia" w:cs="Times New Roman"/>
                <w:color w:val="auto"/>
                <w:sz w:val="24"/>
                <w:szCs w:val="24"/>
                <w:lang w:eastAsia="zh-CN"/>
              </w:rPr>
              <w:t>大英经济开发区污水处理厂</w:t>
            </w:r>
            <w:r>
              <w:rPr>
                <w:rFonts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val="en-US" w:eastAsia="zh-CN"/>
              </w:rPr>
              <w:t>达标后</w:t>
            </w:r>
            <w:r>
              <w:rPr>
                <w:rFonts w:ascii="Times New Roman" w:hAnsi="Times New Roman" w:eastAsia="宋体" w:cs="Times New Roman"/>
                <w:color w:val="auto"/>
                <w:sz w:val="24"/>
                <w:szCs w:val="24"/>
              </w:rPr>
              <w:t>排入郪江</w:t>
            </w:r>
            <w:r>
              <w:rPr>
                <w:rFonts w:ascii="Times New Roman" w:hAnsi="Times New Roman" w:eastAsia="宋体" w:cs="Times New Roman"/>
                <w:color w:val="auto"/>
                <w:sz w:val="24"/>
                <w:szCs w:val="24"/>
                <w:lang w:eastAsia="zh-CN"/>
              </w:rPr>
              <w:t>，</w:t>
            </w:r>
            <w:r>
              <w:rPr>
                <w:rFonts w:ascii="Times New Roman" w:hAnsi="Times New Roman" w:eastAsia="宋体" w:cs="Times New Roman"/>
                <w:bCs/>
                <w:color w:val="auto"/>
                <w:sz w:val="24"/>
                <w:szCs w:val="24"/>
              </w:rPr>
              <w:t>该污水处理厂排口设置在保护区外下游，</w:t>
            </w:r>
            <w:r>
              <w:rPr>
                <w:rFonts w:ascii="Times New Roman" w:hAnsi="Times New Roman" w:cs="Times New Roman"/>
                <w:bCs/>
                <w:color w:val="auto"/>
                <w:sz w:val="24"/>
                <w:szCs w:val="24"/>
                <w:lang w:eastAsia="zh-CN"/>
              </w:rPr>
              <w:t>分</w:t>
            </w:r>
            <w:r>
              <w:rPr>
                <w:rFonts w:ascii="Times New Roman" w:hAnsi="Times New Roman" w:eastAsia="宋体" w:cs="Times New Roman"/>
                <w:bCs/>
                <w:color w:val="auto"/>
                <w:sz w:val="24"/>
                <w:szCs w:val="24"/>
              </w:rPr>
              <w:t>别距保护区下游边界6.0km，不在郪江黄颡鱼国家级水产种质资源保护区范围内，项目所在工业区排水不会对其造成影响。</w:t>
            </w:r>
          </w:p>
          <w:p>
            <w:pPr>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szCs w:val="24"/>
              </w:rPr>
              <w:t>综上所述，项目的建设与水产种质资源保护区相容</w:t>
            </w:r>
            <w:r>
              <w:rPr>
                <w:rFonts w:ascii="Times New Roman" w:hAnsi="Times New Roman" w:cs="Times New Roman"/>
                <w:b/>
                <w:bCs/>
                <w:color w:val="auto"/>
                <w:sz w:val="24"/>
                <w:szCs w:val="24"/>
                <w:lang w:eastAsia="zh-CN"/>
              </w:rPr>
              <w:t>。</w:t>
            </w:r>
          </w:p>
          <w:p>
            <w:pPr>
              <w:spacing w:line="360" w:lineRule="auto"/>
              <w:rPr>
                <w:rFonts w:ascii="Times New Roman" w:hAnsi="Times New Roman" w:cs="Times New Roman"/>
                <w:b/>
                <w:bCs/>
                <w:color w:val="auto"/>
                <w:sz w:val="24"/>
              </w:rPr>
            </w:pPr>
            <w:r>
              <w:rPr>
                <w:rFonts w:ascii="Times New Roman" w:hAnsi="Times New Roman" w:cs="Times New Roman"/>
                <w:b/>
                <w:bCs/>
                <w:color w:val="auto"/>
                <w:sz w:val="24"/>
                <w:lang w:val="en-US" w:eastAsia="zh-CN"/>
              </w:rPr>
              <w:t>6</w:t>
            </w:r>
            <w:r>
              <w:rPr>
                <w:rFonts w:ascii="Times New Roman" w:hAnsi="Times New Roman" w:cs="Times New Roman"/>
                <w:b/>
                <w:bCs/>
                <w:color w:val="auto"/>
                <w:sz w:val="24"/>
              </w:rPr>
              <w:t>、与大气污染防治相关政策符合性分析</w:t>
            </w:r>
          </w:p>
          <w:p>
            <w:pPr>
              <w:pStyle w:val="2"/>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8</w:t>
            </w:r>
            <w:r>
              <w:rPr>
                <w:rFonts w:ascii="Times New Roman" w:hAnsi="Times New Roman" w:cs="Times New Roman"/>
                <w:b/>
                <w:bCs/>
                <w:color w:val="auto"/>
                <w:sz w:val="21"/>
                <w:szCs w:val="21"/>
              </w:rPr>
              <w:t xml:space="preserve"> 与大气污染防治相关政策符合性分析</w:t>
            </w:r>
          </w:p>
          <w:tbl>
            <w:tblPr>
              <w:tblStyle w:val="25"/>
              <w:tblW w:w="75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3174"/>
              <w:gridCol w:w="1950"/>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8" w:type="dxa"/>
                  <w:tcBorders>
                    <w:tl2br w:val="nil"/>
                    <w:tr2bl w:val="nil"/>
                  </w:tcBorders>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名称</w:t>
                  </w:r>
                </w:p>
              </w:tc>
              <w:tc>
                <w:tcPr>
                  <w:tcW w:w="3174" w:type="dxa"/>
                  <w:tcBorders>
                    <w:tl2br w:val="nil"/>
                    <w:tr2bl w:val="nil"/>
                  </w:tcBorders>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相关要求</w:t>
                  </w:r>
                </w:p>
              </w:tc>
              <w:tc>
                <w:tcPr>
                  <w:tcW w:w="1950" w:type="dxa"/>
                  <w:tcBorders>
                    <w:tl2br w:val="nil"/>
                    <w:tr2bl w:val="nil"/>
                  </w:tcBorders>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项目情况</w:t>
                  </w:r>
                </w:p>
              </w:tc>
              <w:tc>
                <w:tcPr>
                  <w:tcW w:w="972" w:type="dxa"/>
                  <w:tcBorders>
                    <w:tl2br w:val="nil"/>
                    <w:tr2bl w:val="nil"/>
                  </w:tcBorders>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《大气污染防治行动计划》</w:t>
                  </w:r>
                </w:p>
              </w:tc>
              <w:tc>
                <w:tcPr>
                  <w:tcW w:w="317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加强工业企业大气污染综合治理。全面整治燃煤小锅炉。加快推进</w:t>
                  </w:r>
                  <w:r>
                    <w:rPr>
                      <w:rFonts w:ascii="Times New Roman" w:hAnsi="Times New Roman" w:cs="Times New Roman"/>
                      <w:b/>
                      <w:bCs/>
                      <w:color w:val="auto"/>
                      <w:szCs w:val="21"/>
                    </w:rPr>
                    <w:t>集中供热</w:t>
                  </w:r>
                  <w:r>
                    <w:rPr>
                      <w:rFonts w:ascii="Times New Roman" w:hAnsi="Times New Roman" w:cs="Times New Roman"/>
                      <w:color w:val="auto"/>
                      <w:szCs w:val="21"/>
                    </w:rPr>
                    <w:t>、“煤改气”、“煤改电”工程建设</w:t>
                  </w:r>
                </w:p>
              </w:tc>
              <w:tc>
                <w:tcPr>
                  <w:tcW w:w="1950"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本项目为集中供热工程，采用清洁的</w:t>
                  </w:r>
                  <w:r>
                    <w:rPr>
                      <w:rFonts w:hint="eastAsia" w:ascii="Times New Roman" w:hAnsi="Times New Roman" w:cs="Times New Roman"/>
                      <w:color w:val="auto"/>
                      <w:szCs w:val="21"/>
                      <w:lang w:val="en-US" w:eastAsia="zh-CN"/>
                    </w:rPr>
                    <w:t>生物质燃气</w:t>
                  </w:r>
                  <w:r>
                    <w:rPr>
                      <w:rFonts w:ascii="Times New Roman" w:hAnsi="Times New Roman" w:cs="Times New Roman"/>
                      <w:color w:val="auto"/>
                      <w:szCs w:val="21"/>
                    </w:rPr>
                    <w:t>作为原料，同时本项目将采用低氮燃烧技术。</w:t>
                  </w:r>
                </w:p>
              </w:tc>
              <w:tc>
                <w:tcPr>
                  <w:tcW w:w="972"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8"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eastAsia="宋体" w:cs="Times New Roman"/>
                      <w:color w:val="auto"/>
                      <w:sz w:val="21"/>
                      <w:szCs w:val="21"/>
                    </w:rPr>
                    <w:t>四川省蓝天保卫行动方案（2017-2020年）</w:t>
                  </w:r>
                </w:p>
              </w:tc>
              <w:tc>
                <w:tcPr>
                  <w:tcW w:w="3174" w:type="dxa"/>
                  <w:tcBorders>
                    <w:tl2br w:val="nil"/>
                    <w:tr2bl w:val="nil"/>
                  </w:tcBorders>
                  <w:vAlign w:val="center"/>
                </w:tcPr>
                <w:p>
                  <w:pPr>
                    <w:adjustRightInd w:val="0"/>
                    <w:snapToGrid w:val="0"/>
                    <w:rPr>
                      <w:rFonts w:ascii="Times New Roman" w:hAnsi="Times New Roman" w:cs="Times New Roman"/>
                      <w:color w:val="auto"/>
                      <w:szCs w:val="21"/>
                    </w:rPr>
                  </w:pPr>
                  <w:r>
                    <w:rPr>
                      <w:rFonts w:ascii="Times New Roman" w:hAnsi="Times New Roman" w:eastAsia="宋体" w:cs="Times New Roman"/>
                      <w:color w:val="auto"/>
                      <w:sz w:val="21"/>
                      <w:szCs w:val="21"/>
                    </w:rPr>
                    <w:t>1.推进挥发性有机物综合整治。开展化工行VOCS 综合治理。针对有机化学原料制造、农药制造、医药化工、涂料油墨颜料制造、化学纤维制造、橡胶和塑料制品制造、煤化工等化工行业，实施挥发性有机物综合整治。到2020年，化工行业VOCs排放量减少30%以上。</w:t>
                  </w:r>
                </w:p>
              </w:tc>
              <w:tc>
                <w:tcPr>
                  <w:tcW w:w="1950" w:type="dxa"/>
                  <w:tcBorders>
                    <w:tl2br w:val="nil"/>
                    <w:tr2bl w:val="nil"/>
                  </w:tcBorders>
                  <w:vAlign w:val="center"/>
                </w:tcPr>
                <w:p>
                  <w:pPr>
                    <w:adjustRightInd w:val="0"/>
                    <w:snapToGrid w:val="0"/>
                    <w:rPr>
                      <w:rFonts w:ascii="Times New Roman" w:hAnsi="Times New Roman" w:cs="Times New Roman"/>
                      <w:color w:val="auto"/>
                      <w:szCs w:val="21"/>
                    </w:rPr>
                  </w:pPr>
                  <w:r>
                    <w:rPr>
                      <w:rFonts w:ascii="Times New Roman" w:hAnsi="Times New Roman" w:eastAsia="宋体" w:cs="Times New Roman"/>
                      <w:color w:val="auto"/>
                      <w:sz w:val="21"/>
                      <w:szCs w:val="21"/>
                    </w:rPr>
                    <w:t>本项目不属于以上行业，同时项目</w:t>
                  </w:r>
                  <w:r>
                    <w:rPr>
                      <w:rFonts w:hint="eastAsia" w:cs="Times New Roman"/>
                      <w:color w:val="auto"/>
                      <w:sz w:val="21"/>
                      <w:szCs w:val="21"/>
                      <w:lang w:val="en-US" w:eastAsia="zh-CN"/>
                    </w:rPr>
                    <w:t>不涉及</w:t>
                  </w:r>
                  <w:r>
                    <w:rPr>
                      <w:rFonts w:ascii="Times New Roman" w:hAnsi="Times New Roman" w:eastAsia="宋体" w:cs="Times New Roman"/>
                      <w:color w:val="auto"/>
                      <w:sz w:val="21"/>
                      <w:szCs w:val="21"/>
                    </w:rPr>
                    <w:t>VOCs</w:t>
                  </w:r>
                  <w:r>
                    <w:rPr>
                      <w:rFonts w:hint="eastAsia" w:cs="Times New Roman"/>
                      <w:color w:val="auto"/>
                      <w:sz w:val="21"/>
                      <w:szCs w:val="21"/>
                      <w:lang w:val="en-US" w:eastAsia="zh-CN"/>
                    </w:rPr>
                    <w:t>的排放</w:t>
                  </w:r>
                  <w:r>
                    <w:rPr>
                      <w:rFonts w:ascii="Times New Roman" w:hAnsi="Times New Roman" w:eastAsia="宋体" w:cs="Times New Roman"/>
                      <w:color w:val="auto"/>
                      <w:sz w:val="21"/>
                      <w:szCs w:val="21"/>
                    </w:rPr>
                    <w:t>。</w:t>
                  </w:r>
                </w:p>
              </w:tc>
              <w:tc>
                <w:tcPr>
                  <w:tcW w:w="972"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38" w:type="dxa"/>
                  <w:vMerge w:val="continue"/>
                  <w:tcBorders>
                    <w:tl2br w:val="nil"/>
                    <w:tr2bl w:val="nil"/>
                  </w:tcBorders>
                  <w:vAlign w:val="center"/>
                </w:tcPr>
                <w:p/>
              </w:tc>
              <w:tc>
                <w:tcPr>
                  <w:tcW w:w="3174" w:type="dxa"/>
                  <w:tcBorders>
                    <w:tl2br w:val="nil"/>
                    <w:tr2bl w:val="nil"/>
                  </w:tcBorders>
                  <w:vAlign w:val="center"/>
                </w:tcPr>
                <w:p>
                  <w:pPr>
                    <w:adjustRightInd w:val="0"/>
                    <w:snapToGrid w:val="0"/>
                    <w:rPr>
                      <w:rFonts w:ascii="Times New Roman" w:hAnsi="Times New Roman" w:cs="Times New Roman"/>
                      <w:color w:val="auto"/>
                      <w:szCs w:val="21"/>
                    </w:rPr>
                  </w:pPr>
                  <w:r>
                    <w:rPr>
                      <w:rFonts w:ascii="Times New Roman" w:hAnsi="Times New Roman" w:eastAsia="宋体" w:cs="Times New Roman"/>
                      <w:color w:val="auto"/>
                      <w:sz w:val="21"/>
                      <w:szCs w:val="21"/>
                    </w:rPr>
                    <w:t>2.加快燃煤锅炉淘汰升级。地级以上城市建成区禁止新建每小时20 蒸吨以下燃煤锅炉，成都市禁止新建燃煤、木材、生物质锅炉，新建燃气锅炉氮氧化物采取更严格管控要求。到2017年底20蒸吨以上燃煤锅炉治理达标，到2020年底县城及以上城市建成区全面淘汰每小时10蒸吨以下燃煤锅炉，其他地区原则上不得新建每小时10蒸吨以下燃煤锅炉。在用燃煤锅炉全面达标。</w:t>
                  </w:r>
                </w:p>
              </w:tc>
              <w:tc>
                <w:tcPr>
                  <w:tcW w:w="1950" w:type="dxa"/>
                  <w:tcBorders>
                    <w:tl2br w:val="nil"/>
                    <w:tr2bl w:val="nil"/>
                  </w:tcBorders>
                  <w:vAlign w:val="center"/>
                </w:tcPr>
                <w:p>
                  <w:pPr>
                    <w:adjustRightInd w:val="0"/>
                    <w:snapToGrid w:val="0"/>
                    <w:rPr>
                      <w:rFonts w:ascii="Times New Roman" w:hAnsi="Times New Roman" w:cs="Times New Roman"/>
                      <w:color w:val="auto"/>
                      <w:szCs w:val="21"/>
                    </w:rPr>
                  </w:pPr>
                  <w:r>
                    <w:rPr>
                      <w:rFonts w:ascii="Times New Roman" w:hAnsi="Times New Roman" w:eastAsia="宋体" w:cs="Times New Roman"/>
                      <w:color w:val="auto"/>
                      <w:sz w:val="21"/>
                      <w:szCs w:val="21"/>
                    </w:rPr>
                    <w:t>本项目不</w:t>
                  </w:r>
                  <w:r>
                    <w:rPr>
                      <w:rFonts w:hint="eastAsia" w:ascii="Times New Roman" w:hAnsi="Times New Roman" w:cs="Times New Roman"/>
                      <w:color w:val="auto"/>
                      <w:sz w:val="21"/>
                      <w:szCs w:val="21"/>
                      <w:lang w:val="en-US" w:eastAsia="zh-CN"/>
                    </w:rPr>
                    <w:t>属于</w:t>
                  </w:r>
                  <w:r>
                    <w:rPr>
                      <w:rFonts w:ascii="Times New Roman" w:hAnsi="Times New Roman" w:eastAsia="宋体" w:cs="Times New Roman"/>
                      <w:color w:val="auto"/>
                      <w:sz w:val="21"/>
                      <w:szCs w:val="21"/>
                    </w:rPr>
                    <w:t>燃煤锅炉。</w:t>
                  </w:r>
                </w:p>
              </w:tc>
              <w:tc>
                <w:tcPr>
                  <w:tcW w:w="972"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eastAsia="宋体" w:cs="Times New Roman"/>
                      <w:color w:val="auto"/>
                      <w:sz w:val="21"/>
                      <w:szCs w:val="21"/>
                    </w:rPr>
                    <w:t>符合</w:t>
                  </w:r>
                </w:p>
              </w:tc>
            </w:tr>
          </w:tbl>
          <w:p>
            <w:pPr>
              <w:spacing w:line="360" w:lineRule="auto"/>
              <w:rPr>
                <w:rFonts w:ascii="Times New Roman" w:hAnsi="Times New Roman" w:eastAsia="宋体" w:cs="Times New Roman"/>
                <w:b w:val="0"/>
                <w:bCs w:val="0"/>
                <w:color w:val="auto"/>
                <w:sz w:val="24"/>
                <w:u w:val="none"/>
                <w:lang w:val="en-US" w:eastAsia="zh-CN"/>
              </w:rPr>
            </w:pPr>
            <w:r>
              <w:rPr>
                <w:rFonts w:ascii="Times New Roman" w:hAnsi="Times New Roman" w:cs="Times New Roman"/>
                <w:b w:val="0"/>
                <w:bCs w:val="0"/>
                <w:color w:val="auto"/>
                <w:sz w:val="24"/>
                <w:u w:val="none"/>
                <w:lang w:val="en-US" w:eastAsia="zh-CN"/>
              </w:rPr>
              <w:t>7</w:t>
            </w:r>
            <w:r>
              <w:rPr>
                <w:rFonts w:ascii="Times New Roman" w:hAnsi="Times New Roman" w:cs="Times New Roman"/>
                <w:b w:val="0"/>
                <w:bCs w:val="0"/>
                <w:color w:val="auto"/>
                <w:sz w:val="24"/>
                <w:u w:val="none"/>
              </w:rPr>
              <w:t>、</w:t>
            </w:r>
            <w:r>
              <w:rPr>
                <w:rFonts w:hint="eastAsia" w:cs="Times New Roman"/>
                <w:b w:val="0"/>
                <w:bCs w:val="0"/>
                <w:color w:val="auto"/>
                <w:sz w:val="24"/>
                <w:u w:val="none"/>
                <w:lang w:val="en-US" w:eastAsia="zh-CN"/>
              </w:rPr>
              <w:t>项目与《高污染燃料目录》（国环规大气〔2017〕2号）符合性分析。</w:t>
            </w:r>
          </w:p>
          <w:p>
            <w:pPr>
              <w:widowControl/>
              <w:spacing w:line="276" w:lineRule="auto"/>
              <w:jc w:val="center"/>
              <w:rPr>
                <w:rFonts w:ascii="Times New Roman" w:hAnsi="Times New Roman" w:cs="Times New Roman"/>
                <w:b w:val="0"/>
                <w:bCs w:val="0"/>
                <w:color w:val="auto"/>
                <w:u w:val="none"/>
              </w:rPr>
            </w:pPr>
            <w:r>
              <w:rPr>
                <w:rFonts w:ascii="Times New Roman" w:hAnsi="Times New Roman" w:cs="Times New Roman"/>
                <w:b w:val="0"/>
                <w:bCs w:val="0"/>
                <w:color w:val="auto"/>
                <w:u w:val="none"/>
              </w:rPr>
              <w:t>表1-</w:t>
            </w:r>
            <w:r>
              <w:rPr>
                <w:rFonts w:hint="eastAsia" w:ascii="Times New Roman" w:hAnsi="Times New Roman" w:cs="Times New Roman"/>
                <w:b w:val="0"/>
                <w:bCs w:val="0"/>
                <w:color w:val="auto"/>
                <w:u w:val="none"/>
                <w:lang w:val="en-US" w:eastAsia="zh-CN"/>
              </w:rPr>
              <w:t>9</w:t>
            </w:r>
            <w:r>
              <w:rPr>
                <w:rFonts w:ascii="Times New Roman" w:hAnsi="Times New Roman" w:cs="Times New Roman"/>
                <w:b w:val="0"/>
                <w:bCs w:val="0"/>
                <w:color w:val="auto"/>
                <w:u w:val="none"/>
              </w:rPr>
              <w:t xml:space="preserve"> 与《高污染燃料目录》（国环规大气〔2017〕2号）符合性分析</w:t>
            </w:r>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278"/>
              <w:gridCol w:w="1820"/>
              <w:gridCol w:w="17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op w:val="single" w:color="auto" w:sz="12" w:space="0"/>
                  </w:tcBorders>
                  <w:vAlign w:val="center"/>
                </w:tcPr>
                <w:p>
                  <w:pPr>
                    <w:adjustRightInd w:val="0"/>
                    <w:snapToGrid w:val="0"/>
                    <w:jc w:val="center"/>
                    <w:rPr>
                      <w:rFonts w:hint="eastAsia" w:eastAsia="宋体" w:cs="Times New Roman"/>
                      <w:b/>
                      <w:bCs/>
                      <w:color w:val="auto"/>
                      <w:kern w:val="0"/>
                      <w:szCs w:val="21"/>
                      <w:u w:val="none"/>
                      <w:lang w:val="en-US" w:eastAsia="zh-CN"/>
                    </w:rPr>
                  </w:pPr>
                  <w:r>
                    <w:rPr>
                      <w:rFonts w:hint="eastAsia" w:ascii="Times New Roman" w:hAnsi="Times New Roman" w:cs="Times New Roman"/>
                      <w:b/>
                      <w:bCs/>
                      <w:color w:val="auto"/>
                      <w:szCs w:val="21"/>
                      <w:u w:val="none"/>
                      <w:lang w:val="en-US" w:eastAsia="zh-CN"/>
                    </w:rPr>
                    <w:t>类别</w:t>
                  </w:r>
                </w:p>
              </w:tc>
              <w:tc>
                <w:tcPr>
                  <w:tcW w:w="5098" w:type="dxa"/>
                  <w:gridSpan w:val="2"/>
                  <w:tcBorders>
                    <w:top w:val="single" w:color="auto" w:sz="12" w:space="0"/>
                  </w:tcBorders>
                  <w:vAlign w:val="center"/>
                </w:tcPr>
                <w:p>
                  <w:pPr>
                    <w:adjustRightInd w:val="0"/>
                    <w:snapToGrid w:val="0"/>
                    <w:jc w:val="center"/>
                    <w:rPr>
                      <w:rFonts w:ascii="Times New Roman" w:hAnsi="Times New Roman" w:eastAsia="宋体" w:cs="Times New Roman"/>
                      <w:b/>
                      <w:bCs/>
                      <w:color w:val="auto"/>
                      <w:szCs w:val="21"/>
                      <w:u w:val="none"/>
                      <w:lang w:val="en-US" w:eastAsia="zh-CN"/>
                    </w:rPr>
                  </w:pPr>
                  <w:r>
                    <w:rPr>
                      <w:rFonts w:hint="eastAsia" w:ascii="Times New Roman" w:hAnsi="Times New Roman" w:eastAsia="宋体" w:cs="Times New Roman"/>
                      <w:b/>
                      <w:bCs/>
                      <w:color w:val="auto"/>
                      <w:szCs w:val="21"/>
                      <w:u w:val="none"/>
                      <w:lang w:val="en-US" w:eastAsia="zh-CN"/>
                    </w:rPr>
                    <w:t>燃料种类</w:t>
                  </w:r>
                </w:p>
              </w:tc>
              <w:tc>
                <w:tcPr>
                  <w:tcW w:w="1790" w:type="dxa"/>
                  <w:tcBorders>
                    <w:top w:val="single" w:color="auto" w:sz="12" w:space="0"/>
                  </w:tcBorders>
                  <w:vAlign w:val="center"/>
                </w:tcPr>
                <w:p>
                  <w:pPr>
                    <w:adjustRightInd w:val="0"/>
                    <w:snapToGrid w:val="0"/>
                    <w:jc w:val="center"/>
                    <w:rPr>
                      <w:rFonts w:ascii="Times New Roman" w:hAnsi="Times New Roman" w:eastAsia="宋体" w:cs="Times New Roman"/>
                      <w:b/>
                      <w:bCs/>
                      <w:color w:val="auto"/>
                      <w:szCs w:val="21"/>
                      <w:u w:val="none"/>
                      <w:lang w:val="en-US" w:eastAsia="zh-CN"/>
                    </w:rPr>
                  </w:pPr>
                  <w:r>
                    <w:rPr>
                      <w:rFonts w:hint="eastAsia" w:ascii="Times New Roman" w:hAnsi="Times New Roman" w:eastAsia="宋体" w:cs="Times New Roman"/>
                      <w:b/>
                      <w:bCs/>
                      <w:color w:val="auto"/>
                      <w:szCs w:val="21"/>
                      <w:u w:val="none"/>
                      <w:lang w:val="en-US" w:eastAsia="zh-CN"/>
                    </w:rPr>
                    <w:t>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op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auto"/>
                      <w:szCs w:val="21"/>
                      <w:u w:val="none"/>
                      <w:lang w:val="en-US" w:eastAsia="zh-CN"/>
                    </w:rPr>
                  </w:pPr>
                  <w:r>
                    <w:rPr>
                      <w:rFonts w:hint="eastAsia" w:ascii="Times New Roman" w:hAnsi="Times New Roman" w:cs="Times New Roman"/>
                      <w:b w:val="0"/>
                      <w:bCs w:val="0"/>
                      <w:color w:val="auto"/>
                      <w:szCs w:val="21"/>
                      <w:u w:val="none"/>
                      <w:lang w:val="en-US" w:eastAsia="zh-CN"/>
                    </w:rPr>
                    <w:t>I类</w:t>
                  </w:r>
                </w:p>
              </w:tc>
              <w:tc>
                <w:tcPr>
                  <w:tcW w:w="3278" w:type="dxa"/>
                  <w:tcBorders>
                    <w:top w:val="single" w:color="auto" w:sz="4" w:space="0"/>
                    <w:left w:val="single" w:color="auto" w:sz="4" w:space="0"/>
                    <w:right w:val="single" w:color="auto" w:sz="4" w:space="0"/>
                  </w:tcBorders>
                  <w:vAlign w:val="center"/>
                </w:tcPr>
                <w:p>
                  <w:pPr>
                    <w:adjustRightInd w:val="0"/>
                    <w:snapToGrid w:val="0"/>
                    <w:jc w:val="left"/>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单台出力小于20蒸吨/小时的锅炉和民用燃煤设备燃用的含硫量大于0.5%、灰分大于10%的煤炭及其制品（其中，型煤、焦炭、兰炭的组分含量大于表2中规定的限值）</w:t>
                  </w:r>
                </w:p>
              </w:tc>
              <w:tc>
                <w:tcPr>
                  <w:tcW w:w="1820"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cs="Times New Roman"/>
                      <w:b w:val="0"/>
                      <w:bCs w:val="0"/>
                      <w:color w:val="auto"/>
                      <w:szCs w:val="21"/>
                      <w:u w:val="none"/>
                      <w:lang w:val="en-US" w:eastAsia="zh-CN"/>
                    </w:rPr>
                  </w:pPr>
                  <w:r>
                    <w:rPr>
                      <w:rFonts w:hint="eastAsia" w:cs="Times New Roman"/>
                      <w:b w:val="0"/>
                      <w:bCs w:val="0"/>
                      <w:color w:val="auto"/>
                      <w:szCs w:val="21"/>
                      <w:u w:val="none"/>
                      <w:lang w:val="en-US" w:eastAsia="zh-CN"/>
                    </w:rPr>
                    <w:t>石油焦、油页岩、原油、重油、渣油、煤焦油</w:t>
                  </w:r>
                </w:p>
              </w:tc>
              <w:tc>
                <w:tcPr>
                  <w:tcW w:w="1790" w:type="dxa"/>
                  <w:vMerge w:val="restart"/>
                  <w:tcBorders>
                    <w:top w:val="single" w:color="auto" w:sz="4" w:space="0"/>
                    <w:left w:val="single" w:color="auto" w:sz="4" w:space="0"/>
                  </w:tcBorders>
                  <w:vAlign w:val="center"/>
                </w:tcPr>
                <w:p>
                  <w:pPr>
                    <w:adjustRightInd w:val="0"/>
                    <w:snapToGrid w:val="0"/>
                    <w:jc w:val="center"/>
                    <w:rPr>
                      <w:rFonts w:cs="Times New Roman"/>
                      <w:b w:val="0"/>
                      <w:bCs w:val="0"/>
                      <w:color w:val="auto"/>
                      <w:szCs w:val="21"/>
                      <w:u w:val="none"/>
                      <w:lang w:val="en-US" w:eastAsia="zh-CN"/>
                    </w:rPr>
                  </w:pPr>
                  <w:r>
                    <w:rPr>
                      <w:rFonts w:hint="eastAsia" w:cs="Times New Roman"/>
                      <w:b w:val="0"/>
                      <w:bCs w:val="0"/>
                      <w:color w:val="auto"/>
                      <w:szCs w:val="21"/>
                      <w:u w:val="none"/>
                      <w:lang w:val="en-US" w:eastAsia="zh-CN"/>
                    </w:rPr>
                    <w:t>本项目不属于燃煤锅炉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op w:val="single" w:color="auto" w:sz="4" w:space="0"/>
                    <w:right w:val="single" w:color="auto" w:sz="4" w:space="0"/>
                  </w:tcBorders>
                  <w:vAlign w:val="center"/>
                </w:tcPr>
                <w:p>
                  <w:pPr>
                    <w:adjustRightInd w:val="0"/>
                    <w:snapToGrid w:val="0"/>
                    <w:jc w:val="center"/>
                    <w:rPr>
                      <w:rFonts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II类</w:t>
                  </w:r>
                </w:p>
              </w:tc>
              <w:tc>
                <w:tcPr>
                  <w:tcW w:w="3278"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除单台出力大于等于20蒸吨/小时锅炉以外燃用的煤炭及其制品</w:t>
                  </w:r>
                </w:p>
              </w:tc>
              <w:tc>
                <w:tcPr>
                  <w:tcW w:w="1820" w:type="dxa"/>
                  <w:vMerge w:val="continue"/>
                  <w:tcBorders>
                    <w:top w:val="single" w:color="auto" w:sz="4" w:space="0"/>
                    <w:left w:val="single" w:color="auto" w:sz="4" w:space="0"/>
                    <w:right w:val="single" w:color="auto" w:sz="4" w:space="0"/>
                  </w:tcBorders>
                  <w:vAlign w:val="center"/>
                </w:tcPr>
                <w:p/>
              </w:tc>
              <w:tc>
                <w:tcPr>
                  <w:tcW w:w="1790" w:type="dxa"/>
                  <w:vMerge w:val="continue"/>
                  <w:tcBorders>
                    <w:top w:val="single" w:color="auto" w:sz="4" w:space="0"/>
                    <w:left w:val="single" w:color="auto" w:sz="4" w:space="0"/>
                  </w:tcBorders>
                  <w:vAlign w:val="center"/>
                </w:tc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bottom w:val="single" w:color="auto" w:sz="12" w:space="0"/>
                  </w:tcBorders>
                  <w:vAlign w:val="center"/>
                </w:tcPr>
                <w:p>
                  <w:pPr>
                    <w:adjustRightInd w:val="0"/>
                    <w:snapToGrid w:val="0"/>
                    <w:jc w:val="center"/>
                    <w:rPr>
                      <w:rFonts w:ascii="Times New Roman" w:hAnsi="Times New Roman" w:cs="Times New Roman"/>
                      <w:b w:val="0"/>
                      <w:bCs w:val="0"/>
                      <w:color w:val="auto"/>
                      <w:szCs w:val="21"/>
                      <w:u w:val="none"/>
                    </w:rPr>
                  </w:pPr>
                  <w:r>
                    <w:rPr>
                      <w:rFonts w:hint="eastAsia" w:ascii="Times New Roman" w:hAnsi="Times New Roman" w:cs="Times New Roman"/>
                      <w:b w:val="0"/>
                      <w:bCs w:val="0"/>
                      <w:color w:val="auto"/>
                      <w:szCs w:val="21"/>
                      <w:u w:val="none"/>
                      <w:lang w:val="en-US" w:eastAsia="zh-CN"/>
                    </w:rPr>
                    <w:t>III类</w:t>
                  </w:r>
                </w:p>
              </w:tc>
              <w:tc>
                <w:tcPr>
                  <w:tcW w:w="3278" w:type="dxa"/>
                  <w:tcBorders>
                    <w:bottom w:val="single" w:color="auto" w:sz="12" w:space="0"/>
                  </w:tcBorders>
                  <w:vAlign w:val="center"/>
                </w:tcPr>
                <w:p>
                  <w:pPr>
                    <w:adjustRightInd w:val="0"/>
                    <w:snapToGrid w:val="0"/>
                    <w:jc w:val="center"/>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煤炭及其制品</w:t>
                  </w:r>
                </w:p>
              </w:tc>
              <w:tc>
                <w:tcPr>
                  <w:tcW w:w="1820" w:type="dxa"/>
                  <w:tcBorders>
                    <w:bottom w:val="single" w:color="auto" w:sz="12" w:space="0"/>
                  </w:tcBorders>
                  <w:vAlign w:val="center"/>
                </w:tcPr>
                <w:p>
                  <w:pPr>
                    <w:adjustRightInd w:val="0"/>
                    <w:snapToGrid w:val="0"/>
                    <w:jc w:val="center"/>
                    <w:rPr>
                      <w:rFonts w:hint="eastAsia" w:cs="Times New Roman"/>
                      <w:b w:val="0"/>
                      <w:bCs w:val="0"/>
                      <w:color w:val="auto"/>
                      <w:szCs w:val="21"/>
                      <w:u w:val="none"/>
                      <w:lang w:val="en-US" w:eastAsia="zh-CN"/>
                    </w:rPr>
                  </w:pPr>
                  <w:r>
                    <w:rPr>
                      <w:rFonts w:hint="eastAsia" w:cs="Times New Roman"/>
                      <w:b w:val="0"/>
                      <w:bCs w:val="0"/>
                      <w:color w:val="auto"/>
                      <w:szCs w:val="21"/>
                      <w:u w:val="none"/>
                      <w:lang w:val="en-US" w:eastAsia="zh-CN"/>
                    </w:rPr>
                    <w:t>非专用锅炉或未配置高效除尘设施的专用锅炉燃用的生物质成型燃料</w:t>
                  </w:r>
                </w:p>
              </w:tc>
              <w:tc>
                <w:tcPr>
                  <w:tcW w:w="1790" w:type="dxa"/>
                  <w:tcBorders>
                    <w:bottom w:val="single" w:color="auto" w:sz="12" w:space="0"/>
                  </w:tcBorders>
                  <w:vAlign w:val="center"/>
                </w:tcPr>
                <w:p>
                  <w:pPr>
                    <w:adjustRightInd w:val="0"/>
                    <w:snapToGrid w:val="0"/>
                    <w:jc w:val="center"/>
                    <w:rPr>
                      <w:rFonts w:cs="Times New Roman"/>
                      <w:b w:val="0"/>
                      <w:bCs w:val="0"/>
                      <w:color w:val="auto"/>
                      <w:szCs w:val="21"/>
                      <w:u w:val="none"/>
                      <w:lang w:val="en-US" w:eastAsia="zh-CN"/>
                    </w:rPr>
                  </w:pPr>
                  <w:r>
                    <w:rPr>
                      <w:rFonts w:hint="eastAsia" w:cs="Times New Roman"/>
                      <w:b w:val="0"/>
                      <w:bCs w:val="0"/>
                      <w:color w:val="auto"/>
                      <w:szCs w:val="21"/>
                      <w:u w:val="none"/>
                      <w:lang w:val="en-US" w:eastAsia="zh-CN"/>
                    </w:rPr>
                    <w:t>本项目属于集中供热专用锅炉，且配置了高效除尘设施，燃用的原料为生物质气</w:t>
                  </w:r>
                </w:p>
              </w:tc>
            </w:tr>
          </w:tbl>
          <w:p>
            <w:pPr>
              <w:spacing w:line="360" w:lineRule="auto"/>
              <w:rPr>
                <w:rFonts w:ascii="Times New Roman" w:hAnsi="Times New Roman" w:eastAsia="宋体" w:cs="Times New Roman"/>
                <w:b/>
                <w:bCs/>
                <w:color w:val="auto"/>
                <w:sz w:val="24"/>
                <w:u w:val="none"/>
                <w:lang w:val="en-US" w:eastAsia="zh-CN"/>
              </w:rPr>
            </w:pPr>
            <w:r>
              <w:rPr>
                <w:rFonts w:hint="eastAsia" w:cs="Times New Roman"/>
                <w:b/>
                <w:bCs/>
                <w:color w:val="auto"/>
                <w:sz w:val="24"/>
                <w:u w:val="none"/>
                <w:lang w:val="en-US" w:eastAsia="zh-CN"/>
              </w:rPr>
              <w:t>8</w:t>
            </w:r>
            <w:r>
              <w:rPr>
                <w:rFonts w:ascii="Times New Roman" w:hAnsi="Times New Roman" w:cs="Times New Roman"/>
                <w:b/>
                <w:bCs/>
                <w:color w:val="auto"/>
                <w:sz w:val="24"/>
                <w:u w:val="none"/>
              </w:rPr>
              <w:t>、</w:t>
            </w:r>
            <w:r>
              <w:rPr>
                <w:rFonts w:hint="eastAsia" w:cs="Times New Roman"/>
                <w:b/>
                <w:bCs/>
                <w:color w:val="auto"/>
                <w:sz w:val="24"/>
                <w:u w:val="none"/>
                <w:lang w:val="en-US" w:eastAsia="zh-CN"/>
              </w:rPr>
              <w:t>项目与《遂宁市人民政府关于调整扩大高污染燃料禁燃区的通告》符合性分析。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b w:val="0"/>
                <w:bCs w:val="0"/>
                <w:color w:val="auto"/>
                <w:sz w:val="24"/>
                <w:szCs w:val="32"/>
                <w:u w:val="none"/>
                <w:lang w:val="en-US" w:eastAsia="zh-CN"/>
              </w:rPr>
            </w:pPr>
            <w:r>
              <w:rPr>
                <w:rFonts w:ascii="Times New Roman" w:hAnsi="Times New Roman" w:cs="Times New Roman"/>
                <w:color w:val="auto"/>
                <w:sz w:val="24"/>
                <w:szCs w:val="32"/>
                <w:u w:val="none"/>
              </w:rPr>
              <w:t>本项目建设地位于</w:t>
            </w:r>
            <w:r>
              <w:rPr>
                <w:rFonts w:ascii="Times New Roman" w:hAnsi="Times New Roman" w:cs="Times New Roman"/>
                <w:color w:val="auto"/>
                <w:sz w:val="24"/>
                <w:u w:val="none"/>
                <w:lang w:eastAsia="zh-CN"/>
              </w:rPr>
              <w:t>遂宁市大英县隆盛镇席家沟村，</w:t>
            </w:r>
            <w:r>
              <w:rPr>
                <w:rFonts w:hint="eastAsia" w:cs="Times New Roman"/>
                <w:b w:val="0"/>
                <w:bCs w:val="0"/>
                <w:color w:val="auto"/>
                <w:sz w:val="24"/>
                <w:szCs w:val="32"/>
                <w:u w:val="none"/>
                <w:lang w:val="en-US" w:eastAsia="zh-CN"/>
              </w:rPr>
              <w:t>属于遂宁市</w:t>
            </w:r>
            <w:r>
              <w:rPr>
                <w:rFonts w:hint="eastAsia" w:cs="Times New Roman"/>
                <w:b/>
                <w:bCs/>
                <w:color w:val="auto"/>
                <w:sz w:val="24"/>
                <w:szCs w:val="32"/>
                <w:u w:val="none"/>
                <w:lang w:val="en-US" w:eastAsia="zh-CN"/>
              </w:rPr>
              <w:t>高污染燃料禁燃区</w:t>
            </w:r>
            <w:r>
              <w:rPr>
                <w:rFonts w:hint="eastAsia" w:cs="Times New Roman"/>
                <w:b w:val="0"/>
                <w:bCs w:val="0"/>
                <w:color w:val="auto"/>
                <w:sz w:val="24"/>
                <w:szCs w:val="32"/>
                <w:u w:val="none"/>
                <w:lang w:val="en-US" w:eastAsia="zh-CN"/>
              </w:rPr>
              <w:t>，项目与《遂宁市人民政府关于调整扩大高污染燃料禁燃区的通告》符合性分析见下表。</w:t>
            </w:r>
          </w:p>
          <w:p>
            <w:pPr>
              <w:widowControl/>
              <w:spacing w:line="276" w:lineRule="auto"/>
              <w:jc w:val="center"/>
              <w:rPr>
                <w:rFonts w:ascii="Times New Roman" w:hAnsi="Times New Roman" w:cs="Times New Roman"/>
                <w:b/>
                <w:bCs/>
                <w:color w:val="auto"/>
                <w:u w:val="none"/>
              </w:rPr>
            </w:pPr>
            <w:r>
              <w:rPr>
                <w:rFonts w:ascii="Times New Roman" w:hAnsi="Times New Roman" w:cs="Times New Roman"/>
                <w:b/>
                <w:bCs/>
                <w:color w:val="auto"/>
                <w:u w:val="none"/>
              </w:rPr>
              <w:t>表1-</w:t>
            </w:r>
            <w:r>
              <w:rPr>
                <w:rFonts w:hint="eastAsia" w:cs="Times New Roman"/>
                <w:b/>
                <w:bCs/>
                <w:color w:val="auto"/>
                <w:u w:val="none"/>
                <w:lang w:val="en-US" w:eastAsia="zh-CN"/>
              </w:rPr>
              <w:t>10</w:t>
            </w:r>
            <w:r>
              <w:rPr>
                <w:rFonts w:ascii="Times New Roman" w:hAnsi="Times New Roman" w:cs="Times New Roman"/>
                <w:b/>
                <w:bCs/>
                <w:color w:val="auto"/>
                <w:u w:val="none"/>
              </w:rPr>
              <w:t xml:space="preserve"> 与《遂宁市人民政府关于调整扩大高污染燃料禁燃区的通告》符合性分析</w:t>
            </w:r>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1056"/>
              <w:gridCol w:w="3082"/>
              <w:gridCol w:w="2606"/>
              <w:gridCol w:w="9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gridSpan w:val="2"/>
                  <w:vAlign w:val="center"/>
                </w:tcPr>
                <w:p>
                  <w:pPr>
                    <w:adjustRightInd w:val="0"/>
                    <w:snapToGrid w:val="0"/>
                    <w:jc w:val="center"/>
                    <w:rPr>
                      <w:rFonts w:hint="eastAsia" w:cs="Times New Roman"/>
                      <w:b/>
                      <w:bCs/>
                      <w:color w:val="auto"/>
                      <w:kern w:val="0"/>
                      <w:szCs w:val="21"/>
                      <w:u w:val="none"/>
                      <w:lang w:val="en-US" w:eastAsia="zh-CN"/>
                    </w:rPr>
                  </w:pPr>
                  <w:r>
                    <w:rPr>
                      <w:rFonts w:ascii="Times New Roman" w:hAnsi="Times New Roman" w:cs="Times New Roman"/>
                      <w:b/>
                      <w:bCs/>
                      <w:color w:val="auto"/>
                      <w:szCs w:val="21"/>
                      <w:u w:val="none"/>
                    </w:rPr>
                    <w:t>序号</w:t>
                  </w:r>
                </w:p>
              </w:tc>
              <w:tc>
                <w:tcPr>
                  <w:tcW w:w="3082" w:type="dxa"/>
                  <w:vAlign w:val="center"/>
                </w:tcPr>
                <w:p>
                  <w:pPr>
                    <w:adjustRightInd w:val="0"/>
                    <w:snapToGrid w:val="0"/>
                    <w:jc w:val="center"/>
                    <w:rPr>
                      <w:rFonts w:ascii="Times New Roman" w:hAnsi="Times New Roman" w:cs="Times New Roman"/>
                      <w:b/>
                      <w:bCs/>
                      <w:color w:val="auto"/>
                      <w:szCs w:val="21"/>
                      <w:u w:val="none"/>
                      <w:lang w:val="en-US"/>
                    </w:rPr>
                  </w:pPr>
                  <w:r>
                    <w:rPr>
                      <w:rFonts w:hint="eastAsia" w:cs="Times New Roman"/>
                      <w:b/>
                      <w:bCs/>
                      <w:color w:val="auto"/>
                      <w:kern w:val="0"/>
                      <w:szCs w:val="21"/>
                      <w:u w:val="none"/>
                      <w:lang w:val="en-US" w:eastAsia="zh-CN"/>
                    </w:rPr>
                    <w:t>文件要求</w:t>
                  </w:r>
                </w:p>
              </w:tc>
              <w:tc>
                <w:tcPr>
                  <w:tcW w:w="2606" w:type="dxa"/>
                  <w:vAlign w:val="center"/>
                </w:tcPr>
                <w:p>
                  <w:pPr>
                    <w:adjustRightInd w:val="0"/>
                    <w:snapToGrid w:val="0"/>
                    <w:jc w:val="center"/>
                    <w:rPr>
                      <w:rFonts w:hint="eastAsia" w:ascii="Times New Roman" w:hAnsi="Times New Roman" w:eastAsia="宋体" w:cs="Times New Roman"/>
                      <w:b/>
                      <w:bCs/>
                      <w:color w:val="auto"/>
                      <w:szCs w:val="21"/>
                      <w:u w:val="none"/>
                      <w:lang w:val="en-US" w:eastAsia="zh-CN"/>
                    </w:rPr>
                  </w:pPr>
                  <w:r>
                    <w:rPr>
                      <w:rFonts w:ascii="Times New Roman" w:hAnsi="Times New Roman" w:cs="Times New Roman"/>
                      <w:b/>
                      <w:bCs/>
                      <w:color w:val="auto"/>
                      <w:szCs w:val="21"/>
                      <w:u w:val="none"/>
                    </w:rPr>
                    <w:t>本项目</w:t>
                  </w:r>
                  <w:r>
                    <w:rPr>
                      <w:rFonts w:hint="eastAsia" w:cs="Times New Roman"/>
                      <w:b/>
                      <w:bCs/>
                      <w:color w:val="auto"/>
                      <w:szCs w:val="21"/>
                      <w:u w:val="none"/>
                      <w:lang w:val="en-US" w:eastAsia="zh-CN"/>
                    </w:rPr>
                    <w:t>内容</w:t>
                  </w:r>
                </w:p>
              </w:tc>
              <w:tc>
                <w:tcPr>
                  <w:tcW w:w="915" w:type="dxa"/>
                  <w:vAlign w:val="center"/>
                </w:tcPr>
                <w:p>
                  <w:pPr>
                    <w:adjustRightInd w:val="0"/>
                    <w:snapToGrid w:val="0"/>
                    <w:jc w:val="center"/>
                    <w:rPr>
                      <w:rFonts w:hint="eastAsia" w:ascii="Times New Roman" w:hAnsi="Times New Roman" w:eastAsia="宋体" w:cs="Times New Roman"/>
                      <w:b/>
                      <w:bCs/>
                      <w:color w:val="auto"/>
                      <w:szCs w:val="21"/>
                      <w:u w:val="none"/>
                      <w:lang w:val="en-US" w:eastAsia="zh-CN"/>
                    </w:rPr>
                  </w:pPr>
                  <w:r>
                    <w:rPr>
                      <w:rFonts w:hint="eastAsia" w:cs="Times New Roman"/>
                      <w:b/>
                      <w:bCs/>
                      <w:color w:val="auto"/>
                      <w:szCs w:val="21"/>
                      <w:u w:val="none"/>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1</w:t>
                  </w:r>
                </w:p>
              </w:tc>
              <w:tc>
                <w:tcPr>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ascii="Times New Roman" w:hAnsi="Times New Roman" w:cs="Times New Roman"/>
                      <w:color w:val="auto"/>
                      <w:szCs w:val="21"/>
                      <w:u w:val="none"/>
                    </w:rPr>
                    <w:t>燃料</w:t>
                  </w:r>
                  <w:r>
                    <w:rPr>
                      <w:rFonts w:hint="eastAsia" w:cs="Times New Roman"/>
                      <w:color w:val="auto"/>
                      <w:szCs w:val="21"/>
                      <w:u w:val="none"/>
                      <w:lang w:val="en-US" w:eastAsia="zh-CN"/>
                    </w:rPr>
                    <w:t>要求</w:t>
                  </w:r>
                </w:p>
              </w:tc>
              <w:tc>
                <w:tcPr>
                  <w:tcW w:w="308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煤炭及其制品（包括原煤、散煤、煤矸石、煤泥、煤粉、水浆煤、型煤、焦炭、兰炭、油类等常规燃料）</w:t>
                  </w:r>
                </w:p>
              </w:tc>
              <w:tc>
                <w:tcPr>
                  <w:tcW w:w="2606"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u w:val="none"/>
                      <w:lang w:val="en-US" w:eastAsia="zh-CN"/>
                    </w:rPr>
                  </w:pPr>
                  <w:r>
                    <w:rPr>
                      <w:rFonts w:hint="eastAsia" w:cs="Times New Roman"/>
                      <w:b w:val="0"/>
                      <w:bCs w:val="0"/>
                      <w:color w:val="auto"/>
                      <w:szCs w:val="21"/>
                      <w:lang w:val="en-US" w:eastAsia="zh-CN"/>
                    </w:rPr>
                    <w:t>本项目燃料为生物质气，属于清洁能源。</w:t>
                  </w:r>
                </w:p>
              </w:tc>
              <w:tc>
                <w:tcPr>
                  <w:tcW w:w="915" w:type="dxa"/>
                  <w:vMerge w:val="restart"/>
                  <w:tcBorders>
                    <w:top w:val="single" w:color="auto" w:sz="4" w:space="0"/>
                    <w:left w:val="single" w:color="auto" w:sz="4" w:space="0"/>
                  </w:tcBorders>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2</w:t>
                  </w:r>
                </w:p>
              </w:tc>
              <w:tc>
                <w:tcPr>
                  <w:vMerge w:val="continue"/>
                  <w:tcBorders>
                    <w:top w:val="single" w:color="auto" w:sz="4" w:space="0"/>
                    <w:left w:val="single" w:color="auto" w:sz="4" w:space="0"/>
                    <w:right w:val="single" w:color="auto" w:sz="4" w:space="0"/>
                  </w:tcBorders>
                  <w:vAlign w:val="center"/>
                </w:tcPr>
                <w:p/>
              </w:tc>
              <w:tc>
                <w:tcPr>
                  <w:tcW w:w="308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石油焦、油页岩、原油、重油、渣油、煤焦油。</w:t>
                  </w:r>
                </w:p>
              </w:tc>
              <w:tc>
                <w:tcPr>
                  <w:tcW w:w="2606" w:type="dxa"/>
                  <w:vMerge w:val="continue"/>
                  <w:tcBorders>
                    <w:top w:val="single" w:color="auto" w:sz="4" w:space="0"/>
                    <w:left w:val="single" w:color="auto" w:sz="4" w:space="0"/>
                    <w:right w:val="single" w:color="auto" w:sz="4" w:space="0"/>
                  </w:tcBorders>
                  <w:vAlign w:val="center"/>
                </w:tcPr>
                <w:p/>
              </w:tc>
              <w:tc>
                <w:tcPr>
                  <w:tcW w:w="915" w:type="dxa"/>
                  <w:vMerge w:val="continue"/>
                  <w:tcBorders>
                    <w:top w:val="single" w:color="auto" w:sz="4" w:space="0"/>
                    <w:left w:val="single" w:color="auto" w:sz="4" w:space="0"/>
                  </w:tcBorders>
                  <w:vAlign w:val="center"/>
                </w:tc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3</w:t>
                  </w:r>
                </w:p>
              </w:tc>
              <w:tc>
                <w:tcPr>
                  <w:vMerge w:val="continue"/>
                  <w:tcBorders>
                    <w:top w:val="single" w:color="auto" w:sz="4" w:space="0"/>
                    <w:left w:val="single" w:color="auto" w:sz="4" w:space="0"/>
                    <w:right w:val="single" w:color="auto" w:sz="4" w:space="0"/>
                  </w:tcBorders>
                  <w:vAlign w:val="center"/>
                </w:tcPr>
                <w:p/>
              </w:tc>
              <w:tc>
                <w:tcPr>
                  <w:tcW w:w="308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非专用锅炉或未配置高效除尘设施的专用锅炉燃用的生物质成型燃料。</w:t>
                  </w:r>
                </w:p>
              </w:tc>
              <w:tc>
                <w:tcPr>
                  <w:tcW w:w="260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u w:val="none"/>
                      <w:lang w:val="en-US" w:eastAsia="zh-CN"/>
                    </w:rPr>
                  </w:pPr>
                  <w:r>
                    <w:rPr>
                      <w:rFonts w:hint="eastAsia" w:ascii="Times New Roman" w:hAnsi="Times New Roman" w:cs="Times New Roman"/>
                      <w:b w:val="0"/>
                      <w:bCs w:val="0"/>
                      <w:color w:val="auto"/>
                      <w:szCs w:val="21"/>
                      <w:lang w:val="en-US" w:eastAsia="zh-CN"/>
                    </w:rPr>
                    <w:t>本项目为专用锅炉，且</w:t>
                  </w:r>
                  <w:r>
                    <w:rPr>
                      <w:rFonts w:ascii="Times New Roman" w:hAnsi="Times New Roman" w:cs="Times New Roman"/>
                      <w:b w:val="0"/>
                      <w:bCs w:val="0"/>
                      <w:color w:val="auto"/>
                      <w:szCs w:val="21"/>
                    </w:rPr>
                    <w:t>配置</w:t>
                  </w:r>
                  <w:r>
                    <w:rPr>
                      <w:rFonts w:hint="eastAsia" w:ascii="Times New Roman" w:hAnsi="Times New Roman" w:cs="Times New Roman"/>
                      <w:b w:val="0"/>
                      <w:bCs w:val="0"/>
                      <w:color w:val="auto"/>
                      <w:szCs w:val="21"/>
                      <w:lang w:val="en-US" w:eastAsia="zh-CN"/>
                    </w:rPr>
                    <w:t>了</w:t>
                  </w:r>
                  <w:r>
                    <w:rPr>
                      <w:rFonts w:ascii="Times New Roman" w:hAnsi="Times New Roman" w:cs="Times New Roman"/>
                      <w:b w:val="0"/>
                      <w:bCs w:val="0"/>
                      <w:color w:val="auto"/>
                      <w:szCs w:val="21"/>
                    </w:rPr>
                    <w:t>高效除尘</w:t>
                  </w:r>
                </w:p>
              </w:tc>
              <w:tc>
                <w:tcPr>
                  <w:tcW w:w="915" w:type="dxa"/>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87" w:type="dxa"/>
                  <w:gridSpan w:val="2"/>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4</w:t>
                  </w:r>
                </w:p>
              </w:tc>
              <w:tc>
                <w:tcPr>
                  <w:tcW w:w="308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禁燃区内禁止新建、扩建燃用高污染燃料的锅炉、炉窑、炉灶等燃烧设施（集中供热、电厂锅炉除外）</w:t>
                  </w:r>
                </w:p>
              </w:tc>
              <w:tc>
                <w:tcPr>
                  <w:tcW w:w="2606"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本项目不属于高污染燃料锅炉；并属于集中供热项目，为鼓励类；</w:t>
                  </w:r>
                </w:p>
              </w:tc>
              <w:tc>
                <w:tcPr>
                  <w:tcW w:w="915" w:type="dxa"/>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32"/>
                <w:u w:val="none"/>
                <w:lang w:val="en-US" w:eastAsia="zh-CN"/>
              </w:rPr>
            </w:pPr>
            <w:r>
              <w:rPr>
                <w:rFonts w:hint="eastAsia" w:cs="Times New Roman"/>
                <w:b w:val="0"/>
                <w:bCs w:val="0"/>
                <w:color w:val="auto"/>
                <w:sz w:val="24"/>
                <w:u w:val="none"/>
                <w:lang w:val="en-US" w:eastAsia="zh-CN"/>
              </w:rPr>
              <w:t>综上，本项目与</w:t>
            </w:r>
            <w:r>
              <w:rPr>
                <w:rFonts w:hint="eastAsia" w:cs="Times New Roman"/>
                <w:b w:val="0"/>
                <w:bCs w:val="0"/>
                <w:color w:val="auto"/>
                <w:sz w:val="24"/>
                <w:szCs w:val="32"/>
                <w:u w:val="none"/>
                <w:lang w:val="en-US" w:eastAsia="zh-CN"/>
              </w:rPr>
              <w:t>《遂宁市人民政府关于调整扩大高污染燃料禁燃区的通告》相符。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val="0"/>
                <w:color w:val="auto"/>
                <w:sz w:val="24"/>
                <w:szCs w:val="32"/>
                <w:u w:val="none"/>
                <w:lang w:val="en-US" w:eastAsia="zh-CN"/>
              </w:rPr>
            </w:pPr>
            <w:r>
              <w:rPr>
                <w:rFonts w:hint="eastAsia" w:cs="Times New Roman"/>
                <w:b/>
                <w:bCs/>
                <w:color w:val="auto"/>
                <w:sz w:val="24"/>
                <w:u w:val="none"/>
                <w:lang w:val="en-US" w:eastAsia="zh-CN"/>
              </w:rPr>
              <w:t>9、</w:t>
            </w:r>
            <w:r>
              <w:rPr>
                <w:rFonts w:ascii="Times New Roman" w:hAnsi="Times New Roman" w:cs="Times New Roman"/>
                <w:b/>
                <w:bCs/>
                <w:color w:val="auto"/>
                <w:sz w:val="24"/>
                <w:u w:val="none"/>
              </w:rPr>
              <w:t>与</w:t>
            </w:r>
            <w:r>
              <w:rPr>
                <w:rFonts w:hint="eastAsia" w:cs="Times New Roman"/>
                <w:b/>
                <w:bCs/>
                <w:color w:val="auto"/>
                <w:sz w:val="24"/>
                <w:u w:val="none"/>
                <w:lang w:val="en-US" w:eastAsia="zh-CN"/>
              </w:rPr>
              <w:t>能源替代</w:t>
            </w:r>
            <w:r>
              <w:rPr>
                <w:rFonts w:ascii="Times New Roman" w:hAnsi="Times New Roman" w:cs="Times New Roman"/>
                <w:b/>
                <w:bCs/>
                <w:color w:val="auto"/>
                <w:sz w:val="24"/>
                <w:u w:val="none"/>
              </w:rPr>
              <w:t>相关政策符合性分析</w:t>
            </w:r>
          </w:p>
          <w:p>
            <w:pPr>
              <w:pStyle w:val="2"/>
              <w:keepNext w:val="0"/>
              <w:keepLines w:val="0"/>
              <w:pageBreakBefore w:val="0"/>
              <w:widowControl/>
              <w:kinsoku/>
              <w:wordWrap/>
              <w:overflowPunct/>
              <w:topLinePunct w:val="0"/>
              <w:autoSpaceDE/>
              <w:autoSpaceDN/>
              <w:bidi w:val="0"/>
              <w:snapToGrid w:val="0"/>
              <w:spacing w:before="0" w:after="0" w:line="240" w:lineRule="auto"/>
              <w:ind w:right="0"/>
              <w:jc w:val="center"/>
              <w:textAlignment w:val="auto"/>
              <w:rPr>
                <w:rFonts w:ascii="Times New Roman" w:hAnsi="Times New Roman" w:cs="Times New Roman"/>
                <w:b/>
                <w:bCs/>
                <w:color w:val="auto"/>
                <w:sz w:val="21"/>
                <w:szCs w:val="21"/>
                <w:u w:val="none"/>
              </w:rPr>
            </w:pPr>
            <w:r>
              <w:rPr>
                <w:rFonts w:ascii="Times New Roman" w:hAnsi="Times New Roman" w:cs="Times New Roman"/>
                <w:b/>
                <w:bCs/>
                <w:color w:val="auto"/>
                <w:sz w:val="21"/>
                <w:szCs w:val="21"/>
                <w:u w:val="none"/>
              </w:rPr>
              <w:t>表1-</w:t>
            </w:r>
            <w:r>
              <w:rPr>
                <w:rFonts w:hint="eastAsia" w:cs="Times New Roman"/>
                <w:b/>
                <w:bCs/>
                <w:color w:val="auto"/>
                <w:sz w:val="21"/>
                <w:szCs w:val="21"/>
                <w:u w:val="none"/>
                <w:lang w:val="en-US" w:eastAsia="zh-CN"/>
              </w:rPr>
              <w:t>11</w:t>
            </w:r>
            <w:r>
              <w:rPr>
                <w:rFonts w:ascii="Times New Roman" w:hAnsi="Times New Roman" w:cs="Times New Roman"/>
                <w:b/>
                <w:bCs/>
                <w:color w:val="auto"/>
                <w:sz w:val="21"/>
                <w:szCs w:val="21"/>
                <w:u w:val="none"/>
              </w:rPr>
              <w:t xml:space="preserve"> 与能源替代相关政策符合性分析</w:t>
            </w:r>
          </w:p>
          <w:tbl>
            <w:tblPr>
              <w:tblStyle w:val="25"/>
              <w:tblW w:w="75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2743"/>
              <w:gridCol w:w="2231"/>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cs="Times New Roman"/>
                      <w:b/>
                      <w:bCs/>
                      <w:color w:val="auto"/>
                      <w:szCs w:val="21"/>
                      <w:u w:val="none"/>
                    </w:rPr>
                  </w:pPr>
                  <w:r>
                    <w:rPr>
                      <w:rFonts w:ascii="Times New Roman" w:hAnsi="Times New Roman" w:cs="Times New Roman"/>
                      <w:b/>
                      <w:bCs/>
                      <w:color w:val="auto"/>
                      <w:szCs w:val="21"/>
                      <w:u w:val="none"/>
                    </w:rPr>
                    <w:t>名称</w:t>
                  </w:r>
                </w:p>
              </w:tc>
              <w:tc>
                <w:tcPr>
                  <w:tcW w:w="2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cs="Times New Roman"/>
                      <w:b/>
                      <w:bCs/>
                      <w:color w:val="auto"/>
                      <w:szCs w:val="21"/>
                      <w:u w:val="none"/>
                    </w:rPr>
                  </w:pPr>
                  <w:r>
                    <w:rPr>
                      <w:rFonts w:ascii="Times New Roman" w:hAnsi="Times New Roman" w:cs="Times New Roman"/>
                      <w:b/>
                      <w:bCs/>
                      <w:color w:val="auto"/>
                      <w:szCs w:val="21"/>
                      <w:u w:val="none"/>
                    </w:rPr>
                    <w:t>相关要求</w:t>
                  </w:r>
                </w:p>
              </w:tc>
              <w:tc>
                <w:tcPr>
                  <w:tcW w:w="2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cs="Times New Roman"/>
                      <w:b/>
                      <w:bCs/>
                      <w:color w:val="auto"/>
                      <w:szCs w:val="21"/>
                      <w:u w:val="none"/>
                    </w:rPr>
                  </w:pPr>
                  <w:r>
                    <w:rPr>
                      <w:rFonts w:ascii="Times New Roman" w:hAnsi="Times New Roman" w:cs="Times New Roman"/>
                      <w:b/>
                      <w:bCs/>
                      <w:color w:val="auto"/>
                      <w:szCs w:val="21"/>
                      <w:u w:val="none"/>
                    </w:rPr>
                    <w:t>项目情况</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Times New Roman" w:hAnsi="Times New Roman" w:cs="Times New Roman"/>
                      <w:b/>
                      <w:bCs/>
                      <w:color w:val="auto"/>
                      <w:szCs w:val="21"/>
                      <w:u w:val="none"/>
                    </w:rPr>
                  </w:pPr>
                  <w:r>
                    <w:rPr>
                      <w:rFonts w:ascii="Times New Roman" w:hAnsi="Times New Roman" w:cs="Times New Roman"/>
                      <w:b/>
                      <w:bCs/>
                      <w:color w:val="auto"/>
                      <w:szCs w:val="21"/>
                      <w:u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color w:val="auto"/>
                      <w:szCs w:val="21"/>
                      <w:u w:val="none"/>
                    </w:rPr>
                  </w:pPr>
                  <w:r>
                    <w:rPr>
                      <w:rFonts w:ascii="Times New Roman" w:hAnsi="Times New Roman" w:cs="Times New Roman"/>
                      <w:color w:val="auto"/>
                      <w:szCs w:val="21"/>
                      <w:u w:val="none"/>
                    </w:rPr>
                    <w:t>《中华人民共和国能源法（征求意见稿）》</w:t>
                  </w:r>
                </w:p>
              </w:tc>
              <w:tc>
                <w:tcPr>
                  <w:tcW w:w="2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color w:val="auto"/>
                      <w:szCs w:val="21"/>
                      <w:u w:val="none"/>
                    </w:rPr>
                  </w:pPr>
                  <w:r>
                    <w:rPr>
                      <w:rFonts w:ascii="Times New Roman" w:hAnsi="Times New Roman" w:cs="Times New Roman"/>
                      <w:color w:val="auto"/>
                      <w:szCs w:val="21"/>
                      <w:u w:val="none"/>
                    </w:rPr>
                    <w:t>第三十二条 〔优化能源结构〕国家鼓励高效清洁开发利用能源资源，支持优先开发可再生能源，合理开发化石能源资源，因地制宜发展分布式能源，推动非化石能源替代化石能源、低碳能源替代高碳能源，支持开发应用替代石油、天然气的新型燃料和工业原料。</w:t>
                  </w:r>
                </w:p>
              </w:tc>
              <w:tc>
                <w:tcPr>
                  <w:tcW w:w="2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本项目为生物质能，</w:t>
                  </w:r>
                  <w:r>
                    <w:rPr>
                      <w:rFonts w:hint="eastAsia" w:cs="Times New Roman"/>
                      <w:b w:val="0"/>
                      <w:bCs/>
                      <w:color w:val="auto"/>
                      <w:sz w:val="21"/>
                      <w:szCs w:val="21"/>
                      <w:u w:val="none"/>
                      <w:lang w:val="en-US" w:eastAsia="zh-CN"/>
                    </w:rPr>
                    <w:t>属于“</w:t>
                  </w:r>
                  <w:r>
                    <w:rPr>
                      <w:rFonts w:ascii="Times New Roman" w:hAnsi="Times New Roman" w:cs="Times New Roman"/>
                      <w:color w:val="auto"/>
                      <w:sz w:val="21"/>
                      <w:szCs w:val="21"/>
                      <w:u w:val="none"/>
                      <w:lang w:val="en-US" w:eastAsia="zh-CN"/>
                    </w:rPr>
                    <w:t>清洁能源</w:t>
                  </w:r>
                  <w:r>
                    <w:rPr>
                      <w:rFonts w:hint="eastAsia" w:cs="Times New Roman"/>
                      <w:b w:val="0"/>
                      <w:bCs/>
                      <w:color w:val="auto"/>
                      <w:sz w:val="21"/>
                      <w:szCs w:val="21"/>
                      <w:u w:val="none"/>
                      <w:lang w:val="en-US" w:eastAsia="zh-CN"/>
                    </w:rPr>
                    <w:t>”中的“可再生能源”。</w:t>
                  </w:r>
                  <w:r>
                    <w:rPr>
                      <w:rFonts w:hint="eastAsia" w:cs="Times New Roman"/>
                      <w:color w:val="auto"/>
                      <w:szCs w:val="21"/>
                      <w:u w:val="none"/>
                      <w:lang w:val="en-US" w:eastAsia="zh-CN"/>
                    </w:rPr>
                    <w:t>替代项目现有的天然气锅炉，能实现非化石能源替代化石能源。</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color w:val="auto"/>
                      <w:szCs w:val="21"/>
                      <w:u w:val="none"/>
                    </w:rPr>
                  </w:pPr>
                  <w:r>
                    <w:rPr>
                      <w:rFonts w:ascii="Times New Roman" w:hAnsi="Times New Roman" w:cs="Times New Roman"/>
                      <w:color w:val="auto"/>
                      <w:szCs w:val="21"/>
                      <w:u w:val="none"/>
                    </w:rPr>
                    <w:t>“十四五”现代能源体系规划</w:t>
                  </w:r>
                </w:p>
              </w:tc>
              <w:tc>
                <w:tcPr>
                  <w:tcW w:w="2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cs="Times New Roman"/>
                      <w:color w:val="auto"/>
                      <w:szCs w:val="21"/>
                      <w:u w:val="none"/>
                    </w:rPr>
                  </w:pPr>
                  <w:r>
                    <w:rPr>
                      <w:rFonts w:ascii="Times New Roman" w:hAnsi="Times New Roman" w:cs="Times New Roman"/>
                      <w:color w:val="auto"/>
                      <w:szCs w:val="21"/>
                      <w:u w:val="none"/>
                    </w:rPr>
                    <w:t>推进生物质能多元化利用，稳步发展城镇生活垃圾焚烧发电，有序发展农林生物质发电和沼气发电，因地制宜发展生物质能清洁供暖。</w:t>
                  </w:r>
                </w:p>
              </w:tc>
              <w:tc>
                <w:tcPr>
                  <w:tcW w:w="22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eastAsia="宋体" w:cs="Times New Roman"/>
                      <w:color w:val="auto"/>
                      <w:szCs w:val="21"/>
                      <w:u w:val="none"/>
                      <w:lang w:val="en-US" w:eastAsia="zh-CN"/>
                    </w:rPr>
                  </w:pPr>
                  <w:r>
                    <w:rPr>
                      <w:rFonts w:hint="eastAsia" w:cs="Times New Roman"/>
                      <w:color w:val="auto"/>
                      <w:szCs w:val="21"/>
                      <w:u w:val="none"/>
                      <w:lang w:val="en-US" w:eastAsia="zh-CN"/>
                    </w:rPr>
                    <w:t>根据大英县农业农村局提供的统计调查数据显示，大英县秸秆资源以水稻、玉米、油菜、小麦秸秆为主，少量薯类、豆类、花生等。2022年全县农作物总产38.61万吨，秸秆理论资源量24.24万吨，本项地区生物质能充足，能为项目</w:t>
                  </w:r>
                  <w:r>
                    <w:rPr>
                      <w:rFonts w:ascii="Times New Roman" w:hAnsi="Times New Roman" w:cs="Times New Roman"/>
                      <w:color w:val="auto"/>
                      <w:szCs w:val="21"/>
                      <w:u w:val="none"/>
                    </w:rPr>
                    <w:t>生物质能清洁供暖</w:t>
                  </w:r>
                  <w:r>
                    <w:rPr>
                      <w:rFonts w:hint="eastAsia" w:ascii="Times New Roman" w:hAnsi="Times New Roman" w:cs="Times New Roman"/>
                      <w:color w:val="auto"/>
                      <w:szCs w:val="21"/>
                      <w:u w:val="none"/>
                      <w:lang w:val="en-US" w:eastAsia="zh-CN"/>
                    </w:rPr>
                    <w:t>提供足量的生物质原料</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cs="Times New Roman"/>
                      <w:color w:val="auto"/>
                      <w:szCs w:val="21"/>
                      <w:u w:val="none"/>
                      <w:lang w:val="en-US" w:eastAsia="zh-CN"/>
                    </w:rPr>
                  </w:pPr>
                  <w:r>
                    <w:rPr>
                      <w:rFonts w:hint="eastAsia" w:cs="Times New Roman"/>
                      <w:color w:val="auto"/>
                      <w:szCs w:val="21"/>
                      <w:u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val="0"/>
                <w:color w:val="auto"/>
                <w:sz w:val="24"/>
                <w:szCs w:val="32"/>
                <w:u w:val="none"/>
                <w:lang w:val="en-US" w:eastAsia="zh-CN"/>
              </w:rPr>
            </w:pPr>
            <w:r>
              <w:rPr>
                <w:rFonts w:hint="eastAsia" w:cs="Times New Roman"/>
                <w:b/>
                <w:bCs/>
                <w:color w:val="auto"/>
                <w:sz w:val="24"/>
                <w:u w:val="none"/>
                <w:lang w:val="en-US" w:eastAsia="zh-CN"/>
              </w:rPr>
              <w:t>10、生物质燃气锅炉替代天然气锅炉可行性</w:t>
            </w:r>
            <w:r>
              <w:rPr>
                <w:rFonts w:ascii="Times New Roman" w:hAnsi="Times New Roman" w:cs="Times New Roman"/>
                <w:b/>
                <w:bCs/>
                <w:color w:val="auto"/>
                <w:sz w:val="24"/>
                <w:u w:val="none"/>
              </w:rPr>
              <w:t>符合性分析</w:t>
            </w:r>
          </w:p>
          <w:p>
            <w:pPr>
              <w:keepNext w:val="0"/>
              <w:keepLines w:val="0"/>
              <w:pageBreakBefore w:val="0"/>
              <w:widowControl w:val="0"/>
              <w:kinsoku/>
              <w:wordWrap/>
              <w:overflowPunct/>
              <w:topLinePunct w:val="0"/>
              <w:autoSpaceDE/>
              <w:autoSpaceDN/>
              <w:bidi w:val="0"/>
              <w:spacing w:line="360" w:lineRule="auto"/>
              <w:ind w:left="0" w:right="0" w:firstLine="480" w:firstLineChars="200"/>
              <w:rPr>
                <w:rFonts w:ascii="Times New Roman" w:hAnsi="Times New Roman" w:cs="Times New Roman"/>
                <w:color w:val="auto"/>
                <w:sz w:val="24"/>
                <w:u w:val="none"/>
              </w:rPr>
            </w:pPr>
            <w:r>
              <w:rPr>
                <w:rFonts w:hint="eastAsia" w:ascii="Times New Roman" w:hAnsi="Times New Roman" w:cs="Times New Roman"/>
                <w:color w:val="auto"/>
                <w:sz w:val="24"/>
                <w:szCs w:val="32"/>
                <w:u w:val="none"/>
                <w:lang w:eastAsia="zh-CN"/>
              </w:rPr>
              <w:t>（</w:t>
            </w:r>
            <w:r>
              <w:rPr>
                <w:rFonts w:hint="eastAsia" w:ascii="Times New Roman" w:hAnsi="Times New Roman" w:cs="Times New Roman"/>
                <w:color w:val="auto"/>
                <w:sz w:val="24"/>
                <w:szCs w:val="32"/>
                <w:u w:val="none"/>
                <w:lang w:val="en-US" w:eastAsia="zh-CN"/>
              </w:rPr>
              <w:t>1</w:t>
            </w:r>
            <w:r>
              <w:rPr>
                <w:rFonts w:hint="eastAsia" w:ascii="Times New Roman" w:hAnsi="Times New Roman" w:cs="Times New Roman"/>
                <w:color w:val="auto"/>
                <w:sz w:val="24"/>
                <w:szCs w:val="32"/>
                <w:u w:val="none"/>
                <w:lang w:eastAsia="zh-CN"/>
              </w:rPr>
              <w:t>）</w:t>
            </w:r>
            <w:r>
              <w:rPr>
                <w:rFonts w:ascii="Times New Roman" w:hAnsi="Times New Roman" w:cs="Times New Roman"/>
                <w:bCs/>
                <w:color w:val="auto"/>
                <w:sz w:val="24"/>
                <w:u w:val="none"/>
              </w:rPr>
              <w:t>根据</w:t>
            </w:r>
            <w:r>
              <w:rPr>
                <w:rFonts w:hint="eastAsia" w:cs="Times New Roman"/>
                <w:bCs/>
                <w:color w:val="auto"/>
                <w:sz w:val="24"/>
                <w:u w:val="none"/>
                <w:lang w:val="en-US" w:eastAsia="zh-CN"/>
              </w:rPr>
              <w:t>2</w:t>
            </w:r>
            <w:r>
              <w:rPr>
                <w:rFonts w:ascii="Times New Roman" w:hAnsi="Times New Roman" w:cs="Times New Roman"/>
                <w:bCs/>
                <w:color w:val="auto"/>
                <w:sz w:val="24"/>
                <w:u w:val="none"/>
              </w:rPr>
              <w:t>023年12月27日国家发展改革委令第7号公布</w:t>
            </w:r>
            <w:r>
              <w:rPr>
                <w:rFonts w:hint="eastAsia" w:cs="Times New Roman"/>
                <w:bCs/>
                <w:color w:val="auto"/>
                <w:sz w:val="24"/>
                <w:u w:val="none"/>
                <w:lang w:val="en-US" w:eastAsia="zh-CN"/>
              </w:rPr>
              <w:t>的</w:t>
            </w:r>
            <w:r>
              <w:rPr>
                <w:rFonts w:ascii="Times New Roman" w:hAnsi="Times New Roman" w:cs="Times New Roman"/>
                <w:bCs/>
                <w:color w:val="auto"/>
                <w:sz w:val="24"/>
                <w:u w:val="none"/>
              </w:rPr>
              <w:t>《产业结构调整指导目录（20</w:t>
            </w:r>
            <w:r>
              <w:rPr>
                <w:rFonts w:ascii="Times New Roman" w:hAnsi="Times New Roman" w:cs="Times New Roman"/>
                <w:bCs/>
                <w:color w:val="auto"/>
                <w:sz w:val="24"/>
                <w:u w:val="none"/>
                <w:lang w:val="en-US" w:eastAsia="zh-CN"/>
              </w:rPr>
              <w:t>24</w:t>
            </w:r>
            <w:r>
              <w:rPr>
                <w:rFonts w:ascii="Times New Roman" w:hAnsi="Times New Roman" w:cs="Times New Roman"/>
                <w:bCs/>
                <w:color w:val="auto"/>
                <w:sz w:val="24"/>
                <w:u w:val="none"/>
              </w:rPr>
              <w:t>本）》的有关规定，本项目“鼓励类”中“四十二、 环境保护与资源节约综合利用”中“</w:t>
            </w:r>
            <w:r>
              <w:rPr>
                <w:rFonts w:hint="eastAsia" w:cs="Times New Roman"/>
                <w:bCs/>
                <w:color w:val="auto"/>
                <w:sz w:val="24"/>
                <w:u w:val="none"/>
                <w:lang w:val="en-US" w:eastAsia="zh-CN"/>
              </w:rPr>
              <w:t>8</w:t>
            </w:r>
            <w:r>
              <w:rPr>
                <w:rFonts w:ascii="Times New Roman" w:hAnsi="Times New Roman" w:cs="Times New Roman"/>
                <w:bCs/>
                <w:color w:val="auto"/>
                <w:sz w:val="24"/>
                <w:u w:val="none"/>
                <w:lang w:val="en-US" w:eastAsia="zh-CN"/>
              </w:rPr>
              <w:t>、</w:t>
            </w:r>
            <w:r>
              <w:rPr>
                <w:rFonts w:ascii="Times New Roman" w:hAnsi="Times New Roman" w:cs="Times New Roman"/>
                <w:bCs/>
                <w:color w:val="auto"/>
                <w:sz w:val="24"/>
                <w:u w:val="none"/>
              </w:rPr>
              <w:t>生物质能技术装备（发电、供热、制油、沼气）”。属于鼓励类</w:t>
            </w:r>
            <w:r>
              <w:rPr>
                <w:rFonts w:ascii="Times New Roman" w:hAnsi="Times New Roman" w:cs="Times New Roman"/>
                <w:color w:val="auto"/>
                <w:sz w:val="24"/>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32"/>
                <w:u w:val="none"/>
                <w:lang w:val="en-US" w:eastAsia="zh-CN"/>
              </w:rPr>
            </w:pPr>
            <w:r>
              <w:rPr>
                <w:rFonts w:hint="eastAsia" w:ascii="Times New Roman" w:hAnsi="Times New Roman" w:cs="Times New Roman"/>
                <w:color w:val="auto"/>
                <w:sz w:val="24"/>
                <w:szCs w:val="32"/>
                <w:u w:val="none"/>
                <w:lang w:val="en-US" w:eastAsia="zh-CN"/>
              </w:rPr>
              <w:t>（2）清洁性：本项目生物质气体与天然气能源相比更具有环境友好性。本项目生物质气化气体硫化氢含量为</w:t>
            </w:r>
            <w:r>
              <w:rPr>
                <w:rFonts w:hint="eastAsia" w:cs="Times New Roman"/>
                <w:color w:val="auto"/>
                <w:sz w:val="24"/>
                <w:szCs w:val="32"/>
                <w:u w:val="none"/>
                <w:lang w:val="en-US" w:eastAsia="zh-CN"/>
              </w:rPr>
              <w:t>0</w:t>
            </w:r>
            <w:r>
              <w:rPr>
                <w:rFonts w:hint="eastAsia" w:ascii="Times New Roman" w:hAnsi="Times New Roman" w:cs="Times New Roman"/>
                <w:color w:val="auto"/>
                <w:sz w:val="24"/>
                <w:szCs w:val="32"/>
                <w:u w:val="none"/>
                <w:lang w:val="en-US" w:eastAsia="zh-CN"/>
              </w:rPr>
              <w:t>.</w:t>
            </w:r>
            <w:r>
              <w:rPr>
                <w:rFonts w:hint="eastAsia" w:cs="Times New Roman"/>
                <w:color w:val="auto"/>
                <w:sz w:val="24"/>
                <w:szCs w:val="32"/>
                <w:u w:val="none"/>
                <w:lang w:val="en-US" w:eastAsia="zh-CN"/>
              </w:rPr>
              <w:t>2</w:t>
            </w:r>
            <w:r>
              <w:rPr>
                <w:rFonts w:hint="eastAsia" w:ascii="Times New Roman" w:hAnsi="Times New Roman" w:cs="Times New Roman"/>
                <w:color w:val="auto"/>
                <w:sz w:val="24"/>
                <w:szCs w:val="32"/>
                <w:u w:val="none"/>
                <w:lang w:val="en-US" w:eastAsia="zh-CN"/>
              </w:rPr>
              <w:t>9mg/m</w:t>
            </w:r>
            <w:r>
              <w:rPr>
                <w:rFonts w:hint="eastAsia" w:ascii="Times New Roman" w:hAnsi="Times New Roman" w:cs="Times New Roman"/>
                <w:color w:val="auto"/>
                <w:sz w:val="24"/>
                <w:szCs w:val="32"/>
                <w:u w:val="none"/>
                <w:vertAlign w:val="superscript"/>
                <w:lang w:val="en-US" w:eastAsia="zh-CN"/>
              </w:rPr>
              <w:t>3</w:t>
            </w:r>
            <w:r>
              <w:rPr>
                <w:rFonts w:hint="eastAsia" w:ascii="Times New Roman" w:hAnsi="Times New Roman" w:cs="Times New Roman"/>
                <w:color w:val="auto"/>
                <w:sz w:val="24"/>
                <w:szCs w:val="32"/>
                <w:u w:val="none"/>
                <w:lang w:val="en-US" w:eastAsia="zh-CN"/>
              </w:rPr>
              <w:t>，对比天然气标准（硫含量）：一类天然气为20mg/m</w:t>
            </w:r>
            <w:r>
              <w:rPr>
                <w:rFonts w:hint="eastAsia" w:ascii="Times New Roman" w:hAnsi="Times New Roman" w:cs="Times New Roman"/>
                <w:color w:val="auto"/>
                <w:sz w:val="24"/>
                <w:szCs w:val="32"/>
                <w:u w:val="none"/>
                <w:vertAlign w:val="superscript"/>
                <w:lang w:val="en-US" w:eastAsia="zh-CN"/>
              </w:rPr>
              <w:t>3</w:t>
            </w:r>
            <w:r>
              <w:rPr>
                <w:rFonts w:hint="eastAsia" w:ascii="Times New Roman" w:hAnsi="Times New Roman" w:cs="Times New Roman"/>
                <w:color w:val="auto"/>
                <w:sz w:val="24"/>
                <w:szCs w:val="32"/>
                <w:u w:val="none"/>
                <w:lang w:val="en-US" w:eastAsia="zh-CN"/>
              </w:rPr>
              <w:t>，二类天然气为100mg/m</w:t>
            </w:r>
            <w:r>
              <w:rPr>
                <w:rFonts w:hint="eastAsia" w:ascii="Times New Roman" w:hAnsi="Times New Roman" w:cs="Times New Roman"/>
                <w:color w:val="auto"/>
                <w:sz w:val="24"/>
                <w:szCs w:val="32"/>
                <w:u w:val="none"/>
                <w:vertAlign w:val="superscript"/>
                <w:lang w:val="en-US" w:eastAsia="zh-CN"/>
              </w:rPr>
              <w:t>3</w:t>
            </w:r>
            <w:r>
              <w:rPr>
                <w:rFonts w:hint="eastAsia" w:ascii="Times New Roman" w:hAnsi="Times New Roman" w:cs="Times New Roman"/>
                <w:color w:val="auto"/>
                <w:sz w:val="24"/>
                <w:szCs w:val="32"/>
                <w:u w:val="none"/>
                <w:lang w:val="en-US" w:eastAsia="zh-CN"/>
              </w:rPr>
              <w:t>，优于一类天然气。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32"/>
                <w:u w:val="none"/>
                <w:lang w:val="en-US" w:eastAsia="zh-CN"/>
              </w:rPr>
            </w:pPr>
            <w:r>
              <w:rPr>
                <w:rFonts w:hint="eastAsia" w:ascii="Times New Roman" w:hAnsi="Times New Roman" w:cs="Times New Roman"/>
                <w:color w:val="auto"/>
                <w:sz w:val="24"/>
                <w:szCs w:val="32"/>
                <w:u w:val="none"/>
                <w:lang w:val="en-US" w:eastAsia="zh-CN"/>
              </w:rPr>
              <w:t>（3）可再生性：生物质能源来源于植物的光合作用，属于可再生资源。与风能、太阳能等一样，它资源丰富，可以保证能源的永续利用，符合可持续的科学发展观和循环经济的理念。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32"/>
                <w:u w:val="none"/>
                <w:lang w:val="en-US" w:eastAsia="zh-CN"/>
              </w:rPr>
            </w:pPr>
            <w:r>
              <w:rPr>
                <w:rFonts w:hint="eastAsia" w:ascii="Times New Roman" w:hAnsi="Times New Roman" w:cs="Times New Roman"/>
                <w:color w:val="auto"/>
                <w:sz w:val="24"/>
                <w:szCs w:val="32"/>
                <w:u w:val="none"/>
                <w:lang w:val="en-US" w:eastAsia="zh-CN"/>
              </w:rPr>
              <w:t>（4）低污染性：生物质能源具有低硫、低氮的特性，因此燃烧过程中生成的SO</w:t>
            </w:r>
            <w:r>
              <w:rPr>
                <w:rFonts w:hint="eastAsia" w:ascii="Times New Roman" w:hAnsi="Times New Roman" w:cs="Times New Roman"/>
                <w:color w:val="auto"/>
                <w:sz w:val="24"/>
                <w:szCs w:val="32"/>
                <w:u w:val="none"/>
                <w:vertAlign w:val="subscript"/>
                <w:lang w:val="en-US" w:eastAsia="zh-CN"/>
              </w:rPr>
              <w:t>2</w:t>
            </w:r>
            <w:r>
              <w:rPr>
                <w:rFonts w:hint="eastAsia" w:ascii="Times New Roman" w:hAnsi="Times New Roman" w:cs="Times New Roman"/>
                <w:color w:val="auto"/>
                <w:sz w:val="24"/>
                <w:szCs w:val="32"/>
                <w:u w:val="none"/>
                <w:lang w:val="en-US" w:eastAsia="zh-CN"/>
              </w:rPr>
              <w:t>、NO</w:t>
            </w:r>
            <w:r>
              <w:rPr>
                <w:rFonts w:hint="eastAsia" w:ascii="Times New Roman" w:hAnsi="Times New Roman" w:cs="Times New Roman"/>
                <w:color w:val="auto"/>
                <w:sz w:val="24"/>
                <w:szCs w:val="32"/>
                <w:u w:val="none"/>
                <w:vertAlign w:val="subscript"/>
                <w:lang w:val="en-US" w:eastAsia="zh-CN"/>
              </w:rPr>
              <w:t>x</w:t>
            </w:r>
            <w:r>
              <w:rPr>
                <w:rFonts w:hint="eastAsia" w:ascii="Times New Roman" w:hAnsi="Times New Roman" w:cs="Times New Roman"/>
                <w:color w:val="auto"/>
                <w:sz w:val="24"/>
                <w:szCs w:val="32"/>
                <w:u w:val="none"/>
                <w:lang w:val="en-US" w:eastAsia="zh-CN"/>
              </w:rPr>
              <w:t>较少。同时，生物质作为燃料时，其生长过程吸收的二氧化碳与其燃烧过程排放的二氧化碳量大致相当，因此对大气的二氧化碳净排放量近似于零，有助于缓解温室效应。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32"/>
                <w:u w:val="none"/>
                <w:lang w:val="en-US" w:eastAsia="zh-CN"/>
              </w:rPr>
            </w:pPr>
            <w:r>
              <w:rPr>
                <w:rFonts w:hint="eastAsia" w:ascii="Times New Roman" w:hAnsi="Times New Roman" w:cs="Times New Roman"/>
                <w:color w:val="auto"/>
                <w:sz w:val="24"/>
                <w:szCs w:val="32"/>
                <w:u w:val="none"/>
                <w:lang w:val="en-US" w:eastAsia="zh-CN"/>
              </w:rPr>
              <w:t>本项目气化炉气化原料仅为天然木片和农作物秸秆，不会使用家具废料、废木板和其他成型生物质燃料。（原因：①本项目气化炉的旋转炉排属于精密机器，进料仅支持木片和农作物秸秆两种天然木料，成型生物质燃料物、家具废料、废木板等木料含有铁皮，铁钉等其他杂质，在产气过程中会损坏气化炉；②成本控制：家具废料、废木板和其他成型生物质燃料成本比天然木片和农作物秸秆采购成本更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FF"/>
                <w:sz w:val="24"/>
                <w:szCs w:val="32"/>
                <w:u w:val="single"/>
                <w:vertAlign w:val="baseline"/>
                <w:lang w:val="en-US" w:eastAsia="zh-CN"/>
              </w:rPr>
            </w:pPr>
            <w:r>
              <w:rPr>
                <w:rFonts w:hint="eastAsia" w:ascii="Times New Roman" w:hAnsi="Times New Roman" w:cs="Times New Roman"/>
                <w:color w:val="auto"/>
                <w:sz w:val="24"/>
                <w:szCs w:val="32"/>
                <w:u w:val="none"/>
                <w:lang w:val="en-US" w:eastAsia="zh-CN"/>
              </w:rPr>
              <w:t>综上所述，生物质能源属于“清洁能源”中的“可再生能源”。具有显著的环境和经济效益，对于推动可持续发展和应对气候变化具有重要意义。</w:t>
            </w:r>
            <w:r>
              <w:rPr>
                <w:rFonts w:hint="eastAsia" w:cs="Times New Roman"/>
                <w:color w:val="auto"/>
                <w:sz w:val="24"/>
                <w:szCs w:val="32"/>
                <w:u w:val="none"/>
                <w:lang w:val="en-US" w:eastAsia="zh-CN"/>
              </w:rPr>
              <w:t>且排放的颗粒物、</w:t>
            </w:r>
            <w:r>
              <w:rPr>
                <w:rFonts w:hint="eastAsia" w:ascii="Times New Roman" w:hAnsi="Times New Roman" w:cs="Times New Roman"/>
                <w:color w:val="auto"/>
                <w:sz w:val="24"/>
                <w:szCs w:val="32"/>
                <w:u w:val="none"/>
                <w:lang w:val="en-US" w:eastAsia="zh-CN"/>
              </w:rPr>
              <w:t>SO</w:t>
            </w:r>
            <w:r>
              <w:rPr>
                <w:rFonts w:hint="eastAsia" w:ascii="Times New Roman" w:hAnsi="Times New Roman" w:cs="Times New Roman"/>
                <w:color w:val="auto"/>
                <w:sz w:val="24"/>
                <w:szCs w:val="32"/>
                <w:u w:val="none"/>
                <w:vertAlign w:val="subscript"/>
                <w:lang w:val="en-US" w:eastAsia="zh-CN"/>
              </w:rPr>
              <w:t>2</w:t>
            </w:r>
            <w:r>
              <w:rPr>
                <w:rFonts w:hint="eastAsia" w:ascii="Times New Roman" w:hAnsi="Times New Roman" w:cs="Times New Roman"/>
                <w:color w:val="auto"/>
                <w:sz w:val="24"/>
                <w:szCs w:val="32"/>
                <w:u w:val="none"/>
                <w:lang w:val="en-US" w:eastAsia="zh-CN"/>
              </w:rPr>
              <w:t>、NO</w:t>
            </w:r>
            <w:r>
              <w:rPr>
                <w:rFonts w:hint="eastAsia" w:ascii="Times New Roman" w:hAnsi="Times New Roman" w:cs="Times New Roman"/>
                <w:color w:val="auto"/>
                <w:sz w:val="24"/>
                <w:szCs w:val="32"/>
                <w:u w:val="none"/>
                <w:vertAlign w:val="subscript"/>
                <w:lang w:val="en-US" w:eastAsia="zh-CN"/>
              </w:rPr>
              <w:t>x</w:t>
            </w:r>
            <w:r>
              <w:rPr>
                <w:rFonts w:hint="eastAsia" w:cs="Times New Roman"/>
                <w:color w:val="auto"/>
                <w:sz w:val="24"/>
                <w:szCs w:val="32"/>
                <w:u w:val="none"/>
                <w:vertAlign w:val="baseline"/>
                <w:lang w:val="en-US" w:eastAsia="zh-CN"/>
              </w:rPr>
              <w:t>均比天然气锅炉少量。</w:t>
            </w:r>
            <w:r>
              <w:rPr>
                <w:rFonts w:hint="eastAsia" w:ascii="Times New Roman" w:hAnsi="Times New Roman" w:cs="Times New Roman"/>
                <w:color w:val="auto"/>
                <w:sz w:val="24"/>
                <w:szCs w:val="32"/>
                <w:u w:val="none"/>
                <w:lang w:val="en-US" w:eastAsia="zh-CN"/>
              </w:rPr>
              <w:t>随着技术的不断创新和进步，生物质能源的利用效率和经济效益将得到进一步提升，其在未来能源结构中的地位也将更加重要。</w:t>
            </w:r>
            <w:r>
              <w:rPr>
                <w:rFonts w:hint="eastAsia" w:cs="Times New Roman"/>
                <w:color w:val="auto"/>
                <w:sz w:val="24"/>
                <w:szCs w:val="32"/>
                <w:u w:val="none"/>
                <w:vertAlign w:val="baseline"/>
                <w:lang w:val="en-US" w:eastAsia="zh-CN"/>
              </w:rPr>
              <w:t>替代可行。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rPr>
            </w:pPr>
            <w:r>
              <w:rPr>
                <w:rFonts w:hint="eastAsia" w:cs="Times New Roman"/>
                <w:b/>
                <w:bCs/>
                <w:color w:val="auto"/>
                <w:sz w:val="24"/>
                <w:lang w:val="en-US" w:eastAsia="zh-CN"/>
              </w:rPr>
              <w:t>11</w:t>
            </w:r>
            <w:r>
              <w:rPr>
                <w:rFonts w:ascii="Times New Roman" w:hAnsi="Times New Roman" w:cs="Times New Roman"/>
                <w:b/>
                <w:bCs/>
                <w:color w:val="auto"/>
                <w:sz w:val="24"/>
              </w:rPr>
              <w:t>、外环境关系分析</w:t>
            </w:r>
          </w:p>
          <w:p>
            <w:pPr>
              <w:adjustRightInd w:val="0"/>
              <w:snapToGrid w:val="0"/>
              <w:spacing w:line="360" w:lineRule="auto"/>
              <w:ind w:firstLine="480" w:firstLineChars="200"/>
              <w:rPr>
                <w:rFonts w:ascii="Times New Roman" w:hAnsi="Times New Roman" w:cs="Times New Roman"/>
                <w:b/>
                <w:bCs/>
                <w:color w:val="auto"/>
              </w:rPr>
            </w:pPr>
            <w:r>
              <w:rPr>
                <w:rFonts w:ascii="Times New Roman" w:hAnsi="Times New Roman" w:cs="Times New Roman"/>
                <w:color w:val="auto"/>
                <w:sz w:val="24"/>
                <w:szCs w:val="32"/>
              </w:rPr>
              <w:t>本项目建设地位于</w:t>
            </w:r>
            <w:r>
              <w:rPr>
                <w:rFonts w:ascii="Times New Roman" w:hAnsi="Times New Roman" w:cs="Times New Roman"/>
                <w:color w:val="auto"/>
                <w:sz w:val="24"/>
                <w:lang w:eastAsia="zh-CN"/>
              </w:rPr>
              <w:t>四川省遂宁市大英县隆盛镇席家沟村，</w:t>
            </w:r>
            <w:r>
              <w:rPr>
                <w:rFonts w:hint="eastAsia" w:cs="Times New Roman"/>
                <w:color w:val="auto"/>
                <w:sz w:val="24"/>
                <w:lang w:val="en-US" w:eastAsia="zh-CN"/>
              </w:rPr>
              <w:t>调查项目500m范围内外环境情况，具体如下：</w:t>
            </w:r>
            <w:r>
              <w:rPr>
                <w:rFonts w:ascii="Times New Roman" w:hAnsi="Times New Roman" w:cs="Times New Roman"/>
                <w:b w:val="0"/>
                <w:bCs w:val="0"/>
                <w:color w:val="auto"/>
                <w:sz w:val="24"/>
                <w:szCs w:val="32"/>
              </w:rPr>
              <w:t>建设项目北侧为空地；东北侧约447m处为南方凯悦集团有限公司；东侧为</w:t>
            </w:r>
            <w:r>
              <w:rPr>
                <w:rFonts w:ascii="Times New Roman" w:hAnsi="Times New Roman" w:cs="Times New Roman"/>
                <w:b w:val="0"/>
                <w:bCs w:val="0"/>
                <w:color w:val="auto"/>
                <w:sz w:val="24"/>
                <w:szCs w:val="32"/>
                <w:lang w:val="en-US" w:eastAsia="zh-CN"/>
              </w:rPr>
              <w:t>公司生产厂区</w:t>
            </w:r>
            <w:r>
              <w:rPr>
                <w:rFonts w:ascii="Times New Roman" w:hAnsi="Times New Roman" w:cs="Times New Roman"/>
                <w:b w:val="0"/>
                <w:bCs w:val="0"/>
                <w:color w:val="auto"/>
                <w:sz w:val="24"/>
                <w:szCs w:val="32"/>
              </w:rPr>
              <w:t>；东南侧约70m为四川屹光新材料制造有限公司，约377m为四川苏博特新材料有限公司；南侧为空地，西南侧约314m为四川永津环保技术有限公司，约533m为在建项目，约522m为四川安旭涂料科技有限公司；西侧约110m为四川中腾能源科技有限公司。</w:t>
            </w:r>
            <w:r>
              <w:rPr>
                <w:rFonts w:ascii="Times New Roman" w:hAnsi="Times New Roman" w:cs="Times New Roman"/>
                <w:color w:val="auto"/>
                <w:sz w:val="24"/>
                <w:szCs w:val="32"/>
              </w:rPr>
              <w:t>外环境简单，详细外环境关系图见附图2。</w:t>
            </w:r>
          </w:p>
          <w:p>
            <w:pPr>
              <w:widowControl/>
              <w:spacing w:line="276" w:lineRule="auto"/>
              <w:jc w:val="center"/>
              <w:rPr>
                <w:rFonts w:ascii="Times New Roman" w:hAnsi="Times New Roman" w:cs="Times New Roman"/>
                <w:b/>
                <w:bCs/>
                <w:color w:val="auto"/>
              </w:rPr>
            </w:pPr>
            <w:r>
              <w:rPr>
                <w:rFonts w:ascii="Times New Roman" w:hAnsi="Times New Roman" w:cs="Times New Roman"/>
                <w:b/>
                <w:bCs/>
                <w:color w:val="auto"/>
              </w:rPr>
              <w:t>表1-</w:t>
            </w:r>
            <w:r>
              <w:rPr>
                <w:rFonts w:hint="eastAsia" w:cs="Times New Roman"/>
                <w:b/>
                <w:bCs/>
                <w:color w:val="auto"/>
                <w:lang w:val="en-US" w:eastAsia="zh-CN"/>
              </w:rPr>
              <w:t xml:space="preserve">12 </w:t>
            </w:r>
            <w:r>
              <w:rPr>
                <w:rFonts w:ascii="Times New Roman" w:hAnsi="Times New Roman" w:cs="Times New Roman"/>
                <w:b/>
                <w:bCs/>
                <w:color w:val="auto"/>
              </w:rPr>
              <w:t>周边外环境关系一览表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3544"/>
              <w:gridCol w:w="868"/>
              <w:gridCol w:w="1159"/>
              <w:gridCol w:w="1258"/>
              <w:gridCol w:w="11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8" w:type="pct"/>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序号</w:t>
                  </w:r>
                </w:p>
              </w:tc>
              <w:tc>
                <w:tcPr>
                  <w:tcW w:w="2054" w:type="pct"/>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kern w:val="0"/>
                      <w:szCs w:val="21"/>
                      <w:lang w:eastAsia="zh-CN"/>
                    </w:rPr>
                    <w:t>四川鸿鹏新材料有限公司</w:t>
                  </w:r>
                  <w:r>
                    <w:rPr>
                      <w:rFonts w:ascii="Times New Roman" w:hAnsi="Times New Roman" w:cs="Times New Roman"/>
                      <w:b/>
                      <w:bCs/>
                      <w:color w:val="auto"/>
                      <w:szCs w:val="21"/>
                    </w:rPr>
                    <w:t>外环境关系情况</w:t>
                  </w:r>
                </w:p>
              </w:tc>
              <w:tc>
                <w:tcPr>
                  <w:tcW w:w="503" w:type="pct"/>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方位</w:t>
                  </w:r>
                </w:p>
              </w:tc>
              <w:tc>
                <w:tcPr>
                  <w:tcW w:w="672" w:type="pct"/>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与本项目距离（米）</w:t>
                  </w:r>
                </w:p>
              </w:tc>
              <w:tc>
                <w:tcPr>
                  <w:tcW w:w="729" w:type="pct"/>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行业</w:t>
                  </w:r>
                </w:p>
              </w:tc>
              <w:tc>
                <w:tcPr>
                  <w:tcW w:w="652" w:type="pct"/>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是否制约本项目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南方凯悦集团有限公司</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lang w:val="en-US" w:eastAsia="zh-CN"/>
                    </w:rPr>
                    <w:t>东</w:t>
                  </w:r>
                  <w:r>
                    <w:rPr>
                      <w:rFonts w:ascii="Times New Roman" w:hAnsi="Times New Roman" w:cs="Times New Roman"/>
                      <w:color w:val="auto"/>
                      <w:szCs w:val="21"/>
                    </w:rPr>
                    <w:t>北</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447</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生产厂区</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东</w:t>
                  </w:r>
                </w:p>
                <w:p>
                  <w:pPr>
                    <w:adjustRightInd w:val="0"/>
                    <w:snapToGrid w:val="0"/>
                    <w:jc w:val="center"/>
                    <w:rPr>
                      <w:rFonts w:ascii="Times New Roman" w:hAnsi="Times New Roman" w:cs="Times New Roman"/>
                      <w:color w:val="auto"/>
                      <w:szCs w:val="21"/>
                    </w:rPr>
                  </w:pP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eastAsia="zh-CN"/>
                    </w:rPr>
                  </w:pPr>
                  <w:r>
                    <w:rPr>
                      <w:rFonts w:ascii="Times New Roman" w:hAnsi="Times New Roman" w:cs="Times New Roman"/>
                      <w:color w:val="auto"/>
                      <w:szCs w:val="21"/>
                      <w:lang w:val="en-US" w:eastAsia="zh-CN"/>
                    </w:rPr>
                    <w:t>紧邻</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四川屹光新材料制造有限公司</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东南</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lang w:val="en-US" w:eastAsia="zh-CN"/>
                    </w:rPr>
                  </w:pPr>
                  <w:r>
                    <w:rPr>
                      <w:rFonts w:ascii="Times New Roman" w:hAnsi="Times New Roman" w:cs="Times New Roman"/>
                      <w:color w:val="auto"/>
                      <w:szCs w:val="21"/>
                      <w:lang w:val="en-US" w:eastAsia="zh-CN"/>
                    </w:rPr>
                    <w:t>70</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4</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四川苏博特新材料有限公司</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东南</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377</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待建空地</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南</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紧邻</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6</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四川永津环保技术有限公司</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lang w:val="en-US" w:eastAsia="zh-CN"/>
                    </w:rPr>
                    <w:t>西</w:t>
                  </w:r>
                  <w:r>
                    <w:rPr>
                      <w:rFonts w:ascii="Times New Roman" w:hAnsi="Times New Roman" w:cs="Times New Roman"/>
                      <w:color w:val="auto"/>
                      <w:szCs w:val="21"/>
                    </w:rPr>
                    <w:t>南</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314</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7</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在建项目</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lang w:val="en-US" w:eastAsia="zh-CN"/>
                    </w:rPr>
                    <w:t>西</w:t>
                  </w:r>
                  <w:r>
                    <w:rPr>
                      <w:rFonts w:ascii="Times New Roman" w:hAnsi="Times New Roman" w:cs="Times New Roman"/>
                      <w:color w:val="auto"/>
                      <w:szCs w:val="21"/>
                    </w:rPr>
                    <w:t>南</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533</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8" w:type="pct"/>
                  <w:tcBorders>
                    <w:top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8</w:t>
                  </w:r>
                </w:p>
              </w:tc>
              <w:tc>
                <w:tcPr>
                  <w:tcW w:w="2054"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四川中腾能源科技有限公司</w:t>
                  </w:r>
                </w:p>
              </w:tc>
              <w:tc>
                <w:tcPr>
                  <w:tcW w:w="503"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西</w:t>
                  </w:r>
                </w:p>
              </w:tc>
              <w:tc>
                <w:tcPr>
                  <w:tcW w:w="672"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110</w:t>
                  </w:r>
                </w:p>
              </w:tc>
              <w:tc>
                <w:tcPr>
                  <w:tcW w:w="729" w:type="pc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w:t>
                  </w:r>
                </w:p>
              </w:tc>
              <w:tc>
                <w:tcPr>
                  <w:tcW w:w="652" w:type="pct"/>
                  <w:tcBorders>
                    <w:top w:val="single" w:color="auto" w:sz="4" w:space="0"/>
                    <w:lef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否</w:t>
                  </w:r>
                </w:p>
              </w:tc>
            </w:tr>
          </w:tbl>
          <w:p>
            <w:pPr>
              <w:adjustRightInd w:val="0"/>
              <w:snapToGrid w:val="0"/>
              <w:spacing w:before="120" w:beforeLines="50" w:line="360" w:lineRule="auto"/>
              <w:ind w:firstLine="482" w:firstLineChars="200"/>
              <w:jc w:val="left"/>
              <w:rPr>
                <w:rFonts w:ascii="Times New Roman" w:hAnsi="Times New Roman" w:cs="Times New Roman"/>
                <w:b/>
                <w:bCs/>
                <w:color w:val="auto"/>
                <w:sz w:val="24"/>
                <w:szCs w:val="32"/>
              </w:rPr>
            </w:pPr>
            <w:r>
              <w:rPr>
                <w:rFonts w:ascii="Times New Roman" w:hAnsi="Times New Roman" w:cs="Times New Roman"/>
                <w:b/>
                <w:bCs/>
                <w:color w:val="auto"/>
                <w:sz w:val="24"/>
                <w:szCs w:val="32"/>
              </w:rPr>
              <w:t>（2）四川鸿鹏新材料有限公司厂房内调查：</w:t>
            </w:r>
          </w:p>
          <w:p>
            <w:pPr>
              <w:adjustRightInd w:val="0"/>
              <w:snapToGrid w:val="0"/>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rPr>
              <w:t>项目目前大部分为空</w:t>
            </w:r>
            <w:r>
              <w:rPr>
                <w:rFonts w:ascii="Times New Roman" w:hAnsi="Times New Roman" w:cs="Times New Roman"/>
                <w:color w:val="auto"/>
                <w:sz w:val="24"/>
                <w:lang w:val="en-US" w:eastAsia="zh-CN"/>
              </w:rPr>
              <w:t>地，</w:t>
            </w:r>
            <w:r>
              <w:rPr>
                <w:rFonts w:ascii="Times New Roman" w:hAnsi="Times New Roman" w:cs="Times New Roman"/>
                <w:color w:val="auto"/>
                <w:sz w:val="24"/>
                <w:szCs w:val="32"/>
              </w:rPr>
              <w:t>本项目周边环境现状图如下图所示：</w:t>
            </w:r>
          </w:p>
          <w:tbl>
            <w:tblPr>
              <w:tblStyle w:val="25"/>
              <w:tblW w:w="5000"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0"/>
              <w:gridCol w:w="3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2"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sz w:val="24"/>
                      <w:szCs w:val="24"/>
                      <w:lang w:eastAsia="zh-CN"/>
                    </w:rPr>
                    <w:drawing>
                      <wp:inline distT="0" distB="0" distL="114300" distR="114300">
                        <wp:extent cx="2593975" cy="1800225"/>
                        <wp:effectExtent l="0" t="0" r="24" b="28"/>
                        <wp:docPr id="25" name="图片 1" descr="96c398a57dcd38a26543394fe8a5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96c398a57dcd38a26543394fe8a547f"/>
                                <pic:cNvPicPr>
                                  <a:picLocks noChangeAspect="1"/>
                                </pic:cNvPicPr>
                              </pic:nvPicPr>
                              <pic:blipFill>
                                <a:blip r:embed="rId11"/>
                                <a:stretch>
                                  <a:fillRect/>
                                </a:stretch>
                              </pic:blipFill>
                              <pic:spPr>
                                <a:xfrm>
                                  <a:off x="0" y="0"/>
                                  <a:ext cx="2593975" cy="1800225"/>
                                </a:xfrm>
                                <a:prstGeom prst="rect">
                                  <a:avLst/>
                                </a:prstGeom>
                                <a:noFill/>
                                <a:ln w="9525" cap="flat" cmpd="sng">
                                  <a:noFill/>
                                  <a:prstDash val="solid"/>
                                  <a:miter/>
                                </a:ln>
                              </pic:spPr>
                            </pic:pic>
                          </a:graphicData>
                        </a:graphic>
                      </wp:inline>
                    </w:drawing>
                  </w:r>
                </w:p>
              </w:tc>
              <w:tc>
                <w:tcPr>
                  <w:tcW w:w="3247" w:type="dxa"/>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ascii="Times New Roman" w:hAnsi="Times New Roman" w:eastAsia="宋体" w:cs="Times New Roman"/>
                      <w:color w:val="auto"/>
                      <w:kern w:val="2"/>
                      <w:sz w:val="24"/>
                      <w:szCs w:val="24"/>
                      <w:lang w:eastAsia="zh-CN"/>
                    </w:rPr>
                  </w:pPr>
                  <w:r>
                    <w:rPr>
                      <w:rFonts w:ascii="Times New Roman" w:hAnsi="Times New Roman" w:eastAsia="宋体" w:cs="Times New Roman"/>
                      <w:color w:val="auto"/>
                      <w:kern w:val="2"/>
                      <w:sz w:val="24"/>
                      <w:szCs w:val="24"/>
                      <w:lang w:eastAsia="zh-CN"/>
                    </w:rPr>
                    <w:drawing>
                      <wp:inline distT="0" distB="0" distL="114300" distR="114300">
                        <wp:extent cx="1916430" cy="1800225"/>
                        <wp:effectExtent l="0" t="0" r="3" b="28"/>
                        <wp:docPr id="28" name="图片 6" descr="3834b420b43bfbf9cccb6001bd0d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3834b420b43bfbf9cccb6001bd0d6a3"/>
                                <pic:cNvPicPr>
                                  <a:picLocks noChangeAspect="1"/>
                                </pic:cNvPicPr>
                              </pic:nvPicPr>
                              <pic:blipFill>
                                <a:blip r:embed="rId12"/>
                                <a:stretch>
                                  <a:fillRect/>
                                </a:stretch>
                              </pic:blipFill>
                              <pic:spPr>
                                <a:xfrm>
                                  <a:off x="0" y="0"/>
                                  <a:ext cx="1917064" cy="1800225"/>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2" w:type="dxa"/>
                  <w:tcBorders>
                    <w:top w:val="single" w:color="auto" w:sz="4" w:space="0"/>
                    <w:left w:val="single" w:color="auto"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ascii="Times New Roman" w:hAnsi="Times New Roman" w:cs="Times New Roman"/>
                      <w:color w:val="auto"/>
                      <w:kern w:val="2"/>
                      <w:sz w:val="21"/>
                      <w:szCs w:val="21"/>
                    </w:rPr>
                  </w:pPr>
                  <w:r>
                    <w:rPr>
                      <w:rFonts w:ascii="Times New Roman" w:hAnsi="Times New Roman" w:cs="Times New Roman"/>
                      <w:color w:val="auto"/>
                      <w:kern w:val="2"/>
                      <w:sz w:val="21"/>
                      <w:szCs w:val="21"/>
                      <w:lang w:val="en-US" w:eastAsia="zh-CN"/>
                    </w:rPr>
                    <w:t>项目所在地</w:t>
                  </w:r>
                </w:p>
              </w:tc>
              <w:tc>
                <w:tcPr>
                  <w:tcW w:w="3247" w:type="dxa"/>
                  <w:tcBorders>
                    <w:top w:val="single" w:color="auto" w:sz="4" w:space="0"/>
                    <w:left w:val="single" w:color="auto"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ascii="Times New Roman" w:hAnsi="Times New Roman" w:eastAsia="宋体" w:cs="Times New Roman"/>
                      <w:color w:val="auto"/>
                      <w:kern w:val="2"/>
                      <w:sz w:val="21"/>
                      <w:szCs w:val="21"/>
                      <w:lang w:val="en-US" w:eastAsia="zh-CN"/>
                    </w:rPr>
                  </w:pPr>
                  <w:r>
                    <w:rPr>
                      <w:rFonts w:ascii="Times New Roman" w:hAnsi="Times New Roman" w:cs="Times New Roman"/>
                      <w:color w:val="auto"/>
                      <w:kern w:val="2"/>
                      <w:sz w:val="21"/>
                      <w:szCs w:val="21"/>
                      <w:lang w:val="en-US" w:eastAsia="zh-CN"/>
                    </w:rPr>
                    <w:t>项目东侧</w:t>
                  </w:r>
                </w:p>
              </w:tc>
            </w:tr>
          </w:tbl>
          <w:p>
            <w:pPr>
              <w:adjustRightInd w:val="0"/>
              <w:snapToGrid w:val="0"/>
              <w:spacing w:before="120" w:beforeLines="50"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（3）项目与周边环境相容性分析</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项目对周边环境影响：</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周边以工业企业、待建空地为主，本项目周边企业主要以工业企业为主，周边不涉及自然保护区、风景名胜区、基本农田保护区、重点文物古迹、饮用水水源保护区，无古树名木分布，本项目500m范围内无环境敏感点。本项目所在厂房入驻企业均为工业企业，本项目的建设也不会制约周边企业的发展。故项目在此建设，同周边环境相容，其选址合理。</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项目污染物排放：本项目产生的废气</w:t>
            </w:r>
            <w:r>
              <w:rPr>
                <w:rFonts w:ascii="Times New Roman" w:hAnsi="Times New Roman" w:cs="Times New Roman"/>
                <w:bCs/>
                <w:color w:val="auto"/>
                <w:sz w:val="24"/>
                <w:lang w:val="en-US" w:eastAsia="zh-CN"/>
              </w:rPr>
              <w:t>通过</w:t>
            </w:r>
            <w:r>
              <w:rPr>
                <w:rFonts w:hint="eastAsia" w:cs="Times New Roman"/>
                <w:bCs/>
                <w:color w:val="auto"/>
                <w:sz w:val="24"/>
                <w:lang w:val="en-US" w:eastAsia="zh-CN"/>
              </w:rPr>
              <w:t>低氮燃烧+SCR脱硝+旋风布袋除尘器处理后由1根40m高排气筒排放</w:t>
            </w:r>
            <w:r>
              <w:rPr>
                <w:rFonts w:ascii="Times New Roman" w:hAnsi="Times New Roman" w:cs="Times New Roman"/>
                <w:bCs/>
                <w:color w:val="auto"/>
                <w:sz w:val="24"/>
              </w:rPr>
              <w:t>，不会影响和污染周围的大气环境；生活废水</w:t>
            </w:r>
            <w:r>
              <w:rPr>
                <w:rFonts w:ascii="Times New Roman" w:hAnsi="Times New Roman" w:cs="Times New Roman"/>
                <w:bCs/>
                <w:color w:val="auto"/>
                <w:sz w:val="24"/>
                <w:lang w:eastAsia="zh-CN"/>
              </w:rPr>
              <w:t>、</w:t>
            </w:r>
            <w:r>
              <w:rPr>
                <w:rFonts w:ascii="Times New Roman" w:hAnsi="Times New Roman" w:cs="Times New Roman"/>
                <w:bCs/>
                <w:color w:val="auto"/>
                <w:sz w:val="24"/>
                <w:lang w:val="en-US" w:eastAsia="zh-CN"/>
              </w:rPr>
              <w:t>锅炉废水</w:t>
            </w:r>
            <w:r>
              <w:rPr>
                <w:rFonts w:ascii="Times New Roman" w:hAnsi="Times New Roman" w:cs="Times New Roman"/>
                <w:bCs/>
                <w:color w:val="auto"/>
                <w:sz w:val="24"/>
              </w:rPr>
              <w:t>经</w:t>
            </w:r>
            <w:r>
              <w:rPr>
                <w:rFonts w:ascii="Times New Roman" w:hAnsi="Times New Roman" w:cs="Times New Roman"/>
                <w:bCs/>
                <w:color w:val="auto"/>
                <w:sz w:val="24"/>
                <w:lang w:eastAsia="zh-CN"/>
              </w:rPr>
              <w:t>四川鸿鹏新材料有限公司</w:t>
            </w:r>
            <w:r>
              <w:rPr>
                <w:rFonts w:ascii="Times New Roman" w:hAnsi="Times New Roman" w:cs="Times New Roman"/>
                <w:bCs/>
                <w:color w:val="auto"/>
                <w:sz w:val="24"/>
              </w:rPr>
              <w:t>预处理池处理后进入园区污水管网；噪声通过隔声等措施降噪；固体废物分类收集处置，在生产过程中产生的“三废”及噪声均能得到有效的治理达标排放，本项目对周边环境影响较小。</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项目在满足各项污染物达标排放的前提下，不会对周边企业正常生产营运及产品质量造成不良影响，不对周边企业生产造成制约。</w:t>
            </w:r>
          </w:p>
          <w:p>
            <w:pPr>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周边环境对项目建设影响：</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本次环评根据临近企业类型分别分析其对本项目的影响，本项目周边企业主要为工业企业。</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根据调查，废水经处理后进入园区污水管网；噪声通过隔声等措施降噪；固体废物分类收集处置，周边企业在生产过程中产生的“三废”及噪声均能得到有效的治理达标排放，对本项目影响较小。</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周边企业正常生产不对本项目建设、生产造成影响。</w:t>
            </w:r>
          </w:p>
          <w:p>
            <w:pPr>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因此，项目的建设与周边环境相容，外环境无重大制约因素，项目选址合理。</w:t>
            </w:r>
          </w:p>
          <w:p>
            <w:pPr>
              <w:adjustRightInd w:val="0"/>
              <w:snapToGrid w:val="0"/>
              <w:spacing w:line="360" w:lineRule="auto"/>
              <w:rPr>
                <w:rFonts w:ascii="Times New Roman" w:hAnsi="Times New Roman" w:cs="Times New Roman"/>
                <w:b/>
                <w:bCs/>
                <w:color w:val="auto"/>
                <w:sz w:val="24"/>
              </w:rPr>
            </w:pPr>
            <w:r>
              <w:rPr>
                <w:rFonts w:hint="eastAsia" w:cs="Times New Roman"/>
                <w:b/>
                <w:bCs/>
                <w:color w:val="auto"/>
                <w:sz w:val="24"/>
                <w:lang w:val="en-US" w:eastAsia="zh-CN"/>
              </w:rPr>
              <w:t>12</w:t>
            </w:r>
            <w:r>
              <w:rPr>
                <w:rFonts w:ascii="Times New Roman" w:hAnsi="Times New Roman" w:cs="Times New Roman"/>
                <w:b/>
                <w:bCs/>
                <w:color w:val="auto"/>
                <w:sz w:val="24"/>
              </w:rPr>
              <w:t>、总平面布置合理性分析</w:t>
            </w:r>
          </w:p>
          <w:p>
            <w:pPr>
              <w:adjustRightInd w:val="0"/>
              <w:snapToGrid w:val="0"/>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本项目根据“分区合理、工艺流畅、物流短捷、突出环保”的原则，结合租赁场地的用地条件及生产工艺，综合考虑环保、消防、劳动卫生等要求，对厂区进行了统筹安排，总平面布置见附图。</w:t>
            </w:r>
          </w:p>
          <w:p>
            <w:pPr>
              <w:adjustRightInd w:val="0"/>
              <w:snapToGrid w:val="0"/>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本项目厂区设置两个出入口，同时设有消防通道和装置区内的安全通道，以便于消防和人员紧急疏散；各建筑物和设备间距也将严格执行国家等现行的防火、防爆、安全、卫生等有关规范规定进行布置。</w:t>
            </w:r>
          </w:p>
          <w:p>
            <w:pPr>
              <w:adjustRightInd w:val="0"/>
              <w:snapToGrid w:val="0"/>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在厂区平面布局上，做到了生产区、办公区等区域分隔，在生产设备布置上，总体上按不同生产类型分区布置，减小物料运输距离，工艺流程顺畅。</w:t>
            </w:r>
          </w:p>
          <w:p>
            <w:pPr>
              <w:adjustRightInd w:val="0"/>
              <w:snapToGrid w:val="0"/>
              <w:spacing w:line="360" w:lineRule="auto"/>
              <w:ind w:firstLine="480" w:firstLineChars="200"/>
              <w:rPr>
                <w:rFonts w:ascii="Times New Roman" w:hAnsi="Times New Roman" w:cs="Times New Roman"/>
                <w:b/>
                <w:bCs/>
                <w:color w:val="auto"/>
                <w:sz w:val="24"/>
                <w:szCs w:val="24"/>
              </w:rPr>
            </w:pPr>
            <w:r>
              <w:rPr>
                <w:rFonts w:ascii="Times New Roman" w:hAnsi="Times New Roman" w:cs="Times New Roman"/>
                <w:bCs/>
                <w:color w:val="auto"/>
                <w:sz w:val="24"/>
              </w:rPr>
              <w:t>总体而言，项目总平面布置功能分区清晰，污染物能进行有效隔离，工艺流程较顺畅，物流短捷。</w:t>
            </w:r>
            <w:r>
              <w:rPr>
                <w:rFonts w:ascii="Times New Roman" w:hAnsi="Times New Roman" w:cs="Times New Roman"/>
                <w:b/>
                <w:color w:val="auto"/>
                <w:sz w:val="24"/>
              </w:rPr>
              <w:t>项目布置从环境保护角度分析是合理的，总平面布置合理。</w:t>
            </w:r>
          </w:p>
        </w:tc>
      </w:tr>
    </w:tbl>
    <w:p>
      <w:pPr>
        <w:spacing w:line="360" w:lineRule="auto"/>
        <w:outlineLvl w:val="0"/>
        <w:rPr>
          <w:rFonts w:ascii="Times New Roman" w:hAnsi="Times New Roman" w:eastAsia="黑体" w:cs="Times New Roman"/>
          <w:color w:val="auto"/>
          <w:sz w:val="30"/>
        </w:rPr>
        <w:sectPr>
          <w:pgSz w:w="11906" w:h="16838"/>
          <w:pgMar w:top="1701" w:right="1531" w:bottom="1701" w:left="1531" w:header="851" w:footer="1077" w:gutter="0"/>
          <w:cols w:space="720" w:num="1"/>
          <w:docGrid w:linePitch="312" w:charSpace="0"/>
        </w:sectPr>
      </w:pPr>
    </w:p>
    <w:p>
      <w:pPr>
        <w:pStyle w:val="2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55" w:type="dxa"/>
            <w:vAlign w:val="center"/>
          </w:tcPr>
          <w:p>
            <w:pPr>
              <w:pStyle w:val="21"/>
              <w:adjustRightInd w:val="0"/>
              <w:snapToGrid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Cs w:val="24"/>
              </w:rPr>
              <w:t>建设内容</w:t>
            </w:r>
          </w:p>
        </w:tc>
        <w:tc>
          <w:tcPr>
            <w:tcW w:w="8605" w:type="dxa"/>
          </w:tcPr>
          <w:p>
            <w:pPr>
              <w:pStyle w:val="7"/>
              <w:widowControl/>
              <w:spacing w:line="360" w:lineRule="auto"/>
              <w:ind w:firstLine="482" w:firstLineChars="200"/>
              <w:jc w:val="left"/>
              <w:rPr>
                <w:rFonts w:ascii="Times New Roman" w:hAnsi="Times New Roman" w:cs="Times New Roman"/>
                <w:b/>
                <w:bCs/>
                <w:color w:val="auto"/>
                <w:sz w:val="24"/>
                <w:szCs w:val="22"/>
              </w:rPr>
            </w:pPr>
            <w:r>
              <w:rPr>
                <w:rFonts w:ascii="Times New Roman" w:hAnsi="Times New Roman" w:cs="Times New Roman"/>
                <w:b/>
                <w:bCs/>
                <w:color w:val="auto"/>
                <w:sz w:val="24"/>
                <w:szCs w:val="22"/>
              </w:rPr>
              <w:t>1、项目概况</w:t>
            </w:r>
          </w:p>
          <w:p>
            <w:pPr>
              <w:pStyle w:val="2"/>
              <w:ind w:firstLine="480" w:firstLineChars="200"/>
              <w:rPr>
                <w:rFonts w:ascii="Times New Roman" w:hAnsi="Times New Roman" w:cs="Times New Roman"/>
                <w:color w:val="auto"/>
                <w:sz w:val="24"/>
              </w:rPr>
            </w:pPr>
            <w:r>
              <w:rPr>
                <w:rFonts w:ascii="Times New Roman" w:hAnsi="Times New Roman" w:cs="Times New Roman"/>
                <w:color w:val="auto"/>
                <w:sz w:val="24"/>
              </w:rPr>
              <w:t>①项目背景</w:t>
            </w:r>
          </w:p>
          <w:p>
            <w:pPr>
              <w:spacing w:line="360" w:lineRule="auto"/>
              <w:ind w:firstLine="480" w:firstLineChars="200"/>
              <w:rPr>
                <w:rFonts w:ascii="Times New Roman" w:hAnsi="Times New Roman" w:cs="Times New Roman"/>
                <w:color w:val="auto"/>
                <w:kern w:val="0"/>
                <w:sz w:val="24"/>
                <w:u w:val="none"/>
              </w:rPr>
            </w:pPr>
            <w:r>
              <w:rPr>
                <w:rFonts w:ascii="Times New Roman" w:hAnsi="Times New Roman" w:cs="Times New Roman"/>
                <w:color w:val="auto"/>
                <w:kern w:val="0"/>
                <w:sz w:val="24"/>
                <w:u w:val="none"/>
              </w:rPr>
              <w:t>生物质能是自然界中有生命的植物提供的能量，这些植物以生物质作为媒介储存太阳能，属于“清洁能源”中的“可再生能源”。中国对生物质能源利用极为重视，</w:t>
            </w:r>
            <w:r>
              <w:rPr>
                <w:rFonts w:hint="eastAsia" w:cs="Times New Roman"/>
                <w:color w:val="auto"/>
                <w:kern w:val="0"/>
                <w:sz w:val="24"/>
                <w:u w:val="none"/>
                <w:lang w:val="en-US" w:eastAsia="zh-CN"/>
              </w:rPr>
              <w:t>已</w:t>
            </w:r>
            <w:r>
              <w:rPr>
                <w:rFonts w:ascii="Times New Roman" w:hAnsi="Times New Roman" w:cs="Times New Roman"/>
                <w:color w:val="auto"/>
                <w:kern w:val="0"/>
                <w:sz w:val="24"/>
                <w:u w:val="none"/>
              </w:rPr>
              <w:t>连续在四个国家五年计划将生物质能利用技术的研究与应用列为重点科技攻关项目，开展了生物质能利用技术的研究与开发，如户用沼气池、节柴炕灶、薪炭林、大中型沼气工程、生物质压块成型、气化与气化发电、生物质液体燃料等，取得了多项优秀成果。</w:t>
            </w:r>
            <w:r>
              <w:rPr>
                <w:rFonts w:hint="eastAsia" w:cs="Times New Roman"/>
                <w:color w:val="auto"/>
                <w:kern w:val="0"/>
                <w:sz w:val="24"/>
                <w:u w:val="none"/>
                <w:lang w:val="en-US" w:eastAsia="zh-CN"/>
              </w:rPr>
              <w:t>并且已</w:t>
            </w:r>
            <w:r>
              <w:rPr>
                <w:rFonts w:ascii="Times New Roman" w:hAnsi="Times New Roman" w:cs="Times New Roman"/>
                <w:color w:val="auto"/>
                <w:kern w:val="0"/>
                <w:sz w:val="24"/>
                <w:u w:val="none"/>
              </w:rPr>
              <w:t>开发出多种固态填充床和流化床气化炉，以秸秆、木屑、稻壳、树枝为原料生产燃气。</w:t>
            </w:r>
          </w:p>
          <w:p>
            <w:pPr>
              <w:spacing w:line="360" w:lineRule="auto"/>
              <w:ind w:firstLine="480" w:firstLineChars="200"/>
              <w:rPr>
                <w:rFonts w:ascii="Times New Roman" w:hAnsi="Times New Roman" w:eastAsia="宋体" w:cs="Times New Roman"/>
                <w:color w:val="auto"/>
                <w:kern w:val="0"/>
                <w:sz w:val="24"/>
                <w:lang w:val="en-US" w:eastAsia="zh-CN"/>
              </w:rPr>
            </w:pPr>
            <w:r>
              <w:rPr>
                <w:rFonts w:hint="eastAsia" w:cs="Times New Roman"/>
                <w:color w:val="auto"/>
                <w:kern w:val="0"/>
                <w:sz w:val="24"/>
                <w:u w:val="none"/>
                <w:lang w:val="en-US" w:eastAsia="zh-CN"/>
              </w:rPr>
              <w:t>为节能减排，发展</w:t>
            </w:r>
            <w:r>
              <w:rPr>
                <w:rFonts w:ascii="Times New Roman" w:hAnsi="Times New Roman" w:cs="Times New Roman"/>
                <w:color w:val="auto"/>
                <w:kern w:val="0"/>
                <w:sz w:val="24"/>
                <w:u w:val="none"/>
              </w:rPr>
              <w:t>生物质能</w:t>
            </w:r>
            <w:r>
              <w:rPr>
                <w:rFonts w:hint="eastAsia" w:cs="Times New Roman"/>
                <w:color w:val="auto"/>
                <w:kern w:val="0"/>
                <w:sz w:val="24"/>
                <w:u w:val="none"/>
                <w:lang w:val="en-US" w:eastAsia="zh-CN"/>
              </w:rPr>
              <w:t>的运用。</w:t>
            </w:r>
            <w:r>
              <w:rPr>
                <w:rFonts w:ascii="Times New Roman" w:hAnsi="Times New Roman" w:cs="Times New Roman"/>
                <w:color w:val="auto"/>
                <w:kern w:val="0"/>
                <w:sz w:val="24"/>
              </w:rPr>
              <w:t>四川鸿鹏新材料有限公司拟投资1000万元，新建“</w:t>
            </w:r>
            <w:r>
              <w:rPr>
                <w:rFonts w:hint="eastAsia" w:cs="Times New Roman"/>
                <w:color w:val="auto"/>
                <w:kern w:val="0"/>
                <w:sz w:val="24"/>
                <w:lang w:eastAsia="zh-CN"/>
              </w:rPr>
              <w:t>四川鸿鹏新材料有限公司生物质气化炉集中供热项目</w:t>
            </w:r>
            <w:r>
              <w:rPr>
                <w:rFonts w:ascii="Times New Roman" w:hAnsi="Times New Roman" w:cs="Times New Roman"/>
                <w:color w:val="auto"/>
                <w:kern w:val="0"/>
                <w:sz w:val="24"/>
              </w:rPr>
              <w:t>”（以下简称“建设项目”），</w:t>
            </w:r>
            <w:r>
              <w:rPr>
                <w:rFonts w:ascii="Times New Roman" w:hAnsi="Times New Roman" w:cs="Times New Roman"/>
                <w:color w:val="auto"/>
                <w:kern w:val="0"/>
                <w:sz w:val="24"/>
                <w:lang w:val="en-US" w:eastAsia="zh-CN"/>
              </w:rPr>
              <w:t>利用厂区内现有空地，</w:t>
            </w:r>
            <w:r>
              <w:rPr>
                <w:rFonts w:ascii="Times New Roman" w:hAnsi="Times New Roman" w:cs="Times New Roman"/>
                <w:color w:val="auto"/>
                <w:kern w:val="0"/>
                <w:sz w:val="24"/>
              </w:rPr>
              <w:t>建设项目占地面积约7000</w:t>
            </w:r>
            <w:r>
              <w:rPr>
                <w:rFonts w:ascii="Times New Roman" w:hAnsi="Times New Roman" w:cs="Times New Roman"/>
                <w:color w:val="auto"/>
                <w:kern w:val="0"/>
                <w:sz w:val="24"/>
                <w:lang w:val="en-US" w:eastAsia="zh-CN"/>
              </w:rPr>
              <w:t>m</w:t>
            </w:r>
            <w:r>
              <w:rPr>
                <w:rFonts w:ascii="Times New Roman" w:hAnsi="Times New Roman" w:cs="Times New Roman"/>
                <w:color w:val="auto"/>
                <w:kern w:val="0"/>
                <w:sz w:val="24"/>
                <w:vertAlign w:val="superscript"/>
                <w:lang w:val="en-US" w:eastAsia="zh-CN"/>
              </w:rPr>
              <w:t>2</w:t>
            </w:r>
            <w:r>
              <w:rPr>
                <w:rFonts w:ascii="Times New Roman" w:hAnsi="Times New Roman" w:cs="Times New Roman"/>
                <w:color w:val="auto"/>
                <w:kern w:val="0"/>
                <w:sz w:val="24"/>
              </w:rPr>
              <w:t>，建筑面积约2500</w:t>
            </w:r>
            <w:r>
              <w:rPr>
                <w:rFonts w:ascii="Times New Roman" w:hAnsi="Times New Roman" w:cs="Times New Roman"/>
                <w:color w:val="auto"/>
                <w:kern w:val="0"/>
                <w:sz w:val="24"/>
                <w:lang w:val="en-US" w:eastAsia="zh-CN"/>
              </w:rPr>
              <w:t>m</w:t>
            </w:r>
            <w:r>
              <w:rPr>
                <w:rFonts w:ascii="Times New Roman" w:hAnsi="Times New Roman" w:cs="Times New Roman"/>
                <w:color w:val="auto"/>
                <w:kern w:val="0"/>
                <w:sz w:val="24"/>
                <w:vertAlign w:val="superscript"/>
                <w:lang w:val="en-US" w:eastAsia="zh-CN"/>
              </w:rPr>
              <w:t>2</w:t>
            </w:r>
            <w:r>
              <w:rPr>
                <w:rFonts w:ascii="Times New Roman" w:hAnsi="Times New Roman" w:cs="Times New Roman"/>
                <w:color w:val="auto"/>
                <w:kern w:val="0"/>
                <w:sz w:val="24"/>
              </w:rPr>
              <w:t>，建设12蒸吨/小时</w:t>
            </w:r>
            <w:r>
              <w:rPr>
                <w:rFonts w:hint="eastAsia" w:cs="Times New Roman"/>
                <w:color w:val="auto"/>
                <w:kern w:val="0"/>
                <w:sz w:val="24"/>
                <w:lang w:eastAsia="zh-CN"/>
              </w:rPr>
              <w:t>生物质燃气锅炉</w:t>
            </w:r>
            <w:r>
              <w:rPr>
                <w:rFonts w:ascii="Times New Roman" w:hAnsi="Times New Roman" w:cs="Times New Roman"/>
                <w:color w:val="auto"/>
                <w:kern w:val="0"/>
                <w:sz w:val="24"/>
              </w:rPr>
              <w:t>一台，</w:t>
            </w:r>
            <w:r>
              <w:rPr>
                <w:rFonts w:hint="eastAsia" w:cs="Times New Roman"/>
                <w:color w:val="auto"/>
                <w:kern w:val="0"/>
                <w:sz w:val="24"/>
                <w:lang w:val="en-US" w:eastAsia="zh-CN"/>
              </w:rPr>
              <w:t>配套</w:t>
            </w:r>
            <w:r>
              <w:rPr>
                <w:rFonts w:ascii="Times New Roman" w:hAnsi="Times New Roman" w:cs="Times New Roman"/>
                <w:color w:val="auto"/>
                <w:kern w:val="0"/>
                <w:sz w:val="24"/>
              </w:rPr>
              <w:t>气化炉1台，锅炉房1间、操作间1间及其配套建筑。</w:t>
            </w:r>
            <w:r>
              <w:rPr>
                <w:rFonts w:hint="eastAsia" w:cs="Times New Roman"/>
                <w:color w:val="auto"/>
                <w:kern w:val="0"/>
                <w:sz w:val="24"/>
                <w:lang w:val="en-US" w:eastAsia="zh-CN"/>
              </w:rPr>
              <w:t>项目建成后，将为四川鸿鹏新材料有限公司和四川屹光新材料制造有限公司（项目东南侧约70m）集中供热。</w:t>
            </w:r>
          </w:p>
          <w:p>
            <w:pPr>
              <w:spacing w:line="360" w:lineRule="auto"/>
              <w:ind w:firstLine="480" w:firstLineChars="200"/>
              <w:rPr>
                <w:rFonts w:ascii="Times New Roman" w:hAnsi="Times New Roman" w:eastAsia="宋体" w:cs="Times New Roman"/>
                <w:color w:val="auto"/>
                <w:kern w:val="0"/>
                <w:sz w:val="24"/>
                <w:szCs w:val="24"/>
                <w:u w:val="none"/>
                <w:lang w:val="en-US" w:eastAsia="zh-CN"/>
              </w:rPr>
            </w:pPr>
            <w:r>
              <w:rPr>
                <w:rFonts w:hint="eastAsia" w:cs="Times New Roman"/>
                <w:color w:val="auto"/>
                <w:kern w:val="0"/>
                <w:sz w:val="24"/>
                <w:szCs w:val="24"/>
                <w:u w:val="none"/>
                <w:lang w:val="en-US" w:eastAsia="zh-CN"/>
              </w:rPr>
              <w:t>②项目建设的必要性和优势：</w:t>
            </w:r>
          </w:p>
          <w:p>
            <w:pPr>
              <w:spacing w:line="360" w:lineRule="auto"/>
              <w:ind w:firstLine="480" w:firstLineChars="200"/>
              <w:rPr>
                <w:rFonts w:hint="eastAsia" w:cs="Times New Roman"/>
                <w:color w:val="auto"/>
                <w:kern w:val="0"/>
                <w:sz w:val="24"/>
                <w:szCs w:val="24"/>
                <w:u w:val="none"/>
                <w:lang w:val="en-US" w:eastAsia="zh-CN"/>
              </w:rPr>
            </w:pPr>
            <w:r>
              <w:rPr>
                <w:rFonts w:hint="eastAsia" w:cs="Times New Roman"/>
                <w:color w:val="auto"/>
                <w:kern w:val="0"/>
                <w:sz w:val="24"/>
                <w:szCs w:val="24"/>
                <w:u w:val="none"/>
                <w:lang w:val="en-US" w:eastAsia="zh-CN"/>
              </w:rPr>
              <w:t>1、集中供热。集中供热作为一种现代化的供热方式，相较于传统的分散供热具有显著的优势。首先，集中供热能够实现能源的高效利用。大型的集中供热系统能够更精确地控制供热过程，减少不必要的热量损失，从而大大提高了能源的利用率。其次，集中供热有助于减少环境污染。传统的分散供热方式常常伴随着大量的烟尘和废气的排放，对环境造成了严重的影响。而集中供热系统则通过先进的环保技术，大大降低了对环境的污染。同时，集中的方式使得废热回收和再利用变得更加便捷，为节能减排做出了重要贡献。再者，集中供热有助于提高供热质量。大型的集中供热系统通常配备有先进的自动控制系统，能够实时监测和调整供热温度，使得用户端的室内温度更加稳定，提高了供热质量。此外，集中供热还能为用户带来诸多便利。一方面，集中供热免去了传统分散供热中用户需要自行维护和修理的麻烦:另一方面，集中供热使得用户在冬季供暖时更加省心，不必担心煤、气等供暖原料的储备问题。</w:t>
            </w:r>
          </w:p>
          <w:p>
            <w:pPr>
              <w:spacing w:line="360" w:lineRule="auto"/>
              <w:ind w:firstLine="480" w:firstLineChars="200"/>
              <w:rPr>
                <w:rFonts w:cs="Times New Roman"/>
                <w:color w:val="auto"/>
                <w:kern w:val="0"/>
                <w:sz w:val="24"/>
                <w:szCs w:val="24"/>
                <w:u w:val="none"/>
                <w:lang w:val="en-US" w:eastAsia="zh-CN"/>
              </w:rPr>
            </w:pPr>
            <w:r>
              <w:rPr>
                <w:rFonts w:hint="eastAsia" w:cs="Times New Roman"/>
                <w:color w:val="auto"/>
                <w:kern w:val="0"/>
                <w:sz w:val="24"/>
                <w:szCs w:val="24"/>
                <w:u w:val="none"/>
                <w:lang w:val="en-US" w:eastAsia="zh-CN"/>
              </w:rPr>
              <w:t>综上所述，集中供热具有能源高效、环保、供热质量高以及使用便利等诸多优点。随着科技的进步和环保意识的提高，集中供热将在未来的供暖领域发挥越来越重要的作用。为了我们共同的绿色家园，选择集中供热，无疑是一个明智之举。</w:t>
            </w:r>
          </w:p>
          <w:p>
            <w:pPr>
              <w:spacing w:line="360" w:lineRule="auto"/>
              <w:ind w:firstLine="480" w:firstLineChars="200"/>
              <w:rPr>
                <w:rFonts w:ascii="Times New Roman" w:hAnsi="Times New Roman" w:eastAsia="宋体" w:cs="Times New Roman"/>
                <w:color w:val="auto"/>
                <w:kern w:val="0"/>
                <w:sz w:val="24"/>
                <w:szCs w:val="24"/>
                <w:u w:val="none"/>
                <w:lang w:val="en-US" w:eastAsia="zh-CN"/>
              </w:rPr>
            </w:pPr>
            <w:r>
              <w:rPr>
                <w:rFonts w:hint="eastAsia" w:cs="Times New Roman"/>
                <w:color w:val="auto"/>
                <w:kern w:val="0"/>
                <w:sz w:val="24"/>
                <w:szCs w:val="24"/>
                <w:u w:val="none"/>
                <w:lang w:val="en-US" w:eastAsia="zh-CN"/>
              </w:rPr>
              <w:t>2、能源替代。项目将对两个厂区集中供热。项目建成后，将替代四川鸿鹏新材料有限公司现有1台3t/h、1台6t/h的燃气锅炉和四川屹光新材料制造有限公司的1台10t/h的燃气锅炉。</w:t>
            </w:r>
            <w:r>
              <w:rPr>
                <w:rFonts w:ascii="Times New Roman" w:hAnsi="Times New Roman" w:cs="Times New Roman"/>
                <w:color w:val="auto"/>
                <w:kern w:val="0"/>
                <w:sz w:val="24"/>
                <w:szCs w:val="24"/>
                <w:u w:val="none"/>
              </w:rPr>
              <w:t>四川鸿鹏新材料有限公司节能约</w:t>
            </w:r>
            <w:r>
              <w:rPr>
                <w:rFonts w:hint="eastAsia" w:cs="Times New Roman"/>
                <w:color w:val="auto"/>
                <w:kern w:val="0"/>
                <w:sz w:val="24"/>
                <w:szCs w:val="24"/>
                <w:u w:val="none"/>
                <w:lang w:val="en-US" w:eastAsia="zh-CN"/>
              </w:rPr>
              <w:t>240万立方天然气</w:t>
            </w:r>
            <w:r>
              <w:rPr>
                <w:rFonts w:ascii="Times New Roman" w:hAnsi="Times New Roman" w:cs="Times New Roman"/>
                <w:color w:val="auto"/>
                <w:kern w:val="0"/>
                <w:sz w:val="24"/>
                <w:szCs w:val="24"/>
                <w:u w:val="none"/>
              </w:rPr>
              <w:t>；四川屹光新材料制造有限公司节能约</w:t>
            </w:r>
            <w:r>
              <w:rPr>
                <w:rFonts w:hint="eastAsia" w:cs="Times New Roman"/>
                <w:color w:val="auto"/>
                <w:kern w:val="0"/>
                <w:sz w:val="24"/>
                <w:szCs w:val="24"/>
                <w:u w:val="none"/>
                <w:lang w:val="en-US" w:eastAsia="zh-CN"/>
              </w:rPr>
              <w:t>267万立方天然气。（注：根据GBT2589-2020综合能耗计算通则，生物质不纳入能耗考核，项目实施后，节能明显。）</w:t>
            </w:r>
          </w:p>
          <w:p>
            <w:pPr>
              <w:spacing w:line="360" w:lineRule="auto"/>
              <w:ind w:firstLine="480" w:firstLineChars="200"/>
              <w:rPr>
                <w:rFonts w:ascii="Times New Roman" w:hAnsi="Times New Roman" w:cs="Times New Roman"/>
                <w:color w:val="auto"/>
                <w:kern w:val="0"/>
                <w:sz w:val="24"/>
                <w:szCs w:val="24"/>
                <w:u w:val="none"/>
              </w:rPr>
            </w:pPr>
            <w:r>
              <w:rPr>
                <w:rFonts w:hint="eastAsia" w:cs="Times New Roman"/>
                <w:color w:val="auto"/>
                <w:kern w:val="0"/>
                <w:sz w:val="24"/>
                <w:szCs w:val="24"/>
                <w:u w:val="none"/>
                <w:lang w:val="en-US" w:eastAsia="zh-CN"/>
              </w:rPr>
              <w:t>3、成本减少。</w:t>
            </w:r>
            <w:r>
              <w:rPr>
                <w:rFonts w:ascii="Times New Roman" w:hAnsi="Times New Roman" w:cs="Times New Roman"/>
                <w:color w:val="auto"/>
                <w:kern w:val="0"/>
                <w:sz w:val="24"/>
                <w:szCs w:val="24"/>
                <w:u w:val="none"/>
              </w:rPr>
              <w:t>项目实施后，四川鸿鹏新材料有限公司节能约2950吨标准煤/年，节约成本约486万元/年；四川屹光新材料制造有限公司节能约3280吨标准煤/年，节约成本约540万元/年。</w:t>
            </w:r>
          </w:p>
          <w:p>
            <w:pPr>
              <w:spacing w:line="360" w:lineRule="auto"/>
              <w:ind w:firstLine="480" w:firstLineChars="200"/>
              <w:rPr>
                <w:rFonts w:hint="eastAsia" w:cs="Times New Roman"/>
                <w:color w:val="auto"/>
                <w:sz w:val="24"/>
                <w:szCs w:val="24"/>
                <w:u w:val="single"/>
                <w:lang w:val="en-US" w:eastAsia="zh-CN"/>
              </w:rPr>
            </w:pPr>
            <w:r>
              <w:rPr>
                <w:rFonts w:hint="eastAsia" w:cs="Times New Roman"/>
                <w:color w:val="auto"/>
                <w:kern w:val="0"/>
                <w:sz w:val="24"/>
                <w:szCs w:val="24"/>
                <w:u w:val="none"/>
                <w:lang w:val="en-US" w:eastAsia="zh-CN"/>
              </w:rPr>
              <w:t>4、排污总量减少。</w:t>
            </w:r>
            <w:r>
              <w:rPr>
                <w:rFonts w:ascii="Times New Roman" w:hAnsi="Times New Roman" w:cs="Times New Roman"/>
                <w:color w:val="auto"/>
                <w:kern w:val="0"/>
                <w:sz w:val="24"/>
                <w:szCs w:val="24"/>
                <w:u w:val="none"/>
              </w:rPr>
              <w:t>项目实施后，四川鸿鹏新材料有限公司</w:t>
            </w:r>
            <w:r>
              <w:rPr>
                <w:rFonts w:hint="eastAsia" w:cs="Times New Roman"/>
                <w:color w:val="auto"/>
                <w:sz w:val="24"/>
                <w:szCs w:val="24"/>
                <w:u w:val="none"/>
                <w:lang w:val="en-US" w:eastAsia="zh-CN"/>
              </w:rPr>
              <w:t>氮氧化物总量排放将减少0.034t/a，二氧化硫总量排放减少0.008t/a，颗粒物排放量将减少0.005t/a。</w:t>
            </w:r>
          </w:p>
          <w:p>
            <w:pPr>
              <w:spacing w:line="360" w:lineRule="auto"/>
              <w:ind w:firstLine="480" w:firstLineChars="200"/>
              <w:rPr>
                <w:rFonts w:ascii="Times New Roman" w:hAnsi="Times New Roman" w:eastAsia="宋体" w:cs="Times New Roman"/>
                <w:color w:val="auto"/>
                <w:kern w:val="0"/>
                <w:sz w:val="24"/>
                <w:szCs w:val="24"/>
                <w:u w:val="none"/>
                <w:lang w:val="en-US" w:eastAsia="zh-CN"/>
              </w:rPr>
            </w:pPr>
            <w:r>
              <w:rPr>
                <w:rFonts w:hint="eastAsia" w:cs="Times New Roman"/>
                <w:color w:val="auto"/>
                <w:sz w:val="24"/>
                <w:szCs w:val="24"/>
                <w:u w:val="none"/>
                <w:lang w:val="en-US" w:eastAsia="zh-CN"/>
              </w:rPr>
              <w:t>5、根据设计单位提供资料，四川鸿鹏新材料有限公司年使用蒸汽量约为37000t/a，</w:t>
            </w:r>
            <w:r>
              <w:rPr>
                <w:rFonts w:ascii="Times New Roman" w:hAnsi="Times New Roman" w:cs="Times New Roman"/>
                <w:color w:val="auto"/>
                <w:kern w:val="0"/>
                <w:sz w:val="24"/>
                <w:szCs w:val="24"/>
                <w:u w:val="none"/>
              </w:rPr>
              <w:t>四川屹光新材料制造有限公司</w:t>
            </w:r>
            <w:r>
              <w:rPr>
                <w:rFonts w:hint="eastAsia" w:cs="Times New Roman"/>
                <w:color w:val="auto"/>
                <w:sz w:val="24"/>
                <w:szCs w:val="24"/>
                <w:u w:val="none"/>
                <w:lang w:val="en-US" w:eastAsia="zh-CN"/>
              </w:rPr>
              <w:t>年使用蒸汽量约为40000t/a，本项目建成后，年产蒸汽量为9.504万t/a</w:t>
            </w:r>
            <w:r>
              <w:rPr>
                <w:rFonts w:ascii="Times New Roman" w:hAnsi="Times New Roman" w:cs="Times New Roman"/>
                <w:color w:val="auto"/>
                <w:kern w:val="0"/>
                <w:sz w:val="24"/>
                <w:szCs w:val="24"/>
                <w:u w:val="none"/>
              </w:rPr>
              <w:t>。</w:t>
            </w:r>
            <w:r>
              <w:rPr>
                <w:rFonts w:hint="eastAsia" w:cs="Times New Roman"/>
                <w:color w:val="auto"/>
                <w:kern w:val="0"/>
                <w:sz w:val="24"/>
                <w:szCs w:val="24"/>
                <w:u w:val="none"/>
                <w:lang w:val="en-US" w:eastAsia="zh-CN"/>
              </w:rPr>
              <w:t>完全能满足两公司的蒸汽使用要求。</w:t>
            </w:r>
          </w:p>
          <w:p>
            <w:pPr>
              <w:spacing w:line="360" w:lineRule="auto"/>
              <w:ind w:firstLine="480" w:firstLineChars="200"/>
              <w:rPr>
                <w:rFonts w:ascii="Times New Roman" w:hAnsi="Times New Roman" w:cs="Times New Roman"/>
                <w:color w:val="auto"/>
                <w:sz w:val="24"/>
              </w:rPr>
            </w:pPr>
            <w:r>
              <w:rPr>
                <w:rFonts w:hint="eastAsia" w:cs="Times New Roman"/>
                <w:color w:val="auto"/>
                <w:sz w:val="24"/>
                <w:lang w:val="en-US" w:eastAsia="zh-CN"/>
              </w:rPr>
              <w:t>③</w:t>
            </w:r>
            <w:r>
              <w:rPr>
                <w:rFonts w:ascii="Times New Roman" w:hAnsi="Times New Roman" w:cs="Times New Roman"/>
                <w:color w:val="auto"/>
                <w:sz w:val="24"/>
              </w:rPr>
              <w:t>基本情况</w:t>
            </w:r>
          </w:p>
          <w:p>
            <w:pPr>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cs="Times New Roman"/>
                <w:color w:val="auto"/>
                <w:sz w:val="24"/>
              </w:rPr>
              <w:t>项目名称：</w:t>
            </w:r>
            <w:r>
              <w:rPr>
                <w:rFonts w:hint="eastAsia" w:cs="Times New Roman"/>
                <w:color w:val="auto"/>
                <w:kern w:val="0"/>
                <w:sz w:val="24"/>
                <w:lang w:eastAsia="zh-CN"/>
              </w:rPr>
              <w:t>四川鸿鹏新材料有限公司生物质气化炉集中供热项目</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建设性质：</w:t>
            </w:r>
            <w:r>
              <w:rPr>
                <w:rFonts w:hint="eastAsia" w:cs="Times New Roman"/>
                <w:color w:val="auto"/>
                <w:sz w:val="24"/>
                <w:lang w:val="en-US" w:eastAsia="zh-CN"/>
              </w:rPr>
              <w:t>新建</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建设单位：</w:t>
            </w:r>
            <w:r>
              <w:rPr>
                <w:rFonts w:ascii="Times New Roman" w:hAnsi="Times New Roman" w:cs="Times New Roman"/>
                <w:color w:val="auto"/>
                <w:sz w:val="24"/>
                <w:lang w:eastAsia="zh-CN"/>
              </w:rPr>
              <w:t>四川鸿鹏新材料有限公司</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建设地点：</w:t>
            </w:r>
            <w:r>
              <w:rPr>
                <w:rFonts w:ascii="Times New Roman" w:hAnsi="Times New Roman" w:cs="Times New Roman"/>
                <w:color w:val="auto"/>
                <w:sz w:val="24"/>
                <w:lang w:eastAsia="zh-CN"/>
              </w:rPr>
              <w:t>四川省遂宁市大英县隆盛镇席家沟村</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项目投资：本项目总投资</w:t>
            </w:r>
            <w:r>
              <w:rPr>
                <w:rFonts w:ascii="Times New Roman" w:hAnsi="Times New Roman" w:cs="Times New Roman"/>
                <w:color w:val="auto"/>
                <w:sz w:val="24"/>
                <w:lang w:val="en-US" w:eastAsia="zh-CN"/>
              </w:rPr>
              <w:t>1</w:t>
            </w:r>
            <w:r>
              <w:rPr>
                <w:rFonts w:ascii="Times New Roman" w:hAnsi="Times New Roman" w:cs="Times New Roman"/>
                <w:color w:val="auto"/>
                <w:sz w:val="24"/>
              </w:rPr>
              <w:t>000万元，环保投资总投资为</w:t>
            </w:r>
            <w:r>
              <w:rPr>
                <w:rFonts w:hint="eastAsia" w:cs="Times New Roman"/>
                <w:color w:val="auto"/>
                <w:sz w:val="24"/>
                <w:lang w:val="en-US" w:eastAsia="zh-CN"/>
              </w:rPr>
              <w:t>200</w:t>
            </w:r>
            <w:r>
              <w:rPr>
                <w:rFonts w:ascii="Times New Roman" w:hAnsi="Times New Roman" w:cs="Times New Roman"/>
                <w:color w:val="auto"/>
                <w:sz w:val="24"/>
              </w:rPr>
              <w:t>万元，环保投资占总投资比例为</w:t>
            </w:r>
            <w:r>
              <w:rPr>
                <w:rFonts w:hint="eastAsia" w:cs="Times New Roman"/>
                <w:color w:val="auto"/>
                <w:sz w:val="24"/>
                <w:lang w:val="en-US" w:eastAsia="zh-CN"/>
              </w:rPr>
              <w:t>20</w:t>
            </w:r>
            <w:r>
              <w:rPr>
                <w:rFonts w:ascii="Times New Roman" w:hAnsi="Times New Roman" w:cs="Times New Roman"/>
                <w:color w:val="auto"/>
                <w:sz w:val="24"/>
              </w:rPr>
              <w:t>%。</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2、建设内容及生产规模</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fldChar w:fldCharType="begin"/>
            </w:r>
            <w:r>
              <w:rPr>
                <w:rFonts w:ascii="Times New Roman" w:hAnsi="Times New Roman" w:cs="Times New Roman"/>
                <w:bCs/>
                <w:color w:val="auto"/>
                <w:sz w:val="24"/>
              </w:rPr>
              <w:instrText xml:space="preserve"> = 1 \* GB3 </w:instrText>
            </w:r>
            <w:r>
              <w:rPr>
                <w:rFonts w:ascii="Times New Roman" w:hAnsi="Times New Roman" w:cs="Times New Roman"/>
                <w:bCs/>
                <w:color w:val="auto"/>
                <w:sz w:val="24"/>
              </w:rPr>
              <w:fldChar w:fldCharType="separate"/>
            </w:r>
            <w:r>
              <w:rPr>
                <w:rFonts w:ascii="Times New Roman" w:hAnsi="Times New Roman" w:cs="Times New Roman"/>
                <w:bCs/>
                <w:color w:val="auto"/>
                <w:sz w:val="24"/>
              </w:rPr>
              <w:t>①</w:t>
            </w:r>
            <w:r>
              <w:rPr>
                <w:rFonts w:ascii="Times New Roman" w:hAnsi="Times New Roman" w:cs="Times New Roman"/>
                <w:bCs/>
                <w:color w:val="auto"/>
                <w:sz w:val="24"/>
              </w:rPr>
              <w:fldChar w:fldCharType="end"/>
            </w:r>
            <w:r>
              <w:rPr>
                <w:rFonts w:ascii="Times New Roman" w:hAnsi="Times New Roman" w:cs="Times New Roman"/>
                <w:bCs/>
                <w:color w:val="auto"/>
                <w:sz w:val="24"/>
              </w:rPr>
              <w:t>建设内容</w:t>
            </w:r>
          </w:p>
          <w:p>
            <w:pPr>
              <w:pStyle w:val="4"/>
              <w:spacing w:before="0" w:after="0" w:line="360" w:lineRule="auto"/>
              <w:jc w:val="left"/>
              <w:rPr>
                <w:rFonts w:ascii="Times New Roman" w:hAnsi="Times New Roman" w:eastAsia="宋体" w:cs="Times New Roman"/>
                <w:b w:val="0"/>
                <w:bCs w:val="0"/>
                <w:color w:val="auto"/>
                <w:sz w:val="24"/>
                <w:szCs w:val="24"/>
              </w:rPr>
            </w:pPr>
            <w:bookmarkStart w:id="4" w:name="_Toc14654"/>
            <w:r>
              <w:rPr>
                <w:rFonts w:ascii="Times New Roman" w:hAnsi="Times New Roman" w:eastAsia="宋体" w:cs="Times New Roman"/>
                <w:b w:val="0"/>
                <w:bCs w:val="0"/>
                <w:color w:val="auto"/>
                <w:kern w:val="0"/>
                <w:sz w:val="24"/>
                <w:szCs w:val="24"/>
              </w:rPr>
              <w:t>项目占地面积约7000平方米，建筑面积约2500平方米，建设</w:t>
            </w:r>
            <w:r>
              <w:rPr>
                <w:rFonts w:hint="eastAsia" w:ascii="Times New Roman" w:hAnsi="Times New Roman" w:eastAsia="宋体" w:cs="Times New Roman"/>
                <w:b w:val="0"/>
                <w:bCs w:val="0"/>
                <w:color w:val="auto"/>
                <w:kern w:val="0"/>
                <w:sz w:val="24"/>
                <w:szCs w:val="24"/>
                <w:lang w:val="en-US" w:eastAsia="zh-CN"/>
              </w:rPr>
              <w:t>12t/h</w:t>
            </w:r>
            <w:r>
              <w:rPr>
                <w:rFonts w:ascii="Times New Roman" w:hAnsi="Times New Roman" w:eastAsia="宋体" w:cs="Times New Roman"/>
                <w:b w:val="0"/>
                <w:bCs w:val="0"/>
                <w:color w:val="auto"/>
                <w:kern w:val="0"/>
                <w:sz w:val="24"/>
                <w:szCs w:val="24"/>
              </w:rPr>
              <w:t>生物质燃气锅炉</w:t>
            </w:r>
            <w:r>
              <w:rPr>
                <w:rFonts w:hint="eastAsia" w:ascii="Times New Roman" w:hAnsi="Times New Roman" w:eastAsia="宋体" w:cs="Times New Roman"/>
                <w:b w:val="0"/>
                <w:bCs w:val="0"/>
                <w:color w:val="auto"/>
                <w:kern w:val="0"/>
                <w:sz w:val="24"/>
                <w:szCs w:val="24"/>
                <w:lang w:val="en-US" w:eastAsia="zh-CN"/>
              </w:rPr>
              <w:t>1</w:t>
            </w:r>
            <w:r>
              <w:rPr>
                <w:rFonts w:ascii="Times New Roman" w:hAnsi="Times New Roman" w:eastAsia="宋体" w:cs="Times New Roman"/>
                <w:b w:val="0"/>
                <w:bCs w:val="0"/>
                <w:color w:val="auto"/>
                <w:kern w:val="0"/>
                <w:sz w:val="24"/>
                <w:szCs w:val="24"/>
              </w:rPr>
              <w:t>台，</w:t>
            </w:r>
            <w:r>
              <w:rPr>
                <w:rFonts w:hint="eastAsia" w:ascii="Times New Roman" w:hAnsi="Times New Roman" w:eastAsia="宋体" w:cs="Times New Roman"/>
                <w:b w:val="0"/>
                <w:bCs w:val="0"/>
                <w:color w:val="auto"/>
                <w:kern w:val="0"/>
                <w:sz w:val="24"/>
                <w:szCs w:val="24"/>
                <w:lang w:val="en-US" w:eastAsia="zh-CN"/>
              </w:rPr>
              <w:t>配套</w:t>
            </w:r>
            <w:r>
              <w:rPr>
                <w:rFonts w:ascii="Times New Roman" w:hAnsi="Times New Roman" w:eastAsia="宋体" w:cs="Times New Roman"/>
                <w:b w:val="0"/>
                <w:bCs w:val="0"/>
                <w:color w:val="auto"/>
                <w:kern w:val="0"/>
                <w:sz w:val="24"/>
                <w:szCs w:val="24"/>
              </w:rPr>
              <w:t>汽化炉1台，锅炉房1间、操作间1间及其他配套建筑</w:t>
            </w:r>
            <w:r>
              <w:rPr>
                <w:rFonts w:ascii="Times New Roman" w:hAnsi="Times New Roman" w:eastAsia="宋体" w:cs="Times New Roman"/>
                <w:b w:val="0"/>
                <w:bCs w:val="0"/>
                <w:color w:val="auto"/>
                <w:kern w:val="0"/>
                <w:sz w:val="24"/>
                <w:szCs w:val="24"/>
                <w:lang w:eastAsia="zh-CN"/>
              </w:rPr>
              <w:t>。</w:t>
            </w:r>
            <w:r>
              <w:rPr>
                <w:rFonts w:ascii="Times New Roman" w:hAnsi="Times New Roman" w:eastAsia="宋体" w:cs="Times New Roman"/>
                <w:b w:val="0"/>
                <w:bCs w:val="0"/>
                <w:color w:val="auto"/>
                <w:kern w:val="0"/>
                <w:sz w:val="24"/>
                <w:szCs w:val="24"/>
              </w:rPr>
              <w:t>主要通过热网系统向四川鸿鹏新材料有限公司</w:t>
            </w:r>
            <w:r>
              <w:rPr>
                <w:rFonts w:hint="eastAsia" w:ascii="Times New Roman" w:hAnsi="Times New Roman" w:eastAsia="宋体" w:cs="Times New Roman"/>
                <w:b w:val="0"/>
                <w:bCs w:val="0"/>
                <w:color w:val="auto"/>
                <w:kern w:val="0"/>
                <w:sz w:val="24"/>
                <w:szCs w:val="24"/>
                <w:lang w:val="en-US" w:eastAsia="zh-CN"/>
              </w:rPr>
              <w:t>和四川屹光新材料制造有限公司</w:t>
            </w:r>
            <w:r>
              <w:rPr>
                <w:rFonts w:ascii="Times New Roman" w:hAnsi="Times New Roman" w:eastAsia="宋体" w:cs="Times New Roman"/>
                <w:b w:val="0"/>
                <w:bCs w:val="0"/>
                <w:color w:val="auto"/>
                <w:kern w:val="0"/>
                <w:sz w:val="24"/>
                <w:szCs w:val="24"/>
              </w:rPr>
              <w:t>进行能源供应。</w:t>
            </w:r>
            <w:bookmarkEnd w:id="4"/>
          </w:p>
          <w:p>
            <w:pPr>
              <w:pStyle w:val="2"/>
              <w:ind w:firstLine="480" w:firstLineChars="200"/>
              <w:rPr>
                <w:rFonts w:ascii="Times New Roman" w:hAnsi="Times New Roman" w:cs="Times New Roman"/>
                <w:bCs/>
                <w:color w:val="auto"/>
                <w:sz w:val="24"/>
              </w:rPr>
            </w:pPr>
            <w:r>
              <w:rPr>
                <w:rFonts w:ascii="Times New Roman" w:hAnsi="Times New Roman" w:cs="Times New Roman"/>
                <w:bCs/>
                <w:color w:val="auto"/>
                <w:sz w:val="24"/>
              </w:rPr>
              <w:fldChar w:fldCharType="begin"/>
            </w:r>
            <w:r>
              <w:rPr>
                <w:rFonts w:ascii="Times New Roman" w:hAnsi="Times New Roman" w:cs="Times New Roman"/>
                <w:bCs/>
                <w:color w:val="auto"/>
                <w:sz w:val="24"/>
              </w:rPr>
              <w:instrText xml:space="preserve"> = 2 \* GB3 </w:instrText>
            </w:r>
            <w:r>
              <w:rPr>
                <w:rFonts w:ascii="Times New Roman" w:hAnsi="Times New Roman" w:cs="Times New Roman"/>
                <w:bCs/>
                <w:color w:val="auto"/>
                <w:sz w:val="24"/>
              </w:rPr>
              <w:fldChar w:fldCharType="separate"/>
            </w:r>
            <w:r>
              <w:rPr>
                <w:rFonts w:ascii="Times New Roman" w:hAnsi="Times New Roman" w:cs="Times New Roman"/>
                <w:bCs/>
                <w:color w:val="auto"/>
                <w:sz w:val="24"/>
              </w:rPr>
              <w:t>②</w:t>
            </w:r>
            <w:r>
              <w:rPr>
                <w:rFonts w:ascii="Times New Roman" w:hAnsi="Times New Roman" w:cs="Times New Roman"/>
                <w:bCs/>
                <w:color w:val="auto"/>
                <w:sz w:val="24"/>
              </w:rPr>
              <w:fldChar w:fldCharType="end"/>
            </w:r>
            <w:r>
              <w:rPr>
                <w:rFonts w:ascii="Times New Roman" w:hAnsi="Times New Roman" w:cs="Times New Roman"/>
                <w:bCs/>
                <w:color w:val="auto"/>
                <w:sz w:val="24"/>
              </w:rPr>
              <w:t>产品方案</w:t>
            </w:r>
          </w:p>
          <w:p>
            <w:pPr>
              <w:pStyle w:val="20"/>
              <w:adjustRightInd w:val="0"/>
              <w:snapToGrid w:val="0"/>
              <w:spacing w:after="0" w:line="360" w:lineRule="auto"/>
              <w:ind w:firstLine="480" w:firstLineChars="200"/>
              <w:rPr>
                <w:rFonts w:ascii="Times New Roman" w:hAnsi="Times New Roman" w:eastAsia="宋体" w:cs="Times New Roman"/>
                <w:color w:val="auto"/>
                <w:sz w:val="24"/>
                <w:lang w:val="en-US" w:eastAsia="zh-CN"/>
              </w:rPr>
            </w:pPr>
            <w:r>
              <w:rPr>
                <w:rFonts w:ascii="Times New Roman" w:hAnsi="Times New Roman" w:cs="Times New Roman"/>
                <w:color w:val="auto"/>
                <w:sz w:val="24"/>
              </w:rPr>
              <w:t>本项目锅炉生产蒸汽压为</w:t>
            </w:r>
            <w:r>
              <w:rPr>
                <w:rFonts w:ascii="Times New Roman" w:hAnsi="Times New Roman" w:cs="Times New Roman"/>
                <w:color w:val="auto"/>
                <w:sz w:val="24"/>
                <w:lang w:val="en-US" w:eastAsia="zh-CN"/>
              </w:rPr>
              <w:t>2.4</w:t>
            </w:r>
            <w:r>
              <w:rPr>
                <w:rFonts w:hint="eastAsia" w:cs="Times New Roman"/>
                <w:color w:val="auto"/>
                <w:sz w:val="24"/>
                <w:lang w:val="en-US" w:eastAsia="zh-CN"/>
              </w:rPr>
              <w:t>5</w:t>
            </w:r>
            <w:r>
              <w:rPr>
                <w:rFonts w:ascii="Times New Roman" w:hAnsi="Times New Roman" w:cs="Times New Roman"/>
                <w:color w:val="auto"/>
                <w:sz w:val="24"/>
              </w:rPr>
              <w:t>MPa、2</w:t>
            </w:r>
            <w:r>
              <w:rPr>
                <w:rFonts w:ascii="Times New Roman" w:hAnsi="Times New Roman" w:cs="Times New Roman"/>
                <w:color w:val="auto"/>
                <w:sz w:val="24"/>
                <w:lang w:val="en-US" w:eastAsia="zh-CN"/>
              </w:rPr>
              <w:t>2</w:t>
            </w:r>
            <w:r>
              <w:rPr>
                <w:rFonts w:hint="eastAsia" w:cs="Times New Roman"/>
                <w:color w:val="auto"/>
                <w:sz w:val="24"/>
                <w:lang w:val="en-US" w:eastAsia="zh-CN"/>
              </w:rPr>
              <w:t>4</w:t>
            </w:r>
            <w:r>
              <w:rPr>
                <w:rFonts w:ascii="Times New Roman" w:hAnsi="Times New Roman" w:cs="Times New Roman"/>
                <w:color w:val="auto"/>
                <w:sz w:val="24"/>
              </w:rPr>
              <w:t>℃饱和蒸汽，产量为1</w:t>
            </w:r>
            <w:r>
              <w:rPr>
                <w:rFonts w:ascii="Times New Roman" w:hAnsi="Times New Roman" w:cs="Times New Roman"/>
                <w:color w:val="auto"/>
                <w:sz w:val="24"/>
                <w:lang w:val="en-US" w:eastAsia="zh-CN"/>
              </w:rPr>
              <w:t>2</w:t>
            </w:r>
            <w:r>
              <w:rPr>
                <w:rFonts w:ascii="Times New Roman" w:hAnsi="Times New Roman" w:cs="Times New Roman"/>
                <w:color w:val="auto"/>
                <w:sz w:val="24"/>
              </w:rPr>
              <w:t>t/h，年运行时间为3</w:t>
            </w:r>
            <w:r>
              <w:rPr>
                <w:rFonts w:ascii="Times New Roman" w:hAnsi="Times New Roman" w:cs="Times New Roman"/>
                <w:color w:val="auto"/>
                <w:sz w:val="24"/>
                <w:lang w:val="en-US" w:eastAsia="zh-CN"/>
              </w:rPr>
              <w:t>30</w:t>
            </w:r>
            <w:r>
              <w:rPr>
                <w:rFonts w:ascii="Times New Roman" w:hAnsi="Times New Roman" w:cs="Times New Roman"/>
                <w:color w:val="auto"/>
                <w:sz w:val="24"/>
              </w:rPr>
              <w:t>天，年产蒸汽量为</w:t>
            </w:r>
            <w:r>
              <w:rPr>
                <w:rFonts w:ascii="Times New Roman" w:hAnsi="Times New Roman" w:cs="Times New Roman"/>
                <w:color w:val="auto"/>
                <w:sz w:val="24"/>
                <w:lang w:val="en-US" w:eastAsia="zh-CN"/>
              </w:rPr>
              <w:t>9</w:t>
            </w:r>
            <w:r>
              <w:rPr>
                <w:rFonts w:hint="eastAsia" w:cs="Times New Roman"/>
                <w:color w:val="auto"/>
                <w:sz w:val="24"/>
                <w:lang w:val="en-US" w:eastAsia="zh-CN"/>
              </w:rPr>
              <w:t>.</w:t>
            </w:r>
            <w:r>
              <w:rPr>
                <w:rFonts w:ascii="Times New Roman" w:hAnsi="Times New Roman" w:cs="Times New Roman"/>
                <w:color w:val="auto"/>
                <w:sz w:val="24"/>
                <w:lang w:val="en-US" w:eastAsia="zh-CN"/>
              </w:rPr>
              <w:t>504</w:t>
            </w:r>
            <w:r>
              <w:rPr>
                <w:rFonts w:ascii="Times New Roman" w:hAnsi="Times New Roman" w:cs="Times New Roman"/>
                <w:color w:val="auto"/>
                <w:sz w:val="24"/>
              </w:rPr>
              <w:t>万t/a。</w:t>
            </w:r>
          </w:p>
          <w:p>
            <w:pPr>
              <w:pStyle w:val="20"/>
              <w:adjustRightInd w:val="0"/>
              <w:snapToGrid w:val="0"/>
              <w:spacing w:after="0"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项目供热规模合理性（本项目仅供</w:t>
            </w:r>
            <w:r>
              <w:rPr>
                <w:rFonts w:ascii="Times New Roman" w:hAnsi="Times New Roman" w:cs="Times New Roman"/>
                <w:b/>
                <w:bCs/>
                <w:color w:val="auto"/>
                <w:sz w:val="24"/>
                <w:lang w:eastAsia="zh-CN"/>
              </w:rPr>
              <w:t>四川鸿鹏新材料有限公司和四川屹光新材料制造有限公司</w:t>
            </w:r>
            <w:r>
              <w:rPr>
                <w:rFonts w:ascii="Times New Roman" w:hAnsi="Times New Roman" w:cs="Times New Roman"/>
                <w:b/>
                <w:bCs/>
                <w:color w:val="auto"/>
                <w:sz w:val="24"/>
              </w:rPr>
              <w:t>使用）：</w:t>
            </w:r>
          </w:p>
          <w:p>
            <w:pPr>
              <w:pStyle w:val="20"/>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表2-1 企业蒸汽需求情况统计表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807"/>
              <w:gridCol w:w="1396"/>
              <w:gridCol w:w="1397"/>
              <w:gridCol w:w="1397"/>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b/>
                      <w:bCs/>
                      <w:color w:val="auto"/>
                      <w:szCs w:val="21"/>
                    </w:rPr>
                    <w:t>序号</w:t>
                  </w:r>
                </w:p>
              </w:tc>
              <w:tc>
                <w:tcPr>
                  <w:tcW w:w="1807"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b/>
                      <w:bCs/>
                      <w:color w:val="auto"/>
                      <w:szCs w:val="21"/>
                    </w:rPr>
                    <w:t>企业名称</w:t>
                  </w:r>
                </w:p>
              </w:tc>
              <w:tc>
                <w:tcPr>
                  <w:tcW w:w="1396"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b/>
                      <w:bCs/>
                      <w:color w:val="auto"/>
                      <w:szCs w:val="21"/>
                    </w:rPr>
                    <w:t>最大蒸汽需求量</w:t>
                  </w:r>
                </w:p>
              </w:tc>
              <w:tc>
                <w:tcPr>
                  <w:tcW w:w="1397"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b/>
                      <w:bCs/>
                      <w:color w:val="auto"/>
                      <w:szCs w:val="21"/>
                    </w:rPr>
                    <w:t>蒸汽压力</w:t>
                  </w:r>
                </w:p>
              </w:tc>
              <w:tc>
                <w:tcPr>
                  <w:tcW w:w="1397" w:type="dxa"/>
                  <w:tcBorders>
                    <w:top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b/>
                      <w:bCs/>
                      <w:color w:val="auto"/>
                      <w:szCs w:val="21"/>
                    </w:rPr>
                    <w:t>蒸汽温度</w:t>
                  </w:r>
                </w:p>
              </w:tc>
              <w:tc>
                <w:tcPr>
                  <w:tcW w:w="1397" w:type="dxa"/>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Borders>
                    <w:lef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color w:val="auto"/>
                      <w:szCs w:val="21"/>
                    </w:rPr>
                    <w:t>1</w:t>
                  </w:r>
                </w:p>
              </w:tc>
              <w:tc>
                <w:tcPr>
                  <w:tcW w:w="18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color w:val="auto"/>
                      <w:szCs w:val="21"/>
                    </w:rPr>
                    <w:t>四川鸿鹏新材料有限公司</w:t>
                  </w:r>
                </w:p>
              </w:tc>
              <w:tc>
                <w:tcPr>
                  <w:tcW w:w="139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color w:val="auto"/>
                      <w:szCs w:val="21"/>
                    </w:rPr>
                    <w:t>37000t/a</w:t>
                  </w:r>
                </w:p>
              </w:tc>
              <w:tc>
                <w:tcPr>
                  <w:tcW w:w="139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color w:val="auto"/>
                      <w:szCs w:val="21"/>
                      <w:lang w:val="en-US" w:eastAsia="zh-CN"/>
                    </w:rPr>
                    <w:t>2.4</w:t>
                  </w:r>
                  <w:r>
                    <w:rPr>
                      <w:rFonts w:hint="eastAsia" w:cs="Times New Roman"/>
                      <w:color w:val="auto"/>
                      <w:szCs w:val="21"/>
                      <w:lang w:val="en-US" w:eastAsia="zh-CN"/>
                    </w:rPr>
                    <w:t>5</w:t>
                  </w:r>
                  <w:r>
                    <w:rPr>
                      <w:rFonts w:ascii="Times New Roman" w:hAnsi="Times New Roman" w:cs="Times New Roman"/>
                      <w:color w:val="auto"/>
                      <w:szCs w:val="21"/>
                    </w:rPr>
                    <w:t>MPa</w:t>
                  </w:r>
                </w:p>
              </w:tc>
              <w:tc>
                <w:tcPr>
                  <w:tcW w:w="139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color w:val="auto"/>
                      <w:szCs w:val="21"/>
                    </w:rPr>
                    <w:t>2</w:t>
                  </w:r>
                  <w:r>
                    <w:rPr>
                      <w:rFonts w:hint="eastAsia" w:cs="Times New Roman"/>
                      <w:color w:val="auto"/>
                      <w:szCs w:val="21"/>
                      <w:lang w:val="en-US" w:eastAsia="zh-CN"/>
                    </w:rPr>
                    <w:t>24</w:t>
                  </w:r>
                  <w:r>
                    <w:rPr>
                      <w:rFonts w:ascii="Times New Roman" w:hAnsi="Times New Roman" w:cs="Times New Roman"/>
                      <w:color w:val="auto"/>
                      <w:szCs w:val="21"/>
                    </w:rPr>
                    <w:t>℃</w:t>
                  </w:r>
                </w:p>
              </w:tc>
              <w:tc>
                <w:tcPr>
                  <w:tcW w:w="1397" w:type="dxa"/>
                  <w:tcBorders>
                    <w:righ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b/>
                      <w:bCs/>
                      <w:color w:val="auto"/>
                      <w:szCs w:val="21"/>
                      <w:vertAlign w:val="baseline"/>
                    </w:rPr>
                  </w:pPr>
                  <w:r>
                    <w:rPr>
                      <w:rFonts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Borders>
                    <w:left w:val="nil"/>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807"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color w:val="auto"/>
                      <w:szCs w:val="21"/>
                    </w:rPr>
                  </w:pPr>
                  <w:r>
                    <w:rPr>
                      <w:rFonts w:ascii="Times New Roman" w:hAnsi="Times New Roman" w:cs="Times New Roman"/>
                      <w:color w:val="auto"/>
                      <w:szCs w:val="21"/>
                    </w:rPr>
                    <w:t>四川屹光新材料制造有限公司</w:t>
                  </w:r>
                </w:p>
              </w:tc>
              <w:tc>
                <w:tcPr>
                  <w:tcW w:w="1396"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color w:val="auto"/>
                      <w:szCs w:val="21"/>
                    </w:rPr>
                  </w:pPr>
                  <w:r>
                    <w:rPr>
                      <w:rFonts w:ascii="Times New Roman" w:hAnsi="Times New Roman" w:cs="Times New Roman"/>
                      <w:color w:val="auto"/>
                      <w:szCs w:val="21"/>
                    </w:rPr>
                    <w:t>40000t/a</w:t>
                  </w:r>
                </w:p>
              </w:tc>
              <w:tc>
                <w:tcPr>
                  <w:tcW w:w="1397"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color w:val="auto"/>
                      <w:szCs w:val="21"/>
                      <w:lang w:val="en-US" w:eastAsia="zh-CN"/>
                    </w:rPr>
                  </w:pPr>
                  <w:r>
                    <w:rPr>
                      <w:rFonts w:hint="eastAsia" w:cs="Times New Roman"/>
                      <w:color w:val="auto"/>
                      <w:szCs w:val="21"/>
                      <w:lang w:val="en-US" w:eastAsia="zh-CN"/>
                    </w:rPr>
                    <w:t>1.55</w:t>
                  </w:r>
                  <w:r>
                    <w:rPr>
                      <w:rFonts w:ascii="Times New Roman" w:hAnsi="Times New Roman" w:cs="Times New Roman"/>
                      <w:color w:val="auto"/>
                      <w:szCs w:val="21"/>
                    </w:rPr>
                    <w:t>MPa</w:t>
                  </w:r>
                </w:p>
              </w:tc>
              <w:tc>
                <w:tcPr>
                  <w:tcW w:w="1397" w:type="dxa"/>
                  <w:tcBorders>
                    <w:bottom w:val="single" w:color="auto" w:sz="12"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szCs w:val="21"/>
                      <w:lang w:val="en-US" w:eastAsia="zh-CN"/>
                    </w:rPr>
                  </w:pPr>
                  <w:r>
                    <w:rPr>
                      <w:rFonts w:hint="eastAsia" w:cs="Times New Roman"/>
                      <w:color w:val="auto"/>
                      <w:szCs w:val="21"/>
                      <w:lang w:val="en-US" w:eastAsia="zh-CN"/>
                    </w:rPr>
                    <w:t>115℃</w:t>
                  </w:r>
                </w:p>
              </w:tc>
              <w:tc>
                <w:tcPr>
                  <w:tcW w:w="1397"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color w:val="auto"/>
                      <w:szCs w:val="21"/>
                      <w:lang w:val="en-US" w:eastAsia="zh-CN"/>
                    </w:rPr>
                  </w:pPr>
                  <w:r>
                    <w:rPr>
                      <w:rFonts w:hint="eastAsia" w:cs="Times New Roman"/>
                      <w:color w:val="auto"/>
                      <w:szCs w:val="21"/>
                      <w:lang w:val="en-US" w:eastAsia="zh-CN"/>
                    </w:rPr>
                    <w:t>/</w:t>
                  </w:r>
                </w:p>
              </w:tc>
            </w:tr>
          </w:tbl>
          <w:p>
            <w:pPr>
              <w:pStyle w:val="20"/>
              <w:adjustRightInd w:val="0"/>
              <w:snapToGrid w:val="0"/>
              <w:spacing w:after="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③气</w:t>
            </w:r>
            <w:r>
              <w:rPr>
                <w:rFonts w:hint="eastAsia" w:ascii="Times New Roman" w:hAnsi="Times New Roman" w:cs="Times New Roman"/>
                <w:color w:val="auto"/>
                <w:sz w:val="24"/>
                <w:lang w:val="en-US" w:eastAsia="zh-CN"/>
              </w:rPr>
              <w:t>提</w:t>
            </w:r>
            <w:r>
              <w:rPr>
                <w:rFonts w:ascii="Times New Roman" w:hAnsi="Times New Roman" w:cs="Times New Roman"/>
                <w:color w:val="auto"/>
                <w:sz w:val="24"/>
              </w:rPr>
              <w:t>管道</w:t>
            </w:r>
          </w:p>
          <w:p>
            <w:pPr>
              <w:pStyle w:val="20"/>
              <w:adjustRightInd w:val="0"/>
              <w:snapToGrid w:val="0"/>
              <w:spacing w:after="0" w:line="360" w:lineRule="auto"/>
              <w:ind w:firstLine="480" w:firstLineChars="200"/>
              <w:rPr>
                <w:rFonts w:ascii="Times New Roman" w:hAnsi="Times New Roman" w:cs="Times New Roman"/>
                <w:b w:val="0"/>
                <w:bCs w:val="0"/>
                <w:color w:val="auto"/>
                <w:kern w:val="0"/>
                <w:sz w:val="24"/>
              </w:rPr>
            </w:pPr>
            <w:r>
              <w:rPr>
                <w:rFonts w:ascii="Times New Roman" w:hAnsi="Times New Roman" w:cs="Times New Roman"/>
                <w:color w:val="auto"/>
                <w:kern w:val="0"/>
                <w:sz w:val="24"/>
              </w:rPr>
              <w:t>本项目</w:t>
            </w:r>
            <w:r>
              <w:rPr>
                <w:rFonts w:hint="eastAsia" w:ascii="Times New Roman" w:hAnsi="Times New Roman" w:cs="Times New Roman"/>
                <w:color w:val="auto"/>
                <w:kern w:val="0"/>
                <w:sz w:val="24"/>
                <w:lang w:val="en-US" w:eastAsia="zh-CN"/>
              </w:rPr>
              <w:t>气化炉</w:t>
            </w:r>
            <w:r>
              <w:rPr>
                <w:rFonts w:ascii="Times New Roman" w:hAnsi="Times New Roman" w:cs="Times New Roman"/>
                <w:color w:val="auto"/>
                <w:kern w:val="0"/>
                <w:sz w:val="24"/>
              </w:rPr>
              <w:t>至</w:t>
            </w:r>
            <w:r>
              <w:rPr>
                <w:rFonts w:hint="eastAsia" w:cs="Times New Roman"/>
                <w:color w:val="auto"/>
                <w:kern w:val="0"/>
                <w:sz w:val="24"/>
                <w:lang w:val="en-US" w:eastAsia="zh-CN"/>
              </w:rPr>
              <w:t>燃气</w:t>
            </w:r>
            <w:r>
              <w:rPr>
                <w:rFonts w:ascii="Times New Roman" w:hAnsi="Times New Roman" w:cs="Times New Roman"/>
                <w:color w:val="auto"/>
                <w:kern w:val="0"/>
                <w:sz w:val="24"/>
              </w:rPr>
              <w:t>锅炉的</w:t>
            </w:r>
            <w:r>
              <w:rPr>
                <w:rFonts w:hint="eastAsia" w:cs="Times New Roman"/>
                <w:color w:val="auto"/>
                <w:kern w:val="0"/>
                <w:sz w:val="24"/>
                <w:lang w:val="en-US" w:eastAsia="zh-CN"/>
              </w:rPr>
              <w:t>生物质燃</w:t>
            </w:r>
            <w:r>
              <w:rPr>
                <w:rFonts w:ascii="Times New Roman" w:hAnsi="Times New Roman" w:cs="Times New Roman"/>
                <w:color w:val="auto"/>
                <w:kern w:val="0"/>
                <w:sz w:val="24"/>
              </w:rPr>
              <w:t>气管道</w:t>
            </w:r>
            <w:r>
              <w:rPr>
                <w:rFonts w:hint="eastAsia" w:cs="Times New Roman"/>
                <w:color w:val="auto"/>
                <w:kern w:val="0"/>
                <w:sz w:val="24"/>
                <w:lang w:val="en-US" w:eastAsia="zh-CN"/>
              </w:rPr>
              <w:t>约1</w:t>
            </w:r>
            <w:r>
              <w:rPr>
                <w:rFonts w:ascii="Times New Roman" w:hAnsi="Times New Roman" w:cs="Times New Roman"/>
                <w:color w:val="auto"/>
                <w:kern w:val="0"/>
                <w:sz w:val="24"/>
              </w:rPr>
              <w:t>m</w:t>
            </w:r>
            <w:r>
              <w:rPr>
                <w:rFonts w:ascii="Times New Roman" w:hAnsi="Times New Roman" w:cs="Times New Roman"/>
                <w:b w:val="0"/>
                <w:bCs w:val="0"/>
                <w:color w:val="auto"/>
                <w:kern w:val="0"/>
                <w:sz w:val="24"/>
              </w:rPr>
              <w:t>。</w:t>
            </w:r>
          </w:p>
          <w:p>
            <w:pPr>
              <w:pStyle w:val="20"/>
              <w:adjustRightInd w:val="0"/>
              <w:snapToGrid w:val="0"/>
              <w:spacing w:after="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④蒸汽、冷凝水管道</w:t>
            </w:r>
          </w:p>
          <w:p>
            <w:pPr>
              <w:pStyle w:val="20"/>
              <w:adjustRightInd w:val="0"/>
              <w:snapToGrid w:val="0"/>
              <w:spacing w:after="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本项目蒸汽、冷凝水管道仅</w:t>
            </w:r>
            <w:bookmarkStart w:id="5" w:name="_Hlk87820109"/>
            <w:r>
              <w:rPr>
                <w:rFonts w:ascii="Times New Roman" w:hAnsi="Times New Roman" w:cs="Times New Roman"/>
                <w:color w:val="auto"/>
                <w:sz w:val="24"/>
              </w:rPr>
              <w:t>沿四川鸿鹏新材料有限公司</w:t>
            </w:r>
            <w:r>
              <w:rPr>
                <w:rFonts w:ascii="Times New Roman" w:hAnsi="Times New Roman" w:cs="Times New Roman"/>
                <w:color w:val="auto"/>
                <w:sz w:val="24"/>
                <w:lang w:val="en-US" w:eastAsia="zh-CN"/>
              </w:rPr>
              <w:t>西</w:t>
            </w:r>
            <w:r>
              <w:rPr>
                <w:rFonts w:ascii="Times New Roman" w:hAnsi="Times New Roman" w:cs="Times New Roman"/>
                <w:color w:val="auto"/>
                <w:sz w:val="24"/>
              </w:rPr>
              <w:t>北侧厂房边界敷设</w:t>
            </w:r>
            <w:bookmarkEnd w:id="5"/>
            <w:r>
              <w:rPr>
                <w:rFonts w:ascii="Times New Roman" w:hAnsi="Times New Roman" w:cs="Times New Roman"/>
                <w:color w:val="auto"/>
                <w:sz w:val="24"/>
              </w:rPr>
              <w:t>，</w:t>
            </w:r>
            <w:bookmarkStart w:id="6" w:name="_Hlk87820150"/>
            <w:r>
              <w:rPr>
                <w:rFonts w:ascii="Times New Roman" w:hAnsi="Times New Roman" w:cs="Times New Roman"/>
                <w:color w:val="auto"/>
                <w:sz w:val="24"/>
              </w:rPr>
              <w:t xml:space="preserve">一根蒸汽管道（361.4m） </w:t>
            </w:r>
            <w:r>
              <w:rPr>
                <w:rFonts w:hint="eastAsia" w:cs="Times New Roman"/>
                <w:color w:val="auto"/>
                <w:sz w:val="24"/>
                <w:lang w:eastAsia="zh-CN"/>
              </w:rPr>
              <w:t>（</w:t>
            </w:r>
            <w:r>
              <w:rPr>
                <w:rFonts w:ascii="Times New Roman" w:hAnsi="Times New Roman" w:cs="Times New Roman"/>
                <w:color w:val="auto"/>
                <w:sz w:val="24"/>
              </w:rPr>
              <w:t>DN200，PN25</w:t>
            </w:r>
            <w:r>
              <w:rPr>
                <w:rFonts w:hint="eastAsia" w:cs="Times New Roman"/>
                <w:color w:val="auto"/>
                <w:sz w:val="24"/>
                <w:lang w:eastAsia="zh-CN"/>
              </w:rPr>
              <w:t>）</w:t>
            </w:r>
            <w:r>
              <w:rPr>
                <w:rFonts w:ascii="Times New Roman" w:hAnsi="Times New Roman" w:cs="Times New Roman"/>
                <w:color w:val="auto"/>
                <w:sz w:val="24"/>
              </w:rPr>
              <w:t>及一根蒸汽冷凝水管道（361.4m）（DN100，PN10）</w:t>
            </w:r>
            <w:bookmarkEnd w:id="6"/>
            <w:r>
              <w:rPr>
                <w:rFonts w:ascii="Times New Roman" w:hAnsi="Times New Roman" w:cs="Times New Roman"/>
                <w:color w:val="auto"/>
                <w:sz w:val="24"/>
              </w:rPr>
              <w:t>，均使用无缝钢管，保护层采用铝合金薄板，保温（冷）层采用玻璃棉毡，管道采用无机富锌底漆防腐。本项目新布置厂区外管及管沟，蒸汽管道从</w:t>
            </w:r>
            <w:r>
              <w:rPr>
                <w:rFonts w:hint="eastAsia" w:ascii="Times New Roman" w:hAnsi="Times New Roman" w:cs="Times New Roman"/>
                <w:color w:val="auto"/>
                <w:sz w:val="24"/>
                <w:lang w:val="en-US" w:eastAsia="zh-CN"/>
              </w:rPr>
              <w:t>锅炉</w:t>
            </w:r>
            <w:r>
              <w:rPr>
                <w:rFonts w:ascii="Times New Roman" w:hAnsi="Times New Roman" w:cs="Times New Roman"/>
                <w:color w:val="auto"/>
                <w:sz w:val="24"/>
              </w:rPr>
              <w:t>房出来后，进入管沟（42m）、沿墙边敷设（外围229.4m）到达</w:t>
            </w:r>
            <w:r>
              <w:rPr>
                <w:rFonts w:hint="eastAsia" w:ascii="Times New Roman" w:hAnsi="Times New Roman" w:cs="Times New Roman"/>
                <w:color w:val="auto"/>
                <w:sz w:val="24"/>
                <w:lang w:val="en-US" w:eastAsia="zh-CN"/>
              </w:rPr>
              <w:t>厂区</w:t>
            </w:r>
            <w:r>
              <w:rPr>
                <w:rFonts w:ascii="Times New Roman" w:hAnsi="Times New Roman" w:cs="Times New Roman"/>
                <w:color w:val="auto"/>
                <w:sz w:val="24"/>
              </w:rPr>
              <w:t>（90m），而蒸汽冷凝水沿原路返回，本项目管道不穿越道路。</w:t>
            </w:r>
          </w:p>
          <w:p>
            <w:pPr>
              <w:pStyle w:val="22"/>
              <w:adjustRightInd w:val="0"/>
              <w:snapToGrid w:val="0"/>
              <w:spacing w:line="360" w:lineRule="auto"/>
              <w:rPr>
                <w:rFonts w:ascii="Times New Roman" w:hAnsi="Times New Roman" w:cs="Times New Roman"/>
                <w:color w:val="auto"/>
              </w:rPr>
            </w:pPr>
            <w:r>
              <w:rPr>
                <w:rFonts w:ascii="Times New Roman" w:hAnsi="Times New Roman" w:cs="Times New Roman"/>
                <w:color w:val="auto"/>
              </w:rPr>
              <w:t>3、项目组成</w:t>
            </w:r>
          </w:p>
          <w:p>
            <w:pPr>
              <w:pStyle w:val="7"/>
              <w:widowControl/>
              <w:spacing w:line="360" w:lineRule="auto"/>
              <w:ind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新建</w:t>
            </w:r>
            <w:r>
              <w:rPr>
                <w:rFonts w:ascii="Times New Roman" w:hAnsi="Times New Roman" w:cs="Times New Roman"/>
                <w:color w:val="auto"/>
                <w:sz w:val="24"/>
                <w:szCs w:val="24"/>
              </w:rPr>
              <w:t>厂房</w:t>
            </w:r>
            <w:r>
              <w:rPr>
                <w:rFonts w:hint="eastAsia" w:ascii="Times New Roman" w:hAnsi="Times New Roman" w:cs="Times New Roman"/>
                <w:color w:val="auto"/>
                <w:sz w:val="24"/>
                <w:szCs w:val="24"/>
                <w:lang w:val="en-US" w:eastAsia="zh-CN"/>
              </w:rPr>
              <w:t>面积</w:t>
            </w:r>
            <w:r>
              <w:rPr>
                <w:rFonts w:ascii="Times New Roman" w:hAnsi="Times New Roman" w:cs="Times New Roman"/>
                <w:color w:val="auto"/>
                <w:sz w:val="24"/>
                <w:szCs w:val="24"/>
                <w:highlight w:val="none"/>
              </w:rPr>
              <w:t>约</w:t>
            </w:r>
            <w:r>
              <w:rPr>
                <w:rFonts w:hint="eastAsia" w:ascii="Times New Roman" w:hAnsi="Times New Roman" w:cs="Times New Roman"/>
                <w:color w:val="auto"/>
                <w:sz w:val="24"/>
                <w:szCs w:val="24"/>
                <w:highlight w:val="none"/>
                <w:lang w:val="en-US" w:eastAsia="zh-CN"/>
              </w:rPr>
              <w:t>2286m</w:t>
            </w:r>
            <w:r>
              <w:rPr>
                <w:rFonts w:ascii="Times New Roman" w:hAnsi="Times New Roman" w:cs="Times New Roman"/>
                <w:color w:val="auto"/>
                <w:sz w:val="24"/>
                <w:szCs w:val="24"/>
              </w:rPr>
              <w:t>，设置</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台额定蒸发量为1</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t/h的</w:t>
            </w:r>
            <w:r>
              <w:rPr>
                <w:rFonts w:hint="eastAsia" w:ascii="Times New Roman" w:hAnsi="Times New Roman" w:cs="Times New Roman"/>
                <w:color w:val="auto"/>
                <w:sz w:val="24"/>
                <w:szCs w:val="24"/>
                <w:lang w:val="en-US" w:eastAsia="zh-CN"/>
              </w:rPr>
              <w:t>生物质燃气</w:t>
            </w:r>
            <w:r>
              <w:rPr>
                <w:rFonts w:ascii="Times New Roman" w:hAnsi="Times New Roman" w:cs="Times New Roman"/>
                <w:color w:val="auto"/>
                <w:sz w:val="24"/>
                <w:szCs w:val="24"/>
              </w:rPr>
              <w:t>锅炉</w:t>
            </w:r>
            <w:r>
              <w:rPr>
                <w:rFonts w:hint="eastAsia" w:ascii="Times New Roman" w:hAnsi="Times New Roman" w:cs="Times New Roman"/>
                <w:color w:val="auto"/>
                <w:sz w:val="24"/>
                <w:szCs w:val="24"/>
                <w:lang w:val="en-US" w:eastAsia="zh-CN"/>
              </w:rPr>
              <w:t>配套气化炉</w:t>
            </w:r>
            <w:r>
              <w:rPr>
                <w:rFonts w:ascii="Times New Roman" w:hAnsi="Times New Roman" w:cs="Times New Roman"/>
                <w:color w:val="auto"/>
                <w:sz w:val="24"/>
                <w:szCs w:val="24"/>
              </w:rPr>
              <w:t>和冷凝水箱、定排污扩容器、分气缸等附属设备以及辅助、办公设施。</w:t>
            </w:r>
          </w:p>
          <w:p>
            <w:pPr>
              <w:pStyle w:val="7"/>
              <w:widowControl/>
              <w:spacing w:line="360" w:lineRule="auto"/>
              <w:ind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本项目组成和可能产生的主要环境问题具体情况详见表2-</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w:t>
            </w:r>
          </w:p>
          <w:p>
            <w:pPr>
              <w:pStyle w:val="20"/>
              <w:adjustRightInd w:val="0"/>
              <w:snapToGrid w:val="0"/>
              <w:spacing w:after="0" w:line="360" w:lineRule="auto"/>
              <w:ind w:firstLine="422" w:firstLineChars="200"/>
              <w:jc w:val="center"/>
              <w:rPr>
                <w:rFonts w:ascii="Times New Roman" w:hAnsi="Times New Roman" w:cs="Times New Roman"/>
                <w:b/>
                <w:bCs/>
                <w:color w:val="auto"/>
                <w:szCs w:val="21"/>
              </w:rPr>
            </w:pPr>
            <w:bookmarkStart w:id="7" w:name="_Toc16041"/>
            <w:r>
              <w:rPr>
                <w:rFonts w:ascii="Times New Roman" w:hAnsi="Times New Roman" w:cs="Times New Roman"/>
                <w:b/>
                <w:bCs/>
                <w:color w:val="auto"/>
                <w:szCs w:val="21"/>
              </w:rPr>
              <w:t>表2-</w:t>
            </w:r>
            <w:r>
              <w:rPr>
                <w:rFonts w:hint="eastAsia" w:ascii="Times New Roman" w:hAnsi="Times New Roman" w:cs="Times New Roman"/>
                <w:b/>
                <w:bCs/>
                <w:color w:val="auto"/>
                <w:szCs w:val="21"/>
                <w:lang w:val="en-US" w:eastAsia="zh-CN"/>
              </w:rPr>
              <w:t>2</w:t>
            </w:r>
            <w:r>
              <w:rPr>
                <w:rFonts w:ascii="Times New Roman" w:hAnsi="Times New Roman" w:cs="Times New Roman"/>
                <w:b/>
                <w:bCs/>
                <w:color w:val="auto"/>
                <w:szCs w:val="21"/>
              </w:rPr>
              <w:t xml:space="preserve">  项目组成表及主要的环境问题</w:t>
            </w:r>
            <w:bookmarkEnd w:id="7"/>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62"/>
              <w:gridCol w:w="488"/>
              <w:gridCol w:w="722"/>
              <w:gridCol w:w="751"/>
              <w:gridCol w:w="2904"/>
              <w:gridCol w:w="1083"/>
              <w:gridCol w:w="1247"/>
              <w:gridCol w:w="6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333" w:type="pct"/>
                  <w:vMerge w:val="restart"/>
                  <w:vAlign w:val="center"/>
                </w:tcPr>
                <w:p>
                  <w:pPr>
                    <w:pStyle w:val="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名称</w:t>
                  </w:r>
                </w:p>
              </w:tc>
              <w:tc>
                <w:tcPr>
                  <w:tcW w:w="2883" w:type="pct"/>
                  <w:gridSpan w:val="4"/>
                  <w:vMerge w:val="restart"/>
                  <w:vAlign w:val="center"/>
                </w:tcPr>
                <w:p>
                  <w:pPr>
                    <w:pStyle w:val="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建设内容及规模</w:t>
                  </w:r>
                </w:p>
              </w:tc>
              <w:tc>
                <w:tcPr>
                  <w:tcW w:w="1381" w:type="pct"/>
                  <w:gridSpan w:val="2"/>
                  <w:vAlign w:val="center"/>
                </w:tcPr>
                <w:p>
                  <w:pPr>
                    <w:pStyle w:val="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可能造成的环境影响</w:t>
                  </w:r>
                </w:p>
              </w:tc>
              <w:tc>
                <w:tcPr>
                  <w:tcW w:w="401" w:type="pct"/>
                  <w:vMerge w:val="restart"/>
                  <w:vAlign w:val="center"/>
                </w:tcPr>
                <w:p>
                  <w:pPr>
                    <w:pStyle w:val="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333" w:type="pct"/>
                  <w:vMerge w:val="continue"/>
                  <w:tcBorders>
                    <w:top w:val="single" w:color="000000" w:sz="6" w:space="0"/>
                    <w:right w:val="single" w:color="000000" w:sz="6" w:space="0"/>
                  </w:tcBorders>
                  <w:vAlign w:val="center"/>
                </w:tcPr>
                <w:p/>
              </w:tc>
              <w:tc>
                <w:tcPr>
                  <w:tcW w:w="2883" w:type="pct"/>
                  <w:gridSpan w:val="4"/>
                  <w:vMerge w:val="continue"/>
                  <w:tcBorders>
                    <w:top w:val="single" w:color="000000" w:sz="6" w:space="0"/>
                    <w:left w:val="single" w:color="000000" w:sz="6" w:space="0"/>
                    <w:right w:val="single" w:color="000000" w:sz="6" w:space="0"/>
                  </w:tcBorders>
                  <w:vAlign w:val="center"/>
                </w:tcPr>
                <w:p/>
              </w:tc>
              <w:tc>
                <w:tcPr>
                  <w:tcW w:w="642" w:type="pct"/>
                  <w:tcBorders>
                    <w:top w:val="single" w:color="000000" w:sz="6" w:space="0"/>
                    <w:left w:val="single" w:color="000000" w:sz="6" w:space="0"/>
                    <w:right w:val="single" w:color="000000" w:sz="6" w:space="0"/>
                  </w:tcBorders>
                  <w:vAlign w:val="center"/>
                </w:tcPr>
                <w:p>
                  <w:pPr>
                    <w:pStyle w:val="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施工期</w:t>
                  </w:r>
                </w:p>
              </w:tc>
              <w:tc>
                <w:tcPr>
                  <w:tcW w:w="739" w:type="pct"/>
                  <w:tcBorders>
                    <w:top w:val="single" w:color="000000" w:sz="6" w:space="0"/>
                    <w:left w:val="single" w:color="000000" w:sz="6" w:space="0"/>
                    <w:right w:val="single" w:color="000000" w:sz="6" w:space="0"/>
                  </w:tcBorders>
                  <w:vAlign w:val="center"/>
                </w:tcPr>
                <w:p>
                  <w:pPr>
                    <w:pStyle w:val="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运营期</w:t>
                  </w:r>
                </w:p>
              </w:tc>
              <w:tc>
                <w:tcPr>
                  <w:tcW w:w="401" w:type="pct"/>
                  <w:vMerge w:val="continue"/>
                  <w:tcBorders>
                    <w:top w:val="single" w:color="000000" w:sz="6" w:space="0"/>
                    <w:left w:val="single" w:color="000000" w:sz="6" w:space="0"/>
                  </w:tcBorders>
                  <w:vAlign w:val="center"/>
                </w:tc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5" w:hRule="atLeast"/>
                <w:jc w:val="center"/>
              </w:trPr>
              <w:tc>
                <w:tcPr>
                  <w:tcW w:w="333" w:type="pct"/>
                  <w:vMerge w:val="restart"/>
                  <w:tcBorders>
                    <w:top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主体工程</w:t>
                  </w:r>
                </w:p>
              </w:tc>
              <w:tc>
                <w:tcPr>
                  <w:tcW w:w="717" w:type="pct"/>
                  <w:gridSpan w:val="2"/>
                  <w:tcBorders>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锅炉</w:t>
                  </w:r>
                </w:p>
              </w:tc>
              <w:tc>
                <w:tcPr>
                  <w:tcW w:w="2166" w:type="pct"/>
                  <w:gridSpan w:val="2"/>
                  <w:tcBorders>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1台额定蒸发量为12t/h的生物质燃气锅炉配套</w:t>
                  </w:r>
                  <w:r>
                    <w:rPr>
                      <w:rFonts w:hint="eastAsia" w:ascii="Times New Roman" w:hAnsi="Times New Roman" w:cs="Times New Roman"/>
                      <w:color w:val="auto"/>
                      <w:szCs w:val="21"/>
                      <w:lang w:eastAsia="zh-CN"/>
                    </w:rPr>
                    <w:t>气化炉</w:t>
                  </w:r>
                  <w:r>
                    <w:rPr>
                      <w:rFonts w:ascii="Times New Roman" w:hAnsi="Times New Roman" w:cs="Times New Roman"/>
                      <w:color w:val="auto"/>
                      <w:szCs w:val="21"/>
                    </w:rPr>
                    <w:t>和冷凝水箱、定排污扩容器、分气缸等附属设备。</w:t>
                  </w:r>
                </w:p>
              </w:tc>
              <w:tc>
                <w:tcPr>
                  <w:tcW w:w="642" w:type="pct"/>
                  <w:vMerge w:val="restart"/>
                  <w:tcBorders>
                    <w:top w:val="single" w:color="000000" w:sz="6" w:space="0"/>
                    <w:left w:val="single" w:color="000000" w:sz="6" w:space="0"/>
                    <w:right w:val="single" w:color="000000" w:sz="6" w:space="0"/>
                  </w:tcBorders>
                  <w:vAlign w:val="center"/>
                </w:tcPr>
                <w:p>
                  <w:pPr>
                    <w:pStyle w:val="7"/>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施工废水、生活废水、扬尘、施工噪声、建筑垃圾</w:t>
                  </w:r>
                </w:p>
              </w:tc>
              <w:tc>
                <w:tcPr>
                  <w:tcW w:w="739" w:type="pct"/>
                  <w:tcBorders>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废气、废水</w:t>
                  </w:r>
                </w:p>
              </w:tc>
              <w:tc>
                <w:tcPr>
                  <w:tcW w:w="401" w:type="pct"/>
                  <w:tcBorders>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5"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bottom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气化炉</w:t>
                  </w:r>
                </w:p>
              </w:tc>
              <w:tc>
                <w:tcPr>
                  <w:tcW w:w="2166" w:type="pct"/>
                  <w:gridSpan w:val="2"/>
                  <w:tcBorders>
                    <w:bottom w:val="single" w:color="auto" w:sz="4" w:space="0"/>
                  </w:tcBorders>
                  <w:vAlign w:val="center"/>
                </w:tcPr>
                <w:p>
                  <w:pPr>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rPr>
                    <w:t>生物质燃气锅炉配套</w:t>
                  </w:r>
                  <w:r>
                    <w:rPr>
                      <w:rFonts w:hint="eastAsia" w:ascii="Times New Roman" w:hAnsi="Times New Roman" w:cs="Times New Roman"/>
                      <w:color w:val="auto"/>
                      <w:szCs w:val="21"/>
                      <w:lang w:val="en-US" w:eastAsia="zh-CN"/>
                    </w:rPr>
                    <w:t>设备，位于生物质燃料棚北侧，用于将生物质燃料裂解、气化</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bottom w:val="single" w:color="auto" w:sz="4" w:space="0"/>
                  </w:tcBorders>
                  <w:vAlign w:val="center"/>
                </w:tcPr>
                <w:p>
                  <w:pPr>
                    <w:pStyle w:val="7"/>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401" w:type="pct"/>
                  <w:tcBorders>
                    <w:bottom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蒸汽、冷凝水管道</w:t>
                  </w:r>
                </w:p>
              </w:tc>
              <w:tc>
                <w:tcPr>
                  <w:tcW w:w="2166" w:type="pct"/>
                  <w:gridSpan w:val="2"/>
                  <w:tcBorders>
                    <w:top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kern w:val="0"/>
                      <w:szCs w:val="21"/>
                    </w:rPr>
                    <w:t>沿</w:t>
                  </w:r>
                  <w:r>
                    <w:rPr>
                      <w:rFonts w:ascii="Times New Roman" w:hAnsi="Times New Roman" w:cs="Times New Roman"/>
                      <w:color w:val="auto"/>
                      <w:kern w:val="0"/>
                      <w:szCs w:val="21"/>
                      <w:lang w:eastAsia="zh-CN"/>
                    </w:rPr>
                    <w:t>四川鸿鹏新材料有限公司</w:t>
                  </w:r>
                  <w:r>
                    <w:rPr>
                      <w:rFonts w:ascii="Times New Roman" w:hAnsi="Times New Roman" w:cs="Times New Roman"/>
                      <w:color w:val="auto"/>
                      <w:kern w:val="0"/>
                      <w:szCs w:val="21"/>
                    </w:rPr>
                    <w:t xml:space="preserve">北侧厂房边界敷设，一根蒸汽管道（361.4m） </w:t>
                  </w:r>
                  <w:r>
                    <w:rPr>
                      <w:rFonts w:hint="eastAsia" w:cs="Times New Roman"/>
                      <w:color w:val="auto"/>
                      <w:kern w:val="0"/>
                      <w:szCs w:val="21"/>
                      <w:lang w:eastAsia="zh-CN"/>
                    </w:rPr>
                    <w:t>（</w:t>
                  </w:r>
                  <w:r>
                    <w:rPr>
                      <w:rFonts w:ascii="Times New Roman" w:hAnsi="Times New Roman" w:cs="Times New Roman"/>
                      <w:color w:val="auto"/>
                      <w:kern w:val="0"/>
                      <w:szCs w:val="21"/>
                    </w:rPr>
                    <w:t>DN200，PN25</w:t>
                  </w:r>
                  <w:r>
                    <w:rPr>
                      <w:rFonts w:hint="eastAsia" w:cs="Times New Roman"/>
                      <w:color w:val="auto"/>
                      <w:kern w:val="0"/>
                      <w:szCs w:val="21"/>
                      <w:lang w:eastAsia="zh-CN"/>
                    </w:rPr>
                    <w:t>）</w:t>
                  </w:r>
                  <w:r>
                    <w:rPr>
                      <w:rFonts w:ascii="Times New Roman" w:hAnsi="Times New Roman" w:cs="Times New Roman"/>
                      <w:color w:val="auto"/>
                      <w:kern w:val="0"/>
                      <w:szCs w:val="21"/>
                    </w:rPr>
                    <w:t>及一根蒸汽冷凝水管道（361.4m）（DN100，PN10），管道均采用无缝钢管，保护层采用铝合金薄板，保温（冷）层采用玻璃棉毡，管道采用无机富锌底漆防腐。</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废气、噪声</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控制室</w:t>
                  </w:r>
                </w:p>
              </w:tc>
              <w:tc>
                <w:tcPr>
                  <w:tcW w:w="2166" w:type="pct"/>
                  <w:gridSpan w:val="2"/>
                  <w:tcBorders>
                    <w:top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占地约20m</w:t>
                  </w:r>
                  <w:r>
                    <w:rPr>
                      <w:rFonts w:ascii="Times New Roman" w:hAnsi="Times New Roman" w:cs="Times New Roman"/>
                      <w:color w:val="auto"/>
                      <w:szCs w:val="21"/>
                      <w:vertAlign w:val="superscript"/>
                    </w:rPr>
                    <w:t>2</w:t>
                  </w:r>
                  <w:r>
                    <w:rPr>
                      <w:rFonts w:ascii="Times New Roman" w:hAnsi="Times New Roman" w:cs="Times New Roman"/>
                      <w:color w:val="auto"/>
                      <w:szCs w:val="21"/>
                    </w:rPr>
                    <w:t>，位于</w:t>
                  </w:r>
                  <w:r>
                    <w:rPr>
                      <w:rFonts w:hint="eastAsia" w:ascii="Times New Roman" w:hAnsi="Times New Roman" w:cs="Times New Roman"/>
                      <w:color w:val="auto"/>
                      <w:szCs w:val="21"/>
                      <w:lang w:val="en-US" w:eastAsia="zh-CN"/>
                    </w:rPr>
                    <w:t>规划区域中部</w:t>
                  </w:r>
                  <w:r>
                    <w:rPr>
                      <w:rFonts w:ascii="Times New Roman" w:hAnsi="Times New Roman" w:cs="Times New Roman"/>
                      <w:color w:val="auto"/>
                      <w:szCs w:val="21"/>
                    </w:rPr>
                    <w:t>，主要设置设备操作系统。</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调压计量站</w:t>
                  </w:r>
                </w:p>
              </w:tc>
              <w:tc>
                <w:tcPr>
                  <w:tcW w:w="2166" w:type="pct"/>
                  <w:gridSpan w:val="2"/>
                  <w:tcBorders>
                    <w:top w:val="single" w:color="auto" w:sz="4" w:space="0"/>
                  </w:tcBorders>
                  <w:vAlign w:val="center"/>
                </w:tcPr>
                <w:p>
                  <w:pPr>
                    <w:jc w:val="center"/>
                    <w:rPr>
                      <w:color w:val="auto"/>
                    </w:rPr>
                  </w:pPr>
                  <w:r>
                    <w:rPr>
                      <w:rFonts w:ascii="Times New Roman" w:hAnsi="Times New Roman" w:cs="Times New Roman"/>
                      <w:color w:val="auto"/>
                      <w:szCs w:val="21"/>
                    </w:rPr>
                    <w:t>占地约50m</w:t>
                  </w:r>
                  <w:r>
                    <w:rPr>
                      <w:rFonts w:ascii="Times New Roman" w:hAnsi="Times New Roman" w:cs="Times New Roman"/>
                      <w:color w:val="auto"/>
                      <w:szCs w:val="21"/>
                      <w:vertAlign w:val="superscript"/>
                    </w:rPr>
                    <w:t>2</w:t>
                  </w:r>
                  <w:r>
                    <w:rPr>
                      <w:rFonts w:ascii="Times New Roman" w:hAnsi="Times New Roman" w:cs="Times New Roman"/>
                      <w:color w:val="auto"/>
                      <w:szCs w:val="21"/>
                    </w:rPr>
                    <w:t>，位于租赁厂房东南侧，设有高、中压调压计量柜各1台。</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62" w:hRule="atLeast"/>
                <w:jc w:val="center"/>
              </w:trPr>
              <w:tc>
                <w:tcPr>
                  <w:tcW w:w="333" w:type="pct"/>
                  <w:tcBorders>
                    <w:top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仓储工程</w:t>
                  </w:r>
                </w:p>
              </w:tc>
              <w:tc>
                <w:tcPr>
                  <w:tcW w:w="717" w:type="pct"/>
                  <w:gridSpan w:val="2"/>
                  <w:tcBorders>
                    <w:top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生物质燃料棚</w:t>
                  </w:r>
                </w:p>
              </w:tc>
              <w:tc>
                <w:tcPr>
                  <w:tcW w:w="2166" w:type="pct"/>
                  <w:gridSpan w:val="2"/>
                  <w:tcBorders>
                    <w:top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占地约2</w:t>
                  </w:r>
                  <w:r>
                    <w:rPr>
                      <w:rFonts w:hint="eastAsia" w:ascii="Times New Roman" w:hAnsi="Times New Roman" w:cs="Times New Roman"/>
                      <w:color w:val="auto"/>
                      <w:szCs w:val="21"/>
                      <w:lang w:val="en-US" w:eastAsia="zh-CN"/>
                    </w:rPr>
                    <w:t>00</w:t>
                  </w:r>
                  <w:r>
                    <w:rPr>
                      <w:rFonts w:ascii="Times New Roman" w:hAnsi="Times New Roman" w:cs="Times New Roman"/>
                      <w:color w:val="auto"/>
                      <w:szCs w:val="21"/>
                    </w:rPr>
                    <w:t>0m</w:t>
                  </w:r>
                  <w:r>
                    <w:rPr>
                      <w:rFonts w:ascii="Times New Roman" w:hAnsi="Times New Roman" w:cs="Times New Roman"/>
                      <w:color w:val="auto"/>
                      <w:szCs w:val="21"/>
                      <w:vertAlign w:val="superscript"/>
                    </w:rPr>
                    <w:t>2</w:t>
                  </w:r>
                  <w:r>
                    <w:rPr>
                      <w:rFonts w:ascii="Times New Roman" w:hAnsi="Times New Roman" w:cs="Times New Roman"/>
                      <w:color w:val="auto"/>
                      <w:szCs w:val="21"/>
                    </w:rPr>
                    <w:t>，位于</w:t>
                  </w:r>
                  <w:r>
                    <w:rPr>
                      <w:rFonts w:hint="eastAsia" w:ascii="Times New Roman" w:hAnsi="Times New Roman" w:cs="Times New Roman"/>
                      <w:color w:val="auto"/>
                      <w:szCs w:val="21"/>
                      <w:lang w:val="en-US" w:eastAsia="zh-CN"/>
                    </w:rPr>
                    <w:t>规划区域东南侧</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用于生物质燃料堆存</w:t>
                  </w:r>
                  <w:r>
                    <w:rPr>
                      <w:rFonts w:ascii="Times New Roman" w:hAnsi="Times New Roman" w:cs="Times New Roman"/>
                      <w:color w:val="auto"/>
                      <w:szCs w:val="21"/>
                    </w:rPr>
                    <w:t>。</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3" w:type="pct"/>
                  <w:vMerge w:val="restart"/>
                  <w:tcBorders>
                    <w:top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辅助工程</w:t>
                  </w:r>
                </w:p>
              </w:tc>
              <w:tc>
                <w:tcPr>
                  <w:tcW w:w="717" w:type="pct"/>
                  <w:gridSpan w:val="2"/>
                  <w:tcBorders>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cs="Times New Roman"/>
                      <w:color w:val="auto"/>
                      <w:sz w:val="21"/>
                      <w:szCs w:val="21"/>
                    </w:rPr>
                    <w:t>柴油发电机房</w:t>
                  </w:r>
                </w:p>
              </w:tc>
              <w:tc>
                <w:tcPr>
                  <w:tcW w:w="2166" w:type="pct"/>
                  <w:gridSpan w:val="2"/>
                  <w:tcBorders>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占地约35</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，设有1台柴油发电机，作为停电时备用。</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cs="Times New Roman"/>
                      <w:color w:val="auto"/>
                      <w:sz w:val="21"/>
                      <w:szCs w:val="21"/>
                    </w:rPr>
                    <w:t>储油间</w:t>
                  </w:r>
                </w:p>
              </w:tc>
              <w:tc>
                <w:tcPr>
                  <w:tcW w:w="2166" w:type="pct"/>
                  <w:gridSpan w:val="2"/>
                  <w:tcBorders>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占地约5</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，暂存备用柴油。</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cs="Times New Roman"/>
                      <w:color w:val="auto"/>
                      <w:sz w:val="21"/>
                      <w:szCs w:val="21"/>
                    </w:rPr>
                    <w:t>配电房</w:t>
                  </w:r>
                </w:p>
              </w:tc>
              <w:tc>
                <w:tcPr>
                  <w:tcW w:w="2166" w:type="pct"/>
                  <w:gridSpan w:val="2"/>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占地约20</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，位于厂区</w:t>
                  </w:r>
                  <w:r>
                    <w:rPr>
                      <w:rFonts w:hint="eastAsia" w:ascii="Times New Roman" w:hAnsi="Times New Roman" w:cs="Times New Roman"/>
                      <w:color w:val="auto"/>
                      <w:sz w:val="21"/>
                      <w:szCs w:val="21"/>
                      <w:lang w:val="en-US" w:eastAsia="zh-CN"/>
                    </w:rPr>
                    <w:t>控制室旁</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cs="Times New Roman"/>
                      <w:color w:val="auto"/>
                      <w:sz w:val="21"/>
                      <w:szCs w:val="21"/>
                    </w:rPr>
                    <w:t>工具间</w:t>
                  </w:r>
                </w:p>
              </w:tc>
              <w:tc>
                <w:tcPr>
                  <w:tcW w:w="2166" w:type="pct"/>
                  <w:gridSpan w:val="2"/>
                  <w:tcBorders>
                    <w:top w:val="single" w:color="auto" w:sz="4" w:space="0"/>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eastAsia="宋体" w:cs="Times New Roman"/>
                      <w:color w:val="auto"/>
                      <w:sz w:val="21"/>
                      <w:szCs w:val="21"/>
                    </w:rPr>
                    <w:t>占地约20</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，存放工具</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15" w:hRule="atLeast"/>
                <w:jc w:val="center"/>
              </w:trPr>
              <w:tc>
                <w:tcPr>
                  <w:tcW w:w="333" w:type="pct"/>
                  <w:vMerge w:val="restart"/>
                  <w:tcBorders>
                    <w:top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办公及生活设施</w:t>
                  </w:r>
                </w:p>
              </w:tc>
              <w:tc>
                <w:tcPr>
                  <w:tcW w:w="717" w:type="pct"/>
                  <w:gridSpan w:val="2"/>
                  <w:tcBorders>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cs="Times New Roman"/>
                      <w:color w:val="auto"/>
                      <w:sz w:val="21"/>
                      <w:szCs w:val="21"/>
                    </w:rPr>
                    <w:t>休息室</w:t>
                  </w:r>
                </w:p>
              </w:tc>
              <w:tc>
                <w:tcPr>
                  <w:tcW w:w="2166" w:type="pct"/>
                  <w:gridSpan w:val="2"/>
                  <w:tcBorders>
                    <w:bottom w:val="single" w:color="auto" w:sz="4" w:space="0"/>
                  </w:tcBorders>
                  <w:vAlign w:val="center"/>
                </w:tcPr>
                <w:p>
                  <w:pPr>
                    <w:pStyle w:val="7"/>
                    <w:jc w:val="center"/>
                    <w:rPr>
                      <w:rFonts w:ascii="Times New Roman" w:hAnsi="Times New Roman" w:cs="Times New Roman"/>
                      <w:color w:val="auto"/>
                      <w:sz w:val="21"/>
                      <w:szCs w:val="21"/>
                    </w:rPr>
                  </w:pPr>
                  <w:r>
                    <w:rPr>
                      <w:rFonts w:ascii="Times New Roman" w:hAnsi="Times New Roman" w:eastAsia="宋体" w:cs="Times New Roman"/>
                      <w:color w:val="auto"/>
                      <w:sz w:val="21"/>
                      <w:szCs w:val="21"/>
                    </w:rPr>
                    <w:t>依托</w:t>
                  </w:r>
                  <w:r>
                    <w:rPr>
                      <w:rFonts w:ascii="Times New Roman" w:hAnsi="Times New Roman" w:eastAsia="宋体" w:cs="Times New Roman"/>
                      <w:color w:val="auto"/>
                      <w:sz w:val="21"/>
                      <w:szCs w:val="21"/>
                      <w:lang w:eastAsia="zh-CN"/>
                    </w:rPr>
                    <w:t>四川鸿鹏新材料有限公司</w:t>
                  </w:r>
                  <w:r>
                    <w:rPr>
                      <w:rFonts w:ascii="Times New Roman" w:hAnsi="Times New Roman" w:eastAsia="宋体" w:cs="Times New Roman"/>
                      <w:color w:val="auto"/>
                      <w:sz w:val="21"/>
                      <w:szCs w:val="21"/>
                    </w:rPr>
                    <w:t>所建综合办公楼</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废水、固废</w:t>
                  </w:r>
                </w:p>
              </w:tc>
              <w:tc>
                <w:tcPr>
                  <w:tcW w:w="401" w:type="pct"/>
                  <w:tcBorders>
                    <w:bottom w:val="single" w:color="auto" w:sz="4"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11" w:hRule="atLeast"/>
                <w:jc w:val="center"/>
              </w:trPr>
              <w:tc>
                <w:tcPr>
                  <w:tcW w:w="333" w:type="pct"/>
                  <w:vMerge w:val="continue"/>
                  <w:tcBorders>
                    <w:bottom w:val="single" w:color="auto" w:sz="4" w:space="0"/>
                  </w:tcBorders>
                  <w:vAlign w:val="center"/>
                </w:tcPr>
                <w:p/>
              </w:tc>
              <w:tc>
                <w:tcPr>
                  <w:tcW w:w="717" w:type="pct"/>
                  <w:gridSpan w:val="2"/>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lang w:eastAsia="zh-CN"/>
                    </w:rPr>
                  </w:pPr>
                  <w:r>
                    <w:rPr>
                      <w:rFonts w:ascii="Times New Roman" w:hAnsi="Times New Roman" w:cs="Times New Roman"/>
                      <w:color w:val="auto"/>
                      <w:sz w:val="21"/>
                      <w:szCs w:val="21"/>
                    </w:rPr>
                    <w:t>办公</w:t>
                  </w:r>
                  <w:r>
                    <w:rPr>
                      <w:rFonts w:ascii="Times New Roman" w:hAnsi="Times New Roman" w:cs="Times New Roman"/>
                      <w:color w:val="auto"/>
                      <w:sz w:val="21"/>
                      <w:szCs w:val="21"/>
                      <w:lang w:eastAsia="zh-CN"/>
                    </w:rPr>
                    <w:t>楼</w:t>
                  </w:r>
                </w:p>
              </w:tc>
              <w:tc>
                <w:tcPr>
                  <w:tcW w:w="2166" w:type="pct"/>
                  <w:gridSpan w:val="2"/>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r>
                    <w:rPr>
                      <w:rFonts w:ascii="Times New Roman" w:hAnsi="Times New Roman" w:eastAsia="宋体" w:cs="Times New Roman"/>
                      <w:color w:val="auto"/>
                      <w:sz w:val="21"/>
                      <w:szCs w:val="21"/>
                      <w:lang w:eastAsia="zh-CN"/>
                    </w:rPr>
                    <w:t>四川鸿鹏新材料有限公司</w:t>
                  </w:r>
                  <w:r>
                    <w:rPr>
                      <w:rFonts w:ascii="Times New Roman" w:hAnsi="Times New Roman" w:eastAsia="宋体" w:cs="Times New Roman"/>
                      <w:color w:val="auto"/>
                      <w:sz w:val="21"/>
                      <w:szCs w:val="21"/>
                    </w:rPr>
                    <w:t>所建综合办公楼</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废水、固废</w:t>
                  </w:r>
                </w:p>
              </w:tc>
              <w:tc>
                <w:tcPr>
                  <w:tcW w:w="401" w:type="pct"/>
                  <w:tcBorders>
                    <w:top w:val="single" w:color="auto" w:sz="4" w:space="0"/>
                    <w:bottom w:val="single" w:color="auto" w:sz="4" w:space="0"/>
                  </w:tcBorders>
                  <w:vAlign w:val="center"/>
                </w:tcPr>
                <w:p>
                  <w:pPr>
                    <w:jc w:val="center"/>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3" w:type="pct"/>
                  <w:vMerge w:val="restart"/>
                  <w:tcBorders>
                    <w:top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公用工程</w:t>
                  </w:r>
                </w:p>
              </w:tc>
              <w:tc>
                <w:tcPr>
                  <w:tcW w:w="717" w:type="pct"/>
                  <w:gridSpan w:val="2"/>
                  <w:tcBorders>
                    <w:bottom w:val="single" w:color="auto" w:sz="4" w:space="0"/>
                  </w:tcBorders>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rPr>
                    <w:t>供电</w:t>
                  </w:r>
                </w:p>
              </w:tc>
              <w:tc>
                <w:tcPr>
                  <w:tcW w:w="2166" w:type="pct"/>
                  <w:gridSpan w:val="2"/>
                  <w:tcBorders>
                    <w:bottom w:val="single" w:color="auto" w:sz="4" w:space="0"/>
                  </w:tcBorders>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szCs w:val="21"/>
                    </w:rPr>
                    <w:t>由园区市政电网接入</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401"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8"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tcBorders>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szCs w:val="21"/>
                    </w:rPr>
                    <w:t>供水</w:t>
                  </w:r>
                </w:p>
              </w:tc>
              <w:tc>
                <w:tcPr>
                  <w:tcW w:w="2166" w:type="pct"/>
                  <w:gridSpan w:val="2"/>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auto"/>
                    </w:rPr>
                  </w:pPr>
                  <w:r>
                    <w:rPr>
                      <w:rFonts w:ascii="Times New Roman" w:hAnsi="Times New Roman" w:cs="Times New Roman"/>
                      <w:color w:val="auto"/>
                      <w:szCs w:val="21"/>
                    </w:rPr>
                    <w:t>生活用水由园区市政管网接入</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401"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排水</w:t>
                  </w:r>
                </w:p>
              </w:tc>
              <w:tc>
                <w:tcPr>
                  <w:tcW w:w="2166" w:type="pct"/>
                  <w:gridSpan w:val="2"/>
                  <w:tcBorders>
                    <w:top w:val="single" w:color="auto" w:sz="4" w:space="0"/>
                    <w:bottom w:val="single" w:color="auto" w:sz="4" w:space="0"/>
                  </w:tcBorders>
                  <w:vAlign w:val="center"/>
                </w:tcPr>
                <w:p>
                  <w:pPr>
                    <w:adjustRightInd w:val="0"/>
                    <w:snapToGrid w:val="0"/>
                    <w:jc w:val="center"/>
                    <w:rPr>
                      <w:rFonts w:ascii="Times New Roman" w:hAnsi="Times New Roman" w:eastAsia="宋体" w:cs="Times New Roman"/>
                      <w:color w:val="auto"/>
                      <w:szCs w:val="21"/>
                      <w:lang w:eastAsia="zh-CN"/>
                    </w:rPr>
                  </w:pPr>
                  <w:r>
                    <w:rPr>
                      <w:rFonts w:ascii="Times New Roman" w:hAnsi="Times New Roman" w:cs="Times New Roman"/>
                      <w:color w:val="auto"/>
                      <w:szCs w:val="21"/>
                    </w:rPr>
                    <w:t>园区实行雨污分流，雨水经雨水管网进入市政雨水管网；生活污水、锅炉废水依托已建预处理池（100m</w:t>
                  </w:r>
                  <w:r>
                    <w:rPr>
                      <w:rFonts w:ascii="Times New Roman" w:hAnsi="Times New Roman" w:cs="Times New Roman"/>
                      <w:color w:val="auto"/>
                      <w:szCs w:val="21"/>
                      <w:vertAlign w:val="superscript"/>
                    </w:rPr>
                    <w:t>3</w:t>
                  </w:r>
                  <w:r>
                    <w:rPr>
                      <w:rFonts w:ascii="Times New Roman" w:hAnsi="Times New Roman" w:cs="Times New Roman"/>
                      <w:color w:val="auto"/>
                      <w:szCs w:val="21"/>
                    </w:rPr>
                    <w:t>）处理后，达到排放标准后进入园区污水管网后进入大英经济开发区污水处理厂处理达标排入郪江</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401" w:type="pct"/>
                  <w:tcBorders>
                    <w:top w:val="single" w:color="auto" w:sz="4" w:space="0"/>
                    <w:bottom w:val="single" w:color="auto" w:sz="4"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33" w:type="pct"/>
                  <w:vMerge w:val="restart"/>
                  <w:tcBorders>
                    <w:top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环保工程</w:t>
                  </w:r>
                </w:p>
              </w:tc>
              <w:tc>
                <w:tcPr>
                  <w:tcW w:w="717" w:type="pct"/>
                  <w:gridSpan w:val="2"/>
                  <w:tcBorders>
                    <w:top w:val="single" w:color="000000" w:sz="6" w:space="0"/>
                    <w:left w:val="single" w:color="000000" w:sz="6" w:space="0"/>
                    <w:right w:val="single" w:color="000000" w:sz="6" w:space="0"/>
                  </w:tcBorders>
                  <w:vAlign w:val="center"/>
                </w:tcPr>
                <w:p>
                  <w:pPr>
                    <w:widowControl/>
                    <w:jc w:val="center"/>
                    <w:rPr>
                      <w:rFonts w:ascii="Times New Roman" w:hAnsi="Times New Roman" w:cs="Times New Roman"/>
                      <w:color w:val="auto"/>
                      <w:szCs w:val="21"/>
                    </w:rPr>
                  </w:pPr>
                  <w:r>
                    <w:rPr>
                      <w:rFonts w:ascii="Times New Roman" w:hAnsi="Times New Roman" w:eastAsia="宋体" w:cs="Times New Roman"/>
                      <w:color w:val="auto"/>
                      <w:szCs w:val="21"/>
                    </w:rPr>
                    <w:t>废水</w:t>
                  </w:r>
                </w:p>
              </w:tc>
              <w:tc>
                <w:tcPr>
                  <w:tcW w:w="2166" w:type="pct"/>
                  <w:gridSpan w:val="2"/>
                  <w:tcBorders>
                    <w:top w:val="single" w:color="000000" w:sz="6" w:space="0"/>
                    <w:left w:val="single" w:color="000000" w:sz="6" w:space="0"/>
                    <w:right w:val="single" w:color="000000" w:sz="6" w:space="0"/>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eastAsia="zh-CN"/>
                    </w:rPr>
                  </w:pPr>
                  <w:r>
                    <w:rPr>
                      <w:rFonts w:ascii="Times New Roman" w:hAnsi="Times New Roman" w:cs="Times New Roman"/>
                      <w:color w:val="auto"/>
                      <w:sz w:val="21"/>
                      <w:szCs w:val="21"/>
                    </w:rPr>
                    <w:t>生活污水、锅炉废水</w:t>
                  </w:r>
                  <w:r>
                    <w:rPr>
                      <w:rFonts w:hint="eastAsia" w:cs="Times New Roman"/>
                      <w:color w:val="auto"/>
                      <w:sz w:val="21"/>
                      <w:szCs w:val="21"/>
                      <w:lang w:val="en-US" w:eastAsia="zh-CN"/>
                    </w:rPr>
                    <w:t>依托已建</w:t>
                  </w:r>
                  <w:r>
                    <w:rPr>
                      <w:rFonts w:ascii="Times New Roman" w:hAnsi="Times New Roman" w:cs="Times New Roman"/>
                      <w:color w:val="auto"/>
                      <w:sz w:val="21"/>
                      <w:szCs w:val="21"/>
                    </w:rPr>
                    <w:t>预处理池（</w:t>
                  </w:r>
                  <w:r>
                    <w:rPr>
                      <w:rFonts w:hint="eastAsia" w:ascii="Times New Roman" w:hAnsi="Times New Roman" w:cs="Times New Roman"/>
                      <w:color w:val="auto"/>
                      <w:sz w:val="21"/>
                      <w:szCs w:val="21"/>
                      <w:lang w:val="en-US" w:eastAsia="zh-CN"/>
                    </w:rPr>
                    <w:t>1</w:t>
                  </w:r>
                  <w:r>
                    <w:rPr>
                      <w:rFonts w:ascii="Times New Roman" w:hAnsi="Times New Roman" w:cs="Times New Roman"/>
                      <w:color w:val="auto"/>
                      <w:sz w:val="21"/>
                      <w:szCs w:val="21"/>
                    </w:rPr>
                    <w:t>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）处理后，达到排放标准后进入</w:t>
                  </w:r>
                  <w:r>
                    <w:rPr>
                      <w:rFonts w:ascii="Times New Roman" w:hAnsi="Times New Roman" w:cs="Times New Roman"/>
                      <w:color w:val="auto"/>
                      <w:sz w:val="21"/>
                      <w:szCs w:val="21"/>
                      <w:lang w:eastAsia="zh-CN"/>
                    </w:rPr>
                    <w:t>园区污水管网</w:t>
                  </w:r>
                  <w:r>
                    <w:rPr>
                      <w:rFonts w:ascii="Times New Roman" w:hAnsi="Times New Roman" w:cs="Times New Roman"/>
                      <w:color w:val="auto"/>
                      <w:sz w:val="21"/>
                      <w:szCs w:val="21"/>
                    </w:rPr>
                    <w:t>后进入</w:t>
                  </w:r>
                  <w:r>
                    <w:rPr>
                      <w:rFonts w:hint="eastAsia" w:cs="Times New Roman"/>
                      <w:color w:val="auto"/>
                      <w:sz w:val="21"/>
                      <w:szCs w:val="21"/>
                      <w:lang w:eastAsia="zh-CN"/>
                    </w:rPr>
                    <w:t>大英经济开发区污水处理厂</w:t>
                  </w:r>
                  <w:r>
                    <w:rPr>
                      <w:rFonts w:ascii="Times New Roman" w:hAnsi="Times New Roman" w:cs="Times New Roman"/>
                      <w:color w:val="auto"/>
                      <w:sz w:val="21"/>
                      <w:szCs w:val="21"/>
                    </w:rPr>
                    <w:t>处理达标排入</w:t>
                  </w:r>
                  <w:r>
                    <w:rPr>
                      <w:rFonts w:ascii="Times New Roman" w:hAnsi="Times New Roman" w:cs="Times New Roman"/>
                      <w:color w:val="auto"/>
                      <w:sz w:val="21"/>
                      <w:szCs w:val="21"/>
                      <w:lang w:eastAsia="zh-CN"/>
                    </w:rPr>
                    <w:t>郪江</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000000" w:sz="6" w:space="0"/>
                    <w:left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w:t>
                  </w:r>
                </w:p>
              </w:tc>
              <w:tc>
                <w:tcPr>
                  <w:tcW w:w="401" w:type="pct"/>
                  <w:tcBorders>
                    <w:top w:val="single" w:color="000000" w:sz="6" w:space="0"/>
                    <w:left w:val="single" w:color="000000" w:sz="6"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24" w:hRule="atLeast"/>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000000" w:sz="6" w:space="0"/>
                    <w:left w:val="single" w:color="000000" w:sz="6" w:space="0"/>
                    <w:right w:val="single" w:color="000000" w:sz="6" w:space="0"/>
                  </w:tcBorders>
                  <w:vAlign w:val="center"/>
                </w:tcPr>
                <w:p>
                  <w:pPr>
                    <w:widowControl/>
                    <w:jc w:val="center"/>
                    <w:rPr>
                      <w:rFonts w:ascii="Times New Roman" w:hAnsi="Times New Roman" w:cs="Times New Roman"/>
                      <w:color w:val="auto"/>
                      <w:szCs w:val="21"/>
                    </w:rPr>
                  </w:pPr>
                  <w:r>
                    <w:rPr>
                      <w:rFonts w:ascii="Times New Roman" w:hAnsi="Times New Roman" w:eastAsia="宋体" w:cs="Times New Roman"/>
                      <w:color w:val="auto"/>
                      <w:szCs w:val="21"/>
                    </w:rPr>
                    <w:t>废气</w:t>
                  </w:r>
                </w:p>
              </w:tc>
              <w:tc>
                <w:tcPr>
                  <w:tcW w:w="2166" w:type="pct"/>
                  <w:gridSpan w:val="2"/>
                  <w:tcBorders>
                    <w:top w:val="single" w:color="000000" w:sz="6" w:space="0"/>
                    <w:left w:val="single" w:color="000000" w:sz="6" w:space="0"/>
                    <w:right w:val="single" w:color="000000" w:sz="6" w:space="0"/>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锅炉</w:t>
                  </w:r>
                  <w:r>
                    <w:rPr>
                      <w:rFonts w:ascii="Times New Roman" w:hAnsi="Times New Roman" w:cs="Times New Roman"/>
                      <w:b/>
                      <w:bCs/>
                      <w:color w:val="auto"/>
                      <w:sz w:val="21"/>
                      <w:szCs w:val="21"/>
                    </w:rPr>
                    <w:t>燃烧废气：</w:t>
                  </w:r>
                  <w:r>
                    <w:rPr>
                      <w:rFonts w:hint="eastAsia" w:cs="Times New Roman"/>
                      <w:color w:val="auto"/>
                      <w:sz w:val="21"/>
                      <w:szCs w:val="21"/>
                      <w:lang w:eastAsia="zh-CN"/>
                    </w:rPr>
                    <w:t>低氮燃烧+SCR脱硝+旋风布袋除尘器处理后由1根</w:t>
                  </w:r>
                  <w:r>
                    <w:rPr>
                      <w:rFonts w:hint="eastAsia" w:cs="Times New Roman"/>
                      <w:color w:val="auto"/>
                      <w:sz w:val="21"/>
                      <w:szCs w:val="21"/>
                      <w:lang w:val="en-US" w:eastAsia="zh-CN"/>
                    </w:rPr>
                    <w:t>40</w:t>
                  </w:r>
                  <w:r>
                    <w:rPr>
                      <w:rFonts w:hint="eastAsia" w:cs="Times New Roman"/>
                      <w:color w:val="auto"/>
                      <w:sz w:val="21"/>
                      <w:szCs w:val="21"/>
                      <w:lang w:eastAsia="zh-CN"/>
                    </w:rPr>
                    <w:t>m高排气筒排放</w:t>
                  </w:r>
                  <w:r>
                    <w:rPr>
                      <w:rFonts w:ascii="Times New Roman" w:hAnsi="Times New Roman" w:cs="Times New Roman"/>
                      <w:color w:val="auto"/>
                      <w:sz w:val="21"/>
                      <w:szCs w:val="21"/>
                    </w:rPr>
                    <w:t>。</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000000" w:sz="6" w:space="0"/>
                    <w:left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cs="Times New Roman"/>
                      <w:color w:val="auto"/>
                      <w:sz w:val="21"/>
                      <w:szCs w:val="21"/>
                    </w:rPr>
                    <w:t>废气</w:t>
                  </w:r>
                </w:p>
              </w:tc>
              <w:tc>
                <w:tcPr>
                  <w:tcW w:w="401" w:type="pct"/>
                  <w:tcBorders>
                    <w:top w:val="single" w:color="000000" w:sz="6" w:space="0"/>
                    <w:left w:val="single" w:color="000000" w:sz="6" w:space="0"/>
                  </w:tcBorders>
                  <w:vAlign w:val="center"/>
                </w:tcPr>
                <w:p>
                  <w:pPr>
                    <w:jc w:val="center"/>
                    <w:rPr>
                      <w:rFonts w:ascii="Times New Roman" w:hAnsi="Times New Roman"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333" w:type="pct"/>
                  <w:vMerge w:val="continue"/>
                  <w:tcBorders>
                    <w:top w:val="single" w:color="000000" w:sz="6" w:space="0"/>
                    <w:right w:val="single" w:color="000000" w:sz="6" w:space="0"/>
                  </w:tcBorders>
                  <w:vAlign w:val="center"/>
                </w:tcPr>
                <w:p/>
              </w:tc>
              <w:tc>
                <w:tcPr>
                  <w:tcW w:w="717" w:type="pct"/>
                  <w:gridSpan w:val="2"/>
                  <w:tcBorders>
                    <w:top w:val="single" w:color="000000" w:sz="6" w:space="0"/>
                    <w:left w:val="single" w:color="000000" w:sz="6" w:space="0"/>
                    <w:right w:val="single" w:color="000000" w:sz="6"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噪声治理</w:t>
                  </w:r>
                </w:p>
              </w:tc>
              <w:tc>
                <w:tcPr>
                  <w:tcW w:w="2166" w:type="pct"/>
                  <w:gridSpan w:val="2"/>
                  <w:tcBorders>
                    <w:top w:val="single" w:color="000000" w:sz="6" w:space="0"/>
                    <w:left w:val="single" w:color="000000" w:sz="6" w:space="0"/>
                    <w:right w:val="single" w:color="000000" w:sz="6" w:space="0"/>
                  </w:tcBorders>
                  <w:vAlign w:val="center"/>
                </w:tcPr>
                <w:p>
                  <w:pPr>
                    <w:jc w:val="center"/>
                    <w:rPr>
                      <w:rFonts w:ascii="Times New Roman" w:hAnsi="Times New Roman" w:cs="Times New Roman"/>
                      <w:color w:val="auto"/>
                      <w:szCs w:val="21"/>
                    </w:rPr>
                  </w:pPr>
                  <w:r>
                    <w:rPr>
                      <w:rFonts w:ascii="Times New Roman" w:hAnsi="Times New Roman" w:cs="Times New Roman"/>
                      <w:color w:val="auto"/>
                    </w:rPr>
                    <w:t>选用低噪声设备；减震、墙体隔声；加强管理，合理布局</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000000" w:sz="6" w:space="0"/>
                    <w:left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401" w:type="pct"/>
                  <w:tcBorders>
                    <w:top w:val="single" w:color="000000" w:sz="6" w:space="0"/>
                    <w:left w:val="single" w:color="000000" w:sz="6"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6" w:hRule="atLeast"/>
                <w:jc w:val="center"/>
              </w:trPr>
              <w:tc>
                <w:tcPr>
                  <w:tcW w:w="333" w:type="pct"/>
                  <w:vMerge w:val="continue"/>
                  <w:tcBorders>
                    <w:top w:val="single" w:color="000000" w:sz="6" w:space="0"/>
                    <w:right w:val="single" w:color="000000" w:sz="6" w:space="0"/>
                  </w:tcBorders>
                  <w:vAlign w:val="center"/>
                </w:tcPr>
                <w:p/>
              </w:tc>
              <w:tc>
                <w:tcPr>
                  <w:tcW w:w="289" w:type="pct"/>
                  <w:vMerge w:val="restart"/>
                  <w:tcBorders>
                    <w:top w:val="single" w:color="000000" w:sz="6" w:space="0"/>
                    <w:left w:val="single" w:color="000000" w:sz="6" w:space="0"/>
                    <w:right w:val="single" w:color="000000" w:sz="6" w:space="0"/>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固废</w:t>
                  </w:r>
                </w:p>
              </w:tc>
              <w:tc>
                <w:tcPr>
                  <w:tcW w:w="428" w:type="pct"/>
                  <w:tcBorders>
                    <w:top w:val="single" w:color="000000" w:sz="6" w:space="0"/>
                    <w:left w:val="single" w:color="000000" w:sz="6" w:space="0"/>
                    <w:right w:val="single" w:color="000000" w:sz="6"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一般固废</w:t>
                  </w:r>
                </w:p>
              </w:tc>
              <w:tc>
                <w:tcPr>
                  <w:tcW w:w="2166" w:type="pct"/>
                  <w:gridSpan w:val="2"/>
                  <w:tcBorders>
                    <w:top w:val="single" w:color="000000" w:sz="6" w:space="0"/>
                    <w:left w:val="single" w:color="000000" w:sz="6" w:space="0"/>
                    <w:right w:val="single" w:color="000000" w:sz="6" w:space="0"/>
                  </w:tcBorders>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生活垃圾、除尘器收尘交环卫部门定期清运处理，灰渣收集后作为下游企业的原料，外售处理。</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000000" w:sz="6" w:space="0"/>
                    <w:left w:val="single" w:color="000000" w:sz="6" w:space="0"/>
                    <w:right w:val="single" w:color="000000" w:sz="6"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固废</w:t>
                  </w:r>
                </w:p>
              </w:tc>
              <w:tc>
                <w:tcPr>
                  <w:tcW w:w="401" w:type="pct"/>
                  <w:tcBorders>
                    <w:top w:val="single" w:color="000000" w:sz="6" w:space="0"/>
                    <w:left w:val="single" w:color="000000" w:sz="6" w:space="0"/>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33" w:hRule="atLeast"/>
                <w:jc w:val="center"/>
              </w:trPr>
              <w:tc>
                <w:tcPr>
                  <w:tcW w:w="333" w:type="pct"/>
                  <w:vMerge w:val="continue"/>
                  <w:tcBorders>
                    <w:top w:val="single" w:color="000000" w:sz="6" w:space="0"/>
                    <w:right w:val="single" w:color="000000" w:sz="6" w:space="0"/>
                  </w:tcBorders>
                  <w:vAlign w:val="center"/>
                </w:tcPr>
                <w:p/>
              </w:tc>
              <w:tc>
                <w:tcPr>
                  <w:tcW w:w="289" w:type="pct"/>
                  <w:vMerge w:val="continue"/>
                  <w:tcBorders>
                    <w:top w:val="single" w:color="000000" w:sz="6" w:space="0"/>
                    <w:left w:val="single" w:color="000000" w:sz="6" w:space="0"/>
                    <w:right w:val="single" w:color="000000" w:sz="6" w:space="0"/>
                  </w:tcBorders>
                  <w:vAlign w:val="center"/>
                </w:tcPr>
                <w:p/>
              </w:tc>
              <w:tc>
                <w:tcPr>
                  <w:tcW w:w="428" w:type="pct"/>
                  <w:tcBorders>
                    <w:top w:val="single" w:color="000000" w:sz="6" w:space="0"/>
                    <w:left w:val="single" w:color="000000" w:sz="6" w:space="0"/>
                    <w:right w:val="single" w:color="000000" w:sz="6"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危险废物</w:t>
                  </w:r>
                </w:p>
              </w:tc>
              <w:tc>
                <w:tcPr>
                  <w:tcW w:w="445" w:type="pct"/>
                  <w:tcBorders>
                    <w:top w:val="single" w:color="000000" w:sz="6" w:space="0"/>
                    <w:left w:val="single" w:color="000000" w:sz="6" w:space="0"/>
                    <w:right w:val="single" w:color="000000" w:sz="6" w:space="0"/>
                  </w:tcBorders>
                  <w:vAlign w:val="center"/>
                </w:tcPr>
                <w:p>
                  <w:pPr>
                    <w:jc w:val="center"/>
                    <w:rPr>
                      <w:rFonts w:ascii="Times New Roman" w:hAnsi="Times New Roman" w:cs="Times New Roman"/>
                      <w:color w:val="auto"/>
                    </w:rPr>
                  </w:pPr>
                  <w:r>
                    <w:rPr>
                      <w:rFonts w:ascii="Times New Roman" w:hAnsi="Times New Roman" w:cs="Times New Roman"/>
                      <w:color w:val="auto"/>
                    </w:rPr>
                    <w:t>危废暂存间</w:t>
                  </w:r>
                </w:p>
              </w:tc>
              <w:tc>
                <w:tcPr>
                  <w:tcW w:w="1721" w:type="pct"/>
                  <w:tcBorders>
                    <w:top w:val="single" w:color="000000" w:sz="6" w:space="0"/>
                    <w:left w:val="single" w:color="000000" w:sz="6" w:space="0"/>
                    <w:right w:val="single" w:color="000000" w:sz="6" w:space="0"/>
                  </w:tcBorders>
                  <w:vAlign w:val="center"/>
                </w:tcPr>
                <w:p>
                  <w:pPr>
                    <w:jc w:val="center"/>
                    <w:rPr>
                      <w:rFonts w:ascii="Times New Roman" w:hAnsi="Times New Roman" w:cs="Times New Roman"/>
                      <w:color w:val="auto"/>
                    </w:rPr>
                  </w:pPr>
                  <w:r>
                    <w:rPr>
                      <w:rFonts w:ascii="Times New Roman" w:hAnsi="Times New Roman" w:cs="Times New Roman"/>
                      <w:color w:val="auto"/>
                      <w:szCs w:val="21"/>
                    </w:rPr>
                    <w:t>位于厂区东南侧，占地约5m</w:t>
                  </w:r>
                  <w:r>
                    <w:rPr>
                      <w:rFonts w:ascii="Times New Roman" w:hAnsi="Times New Roman" w:cs="Times New Roman"/>
                      <w:color w:val="auto"/>
                      <w:szCs w:val="21"/>
                      <w:vertAlign w:val="superscript"/>
                    </w:rPr>
                    <w:t>2</w:t>
                  </w:r>
                  <w:r>
                    <w:rPr>
                      <w:rFonts w:ascii="Times New Roman" w:hAnsi="Times New Roman" w:cs="Times New Roman"/>
                      <w:color w:val="auto"/>
                      <w:szCs w:val="21"/>
                    </w:rPr>
                    <w:t>，采取“三防”措施并设立标识标牌，危险废物经分类收集后交有资质单位进行处理。</w:t>
                  </w:r>
                </w:p>
              </w:tc>
              <w:tc>
                <w:tcPr>
                  <w:tcW w:w="642" w:type="pct"/>
                  <w:vMerge w:val="continue"/>
                  <w:tcBorders>
                    <w:top w:val="single" w:color="000000" w:sz="6" w:space="0"/>
                    <w:left w:val="single" w:color="000000" w:sz="6" w:space="0"/>
                    <w:right w:val="single" w:color="000000" w:sz="6" w:space="0"/>
                  </w:tcBorders>
                  <w:vAlign w:val="center"/>
                </w:tcPr>
                <w:p/>
              </w:tc>
              <w:tc>
                <w:tcPr>
                  <w:tcW w:w="739" w:type="pct"/>
                  <w:tcBorders>
                    <w:top w:val="single" w:color="000000" w:sz="6" w:space="0"/>
                    <w:left w:val="single" w:color="000000" w:sz="6" w:space="0"/>
                    <w:right w:val="single" w:color="000000" w:sz="6" w:space="0"/>
                  </w:tcBorders>
                  <w:vAlign w:val="center"/>
                </w:tcPr>
                <w:p>
                  <w:pPr>
                    <w:pStyle w:val="7"/>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危废</w:t>
                  </w:r>
                </w:p>
              </w:tc>
              <w:tc>
                <w:tcPr>
                  <w:tcW w:w="401" w:type="pct"/>
                  <w:tcBorders>
                    <w:top w:val="single" w:color="000000" w:sz="6" w:space="0"/>
                    <w:left w:val="single" w:color="000000" w:sz="6" w:space="0"/>
                  </w:tcBorders>
                  <w:vAlign w:val="center"/>
                </w:tcPr>
                <w:p>
                  <w:pPr>
                    <w:jc w:val="center"/>
                    <w:rPr>
                      <w:rFonts w:hint="eastAsia" w:ascii="Times New Roman" w:hAnsi="Times New Roman" w:eastAsia="宋体" w:cs="Times New Roman"/>
                      <w:color w:val="auto"/>
                      <w:szCs w:val="21"/>
                      <w:lang w:eastAsia="zh-CN"/>
                    </w:rPr>
                  </w:pPr>
                  <w:r>
                    <w:rPr>
                      <w:rFonts w:hint="eastAsia" w:eastAsia="宋体" w:cs="Times New Roman"/>
                      <w:color w:val="auto"/>
                      <w:szCs w:val="21"/>
                      <w:lang w:val="en-US" w:eastAsia="zh-CN"/>
                    </w:rPr>
                    <w:t>依托</w:t>
                  </w:r>
                </w:p>
              </w:tc>
            </w:tr>
          </w:tbl>
          <w:p>
            <w:pPr>
              <w:pStyle w:val="22"/>
              <w:spacing w:line="360" w:lineRule="auto"/>
              <w:rPr>
                <w:rFonts w:ascii="Times New Roman" w:hAnsi="Times New Roman" w:eastAsia="宋体" w:cs="Times New Roman"/>
                <w:color w:val="auto"/>
              </w:rPr>
            </w:pPr>
            <w:r>
              <w:rPr>
                <w:rFonts w:ascii="Times New Roman" w:hAnsi="Times New Roman" w:eastAsia="宋体" w:cs="Times New Roman"/>
                <w:color w:val="auto"/>
              </w:rPr>
              <w:t>4、主要设备</w:t>
            </w:r>
          </w:p>
          <w:p>
            <w:pPr>
              <w:pStyle w:val="7"/>
              <w:widowControl/>
              <w:spacing w:line="360" w:lineRule="auto"/>
              <w:ind w:firstLine="48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项目运营期主要设备清单见表2-</w:t>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w:t>
            </w:r>
          </w:p>
          <w:p>
            <w:pPr>
              <w:pStyle w:val="4"/>
              <w:spacing w:before="0" w:after="0" w:line="360" w:lineRule="auto"/>
              <w:jc w:val="center"/>
              <w:rPr>
                <w:rFonts w:ascii="Times New Roman" w:hAnsi="Times New Roman" w:eastAsia="宋体" w:cs="Times New Roman"/>
                <w:bCs w:val="0"/>
                <w:color w:val="auto"/>
                <w:sz w:val="21"/>
                <w:szCs w:val="21"/>
              </w:rPr>
            </w:pPr>
            <w:r>
              <w:rPr>
                <w:rFonts w:ascii="Times New Roman" w:hAnsi="Times New Roman" w:eastAsia="宋体" w:cs="Times New Roman"/>
                <w:bCs w:val="0"/>
                <w:color w:val="auto"/>
                <w:sz w:val="21"/>
                <w:szCs w:val="21"/>
              </w:rPr>
              <w:t>表2-</w:t>
            </w:r>
            <w:r>
              <w:rPr>
                <w:rFonts w:hint="eastAsia" w:ascii="Times New Roman" w:hAnsi="Times New Roman" w:eastAsia="宋体" w:cs="Times New Roman"/>
                <w:bCs w:val="0"/>
                <w:color w:val="auto"/>
                <w:sz w:val="21"/>
                <w:szCs w:val="21"/>
                <w:lang w:val="en-US" w:eastAsia="zh-CN"/>
              </w:rPr>
              <w:t>3</w:t>
            </w:r>
            <w:r>
              <w:rPr>
                <w:rFonts w:ascii="Times New Roman" w:hAnsi="Times New Roman" w:eastAsia="宋体" w:cs="Times New Roman"/>
                <w:bCs w:val="0"/>
                <w:color w:val="auto"/>
                <w:sz w:val="21"/>
                <w:szCs w:val="21"/>
              </w:rPr>
              <w:t xml:space="preserve"> 本项目运营期主要设备</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30"/>
              <w:gridCol w:w="2096"/>
              <w:gridCol w:w="2504"/>
              <w:gridCol w:w="1222"/>
              <w:gridCol w:w="15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12"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b/>
                      <w:bCs/>
                      <w:color w:val="auto"/>
                      <w:sz w:val="21"/>
                      <w:szCs w:val="21"/>
                    </w:rPr>
                  </w:pPr>
                  <w:r>
                    <w:rPr>
                      <w:rStyle w:val="78"/>
                      <w:rFonts w:ascii="Times New Roman" w:hAnsi="Times New Roman" w:cs="Times New Roman"/>
                      <w:b/>
                      <w:bCs/>
                      <w:color w:val="auto"/>
                      <w:sz w:val="21"/>
                      <w:szCs w:val="21"/>
                    </w:rPr>
                    <w:t>序号</w:t>
                  </w:r>
                </w:p>
              </w:tc>
              <w:tc>
                <w:tcPr>
                  <w:tcW w:w="2084"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bCs/>
                      <w:color w:val="auto"/>
                      <w:sz w:val="21"/>
                      <w:szCs w:val="21"/>
                    </w:rPr>
                  </w:pPr>
                  <w:r>
                    <w:rPr>
                      <w:rStyle w:val="78"/>
                      <w:rFonts w:ascii="Times New Roman" w:hAnsi="Times New Roman" w:cs="Times New Roman"/>
                      <w:b/>
                      <w:bCs/>
                      <w:color w:val="auto"/>
                      <w:sz w:val="21"/>
                      <w:szCs w:val="21"/>
                    </w:rPr>
                    <w:t>名称</w:t>
                  </w:r>
                </w:p>
              </w:tc>
              <w:tc>
                <w:tcPr>
                  <w:tcW w:w="2489"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bCs/>
                      <w:color w:val="auto"/>
                      <w:sz w:val="21"/>
                      <w:szCs w:val="21"/>
                    </w:rPr>
                  </w:pPr>
                  <w:r>
                    <w:rPr>
                      <w:rStyle w:val="78"/>
                      <w:rFonts w:ascii="Times New Roman" w:hAnsi="Times New Roman" w:cs="Times New Roman"/>
                      <w:b/>
                      <w:bCs/>
                      <w:color w:val="auto"/>
                      <w:sz w:val="21"/>
                      <w:szCs w:val="21"/>
                    </w:rPr>
                    <w:t>规格/型号</w:t>
                  </w:r>
                </w:p>
              </w:tc>
              <w:tc>
                <w:tcPr>
                  <w:tcW w:w="1215"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bCs/>
                      <w:color w:val="auto"/>
                      <w:sz w:val="21"/>
                      <w:szCs w:val="21"/>
                    </w:rPr>
                  </w:pPr>
                  <w:r>
                    <w:rPr>
                      <w:rStyle w:val="78"/>
                      <w:rFonts w:ascii="Times New Roman" w:hAnsi="Times New Roman" w:cs="Times New Roman"/>
                      <w:b/>
                      <w:bCs/>
                      <w:color w:val="auto"/>
                      <w:sz w:val="21"/>
                      <w:szCs w:val="21"/>
                    </w:rPr>
                    <w:t>数量</w:t>
                  </w:r>
                </w:p>
              </w:tc>
              <w:tc>
                <w:tcPr>
                  <w:tcW w:w="1577" w:type="dxa"/>
                  <w:tcBorders>
                    <w:top w:val="single" w:color="000000" w:sz="12"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b/>
                      <w:bCs/>
                      <w:color w:val="auto"/>
                      <w:sz w:val="21"/>
                      <w:szCs w:val="21"/>
                    </w:rPr>
                  </w:pPr>
                  <w:r>
                    <w:rPr>
                      <w:rStyle w:val="78"/>
                      <w:rFonts w:ascii="Times New Roman" w:hAnsi="Times New Roman" w:cs="Times New Roman"/>
                      <w:b/>
                      <w:bCs/>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 w:hRule="atLeast"/>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1</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lang w:val="zh-CN"/>
                    </w:rPr>
                    <w:t>锅炉主机</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Fonts w:hint="eastAsia" w:ascii="Times New Roman" w:hAnsi="Times New Roman" w:eastAsia="宋体" w:cs="Times New Roman"/>
                      <w:color w:val="auto"/>
                      <w:sz w:val="21"/>
                      <w:szCs w:val="21"/>
                      <w:highlight w:val="none"/>
                      <w:lang w:val="en-US" w:eastAsia="zh-CN"/>
                    </w:rPr>
                    <w:t>SHS-12-2.45-Q</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lang w:val="en-US" w:eastAsia="zh-CN"/>
                    </w:rPr>
                    <w:t>1</w:t>
                  </w:r>
                  <w:r>
                    <w:rPr>
                      <w:rFonts w:ascii="Times New Roman" w:hAnsi="Times New Roman" w:cs="Times New Roman"/>
                      <w:color w:val="auto"/>
                      <w:sz w:val="21"/>
                      <w:szCs w:val="21"/>
                      <w:lang w:val="zh-CN"/>
                    </w:rPr>
                    <w:t>台</w:t>
                  </w:r>
                </w:p>
              </w:tc>
              <w:tc>
                <w:tcPr>
                  <w:tcW w:w="1577" w:type="dxa"/>
                  <w:tcBorders>
                    <w:top w:val="single" w:color="000000" w:sz="4" w:space="0"/>
                    <w:left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2</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eastAsia="宋体" w:cs="Times New Roman"/>
                      <w:color w:val="auto"/>
                      <w:sz w:val="21"/>
                      <w:szCs w:val="21"/>
                      <w:lang w:eastAsia="zh-CN"/>
                    </w:rPr>
                  </w:pPr>
                  <w:r>
                    <w:rPr>
                      <w:rFonts w:ascii="Times New Roman" w:hAnsi="Times New Roman" w:cs="Times New Roman"/>
                      <w:color w:val="auto"/>
                      <w:sz w:val="21"/>
                      <w:szCs w:val="21"/>
                      <w:lang w:val="en-US" w:eastAsia="zh-CN"/>
                    </w:rPr>
                    <w:t>气化炉</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Style w:val="78"/>
                      <w:rFonts w:hint="eastAsia"/>
                      <w:color w:val="auto"/>
                      <w:sz w:val="21"/>
                      <w:szCs w:val="21"/>
                      <w:lang w:val="en-US"/>
                    </w:rPr>
                    <w:t>12000LXQ3750-BPF</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lang w:val="en-US" w:eastAsia="zh-CN"/>
                    </w:rPr>
                    <w:t>1</w:t>
                  </w:r>
                  <w:r>
                    <w:rPr>
                      <w:rFonts w:ascii="Times New Roman" w:hAnsi="Times New Roman" w:cs="Times New Roman"/>
                      <w:color w:val="auto"/>
                      <w:sz w:val="21"/>
                      <w:szCs w:val="21"/>
                    </w:rPr>
                    <w:t>套</w:t>
                  </w:r>
                </w:p>
              </w:tc>
              <w:tc>
                <w:tcPr>
                  <w:tcW w:w="1577" w:type="dxa"/>
                  <w:tcBorders>
                    <w:left w:val="single" w:color="000000" w:sz="4" w:space="0"/>
                    <w:right w:val="nil"/>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lang w:val="en-US"/>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3</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烟气处理装置</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SCR脱硝反应器+布袋除尘器</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1套</w:t>
                  </w:r>
                </w:p>
              </w:tc>
              <w:tc>
                <w:tcPr>
                  <w:tcW w:w="1577" w:type="dxa"/>
                  <w:tcBorders>
                    <w:left w:val="single" w:color="000000" w:sz="4" w:space="0"/>
                    <w:right w:val="nil"/>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lang w:val="en-US"/>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4</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eastAsia="宋体" w:cs="Times New Roman"/>
                      <w:color w:val="auto"/>
                      <w:sz w:val="21"/>
                      <w:szCs w:val="21"/>
                      <w:lang w:eastAsia="zh-CN"/>
                    </w:rPr>
                  </w:pPr>
                  <w:r>
                    <w:rPr>
                      <w:rFonts w:ascii="Times New Roman" w:hAnsi="Times New Roman" w:cs="Times New Roman"/>
                      <w:color w:val="auto"/>
                      <w:sz w:val="21"/>
                      <w:szCs w:val="21"/>
                      <w:lang w:val="en-US" w:eastAsia="zh-CN"/>
                    </w:rPr>
                    <w:t>给水泵</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rPr>
                    <w:t>AS32-150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2</w:t>
                  </w:r>
                  <w:r>
                    <w:rPr>
                      <w:rFonts w:ascii="Times New Roman" w:hAnsi="Times New Roman" w:cs="Times New Roman"/>
                      <w:color w:val="auto"/>
                      <w:sz w:val="21"/>
                      <w:szCs w:val="21"/>
                      <w:lang w:val="en-US" w:eastAsia="zh-CN"/>
                    </w:rPr>
                    <w:t>台</w:t>
                  </w:r>
                </w:p>
              </w:tc>
              <w:tc>
                <w:tcPr>
                  <w:tcW w:w="1577" w:type="dxa"/>
                  <w:tcBorders>
                    <w:left w:val="single" w:color="000000" w:sz="4" w:space="0"/>
                    <w:right w:val="nil"/>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lang w:val="en-US"/>
                    </w:rPr>
                    <w:t>一用一备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5</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疏水系统</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疏水箱+疏水泵</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lang w:val="en-US" w:eastAsia="zh-CN"/>
                    </w:rPr>
                    <w:t>2</w:t>
                  </w:r>
                  <w:r>
                    <w:rPr>
                      <w:rFonts w:ascii="Times New Roman" w:hAnsi="Times New Roman" w:cs="Times New Roman"/>
                      <w:color w:val="auto"/>
                      <w:sz w:val="21"/>
                      <w:szCs w:val="21"/>
                    </w:rPr>
                    <w:t>套</w:t>
                  </w:r>
                </w:p>
              </w:tc>
              <w:tc>
                <w:tcPr>
                  <w:tcW w:w="1577" w:type="dxa"/>
                  <w:tcBorders>
                    <w:left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一用一备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6</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lang w:val="en-US" w:eastAsia="zh-CN"/>
                    </w:rPr>
                    <w:t>配</w:t>
                  </w:r>
                  <w:r>
                    <w:rPr>
                      <w:rFonts w:ascii="Times New Roman" w:hAnsi="Times New Roman" w:cs="Times New Roman"/>
                      <w:color w:val="auto"/>
                      <w:sz w:val="21"/>
                      <w:szCs w:val="21"/>
                      <w:lang w:val="zh-CN"/>
                    </w:rPr>
                    <w:t>汽缸</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DN800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rPr>
                    <w:t>1台</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7</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定排污扩容器</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zh-CN"/>
                    </w:rPr>
                    <w:t>容积  V=2.0 m</w:t>
                  </w:r>
                  <w:r>
                    <w:rPr>
                      <w:rStyle w:val="78"/>
                      <w:rFonts w:ascii="Times New Roman" w:hAnsi="Times New Roman" w:cs="Times New Roman"/>
                      <w:color w:val="auto"/>
                      <w:sz w:val="21"/>
                      <w:szCs w:val="21"/>
                      <w:vertAlign w:val="superscript"/>
                    </w:rPr>
                    <w:t>3</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sz w:val="21"/>
                      <w:szCs w:val="21"/>
                      <w:lang w:val="en-US" w:eastAsia="zh-CN"/>
                    </w:rPr>
                  </w:pPr>
                  <w:r>
                    <w:rPr>
                      <w:rStyle w:val="78"/>
                      <w:rFonts w:ascii="Times New Roman" w:hAnsi="Times New Roman" w:cs="Times New Roman"/>
                      <w:color w:val="auto"/>
                      <w:sz w:val="21"/>
                      <w:szCs w:val="21"/>
                      <w:lang w:val="zh-CN"/>
                    </w:rPr>
                    <w:t>1</w:t>
                  </w:r>
                  <w:r>
                    <w:rPr>
                      <w:rStyle w:val="78"/>
                      <w:rFonts w:ascii="Times New Roman" w:hAnsi="Times New Roman" w:cs="Times New Roman"/>
                      <w:color w:val="auto"/>
                      <w:sz w:val="21"/>
                      <w:szCs w:val="21"/>
                      <w:lang w:val="en-US"/>
                    </w:rPr>
                    <w:t>台</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lang w:val="en-US"/>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8</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装载机</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卡特</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租用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9</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上料机</w:t>
                  </w:r>
                </w:p>
              </w:tc>
              <w:tc>
                <w:tcPr>
                  <w:tcW w:w="24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rPr>
                      <w:rStyle w:val="78"/>
                      <w:rFonts w:ascii="Times New Roman" w:hAnsi="Times New Roman" w:cs="Times New Roman"/>
                      <w:color w:val="auto"/>
                      <w:sz w:val="21"/>
                      <w:szCs w:val="21"/>
                      <w:lang w:val="zh-CN"/>
                    </w:rPr>
                  </w:pPr>
                  <w:r>
                    <w:rPr>
                      <w:rFonts w:hint="eastAsia" w:ascii="Times New Roman" w:hAnsi="Times New Roman" w:eastAsia="宋体" w:cs="Times New Roman"/>
                      <w:color w:val="auto"/>
                      <w:sz w:val="21"/>
                      <w:szCs w:val="21"/>
                      <w:highlight w:val="none"/>
                      <w:lang w:val="en-US" w:eastAsia="zh-CN"/>
                    </w:rPr>
                    <w:t>SL1000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10</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空压机</w:t>
                  </w:r>
                </w:p>
              </w:tc>
              <w:tc>
                <w:tcPr>
                  <w:tcW w:w="24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rPr>
                      <w:rStyle w:val="78"/>
                      <w:rFonts w:ascii="Times New Roman" w:hAnsi="Times New Roman" w:cs="Times New Roman"/>
                      <w:color w:val="auto"/>
                      <w:sz w:val="21"/>
                      <w:szCs w:val="21"/>
                      <w:lang w:val="zh-CN"/>
                    </w:rPr>
                  </w:pPr>
                  <w:r>
                    <w:rPr>
                      <w:rFonts w:hint="eastAsia" w:ascii="Times New Roman" w:hAnsi="Times New Roman" w:eastAsia="宋体" w:cs="Times New Roman"/>
                      <w:color w:val="auto"/>
                      <w:sz w:val="21"/>
                      <w:szCs w:val="21"/>
                      <w:highlight w:val="none"/>
                      <w:lang w:val="en-US" w:eastAsia="zh-CN"/>
                    </w:rPr>
                    <w:t>2m3/min</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11</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氨水罐</w:t>
                  </w:r>
                </w:p>
              </w:tc>
              <w:tc>
                <w:tcPr>
                  <w:tcW w:w="248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jc w:val="center"/>
                    <w:rPr>
                      <w:rStyle w:val="78"/>
                      <w:rFonts w:ascii="Times New Roman" w:hAnsi="Times New Roman" w:cs="Times New Roman"/>
                      <w:color w:val="auto"/>
                      <w:sz w:val="21"/>
                      <w:szCs w:val="21"/>
                      <w:lang w:val="zh-CN"/>
                    </w:rPr>
                  </w:pPr>
                  <w:r>
                    <w:rPr>
                      <w:rFonts w:hint="eastAsia" w:ascii="Times New Roman" w:hAnsi="Times New Roman" w:eastAsia="宋体" w:cs="Times New Roman"/>
                      <w:color w:val="auto"/>
                      <w:sz w:val="21"/>
                      <w:szCs w:val="21"/>
                      <w:highlight w:val="none"/>
                      <w:lang w:val="en-US" w:eastAsia="zh-CN"/>
                    </w:rPr>
                    <w:t>8m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，ф2500×2000</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lang w:val="en-US"/>
                    </w:rPr>
                  </w:pPr>
                  <w:r>
                    <w:rPr>
                      <w:rStyle w:val="78"/>
                      <w:rFonts w:ascii="Times New Roman" w:hAnsi="Times New Roman" w:cs="Times New Roman"/>
                      <w:color w:val="auto"/>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 w:val="21"/>
                      <w:szCs w:val="21"/>
                      <w:lang w:val="en-US"/>
                    </w:rPr>
                  </w:pPr>
                  <w:r>
                    <w:rPr>
                      <w:rStyle w:val="78"/>
                      <w:rFonts w:hint="eastAsia" w:ascii="Times New Roman" w:hAnsi="Times New Roman" w:cs="Times New Roman"/>
                      <w:color w:val="auto"/>
                      <w:sz w:val="21"/>
                      <w:szCs w:val="21"/>
                      <w:lang w:val="en-US"/>
                    </w:rPr>
                    <w:t>12</w:t>
                  </w:r>
                </w:p>
              </w:tc>
              <w:tc>
                <w:tcPr>
                  <w:tcW w:w="2084"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钠离子软水处理装置</w:t>
                  </w:r>
                </w:p>
              </w:tc>
              <w:tc>
                <w:tcPr>
                  <w:tcW w:w="2489"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WT-LN12</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Style w:val="78"/>
                      <w:rFonts w:ascii="Times New Roman" w:hAnsi="Times New Roman" w:cs="Times New Roman"/>
                      <w:color w:val="auto"/>
                      <w:sz w:val="21"/>
                      <w:szCs w:val="21"/>
                    </w:rPr>
                  </w:pPr>
                  <w:r>
                    <w:rPr>
                      <w:rFonts w:ascii="Times New Roman" w:hAnsi="Times New Roman" w:cs="Times New Roman"/>
                      <w:color w:val="auto"/>
                      <w:sz w:val="21"/>
                      <w:szCs w:val="21"/>
                    </w:rPr>
                    <w:t>1套</w:t>
                  </w:r>
                </w:p>
              </w:tc>
              <w:tc>
                <w:tcPr>
                  <w:tcW w:w="1577"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 w:val="21"/>
                      <w:szCs w:val="21"/>
                    </w:rPr>
                  </w:pPr>
                  <w:r>
                    <w:rPr>
                      <w:rStyle w:val="78"/>
                      <w:rFonts w:ascii="Times New Roman" w:hAnsi="Times New Roman" w:cs="Times New Roman"/>
                      <w:color w:val="auto"/>
                      <w:sz w:val="21"/>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24" w:type="dxa"/>
                  <w:tcBorders>
                    <w:top w:val="single" w:color="000000" w:sz="4" w:space="0"/>
                    <w:left w:val="nil"/>
                    <w:bottom w:val="single" w:color="000000" w:sz="12" w:space="0"/>
                    <w:right w:val="single" w:color="000000" w:sz="4" w:space="0"/>
                  </w:tcBorders>
                  <w:vAlign w:val="center"/>
                </w:tcPr>
                <w:p>
                  <w:pPr>
                    <w:jc w:val="center"/>
                    <w:textAlignment w:val="baseline"/>
                    <w:rPr>
                      <w:rStyle w:val="78"/>
                      <w:rFonts w:ascii="Times New Roman" w:hAnsi="Times New Roman" w:cs="Times New Roman"/>
                      <w:color w:val="auto"/>
                      <w:sz w:val="21"/>
                      <w:szCs w:val="21"/>
                      <w:u w:val="none"/>
                      <w:lang w:val="en-US"/>
                    </w:rPr>
                  </w:pPr>
                  <w:r>
                    <w:rPr>
                      <w:rStyle w:val="78"/>
                      <w:rFonts w:hint="eastAsia" w:cs="Times New Roman"/>
                      <w:color w:val="auto"/>
                      <w:sz w:val="21"/>
                      <w:szCs w:val="21"/>
                      <w:u w:val="none"/>
                      <w:lang w:val="en-US"/>
                    </w:rPr>
                    <w:t>13</w:t>
                  </w:r>
                </w:p>
              </w:tc>
              <w:tc>
                <w:tcPr>
                  <w:tcW w:w="2084" w:type="dxa"/>
                  <w:tcBorders>
                    <w:top w:val="single" w:color="000000" w:sz="4" w:space="0"/>
                    <w:left w:val="single" w:color="000000" w:sz="4" w:space="0"/>
                    <w:bottom w:val="single" w:color="000000" w:sz="12" w:space="0"/>
                    <w:right w:val="single" w:color="000000" w:sz="4" w:space="0"/>
                  </w:tcBorders>
                  <w:vAlign w:val="center"/>
                </w:tcPr>
                <w:p>
                  <w:pPr>
                    <w:jc w:val="center"/>
                    <w:rPr>
                      <w:rStyle w:val="78"/>
                      <w:rFonts w:ascii="Times New Roman" w:hAnsi="Times New Roman" w:cs="Times New Roman"/>
                      <w:color w:val="auto"/>
                      <w:sz w:val="21"/>
                      <w:szCs w:val="21"/>
                      <w:u w:val="none"/>
                      <w:lang w:val="en-US"/>
                    </w:rPr>
                  </w:pPr>
                  <w:r>
                    <w:rPr>
                      <w:rStyle w:val="78"/>
                      <w:rFonts w:hint="eastAsia" w:cs="Times New Roman"/>
                      <w:color w:val="auto"/>
                      <w:sz w:val="21"/>
                      <w:szCs w:val="21"/>
                      <w:u w:val="none"/>
                      <w:lang w:val="en-US"/>
                    </w:rPr>
                    <w:t>低氮燃烧器</w:t>
                  </w:r>
                </w:p>
              </w:tc>
              <w:tc>
                <w:tcPr>
                  <w:tcW w:w="2489" w:type="dxa"/>
                  <w:tcBorders>
                    <w:top w:val="single" w:color="000000" w:sz="4" w:space="0"/>
                    <w:left w:val="single" w:color="000000" w:sz="4" w:space="0"/>
                    <w:bottom w:val="single" w:color="000000" w:sz="12" w:space="0"/>
                    <w:right w:val="single" w:color="000000" w:sz="4" w:space="0"/>
                  </w:tcBorders>
                  <w:vAlign w:val="center"/>
                </w:tcPr>
                <w:p>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DB16SE FGR</w:t>
                  </w:r>
                </w:p>
              </w:tc>
              <w:tc>
                <w:tcPr>
                  <w:tcW w:w="1215" w:type="dxa"/>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cs="Times New Roman"/>
                      <w:color w:val="auto"/>
                      <w:sz w:val="21"/>
                      <w:szCs w:val="21"/>
                      <w:u w:val="none"/>
                    </w:rPr>
                  </w:pPr>
                  <w:r>
                    <w:rPr>
                      <w:rFonts w:ascii="Times New Roman" w:hAnsi="Times New Roman" w:cs="Times New Roman"/>
                      <w:color w:val="auto"/>
                      <w:sz w:val="21"/>
                      <w:szCs w:val="21"/>
                      <w:u w:val="none"/>
                      <w:lang w:val="en-US" w:eastAsia="zh-CN"/>
                    </w:rPr>
                    <w:t>1</w:t>
                  </w:r>
                  <w:r>
                    <w:rPr>
                      <w:rFonts w:ascii="Times New Roman" w:hAnsi="Times New Roman" w:cs="Times New Roman"/>
                      <w:color w:val="auto"/>
                      <w:sz w:val="21"/>
                      <w:szCs w:val="21"/>
                      <w:u w:val="none"/>
                      <w:lang w:val="zh-CN"/>
                    </w:rPr>
                    <w:t>台</w:t>
                  </w:r>
                </w:p>
              </w:tc>
              <w:tc>
                <w:tcPr>
                  <w:tcW w:w="1577" w:type="dxa"/>
                  <w:tcBorders>
                    <w:top w:val="single" w:color="000000" w:sz="4" w:space="0"/>
                    <w:left w:val="single" w:color="000000" w:sz="4" w:space="0"/>
                    <w:bottom w:val="single" w:color="000000" w:sz="12" w:space="0"/>
                    <w:right w:val="nil"/>
                  </w:tcBorders>
                  <w:vAlign w:val="center"/>
                </w:tcPr>
                <w:p>
                  <w:pPr>
                    <w:jc w:val="center"/>
                    <w:textAlignment w:val="baseline"/>
                    <w:rPr>
                      <w:rStyle w:val="78"/>
                      <w:rFonts w:ascii="Times New Roman" w:hAnsi="Times New Roman" w:cs="Times New Roman"/>
                      <w:color w:val="auto"/>
                      <w:sz w:val="21"/>
                      <w:szCs w:val="21"/>
                      <w:u w:val="none"/>
                      <w:lang w:val="en-US"/>
                    </w:rPr>
                  </w:pPr>
                  <w:r>
                    <w:rPr>
                      <w:rStyle w:val="78"/>
                      <w:rFonts w:hint="eastAsia" w:cs="Times New Roman"/>
                      <w:color w:val="auto"/>
                      <w:sz w:val="21"/>
                      <w:szCs w:val="21"/>
                      <w:u w:val="none"/>
                      <w:lang w:val="en-US"/>
                    </w:rPr>
                    <w:t>锅炉自带</w:t>
                  </w:r>
                </w:p>
              </w:tc>
            </w:tr>
          </w:tbl>
          <w:p>
            <w:pPr>
              <w:pStyle w:val="22"/>
              <w:spacing w:line="360" w:lineRule="auto"/>
              <w:rPr>
                <w:rFonts w:ascii="Times New Roman" w:hAnsi="Times New Roman" w:eastAsia="宋体" w:cs="Times New Roman"/>
                <w:color w:val="auto"/>
              </w:rPr>
            </w:pPr>
            <w:r>
              <w:rPr>
                <w:rFonts w:ascii="Times New Roman" w:hAnsi="Times New Roman" w:eastAsia="宋体" w:cs="Times New Roman"/>
                <w:color w:val="auto"/>
              </w:rPr>
              <w:t>5、主要原辅材料</w:t>
            </w:r>
          </w:p>
          <w:p>
            <w:pPr>
              <w:tabs>
                <w:tab w:val="center" w:pos="4320"/>
                <w:tab w:val="right" w:pos="8640"/>
              </w:tabs>
              <w:spacing w:line="360" w:lineRule="auto"/>
              <w:ind w:firstLine="480" w:firstLineChars="200"/>
              <w:jc w:val="left"/>
              <w:textAlignment w:val="baseline"/>
              <w:rPr>
                <w:rFonts w:ascii="Times New Roman" w:hAnsi="Times New Roman" w:cs="Times New Roman"/>
                <w:color w:val="auto"/>
                <w:kern w:val="0"/>
                <w:sz w:val="24"/>
              </w:rPr>
            </w:pPr>
            <w:r>
              <w:rPr>
                <w:rFonts w:ascii="Times New Roman" w:hAnsi="Times New Roman" w:cs="Times New Roman"/>
                <w:color w:val="auto"/>
                <w:kern w:val="0"/>
                <w:sz w:val="24"/>
              </w:rPr>
              <w:t>本项目使用的主要原辅材料及能源消耗详见表2-</w:t>
            </w:r>
            <w:r>
              <w:rPr>
                <w:rFonts w:hint="eastAsia" w:ascii="Times New Roman" w:hAnsi="Times New Roman" w:cs="Times New Roman"/>
                <w:color w:val="auto"/>
                <w:kern w:val="0"/>
                <w:sz w:val="24"/>
                <w:lang w:val="en-US" w:eastAsia="zh-CN"/>
              </w:rPr>
              <w:t>4</w:t>
            </w:r>
            <w:r>
              <w:rPr>
                <w:rFonts w:ascii="Times New Roman" w:hAnsi="Times New Roman" w:cs="Times New Roman"/>
                <w:color w:val="auto"/>
                <w:kern w:val="0"/>
                <w:sz w:val="24"/>
              </w:rPr>
              <w:t>。</w:t>
            </w:r>
          </w:p>
          <w:p>
            <w:pPr>
              <w:pStyle w:val="2"/>
              <w:adjustRightInd w:val="0"/>
              <w:snapToGrid w:val="0"/>
              <w:spacing w:before="0" w:after="0" w:line="259" w:lineRule="auto"/>
              <w:jc w:val="center"/>
              <w:rPr>
                <w:rFonts w:ascii="Times New Roman" w:hAnsi="Times New Roman" w:cs="Times New Roman"/>
                <w:color w:val="auto"/>
                <w:sz w:val="21"/>
                <w:szCs w:val="21"/>
              </w:rPr>
            </w:pPr>
            <w:r>
              <w:rPr>
                <w:rFonts w:ascii="Times New Roman" w:hAnsi="Times New Roman" w:cs="Times New Roman"/>
                <w:b/>
                <w:color w:val="auto"/>
                <w:sz w:val="21"/>
                <w:szCs w:val="21"/>
              </w:rPr>
              <w:t>表2-</w:t>
            </w:r>
            <w:r>
              <w:rPr>
                <w:rFonts w:hint="eastAsia" w:ascii="Times New Roman" w:hAnsi="Times New Roman" w:cs="Times New Roman"/>
                <w:b/>
                <w:color w:val="auto"/>
                <w:sz w:val="21"/>
                <w:szCs w:val="21"/>
                <w:lang w:val="en-US" w:eastAsia="zh-CN"/>
              </w:rPr>
              <w:t>4</w:t>
            </w:r>
            <w:r>
              <w:rPr>
                <w:rFonts w:ascii="Times New Roman" w:hAnsi="Times New Roman" w:cs="Times New Roman"/>
                <w:b/>
                <w:color w:val="auto"/>
                <w:sz w:val="21"/>
                <w:szCs w:val="21"/>
              </w:rPr>
              <w:t>项目主要原辅材料年能耗情况表</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82"/>
              <w:gridCol w:w="1747"/>
              <w:gridCol w:w="1548"/>
              <w:gridCol w:w="1460"/>
              <w:gridCol w:w="1386"/>
              <w:gridCol w:w="14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7" w:type="dxa"/>
                  <w:tcBorders>
                    <w:top w:val="single" w:color="000000" w:sz="12"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b/>
                      <w:color w:val="auto"/>
                      <w:szCs w:val="21"/>
                      <w:lang w:val="zh-CN"/>
                    </w:rPr>
                  </w:pPr>
                  <w:r>
                    <w:rPr>
                      <w:rStyle w:val="78"/>
                      <w:rFonts w:ascii="Times New Roman" w:hAnsi="Times New Roman" w:cs="Times New Roman"/>
                      <w:b/>
                      <w:color w:val="auto"/>
                      <w:szCs w:val="21"/>
                      <w:lang w:val="zh-CN"/>
                    </w:rPr>
                    <w:t>序号</w:t>
                  </w:r>
                </w:p>
              </w:tc>
              <w:tc>
                <w:tcPr>
                  <w:tcW w:w="1737"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color w:val="auto"/>
                      <w:szCs w:val="21"/>
                      <w:lang w:val="zh-CN"/>
                    </w:rPr>
                  </w:pPr>
                  <w:r>
                    <w:rPr>
                      <w:rStyle w:val="78"/>
                      <w:rFonts w:ascii="Times New Roman" w:hAnsi="Times New Roman" w:cs="Times New Roman"/>
                      <w:b/>
                      <w:color w:val="auto"/>
                      <w:szCs w:val="21"/>
                      <w:lang w:val="zh-CN"/>
                    </w:rPr>
                    <w:t>名称</w:t>
                  </w:r>
                </w:p>
              </w:tc>
              <w:tc>
                <w:tcPr>
                  <w:tcW w:w="1539"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color w:val="auto"/>
                      <w:szCs w:val="21"/>
                    </w:rPr>
                  </w:pPr>
                  <w:r>
                    <w:rPr>
                      <w:rStyle w:val="78"/>
                      <w:rFonts w:ascii="Times New Roman" w:hAnsi="Times New Roman" w:cs="Times New Roman"/>
                      <w:b/>
                      <w:color w:val="auto"/>
                      <w:szCs w:val="21"/>
                      <w:lang w:val="zh-CN"/>
                    </w:rPr>
                    <w:t>成分</w:t>
                  </w:r>
                  <w:r>
                    <w:rPr>
                      <w:rStyle w:val="78"/>
                      <w:rFonts w:ascii="Times New Roman" w:hAnsi="Times New Roman" w:cs="Times New Roman"/>
                      <w:b/>
                      <w:color w:val="auto"/>
                      <w:szCs w:val="21"/>
                    </w:rPr>
                    <w:t>/规格</w:t>
                  </w:r>
                </w:p>
              </w:tc>
              <w:tc>
                <w:tcPr>
                  <w:tcW w:w="1452"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color w:val="auto"/>
                      <w:szCs w:val="21"/>
                      <w:lang w:val="zh-CN"/>
                    </w:rPr>
                  </w:pPr>
                  <w:r>
                    <w:rPr>
                      <w:rStyle w:val="78"/>
                      <w:rFonts w:ascii="Times New Roman" w:hAnsi="Times New Roman" w:cs="Times New Roman"/>
                      <w:b/>
                      <w:color w:val="auto"/>
                      <w:szCs w:val="21"/>
                      <w:lang w:val="zh-CN"/>
                    </w:rPr>
                    <w:t>年耗量</w:t>
                  </w:r>
                </w:p>
              </w:tc>
              <w:tc>
                <w:tcPr>
                  <w:tcW w:w="1378" w:type="dxa"/>
                  <w:tcBorders>
                    <w:top w:val="single" w:color="000000" w:sz="12"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color w:val="auto"/>
                      <w:szCs w:val="21"/>
                      <w:lang w:val="zh-CN"/>
                    </w:rPr>
                  </w:pPr>
                  <w:r>
                    <w:rPr>
                      <w:rStyle w:val="78"/>
                      <w:rFonts w:ascii="Times New Roman" w:hAnsi="Times New Roman" w:cs="Times New Roman"/>
                      <w:b/>
                      <w:color w:val="auto"/>
                      <w:szCs w:val="21"/>
                      <w:lang w:val="zh-CN"/>
                    </w:rPr>
                    <w:t>储存量</w:t>
                  </w:r>
                </w:p>
              </w:tc>
              <w:tc>
                <w:tcPr>
                  <w:tcW w:w="1406" w:type="dxa"/>
                  <w:tcBorders>
                    <w:top w:val="single" w:color="000000" w:sz="12"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b/>
                      <w:color w:val="auto"/>
                      <w:szCs w:val="21"/>
                      <w:lang w:val="zh-CN"/>
                    </w:rPr>
                  </w:pPr>
                  <w:r>
                    <w:rPr>
                      <w:rStyle w:val="78"/>
                      <w:rFonts w:ascii="Times New Roman" w:hAnsi="Times New Roman" w:cs="Times New Roman"/>
                      <w:b/>
                      <w:color w:val="auto"/>
                      <w:szCs w:val="21"/>
                      <w:lang w:val="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77"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lang w:val="zh-CN"/>
                    </w:rPr>
                  </w:pPr>
                  <w:r>
                    <w:rPr>
                      <w:rStyle w:val="78"/>
                      <w:rFonts w:ascii="Times New Roman" w:hAnsi="Times New Roman" w:cs="Times New Roman"/>
                      <w:color w:val="auto"/>
                      <w:szCs w:val="21"/>
                      <w:lang w:val="zh-CN"/>
                    </w:rPr>
                    <w:t>1</w:t>
                  </w:r>
                </w:p>
              </w:tc>
              <w:tc>
                <w:tcPr>
                  <w:tcW w:w="173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lang w:val="en-US"/>
                    </w:rPr>
                  </w:pPr>
                  <w:r>
                    <w:rPr>
                      <w:rStyle w:val="78"/>
                      <w:rFonts w:ascii="Times New Roman" w:hAnsi="Times New Roman" w:cs="Times New Roman"/>
                      <w:color w:val="auto"/>
                      <w:szCs w:val="21"/>
                      <w:lang w:val="en-US"/>
                    </w:rPr>
                    <w:t>生物质燃料</w:t>
                  </w: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val="0"/>
                      <w:bCs w:val="0"/>
                      <w:color w:val="auto"/>
                      <w:szCs w:val="21"/>
                      <w:u w:val="none"/>
                      <w:lang w:val="en-US"/>
                    </w:rPr>
                  </w:pPr>
                  <w:r>
                    <w:rPr>
                      <w:rStyle w:val="78"/>
                      <w:rFonts w:hint="eastAsia" w:cs="Times New Roman"/>
                      <w:b w:val="0"/>
                      <w:bCs w:val="0"/>
                      <w:color w:val="auto"/>
                      <w:szCs w:val="21"/>
                      <w:u w:val="none"/>
                      <w:lang w:val="en-US"/>
                    </w:rPr>
                    <w:t>天然木片、秸秆</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b w:val="0"/>
                      <w:bCs w:val="0"/>
                      <w:color w:val="auto"/>
                      <w:szCs w:val="21"/>
                      <w:u w:val="none"/>
                    </w:rPr>
                  </w:pPr>
                  <w:r>
                    <w:rPr>
                      <w:rStyle w:val="78"/>
                      <w:rFonts w:hint="eastAsia" w:cs="Times New Roman"/>
                      <w:b w:val="0"/>
                      <w:bCs w:val="0"/>
                      <w:color w:val="auto"/>
                      <w:szCs w:val="21"/>
                      <w:u w:val="none"/>
                      <w:lang w:val="en-US"/>
                    </w:rPr>
                    <w:t>20476</w:t>
                  </w:r>
                  <w:r>
                    <w:rPr>
                      <w:rStyle w:val="78"/>
                      <w:rFonts w:ascii="Times New Roman" w:hAnsi="Times New Roman" w:cs="Times New Roman"/>
                      <w:b w:val="0"/>
                      <w:bCs w:val="0"/>
                      <w:color w:val="auto"/>
                      <w:szCs w:val="21"/>
                      <w:u w:val="none"/>
                    </w:rPr>
                    <w:t>t</w:t>
                  </w:r>
                </w:p>
              </w:tc>
              <w:tc>
                <w:tcPr>
                  <w:tcW w:w="137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lang w:val="en-US"/>
                    </w:rPr>
                  </w:pPr>
                  <w:r>
                    <w:rPr>
                      <w:rStyle w:val="78"/>
                      <w:rFonts w:ascii="Times New Roman" w:hAnsi="Times New Roman" w:cs="Times New Roman"/>
                      <w:color w:val="auto"/>
                      <w:szCs w:val="21"/>
                      <w:lang w:val="en-US"/>
                    </w:rPr>
                    <w:t>5t</w:t>
                  </w:r>
                </w:p>
              </w:tc>
              <w:tc>
                <w:tcPr>
                  <w:tcW w:w="1406"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877" w:type="dxa"/>
                  <w:tcBorders>
                    <w:top w:val="single" w:color="000000" w:sz="4" w:space="0"/>
                    <w:left w:val="nil"/>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2</w:t>
                  </w:r>
                </w:p>
              </w:tc>
              <w:tc>
                <w:tcPr>
                  <w:tcW w:w="173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lang w:val="zh-CN" w:eastAsia="zh-CN" w:bidi="ar-SA"/>
                    </w:rPr>
                  </w:pPr>
                  <w:r>
                    <w:rPr>
                      <w:rStyle w:val="78"/>
                      <w:rFonts w:ascii="Times New Roman" w:hAnsi="Times New Roman" w:cs="Times New Roman"/>
                      <w:color w:val="auto"/>
                      <w:szCs w:val="21"/>
                      <w:lang w:val="en-US"/>
                    </w:rPr>
                    <w:t>氨水</w:t>
                  </w: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vertAlign w:val="baseline"/>
                      <w:lang w:val="en-US" w:eastAsia="zh-CN" w:bidi="ar-SA"/>
                    </w:rPr>
                  </w:pPr>
                  <w:r>
                    <w:rPr>
                      <w:rStyle w:val="78"/>
                      <w:rFonts w:ascii="Times New Roman" w:hAnsi="Times New Roman" w:cs="Times New Roman"/>
                      <w:color w:val="auto"/>
                      <w:szCs w:val="21"/>
                      <w:lang w:val="en-US"/>
                    </w:rPr>
                    <w:t>NH</w:t>
                  </w:r>
                  <w:r>
                    <w:rPr>
                      <w:rStyle w:val="78"/>
                      <w:rFonts w:ascii="Times New Roman" w:hAnsi="Times New Roman" w:cs="Times New Roman"/>
                      <w:color w:val="auto"/>
                      <w:szCs w:val="21"/>
                      <w:vertAlign w:val="subscript"/>
                      <w:lang w:val="en-US"/>
                    </w:rPr>
                    <w:t>4</w:t>
                  </w:r>
                  <w:r>
                    <w:rPr>
                      <w:rStyle w:val="78"/>
                      <w:rFonts w:ascii="Times New Roman" w:hAnsi="Times New Roman" w:cs="Times New Roman"/>
                      <w:color w:val="auto"/>
                      <w:szCs w:val="21"/>
                      <w:vertAlign w:val="baseline"/>
                      <w:lang w:val="en-US"/>
                    </w:rPr>
                    <w:t>·H</w:t>
                  </w:r>
                  <w:r>
                    <w:rPr>
                      <w:rStyle w:val="78"/>
                      <w:rFonts w:ascii="Times New Roman" w:hAnsi="Times New Roman" w:cs="Times New Roman"/>
                      <w:color w:val="auto"/>
                      <w:szCs w:val="21"/>
                      <w:vertAlign w:val="subscript"/>
                      <w:lang w:val="en-US"/>
                    </w:rPr>
                    <w:t>2</w:t>
                  </w:r>
                  <w:r>
                    <w:rPr>
                      <w:rStyle w:val="78"/>
                      <w:rFonts w:ascii="Times New Roman" w:hAnsi="Times New Roman" w:cs="Times New Roman"/>
                      <w:color w:val="auto"/>
                      <w:szCs w:val="21"/>
                      <w:vertAlign w:val="baseline"/>
                      <w:lang w:val="en-US"/>
                    </w:rPr>
                    <w:t>O/10%</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kern w:val="2"/>
                      <w:sz w:val="21"/>
                      <w:szCs w:val="21"/>
                      <w:lang w:val="en-US" w:eastAsia="zh-CN" w:bidi="ar-SA"/>
                    </w:rPr>
                    <w:t>50t</w:t>
                  </w:r>
                </w:p>
              </w:tc>
              <w:tc>
                <w:tcPr>
                  <w:tcW w:w="137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lang w:val="en-US" w:eastAsia="zh-CN" w:bidi="ar-SA"/>
                    </w:rPr>
                  </w:pPr>
                  <w:r>
                    <w:rPr>
                      <w:rStyle w:val="78"/>
                      <w:rFonts w:ascii="Times New Roman" w:hAnsi="Times New Roman" w:cs="Times New Roman"/>
                      <w:color w:val="auto"/>
                      <w:szCs w:val="21"/>
                      <w:lang w:val="en-US"/>
                    </w:rPr>
                    <w:t>0.5</w:t>
                  </w:r>
                  <w:r>
                    <w:rPr>
                      <w:rStyle w:val="78"/>
                      <w:rFonts w:ascii="Times New Roman" w:hAnsi="Times New Roman" w:cs="Times New Roman"/>
                      <w:color w:val="auto"/>
                      <w:szCs w:val="21"/>
                    </w:rPr>
                    <w:t>t</w:t>
                  </w:r>
                </w:p>
              </w:tc>
              <w:tc>
                <w:tcPr>
                  <w:tcW w:w="1406" w:type="dxa"/>
                  <w:tcBorders>
                    <w:top w:val="single" w:color="000000" w:sz="4" w:space="0"/>
                    <w:left w:val="single" w:color="000000" w:sz="4" w:space="0"/>
                    <w:bottom w:val="single" w:color="000000" w:sz="4" w:space="0"/>
                    <w:right w:val="nil"/>
                  </w:tcBorders>
                  <w:vAlign w:val="center"/>
                </w:tcPr>
                <w:p>
                  <w:pPr>
                    <w:jc w:val="center"/>
                    <w:textAlignment w:val="baseline"/>
                    <w:rPr>
                      <w:rFonts w:ascii="Times New Roman" w:hAnsi="Times New Roman" w:eastAsia="宋体" w:cs="Times New Roman"/>
                      <w:color w:val="auto"/>
                      <w:kern w:val="2"/>
                      <w:sz w:val="21"/>
                      <w:szCs w:val="21"/>
                      <w:lang w:val="zh-CN" w:eastAsia="zh-CN" w:bidi="ar-SA"/>
                    </w:rPr>
                  </w:pPr>
                  <w:r>
                    <w:rPr>
                      <w:rStyle w:val="78"/>
                      <w:rFonts w:ascii="Times New Roman" w:hAnsi="Times New Roman" w:cs="Times New Roman"/>
                      <w:color w:val="auto"/>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77" w:type="dxa"/>
                  <w:tcBorders>
                    <w:top w:val="single" w:color="000000" w:sz="4" w:space="0"/>
                    <w:left w:val="nil"/>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73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lang w:val="en-US"/>
                    </w:rPr>
                  </w:pPr>
                  <w:r>
                    <w:rPr>
                      <w:rStyle w:val="78"/>
                      <w:rFonts w:hint="eastAsia" w:cs="Times New Roman"/>
                      <w:color w:val="auto"/>
                      <w:szCs w:val="21"/>
                      <w:lang w:val="en-US"/>
                    </w:rPr>
                    <w:t>离子交换树脂</w:t>
                  </w: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pacing w:val="-3"/>
                      <w:szCs w:val="21"/>
                      <w:lang w:val="en-US"/>
                    </w:rPr>
                  </w:pPr>
                  <w:r>
                    <w:rPr>
                      <w:rStyle w:val="78"/>
                      <w:rFonts w:hint="eastAsia" w:cs="Times New Roman"/>
                      <w:color w:val="auto"/>
                      <w:spacing w:val="-3"/>
                      <w:szCs w:val="21"/>
                      <w:lang w:val="en-US"/>
                    </w:rPr>
                    <w:t>/</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2t/3年</w:t>
                  </w:r>
                </w:p>
              </w:tc>
              <w:tc>
                <w:tcPr>
                  <w:tcW w:w="137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lang w:val="en-US"/>
                    </w:rPr>
                  </w:pPr>
                  <w:r>
                    <w:rPr>
                      <w:rStyle w:val="78"/>
                      <w:rFonts w:hint="eastAsia" w:cs="Times New Roman"/>
                      <w:color w:val="auto"/>
                      <w:szCs w:val="21"/>
                      <w:lang w:val="en-US"/>
                    </w:rPr>
                    <w:t>不暂存</w:t>
                  </w:r>
                </w:p>
              </w:tc>
              <w:tc>
                <w:tcPr>
                  <w:tcW w:w="1406"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77" w:type="dxa"/>
                  <w:tcBorders>
                    <w:top w:val="single" w:color="000000" w:sz="4" w:space="0"/>
                    <w:left w:val="nil"/>
                    <w:bottom w:val="single" w:color="000000" w:sz="4" w:space="0"/>
                    <w:right w:val="single" w:color="000000" w:sz="4" w:space="0"/>
                  </w:tcBorders>
                  <w:vAlign w:val="center"/>
                </w:tcPr>
                <w:p>
                  <w:pPr>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73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cs="Times New Roman"/>
                      <w:color w:val="auto"/>
                      <w:szCs w:val="21"/>
                      <w:lang w:val="en-US"/>
                    </w:rPr>
                  </w:pPr>
                  <w:r>
                    <w:rPr>
                      <w:rStyle w:val="78"/>
                      <w:rFonts w:hint="eastAsia" w:cs="Times New Roman"/>
                      <w:color w:val="auto"/>
                      <w:szCs w:val="21"/>
                      <w:lang w:val="en-US"/>
                    </w:rPr>
                    <w:t>机油</w:t>
                  </w: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cs="Times New Roman"/>
                      <w:color w:val="auto"/>
                      <w:spacing w:val="-3"/>
                      <w:szCs w:val="21"/>
                      <w:lang w:val="en-US"/>
                    </w:rPr>
                  </w:pPr>
                  <w:r>
                    <w:rPr>
                      <w:rStyle w:val="78"/>
                      <w:rFonts w:hint="eastAsia" w:cs="Times New Roman"/>
                      <w:color w:val="auto"/>
                      <w:spacing w:val="-3"/>
                      <w:szCs w:val="21"/>
                      <w:lang w:val="en-US"/>
                    </w:rPr>
                    <w:t>矿物油</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cs="Times New Roman"/>
                      <w:color w:val="auto"/>
                      <w:kern w:val="2"/>
                      <w:sz w:val="21"/>
                      <w:szCs w:val="21"/>
                      <w:lang w:val="en-US" w:eastAsia="zh-CN" w:bidi="ar-SA"/>
                    </w:rPr>
                  </w:pPr>
                  <w:r>
                    <w:rPr>
                      <w:rFonts w:hint="eastAsia" w:cs="Times New Roman"/>
                      <w:color w:val="auto"/>
                      <w:kern w:val="2"/>
                      <w:sz w:val="21"/>
                      <w:szCs w:val="21"/>
                      <w:lang w:val="en-US" w:eastAsia="zh-CN" w:bidi="ar-SA"/>
                    </w:rPr>
                    <w:t>0.01t</w:t>
                  </w:r>
                </w:p>
              </w:tc>
              <w:tc>
                <w:tcPr>
                  <w:tcW w:w="137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Fonts w:hint="eastAsia" w:ascii="Times New Roman" w:hAnsi="Times New Roman" w:eastAsia="宋体" w:cs="Times New Roman"/>
                      <w:color w:val="auto"/>
                      <w:kern w:val="2"/>
                      <w:sz w:val="21"/>
                      <w:szCs w:val="21"/>
                      <w:lang w:val="en-US" w:eastAsia="zh-CN" w:bidi="ar-SA"/>
                    </w:rPr>
                  </w:pPr>
                  <w:r>
                    <w:rPr>
                      <w:rStyle w:val="78"/>
                      <w:rFonts w:hint="eastAsia" w:cs="Times New Roman"/>
                      <w:color w:val="auto"/>
                      <w:szCs w:val="21"/>
                      <w:lang w:val="en-US"/>
                    </w:rPr>
                    <w:t>不暂存</w:t>
                  </w:r>
                </w:p>
              </w:tc>
              <w:tc>
                <w:tcPr>
                  <w:tcW w:w="1406" w:type="dxa"/>
                  <w:tcBorders>
                    <w:top w:val="single" w:color="000000" w:sz="4" w:space="0"/>
                    <w:left w:val="single" w:color="000000" w:sz="4" w:space="0"/>
                    <w:bottom w:val="single" w:color="000000" w:sz="4" w:space="0"/>
                    <w:right w:val="nil"/>
                  </w:tcBorders>
                  <w:vAlign w:val="center"/>
                </w:tcPr>
                <w:p>
                  <w:pPr>
                    <w:jc w:val="center"/>
                    <w:textAlignment w:val="baseline"/>
                    <w:rPr>
                      <w:rFonts w:ascii="Times New Roman" w:hAnsi="Times New Roman" w:eastAsia="宋体" w:cs="Times New Roman"/>
                      <w:color w:val="auto"/>
                      <w:kern w:val="2"/>
                      <w:sz w:val="21"/>
                      <w:szCs w:val="21"/>
                      <w:lang w:val="en-US" w:eastAsia="zh-CN" w:bidi="ar-SA"/>
                    </w:rPr>
                  </w:pPr>
                  <w:r>
                    <w:rPr>
                      <w:rStyle w:val="78"/>
                      <w:rFonts w:ascii="Times New Roman" w:hAnsi="Times New Roman" w:cs="Times New Roman"/>
                      <w:color w:val="auto"/>
                      <w:szCs w:val="21"/>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877" w:type="dxa"/>
                  <w:tcBorders>
                    <w:top w:val="single" w:color="000000" w:sz="4" w:space="0"/>
                    <w:left w:val="nil"/>
                    <w:bottom w:val="single" w:color="000000" w:sz="4" w:space="0"/>
                    <w:right w:val="single" w:color="000000" w:sz="4" w:space="0"/>
                  </w:tcBorders>
                  <w:vAlign w:val="center"/>
                </w:tcPr>
                <w:p>
                  <w:pPr>
                    <w:jc w:val="center"/>
                    <w:textAlignment w:val="baseline"/>
                    <w:rPr>
                      <w:rFonts w:ascii="Times New Roman" w:hAnsi="Times New Roman" w:eastAsia="宋体" w:cs="Times New Roman"/>
                      <w:color w:val="auto"/>
                      <w:kern w:val="2"/>
                      <w:sz w:val="21"/>
                      <w:szCs w:val="21"/>
                      <w:lang w:val="en-US" w:eastAsia="zh-CN" w:bidi="ar-SA"/>
                    </w:rPr>
                  </w:pPr>
                  <w:r>
                    <w:rPr>
                      <w:rStyle w:val="78"/>
                      <w:rFonts w:hint="eastAsia" w:cs="Times New Roman"/>
                      <w:color w:val="auto"/>
                      <w:szCs w:val="21"/>
                      <w:lang w:val="en-US"/>
                    </w:rPr>
                    <w:t>5</w:t>
                  </w:r>
                </w:p>
              </w:tc>
              <w:tc>
                <w:tcPr>
                  <w:tcW w:w="173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lang w:val="zh-CN"/>
                    </w:rPr>
                  </w:pPr>
                  <w:r>
                    <w:rPr>
                      <w:rStyle w:val="78"/>
                      <w:rFonts w:ascii="Times New Roman" w:hAnsi="Times New Roman" w:cs="Times New Roman"/>
                      <w:color w:val="auto"/>
                      <w:szCs w:val="21"/>
                      <w:lang w:val="zh-CN"/>
                    </w:rPr>
                    <w:t>自来水</w:t>
                  </w:r>
                </w:p>
              </w:tc>
              <w:tc>
                <w:tcPr>
                  <w:tcW w:w="1539"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rPr>
                    <w:t>m</w:t>
                  </w:r>
                  <w:r>
                    <w:rPr>
                      <w:rStyle w:val="78"/>
                      <w:rFonts w:ascii="Times New Roman" w:hAnsi="Times New Roman" w:cs="Times New Roman"/>
                      <w:color w:val="auto"/>
                      <w:vertAlign w:val="superscript"/>
                    </w:rPr>
                    <w:t>3</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285</w:t>
                  </w:r>
                  <w:r>
                    <w:rPr>
                      <w:rStyle w:val="78"/>
                      <w:rFonts w:ascii="Times New Roman" w:hAnsi="Times New Roman" w:cs="Times New Roman"/>
                      <w:color w:val="auto"/>
                    </w:rPr>
                    <w:t>m</w:t>
                  </w:r>
                  <w:r>
                    <w:rPr>
                      <w:rStyle w:val="78"/>
                      <w:rFonts w:ascii="Times New Roman" w:hAnsi="Times New Roman" w:cs="Times New Roman"/>
                      <w:color w:val="auto"/>
                      <w:vertAlign w:val="superscript"/>
                    </w:rPr>
                    <w:t>3</w:t>
                  </w:r>
                </w:p>
              </w:tc>
              <w:tc>
                <w:tcPr>
                  <w:tcW w:w="1378"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78"/>
                      <w:rFonts w:ascii="Times New Roman" w:hAnsi="Times New Roman" w:cs="Times New Roman"/>
                      <w:color w:val="auto"/>
                    </w:rPr>
                  </w:pPr>
                  <w:r>
                    <w:rPr>
                      <w:rStyle w:val="78"/>
                      <w:rFonts w:ascii="Times New Roman" w:hAnsi="Times New Roman" w:cs="Times New Roman"/>
                      <w:color w:val="auto"/>
                    </w:rPr>
                    <w:t>/</w:t>
                  </w:r>
                </w:p>
              </w:tc>
              <w:tc>
                <w:tcPr>
                  <w:tcW w:w="1406" w:type="dxa"/>
                  <w:tcBorders>
                    <w:top w:val="single" w:color="000000" w:sz="4" w:space="0"/>
                    <w:left w:val="single" w:color="000000" w:sz="4" w:space="0"/>
                    <w:bottom w:val="single" w:color="000000" w:sz="4" w:space="0"/>
                    <w:right w:val="nil"/>
                  </w:tcBorders>
                  <w:vAlign w:val="center"/>
                </w:tcPr>
                <w:p>
                  <w:pPr>
                    <w:jc w:val="center"/>
                    <w:textAlignment w:val="baseline"/>
                    <w:rPr>
                      <w:rStyle w:val="78"/>
                      <w:rFonts w:ascii="Times New Roman" w:hAnsi="Times New Roman" w:cs="Times New Roman"/>
                      <w:color w:val="auto"/>
                      <w:szCs w:val="21"/>
                      <w:lang w:val="zh-CN"/>
                    </w:rPr>
                  </w:pPr>
                  <w:r>
                    <w:rPr>
                      <w:rStyle w:val="78"/>
                      <w:rFonts w:ascii="Times New Roman" w:hAnsi="Times New Roman" w:cs="Times New Roman"/>
                      <w:color w:val="auto"/>
                      <w:szCs w:val="21"/>
                      <w:lang w:val="zh-CN"/>
                    </w:rPr>
                    <w:t>来自市政供水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77" w:type="dxa"/>
                  <w:tcBorders>
                    <w:top w:val="single" w:color="000000" w:sz="4" w:space="0"/>
                    <w:left w:val="nil"/>
                    <w:bottom w:val="single" w:color="000000" w:sz="12" w:space="0"/>
                    <w:right w:val="single" w:color="000000" w:sz="4" w:space="0"/>
                  </w:tcBorders>
                  <w:vAlign w:val="center"/>
                </w:tcPr>
                <w:p>
                  <w:pPr>
                    <w:jc w:val="center"/>
                    <w:textAlignment w:val="baseline"/>
                    <w:rPr>
                      <w:rStyle w:val="78"/>
                      <w:rFonts w:ascii="Times New Roman" w:hAnsi="Times New Roman" w:cs="Times New Roman"/>
                      <w:color w:val="auto"/>
                      <w:szCs w:val="21"/>
                      <w:lang w:val="en-US"/>
                    </w:rPr>
                  </w:pPr>
                  <w:r>
                    <w:rPr>
                      <w:rStyle w:val="78"/>
                      <w:rFonts w:hint="eastAsia" w:cs="Times New Roman"/>
                      <w:color w:val="auto"/>
                      <w:szCs w:val="21"/>
                      <w:lang w:val="en-US"/>
                    </w:rPr>
                    <w:t>6</w:t>
                  </w:r>
                </w:p>
              </w:tc>
              <w:tc>
                <w:tcPr>
                  <w:tcW w:w="1737"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电</w:t>
                  </w:r>
                </w:p>
              </w:tc>
              <w:tc>
                <w:tcPr>
                  <w:tcW w:w="1539"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 w:val="24"/>
                      <w:szCs w:val="21"/>
                    </w:rPr>
                    <w:t>kW·h</w:t>
                  </w:r>
                  <w:r>
                    <w:rPr>
                      <w:rStyle w:val="78"/>
                      <w:rFonts w:ascii="Times New Roman" w:hAnsi="Times New Roman" w:cs="Times New Roman"/>
                      <w:color w:val="auto"/>
                      <w:szCs w:val="21"/>
                    </w:rPr>
                    <w:t xml:space="preserve"> </w:t>
                  </w:r>
                </w:p>
              </w:tc>
              <w:tc>
                <w:tcPr>
                  <w:tcW w:w="1452"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54.56万</w:t>
                  </w:r>
                </w:p>
              </w:tc>
              <w:tc>
                <w:tcPr>
                  <w:tcW w:w="1378" w:type="dxa"/>
                  <w:tcBorders>
                    <w:top w:val="single" w:color="000000" w:sz="4" w:space="0"/>
                    <w:left w:val="single" w:color="000000" w:sz="4" w:space="0"/>
                    <w:bottom w:val="single" w:color="000000" w:sz="12" w:space="0"/>
                    <w:right w:val="single" w:color="000000" w:sz="4" w:space="0"/>
                  </w:tcBorders>
                  <w:vAlign w:val="center"/>
                </w:tcPr>
                <w:p>
                  <w:pPr>
                    <w:jc w:val="center"/>
                    <w:textAlignment w:val="baseline"/>
                    <w:rPr>
                      <w:rStyle w:val="78"/>
                      <w:rFonts w:ascii="Times New Roman" w:hAnsi="Times New Roman" w:cs="Times New Roman"/>
                      <w:color w:val="auto"/>
                      <w:sz w:val="24"/>
                    </w:rPr>
                  </w:pPr>
                  <w:r>
                    <w:rPr>
                      <w:rStyle w:val="78"/>
                      <w:rFonts w:ascii="Times New Roman" w:hAnsi="Times New Roman" w:cs="Times New Roman"/>
                      <w:color w:val="auto"/>
                      <w:sz w:val="24"/>
                    </w:rPr>
                    <w:t>/</w:t>
                  </w:r>
                </w:p>
              </w:tc>
              <w:tc>
                <w:tcPr>
                  <w:tcW w:w="1406" w:type="dxa"/>
                  <w:tcBorders>
                    <w:top w:val="single" w:color="000000" w:sz="4" w:space="0"/>
                    <w:left w:val="single" w:color="000000" w:sz="4" w:space="0"/>
                    <w:bottom w:val="single" w:color="000000" w:sz="12" w:space="0"/>
                    <w:right w:val="nil"/>
                  </w:tcBorders>
                  <w:vAlign w:val="center"/>
                </w:tcPr>
                <w:p>
                  <w:pPr>
                    <w:snapToGrid w:val="0"/>
                    <w:jc w:val="center"/>
                    <w:textAlignment w:val="baseline"/>
                    <w:rPr>
                      <w:rStyle w:val="78"/>
                      <w:rFonts w:ascii="Times New Roman" w:hAnsi="Times New Roman" w:cs="Times New Roman"/>
                      <w:color w:val="auto"/>
                      <w:szCs w:val="21"/>
                    </w:rPr>
                  </w:pPr>
                  <w:r>
                    <w:rPr>
                      <w:rStyle w:val="78"/>
                      <w:rFonts w:ascii="Times New Roman" w:hAnsi="Times New Roman" w:cs="Times New Roman"/>
                      <w:color w:val="auto"/>
                      <w:szCs w:val="21"/>
                    </w:rPr>
                    <w:t>来自市政电网</w:t>
                  </w:r>
                </w:p>
              </w:tc>
            </w:tr>
          </w:tbl>
          <w:p>
            <w:pPr>
              <w:adjustRightInd w:val="0"/>
              <w:snapToGrid w:val="0"/>
              <w:spacing w:line="360" w:lineRule="auto"/>
              <w:ind w:firstLine="482" w:firstLineChars="200"/>
              <w:rPr>
                <w:rFonts w:ascii="Times New Roman" w:hAnsi="Times New Roman" w:cs="Times New Roman"/>
                <w:b/>
                <w:bCs/>
                <w:color w:val="auto"/>
                <w:sz w:val="24"/>
                <w:szCs w:val="32"/>
              </w:rPr>
            </w:pPr>
            <w:r>
              <w:rPr>
                <w:rFonts w:ascii="Times New Roman" w:hAnsi="Times New Roman" w:cs="Times New Roman"/>
                <w:b/>
                <w:bCs/>
                <w:color w:val="auto"/>
                <w:sz w:val="24"/>
                <w:szCs w:val="32"/>
              </w:rPr>
              <w:t>注：项目纯水为外购，锅炉清洗委托专业资质单位清洗。</w:t>
            </w:r>
          </w:p>
          <w:p>
            <w:pPr>
              <w:adjustRightInd w:val="0"/>
              <w:snapToGrid w:val="0"/>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szCs w:val="32"/>
              </w:rPr>
              <w:t>本项目主要原辅料理化性质如下：</w:t>
            </w:r>
          </w:p>
          <w:p>
            <w:pPr>
              <w:adjustRightInd w:val="0"/>
              <w:snapToGrid w:val="0"/>
              <w:spacing w:line="360" w:lineRule="auto"/>
              <w:ind w:firstLine="482" w:firstLineChars="200"/>
              <w:rPr>
                <w:rFonts w:ascii="Times New Roman" w:hAnsi="Times New Roman" w:cs="Times New Roman"/>
                <w:color w:val="auto"/>
                <w:sz w:val="24"/>
                <w:szCs w:val="32"/>
                <w:lang w:eastAsia="zh-CN"/>
              </w:rPr>
            </w:pPr>
            <w:r>
              <w:rPr>
                <w:rFonts w:ascii="Times New Roman" w:hAnsi="Times New Roman" w:cs="Times New Roman"/>
                <w:b/>
                <w:bCs/>
                <w:color w:val="auto"/>
                <w:sz w:val="24"/>
                <w:szCs w:val="32"/>
                <w:lang w:val="zh-CN"/>
              </w:rPr>
              <w:t>生物质燃料：</w:t>
            </w:r>
            <w:r>
              <w:rPr>
                <w:rFonts w:ascii="Times New Roman" w:hAnsi="Times New Roman" w:cs="Times New Roman"/>
                <w:color w:val="auto"/>
                <w:sz w:val="24"/>
                <w:szCs w:val="32"/>
              </w:rPr>
              <w:t>是指将生物质材料燃烧作为燃料，一般主要是农林废弃物（如秸秆、锯末、甘蔗渣、稻糠等）。主要区别于化石燃料。生物质燃料的应用，实际主要是生物质成型燃料（BiomassMouldingFuel，简称BMF），是将农林废物作为原材料，经过粉碎、混合、挤压、烘干等工艺，制成各种成型（如块状、颗粒状等）的，可直接燃烧的一种新型清洁燃料。</w:t>
            </w:r>
            <w:r>
              <w:rPr>
                <w:rFonts w:ascii="Times New Roman" w:hAnsi="Times New Roman" w:cs="Times New Roman"/>
                <w:color w:val="auto"/>
                <w:sz w:val="24"/>
                <w:szCs w:val="32"/>
                <w:lang w:eastAsia="zh-CN"/>
              </w:rPr>
              <w:t>根据生物质原料的不同，所产生物质气的热值不同，</w:t>
            </w:r>
            <w:r>
              <w:rPr>
                <w:rFonts w:ascii="Times New Roman" w:hAnsi="Times New Roman" w:cs="Times New Roman"/>
                <w:color w:val="auto"/>
                <w:sz w:val="24"/>
                <w:szCs w:val="32"/>
                <w:lang w:val="en-US" w:eastAsia="zh-CN"/>
              </w:rPr>
              <w:t>根据业主提供的</w:t>
            </w:r>
            <w:r>
              <w:rPr>
                <w:rFonts w:ascii="Times New Roman" w:hAnsi="Times New Roman" w:cs="Times New Roman"/>
                <w:color w:val="auto"/>
                <w:sz w:val="24"/>
                <w:szCs w:val="32"/>
                <w:lang w:eastAsia="zh-CN"/>
              </w:rPr>
              <w:t>参考《生物质气化燃气</w:t>
            </w:r>
            <w:r>
              <w:rPr>
                <w:rFonts w:ascii="Times New Roman" w:hAnsi="Times New Roman" w:cs="Times New Roman"/>
                <w:color w:val="auto"/>
                <w:sz w:val="24"/>
                <w:szCs w:val="32"/>
                <w:lang w:val="en-US" w:eastAsia="zh-CN"/>
              </w:rPr>
              <w:t>检验报告</w:t>
            </w:r>
            <w:r>
              <w:rPr>
                <w:rFonts w:ascii="Times New Roman" w:hAnsi="Times New Roman" w:cs="Times New Roman"/>
                <w:color w:val="auto"/>
                <w:sz w:val="24"/>
                <w:szCs w:val="32"/>
                <w:lang w:eastAsia="zh-CN"/>
              </w:rPr>
              <w:t>》（</w:t>
            </w:r>
            <w:r>
              <w:rPr>
                <w:rFonts w:ascii="Times New Roman" w:hAnsi="Times New Roman" w:cs="Times New Roman"/>
                <w:color w:val="auto"/>
                <w:sz w:val="24"/>
                <w:szCs w:val="32"/>
                <w:lang w:val="en-US" w:eastAsia="zh-CN"/>
              </w:rPr>
              <w:t>见附件</w:t>
            </w:r>
            <w:r>
              <w:rPr>
                <w:rFonts w:hint="eastAsia" w:cs="Times New Roman"/>
                <w:color w:val="auto"/>
                <w:sz w:val="24"/>
                <w:szCs w:val="32"/>
                <w:lang w:val="en-US" w:eastAsia="zh-CN"/>
              </w:rPr>
              <w:t>5</w:t>
            </w:r>
            <w:r>
              <w:rPr>
                <w:rFonts w:ascii="Times New Roman" w:hAnsi="Times New Roman" w:cs="Times New Roman"/>
                <w:color w:val="auto"/>
                <w:sz w:val="24"/>
                <w:szCs w:val="32"/>
                <w:lang w:eastAsia="zh-CN"/>
              </w:rPr>
              <w:t>），</w:t>
            </w:r>
            <w:r>
              <w:rPr>
                <w:rFonts w:ascii="Times New Roman" w:hAnsi="Times New Roman" w:cs="Times New Roman"/>
                <w:color w:val="auto"/>
                <w:sz w:val="24"/>
                <w:szCs w:val="32"/>
                <w:lang w:val="en-US" w:eastAsia="zh-CN"/>
              </w:rPr>
              <w:t>本项目</w:t>
            </w:r>
            <w:r>
              <w:rPr>
                <w:rFonts w:ascii="Times New Roman" w:hAnsi="Times New Roman" w:cs="Times New Roman"/>
                <w:color w:val="auto"/>
                <w:sz w:val="24"/>
                <w:szCs w:val="32"/>
                <w:lang w:eastAsia="zh-CN"/>
              </w:rPr>
              <w:t>生物质化燃气成分</w:t>
            </w:r>
            <w:r>
              <w:rPr>
                <w:rFonts w:ascii="Times New Roman" w:hAnsi="Times New Roman" w:cs="Times New Roman"/>
                <w:color w:val="auto"/>
                <w:sz w:val="24"/>
                <w:szCs w:val="32"/>
                <w:lang w:val="en-US" w:eastAsia="zh-CN"/>
              </w:rPr>
              <w:t>如下</w:t>
            </w:r>
            <w:r>
              <w:rPr>
                <w:rFonts w:ascii="Times New Roman" w:hAnsi="Times New Roman" w:cs="Times New Roman"/>
                <w:color w:val="auto"/>
                <w:sz w:val="24"/>
                <w:szCs w:val="32"/>
                <w:lang w:eastAsia="zh-CN"/>
              </w:rPr>
              <w:t>：</w:t>
            </w:r>
          </w:p>
          <w:p>
            <w:pPr>
              <w:tabs>
                <w:tab w:val="left" w:pos="370"/>
              </w:tabs>
              <w:adjustRightInd w:val="0"/>
              <w:snapToGrid w:val="0"/>
              <w:spacing w:line="240" w:lineRule="auto"/>
              <w:jc w:val="center"/>
              <w:rPr>
                <w:rFonts w:ascii="Times New Roman" w:hAnsi="Times New Roman" w:cs="Times New Roman"/>
                <w:b/>
                <w:bCs/>
                <w:color w:val="auto"/>
                <w:sz w:val="21"/>
                <w:szCs w:val="24"/>
                <w:lang w:eastAsia="zh-CN"/>
              </w:rPr>
            </w:pPr>
            <w:r>
              <w:rPr>
                <w:rFonts w:ascii="Times New Roman" w:hAnsi="Times New Roman" w:cs="Times New Roman"/>
                <w:b/>
                <w:bCs/>
                <w:color w:val="auto"/>
                <w:sz w:val="21"/>
                <w:szCs w:val="24"/>
                <w:lang w:eastAsia="zh-CN"/>
              </w:rPr>
              <w:t>表</w:t>
            </w:r>
            <w:r>
              <w:rPr>
                <w:rFonts w:ascii="Times New Roman" w:hAnsi="Times New Roman" w:cs="Times New Roman"/>
                <w:b/>
                <w:bCs/>
                <w:color w:val="auto"/>
                <w:sz w:val="21"/>
                <w:szCs w:val="24"/>
                <w:lang w:val="en-US" w:eastAsia="zh-CN"/>
              </w:rPr>
              <w:t>2</w:t>
            </w:r>
            <w:r>
              <w:rPr>
                <w:rFonts w:ascii="Times New Roman" w:hAnsi="Times New Roman" w:cs="Times New Roman"/>
                <w:b/>
                <w:bCs/>
                <w:color w:val="auto"/>
                <w:sz w:val="21"/>
                <w:szCs w:val="24"/>
                <w:lang w:eastAsia="zh-CN"/>
              </w:rPr>
              <w:t>-</w:t>
            </w:r>
            <w:r>
              <w:rPr>
                <w:rFonts w:hint="eastAsia" w:ascii="Times New Roman" w:hAnsi="Times New Roman" w:cs="Times New Roman"/>
                <w:b/>
                <w:bCs/>
                <w:color w:val="auto"/>
                <w:sz w:val="21"/>
                <w:szCs w:val="24"/>
                <w:lang w:val="en-US" w:eastAsia="zh-CN"/>
              </w:rPr>
              <w:t>5</w:t>
            </w:r>
            <w:r>
              <w:rPr>
                <w:rFonts w:ascii="Times New Roman" w:hAnsi="Times New Roman" w:cs="Times New Roman"/>
                <w:b/>
                <w:bCs/>
                <w:color w:val="auto"/>
                <w:sz w:val="21"/>
                <w:szCs w:val="24"/>
                <w:lang w:eastAsia="zh-CN"/>
              </w:rPr>
              <w:tab/>
            </w:r>
            <w:r>
              <w:rPr>
                <w:rFonts w:ascii="Times New Roman" w:hAnsi="Times New Roman" w:cs="Times New Roman"/>
                <w:b/>
                <w:bCs/>
                <w:color w:val="auto"/>
                <w:sz w:val="21"/>
                <w:szCs w:val="24"/>
                <w:lang w:eastAsia="zh-CN"/>
              </w:rPr>
              <w:t>生物质气化燃气的成分分析表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628"/>
              <w:gridCol w:w="2357"/>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b/>
                      <w:color w:val="auto"/>
                      <w:sz w:val="21"/>
                      <w:szCs w:val="21"/>
                    </w:rPr>
                    <w:t>序号</w:t>
                  </w:r>
                </w:p>
              </w:tc>
              <w:tc>
                <w:tcPr>
                  <w:tcW w:w="3985" w:type="dxa"/>
                  <w:gridSpan w:val="2"/>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b/>
                      <w:color w:val="auto"/>
                      <w:sz w:val="21"/>
                      <w:szCs w:val="21"/>
                    </w:rPr>
                    <w:t>指标</w:t>
                  </w:r>
                </w:p>
              </w:tc>
              <w:tc>
                <w:tcPr>
                  <w:tcW w:w="2794"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b/>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1</w:t>
                  </w:r>
                </w:p>
              </w:tc>
              <w:tc>
                <w:tcPr>
                  <w:tcW w:w="162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组分</w:t>
                  </w: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vertAlign w:val="baseline"/>
                      <w:lang w:val="en-US" w:eastAsia="zh-CN"/>
                    </w:rPr>
                  </w:pPr>
                  <w:r>
                    <w:rPr>
                      <w:rFonts w:hint="eastAsia"/>
                      <w:color w:val="auto"/>
                    </w:rPr>
                    <w:t>一氧化碳</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22.66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2</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氢气</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16.90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3</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二氧化碳</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4</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氧气</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5</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氮气</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6</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甲烷</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7</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乙烷</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8</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乙烯</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9</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丙烷</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10</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lang w:val="en-US" w:eastAsia="zh-CN"/>
                    </w:rPr>
                  </w:pPr>
                  <w:r>
                    <w:rPr>
                      <w:rFonts w:hint="eastAsia"/>
                      <w:color w:val="auto"/>
                    </w:rPr>
                    <w:t>丙烯</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%，V/V</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11</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rPr>
                    <w:t>硫化氢</w:t>
                  </w:r>
                  <w:r>
                    <w:rPr>
                      <w:rFonts w:ascii="Times New Roman" w:hAnsi="Times New Roman" w:cs="Times New Roman"/>
                      <w:color w:val="auto"/>
                      <w:sz w:val="21"/>
                      <w:szCs w:val="21"/>
                      <w:lang w:eastAsia="zh-CN"/>
                    </w:rPr>
                    <w:t>（</w:t>
                  </w:r>
                  <w:r>
                    <w:rPr>
                      <w:rFonts w:ascii="Times New Roman" w:hAnsi="Times New Roman" w:cs="Times New Roman"/>
                      <w:color w:val="auto"/>
                      <w:sz w:val="21"/>
                      <w:szCs w:val="21"/>
                      <w:lang w:val="en-US" w:eastAsia="zh-CN"/>
                    </w:rPr>
                    <w:t>mg/m</w:t>
                  </w:r>
                  <w:r>
                    <w:rPr>
                      <w:rFonts w:ascii="Times New Roman" w:hAnsi="Times New Roman" w:cs="Times New Roman"/>
                      <w:color w:val="auto"/>
                      <w:sz w:val="21"/>
                      <w:szCs w:val="21"/>
                      <w:vertAlign w:val="superscript"/>
                      <w:lang w:val="en-US" w:eastAsia="zh-CN"/>
                    </w:rPr>
                    <w:t>3</w:t>
                  </w:r>
                  <w:r>
                    <w:rPr>
                      <w:rFonts w:ascii="Times New Roman" w:hAnsi="Times New Roman" w:cs="Times New Roman"/>
                      <w:color w:val="auto"/>
                      <w:sz w:val="21"/>
                      <w:szCs w:val="21"/>
                      <w:lang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12</w:t>
                  </w:r>
                </w:p>
              </w:tc>
              <w:tc>
                <w:tcPr>
                  <w:tcW w:w="162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热值</w:t>
                  </w: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高位发热量（MJ/m</w:t>
                  </w:r>
                  <w:r>
                    <w:rPr>
                      <w:rFonts w:ascii="Times New Roman" w:hAnsi="Times New Roman" w:cs="Times New Roman"/>
                      <w:color w:val="auto"/>
                      <w:sz w:val="21"/>
                      <w:szCs w:val="21"/>
                      <w:vertAlign w:val="superscript"/>
                      <w:lang w:val="en-US" w:eastAsia="zh-CN"/>
                    </w:rPr>
                    <w:t>3</w:t>
                  </w:r>
                  <w:r>
                    <w:rPr>
                      <w:rFonts w:ascii="Times New Roman" w:hAnsi="Times New Roman" w:cs="Times New Roman"/>
                      <w:color w:val="auto"/>
                      <w:sz w:val="21"/>
                      <w:szCs w:val="21"/>
                      <w:vertAlign w:val="baseline"/>
                      <w:lang w:val="en-US"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13</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低位发热量（MJ/m</w:t>
                  </w:r>
                  <w:r>
                    <w:rPr>
                      <w:rFonts w:ascii="Times New Roman" w:hAnsi="Times New Roman" w:cs="Times New Roman"/>
                      <w:color w:val="auto"/>
                      <w:sz w:val="21"/>
                      <w:szCs w:val="21"/>
                      <w:vertAlign w:val="superscript"/>
                      <w:lang w:val="en-US" w:eastAsia="zh-CN"/>
                    </w:rPr>
                    <w:t>3</w:t>
                  </w:r>
                  <w:r>
                    <w:rPr>
                      <w:rFonts w:ascii="Times New Roman" w:hAnsi="Times New Roman" w:cs="Times New Roman"/>
                      <w:color w:val="auto"/>
                      <w:sz w:val="21"/>
                      <w:szCs w:val="21"/>
                      <w:vertAlign w:val="baseline"/>
                      <w:lang w:val="en-US"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14</w:t>
                  </w:r>
                </w:p>
              </w:tc>
              <w:tc>
                <w:tcPr>
                  <w:tcW w:w="162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燃气密度</w:t>
                  </w: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密度（kg/m</w:t>
                  </w:r>
                  <w:r>
                    <w:rPr>
                      <w:rFonts w:ascii="Times New Roman" w:hAnsi="Times New Roman" w:cs="Times New Roman"/>
                      <w:color w:val="auto"/>
                      <w:sz w:val="21"/>
                      <w:szCs w:val="21"/>
                      <w:vertAlign w:val="superscript"/>
                      <w:lang w:val="en-US" w:eastAsia="zh-CN"/>
                    </w:rPr>
                    <w:t>3</w:t>
                  </w:r>
                  <w:r>
                    <w:rPr>
                      <w:rFonts w:ascii="Times New Roman" w:hAnsi="Times New Roman" w:cs="Times New Roman"/>
                      <w:color w:val="auto"/>
                      <w:sz w:val="21"/>
                      <w:szCs w:val="21"/>
                      <w:vertAlign w:val="baseline"/>
                      <w:lang w:val="en-US" w:eastAsia="zh-CN"/>
                    </w:rPr>
                    <w:t>）</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1.</w:t>
                  </w:r>
                  <w:r>
                    <w:rPr>
                      <w:rFonts w:hint="eastAsia" w:cs="Times New Roman"/>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vertAlign w:val="baseline"/>
                      <w:lang w:val="en-US" w:eastAsia="zh-CN" w:bidi="ar-SA"/>
                    </w:rPr>
                  </w:pPr>
                  <w:r>
                    <w:rPr>
                      <w:rFonts w:ascii="Times New Roman" w:hAnsi="Times New Roman" w:cs="Times New Roman"/>
                      <w:color w:val="auto"/>
                      <w:sz w:val="21"/>
                      <w:szCs w:val="21"/>
                      <w:vertAlign w:val="baseline"/>
                      <w:lang w:val="en-US" w:eastAsia="zh-CN"/>
                    </w:rPr>
                    <w:t>15</w:t>
                  </w:r>
                </w:p>
              </w:tc>
              <w:tc>
                <w:tcPr>
                  <w:tcW w:w="1628" w:type="dxa"/>
                  <w:vMerge w:val="continue"/>
                  <w:tcBorders>
                    <w:top w:val="single" w:color="auto" w:sz="4" w:space="0"/>
                    <w:left w:val="single" w:color="auto" w:sz="4" w:space="0"/>
                    <w:right w:val="single" w:color="auto" w:sz="4" w:space="0"/>
                  </w:tcBorders>
                  <w:vAlign w:val="center"/>
                </w:tcPr>
                <w:p/>
              </w:tc>
              <w:tc>
                <w:tcPr>
                  <w:tcW w:w="235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相对密度</w:t>
                  </w:r>
                </w:p>
              </w:tc>
              <w:tc>
                <w:tcPr>
                  <w:tcW w:w="279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ascii="Times New Roman" w:hAnsi="Times New Roman" w:cs="Times New Roman"/>
                      <w:color w:val="auto"/>
                      <w:sz w:val="21"/>
                      <w:szCs w:val="21"/>
                      <w:vertAlign w:val="baseline"/>
                      <w:lang w:val="en-US" w:eastAsia="zh-CN"/>
                    </w:rPr>
                    <w:t>0.8</w:t>
                  </w:r>
                  <w:r>
                    <w:rPr>
                      <w:rFonts w:hint="eastAsia" w:cs="Times New Roman"/>
                      <w:color w:val="auto"/>
                      <w:sz w:val="21"/>
                      <w:szCs w:val="21"/>
                      <w:vertAlign w:val="baseline"/>
                      <w:lang w:val="en-US" w:eastAsia="zh-CN"/>
                    </w:rPr>
                    <w:t>6</w:t>
                  </w:r>
                </w:p>
              </w:tc>
            </w:tr>
          </w:tbl>
          <w:p>
            <w:pPr>
              <w:adjustRightInd w:val="0"/>
              <w:snapToGrid w:val="0"/>
              <w:spacing w:line="360" w:lineRule="auto"/>
              <w:ind w:firstLine="482" w:firstLineChars="200"/>
              <w:rPr>
                <w:rFonts w:ascii="Times New Roman" w:hAnsi="Times New Roman" w:eastAsia="宋体" w:cs="Times New Roman"/>
                <w:color w:val="auto"/>
                <w:sz w:val="24"/>
                <w:szCs w:val="32"/>
                <w:lang w:val="en-US" w:eastAsia="zh-CN"/>
              </w:rPr>
            </w:pPr>
            <w:r>
              <w:rPr>
                <w:rFonts w:hint="eastAsia" w:cs="Times New Roman"/>
                <w:b/>
                <w:bCs/>
                <w:color w:val="auto"/>
                <w:sz w:val="24"/>
                <w:szCs w:val="32"/>
                <w:lang w:val="en-US" w:eastAsia="zh-CN"/>
              </w:rPr>
              <w:t>生物质燃料用量核算：</w:t>
            </w:r>
            <w:r>
              <w:rPr>
                <w:rFonts w:hint="eastAsia" w:ascii="Times New Roman" w:hAnsi="Times New Roman" w:eastAsia="宋体" w:cs="Times New Roman"/>
                <w:color w:val="auto"/>
                <w:sz w:val="24"/>
                <w:szCs w:val="32"/>
                <w:lang w:val="en-US" w:eastAsia="zh-CN"/>
              </w:rPr>
              <w:t>本项目的蒸汽压力是2.45MPa饱和蒸汽，</w:t>
            </w:r>
            <w:r>
              <w:rPr>
                <w:rFonts w:hint="eastAsia" w:cs="Times New Roman"/>
                <w:color w:val="auto"/>
                <w:sz w:val="24"/>
                <w:szCs w:val="32"/>
                <w:lang w:val="en-US" w:eastAsia="zh-CN"/>
              </w:rPr>
              <w:t>对应的</w:t>
            </w:r>
            <w:r>
              <w:rPr>
                <w:rFonts w:hint="eastAsia" w:ascii="Times New Roman" w:hAnsi="Times New Roman" w:eastAsia="宋体" w:cs="Times New Roman"/>
                <w:color w:val="auto"/>
                <w:sz w:val="24"/>
                <w:szCs w:val="32"/>
                <w:lang w:val="en-US" w:eastAsia="zh-CN"/>
              </w:rPr>
              <w:t>热值或熵值为2.8MJ/kg=2800MJ/t；本项目生物质气的低位发热值</w:t>
            </w:r>
            <w:r>
              <w:rPr>
                <w:rFonts w:hint="eastAsia" w:cs="Times New Roman"/>
                <w:color w:val="auto"/>
                <w:sz w:val="24"/>
                <w:szCs w:val="32"/>
                <w:lang w:val="en-US" w:eastAsia="zh-CN"/>
              </w:rPr>
              <w:t>为</w:t>
            </w:r>
            <w:r>
              <w:rPr>
                <w:rFonts w:hint="eastAsia" w:ascii="Times New Roman" w:hAnsi="Times New Roman" w:eastAsia="宋体" w:cs="Times New Roman"/>
                <w:color w:val="auto"/>
                <w:sz w:val="24"/>
                <w:szCs w:val="32"/>
                <w:lang w:val="en-US" w:eastAsia="zh-CN"/>
              </w:rPr>
              <w:t>5.7MJ/m</w:t>
            </w:r>
            <w:r>
              <w:rPr>
                <w:rFonts w:hint="eastAsia" w:ascii="Times New Roman" w:hAnsi="Times New Roman" w:eastAsia="宋体" w:cs="Times New Roman"/>
                <w:color w:val="auto"/>
                <w:sz w:val="24"/>
                <w:szCs w:val="32"/>
                <w:vertAlign w:val="superscript"/>
                <w:lang w:val="en-US" w:eastAsia="zh-CN"/>
              </w:rPr>
              <w:t>3</w:t>
            </w:r>
            <w:r>
              <w:rPr>
                <w:rFonts w:hint="eastAsia" w:ascii="Times New Roman" w:hAnsi="Times New Roman" w:eastAsia="宋体" w:cs="Times New Roman"/>
                <w:color w:val="auto"/>
                <w:sz w:val="24"/>
                <w:szCs w:val="32"/>
                <w:lang w:val="en-US" w:eastAsia="zh-CN"/>
              </w:rPr>
              <w:t>；锅炉热效率按95%计算，则每产生1吨蒸汽所需要的生物质气=2800/5.7/95%=517.08m</w:t>
            </w:r>
            <w:r>
              <w:rPr>
                <w:rFonts w:hint="eastAsia" w:ascii="Times New Roman" w:hAnsi="Times New Roman" w:eastAsia="宋体" w:cs="Times New Roman"/>
                <w:color w:val="auto"/>
                <w:sz w:val="24"/>
                <w:szCs w:val="32"/>
                <w:vertAlign w:val="superscript"/>
                <w:lang w:val="en-US" w:eastAsia="zh-CN"/>
              </w:rPr>
              <w:t>3</w:t>
            </w:r>
            <w:r>
              <w:rPr>
                <w:rFonts w:hint="eastAsia" w:ascii="Times New Roman" w:hAnsi="Times New Roman" w:eastAsia="宋体" w:cs="Times New Roman"/>
                <w:color w:val="auto"/>
                <w:sz w:val="24"/>
                <w:szCs w:val="32"/>
                <w:lang w:val="en-US" w:eastAsia="zh-CN"/>
              </w:rPr>
              <w:t>；全年共用气=517.08×24h×330d×12t/h=4914.35万m</w:t>
            </w:r>
            <w:r>
              <w:rPr>
                <w:rFonts w:hint="eastAsia" w:ascii="Times New Roman" w:hAnsi="Times New Roman" w:eastAsia="宋体" w:cs="Times New Roman"/>
                <w:color w:val="auto"/>
                <w:sz w:val="24"/>
                <w:szCs w:val="32"/>
                <w:vertAlign w:val="superscript"/>
                <w:lang w:val="en-US" w:eastAsia="zh-CN"/>
              </w:rPr>
              <w:t>3</w:t>
            </w:r>
            <w:r>
              <w:rPr>
                <w:rFonts w:hint="eastAsia" w:ascii="Times New Roman" w:hAnsi="Times New Roman" w:eastAsia="宋体" w:cs="Times New Roman"/>
                <w:color w:val="auto"/>
                <w:sz w:val="24"/>
                <w:szCs w:val="32"/>
                <w:lang w:val="en-US" w:eastAsia="zh-CN"/>
              </w:rPr>
              <w:t>，</w:t>
            </w:r>
            <w:r>
              <w:rPr>
                <w:rFonts w:ascii="Times New Roman" w:hAnsi="Times New Roman" w:cs="Times New Roman"/>
                <w:color w:val="auto"/>
                <w:sz w:val="24"/>
                <w:szCs w:val="24"/>
                <w:vertAlign w:val="baseline"/>
                <w:lang w:val="en-US" w:eastAsia="zh-CN"/>
              </w:rPr>
              <w:t>参考《生物质热解气化原理与技术》（孙立、张晓东编著），生物质气化炉的气体产率为2.</w:t>
            </w:r>
            <w:r>
              <w:rPr>
                <w:rFonts w:hint="eastAsia" w:cs="Times New Roman"/>
                <w:color w:val="auto"/>
                <w:sz w:val="24"/>
                <w:szCs w:val="24"/>
                <w:vertAlign w:val="baseline"/>
                <w:lang w:val="en-US" w:eastAsia="zh-CN"/>
              </w:rPr>
              <w:t>3</w:t>
            </w:r>
            <w:r>
              <w:rPr>
                <w:rFonts w:ascii="Times New Roman" w:hAnsi="Times New Roman" w:cs="Times New Roman"/>
                <w:color w:val="auto"/>
                <w:sz w:val="24"/>
                <w:szCs w:val="24"/>
                <w:vertAlign w:val="baseline"/>
                <w:lang w:val="en-US" w:eastAsia="zh-CN"/>
              </w:rPr>
              <w:t>-2.5m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/kg本项目按2.</w:t>
            </w:r>
            <w:r>
              <w:rPr>
                <w:rFonts w:hint="eastAsia" w:cs="Times New Roman"/>
                <w:color w:val="auto"/>
                <w:sz w:val="24"/>
                <w:szCs w:val="24"/>
                <w:vertAlign w:val="baseline"/>
                <w:lang w:val="en-US" w:eastAsia="zh-CN"/>
              </w:rPr>
              <w:t>4</w:t>
            </w:r>
            <w:r>
              <w:rPr>
                <w:rFonts w:ascii="Times New Roman" w:hAnsi="Times New Roman" w:cs="Times New Roman"/>
                <w:color w:val="auto"/>
                <w:sz w:val="24"/>
                <w:szCs w:val="24"/>
                <w:vertAlign w:val="baseline"/>
                <w:lang w:val="en-US" w:eastAsia="zh-CN"/>
              </w:rPr>
              <w:t>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/kg计</w:t>
            </w:r>
            <w:r>
              <w:rPr>
                <w:rFonts w:hint="eastAsia" w:ascii="Times New Roman" w:hAnsi="Times New Roman" w:eastAsia="宋体" w:cs="Times New Roman"/>
                <w:color w:val="auto"/>
                <w:sz w:val="24"/>
                <w:szCs w:val="32"/>
                <w:lang w:val="en-US" w:eastAsia="zh-CN"/>
              </w:rPr>
              <w:t>，则生物质燃料用量为4914.35×10000/2.4/1000=20476t。</w:t>
            </w:r>
          </w:p>
          <w:p>
            <w:pPr>
              <w:adjustRightInd w:val="0"/>
              <w:snapToGrid w:val="0"/>
              <w:spacing w:line="360" w:lineRule="auto"/>
              <w:ind w:firstLine="482" w:firstLineChars="200"/>
              <w:rPr>
                <w:rFonts w:ascii="Times New Roman" w:hAnsi="Times New Roman" w:cs="Times New Roman"/>
                <w:color w:val="auto"/>
                <w:sz w:val="24"/>
                <w:szCs w:val="32"/>
                <w:lang w:val="en-US" w:eastAsia="zh-CN"/>
              </w:rPr>
            </w:pPr>
            <w:r>
              <w:rPr>
                <w:rFonts w:hint="eastAsia" w:cs="Times New Roman"/>
                <w:b/>
                <w:bCs/>
                <w:color w:val="auto"/>
                <w:sz w:val="24"/>
                <w:szCs w:val="32"/>
                <w:lang w:val="en-US" w:eastAsia="zh-CN"/>
              </w:rPr>
              <w:t>氨水：</w:t>
            </w:r>
            <w:r>
              <w:rPr>
                <w:rFonts w:hint="eastAsia" w:ascii="Times New Roman" w:hAnsi="Times New Roman" w:cs="Times New Roman"/>
                <w:color w:val="auto"/>
                <w:sz w:val="24"/>
                <w:szCs w:val="32"/>
                <w:lang w:val="en-US" w:eastAsia="zh-CN"/>
              </w:rPr>
              <w:t>氨水又称阿摩尼亚水，指氨的水溶液，主要成分为NH</w:t>
            </w:r>
            <w:r>
              <w:rPr>
                <w:rFonts w:hint="eastAsia" w:ascii="Times New Roman" w:hAnsi="Times New Roman" w:cs="Times New Roman"/>
                <w:color w:val="auto"/>
                <w:sz w:val="24"/>
                <w:szCs w:val="32"/>
                <w:vertAlign w:val="subscript"/>
                <w:lang w:val="en-US" w:eastAsia="zh-CN"/>
              </w:rPr>
              <w:t>3</w:t>
            </w:r>
            <w:r>
              <w:rPr>
                <w:rFonts w:hint="eastAsia" w:ascii="Times New Roman" w:hAnsi="Times New Roman" w:cs="Times New Roman"/>
                <w:color w:val="auto"/>
                <w:sz w:val="24"/>
                <w:szCs w:val="32"/>
                <w:lang w:val="en-US" w:eastAsia="zh-CN"/>
              </w:rPr>
              <w:t>·H</w:t>
            </w:r>
            <w:r>
              <w:rPr>
                <w:rFonts w:hint="eastAsia" w:ascii="Times New Roman" w:hAnsi="Times New Roman" w:cs="Times New Roman"/>
                <w:color w:val="auto"/>
                <w:sz w:val="24"/>
                <w:szCs w:val="32"/>
                <w:vertAlign w:val="subscript"/>
                <w:lang w:val="en-US" w:eastAsia="zh-CN"/>
              </w:rPr>
              <w:t>2</w:t>
            </w:r>
            <w:r>
              <w:rPr>
                <w:rFonts w:hint="eastAsia" w:ascii="Times New Roman" w:hAnsi="Times New Roman" w:cs="Times New Roman"/>
                <w:color w:val="auto"/>
                <w:sz w:val="24"/>
                <w:szCs w:val="32"/>
                <w:lang w:val="en-US" w:eastAsia="zh-CN"/>
              </w:rPr>
              <w:t>O，无色透明且具有刺激性气味。氨水易挥发，具有部分碱的通性，由氨气通入水中制得。工业氨水是含氨25%～28%的水溶液，氨水中仅有一小部分氨分子与水反应形成铵离子和氢氧根离子，即一水合氨，是仅存在于氨水中的弱碱。</w:t>
            </w:r>
            <w:r>
              <w:rPr>
                <w:rFonts w:hint="eastAsia" w:cs="Times New Roman"/>
                <w:color w:val="auto"/>
                <w:sz w:val="24"/>
                <w:szCs w:val="32"/>
                <w:lang w:val="en-US" w:eastAsia="zh-CN"/>
              </w:rPr>
              <w:t>本项使用氨水为10%的水溶液。</w:t>
            </w:r>
          </w:p>
          <w:p>
            <w:pPr>
              <w:adjustRightInd w:val="0"/>
              <w:snapToGrid w:val="0"/>
              <w:spacing w:line="360" w:lineRule="auto"/>
              <w:ind w:firstLine="482" w:firstLineChars="200"/>
              <w:rPr>
                <w:rFonts w:ascii="Times New Roman" w:hAnsi="Times New Roman" w:cs="Times New Roman"/>
                <w:color w:val="auto"/>
                <w:sz w:val="24"/>
                <w:szCs w:val="32"/>
              </w:rPr>
            </w:pPr>
            <w:r>
              <w:rPr>
                <w:rFonts w:ascii="Times New Roman" w:hAnsi="Times New Roman" w:cs="Times New Roman"/>
                <w:b/>
                <w:bCs/>
                <w:color w:val="auto"/>
                <w:sz w:val="24"/>
                <w:szCs w:val="32"/>
              </w:rPr>
              <w:t>机油：</w:t>
            </w:r>
            <w:r>
              <w:rPr>
                <w:rFonts w:ascii="Times New Roman" w:hAnsi="Times New Roman" w:cs="Times New Roman"/>
                <w:color w:val="auto"/>
                <w:sz w:val="24"/>
                <w:szCs w:val="32"/>
              </w:rPr>
              <w:t>即发动机润滑油，英文名称：Engine oil。密度约为0.91×10³（kg/m³）能对发动机起到润滑减磨、辅助冷却降温、密封防漏、防锈防蚀、减震缓冲等作用。被誉为汽车的“血液”。机油由基础油和添加剂两部分组成。基础油是润滑油的主要成分，决定着润滑油的基本性质，添加剂则可弥补和改善基础油性能方面的不足，赋予某些新的性能，是润滑油的重要组成部分。</w:t>
            </w:r>
          </w:p>
          <w:p>
            <w:pPr>
              <w:pStyle w:val="22"/>
              <w:spacing w:line="360" w:lineRule="auto"/>
              <w:rPr>
                <w:rFonts w:ascii="Times New Roman" w:hAnsi="Times New Roman" w:eastAsia="宋体" w:cs="Times New Roman"/>
                <w:color w:val="auto"/>
              </w:rPr>
            </w:pPr>
            <w:r>
              <w:rPr>
                <w:rFonts w:ascii="Times New Roman" w:hAnsi="Times New Roman" w:eastAsia="宋体" w:cs="Times New Roman"/>
                <w:color w:val="auto"/>
              </w:rPr>
              <w:t>6、锅炉主要经济技术指标</w:t>
            </w:r>
          </w:p>
          <w:p>
            <w:pPr>
              <w:pStyle w:val="22"/>
              <w:spacing w:line="360" w:lineRule="auto"/>
              <w:rPr>
                <w:rFonts w:ascii="Times New Roman" w:hAnsi="Times New Roman" w:cs="Times New Roman"/>
                <w:b w:val="0"/>
                <w:bCs w:val="0"/>
                <w:color w:val="auto"/>
              </w:rPr>
            </w:pPr>
            <w:r>
              <w:rPr>
                <w:rFonts w:ascii="Times New Roman" w:hAnsi="Times New Roman" w:cs="Times New Roman"/>
                <w:b w:val="0"/>
                <w:bCs w:val="0"/>
                <w:color w:val="auto"/>
              </w:rPr>
              <w:t>本项目选用SHS-12-2.45-Q燃气蒸汽锅炉，主要由炉膛部分、燃烧器、节能器、冷凝器等连接管道等组成，其主要技术参数如下。</w:t>
            </w:r>
          </w:p>
          <w:p>
            <w:pPr>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rFonts w:hint="eastAsia"/>
                <w:b/>
                <w:color w:val="auto"/>
                <w:sz w:val="21"/>
                <w:szCs w:val="21"/>
                <w:lang w:val="en-US" w:eastAsia="zh-CN"/>
              </w:rPr>
              <w:t xml:space="preserve">6 </w:t>
            </w:r>
            <w:r>
              <w:rPr>
                <w:rFonts w:hint="eastAsia"/>
                <w:b/>
                <w:color w:val="auto"/>
                <w:sz w:val="21"/>
                <w:szCs w:val="21"/>
              </w:rPr>
              <w:t>锅炉技术参数</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3708"/>
              <w:gridCol w:w="3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63" w:type="dxa"/>
                  <w:tcBorders>
                    <w:tl2br w:val="nil"/>
                    <w:tr2bl w:val="nil"/>
                  </w:tcBorders>
                  <w:noWrap/>
                  <w:vAlign w:val="center"/>
                </w:tcPr>
                <w:p>
                  <w:pPr>
                    <w:jc w:val="center"/>
                    <w:textAlignment w:val="baseline"/>
                    <w:rPr>
                      <w:rStyle w:val="78"/>
                      <w:color w:val="auto"/>
                      <w:sz w:val="21"/>
                      <w:szCs w:val="21"/>
                      <w:lang w:val="zh-CN"/>
                    </w:rPr>
                  </w:pPr>
                  <w:r>
                    <w:rPr>
                      <w:rStyle w:val="78"/>
                      <w:color w:val="auto"/>
                      <w:sz w:val="21"/>
                      <w:szCs w:val="21"/>
                      <w:lang w:val="zh-CN"/>
                    </w:rPr>
                    <w:t>序号</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锅炉型号</w:t>
                  </w:r>
                </w:p>
              </w:tc>
              <w:tc>
                <w:tcPr>
                  <w:tcW w:w="3191" w:type="dxa"/>
                  <w:tcBorders>
                    <w:tl2br w:val="nil"/>
                    <w:tr2bl w:val="nil"/>
                  </w:tcBorders>
                  <w:noWrap/>
                  <w:vAlign w:val="center"/>
                </w:tcPr>
                <w:p>
                  <w:pPr>
                    <w:jc w:val="center"/>
                    <w:textAlignment w:val="baseline"/>
                    <w:rPr>
                      <w:rStyle w:val="78"/>
                      <w:color w:val="auto"/>
                      <w:sz w:val="21"/>
                      <w:szCs w:val="21"/>
                      <w:lang w:val="zh-CN"/>
                    </w:rPr>
                  </w:pPr>
                  <w:r>
                    <w:rPr>
                      <w:rFonts w:hint="eastAsia" w:ascii="Times New Roman" w:hAnsi="Times New Roman" w:eastAsia="宋体" w:cs="Times New Roman"/>
                      <w:color w:val="auto"/>
                      <w:sz w:val="21"/>
                      <w:szCs w:val="21"/>
                      <w:highlight w:val="none"/>
                      <w:lang w:val="en-US" w:eastAsia="zh-CN"/>
                    </w:rPr>
                    <w:t>SHS-12-2.45-Q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3" w:type="dxa"/>
                  <w:tcBorders>
                    <w:tl2br w:val="nil"/>
                    <w:tr2bl w:val="nil"/>
                  </w:tcBorders>
                  <w:noWrap/>
                  <w:vAlign w:val="center"/>
                </w:tcPr>
                <w:p>
                  <w:pPr>
                    <w:jc w:val="center"/>
                    <w:textAlignment w:val="baseline"/>
                    <w:rPr>
                      <w:rStyle w:val="78"/>
                      <w:color w:val="auto"/>
                      <w:sz w:val="21"/>
                      <w:szCs w:val="21"/>
                      <w:lang w:val="zh-CN"/>
                    </w:rPr>
                  </w:pPr>
                  <w:r>
                    <w:rPr>
                      <w:rStyle w:val="78"/>
                      <w:color w:val="auto"/>
                      <w:sz w:val="21"/>
                      <w:szCs w:val="21"/>
                      <w:lang w:val="zh-CN"/>
                    </w:rPr>
                    <w:t>1</w:t>
                  </w:r>
                </w:p>
              </w:tc>
              <w:tc>
                <w:tcPr>
                  <w:tcW w:w="3491"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额定蒸汽量</w:t>
                  </w:r>
                </w:p>
              </w:tc>
              <w:tc>
                <w:tcPr>
                  <w:tcW w:w="3191"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1</w:t>
                  </w:r>
                  <w:r>
                    <w:rPr>
                      <w:rStyle w:val="78"/>
                      <w:rFonts w:hint="eastAsia"/>
                      <w:color w:val="auto"/>
                      <w:sz w:val="21"/>
                      <w:szCs w:val="21"/>
                      <w:lang w:val="en-US"/>
                    </w:rPr>
                    <w:t>2</w:t>
                  </w:r>
                  <w:r>
                    <w:rPr>
                      <w:rStyle w:val="78"/>
                      <w:rFonts w:hint="eastAsia"/>
                      <w:color w:val="auto"/>
                      <w:sz w:val="21"/>
                      <w:szCs w:val="21"/>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color w:val="auto"/>
                      <w:sz w:val="21"/>
                      <w:szCs w:val="21"/>
                    </w:rPr>
                    <w:t>2</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额定工作压力</w:t>
                  </w:r>
                </w:p>
              </w:tc>
              <w:tc>
                <w:tcPr>
                  <w:tcW w:w="3191"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lang w:val="en-US"/>
                    </w:rPr>
                    <w:t>2.45</w:t>
                  </w:r>
                  <w:r>
                    <w:rPr>
                      <w:rStyle w:val="78"/>
                      <w:rFonts w:hint="eastAsia"/>
                      <w:color w:val="auto"/>
                      <w:sz w:val="21"/>
                      <w:szCs w:val="21"/>
                    </w:rPr>
                    <w:t>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color w:val="auto"/>
                      <w:sz w:val="21"/>
                      <w:szCs w:val="21"/>
                    </w:rPr>
                    <w:t>3</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给水温度</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4</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出口蒸汽温度</w:t>
                  </w:r>
                </w:p>
              </w:tc>
              <w:tc>
                <w:tcPr>
                  <w:tcW w:w="3191"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2</w:t>
                  </w:r>
                  <w:r>
                    <w:rPr>
                      <w:rStyle w:val="78"/>
                      <w:rFonts w:hint="eastAsia"/>
                      <w:color w:val="auto"/>
                      <w:sz w:val="21"/>
                      <w:szCs w:val="21"/>
                      <w:lang w:val="en-US"/>
                    </w:rPr>
                    <w:t>2</w:t>
                  </w:r>
                  <w:r>
                    <w:rPr>
                      <w:rStyle w:val="78"/>
                      <w:rFonts w:hint="eastAsia"/>
                      <w:color w:val="auto"/>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color w:val="auto"/>
                      <w:sz w:val="21"/>
                      <w:szCs w:val="21"/>
                    </w:rPr>
                    <w:t>5</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水压试验</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3Mpa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6</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锅炉水容量</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10t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7</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满负荷烟尘初始排放浓度</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50mg-100mg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8</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烟气黑度</w:t>
                  </w:r>
                </w:p>
              </w:tc>
              <w:tc>
                <w:tcPr>
                  <w:tcW w:w="3191"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9</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设计燃料</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生物质气化气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10</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燃料额定耗量</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7500m</w:t>
                  </w:r>
                  <w:r>
                    <w:rPr>
                      <w:rStyle w:val="78"/>
                      <w:rFonts w:hint="eastAsia"/>
                      <w:color w:val="auto"/>
                      <w:sz w:val="21"/>
                      <w:szCs w:val="21"/>
                      <w:vertAlign w:val="superscript"/>
                      <w:lang w:val="en-US"/>
                    </w:rPr>
                    <w:t>3</w:t>
                  </w:r>
                  <w:r>
                    <w:rPr>
                      <w:rStyle w:val="78"/>
                      <w:rFonts w:hint="eastAsia"/>
                      <w:color w:val="auto"/>
                      <w:sz w:val="21"/>
                      <w:szCs w:val="21"/>
                      <w:lang w:val="en-US"/>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6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11</w:t>
                  </w:r>
                </w:p>
              </w:tc>
              <w:tc>
                <w:tcPr>
                  <w:tcW w:w="3491"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zh-CN"/>
                    </w:rPr>
                    <w:t>锅炉尺寸</w:t>
                  </w:r>
                </w:p>
              </w:tc>
              <w:tc>
                <w:tcPr>
                  <w:tcW w:w="3191"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长9000宽4100高</w:t>
                  </w:r>
                </w:p>
              </w:tc>
            </w:tr>
          </w:tbl>
          <w:p>
            <w:pPr>
              <w:jc w:val="center"/>
              <w:rPr>
                <w:rFonts w:hint="eastAsia" w:eastAsia="宋体"/>
                <w:b/>
                <w:color w:val="auto"/>
                <w:sz w:val="21"/>
                <w:szCs w:val="21"/>
                <w:lang w:eastAsia="zh-CN"/>
              </w:rPr>
            </w:pPr>
            <w:r>
              <w:rPr>
                <w:b/>
                <w:color w:val="auto"/>
                <w:sz w:val="21"/>
                <w:szCs w:val="21"/>
              </w:rPr>
              <w:t>表</w:t>
            </w:r>
            <w:r>
              <w:rPr>
                <w:rFonts w:hint="eastAsia"/>
                <w:b/>
                <w:color w:val="auto"/>
                <w:sz w:val="21"/>
                <w:szCs w:val="21"/>
              </w:rPr>
              <w:t>2-</w:t>
            </w:r>
            <w:r>
              <w:rPr>
                <w:rFonts w:hint="eastAsia"/>
                <w:b/>
                <w:color w:val="auto"/>
                <w:sz w:val="21"/>
                <w:szCs w:val="21"/>
                <w:lang w:val="en-US" w:eastAsia="zh-CN"/>
              </w:rPr>
              <w:t>7</w:t>
            </w:r>
            <w:r>
              <w:rPr>
                <w:rFonts w:hint="eastAsia"/>
                <w:b/>
                <w:color w:val="auto"/>
                <w:sz w:val="21"/>
                <w:szCs w:val="21"/>
              </w:rPr>
              <w:t xml:space="preserve"> </w:t>
            </w:r>
            <w:r>
              <w:rPr>
                <w:rFonts w:hint="eastAsia"/>
                <w:b/>
                <w:color w:val="auto"/>
                <w:sz w:val="21"/>
                <w:szCs w:val="21"/>
                <w:lang w:val="en-US" w:eastAsia="zh-CN"/>
              </w:rPr>
              <w:t>气化</w:t>
            </w:r>
            <w:r>
              <w:rPr>
                <w:rFonts w:hint="eastAsia"/>
                <w:b/>
                <w:color w:val="auto"/>
                <w:sz w:val="21"/>
                <w:szCs w:val="21"/>
              </w:rPr>
              <w:t>技术参数</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3687"/>
              <w:gridCol w:w="3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33" w:type="dxa"/>
                  <w:tcBorders>
                    <w:tl2br w:val="nil"/>
                    <w:tr2bl w:val="nil"/>
                  </w:tcBorders>
                  <w:noWrap/>
                  <w:vAlign w:val="center"/>
                </w:tcPr>
                <w:p>
                  <w:pPr>
                    <w:jc w:val="center"/>
                    <w:textAlignment w:val="baseline"/>
                    <w:rPr>
                      <w:rStyle w:val="78"/>
                      <w:color w:val="auto"/>
                      <w:sz w:val="21"/>
                      <w:szCs w:val="21"/>
                      <w:lang w:val="zh-CN"/>
                    </w:rPr>
                  </w:pPr>
                  <w:r>
                    <w:rPr>
                      <w:rStyle w:val="78"/>
                      <w:color w:val="auto"/>
                      <w:sz w:val="21"/>
                      <w:szCs w:val="21"/>
                      <w:lang w:val="zh-CN"/>
                    </w:rPr>
                    <w:t>序号</w:t>
                  </w:r>
                </w:p>
              </w:tc>
              <w:tc>
                <w:tcPr>
                  <w:tcW w:w="3666"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en-US"/>
                    </w:rPr>
                    <w:t>气化炉</w:t>
                  </w:r>
                  <w:r>
                    <w:rPr>
                      <w:rStyle w:val="78"/>
                      <w:rFonts w:hint="eastAsia"/>
                      <w:color w:val="auto"/>
                      <w:sz w:val="21"/>
                      <w:szCs w:val="21"/>
                      <w:lang w:val="zh-CN"/>
                    </w:rPr>
                    <w:t>型号</w:t>
                  </w:r>
                </w:p>
              </w:tc>
              <w:tc>
                <w:tcPr>
                  <w:tcW w:w="3390" w:type="dxa"/>
                  <w:tcBorders>
                    <w:tl2br w:val="nil"/>
                    <w:tr2bl w:val="nil"/>
                  </w:tcBorders>
                  <w:noWrap/>
                  <w:vAlign w:val="center"/>
                </w:tcPr>
                <w:p>
                  <w:pPr>
                    <w:jc w:val="center"/>
                    <w:textAlignment w:val="baseline"/>
                    <w:rPr>
                      <w:rStyle w:val="78"/>
                      <w:color w:val="auto"/>
                      <w:sz w:val="21"/>
                      <w:szCs w:val="21"/>
                      <w:lang w:val="zh-CN"/>
                    </w:rPr>
                  </w:pPr>
                  <w:r>
                    <w:rPr>
                      <w:rStyle w:val="78"/>
                      <w:rFonts w:hint="eastAsia"/>
                      <w:color w:val="auto"/>
                      <w:sz w:val="21"/>
                      <w:szCs w:val="21"/>
                      <w:lang w:val="en-US"/>
                    </w:rPr>
                    <w:t>12000LXQ3750-BPF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333" w:type="dxa"/>
                  <w:tcBorders>
                    <w:tl2br w:val="nil"/>
                    <w:tr2bl w:val="nil"/>
                  </w:tcBorders>
                  <w:noWrap/>
                  <w:vAlign w:val="center"/>
                </w:tcPr>
                <w:p>
                  <w:pPr>
                    <w:jc w:val="center"/>
                    <w:textAlignment w:val="baseline"/>
                    <w:rPr>
                      <w:rStyle w:val="78"/>
                      <w:color w:val="auto"/>
                      <w:sz w:val="21"/>
                      <w:szCs w:val="21"/>
                      <w:lang w:val="zh-CN"/>
                    </w:rPr>
                  </w:pPr>
                  <w:r>
                    <w:rPr>
                      <w:rStyle w:val="78"/>
                      <w:color w:val="auto"/>
                      <w:sz w:val="21"/>
                      <w:szCs w:val="21"/>
                      <w:lang w:val="zh-CN"/>
                    </w:rPr>
                    <w:t>1</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生物质燃料消耗量</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3750kg/h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33" w:type="dxa"/>
                  <w:tcBorders>
                    <w:tl2br w:val="nil"/>
                    <w:tr2bl w:val="nil"/>
                  </w:tcBorders>
                  <w:noWrap/>
                  <w:vAlign w:val="center"/>
                </w:tcPr>
                <w:p>
                  <w:pPr>
                    <w:jc w:val="center"/>
                    <w:textAlignment w:val="baseline"/>
                    <w:rPr>
                      <w:rStyle w:val="78"/>
                      <w:color w:val="auto"/>
                      <w:sz w:val="21"/>
                      <w:szCs w:val="21"/>
                    </w:rPr>
                  </w:pPr>
                  <w:r>
                    <w:rPr>
                      <w:rStyle w:val="78"/>
                      <w:color w:val="auto"/>
                      <w:sz w:val="21"/>
                      <w:szCs w:val="21"/>
                    </w:rPr>
                    <w:t>2</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气化强度</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450kg/（m</w:t>
                  </w:r>
                  <w:r>
                    <w:rPr>
                      <w:rStyle w:val="78"/>
                      <w:rFonts w:hint="eastAsia"/>
                      <w:color w:val="auto"/>
                      <w:sz w:val="21"/>
                      <w:szCs w:val="21"/>
                      <w:vertAlign w:val="superscript"/>
                      <w:lang w:val="en-US"/>
                    </w:rPr>
                    <w:t>2</w:t>
                  </w:r>
                  <w:r>
                    <w:rPr>
                      <w:rStyle w:val="78"/>
                      <w:rFonts w:hint="eastAsia"/>
                      <w:color w:val="auto"/>
                      <w:sz w:val="21"/>
                      <w:szCs w:val="21"/>
                      <w:lang w:val="en-US"/>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33" w:type="dxa"/>
                  <w:tcBorders>
                    <w:tl2br w:val="nil"/>
                    <w:tr2bl w:val="nil"/>
                  </w:tcBorders>
                  <w:noWrap/>
                  <w:vAlign w:val="center"/>
                </w:tcPr>
                <w:p>
                  <w:pPr>
                    <w:jc w:val="center"/>
                    <w:textAlignment w:val="baseline"/>
                    <w:rPr>
                      <w:rStyle w:val="78"/>
                      <w:color w:val="auto"/>
                      <w:sz w:val="21"/>
                      <w:szCs w:val="21"/>
                    </w:rPr>
                  </w:pPr>
                  <w:r>
                    <w:rPr>
                      <w:rStyle w:val="78"/>
                      <w:color w:val="auto"/>
                      <w:sz w:val="21"/>
                      <w:szCs w:val="21"/>
                    </w:rPr>
                    <w:t>3</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产气量输出功率</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1080X104kcal/h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33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4</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额定产气量</w:t>
                  </w:r>
                </w:p>
              </w:tc>
              <w:tc>
                <w:tcPr>
                  <w:tcW w:w="3390" w:type="dxa"/>
                  <w:tcBorders>
                    <w:tl2br w:val="nil"/>
                    <w:tr2bl w:val="nil"/>
                  </w:tcBorders>
                  <w:noWrap/>
                  <w:vAlign w:val="center"/>
                </w:tcPr>
                <w:p>
                  <w:pPr>
                    <w:jc w:val="center"/>
                    <w:textAlignment w:val="baseline"/>
                    <w:rPr>
                      <w:rStyle w:val="78"/>
                      <w:color w:val="auto"/>
                      <w:sz w:val="21"/>
                      <w:szCs w:val="21"/>
                      <w:vertAlign w:val="baseline"/>
                      <w:lang w:val="en-US"/>
                    </w:rPr>
                  </w:pPr>
                  <w:r>
                    <w:rPr>
                      <w:rStyle w:val="78"/>
                      <w:rFonts w:hint="eastAsia"/>
                      <w:color w:val="auto"/>
                      <w:sz w:val="21"/>
                      <w:szCs w:val="21"/>
                      <w:lang w:val="en-US"/>
                    </w:rPr>
                    <w:t>8250m</w:t>
                  </w:r>
                  <w:r>
                    <w:rPr>
                      <w:rStyle w:val="78"/>
                      <w:rFonts w:hint="eastAsia"/>
                      <w:color w:val="auto"/>
                      <w:sz w:val="21"/>
                      <w:szCs w:val="21"/>
                      <w:vertAlign w:val="superscript"/>
                      <w:lang w:val="en-US"/>
                    </w:rPr>
                    <w:t>3</w:t>
                  </w:r>
                  <w:r>
                    <w:rPr>
                      <w:rStyle w:val="78"/>
                      <w:rFonts w:hint="eastAsia"/>
                      <w:color w:val="auto"/>
                      <w:sz w:val="21"/>
                      <w:szCs w:val="21"/>
                      <w:vertAlign w:val="baseline"/>
                      <w:lang w:val="en-US"/>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333" w:type="dxa"/>
                  <w:tcBorders>
                    <w:tl2br w:val="nil"/>
                    <w:tr2bl w:val="nil"/>
                  </w:tcBorders>
                  <w:noWrap/>
                  <w:vAlign w:val="center"/>
                </w:tcPr>
                <w:p>
                  <w:pPr>
                    <w:jc w:val="center"/>
                    <w:textAlignment w:val="baseline"/>
                    <w:rPr>
                      <w:rStyle w:val="78"/>
                      <w:color w:val="auto"/>
                      <w:sz w:val="21"/>
                      <w:szCs w:val="21"/>
                    </w:rPr>
                  </w:pPr>
                  <w:r>
                    <w:rPr>
                      <w:rStyle w:val="78"/>
                      <w:color w:val="auto"/>
                      <w:sz w:val="21"/>
                      <w:szCs w:val="21"/>
                    </w:rPr>
                    <w:t>5</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气化效率</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33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6</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生物质燃料水分要求</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33" w:type="dxa"/>
                  <w:tcBorders>
                    <w:tl2br w:val="nil"/>
                    <w:tr2bl w:val="nil"/>
                  </w:tcBorders>
                  <w:noWrap/>
                  <w:vAlign w:val="center"/>
                </w:tcPr>
                <w:p>
                  <w:pPr>
                    <w:jc w:val="center"/>
                    <w:textAlignment w:val="baseline"/>
                    <w:rPr>
                      <w:rStyle w:val="78"/>
                      <w:color w:val="auto"/>
                      <w:sz w:val="21"/>
                      <w:szCs w:val="21"/>
                    </w:rPr>
                  </w:pPr>
                  <w:r>
                    <w:rPr>
                      <w:rStyle w:val="78"/>
                      <w:rFonts w:hint="eastAsia"/>
                      <w:color w:val="auto"/>
                      <w:sz w:val="21"/>
                      <w:szCs w:val="21"/>
                    </w:rPr>
                    <w:t>7</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生物质燃料粒度要求</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30-100mm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33"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8</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设备占地面积</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200m</w:t>
                  </w:r>
                  <w:r>
                    <w:rPr>
                      <w:rStyle w:val="78"/>
                      <w:rFonts w:hint="eastAsia"/>
                      <w:color w:val="auto"/>
                      <w:sz w:val="21"/>
                      <w:szCs w:val="21"/>
                      <w:vertAlign w:val="superscript"/>
                      <w:lang w:val="en-US"/>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33"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9</w:t>
                  </w:r>
                </w:p>
              </w:tc>
              <w:tc>
                <w:tcPr>
                  <w:tcW w:w="3666"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设备耗电功率</w:t>
                  </w:r>
                </w:p>
              </w:tc>
              <w:tc>
                <w:tcPr>
                  <w:tcW w:w="3390" w:type="dxa"/>
                  <w:tcBorders>
                    <w:tl2br w:val="nil"/>
                    <w:tr2bl w:val="nil"/>
                  </w:tcBorders>
                  <w:noWrap/>
                  <w:vAlign w:val="center"/>
                </w:tcPr>
                <w:p>
                  <w:pPr>
                    <w:jc w:val="center"/>
                    <w:textAlignment w:val="baseline"/>
                    <w:rPr>
                      <w:rStyle w:val="78"/>
                      <w:color w:val="auto"/>
                      <w:sz w:val="21"/>
                      <w:szCs w:val="21"/>
                      <w:lang w:val="en-US"/>
                    </w:rPr>
                  </w:pPr>
                  <w:r>
                    <w:rPr>
                      <w:rStyle w:val="78"/>
                      <w:rFonts w:hint="eastAsia"/>
                      <w:color w:val="auto"/>
                      <w:sz w:val="21"/>
                      <w:szCs w:val="21"/>
                      <w:lang w:val="en-US"/>
                    </w:rPr>
                    <w:t>单套110KW/H实际为60%</w:t>
                  </w:r>
                </w:p>
              </w:tc>
            </w:tr>
          </w:tbl>
          <w:p>
            <w:pPr>
              <w:pStyle w:val="22"/>
              <w:spacing w:line="360" w:lineRule="auto"/>
              <w:rPr>
                <w:rFonts w:ascii="Times New Roman" w:hAnsi="Times New Roman" w:cs="Times New Roman"/>
                <w:color w:val="auto"/>
              </w:rPr>
            </w:pPr>
            <w:r>
              <w:rPr>
                <w:rFonts w:ascii="Times New Roman" w:hAnsi="Times New Roman" w:cs="Times New Roman"/>
                <w:color w:val="auto"/>
              </w:rPr>
              <w:t>7、公用工程</w:t>
            </w:r>
          </w:p>
          <w:p>
            <w:pPr>
              <w:spacing w:line="360" w:lineRule="auto"/>
              <w:ind w:firstLine="480"/>
              <w:rPr>
                <w:rFonts w:ascii="Times New Roman" w:hAnsi="Times New Roman" w:cs="Times New Roman"/>
                <w:b/>
                <w:color w:val="auto"/>
                <w:sz w:val="24"/>
              </w:rPr>
            </w:pPr>
            <w:r>
              <w:rPr>
                <w:rFonts w:ascii="Times New Roman" w:hAnsi="Times New Roman" w:eastAsia="宋体" w:cs="Times New Roman"/>
                <w:b/>
                <w:color w:val="auto"/>
                <w:sz w:val="24"/>
              </w:rPr>
              <w:t>（1）供电</w:t>
            </w:r>
          </w:p>
          <w:p>
            <w:pPr>
              <w:pStyle w:val="7"/>
              <w:widowControl/>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建设项目用电由市政电网供给，由380/220V配电线路引入</w:t>
            </w:r>
            <w:r>
              <w:rPr>
                <w:rFonts w:hint="eastAsia" w:cs="Times New Roman"/>
                <w:color w:val="auto"/>
                <w:kern w:val="0"/>
                <w:sz w:val="24"/>
                <w:lang w:val="en-US" w:eastAsia="zh-CN"/>
              </w:rPr>
              <w:t>现有</w:t>
            </w:r>
            <w:r>
              <w:rPr>
                <w:rFonts w:ascii="Times New Roman" w:hAnsi="Times New Roman" w:cs="Times New Roman"/>
                <w:color w:val="auto"/>
                <w:kern w:val="0"/>
                <w:sz w:val="24"/>
              </w:rPr>
              <w:t>变配电站，满足项目各车间使用。应急照明采用自带蓄电池的应急照明灯具。</w:t>
            </w:r>
          </w:p>
          <w:p>
            <w:pPr>
              <w:pStyle w:val="45"/>
              <w:numPr>
                <w:ilvl w:val="0"/>
                <w:numId w:val="2"/>
              </w:numPr>
              <w:adjustRightInd w:val="0"/>
              <w:snapToGrid w:val="0"/>
              <w:spacing w:before="50" w:beforeLines="0"/>
              <w:ind w:left="-2" w:firstLine="422" w:firstLineChars="0"/>
              <w:rPr>
                <w:rFonts w:ascii="Times New Roman" w:hAnsi="Times New Roman" w:cs="Times New Roman"/>
                <w:b/>
                <w:color w:val="auto"/>
              </w:rPr>
            </w:pPr>
            <w:r>
              <w:rPr>
                <w:rFonts w:ascii="Times New Roman" w:hAnsi="Times New Roman" w:cs="Times New Roman"/>
                <w:b/>
                <w:color w:val="auto"/>
                <w:lang w:val="en-US" w:eastAsia="zh-CN"/>
              </w:rPr>
              <w:t>给水</w:t>
            </w:r>
          </w:p>
          <w:p>
            <w:pPr>
              <w:widowControl/>
              <w:adjustRightInd w:val="0"/>
              <w:snapToGrid w:val="0"/>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建设项目厂区内生活用水由园区市政供水管网统一供给，生产用水给水系统采用单元制，设</w:t>
            </w:r>
            <w:r>
              <w:rPr>
                <w:rFonts w:ascii="Times New Roman" w:hAnsi="Times New Roman" w:cs="Times New Roman"/>
                <w:color w:val="auto"/>
                <w:kern w:val="0"/>
                <w:sz w:val="24"/>
                <w:lang w:val="en-US" w:eastAsia="zh-CN"/>
              </w:rPr>
              <w:t>有</w:t>
            </w:r>
            <w:r>
              <w:rPr>
                <w:rFonts w:ascii="Times New Roman" w:hAnsi="Times New Roman" w:cs="Times New Roman"/>
                <w:color w:val="auto"/>
                <w:kern w:val="0"/>
                <w:sz w:val="24"/>
              </w:rPr>
              <w:t>管道，</w:t>
            </w:r>
            <w:r>
              <w:rPr>
                <w:rFonts w:ascii="Times New Roman" w:hAnsi="Times New Roman" w:cs="Times New Roman"/>
                <w:color w:val="auto"/>
                <w:kern w:val="0"/>
                <w:sz w:val="24"/>
                <w:lang w:val="en-US" w:eastAsia="zh-CN"/>
              </w:rPr>
              <w:t>经软水处理装置软化后，</w:t>
            </w:r>
            <w:r>
              <w:rPr>
                <w:rFonts w:ascii="Times New Roman" w:hAnsi="Times New Roman" w:cs="Times New Roman"/>
                <w:color w:val="auto"/>
                <w:kern w:val="0"/>
                <w:sz w:val="24"/>
              </w:rPr>
              <w:t>由系统水箱接入本项目锅炉。</w:t>
            </w:r>
          </w:p>
          <w:p>
            <w:pPr>
              <w:widowControl/>
              <w:adjustRightInd w:val="0"/>
              <w:snapToGrid w:val="0"/>
              <w:spacing w:line="360" w:lineRule="auto"/>
              <w:ind w:firstLine="480" w:firstLineChars="200"/>
              <w:jc w:val="left"/>
              <w:rPr>
                <w:rFonts w:ascii="Times New Roman" w:hAnsi="Times New Roman" w:cs="Times New Roman"/>
                <w:color w:val="auto"/>
                <w:kern w:val="0"/>
                <w:sz w:val="24"/>
                <w:lang w:eastAsia="zh-CN"/>
              </w:rPr>
            </w:pPr>
            <w:r>
              <w:rPr>
                <w:rFonts w:ascii="Times New Roman" w:hAnsi="Times New Roman" w:cs="Times New Roman"/>
                <w:color w:val="auto"/>
                <w:kern w:val="0"/>
                <w:sz w:val="24"/>
                <w:lang w:eastAsia="zh-CN"/>
              </w:rPr>
              <w:t>①锅炉补充用水</w:t>
            </w:r>
          </w:p>
          <w:p>
            <w:pPr>
              <w:widowControl/>
              <w:adjustRightInd w:val="0"/>
              <w:snapToGrid w:val="0"/>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lang w:val="en-US" w:eastAsia="zh-CN"/>
              </w:rPr>
              <w:t>本项目</w:t>
            </w:r>
            <w:r>
              <w:rPr>
                <w:rFonts w:ascii="Times New Roman" w:hAnsi="Times New Roman" w:cs="Times New Roman"/>
                <w:color w:val="auto"/>
                <w:kern w:val="0"/>
                <w:sz w:val="24"/>
              </w:rPr>
              <w:t>设置有</w:t>
            </w:r>
            <w:r>
              <w:rPr>
                <w:rFonts w:ascii="Times New Roman" w:hAnsi="Times New Roman" w:cs="Times New Roman"/>
                <w:color w:val="auto"/>
                <w:kern w:val="0"/>
                <w:sz w:val="24"/>
                <w:lang w:val="en-US" w:eastAsia="zh-CN"/>
              </w:rPr>
              <w:t>1</w:t>
            </w:r>
            <w:r>
              <w:rPr>
                <w:rFonts w:ascii="Times New Roman" w:hAnsi="Times New Roman" w:cs="Times New Roman"/>
                <w:color w:val="auto"/>
                <w:kern w:val="0"/>
                <w:sz w:val="24"/>
              </w:rPr>
              <w:t>台</w:t>
            </w:r>
            <w:r>
              <w:rPr>
                <w:rFonts w:ascii="Times New Roman" w:hAnsi="Times New Roman" w:cs="Times New Roman"/>
                <w:color w:val="auto"/>
                <w:kern w:val="0"/>
                <w:sz w:val="24"/>
                <w:lang w:val="en-US" w:eastAsia="zh-CN"/>
              </w:rPr>
              <w:t>12</w:t>
            </w:r>
            <w:r>
              <w:rPr>
                <w:rFonts w:ascii="Times New Roman" w:hAnsi="Times New Roman" w:cs="Times New Roman"/>
                <w:color w:val="auto"/>
                <w:kern w:val="0"/>
                <w:sz w:val="24"/>
              </w:rPr>
              <w:t>t/h生物质气化燃气锅炉，额定蒸汽量为</w:t>
            </w:r>
            <w:r>
              <w:rPr>
                <w:rFonts w:ascii="Times New Roman" w:hAnsi="Times New Roman" w:cs="Times New Roman"/>
                <w:color w:val="auto"/>
                <w:kern w:val="0"/>
                <w:sz w:val="24"/>
                <w:lang w:val="en-US" w:eastAsia="zh-CN"/>
              </w:rPr>
              <w:t>12</w:t>
            </w:r>
            <w:r>
              <w:rPr>
                <w:rFonts w:ascii="Times New Roman" w:hAnsi="Times New Roman" w:cs="Times New Roman"/>
                <w:color w:val="auto"/>
                <w:kern w:val="0"/>
                <w:sz w:val="24"/>
              </w:rPr>
              <w:t>t/h（即</w:t>
            </w:r>
            <w:r>
              <w:rPr>
                <w:rFonts w:ascii="Times New Roman" w:hAnsi="Times New Roman" w:cs="Times New Roman"/>
                <w:color w:val="auto"/>
                <w:kern w:val="0"/>
                <w:sz w:val="24"/>
                <w:lang w:val="en-US" w:eastAsia="zh-CN"/>
              </w:rPr>
              <w:t>95040</w:t>
            </w:r>
            <w:r>
              <w:rPr>
                <w:rFonts w:ascii="Times New Roman" w:hAnsi="Times New Roman" w:cs="Times New Roman"/>
                <w:color w:val="auto"/>
                <w:kern w:val="0"/>
                <w:sz w:val="24"/>
              </w:rPr>
              <w:t>t/a），因在实际操作过程中，因压力、温度等原因影响，锅炉实际蒸汽量小于额定蒸汽量，本项目按照实际蒸汽量为额定蒸汽量的9</w:t>
            </w:r>
            <w:r>
              <w:rPr>
                <w:rFonts w:ascii="Times New Roman" w:hAnsi="Times New Roman" w:cs="Times New Roman"/>
                <w:color w:val="auto"/>
                <w:kern w:val="0"/>
                <w:sz w:val="24"/>
                <w:lang w:val="en-US" w:eastAsia="zh-CN"/>
              </w:rPr>
              <w:t>5</w:t>
            </w:r>
            <w:r>
              <w:rPr>
                <w:rFonts w:ascii="Times New Roman" w:hAnsi="Times New Roman" w:cs="Times New Roman"/>
                <w:color w:val="auto"/>
                <w:kern w:val="0"/>
                <w:sz w:val="24"/>
              </w:rPr>
              <w:t>%计算，即实际蒸汽量为</w:t>
            </w:r>
            <w:r>
              <w:rPr>
                <w:rFonts w:ascii="Times New Roman" w:hAnsi="Times New Roman" w:cs="Times New Roman"/>
                <w:color w:val="auto"/>
                <w:kern w:val="0"/>
                <w:sz w:val="24"/>
                <w:lang w:val="en-US" w:eastAsia="zh-CN"/>
              </w:rPr>
              <w:t>11.4</w:t>
            </w:r>
            <w:r>
              <w:rPr>
                <w:rFonts w:ascii="Times New Roman" w:hAnsi="Times New Roman" w:cs="Times New Roman"/>
                <w:color w:val="auto"/>
                <w:kern w:val="0"/>
                <w:sz w:val="24"/>
              </w:rPr>
              <w:t>t/h（即</w:t>
            </w:r>
            <w:r>
              <w:rPr>
                <w:rFonts w:ascii="Times New Roman" w:hAnsi="Times New Roman" w:cs="Times New Roman"/>
                <w:color w:val="auto"/>
                <w:kern w:val="0"/>
                <w:sz w:val="24"/>
                <w:lang w:val="en-US" w:eastAsia="zh-CN"/>
              </w:rPr>
              <w:t>90288</w:t>
            </w:r>
            <w:r>
              <w:rPr>
                <w:rFonts w:ascii="Times New Roman" w:hAnsi="Times New Roman" w:cs="Times New Roman"/>
                <w:color w:val="auto"/>
                <w:kern w:val="0"/>
                <w:sz w:val="24"/>
              </w:rPr>
              <w:t>t/a）。</w:t>
            </w:r>
          </w:p>
          <w:p>
            <w:pPr>
              <w:widowControl/>
              <w:adjustRightInd w:val="0"/>
              <w:snapToGrid w:val="0"/>
              <w:spacing w:line="360" w:lineRule="auto"/>
              <w:ind w:firstLine="480" w:firstLineChars="200"/>
              <w:jc w:val="left"/>
              <w:rPr>
                <w:rFonts w:ascii="Times New Roman" w:hAnsi="Times New Roman" w:cs="Times New Roman"/>
                <w:color w:val="auto"/>
                <w:kern w:val="0"/>
                <w:sz w:val="24"/>
                <w:u w:val="none"/>
                <w:lang w:eastAsia="zh-CN"/>
              </w:rPr>
            </w:pPr>
            <w:r>
              <w:rPr>
                <w:rFonts w:ascii="Times New Roman" w:hAnsi="Times New Roman" w:cs="Times New Roman"/>
                <w:color w:val="auto"/>
                <w:kern w:val="0"/>
                <w:sz w:val="24"/>
                <w:u w:val="none"/>
              </w:rPr>
              <w:t>锅炉排污</w:t>
            </w:r>
            <w:r>
              <w:rPr>
                <w:rFonts w:hint="eastAsia" w:cs="Times New Roman"/>
                <w:color w:val="auto"/>
                <w:kern w:val="0"/>
                <w:sz w:val="24"/>
                <w:u w:val="none"/>
                <w:lang w:val="en-US" w:eastAsia="zh-CN"/>
              </w:rPr>
              <w:t>水：根据《</w:t>
            </w:r>
            <w:r>
              <w:rPr>
                <w:rFonts w:ascii="Times New Roman" w:hAnsi="Times New Roman" w:cs="Times New Roman"/>
                <w:color w:val="auto"/>
                <w:kern w:val="0"/>
                <w:sz w:val="24"/>
                <w:u w:val="none"/>
              </w:rPr>
              <w:t>排放源统计调查产排污核算方法和系数手册》工业源产排污核算方法和系数手册中“4430工业锅炉</w:t>
            </w:r>
            <w:r>
              <w:rPr>
                <w:rFonts w:hint="eastAsia" w:cs="Times New Roman"/>
                <w:color w:val="auto"/>
                <w:kern w:val="0"/>
                <w:sz w:val="24"/>
                <w:u w:val="none"/>
                <w:lang w:eastAsia="zh-CN"/>
              </w:rPr>
              <w:t>（</w:t>
            </w:r>
            <w:r>
              <w:rPr>
                <w:rFonts w:hint="eastAsia" w:cs="Times New Roman"/>
                <w:color w:val="auto"/>
                <w:kern w:val="0"/>
                <w:sz w:val="24"/>
                <w:u w:val="none"/>
                <w:lang w:val="en-US" w:eastAsia="zh-CN"/>
              </w:rPr>
              <w:t>热力供应</w:t>
            </w:r>
            <w:r>
              <w:rPr>
                <w:rFonts w:hint="eastAsia" w:cs="Times New Roman"/>
                <w:color w:val="auto"/>
                <w:kern w:val="0"/>
                <w:sz w:val="24"/>
                <w:u w:val="none"/>
                <w:lang w:eastAsia="zh-CN"/>
              </w:rPr>
              <w:t>）</w:t>
            </w:r>
            <w:r>
              <w:rPr>
                <w:rFonts w:ascii="Times New Roman" w:hAnsi="Times New Roman" w:cs="Times New Roman"/>
                <w:color w:val="auto"/>
                <w:kern w:val="0"/>
                <w:sz w:val="24"/>
                <w:u w:val="none"/>
              </w:rPr>
              <w:t>行业系数手册”，锅外水处理时锅炉废水产污系数为0.356吨/吨</w:t>
            </w:r>
            <w:r>
              <w:rPr>
                <w:rFonts w:hint="eastAsia" w:cs="Times New Roman"/>
                <w:color w:val="auto"/>
                <w:kern w:val="0"/>
                <w:sz w:val="24"/>
                <w:u w:val="none"/>
                <w:lang w:eastAsia="zh-CN"/>
              </w:rPr>
              <w:t>—</w:t>
            </w:r>
            <w:r>
              <w:rPr>
                <w:rFonts w:ascii="Times New Roman" w:hAnsi="Times New Roman" w:cs="Times New Roman"/>
                <w:color w:val="auto"/>
                <w:kern w:val="0"/>
                <w:sz w:val="24"/>
                <w:u w:val="none"/>
              </w:rPr>
              <w:t>原料</w:t>
            </w:r>
            <w:r>
              <w:rPr>
                <w:rFonts w:hint="eastAsia" w:cs="Times New Roman"/>
                <w:color w:val="auto"/>
                <w:kern w:val="0"/>
                <w:sz w:val="24"/>
                <w:u w:val="none"/>
                <w:lang w:eastAsia="zh-CN"/>
              </w:rPr>
              <w:t>，</w:t>
            </w:r>
            <w:r>
              <w:rPr>
                <w:rFonts w:hint="eastAsia" w:cs="Times New Roman"/>
                <w:color w:val="auto"/>
                <w:kern w:val="0"/>
                <w:sz w:val="24"/>
                <w:u w:val="none"/>
                <w:lang w:val="en-US" w:eastAsia="zh-CN"/>
              </w:rPr>
              <w:t>本项目原料用量为22000t</w:t>
            </w:r>
            <w:r>
              <w:rPr>
                <w:rFonts w:ascii="Times New Roman" w:hAnsi="Times New Roman" w:cs="Times New Roman"/>
                <w:color w:val="auto"/>
                <w:kern w:val="0"/>
                <w:sz w:val="24"/>
                <w:u w:val="none"/>
              </w:rPr>
              <w:t>，则锅炉排水量为</w:t>
            </w:r>
            <w:r>
              <w:rPr>
                <w:rFonts w:hint="eastAsia" w:cs="Times New Roman"/>
                <w:color w:val="auto"/>
                <w:kern w:val="0"/>
                <w:sz w:val="24"/>
                <w:u w:val="none"/>
                <w:lang w:val="en-US" w:eastAsia="zh-CN"/>
              </w:rPr>
              <w:t>7832</w:t>
            </w:r>
            <w:r>
              <w:rPr>
                <w:rFonts w:ascii="Times New Roman" w:hAnsi="Times New Roman" w:cs="Times New Roman"/>
                <w:color w:val="auto"/>
                <w:kern w:val="0"/>
                <w:sz w:val="24"/>
                <w:u w:val="none"/>
              </w:rPr>
              <w:t>m</w:t>
            </w:r>
            <w:r>
              <w:rPr>
                <w:rFonts w:ascii="Times New Roman" w:hAnsi="Times New Roman" w:cs="Times New Roman"/>
                <w:color w:val="auto"/>
                <w:kern w:val="0"/>
                <w:sz w:val="24"/>
                <w:u w:val="none"/>
                <w:vertAlign w:val="superscript"/>
              </w:rPr>
              <w:t>3</w:t>
            </w:r>
            <w:r>
              <w:rPr>
                <w:rFonts w:ascii="Times New Roman" w:hAnsi="Times New Roman" w:cs="Times New Roman"/>
                <w:color w:val="auto"/>
                <w:kern w:val="0"/>
                <w:sz w:val="24"/>
                <w:u w:val="none"/>
              </w:rPr>
              <w:t>/a。</w:t>
            </w:r>
            <w:r>
              <w:rPr>
                <w:rFonts w:ascii="Times New Roman" w:hAnsi="Times New Roman" w:cs="Times New Roman"/>
                <w:color w:val="auto"/>
                <w:kern w:val="0"/>
                <w:sz w:val="24"/>
                <w:u w:val="none"/>
                <w:lang w:eastAsia="zh-CN"/>
              </w:rPr>
              <w:t>管道汽水损失约为蒸汽量的1%，则管道水汽损失量为</w:t>
            </w:r>
            <w:r>
              <w:rPr>
                <w:rFonts w:hint="eastAsia" w:cs="Times New Roman"/>
                <w:color w:val="auto"/>
                <w:kern w:val="0"/>
                <w:sz w:val="24"/>
                <w:u w:val="none"/>
                <w:lang w:val="en-US" w:eastAsia="zh-CN"/>
              </w:rPr>
              <w:t>95040*1%=</w:t>
            </w:r>
            <w:r>
              <w:rPr>
                <w:rFonts w:ascii="Times New Roman" w:hAnsi="Times New Roman" w:cs="Times New Roman"/>
                <w:color w:val="auto"/>
                <w:kern w:val="0"/>
                <w:sz w:val="24"/>
                <w:u w:val="none"/>
                <w:lang w:val="en-US" w:eastAsia="zh-CN"/>
              </w:rPr>
              <w:t>950.4</w:t>
            </w:r>
            <w:r>
              <w:rPr>
                <w:rFonts w:ascii="Times New Roman" w:hAnsi="Times New Roman" w:cs="Times New Roman"/>
                <w:color w:val="auto"/>
                <w:kern w:val="0"/>
                <w:sz w:val="24"/>
                <w:u w:val="none"/>
                <w:lang w:eastAsia="zh-CN"/>
              </w:rPr>
              <w:t>m</w:t>
            </w:r>
            <w:r>
              <w:rPr>
                <w:rFonts w:ascii="Times New Roman" w:hAnsi="Times New Roman" w:cs="Times New Roman"/>
                <w:color w:val="auto"/>
                <w:kern w:val="0"/>
                <w:sz w:val="24"/>
                <w:u w:val="none"/>
                <w:vertAlign w:val="superscript"/>
                <w:lang w:eastAsia="zh-CN"/>
              </w:rPr>
              <w:t>3</w:t>
            </w:r>
            <w:r>
              <w:rPr>
                <w:rFonts w:ascii="Times New Roman" w:hAnsi="Times New Roman" w:cs="Times New Roman"/>
                <w:color w:val="auto"/>
                <w:kern w:val="0"/>
                <w:sz w:val="24"/>
                <w:u w:val="none"/>
                <w:lang w:eastAsia="zh-CN"/>
              </w:rPr>
              <w:t>/a。</w:t>
            </w:r>
            <w:r>
              <w:rPr>
                <w:rFonts w:ascii="Times New Roman" w:hAnsi="Times New Roman" w:cs="Times New Roman"/>
                <w:color w:val="auto"/>
                <w:kern w:val="0"/>
                <w:sz w:val="24"/>
                <w:u w:val="none"/>
                <w:lang w:val="en-US" w:eastAsia="zh-CN"/>
              </w:rPr>
              <w:t>锅炉</w:t>
            </w:r>
            <w:r>
              <w:rPr>
                <w:rFonts w:ascii="Times New Roman" w:hAnsi="Times New Roman" w:cs="Times New Roman"/>
                <w:color w:val="auto"/>
                <w:kern w:val="0"/>
                <w:sz w:val="24"/>
                <w:u w:val="none"/>
                <w:lang w:eastAsia="zh-CN"/>
              </w:rPr>
              <w:t>汽水损失量＝锅炉排污损失＋管道汽水损失；则锅炉水损失量</w:t>
            </w:r>
            <w:r>
              <w:rPr>
                <w:rFonts w:ascii="Times New Roman" w:hAnsi="Times New Roman" w:cs="Times New Roman"/>
                <w:color w:val="auto"/>
                <w:kern w:val="0"/>
                <w:sz w:val="24"/>
                <w:u w:val="none"/>
                <w:lang w:val="en-US" w:eastAsia="zh-CN"/>
              </w:rPr>
              <w:t>为：</w:t>
            </w:r>
            <w:r>
              <w:rPr>
                <w:rFonts w:hint="eastAsia" w:cs="Times New Roman"/>
                <w:color w:val="auto"/>
                <w:kern w:val="0"/>
                <w:sz w:val="24"/>
                <w:u w:val="none"/>
                <w:lang w:val="en-US" w:eastAsia="zh-CN"/>
              </w:rPr>
              <w:t>7832</w:t>
            </w:r>
            <w:r>
              <w:rPr>
                <w:rFonts w:ascii="Times New Roman" w:hAnsi="Times New Roman" w:cs="Times New Roman"/>
                <w:color w:val="auto"/>
                <w:kern w:val="0"/>
                <w:sz w:val="24"/>
                <w:u w:val="none"/>
                <w:lang w:val="en-US" w:eastAsia="zh-CN"/>
              </w:rPr>
              <w:t>+950.4=</w:t>
            </w:r>
            <w:r>
              <w:rPr>
                <w:rFonts w:hint="eastAsia" w:cs="Times New Roman"/>
                <w:color w:val="auto"/>
                <w:kern w:val="0"/>
                <w:sz w:val="24"/>
                <w:u w:val="none"/>
                <w:lang w:val="en-US" w:eastAsia="zh-CN"/>
              </w:rPr>
              <w:t>8782.4</w:t>
            </w:r>
            <w:r>
              <w:rPr>
                <w:rFonts w:ascii="Times New Roman" w:hAnsi="Times New Roman" w:cs="Times New Roman"/>
                <w:color w:val="auto"/>
                <w:kern w:val="0"/>
                <w:sz w:val="24"/>
                <w:u w:val="none"/>
                <w:lang w:eastAsia="zh-CN"/>
              </w:rPr>
              <w:t>m</w:t>
            </w:r>
            <w:r>
              <w:rPr>
                <w:rFonts w:ascii="Times New Roman" w:hAnsi="Times New Roman" w:cs="Times New Roman"/>
                <w:color w:val="auto"/>
                <w:kern w:val="0"/>
                <w:sz w:val="24"/>
                <w:u w:val="none"/>
                <w:vertAlign w:val="superscript"/>
                <w:lang w:eastAsia="zh-CN"/>
              </w:rPr>
              <w:t>3</w:t>
            </w:r>
            <w:r>
              <w:rPr>
                <w:rFonts w:ascii="Times New Roman" w:hAnsi="Times New Roman" w:cs="Times New Roman"/>
                <w:color w:val="auto"/>
                <w:kern w:val="0"/>
                <w:sz w:val="24"/>
                <w:u w:val="none"/>
                <w:lang w:eastAsia="zh-CN"/>
              </w:rPr>
              <w:t>/a（即</w:t>
            </w:r>
            <w:r>
              <w:rPr>
                <w:rFonts w:hint="eastAsia" w:cs="Times New Roman"/>
                <w:color w:val="auto"/>
                <w:kern w:val="0"/>
                <w:sz w:val="24"/>
                <w:u w:val="none"/>
                <w:lang w:val="en-US" w:eastAsia="zh-CN"/>
              </w:rPr>
              <w:t>1.11</w:t>
            </w:r>
            <w:r>
              <w:rPr>
                <w:rFonts w:ascii="Times New Roman" w:hAnsi="Times New Roman" w:cs="Times New Roman"/>
                <w:color w:val="auto"/>
                <w:kern w:val="0"/>
                <w:sz w:val="24"/>
                <w:u w:val="none"/>
                <w:lang w:eastAsia="zh-CN"/>
              </w:rPr>
              <w:t>t/h）。</w:t>
            </w:r>
          </w:p>
          <w:p>
            <w:pPr>
              <w:widowControl/>
              <w:adjustRightInd w:val="0"/>
              <w:snapToGrid w:val="0"/>
              <w:spacing w:line="360" w:lineRule="auto"/>
              <w:ind w:firstLine="480" w:firstLineChars="200"/>
              <w:jc w:val="left"/>
              <w:rPr>
                <w:rFonts w:ascii="Times New Roman" w:hAnsi="Times New Roman" w:cs="Times New Roman"/>
                <w:color w:val="auto"/>
                <w:kern w:val="0"/>
                <w:sz w:val="24"/>
                <w:lang w:val="en-US" w:eastAsia="zh-CN"/>
              </w:rPr>
            </w:pPr>
            <w:r>
              <w:rPr>
                <w:rFonts w:ascii="Times New Roman" w:hAnsi="Times New Roman" w:cs="Times New Roman"/>
                <w:color w:val="auto"/>
                <w:kern w:val="0"/>
                <w:sz w:val="24"/>
                <w:lang w:val="en-US" w:eastAsia="zh-CN"/>
              </w:rPr>
              <w:t>②软水补充水</w:t>
            </w:r>
          </w:p>
          <w:p>
            <w:pPr>
              <w:widowControl/>
              <w:adjustRightInd w:val="0"/>
              <w:snapToGrid w:val="0"/>
              <w:spacing w:line="360" w:lineRule="auto"/>
              <w:ind w:firstLine="480" w:firstLineChars="200"/>
              <w:jc w:val="left"/>
              <w:rPr>
                <w:rFonts w:ascii="Times New Roman" w:hAnsi="Times New Roman" w:cs="Times New Roman"/>
                <w:color w:val="auto"/>
                <w:kern w:val="0"/>
                <w:sz w:val="24"/>
                <w:lang w:val="en-US" w:eastAsia="zh-CN"/>
              </w:rPr>
            </w:pPr>
            <w:r>
              <w:rPr>
                <w:rFonts w:ascii="Times New Roman" w:hAnsi="Times New Roman" w:cs="Times New Roman"/>
                <w:color w:val="auto"/>
                <w:kern w:val="0"/>
                <w:sz w:val="24"/>
                <w:lang w:eastAsia="zh-CN"/>
              </w:rPr>
              <w:t>锅炉蒸汽供热后约有90%的蒸汽冷凝水回用于锅炉中，</w:t>
            </w:r>
            <w:r>
              <w:rPr>
                <w:rFonts w:ascii="Times New Roman" w:hAnsi="Times New Roman" w:cs="Times New Roman"/>
                <w:color w:val="auto"/>
                <w:kern w:val="0"/>
                <w:sz w:val="24"/>
                <w:lang w:val="en-US" w:eastAsia="zh-CN"/>
              </w:rPr>
              <w:t>则</w:t>
            </w:r>
            <w:r>
              <w:rPr>
                <w:rFonts w:ascii="Times New Roman" w:hAnsi="Times New Roman" w:cs="Times New Roman"/>
                <w:color w:val="auto"/>
                <w:kern w:val="0"/>
                <w:sz w:val="24"/>
                <w:lang w:eastAsia="zh-CN"/>
              </w:rPr>
              <w:t>部分损耗为</w:t>
            </w:r>
            <w:r>
              <w:rPr>
                <w:rFonts w:ascii="Times New Roman" w:hAnsi="Times New Roman" w:cs="Times New Roman"/>
                <w:color w:val="auto"/>
                <w:kern w:val="0"/>
                <w:sz w:val="24"/>
                <w:lang w:val="en-US" w:eastAsia="zh-CN"/>
              </w:rPr>
              <w:t>1.14</w:t>
            </w:r>
            <w:r>
              <w:rPr>
                <w:rFonts w:ascii="Times New Roman" w:hAnsi="Times New Roman" w:cs="Times New Roman"/>
                <w:color w:val="auto"/>
                <w:kern w:val="0"/>
                <w:sz w:val="24"/>
                <w:lang w:eastAsia="zh-CN"/>
              </w:rPr>
              <w:t>t/h（</w:t>
            </w:r>
            <w:r>
              <w:rPr>
                <w:rFonts w:ascii="Times New Roman" w:hAnsi="Times New Roman" w:cs="Times New Roman"/>
                <w:color w:val="auto"/>
                <w:kern w:val="0"/>
                <w:sz w:val="24"/>
                <w:lang w:val="en-US" w:eastAsia="zh-CN"/>
              </w:rPr>
              <w:t>9028.8</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/a）。则锅炉需补充软水约</w:t>
            </w:r>
            <w:r>
              <w:rPr>
                <w:rFonts w:hint="eastAsia" w:cs="Times New Roman"/>
                <w:color w:val="auto"/>
                <w:kern w:val="0"/>
                <w:sz w:val="24"/>
                <w:lang w:val="en-US" w:eastAsia="zh-CN"/>
              </w:rPr>
              <w:t>8782.4</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w:t>
            </w:r>
            <w:r>
              <w:rPr>
                <w:rFonts w:ascii="Times New Roman" w:hAnsi="Times New Roman" w:cs="Times New Roman"/>
                <w:color w:val="auto"/>
                <w:kern w:val="0"/>
                <w:sz w:val="24"/>
                <w:lang w:val="en-US" w:eastAsia="zh-CN"/>
              </w:rPr>
              <w:t>9028.8</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w:t>
            </w:r>
            <w:r>
              <w:rPr>
                <w:rFonts w:ascii="Times New Roman" w:hAnsi="Times New Roman" w:cs="Times New Roman"/>
                <w:color w:val="auto"/>
                <w:kern w:val="0"/>
                <w:sz w:val="24"/>
                <w:lang w:val="en-US" w:eastAsia="zh-CN"/>
              </w:rPr>
              <w:t>=1</w:t>
            </w:r>
            <w:r>
              <w:rPr>
                <w:rFonts w:hint="eastAsia" w:cs="Times New Roman"/>
                <w:color w:val="auto"/>
                <w:kern w:val="0"/>
                <w:sz w:val="24"/>
                <w:lang w:val="en-US" w:eastAsia="zh-CN"/>
              </w:rPr>
              <w:t>7811.2</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/a（即</w:t>
            </w:r>
            <w:r>
              <w:rPr>
                <w:rFonts w:hint="eastAsia" w:cs="Times New Roman"/>
                <w:color w:val="auto"/>
                <w:kern w:val="0"/>
                <w:sz w:val="24"/>
                <w:lang w:val="en-US" w:eastAsia="zh-CN"/>
              </w:rPr>
              <w:t>2.25</w:t>
            </w:r>
            <w:r>
              <w:rPr>
                <w:rFonts w:ascii="Times New Roman" w:hAnsi="Times New Roman" w:cs="Times New Roman"/>
                <w:color w:val="auto"/>
                <w:kern w:val="0"/>
                <w:sz w:val="24"/>
                <w:lang w:eastAsia="zh-CN"/>
              </w:rPr>
              <w:t>t/h）。由于一般的水都是原水，不能直接进入锅炉，所有进入锅炉的水首先要经过软化，现有项目设置</w:t>
            </w:r>
            <w:r>
              <w:rPr>
                <w:rFonts w:ascii="Times New Roman" w:hAnsi="Times New Roman" w:cs="Times New Roman"/>
                <w:color w:val="auto"/>
                <w:kern w:val="0"/>
                <w:sz w:val="24"/>
                <w:lang w:val="en-US" w:eastAsia="zh-CN"/>
              </w:rPr>
              <w:t>1</w:t>
            </w:r>
            <w:r>
              <w:rPr>
                <w:rFonts w:ascii="Times New Roman" w:hAnsi="Times New Roman" w:cs="Times New Roman"/>
                <w:color w:val="auto"/>
                <w:kern w:val="0"/>
                <w:sz w:val="24"/>
                <w:lang w:eastAsia="zh-CN"/>
              </w:rPr>
              <w:t>套软水处理设施供给软水，软水制备系统软水制备率约为</w:t>
            </w:r>
            <w:r>
              <w:rPr>
                <w:rFonts w:ascii="Times New Roman" w:hAnsi="Times New Roman" w:cs="Times New Roman"/>
                <w:color w:val="auto"/>
                <w:kern w:val="0"/>
                <w:sz w:val="24"/>
                <w:lang w:val="en-US" w:eastAsia="zh-CN"/>
              </w:rPr>
              <w:t>95</w:t>
            </w:r>
            <w:r>
              <w:rPr>
                <w:rFonts w:ascii="Times New Roman" w:hAnsi="Times New Roman" w:cs="Times New Roman"/>
                <w:color w:val="auto"/>
                <w:kern w:val="0"/>
                <w:sz w:val="24"/>
                <w:lang w:eastAsia="zh-CN"/>
              </w:rPr>
              <w:t>%，软水制备用水水量为</w:t>
            </w:r>
            <w:r>
              <w:rPr>
                <w:rFonts w:hint="eastAsia" w:cs="Times New Roman"/>
                <w:color w:val="auto"/>
                <w:kern w:val="0"/>
                <w:sz w:val="24"/>
                <w:lang w:val="en-US" w:eastAsia="zh-CN"/>
              </w:rPr>
              <w:t>2.37</w:t>
            </w:r>
            <w:r>
              <w:rPr>
                <w:rFonts w:ascii="Times New Roman" w:hAnsi="Times New Roman" w:cs="Times New Roman"/>
                <w:color w:val="auto"/>
                <w:kern w:val="0"/>
                <w:sz w:val="24"/>
                <w:lang w:eastAsia="zh-CN"/>
              </w:rPr>
              <w:t>t/h（即</w:t>
            </w:r>
            <w:r>
              <w:rPr>
                <w:rFonts w:hint="eastAsia" w:cs="Times New Roman"/>
                <w:color w:val="auto"/>
                <w:kern w:val="0"/>
                <w:sz w:val="24"/>
                <w:lang w:val="en-US" w:eastAsia="zh-CN"/>
              </w:rPr>
              <w:t>18770.4</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w:t>
            </w:r>
            <w:r>
              <w:rPr>
                <w:rFonts w:ascii="Times New Roman" w:hAnsi="Times New Roman" w:cs="Times New Roman"/>
                <w:color w:val="auto"/>
                <w:kern w:val="0"/>
                <w:sz w:val="24"/>
                <w:lang w:val="en-US" w:eastAsia="zh-CN"/>
              </w:rPr>
              <w:t>排水量为0.1</w:t>
            </w:r>
            <w:r>
              <w:rPr>
                <w:rFonts w:hint="eastAsia" w:cs="Times New Roman"/>
                <w:color w:val="auto"/>
                <w:kern w:val="0"/>
                <w:sz w:val="24"/>
                <w:lang w:val="en-US" w:eastAsia="zh-CN"/>
              </w:rPr>
              <w:t>2</w:t>
            </w:r>
            <w:r>
              <w:rPr>
                <w:rFonts w:ascii="Times New Roman" w:hAnsi="Times New Roman" w:cs="Times New Roman"/>
                <w:color w:val="auto"/>
                <w:kern w:val="0"/>
                <w:sz w:val="24"/>
                <w:lang w:val="en-US" w:eastAsia="zh-CN"/>
              </w:rPr>
              <w:t>t/h（</w:t>
            </w:r>
            <w:r>
              <w:rPr>
                <w:rFonts w:ascii="Times New Roman" w:hAnsi="Times New Roman" w:cs="Times New Roman"/>
                <w:color w:val="auto"/>
                <w:kern w:val="0"/>
                <w:sz w:val="24"/>
                <w:lang w:eastAsia="zh-CN"/>
              </w:rPr>
              <w:t>即</w:t>
            </w:r>
            <w:r>
              <w:rPr>
                <w:rFonts w:hint="eastAsia" w:cs="Times New Roman"/>
                <w:color w:val="auto"/>
                <w:kern w:val="0"/>
                <w:sz w:val="24"/>
                <w:lang w:val="en-US" w:eastAsia="zh-CN"/>
              </w:rPr>
              <w:t>950.4</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w:t>
            </w:r>
            <w:r>
              <w:rPr>
                <w:rFonts w:ascii="Times New Roman" w:hAnsi="Times New Roman" w:cs="Times New Roman"/>
                <w:color w:val="auto"/>
                <w:kern w:val="0"/>
                <w:sz w:val="24"/>
                <w:lang w:val="en-US" w:eastAsia="zh-CN"/>
              </w:rPr>
              <w:t>）。</w:t>
            </w:r>
          </w:p>
          <w:p>
            <w:pPr>
              <w:widowControl/>
              <w:adjustRightInd w:val="0"/>
              <w:snapToGrid w:val="0"/>
              <w:spacing w:line="360" w:lineRule="auto"/>
              <w:ind w:firstLine="480" w:firstLineChars="200"/>
              <w:jc w:val="left"/>
              <w:rPr>
                <w:rFonts w:ascii="Times New Roman" w:hAnsi="Times New Roman" w:cs="Times New Roman"/>
                <w:color w:val="auto"/>
                <w:kern w:val="0"/>
                <w:sz w:val="24"/>
                <w:lang w:eastAsia="zh-CN"/>
              </w:rPr>
            </w:pPr>
            <w:r>
              <w:rPr>
                <w:rFonts w:ascii="Times New Roman" w:hAnsi="Times New Roman" w:cs="Times New Roman"/>
                <w:color w:val="auto"/>
                <w:kern w:val="0"/>
                <w:sz w:val="24"/>
                <w:lang w:eastAsia="zh-CN"/>
              </w:rPr>
              <w:t>综上，项目锅炉补充用水为</w:t>
            </w:r>
            <w:r>
              <w:rPr>
                <w:rFonts w:hint="eastAsia" w:cs="Times New Roman"/>
                <w:color w:val="auto"/>
                <w:kern w:val="0"/>
                <w:sz w:val="24"/>
                <w:lang w:val="en-US" w:eastAsia="zh-CN"/>
              </w:rPr>
              <w:t>18770.4</w:t>
            </w:r>
            <w:r>
              <w:rPr>
                <w:rFonts w:ascii="Times New Roman" w:hAnsi="Times New Roman" w:cs="Times New Roman"/>
                <w:color w:val="auto"/>
                <w:kern w:val="0"/>
                <w:sz w:val="24"/>
                <w:lang w:eastAsia="zh-CN"/>
              </w:rPr>
              <w:t>m</w:t>
            </w:r>
            <w:r>
              <w:rPr>
                <w:rFonts w:ascii="Times New Roman" w:hAnsi="Times New Roman" w:cs="Times New Roman"/>
                <w:color w:val="auto"/>
                <w:kern w:val="0"/>
                <w:sz w:val="24"/>
                <w:vertAlign w:val="superscript"/>
                <w:lang w:eastAsia="zh-CN"/>
              </w:rPr>
              <w:t>3</w:t>
            </w:r>
            <w:r>
              <w:rPr>
                <w:rFonts w:ascii="Times New Roman" w:hAnsi="Times New Roman" w:cs="Times New Roman"/>
                <w:color w:val="auto"/>
                <w:kern w:val="0"/>
                <w:sz w:val="24"/>
                <w:lang w:eastAsia="zh-CN"/>
              </w:rPr>
              <w:t>/a。</w:t>
            </w:r>
          </w:p>
          <w:p>
            <w:pPr>
              <w:widowControl/>
              <w:adjustRightInd w:val="0"/>
              <w:snapToGrid w:val="0"/>
              <w:spacing w:line="360" w:lineRule="auto"/>
              <w:ind w:firstLine="480" w:firstLineChars="200"/>
              <w:jc w:val="left"/>
              <w:rPr>
                <w:rFonts w:ascii="Times New Roman" w:hAnsi="Times New Roman" w:cs="Times New Roman"/>
                <w:color w:val="auto"/>
                <w:kern w:val="0"/>
                <w:sz w:val="24"/>
                <w:lang w:val="en-US" w:eastAsia="zh-CN"/>
              </w:rPr>
            </w:pPr>
            <w:r>
              <w:rPr>
                <w:rFonts w:ascii="Times New Roman" w:hAnsi="Times New Roman" w:cs="Times New Roman"/>
                <w:color w:val="auto"/>
                <w:kern w:val="0"/>
                <w:sz w:val="24"/>
                <w:lang w:val="en-US" w:eastAsia="zh-CN"/>
              </w:rPr>
              <w:t>③气化冷却用水</w:t>
            </w:r>
          </w:p>
          <w:p>
            <w:pPr>
              <w:widowControl/>
              <w:adjustRightInd w:val="0"/>
              <w:snapToGrid w:val="0"/>
              <w:spacing w:line="360" w:lineRule="auto"/>
              <w:ind w:firstLine="480" w:firstLineChars="200"/>
              <w:jc w:val="left"/>
              <w:rPr>
                <w:rFonts w:ascii="Times New Roman" w:hAnsi="Times New Roman" w:cs="Times New Roman"/>
                <w:color w:val="auto"/>
                <w:kern w:val="0"/>
                <w:sz w:val="24"/>
                <w:lang w:eastAsia="zh-CN"/>
              </w:rPr>
            </w:pPr>
            <w:r>
              <w:rPr>
                <w:rFonts w:ascii="Times New Roman" w:hAnsi="Times New Roman" w:cs="Times New Roman"/>
                <w:color w:val="auto"/>
                <w:kern w:val="0"/>
                <w:sz w:val="24"/>
                <w:lang w:eastAsia="zh-CN"/>
              </w:rPr>
              <w:t>气化炉冷却水主要用于气化炉炉体。气化炉炉体循环冷却水量</w:t>
            </w:r>
            <w:r>
              <w:rPr>
                <w:rFonts w:ascii="Times New Roman" w:hAnsi="Times New Roman" w:cs="Times New Roman"/>
                <w:color w:val="auto"/>
                <w:kern w:val="0"/>
                <w:sz w:val="24"/>
                <w:lang w:val="en-US" w:eastAsia="zh-CN"/>
              </w:rPr>
              <w:t>2</w:t>
            </w:r>
            <w:r>
              <w:rPr>
                <w:rFonts w:ascii="Times New Roman" w:hAnsi="Times New Roman" w:cs="Times New Roman"/>
                <w:color w:val="auto"/>
                <w:kern w:val="0"/>
                <w:sz w:val="24"/>
                <w:lang w:eastAsia="zh-CN"/>
              </w:rPr>
              <w:t>0t/h，为保证能源最大化，循环水连接锅炉水箱，提高锅炉给水温度，不外排，定期补充。冷却水补充量按照循环水量的</w:t>
            </w:r>
            <w:r>
              <w:rPr>
                <w:rFonts w:ascii="Times New Roman" w:hAnsi="Times New Roman" w:cs="Times New Roman"/>
                <w:color w:val="auto"/>
                <w:kern w:val="0"/>
                <w:sz w:val="24"/>
                <w:lang w:val="en-US" w:eastAsia="zh-CN"/>
              </w:rPr>
              <w:t>2</w:t>
            </w:r>
            <w:r>
              <w:rPr>
                <w:rFonts w:ascii="Times New Roman" w:hAnsi="Times New Roman" w:cs="Times New Roman"/>
                <w:color w:val="auto"/>
                <w:kern w:val="0"/>
                <w:sz w:val="24"/>
                <w:lang w:eastAsia="zh-CN"/>
              </w:rPr>
              <w:t>%计，则项目气化炉冷却水补充量为</w:t>
            </w:r>
            <w:r>
              <w:rPr>
                <w:rFonts w:ascii="Times New Roman" w:hAnsi="Times New Roman" w:cs="Times New Roman"/>
                <w:color w:val="auto"/>
                <w:kern w:val="0"/>
                <w:sz w:val="24"/>
                <w:lang w:val="en-US" w:eastAsia="zh-CN"/>
              </w:rPr>
              <w:t>0.4t/h，3168</w:t>
            </w:r>
            <w:r>
              <w:rPr>
                <w:rFonts w:ascii="Times New Roman" w:hAnsi="Times New Roman" w:cs="Times New Roman"/>
                <w:color w:val="auto"/>
                <w:kern w:val="0"/>
                <w:sz w:val="24"/>
                <w:lang w:eastAsia="zh-CN"/>
              </w:rPr>
              <w:t>t/a。</w:t>
            </w:r>
          </w:p>
          <w:p>
            <w:pPr>
              <w:widowControl/>
              <w:adjustRightInd w:val="0"/>
              <w:snapToGrid w:val="0"/>
              <w:spacing w:line="360" w:lineRule="auto"/>
              <w:ind w:firstLine="480" w:firstLineChars="200"/>
              <w:jc w:val="left"/>
              <w:rPr>
                <w:rFonts w:ascii="Times New Roman" w:hAnsi="Times New Roman" w:cs="Times New Roman"/>
                <w:b w:val="0"/>
                <w:bCs w:val="0"/>
                <w:color w:val="auto"/>
                <w:kern w:val="0"/>
                <w:sz w:val="24"/>
              </w:rPr>
            </w:pPr>
            <w:r>
              <w:rPr>
                <w:rFonts w:ascii="Times New Roman" w:hAnsi="Times New Roman" w:cs="Times New Roman"/>
                <w:b w:val="0"/>
                <w:bCs w:val="0"/>
                <w:color w:val="auto"/>
                <w:kern w:val="0"/>
                <w:sz w:val="24"/>
                <w:lang w:val="en-US" w:eastAsia="zh-CN"/>
              </w:rPr>
              <w:t>④</w:t>
            </w:r>
            <w:r>
              <w:rPr>
                <w:rFonts w:ascii="Times New Roman" w:hAnsi="Times New Roman" w:cs="Times New Roman"/>
                <w:b w:val="0"/>
                <w:bCs w:val="0"/>
                <w:color w:val="auto"/>
                <w:kern w:val="0"/>
                <w:sz w:val="24"/>
              </w:rPr>
              <w:t>员工办公生活</w:t>
            </w:r>
            <w:r>
              <w:rPr>
                <w:rFonts w:ascii="Times New Roman" w:hAnsi="Times New Roman" w:cs="Times New Roman"/>
                <w:b w:val="0"/>
                <w:bCs w:val="0"/>
                <w:color w:val="auto"/>
                <w:kern w:val="0"/>
                <w:sz w:val="24"/>
                <w:lang w:val="en-US" w:eastAsia="zh-CN"/>
              </w:rPr>
              <w:t>用</w:t>
            </w:r>
            <w:r>
              <w:rPr>
                <w:rFonts w:ascii="Times New Roman" w:hAnsi="Times New Roman" w:cs="Times New Roman"/>
                <w:b w:val="0"/>
                <w:bCs w:val="0"/>
                <w:color w:val="auto"/>
                <w:kern w:val="0"/>
                <w:sz w:val="24"/>
              </w:rPr>
              <w:t>水</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rPr>
              <w:t>项目</w:t>
            </w:r>
            <w:r>
              <w:rPr>
                <w:rFonts w:hint="eastAsia" w:cs="Times New Roman"/>
                <w:color w:val="auto"/>
                <w:sz w:val="24"/>
                <w:lang w:val="en-US" w:eastAsia="zh-CN"/>
              </w:rPr>
              <w:t>新增</w:t>
            </w:r>
            <w:r>
              <w:rPr>
                <w:rFonts w:ascii="Times New Roman" w:hAnsi="Times New Roman" w:cs="Times New Roman"/>
                <w:color w:val="auto"/>
                <w:sz w:val="24"/>
              </w:rPr>
              <w:t>劳动定员约1</w:t>
            </w:r>
            <w:r>
              <w:rPr>
                <w:rFonts w:ascii="Times New Roman" w:hAnsi="Times New Roman" w:cs="Times New Roman"/>
                <w:color w:val="auto"/>
                <w:sz w:val="24"/>
                <w:lang w:val="en-US" w:eastAsia="zh-CN"/>
              </w:rPr>
              <w:t>0</w:t>
            </w:r>
            <w:r>
              <w:rPr>
                <w:rFonts w:ascii="Times New Roman" w:hAnsi="Times New Roman" w:cs="Times New Roman"/>
                <w:color w:val="auto"/>
                <w:sz w:val="24"/>
              </w:rPr>
              <w:t>人，参照《四川省用水定额》（川府函（2021）8号）并结合项目运营特点，工作人员用水量按</w:t>
            </w:r>
            <w:r>
              <w:rPr>
                <w:rFonts w:ascii="Times New Roman" w:hAnsi="Times New Roman" w:cs="Times New Roman"/>
                <w:color w:val="auto"/>
                <w:sz w:val="24"/>
                <w:lang w:val="en-US" w:eastAsia="zh-CN"/>
              </w:rPr>
              <w:t>1</w:t>
            </w:r>
            <w:r>
              <w:rPr>
                <w:rFonts w:ascii="Times New Roman" w:hAnsi="Times New Roman" w:cs="Times New Roman"/>
                <w:color w:val="auto"/>
                <w:sz w:val="24"/>
              </w:rPr>
              <w:t>60L/人.d计，一年工作3</w:t>
            </w:r>
            <w:r>
              <w:rPr>
                <w:rFonts w:ascii="Times New Roman" w:hAnsi="Times New Roman" w:cs="Times New Roman"/>
                <w:color w:val="auto"/>
                <w:sz w:val="24"/>
                <w:lang w:val="en-US" w:eastAsia="zh-CN"/>
              </w:rPr>
              <w:t>30</w:t>
            </w:r>
            <w:r>
              <w:rPr>
                <w:rFonts w:ascii="Times New Roman" w:hAnsi="Times New Roman" w:cs="Times New Roman"/>
                <w:color w:val="auto"/>
                <w:sz w:val="24"/>
              </w:rPr>
              <w:t>天，则员工办公生活用水量为</w:t>
            </w:r>
            <w:r>
              <w:rPr>
                <w:rFonts w:ascii="Times New Roman" w:hAnsi="Times New Roman" w:cs="Times New Roman"/>
                <w:color w:val="auto"/>
                <w:sz w:val="24"/>
                <w:lang w:val="en-US" w:eastAsia="zh-CN"/>
              </w:rPr>
              <w:t>1.6</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/d（</w:t>
            </w:r>
            <w:r>
              <w:rPr>
                <w:rFonts w:ascii="Times New Roman" w:hAnsi="Times New Roman" w:cs="Times New Roman"/>
                <w:color w:val="auto"/>
                <w:sz w:val="24"/>
                <w:lang w:val="en-US" w:eastAsia="zh-CN"/>
              </w:rPr>
              <w:t>528</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w:t>
            </w:r>
            <w:r>
              <w:rPr>
                <w:rFonts w:ascii="Times New Roman" w:hAnsi="Times New Roman" w:cs="Times New Roman"/>
                <w:color w:val="auto"/>
                <w:sz w:val="24"/>
                <w:szCs w:val="24"/>
              </w:rPr>
              <w:t>。</w:t>
            </w:r>
          </w:p>
          <w:p>
            <w:pPr>
              <w:pStyle w:val="45"/>
              <w:numPr>
                <w:ilvl w:val="0"/>
                <w:numId w:val="2"/>
              </w:numPr>
              <w:adjustRightInd w:val="0"/>
              <w:snapToGrid w:val="0"/>
              <w:spacing w:before="50" w:beforeLines="0"/>
              <w:ind w:left="-2" w:firstLine="422" w:firstLineChars="0"/>
              <w:rPr>
                <w:rFonts w:ascii="Times New Roman" w:hAnsi="Times New Roman" w:cs="Times New Roman"/>
                <w:b/>
                <w:color w:val="auto"/>
              </w:rPr>
            </w:pPr>
            <w:r>
              <w:rPr>
                <w:rFonts w:ascii="Times New Roman" w:hAnsi="Times New Roman" w:cs="Times New Roman"/>
                <w:b/>
                <w:color w:val="auto"/>
              </w:rPr>
              <w:t>排水</w:t>
            </w:r>
          </w:p>
          <w:p>
            <w:pPr>
              <w:widowControl/>
              <w:adjustRightInd w:val="0"/>
              <w:snapToGrid w:val="0"/>
              <w:spacing w:line="360" w:lineRule="auto"/>
              <w:ind w:firstLine="480" w:firstLineChars="200"/>
              <w:jc w:val="left"/>
              <w:rPr>
                <w:rFonts w:ascii="Times New Roman" w:hAnsi="Times New Roman" w:eastAsia="宋体" w:cs="Times New Roman"/>
                <w:color w:val="auto"/>
                <w:sz w:val="24"/>
                <w:szCs w:val="32"/>
                <w:lang w:eastAsia="zh-CN"/>
              </w:rPr>
            </w:pPr>
            <w:r>
              <w:rPr>
                <w:rFonts w:ascii="Times New Roman" w:hAnsi="Times New Roman" w:cs="Times New Roman"/>
                <w:color w:val="auto"/>
                <w:sz w:val="24"/>
                <w:szCs w:val="32"/>
              </w:rPr>
              <w:t>项目锅炉排污水（</w:t>
            </w:r>
            <w:r>
              <w:rPr>
                <w:rFonts w:hint="eastAsia" w:cs="Times New Roman"/>
                <w:color w:val="auto"/>
                <w:sz w:val="24"/>
                <w:szCs w:val="32"/>
                <w:lang w:eastAsia="zh-CN"/>
              </w:rPr>
              <w:t>7832</w:t>
            </w:r>
            <w:r>
              <w:rPr>
                <w:rFonts w:ascii="Times New Roman" w:hAnsi="Times New Roman" w:cs="Times New Roman"/>
                <w:color w:val="auto"/>
                <w:sz w:val="24"/>
                <w:szCs w:val="32"/>
              </w:rPr>
              <w:t>m</w:t>
            </w:r>
            <w:r>
              <w:rPr>
                <w:rFonts w:ascii="Times New Roman" w:hAnsi="Times New Roman" w:cs="Times New Roman"/>
                <w:color w:val="auto"/>
                <w:sz w:val="24"/>
                <w:szCs w:val="32"/>
                <w:vertAlign w:val="superscript"/>
              </w:rPr>
              <w:t>3</w:t>
            </w:r>
            <w:r>
              <w:rPr>
                <w:rFonts w:ascii="Times New Roman" w:hAnsi="Times New Roman" w:cs="Times New Roman"/>
                <w:color w:val="auto"/>
                <w:sz w:val="24"/>
                <w:szCs w:val="32"/>
              </w:rPr>
              <w:t>/a）、软水制备产生的浓水（</w:t>
            </w:r>
            <w:r>
              <w:rPr>
                <w:rFonts w:hint="eastAsia" w:cs="Times New Roman"/>
                <w:color w:val="auto"/>
                <w:sz w:val="24"/>
                <w:szCs w:val="32"/>
                <w:lang w:val="en-US" w:eastAsia="zh-CN"/>
              </w:rPr>
              <w:t>950.4</w:t>
            </w:r>
            <w:r>
              <w:rPr>
                <w:rFonts w:ascii="Times New Roman" w:hAnsi="Times New Roman" w:cs="Times New Roman"/>
                <w:color w:val="auto"/>
                <w:sz w:val="24"/>
                <w:szCs w:val="32"/>
              </w:rPr>
              <w:t>m</w:t>
            </w:r>
            <w:r>
              <w:rPr>
                <w:rFonts w:ascii="Times New Roman" w:hAnsi="Times New Roman" w:cs="Times New Roman"/>
                <w:color w:val="auto"/>
                <w:sz w:val="24"/>
                <w:szCs w:val="32"/>
                <w:vertAlign w:val="superscript"/>
              </w:rPr>
              <w:t>3</w:t>
            </w:r>
            <w:r>
              <w:rPr>
                <w:rFonts w:ascii="Times New Roman" w:hAnsi="Times New Roman" w:cs="Times New Roman"/>
                <w:color w:val="auto"/>
                <w:sz w:val="24"/>
                <w:szCs w:val="32"/>
              </w:rPr>
              <w:t>/a）</w:t>
            </w:r>
            <w:r>
              <w:rPr>
                <w:rFonts w:ascii="Times New Roman" w:hAnsi="Times New Roman" w:cs="Times New Roman"/>
                <w:color w:val="auto"/>
                <w:sz w:val="24"/>
                <w:szCs w:val="32"/>
                <w:lang w:eastAsia="zh-CN"/>
              </w:rPr>
              <w:t>，</w:t>
            </w:r>
            <w:r>
              <w:rPr>
                <w:rFonts w:hint="eastAsia" w:cs="Times New Roman"/>
                <w:color w:val="auto"/>
                <w:sz w:val="24"/>
                <w:szCs w:val="32"/>
                <w:lang w:val="en-US" w:eastAsia="zh-CN"/>
              </w:rPr>
              <w:t>同</w:t>
            </w:r>
            <w:r>
              <w:rPr>
                <w:rFonts w:ascii="Times New Roman" w:hAnsi="Times New Roman" w:cs="Times New Roman"/>
                <w:color w:val="auto"/>
                <w:sz w:val="24"/>
                <w:szCs w:val="32"/>
              </w:rPr>
              <w:t>生活废水一起送至现有</w:t>
            </w:r>
            <w:r>
              <w:rPr>
                <w:rFonts w:hint="eastAsia" w:cs="Times New Roman"/>
                <w:color w:val="auto"/>
                <w:sz w:val="24"/>
                <w:szCs w:val="32"/>
                <w:lang w:eastAsia="zh-CN"/>
              </w:rPr>
              <w:t>预处理池</w:t>
            </w:r>
            <w:r>
              <w:rPr>
                <w:rFonts w:ascii="Times New Roman" w:hAnsi="Times New Roman" w:cs="Times New Roman"/>
                <w:color w:val="auto"/>
                <w:sz w:val="24"/>
                <w:szCs w:val="32"/>
              </w:rPr>
              <w:t>处理后排入</w:t>
            </w:r>
            <w:r>
              <w:rPr>
                <w:rFonts w:hint="eastAsia" w:cs="Times New Roman"/>
                <w:color w:val="auto"/>
                <w:sz w:val="24"/>
                <w:szCs w:val="32"/>
                <w:lang w:val="en-US" w:eastAsia="zh-CN"/>
              </w:rPr>
              <w:t>大英经济开发区污水处理厂</w:t>
            </w:r>
            <w:r>
              <w:rPr>
                <w:rFonts w:ascii="Times New Roman" w:hAnsi="Times New Roman" w:cs="Times New Roman"/>
                <w:color w:val="auto"/>
                <w:sz w:val="24"/>
                <w:szCs w:val="32"/>
                <w:lang w:eastAsia="zh-CN"/>
              </w:rPr>
              <w:t>。</w:t>
            </w:r>
          </w:p>
          <w:p>
            <w:pPr>
              <w:widowControl/>
              <w:adjustRightInd w:val="0"/>
              <w:snapToGrid w:val="0"/>
              <w:spacing w:line="360" w:lineRule="auto"/>
              <w:ind w:firstLine="480" w:firstLineChars="200"/>
              <w:jc w:val="left"/>
              <w:rPr>
                <w:rFonts w:ascii="Times New Roman" w:hAnsi="Times New Roman" w:cs="Times New Roman"/>
                <w:color w:val="auto"/>
                <w:sz w:val="24"/>
                <w:szCs w:val="32"/>
              </w:rPr>
            </w:pPr>
            <w:r>
              <w:rPr>
                <w:rFonts w:ascii="Times New Roman" w:hAnsi="Times New Roman" w:cs="Times New Roman"/>
                <w:color w:val="auto"/>
                <w:sz w:val="24"/>
                <w:szCs w:val="32"/>
              </w:rPr>
              <w:t>雨水系统收集雨水后排入四川鸿鹏新材料有限公司现有雨水管或直接排入园区。</w:t>
            </w:r>
          </w:p>
          <w:p>
            <w:pPr>
              <w:pStyle w:val="45"/>
              <w:numPr>
                <w:ilvl w:val="0"/>
                <w:numId w:val="2"/>
              </w:numPr>
              <w:adjustRightInd w:val="0"/>
              <w:snapToGrid w:val="0"/>
              <w:spacing w:before="50" w:beforeLines="0"/>
              <w:ind w:left="-2" w:firstLine="422" w:firstLineChars="0"/>
              <w:rPr>
                <w:rFonts w:ascii="Times New Roman" w:hAnsi="Times New Roman" w:cs="Times New Roman"/>
                <w:b/>
                <w:color w:val="auto"/>
              </w:rPr>
            </w:pPr>
            <w:r>
              <w:rPr>
                <w:rFonts w:ascii="Times New Roman" w:hAnsi="Times New Roman" w:cs="Times New Roman"/>
                <w:b/>
                <w:color w:val="auto"/>
              </w:rPr>
              <w:t>消防</w:t>
            </w:r>
          </w:p>
          <w:p>
            <w:pPr>
              <w:tabs>
                <w:tab w:val="center" w:pos="4320"/>
                <w:tab w:val="right" w:pos="8640"/>
              </w:tabs>
              <w:adjustRightInd w:val="0"/>
              <w:spacing w:line="360" w:lineRule="auto"/>
              <w:ind w:firstLine="480" w:firstLineChars="200"/>
              <w:textAlignment w:val="baseline"/>
              <w:rPr>
                <w:rFonts w:ascii="Times New Roman" w:hAnsi="Times New Roman" w:cs="Times New Roman"/>
                <w:color w:val="auto"/>
                <w:sz w:val="24"/>
              </w:rPr>
            </w:pPr>
            <w:r>
              <w:rPr>
                <w:rFonts w:ascii="Times New Roman" w:hAnsi="Times New Roman" w:cs="Times New Roman"/>
                <w:color w:val="auto"/>
                <w:sz w:val="24"/>
              </w:rPr>
              <w:t>建设项目的消防设施接入园区原有的电气消防设施中（如消防设备供电系统、应急照明系统、电气火灾监控系统、消防设备电源监控系统、火灾自动报警及消防联动控制系统、防火分区监控系统、消防应急广播系统），建设项目建筑物外设有消防安全通道，消防设施齐全，拟配备灭火器、消火栓、自动喷水系统，市政给水管网连续供水，给水管网为DN100，园区建立有消防水泵房和2个1000m³的消防水罐，能够满足消防应急用水要求。</w:t>
            </w:r>
          </w:p>
          <w:p>
            <w:pPr>
              <w:tabs>
                <w:tab w:val="center" w:pos="4320"/>
                <w:tab w:val="right" w:pos="8640"/>
              </w:tabs>
              <w:adjustRightInd w:val="0"/>
              <w:spacing w:line="360" w:lineRule="auto"/>
              <w:textAlignment w:val="baseline"/>
              <w:rPr>
                <w:rFonts w:ascii="Times New Roman" w:hAnsi="Times New Roman" w:cs="Times New Roman"/>
                <w:b/>
                <w:color w:val="auto"/>
                <w:sz w:val="24"/>
              </w:rPr>
            </w:pPr>
            <w:r>
              <w:rPr>
                <w:rFonts w:ascii="Times New Roman" w:hAnsi="Times New Roman" w:cs="Times New Roman"/>
                <w:b/>
                <w:color w:val="auto"/>
                <w:sz w:val="24"/>
              </w:rPr>
              <w:t>本项目公辅设施依托可行性分析</w:t>
            </w:r>
          </w:p>
          <w:p>
            <w:pPr>
              <w:widowControl/>
              <w:adjustRightInd w:val="0"/>
              <w:snapToGri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szCs w:val="32"/>
              </w:rPr>
              <w:t>本项目与</w:t>
            </w:r>
            <w:r>
              <w:rPr>
                <w:rFonts w:ascii="Times New Roman" w:hAnsi="Times New Roman" w:cs="Times New Roman"/>
                <w:color w:val="auto"/>
                <w:sz w:val="24"/>
                <w:szCs w:val="32"/>
                <w:lang w:val="en-US" w:eastAsia="zh-CN"/>
              </w:rPr>
              <w:t>现有</w:t>
            </w:r>
            <w:r>
              <w:rPr>
                <w:rFonts w:ascii="Times New Roman" w:hAnsi="Times New Roman" w:cs="Times New Roman"/>
                <w:color w:val="auto"/>
                <w:sz w:val="24"/>
                <w:szCs w:val="32"/>
              </w:rPr>
              <w:t>公辅设施依托关系如下：</w:t>
            </w:r>
            <w:r>
              <w:rPr>
                <w:rFonts w:ascii="Times New Roman" w:hAnsi="Times New Roman" w:cs="Times New Roman"/>
                <w:color w:val="auto"/>
                <w:sz w:val="24"/>
              </w:rPr>
              <w:t>根据工程分析和业主确认，本项目给排水管网、供电系统、雨水管网、消防设施、厂区外道路等均依托厂区现有设施；本项目现有给排水管网、雨水管网、供电系统均能满足企业正常生产需求；本项目排水主要为生活污水和少量生产废水，排水量不大，现有排水管网能满足污水处理需求。</w:t>
            </w:r>
          </w:p>
          <w:p>
            <w:pPr>
              <w:widowControl/>
              <w:tabs>
                <w:tab w:val="left" w:pos="851"/>
                <w:tab w:val="left" w:pos="2160"/>
              </w:tabs>
              <w:adjustRightInd w:val="0"/>
              <w:snapToGrid w:val="0"/>
              <w:spacing w:line="360" w:lineRule="auto"/>
              <w:ind w:firstLine="422" w:firstLineChars="200"/>
              <w:jc w:val="center"/>
              <w:outlineLvl w:val="3"/>
              <w:rPr>
                <w:rFonts w:ascii="Times New Roman" w:hAnsi="Times New Roman" w:cs="Times New Roman"/>
                <w:b/>
                <w:color w:val="auto"/>
                <w:kern w:val="0"/>
                <w:szCs w:val="21"/>
              </w:rPr>
            </w:pPr>
            <w:r>
              <w:rPr>
                <w:rFonts w:ascii="Times New Roman" w:hAnsi="Times New Roman" w:cs="Times New Roman"/>
                <w:b/>
                <w:color w:val="auto"/>
                <w:kern w:val="0"/>
                <w:szCs w:val="21"/>
              </w:rPr>
              <w:t>表2-</w:t>
            </w:r>
            <w:r>
              <w:rPr>
                <w:rFonts w:hint="eastAsia" w:ascii="Times New Roman" w:hAnsi="Times New Roman" w:cs="Times New Roman"/>
                <w:b/>
                <w:color w:val="auto"/>
                <w:kern w:val="0"/>
                <w:szCs w:val="21"/>
                <w:lang w:val="en-US" w:eastAsia="zh-CN"/>
              </w:rPr>
              <w:t>8</w:t>
            </w:r>
            <w:r>
              <w:rPr>
                <w:rFonts w:ascii="Times New Roman" w:hAnsi="Times New Roman" w:cs="Times New Roman"/>
                <w:b/>
                <w:color w:val="auto"/>
                <w:kern w:val="0"/>
                <w:szCs w:val="21"/>
              </w:rPr>
              <w:t xml:space="preserve">  公辅设施依托情况一览表</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364"/>
              <w:gridCol w:w="1505"/>
              <w:gridCol w:w="1349"/>
              <w:gridCol w:w="1349"/>
              <w:gridCol w:w="1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464" w:type="dxa"/>
                  <w:gridSpan w:val="2"/>
                  <w:vAlign w:val="center"/>
                </w:tcPr>
                <w:p>
                  <w:pPr>
                    <w:widowControl/>
                    <w:tabs>
                      <w:tab w:val="left" w:pos="851"/>
                      <w:tab w:val="left" w:pos="2160"/>
                    </w:tabs>
                    <w:adjustRightInd w:val="0"/>
                    <w:snapToGrid w:val="0"/>
                    <w:jc w:val="center"/>
                    <w:outlineLvl w:val="3"/>
                    <w:rPr>
                      <w:rFonts w:ascii="Times New Roman" w:hAnsi="Times New Roman" w:cs="Times New Roman"/>
                      <w:b/>
                      <w:color w:val="auto"/>
                      <w:kern w:val="0"/>
                      <w:szCs w:val="21"/>
                    </w:rPr>
                  </w:pPr>
                  <w:r>
                    <w:rPr>
                      <w:rFonts w:ascii="Times New Roman" w:hAnsi="Times New Roman" w:cs="Times New Roman"/>
                      <w:b/>
                      <w:color w:val="auto"/>
                      <w:kern w:val="0"/>
                      <w:szCs w:val="21"/>
                    </w:rPr>
                    <w:t>名称</w:t>
                  </w:r>
                </w:p>
              </w:tc>
              <w:tc>
                <w:tcPr>
                  <w:tcW w:w="1496" w:type="dxa"/>
                  <w:vAlign w:val="center"/>
                </w:tcPr>
                <w:p>
                  <w:pPr>
                    <w:widowControl/>
                    <w:tabs>
                      <w:tab w:val="left" w:pos="851"/>
                      <w:tab w:val="left" w:pos="2160"/>
                    </w:tabs>
                    <w:adjustRightInd w:val="0"/>
                    <w:snapToGrid w:val="0"/>
                    <w:jc w:val="center"/>
                    <w:outlineLvl w:val="3"/>
                    <w:rPr>
                      <w:rFonts w:ascii="Times New Roman" w:hAnsi="Times New Roman" w:cs="Times New Roman"/>
                      <w:b/>
                      <w:color w:val="auto"/>
                      <w:kern w:val="0"/>
                      <w:szCs w:val="21"/>
                    </w:rPr>
                  </w:pPr>
                  <w:r>
                    <w:rPr>
                      <w:rFonts w:ascii="Times New Roman" w:hAnsi="Times New Roman" w:cs="Times New Roman"/>
                      <w:b/>
                      <w:color w:val="auto"/>
                      <w:kern w:val="0"/>
                      <w:szCs w:val="21"/>
                    </w:rPr>
                    <w:t>设计能力</w:t>
                  </w:r>
                </w:p>
              </w:tc>
              <w:tc>
                <w:tcPr>
                  <w:tcW w:w="1341" w:type="dxa"/>
                  <w:vAlign w:val="center"/>
                </w:tcPr>
                <w:p>
                  <w:pPr>
                    <w:widowControl/>
                    <w:tabs>
                      <w:tab w:val="left" w:pos="851"/>
                      <w:tab w:val="left" w:pos="2160"/>
                    </w:tabs>
                    <w:adjustRightInd w:val="0"/>
                    <w:snapToGrid w:val="0"/>
                    <w:jc w:val="center"/>
                    <w:outlineLvl w:val="3"/>
                    <w:rPr>
                      <w:rFonts w:ascii="Times New Roman" w:hAnsi="Times New Roman" w:eastAsia="宋体" w:cs="Times New Roman"/>
                      <w:b/>
                      <w:color w:val="auto"/>
                      <w:kern w:val="0"/>
                      <w:szCs w:val="21"/>
                      <w:lang w:val="en-US" w:eastAsia="zh-CN"/>
                    </w:rPr>
                  </w:pPr>
                  <w:r>
                    <w:rPr>
                      <w:rFonts w:hint="eastAsia" w:cs="Times New Roman"/>
                      <w:b/>
                      <w:color w:val="auto"/>
                      <w:kern w:val="0"/>
                      <w:szCs w:val="21"/>
                      <w:lang w:val="en-US" w:eastAsia="zh-CN"/>
                    </w:rPr>
                    <w:t>剩余处理量</w:t>
                  </w:r>
                </w:p>
              </w:tc>
              <w:tc>
                <w:tcPr>
                  <w:tcW w:w="1341" w:type="dxa"/>
                  <w:vAlign w:val="center"/>
                </w:tcPr>
                <w:p>
                  <w:pPr>
                    <w:widowControl/>
                    <w:tabs>
                      <w:tab w:val="left" w:pos="851"/>
                      <w:tab w:val="left" w:pos="2160"/>
                    </w:tabs>
                    <w:adjustRightInd w:val="0"/>
                    <w:snapToGrid w:val="0"/>
                    <w:jc w:val="center"/>
                    <w:outlineLvl w:val="3"/>
                    <w:rPr>
                      <w:rFonts w:ascii="Times New Roman" w:hAnsi="Times New Roman" w:cs="Times New Roman"/>
                      <w:b/>
                      <w:color w:val="auto"/>
                      <w:kern w:val="0"/>
                      <w:szCs w:val="21"/>
                    </w:rPr>
                  </w:pPr>
                  <w:r>
                    <w:rPr>
                      <w:rFonts w:ascii="Times New Roman" w:hAnsi="Times New Roman" w:cs="Times New Roman"/>
                      <w:b/>
                      <w:color w:val="auto"/>
                      <w:kern w:val="0"/>
                      <w:szCs w:val="21"/>
                    </w:rPr>
                    <w:t>本项目排放量</w:t>
                  </w:r>
                </w:p>
              </w:tc>
              <w:tc>
                <w:tcPr>
                  <w:tcW w:w="1747" w:type="dxa"/>
                  <w:vAlign w:val="center"/>
                </w:tcPr>
                <w:p>
                  <w:pPr>
                    <w:widowControl/>
                    <w:tabs>
                      <w:tab w:val="left" w:pos="851"/>
                      <w:tab w:val="left" w:pos="2160"/>
                    </w:tabs>
                    <w:adjustRightInd w:val="0"/>
                    <w:snapToGrid w:val="0"/>
                    <w:jc w:val="center"/>
                    <w:outlineLvl w:val="3"/>
                    <w:rPr>
                      <w:rFonts w:ascii="Times New Roman" w:hAnsi="Times New Roman" w:cs="Times New Roman"/>
                      <w:b/>
                      <w:color w:val="auto"/>
                      <w:kern w:val="0"/>
                      <w:szCs w:val="21"/>
                    </w:rPr>
                  </w:pPr>
                  <w:r>
                    <w:rPr>
                      <w:rFonts w:ascii="Times New Roman" w:hAnsi="Times New Roman" w:cs="Times New Roman"/>
                      <w:b/>
                      <w:color w:val="auto"/>
                      <w:kern w:val="0"/>
                      <w:szCs w:val="21"/>
                    </w:rPr>
                    <w:t>是否满足本项目需求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64" w:type="dxa"/>
                  <w:gridSpan w:val="2"/>
                  <w:tcBorders>
                    <w:top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预处理池</w:t>
                  </w:r>
                </w:p>
              </w:tc>
              <w:tc>
                <w:tcPr>
                  <w:tcW w:w="1496" w:type="dxa"/>
                  <w:tcBorders>
                    <w:top w:val="single" w:color="auto" w:sz="4" w:space="0"/>
                    <w:left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eastAsia="宋体" w:cs="Times New Roman"/>
                      <w:bCs/>
                      <w:color w:val="auto"/>
                      <w:kern w:val="0"/>
                      <w:sz w:val="21"/>
                      <w:szCs w:val="21"/>
                      <w:vertAlign w:val="baseline"/>
                      <w:lang w:val="en-US" w:eastAsia="zh-CN"/>
                    </w:rPr>
                  </w:pPr>
                  <w:r>
                    <w:rPr>
                      <w:rFonts w:hint="eastAsia" w:cs="Times New Roman"/>
                      <w:bCs/>
                      <w:color w:val="auto"/>
                      <w:kern w:val="0"/>
                      <w:sz w:val="21"/>
                      <w:szCs w:val="21"/>
                      <w:lang w:val="en-US" w:eastAsia="zh-CN"/>
                    </w:rPr>
                    <w:t>100m</w:t>
                  </w:r>
                  <w:r>
                    <w:rPr>
                      <w:rFonts w:hint="eastAsia" w:cs="Times New Roman"/>
                      <w:bCs/>
                      <w:color w:val="auto"/>
                      <w:kern w:val="0"/>
                      <w:sz w:val="21"/>
                      <w:szCs w:val="21"/>
                      <w:vertAlign w:val="superscript"/>
                      <w:lang w:val="en-US" w:eastAsia="zh-CN"/>
                    </w:rPr>
                    <w:t>3</w:t>
                  </w:r>
                  <w:r>
                    <w:rPr>
                      <w:rFonts w:hint="eastAsia" w:cs="Times New Roman"/>
                      <w:bCs/>
                      <w:color w:val="auto"/>
                      <w:kern w:val="0"/>
                      <w:sz w:val="21"/>
                      <w:szCs w:val="21"/>
                      <w:lang w:val="en-US" w:eastAsia="zh-CN"/>
                    </w:rPr>
                    <w:t>/d</w:t>
                  </w:r>
                </w:p>
              </w:tc>
              <w:tc>
                <w:tcPr>
                  <w:tcW w:w="1341" w:type="dxa"/>
                  <w:tcBorders>
                    <w:top w:val="single" w:color="auto" w:sz="4" w:space="0"/>
                    <w:left w:val="single" w:color="auto" w:sz="4" w:space="0"/>
                    <w:right w:val="single" w:color="auto" w:sz="4" w:space="0"/>
                  </w:tcBorders>
                  <w:vAlign w:val="center"/>
                </w:tcPr>
                <w:p>
                  <w:pPr>
                    <w:widowControl/>
                    <w:tabs>
                      <w:tab w:val="left" w:pos="569"/>
                      <w:tab w:val="left" w:pos="851"/>
                      <w:tab w:val="left" w:pos="2160"/>
                    </w:tabs>
                    <w:adjustRightInd w:val="0"/>
                    <w:snapToGrid w:val="0"/>
                    <w:jc w:val="left"/>
                    <w:outlineLvl w:val="3"/>
                    <w:rPr>
                      <w:rFonts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74.4</w:t>
                  </w:r>
                  <w:r>
                    <w:rPr>
                      <w:rFonts w:ascii="Times New Roman" w:hAnsi="Times New Roman" w:cs="Times New Roman"/>
                      <w:color w:val="auto"/>
                      <w:kern w:val="2"/>
                      <w:sz w:val="21"/>
                      <w:szCs w:val="21"/>
                    </w:rPr>
                    <w:t>m</w:t>
                  </w:r>
                  <w:r>
                    <w:rPr>
                      <w:rFonts w:ascii="Times New Roman" w:hAnsi="Times New Roman" w:cs="Times New Roman"/>
                      <w:color w:val="auto"/>
                      <w:kern w:val="2"/>
                      <w:sz w:val="21"/>
                      <w:szCs w:val="21"/>
                      <w:vertAlign w:val="superscript"/>
                    </w:rPr>
                    <w:t>3</w:t>
                  </w:r>
                  <w:r>
                    <w:rPr>
                      <w:rFonts w:ascii="Times New Roman" w:hAnsi="Times New Roman" w:cs="Times New Roman"/>
                      <w:color w:val="auto"/>
                      <w:kern w:val="2"/>
                      <w:sz w:val="21"/>
                      <w:szCs w:val="21"/>
                    </w:rPr>
                    <w:t>/d</w:t>
                  </w:r>
                </w:p>
              </w:tc>
              <w:tc>
                <w:tcPr>
                  <w:tcW w:w="1341" w:type="dxa"/>
                  <w:tcBorders>
                    <w:top w:val="single" w:color="auto" w:sz="4" w:space="0"/>
                    <w:left w:val="single" w:color="auto" w:sz="4" w:space="0"/>
                    <w:right w:val="single" w:color="auto" w:sz="4" w:space="0"/>
                  </w:tcBorders>
                  <w:vAlign w:val="center"/>
                </w:tcPr>
                <w:p>
                  <w:pPr>
                    <w:widowControl/>
                    <w:tabs>
                      <w:tab w:val="left" w:pos="569"/>
                      <w:tab w:val="left" w:pos="851"/>
                      <w:tab w:val="left" w:pos="2160"/>
                    </w:tabs>
                    <w:adjustRightInd w:val="0"/>
                    <w:snapToGrid w:val="0"/>
                    <w:jc w:val="left"/>
                    <w:outlineLvl w:val="3"/>
                    <w:rPr>
                      <w:rFonts w:hint="eastAsia" w:cs="Times New Roman"/>
                      <w:color w:val="auto"/>
                      <w:kern w:val="2"/>
                      <w:sz w:val="21"/>
                      <w:szCs w:val="21"/>
                      <w:lang w:val="en-US" w:eastAsia="zh-CN"/>
                    </w:rPr>
                  </w:pPr>
                  <w:r>
                    <w:rPr>
                      <w:rFonts w:hint="eastAsia" w:cs="Times New Roman"/>
                      <w:color w:val="auto"/>
                      <w:kern w:val="2"/>
                      <w:sz w:val="21"/>
                      <w:szCs w:val="21"/>
                      <w:lang w:val="en-US" w:eastAsia="zh-CN"/>
                    </w:rPr>
                    <w:t>27.89</w:t>
                  </w:r>
                  <w:r>
                    <w:rPr>
                      <w:rFonts w:ascii="Times New Roman" w:hAnsi="Times New Roman" w:cs="Times New Roman"/>
                      <w:color w:val="auto"/>
                      <w:kern w:val="2"/>
                      <w:sz w:val="21"/>
                      <w:szCs w:val="21"/>
                    </w:rPr>
                    <w:t>m</w:t>
                  </w:r>
                  <w:r>
                    <w:rPr>
                      <w:rFonts w:ascii="Times New Roman" w:hAnsi="Times New Roman" w:cs="Times New Roman"/>
                      <w:color w:val="auto"/>
                      <w:kern w:val="2"/>
                      <w:sz w:val="21"/>
                      <w:szCs w:val="21"/>
                      <w:vertAlign w:val="superscript"/>
                    </w:rPr>
                    <w:t>3</w:t>
                  </w:r>
                  <w:r>
                    <w:rPr>
                      <w:rFonts w:ascii="Times New Roman" w:hAnsi="Times New Roman" w:cs="Times New Roman"/>
                      <w:color w:val="auto"/>
                      <w:kern w:val="2"/>
                      <w:sz w:val="21"/>
                      <w:szCs w:val="21"/>
                    </w:rPr>
                    <w:t>/d</w:t>
                  </w:r>
                </w:p>
              </w:tc>
              <w:tc>
                <w:tcPr>
                  <w:tcW w:w="1747" w:type="dxa"/>
                  <w:tcBorders>
                    <w:top w:val="single" w:color="auto" w:sz="4" w:space="0"/>
                    <w:lef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464" w:type="dxa"/>
                  <w:gridSpan w:val="2"/>
                  <w:tcBorders>
                    <w:top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供电</w:t>
                  </w:r>
                </w:p>
              </w:tc>
              <w:tc>
                <w:tcPr>
                  <w:tcW w:w="4178" w:type="dxa"/>
                  <w:gridSpan w:val="3"/>
                  <w:tcBorders>
                    <w:top w:val="single" w:color="auto" w:sz="4" w:space="0"/>
                    <w:left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市政电网</w:t>
                  </w:r>
                </w:p>
              </w:tc>
              <w:tc>
                <w:tcPr>
                  <w:tcW w:w="1747" w:type="dxa"/>
                  <w:tcBorders>
                    <w:top w:val="single" w:color="auto" w:sz="4" w:space="0"/>
                    <w:lef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108" w:type="dxa"/>
                  <w:vMerge w:val="restart"/>
                  <w:tcBorders>
                    <w:top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供水</w:t>
                  </w:r>
                </w:p>
              </w:tc>
              <w:tc>
                <w:tcPr>
                  <w:tcW w:w="1356" w:type="dxa"/>
                  <w:tcBorders>
                    <w:top w:val="single" w:color="auto" w:sz="4" w:space="0"/>
                    <w:left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生产用水</w:t>
                  </w:r>
                </w:p>
              </w:tc>
              <w:tc>
                <w:tcPr>
                  <w:tcW w:w="4178" w:type="dxa"/>
                  <w:gridSpan w:val="3"/>
                  <w:tcBorders>
                    <w:top w:val="single" w:color="auto" w:sz="4" w:space="0"/>
                    <w:left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市政供水管网</w:t>
                  </w:r>
                </w:p>
              </w:tc>
              <w:tc>
                <w:tcPr>
                  <w:tcW w:w="1747" w:type="dxa"/>
                  <w:tcBorders>
                    <w:top w:val="single" w:color="auto" w:sz="4" w:space="0"/>
                    <w:lef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108" w:type="dxa"/>
                  <w:vMerge w:val="continue"/>
                  <w:tcBorders>
                    <w:top w:val="single" w:color="auto" w:sz="4" w:space="0"/>
                    <w:right w:val="single" w:color="auto" w:sz="4" w:space="0"/>
                  </w:tcBorders>
                  <w:vAlign w:val="center"/>
                </w:tcPr>
                <w:p/>
              </w:tc>
              <w:tc>
                <w:tcPr>
                  <w:tcW w:w="1356" w:type="dxa"/>
                  <w:tcBorders>
                    <w:top w:val="single" w:color="auto" w:sz="4" w:space="0"/>
                    <w:left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生活用水</w:t>
                  </w:r>
                </w:p>
              </w:tc>
              <w:tc>
                <w:tcPr>
                  <w:tcW w:w="4178" w:type="dxa"/>
                  <w:gridSpan w:val="3"/>
                  <w:tcBorders>
                    <w:top w:val="single" w:color="auto" w:sz="4" w:space="0"/>
                    <w:left w:val="single" w:color="auto" w:sz="4" w:space="0"/>
                    <w:righ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市政供水管网</w:t>
                  </w:r>
                </w:p>
              </w:tc>
              <w:tc>
                <w:tcPr>
                  <w:tcW w:w="1747" w:type="dxa"/>
                  <w:tcBorders>
                    <w:top w:val="single" w:color="auto" w:sz="4" w:space="0"/>
                    <w:left w:val="single" w:color="auto" w:sz="4" w:space="0"/>
                  </w:tcBorders>
                  <w:vAlign w:val="center"/>
                </w:tcPr>
                <w:p>
                  <w:pPr>
                    <w:widowControl/>
                    <w:tabs>
                      <w:tab w:val="left" w:pos="851"/>
                      <w:tab w:val="left" w:pos="2160"/>
                    </w:tabs>
                    <w:adjustRightInd w:val="0"/>
                    <w:snapToGrid w:val="0"/>
                    <w:jc w:val="center"/>
                    <w:outlineLvl w:val="3"/>
                    <w:rPr>
                      <w:rFonts w:ascii="Times New Roman" w:hAnsi="Times New Roman" w:cs="Times New Roman"/>
                      <w:bCs/>
                      <w:color w:val="auto"/>
                      <w:kern w:val="0"/>
                      <w:szCs w:val="21"/>
                    </w:rPr>
                  </w:pPr>
                  <w:r>
                    <w:rPr>
                      <w:rFonts w:ascii="Times New Roman" w:hAnsi="Times New Roman" w:cs="Times New Roman"/>
                      <w:bCs/>
                      <w:color w:val="auto"/>
                      <w:kern w:val="0"/>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464" w:type="dxa"/>
                  <w:gridSpan w:val="2"/>
                  <w:tcBorders>
                    <w:top w:val="single" w:color="auto" w:sz="4" w:space="0"/>
                    <w:right w:val="single" w:color="auto" w:sz="4" w:space="0"/>
                  </w:tcBorders>
                  <w:vAlign w:val="center"/>
                </w:tcPr>
                <w:p>
                  <w:pPr>
                    <w:tabs>
                      <w:tab w:val="center" w:pos="4320"/>
                      <w:tab w:val="right" w:pos="8640"/>
                    </w:tabs>
                    <w:adjustRightInd w:val="0"/>
                    <w:spacing w:line="360" w:lineRule="auto"/>
                    <w:jc w:val="center"/>
                    <w:textAlignment w:val="baseline"/>
                    <w:rPr>
                      <w:rFonts w:ascii="Times New Roman" w:hAnsi="Times New Roman" w:cs="Times New Roman"/>
                      <w:color w:val="auto"/>
                      <w:szCs w:val="21"/>
                    </w:rPr>
                  </w:pPr>
                  <w:r>
                    <w:rPr>
                      <w:rFonts w:ascii="Times New Roman" w:hAnsi="Times New Roman" w:cs="Times New Roman"/>
                      <w:bCs/>
                      <w:color w:val="auto"/>
                      <w:szCs w:val="21"/>
                    </w:rPr>
                    <w:t>厂区道路</w:t>
                  </w:r>
                </w:p>
              </w:tc>
              <w:tc>
                <w:tcPr>
                  <w:tcW w:w="4178" w:type="dxa"/>
                  <w:gridSpan w:val="3"/>
                  <w:tcBorders>
                    <w:top w:val="single" w:color="auto" w:sz="4" w:space="0"/>
                    <w:left w:val="single" w:color="auto" w:sz="4" w:space="0"/>
                    <w:right w:val="single" w:color="auto" w:sz="4" w:space="0"/>
                  </w:tcBorders>
                  <w:vAlign w:val="center"/>
                </w:tcPr>
                <w:p>
                  <w:pPr>
                    <w:tabs>
                      <w:tab w:val="center" w:pos="4320"/>
                      <w:tab w:val="right" w:pos="8640"/>
                    </w:tabs>
                    <w:adjustRightInd w:val="0"/>
                    <w:jc w:val="center"/>
                    <w:textAlignment w:val="baseline"/>
                    <w:rPr>
                      <w:rFonts w:ascii="Times New Roman" w:hAnsi="Times New Roman" w:cs="Times New Roman"/>
                      <w:color w:val="auto"/>
                      <w:szCs w:val="21"/>
                    </w:rPr>
                  </w:pPr>
                  <w:r>
                    <w:rPr>
                      <w:rFonts w:ascii="Times New Roman" w:hAnsi="Times New Roman" w:cs="Times New Roman"/>
                      <w:color w:val="auto"/>
                      <w:szCs w:val="21"/>
                    </w:rPr>
                    <w:t>本项目厂区道路为混凝土道路，厂区道路完善</w:t>
                  </w:r>
                </w:p>
              </w:tc>
              <w:tc>
                <w:tcPr>
                  <w:tcW w:w="1747" w:type="dxa"/>
                  <w:tcBorders>
                    <w:top w:val="single" w:color="auto" w:sz="4" w:space="0"/>
                    <w:left w:val="single" w:color="auto" w:sz="4" w:space="0"/>
                  </w:tcBorders>
                  <w:vAlign w:val="center"/>
                </w:tcPr>
                <w:p>
                  <w:pPr>
                    <w:tabs>
                      <w:tab w:val="center" w:pos="4320"/>
                      <w:tab w:val="right" w:pos="8640"/>
                    </w:tabs>
                    <w:adjustRightInd w:val="0"/>
                    <w:spacing w:line="360" w:lineRule="auto"/>
                    <w:jc w:val="center"/>
                    <w:textAlignment w:val="baseline"/>
                    <w:rPr>
                      <w:rFonts w:ascii="Times New Roman" w:hAnsi="Times New Roman" w:cs="Times New Roman"/>
                      <w:color w:val="auto"/>
                      <w:szCs w:val="21"/>
                    </w:rPr>
                  </w:pPr>
                  <w:r>
                    <w:rPr>
                      <w:rFonts w:ascii="Times New Roman" w:hAnsi="Times New Roman" w:cs="Times New Roman"/>
                      <w:color w:val="auto"/>
                      <w:szCs w:val="21"/>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464" w:type="dxa"/>
                  <w:gridSpan w:val="2"/>
                  <w:tcBorders>
                    <w:top w:val="single" w:color="auto" w:sz="4" w:space="0"/>
                    <w:right w:val="single" w:color="auto" w:sz="4" w:space="0"/>
                  </w:tcBorders>
                  <w:vAlign w:val="center"/>
                </w:tcPr>
                <w:p>
                  <w:pPr>
                    <w:tabs>
                      <w:tab w:val="center" w:pos="4320"/>
                      <w:tab w:val="right" w:pos="8640"/>
                    </w:tabs>
                    <w:adjustRightInd w:val="0"/>
                    <w:spacing w:line="360" w:lineRule="auto"/>
                    <w:jc w:val="center"/>
                    <w:textAlignment w:val="baseline"/>
                    <w:rPr>
                      <w:rFonts w:ascii="Times New Roman" w:hAnsi="Times New Roman" w:cs="Times New Roman"/>
                      <w:color w:val="auto"/>
                      <w:szCs w:val="21"/>
                    </w:rPr>
                  </w:pPr>
                  <w:r>
                    <w:rPr>
                      <w:rFonts w:ascii="Times New Roman" w:hAnsi="Times New Roman" w:cs="Times New Roman"/>
                      <w:bCs/>
                      <w:color w:val="auto"/>
                      <w:szCs w:val="21"/>
                    </w:rPr>
                    <w:t>消防设施</w:t>
                  </w:r>
                </w:p>
              </w:tc>
              <w:tc>
                <w:tcPr>
                  <w:tcW w:w="4178" w:type="dxa"/>
                  <w:gridSpan w:val="3"/>
                  <w:tcBorders>
                    <w:top w:val="single" w:color="auto" w:sz="4" w:space="0"/>
                    <w:left w:val="single" w:color="auto" w:sz="4" w:space="0"/>
                    <w:right w:val="single" w:color="auto" w:sz="4" w:space="0"/>
                  </w:tcBorders>
                  <w:vAlign w:val="center"/>
                </w:tcPr>
                <w:p>
                  <w:pPr>
                    <w:tabs>
                      <w:tab w:val="center" w:pos="4320"/>
                      <w:tab w:val="right" w:pos="8640"/>
                    </w:tabs>
                    <w:adjustRightInd w:val="0"/>
                    <w:jc w:val="center"/>
                    <w:textAlignment w:val="baseline"/>
                    <w:rPr>
                      <w:rFonts w:ascii="Times New Roman" w:hAnsi="Times New Roman" w:cs="Times New Roman"/>
                      <w:color w:val="auto"/>
                      <w:szCs w:val="21"/>
                    </w:rPr>
                  </w:pPr>
                  <w:r>
                    <w:rPr>
                      <w:rFonts w:ascii="Times New Roman" w:hAnsi="Times New Roman" w:cs="Times New Roman"/>
                      <w:color w:val="auto"/>
                      <w:szCs w:val="21"/>
                    </w:rPr>
                    <w:t>本项目厂区内建有消防设施</w:t>
                  </w:r>
                </w:p>
              </w:tc>
              <w:tc>
                <w:tcPr>
                  <w:tcW w:w="1747" w:type="dxa"/>
                  <w:tcBorders>
                    <w:top w:val="single" w:color="auto" w:sz="4" w:space="0"/>
                    <w:left w:val="single" w:color="auto" w:sz="4" w:space="0"/>
                  </w:tcBorders>
                  <w:vAlign w:val="center"/>
                </w:tcPr>
                <w:p>
                  <w:pPr>
                    <w:tabs>
                      <w:tab w:val="center" w:pos="4320"/>
                      <w:tab w:val="right" w:pos="8640"/>
                    </w:tabs>
                    <w:adjustRightInd w:val="0"/>
                    <w:spacing w:line="360" w:lineRule="auto"/>
                    <w:jc w:val="center"/>
                    <w:textAlignment w:val="baseline"/>
                    <w:rPr>
                      <w:rFonts w:ascii="Times New Roman" w:hAnsi="Times New Roman" w:cs="Times New Roman"/>
                      <w:color w:val="auto"/>
                      <w:szCs w:val="21"/>
                    </w:rPr>
                  </w:pPr>
                  <w:r>
                    <w:rPr>
                      <w:rFonts w:ascii="Times New Roman" w:hAnsi="Times New Roman" w:cs="Times New Roman"/>
                      <w:color w:val="auto"/>
                      <w:szCs w:val="21"/>
                    </w:rPr>
                    <w:t>是</w:t>
                  </w:r>
                </w:p>
              </w:tc>
            </w:tr>
          </w:tbl>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8、劳动定员及工作制度</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劳动定员：员工人数1</w:t>
            </w:r>
            <w:r>
              <w:rPr>
                <w:rFonts w:hint="eastAsia" w:cs="Times New Roman"/>
                <w:bCs/>
                <w:color w:val="auto"/>
                <w:sz w:val="24"/>
                <w:lang w:val="en-US" w:eastAsia="zh-CN"/>
              </w:rPr>
              <w:t>0</w:t>
            </w:r>
            <w:r>
              <w:rPr>
                <w:rFonts w:ascii="Times New Roman" w:hAnsi="Times New Roman" w:cs="Times New Roman"/>
                <w:bCs/>
                <w:color w:val="auto"/>
                <w:sz w:val="24"/>
              </w:rPr>
              <w:t>人。</w:t>
            </w:r>
          </w:p>
          <w:p>
            <w:pPr>
              <w:spacing w:line="360" w:lineRule="auto"/>
              <w:ind w:firstLine="480" w:firstLineChars="200"/>
              <w:rPr>
                <w:rFonts w:ascii="Times New Roman" w:hAnsi="Times New Roman" w:cs="Times New Roman"/>
                <w:bCs/>
                <w:color w:val="auto"/>
                <w:szCs w:val="21"/>
              </w:rPr>
            </w:pPr>
            <w:r>
              <w:rPr>
                <w:rFonts w:ascii="Times New Roman" w:hAnsi="Times New Roman" w:cs="Times New Roman"/>
                <w:bCs/>
                <w:color w:val="auto"/>
                <w:sz w:val="24"/>
              </w:rPr>
              <w:t>工作制度：实行三班制，每班8h工作制，全年工作时间3</w:t>
            </w:r>
            <w:r>
              <w:rPr>
                <w:rFonts w:ascii="Times New Roman" w:hAnsi="Times New Roman" w:cs="Times New Roman"/>
                <w:bCs/>
                <w:color w:val="auto"/>
                <w:sz w:val="24"/>
                <w:lang w:val="en-US" w:eastAsia="zh-CN"/>
              </w:rPr>
              <w:t>30</w:t>
            </w:r>
            <w:r>
              <w:rPr>
                <w:rFonts w:ascii="Times New Roman" w:hAnsi="Times New Roman" w:cs="Times New Roman"/>
                <w:bCs/>
                <w:color w:val="auto"/>
                <w:sz w:val="24"/>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55" w:type="dxa"/>
            <w:tcBorders>
              <w:top w:val="single" w:color="auto" w:sz="4" w:space="0"/>
              <w:left w:val="single" w:color="auto" w:sz="8" w:space="0"/>
              <w:right w:val="single" w:color="auto" w:sz="4" w:space="0"/>
            </w:tcBorders>
            <w:vAlign w:val="center"/>
          </w:tcPr>
          <w:p>
            <w:pPr>
              <w:pStyle w:val="21"/>
              <w:adjustRightInd w:val="0"/>
              <w:snapToGrid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工艺流程和产排污环节</w:t>
            </w:r>
          </w:p>
        </w:tc>
        <w:tc>
          <w:tcPr>
            <w:tcW w:w="8605" w:type="dxa"/>
            <w:tcBorders>
              <w:top w:val="single" w:color="auto" w:sz="4" w:space="0"/>
              <w:left w:val="single" w:color="auto" w:sz="4" w:space="0"/>
              <w:right w:val="single" w:color="auto" w:sz="8" w:space="0"/>
            </w:tcBorders>
          </w:tcPr>
          <w:p>
            <w:pPr>
              <w:numPr>
                <w:ilvl w:val="0"/>
                <w:numId w:val="3"/>
              </w:numPr>
              <w:spacing w:line="360" w:lineRule="auto"/>
              <w:ind w:left="0" w:firstLine="480"/>
              <w:rPr>
                <w:rFonts w:ascii="Times New Roman" w:hAnsi="Times New Roman" w:cs="Times New Roman"/>
                <w:b/>
                <w:bCs/>
                <w:color w:val="auto"/>
                <w:sz w:val="24"/>
              </w:rPr>
            </w:pPr>
            <w:r>
              <w:rPr>
                <w:rFonts w:ascii="Times New Roman" w:hAnsi="Times New Roman" w:cs="Times New Roman"/>
                <w:b/>
                <w:bCs/>
                <w:color w:val="auto"/>
                <w:sz w:val="24"/>
              </w:rPr>
              <w:t>施工期工程分析</w:t>
            </w:r>
          </w:p>
          <w:p>
            <w:pPr>
              <w:spacing w:line="360" w:lineRule="auto"/>
              <w:ind w:firstLine="482" w:firstLineChars="200"/>
              <w:rPr>
                <w:rFonts w:ascii="Times New Roman" w:hAnsi="Times New Roman" w:cs="Times New Roman"/>
                <w:color w:val="auto"/>
                <w:sz w:val="24"/>
              </w:rPr>
            </w:pPr>
            <w:r>
              <w:rPr>
                <w:rFonts w:ascii="Times New Roman" w:hAnsi="Times New Roman" w:cs="Times New Roman"/>
                <w:b/>
                <w:bCs/>
                <w:color w:val="auto"/>
                <w:sz w:val="24"/>
              </w:rPr>
              <w:t>1、施工期工艺流程</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w:t>
            </w:r>
            <w:r>
              <w:rPr>
                <w:rFonts w:ascii="Times New Roman" w:hAnsi="Times New Roman" w:cs="Times New Roman"/>
                <w:color w:val="auto"/>
                <w:spacing w:val="-1"/>
                <w:sz w:val="24"/>
              </w:rPr>
              <w:t>目</w:t>
            </w:r>
            <w:r>
              <w:rPr>
                <w:rFonts w:ascii="Times New Roman" w:hAnsi="Times New Roman" w:cs="Times New Roman"/>
                <w:color w:val="auto"/>
                <w:sz w:val="24"/>
              </w:rPr>
              <w:t>施工期工艺流程及产污环节如下图所示。</w:t>
            </w:r>
          </w:p>
          <w:p>
            <w:pPr>
              <w:pStyle w:val="2"/>
              <w:adjustRightInd w:val="0"/>
              <w:snapToGrid w:val="0"/>
              <w:spacing w:before="0" w:after="0" w:line="259" w:lineRule="auto"/>
              <w:rPr>
                <w:rFonts w:ascii="Times New Roman" w:hAnsi="Times New Roman" w:cs="Times New Roman"/>
                <w:color w:val="auto"/>
              </w:rPr>
            </w:pPr>
            <w:r>
              <w:rPr>
                <w:rFonts w:ascii="Times New Roman" w:hAnsi="Times New Roman" w:cs="Times New Roman"/>
                <w:color w:val="auto"/>
              </w:rPr>
              <w:pict>
                <v:group id="对象 31" o:spid="_x0000_s1026" o:spt="203" style="height:129.4pt;width:405.75pt;" coordorigin="2089,10093" coordsize="8115,2588" editas="canvas">
                  <o:lock v:ext="edit"/>
                  <v:shape id="对象 31" o:spid="_x0000_s32" o:spt="75" type="#_x0000_t75" style="position:absolute;left:2089;top:10093;height:2588;width:8115;" filled="f" stroked="f" coordsize="21600,21600">
                    <v:fill on="f" focussize="0,0"/>
                    <v:stroke on="f" color="#000000"/>
                    <v:imagedata o:title=""/>
                    <o:lock v:ext="edit" aspectratio="t"/>
                  </v:shape>
                  <v:shape id="_s33" o:spid="_x0000_s1027" o:spt="202" type="#_x0000_t202" style="position:absolute;left:2489;top:11803;height:555;width:1169;" filled="f" stroked="t" coordsize="21600,21600">
                    <v:path/>
                    <v:fill on="f" focussize="0,0"/>
                    <v:stroke weight="0.5pt" color="#000000"/>
                    <v:imagedata o:title=""/>
                    <o:lock v:ext="edit"/>
                    <v:textbox>
                      <w:txbxContent>
                        <w:p>
                          <w:pPr>
                            <w:jc w:val="center"/>
                            <w:rPr>
                              <w:rFonts w:eastAsia="宋体"/>
                              <w:lang w:val="en-US" w:eastAsia="zh-CN"/>
                            </w:rPr>
                          </w:pPr>
                          <w:r>
                            <w:rPr>
                              <w:rFonts w:hint="eastAsia"/>
                              <w:lang w:val="en-US" w:eastAsia="zh-CN"/>
                            </w:rPr>
                            <w:t>基础建设</w:t>
                          </w:r>
                        </w:p>
                      </w:txbxContent>
                    </v:textbox>
                  </v:shape>
                  <v:shape id="_s34" o:spid="_x0000_s1028" o:spt="202" type="#_x0000_t202" style="position:absolute;left:4043;top:11805;height:554;width:1260;" filled="f" stroked="t" coordsize="21600,21600">
                    <v:path/>
                    <v:fill on="f" focussize="0,0"/>
                    <v:stroke weight="0.5pt" color="#000000"/>
                    <v:imagedata o:title=""/>
                    <o:lock v:ext="edit"/>
                    <v:textbox>
                      <w:txbxContent>
                        <w:p>
                          <w:pPr>
                            <w:jc w:val="center"/>
                          </w:pPr>
                          <w:r>
                            <w:rPr>
                              <w:rFonts w:hint="eastAsia"/>
                            </w:rPr>
                            <w:t>管道敷设</w:t>
                          </w:r>
                        </w:p>
                      </w:txbxContent>
                    </v:textbox>
                  </v:shape>
                  <v:shape id="_s35" o:spid="_x0000_s1029" o:spt="202" type="#_x0000_t202" style="position:absolute;left:7291;top:11794;height:554;width:1158;" filled="f" stroked="t" coordsize="21600,21600">
                    <v:path/>
                    <v:fill on="f" focussize="0,0"/>
                    <v:stroke weight="0.5pt" color="#000000"/>
                    <v:imagedata o:title=""/>
                    <o:lock v:ext="edit"/>
                    <v:textbox>
                      <w:txbxContent>
                        <w:p>
                          <w:pPr>
                            <w:jc w:val="center"/>
                          </w:pPr>
                          <w:r>
                            <w:rPr>
                              <w:rFonts w:hint="eastAsia"/>
                            </w:rPr>
                            <w:t>设备调试</w:t>
                          </w:r>
                        </w:p>
                      </w:txbxContent>
                    </v:textbox>
                  </v:shape>
                  <v:shape id="_s36" o:spid="_x0000_s1030" o:spt="202" type="#_x0000_t202" style="position:absolute;left:5719;top:11805;height:554;width:1169;" filled="f" stroked="t" coordsize="21600,21600">
                    <v:path/>
                    <v:fill on="f" focussize="0,0"/>
                    <v:stroke weight="0.5pt" color="#000000"/>
                    <v:imagedata o:title=""/>
                    <o:lock v:ext="edit"/>
                    <v:textbox>
                      <w:txbxContent>
                        <w:p>
                          <w:pPr>
                            <w:jc w:val="center"/>
                          </w:pPr>
                          <w:r>
                            <w:rPr>
                              <w:rFonts w:hint="eastAsia"/>
                            </w:rPr>
                            <w:t>锅炉安装</w:t>
                          </w:r>
                        </w:p>
                      </w:txbxContent>
                    </v:textbox>
                  </v:shape>
                  <v:shape id="_s37" o:spid="_x0000_s1031" o:spt="32" type="#_x0000_t32" style="position:absolute;left:3659;top:12081;height:9;width:391;" filled="f" stroked="t" coordsize="21600,21600">
                    <v:path arrowok="t"/>
                    <v:fill on="f" focussize="0,0"/>
                    <v:stroke color="#000000" endarrow="open"/>
                    <v:imagedata o:title=""/>
                    <o:lock v:ext="edit"/>
                  </v:shape>
                  <v:shape id="_s38" o:spid="_x0000_s1032" o:spt="32" type="#_x0000_t32" style="position:absolute;left:3074;top:11308;flip:y;height:495;width:0;" filled="f" stroked="t" coordsize="21600,21600">
                    <v:path arrowok="t"/>
                    <v:fill on="f" focussize="0,0"/>
                    <v:stroke weight="1pt" color="#000000" dashstyle="1 1" endarrow="open"/>
                    <v:imagedata o:title=""/>
                    <o:lock v:ext="edit"/>
                  </v:shape>
                  <v:shape id="_s39" o:spid="_x0000_s1033" o:spt="32" type="#_x0000_t32" style="position:absolute;left:4654;top:11319;flip:y;height:495;width:0;" filled="f" stroked="t" coordsize="21600,21600">
                    <v:path arrowok="t"/>
                    <v:fill on="f" focussize="0,0"/>
                    <v:stroke weight="1pt" color="#000000" dashstyle="1 1" endarrow="open"/>
                    <v:imagedata o:title=""/>
                    <o:lock v:ext="edit"/>
                  </v:shape>
                  <v:shape id="_s40" o:spid="_x0000_s1034" o:spt="32" type="#_x0000_t32" style="position:absolute;left:6307;top:11308;flip:y;height:495;width:0;" filled="f" stroked="t" coordsize="21600,21600">
                    <v:path arrowok="t"/>
                    <v:fill on="f" focussize="0,0"/>
                    <v:stroke weight="1pt" color="#000000" dashstyle="1 1" endarrow="open"/>
                    <v:imagedata o:title=""/>
                    <o:lock v:ext="edit"/>
                  </v:shape>
                  <v:shape id="_s41" o:spid="_x0000_s1035" o:spt="202" type="#_x0000_t202" style="position:absolute;left:2894;top:10547;height:731;width:5495;" filled="f" stroked="t" coordsize="21600,21600">
                    <v:path/>
                    <v:fill on="f" focussize="0,0"/>
                    <v:stroke weight="1pt" color="#000000" dashstyle="longDash"/>
                    <v:imagedata o:title=""/>
                    <o:lock v:ext="edit"/>
                    <v:textbox>
                      <w:txbxContent>
                        <w:p>
                          <w:pPr>
                            <w:jc w:val="center"/>
                          </w:pPr>
                          <w:r>
                            <w:rPr>
                              <w:rFonts w:hint="eastAsia"/>
                            </w:rPr>
                            <w:t>施工扬尘、施工人员生活污水、施工期噪声、土方石、试压废水、建筑垃圾及生活垃圾</w:t>
                          </w:r>
                        </w:p>
                      </w:txbxContent>
                    </v:textbox>
                  </v:shape>
                  <v:shape id="_s42" o:spid="_x0000_s1036" o:spt="32" type="#_x0000_t32" style="position:absolute;left:5332;top:12081;height:9;width:391;" filled="f" stroked="t" coordsize="21600,21600">
                    <v:path arrowok="t"/>
                    <v:fill on="f" focussize="0,0"/>
                    <v:stroke color="#000000" endarrow="open"/>
                    <v:imagedata o:title=""/>
                    <o:lock v:ext="edit"/>
                  </v:shape>
                  <v:shape id="_s43" o:spid="_x0000_s1037" o:spt="32" type="#_x0000_t32" style="position:absolute;left:6889;top:12093;height:9;width:393;" filled="f" stroked="t" coordsize="21600,21600">
                    <v:path arrowok="t"/>
                    <v:fill on="f" focussize="0,0"/>
                    <v:stroke color="#000000" endarrow="open"/>
                    <v:imagedata o:title=""/>
                    <o:lock v:ext="edit"/>
                  </v:shape>
                  <v:shape id="_s44" o:spid="_x0000_s1038" o:spt="202" type="#_x0000_t202" style="position:absolute;left:8883;top:11782;height:554;width:1157;" filled="f" stroked="t" coordsize="21600,21600">
                    <v:path/>
                    <v:fill on="f" focussize="0,0"/>
                    <v:stroke weight="0.5pt" color="#000000"/>
                    <v:imagedata o:title=""/>
                    <o:lock v:ext="edit"/>
                    <v:textbox>
                      <w:txbxContent>
                        <w:p>
                          <w:pPr>
                            <w:jc w:val="center"/>
                          </w:pPr>
                          <w:r>
                            <w:rPr>
                              <w:rFonts w:hint="eastAsia"/>
                            </w:rPr>
                            <w:t>投入运行</w:t>
                          </w:r>
                        </w:p>
                      </w:txbxContent>
                    </v:textbox>
                  </v:shape>
                  <v:shape id="_s45" o:spid="_x0000_s1039" o:spt="32" type="#_x0000_t32" style="position:absolute;left:8481;top:12081;height:9;width:393;" filled="f" stroked="t" coordsize="21600,21600">
                    <v:path arrowok="t"/>
                    <v:fill on="f" focussize="0,0"/>
                    <v:stroke color="#000000" endarrow="open"/>
                    <v:imagedata o:title=""/>
                    <o:lock v:ext="edit"/>
                  </v:shape>
                  <v:shape id="_s46" o:spid="_x0000_s1040" o:spt="32" type="#_x0000_t32" style="position:absolute;left:7680;top:11285;flip:y;height:495;width:0;" filled="f" stroked="t" coordsize="21600,21600">
                    <v:path arrowok="t"/>
                    <v:fill on="f" focussize="0,0"/>
                    <v:stroke weight="1pt" color="#000000" dashstyle="1 1" endarrow="open"/>
                    <v:imagedata o:title=""/>
                    <o:lock v:ext="edit"/>
                  </v:shape>
                  <w10:wrap type="none"/>
                  <w10:anchorlock/>
                </v:group>
              </w:pict>
            </w:r>
          </w:p>
          <w:p>
            <w:pPr>
              <w:spacing w:line="360" w:lineRule="auto"/>
              <w:jc w:val="center"/>
              <w:rPr>
                <w:rFonts w:ascii="Times New Roman" w:hAnsi="Times New Roman" w:cs="Times New Roman"/>
                <w:color w:val="auto"/>
                <w:szCs w:val="16"/>
              </w:rPr>
            </w:pPr>
            <w:r>
              <w:rPr>
                <w:rFonts w:ascii="Times New Roman" w:hAnsi="Times New Roman" w:cs="Times New Roman"/>
                <w:b/>
                <w:bCs/>
                <w:color w:val="auto"/>
                <w:szCs w:val="16"/>
              </w:rPr>
              <w:t>图2-1  施工期主要流程及污染物产生环节图</w:t>
            </w:r>
          </w:p>
          <w:p>
            <w:pPr>
              <w:numPr>
                <w:ilvl w:val="0"/>
                <w:numId w:val="3"/>
              </w:numPr>
              <w:spacing w:line="360" w:lineRule="auto"/>
              <w:ind w:left="0" w:firstLine="480"/>
              <w:rPr>
                <w:rFonts w:ascii="Times New Roman" w:hAnsi="Times New Roman" w:cs="Times New Roman"/>
                <w:b/>
                <w:bCs/>
                <w:color w:val="auto"/>
                <w:sz w:val="24"/>
              </w:rPr>
            </w:pPr>
            <w:r>
              <w:rPr>
                <w:rFonts w:ascii="Times New Roman" w:hAnsi="Times New Roman" w:cs="Times New Roman"/>
                <w:b/>
                <w:bCs/>
                <w:color w:val="auto"/>
                <w:sz w:val="24"/>
              </w:rPr>
              <w:t>营运期工程分析</w:t>
            </w:r>
          </w:p>
          <w:p>
            <w:pPr>
              <w:tabs>
                <w:tab w:val="left" w:pos="1245"/>
                <w:tab w:val="center" w:pos="4422"/>
              </w:tabs>
              <w:spacing w:line="360" w:lineRule="auto"/>
              <w:ind w:firstLine="422" w:firstLineChars="200"/>
              <w:jc w:val="left"/>
              <w:rPr>
                <w:rFonts w:ascii="Times New Roman" w:hAnsi="Times New Roman" w:cs="Times New Roman"/>
                <w:b/>
                <w:bCs/>
                <w:color w:val="auto"/>
                <w:sz w:val="24"/>
              </w:rPr>
            </w:pPr>
            <w:r>
              <w:rPr>
                <w:rFonts w:ascii="Times New Roman" w:hAnsi="Times New Roman" w:cs="Times New Roman"/>
                <w:b/>
                <w:bCs/>
                <w:color w:val="auto"/>
              </w:rPr>
              <w:t>1、</w:t>
            </w:r>
            <w:r>
              <w:rPr>
                <w:rFonts w:ascii="Times New Roman" w:hAnsi="Times New Roman" w:cs="Times New Roman"/>
                <w:b/>
                <w:bCs/>
                <w:color w:val="auto"/>
                <w:sz w:val="24"/>
              </w:rPr>
              <w:t>营运期工艺流程简述</w:t>
            </w:r>
          </w:p>
          <w:p>
            <w:pPr>
              <w:pStyle w:val="4"/>
              <w:spacing w:before="0" w:after="0" w:line="360" w:lineRule="auto"/>
              <w:jc w:val="left"/>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kern w:val="0"/>
                <w:sz w:val="24"/>
                <w:szCs w:val="24"/>
              </w:rPr>
              <w:t>本项目</w:t>
            </w:r>
            <w:r>
              <w:rPr>
                <w:rFonts w:ascii="Times New Roman" w:hAnsi="Times New Roman" w:eastAsia="宋体" w:cs="Times New Roman"/>
                <w:b w:val="0"/>
                <w:bCs w:val="0"/>
                <w:color w:val="auto"/>
                <w:kern w:val="0"/>
                <w:sz w:val="24"/>
                <w:szCs w:val="24"/>
                <w:lang w:val="en-US" w:eastAsia="zh-CN"/>
              </w:rPr>
              <w:t>利用</w:t>
            </w:r>
            <w:r>
              <w:rPr>
                <w:rFonts w:ascii="Times New Roman" w:hAnsi="Times New Roman" w:eastAsia="宋体" w:cs="Times New Roman"/>
                <w:b w:val="0"/>
                <w:bCs w:val="0"/>
                <w:color w:val="auto"/>
                <w:kern w:val="0"/>
                <w:sz w:val="24"/>
                <w:szCs w:val="24"/>
                <w:lang w:eastAsia="zh-CN"/>
              </w:rPr>
              <w:t>四川鸿鹏新材料有限公司</w:t>
            </w:r>
            <w:r>
              <w:rPr>
                <w:rFonts w:ascii="Times New Roman" w:hAnsi="Times New Roman" w:eastAsia="宋体" w:cs="Times New Roman"/>
                <w:b w:val="0"/>
                <w:bCs w:val="0"/>
                <w:color w:val="auto"/>
                <w:kern w:val="0"/>
                <w:sz w:val="24"/>
                <w:szCs w:val="24"/>
                <w:lang w:val="en-US" w:eastAsia="zh-CN"/>
              </w:rPr>
              <w:t>目前空地7000m</w:t>
            </w:r>
            <w:r>
              <w:rPr>
                <w:rFonts w:ascii="Times New Roman" w:hAnsi="Times New Roman" w:eastAsia="宋体" w:cs="Times New Roman"/>
                <w:b w:val="0"/>
                <w:bCs w:val="0"/>
                <w:color w:val="auto"/>
                <w:kern w:val="0"/>
                <w:sz w:val="24"/>
                <w:szCs w:val="24"/>
                <w:vertAlign w:val="superscript"/>
                <w:lang w:val="en-US" w:eastAsia="zh-CN"/>
              </w:rPr>
              <w:t>2</w:t>
            </w:r>
            <w:r>
              <w:rPr>
                <w:rFonts w:ascii="Times New Roman" w:hAnsi="Times New Roman" w:eastAsia="宋体" w:cs="Times New Roman"/>
                <w:b w:val="0"/>
                <w:bCs w:val="0"/>
                <w:color w:val="auto"/>
                <w:kern w:val="0"/>
                <w:sz w:val="24"/>
                <w:szCs w:val="24"/>
              </w:rPr>
              <w:t>，建筑面积</w:t>
            </w:r>
            <w:r>
              <w:rPr>
                <w:rFonts w:ascii="Times New Roman" w:hAnsi="Times New Roman" w:eastAsia="宋体" w:cs="Times New Roman"/>
                <w:b w:val="0"/>
                <w:bCs w:val="0"/>
                <w:color w:val="auto"/>
                <w:kern w:val="0"/>
                <w:sz w:val="24"/>
                <w:szCs w:val="24"/>
                <w:lang w:val="en-US" w:eastAsia="zh-CN"/>
              </w:rPr>
              <w:t>约2500m</w:t>
            </w:r>
            <w:r>
              <w:rPr>
                <w:rFonts w:ascii="Times New Roman" w:hAnsi="Times New Roman" w:eastAsia="宋体" w:cs="Times New Roman"/>
                <w:b w:val="0"/>
                <w:bCs w:val="0"/>
                <w:color w:val="auto"/>
                <w:kern w:val="0"/>
                <w:sz w:val="24"/>
                <w:szCs w:val="24"/>
                <w:vertAlign w:val="superscript"/>
                <w:lang w:val="en-US" w:eastAsia="zh-CN"/>
              </w:rPr>
              <w:t>2</w:t>
            </w:r>
            <w:r>
              <w:rPr>
                <w:rFonts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lang w:val="en-US" w:eastAsia="zh-CN"/>
              </w:rPr>
              <w:t>新建</w:t>
            </w: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eastAsia="zh-CN"/>
              </w:rPr>
              <w:t>四川鸿鹏新材料有限公司生物质气化炉集中供热项目</w:t>
            </w:r>
            <w:r>
              <w:rPr>
                <w:rFonts w:ascii="Times New Roman" w:hAnsi="Times New Roman" w:eastAsia="宋体" w:cs="Times New Roman"/>
                <w:b w:val="0"/>
                <w:bCs w:val="0"/>
                <w:color w:val="auto"/>
                <w:kern w:val="0"/>
                <w:sz w:val="24"/>
                <w:szCs w:val="24"/>
              </w:rPr>
              <w:t>”，建设</w:t>
            </w:r>
            <w:r>
              <w:rPr>
                <w:rFonts w:ascii="Times New Roman" w:hAnsi="Times New Roman" w:eastAsia="宋体" w:cs="Times New Roman"/>
                <w:b w:val="0"/>
                <w:bCs w:val="0"/>
                <w:color w:val="auto"/>
                <w:kern w:val="0"/>
                <w:sz w:val="24"/>
                <w:szCs w:val="24"/>
                <w:lang w:val="en-US" w:eastAsia="zh-CN"/>
              </w:rPr>
              <w:t>1</w:t>
            </w:r>
            <w:r>
              <w:rPr>
                <w:rFonts w:ascii="Times New Roman" w:hAnsi="Times New Roman" w:eastAsia="宋体" w:cs="Times New Roman"/>
                <w:b w:val="0"/>
                <w:bCs w:val="0"/>
                <w:color w:val="auto"/>
                <w:kern w:val="0"/>
                <w:sz w:val="24"/>
                <w:szCs w:val="24"/>
              </w:rPr>
              <w:t>台额定蒸汽量为1</w:t>
            </w:r>
            <w:r>
              <w:rPr>
                <w:rFonts w:ascii="Times New Roman" w:hAnsi="Times New Roman" w:eastAsia="宋体" w:cs="Times New Roman"/>
                <w:b w:val="0"/>
                <w:bCs w:val="0"/>
                <w:color w:val="auto"/>
                <w:kern w:val="0"/>
                <w:sz w:val="24"/>
                <w:szCs w:val="24"/>
                <w:lang w:val="en-US" w:eastAsia="zh-CN"/>
              </w:rPr>
              <w:t>2</w:t>
            </w:r>
            <w:r>
              <w:rPr>
                <w:rFonts w:ascii="Times New Roman" w:hAnsi="Times New Roman" w:eastAsia="宋体" w:cs="Times New Roman"/>
                <w:b w:val="0"/>
                <w:bCs w:val="0"/>
                <w:color w:val="auto"/>
                <w:kern w:val="0"/>
                <w:sz w:val="24"/>
                <w:szCs w:val="24"/>
              </w:rPr>
              <w:t>t/h的</w:t>
            </w:r>
            <w:r>
              <w:rPr>
                <w:rFonts w:hint="eastAsia" w:ascii="Times New Roman" w:hAnsi="Times New Roman" w:eastAsia="宋体" w:cs="Times New Roman"/>
                <w:b w:val="0"/>
                <w:bCs w:val="0"/>
                <w:color w:val="auto"/>
                <w:kern w:val="0"/>
                <w:sz w:val="24"/>
                <w:szCs w:val="24"/>
                <w:lang w:val="en-US" w:eastAsia="zh-CN"/>
              </w:rPr>
              <w:t>生物质燃气锅炉</w:t>
            </w:r>
            <w:r>
              <w:rPr>
                <w:rFonts w:ascii="Times New Roman" w:hAnsi="Times New Roman" w:eastAsia="宋体" w:cs="Times New Roman"/>
                <w:b w:val="0"/>
                <w:bCs w:val="0"/>
                <w:color w:val="auto"/>
                <w:kern w:val="0"/>
                <w:sz w:val="24"/>
                <w:szCs w:val="24"/>
              </w:rPr>
              <w:t>以及配套设施，通过热网系统向企业进行能源供应。公辅设施全部依托厂区已修建公辅设施，不自行修建</w:t>
            </w:r>
            <w:r>
              <w:rPr>
                <w:rFonts w:ascii="Times New Roman" w:hAnsi="Times New Roman" w:eastAsia="宋体" w:cs="Times New Roman"/>
                <w:b w:val="0"/>
                <w:bCs w:val="0"/>
                <w:color w:val="auto"/>
                <w:sz w:val="24"/>
                <w:szCs w:val="24"/>
              </w:rPr>
              <w:t>。</w:t>
            </w:r>
          </w:p>
          <w:p>
            <w:pPr>
              <w:adjustRightInd w:val="0"/>
              <w:snapToGrid w:val="0"/>
              <w:spacing w:line="360" w:lineRule="auto"/>
              <w:ind w:firstLine="480" w:firstLineChars="200"/>
              <w:rPr>
                <w:rFonts w:ascii="Times New Roman" w:hAnsi="Times New Roman" w:cs="Times New Roman"/>
                <w:color w:val="auto"/>
                <w:kern w:val="0"/>
                <w:sz w:val="24"/>
                <w:szCs w:val="22"/>
              </w:rPr>
            </w:pPr>
            <w:r>
              <w:rPr>
                <w:rFonts w:ascii="Times New Roman" w:hAnsi="Times New Roman" w:cs="Times New Roman"/>
                <w:color w:val="auto"/>
                <w:kern w:val="0"/>
                <w:sz w:val="24"/>
                <w:szCs w:val="22"/>
              </w:rPr>
              <w:t>项目工艺流程及产污位置如下图所示：</w:t>
            </w:r>
          </w:p>
          <w:p>
            <w:pPr>
              <w:pStyle w:val="2"/>
              <w:rPr>
                <w:rFonts w:ascii="Times New Roman" w:hAnsi="Times New Roman" w:cs="Times New Roman"/>
                <w:color w:val="auto"/>
              </w:rPr>
            </w:pPr>
            <w:r>
              <w:rPr>
                <w:rFonts w:ascii="Times New Roman" w:hAnsi="Times New Roman" w:cs="Times New Roman"/>
                <w:color w:val="auto"/>
              </w:rPr>
              <w:pict>
                <v:group id="对象 47" o:spid="_x0000_s1041" o:spt="203" style="height:246.5pt;width:395.55pt;" coordorigin="2089,3932" coordsize="7911,4930" editas="canvas">
                  <o:lock v:ext="edit"/>
                  <v:shape id="对象 47" o:spid="_x0000_s48" o:spt="75" type="#_x0000_t75" style="position:absolute;left:2089;top:3932;height:4930;width:7911;" filled="f" stroked="f" coordsize="21600,21600">
                    <v:fill on="f" focussize="0,0"/>
                    <v:stroke on="f" color="#000000"/>
                    <v:imagedata o:title=""/>
                    <o:lock v:ext="edit" aspectratio="t"/>
                  </v:shape>
                  <v:line id="_s49" o:spid="_x0000_s1042" o:spt="20" style="position:absolute;left:6004;top:4794;flip:x;height:471;width:0;" filled="f" stroked="t" coordsize="21600,21600">
                    <v:path arrowok="t"/>
                    <v:fill on="f" focussize="0,0"/>
                    <v:stroke color="#000000" endarrow="open"/>
                    <v:imagedata o:title=""/>
                    <o:lock v:ext="edit"/>
                  </v:line>
                  <v:shape id="_s50" o:spid="_x0000_s1043" o:spt="202" type="#_x0000_t202" style="position:absolute;left:5380;top:4341;height:440;width:1219;" fillcolor="#FFFFFF" filled="t" stroked="t" coordsize="21600,21600">
                    <v:path/>
                    <v:fill on="t" focussize="0,0"/>
                    <v:stroke color="#000000"/>
                    <v:imagedata o:title=""/>
                    <o:lock v:ext="edit"/>
                    <v:textbox>
                      <w:txbxContent>
                        <w:p>
                          <w:pPr>
                            <w:jc w:val="center"/>
                            <w:rPr>
                              <w:rFonts w:hint="eastAsia" w:eastAsia="宋体"/>
                              <w:lang w:val="en-US" w:eastAsia="zh-CN"/>
                            </w:rPr>
                          </w:pPr>
                          <w:r>
                            <w:rPr>
                              <w:rFonts w:hint="eastAsia"/>
                              <w:lang w:val="en-US" w:eastAsia="zh-CN"/>
                            </w:rPr>
                            <w:t>上料</w:t>
                          </w:r>
                        </w:p>
                      </w:txbxContent>
                    </v:textbox>
                  </v:shape>
                  <v:line id="_s51" o:spid="_x0000_s1044" o:spt="20" style="position:absolute;left:6004;top:5754;flip:x;height:471;width:0;" filled="f" stroked="t" coordsize="21600,21600">
                    <v:path arrowok="t"/>
                    <v:fill on="f" focussize="0,0"/>
                    <v:stroke color="#000000" endarrow="open"/>
                    <v:imagedata o:title=""/>
                    <o:lock v:ext="edit"/>
                  </v:line>
                  <v:shape id="_s52" o:spid="_x0000_s1045" o:spt="202" type="#_x0000_t202" style="position:absolute;left:5395;top:5261;height:461;width:1219;" fillcolor="#FFFFFF" filled="t" stroked="t" coordsize="21600,21600">
                    <v:path/>
                    <v:fill on="t" focussize="0,0"/>
                    <v:stroke color="#000000"/>
                    <v:imagedata o:title=""/>
                    <o:lock v:ext="edit"/>
                    <v:textbox>
                      <w:txbxContent>
                        <w:p>
                          <w:pPr>
                            <w:jc w:val="center"/>
                            <w:rPr>
                              <w:rFonts w:hint="eastAsia" w:eastAsia="宋体"/>
                              <w:lang w:val="en-US" w:eastAsia="zh-CN"/>
                            </w:rPr>
                          </w:pPr>
                          <w:r>
                            <w:rPr>
                              <w:rFonts w:hint="eastAsia"/>
                              <w:lang w:val="en-US" w:eastAsia="zh-CN"/>
                            </w:rPr>
                            <w:t>气化</w:t>
                          </w:r>
                        </w:p>
                      </w:txbxContent>
                    </v:textbox>
                  </v:shape>
                  <v:line id="_s53" o:spid="_x0000_s1046" o:spt="20" style="position:absolute;left:6004;top:6669;flip:x;height:471;width:0;" filled="f" stroked="t" coordsize="21600,21600">
                    <v:path arrowok="t"/>
                    <v:fill on="f" focussize="0,0"/>
                    <v:stroke color="#000000" endarrow="open"/>
                    <v:imagedata o:title=""/>
                    <o:lock v:ext="edit"/>
                  </v:line>
                  <v:shape id="_s54" o:spid="_x0000_s1047" o:spt="202" type="#_x0000_t202" style="position:absolute;left:5393;top:6218;height:438;width:1219;" fillcolor="#FFFFFF" filled="t" stroked="t" coordsize="21600,21600">
                    <v:path/>
                    <v:fill on="t" focussize="0,0"/>
                    <v:stroke color="#000000"/>
                    <v:imagedata o:title=""/>
                    <o:lock v:ext="edit"/>
                    <v:textbox>
                      <w:txbxContent>
                        <w:p>
                          <w:pPr>
                            <w:jc w:val="center"/>
                            <w:rPr>
                              <w:rFonts w:hint="eastAsia" w:eastAsia="宋体"/>
                              <w:lang w:val="en-US" w:eastAsia="zh-CN"/>
                            </w:rPr>
                          </w:pPr>
                          <w:r>
                            <w:rPr>
                              <w:rFonts w:hint="eastAsia"/>
                              <w:lang w:val="en-US" w:eastAsia="zh-CN"/>
                            </w:rPr>
                            <w:t>燃烧</w:t>
                          </w:r>
                        </w:p>
                      </w:txbxContent>
                    </v:textbox>
                  </v:shape>
                  <v:shape id="_s55" o:spid="_x0000_s1048" o:spt="202" type="#_x0000_t202" style="position:absolute;left:5415;top:7138;height:403;width:1220;" fillcolor="#FFFFFF" filled="t" stroked="t" coordsize="21600,21600">
                    <v:path/>
                    <v:fill on="t" focussize="0,0"/>
                    <v:stroke color="#000000"/>
                    <v:imagedata o:title=""/>
                    <o:lock v:ext="edit"/>
                    <v:textbox>
                      <w:txbxContent>
                        <w:p>
                          <w:pPr>
                            <w:jc w:val="center"/>
                            <w:rPr>
                              <w:rFonts w:hint="eastAsia" w:eastAsia="宋体"/>
                              <w:lang w:val="en-US" w:eastAsia="zh-CN"/>
                            </w:rPr>
                          </w:pPr>
                          <w:r>
                            <w:rPr>
                              <w:rFonts w:hint="eastAsia"/>
                              <w:lang w:val="en-US" w:eastAsia="zh-CN"/>
                            </w:rPr>
                            <w:t>分气缸</w:t>
                          </w:r>
                        </w:p>
                      </w:txbxContent>
                    </v:textbox>
                  </v:shape>
                  <v:shape id="_s56" o:spid="_x0000_s1049" o:spt="202" type="#_x0000_t202" style="position:absolute;left:5378;top:7968;height:676;width:1231;" filled="f" stroked="f" coordsize="21600,21600">
                    <v:path/>
                    <v:fill on="f" focussize="0,0"/>
                    <v:stroke on="f" color="#000000"/>
                    <v:imagedata o:title=""/>
                    <o:lock v:ext="edit"/>
                    <v:textbox>
                      <w:txbxContent>
                        <w:p>
                          <w:pPr>
                            <w:jc w:val="center"/>
                          </w:pPr>
                          <w:r>
                            <w:rPr>
                              <w:rFonts w:hint="eastAsia"/>
                            </w:rPr>
                            <w:t>供给企业用蒸汽</w:t>
                          </w:r>
                        </w:p>
                      </w:txbxContent>
                    </v:textbox>
                  </v:shape>
                  <v:shape id="_s57" o:spid="_x0000_s1050" o:spt="202" type="#_x0000_t202" style="position:absolute;left:3491;top:4377;height:416;width:1385;" filled="f" stroked="t" coordsize="21600,21600">
                    <v:path/>
                    <v:fill on="f" focussize="0,0"/>
                    <v:stroke weight="0.5pt" color="#000000" dashstyle="longDash"/>
                    <v:imagedata o:title=""/>
                    <o:lock v:ext="edit"/>
                    <v:textbox>
                      <w:txbxContent>
                        <w:p>
                          <w:pPr>
                            <w:jc w:val="center"/>
                            <w:rPr>
                              <w:rFonts w:eastAsia="宋体"/>
                              <w:lang w:val="en-US" w:eastAsia="zh-CN"/>
                            </w:rPr>
                          </w:pPr>
                          <w:r>
                            <w:rPr>
                              <w:rFonts w:hint="eastAsia"/>
                              <w:lang w:val="en-US" w:eastAsia="zh-CN"/>
                            </w:rPr>
                            <w:t>生物质原料</w:t>
                          </w:r>
                        </w:p>
                      </w:txbxContent>
                    </v:textbox>
                  </v:shape>
                  <v:line id="_s58" o:spid="_x0000_s1051" o:spt="20" style="position:absolute;left:4866;top:4581;flip:y;height:0;width:519;" filled="f" stroked="t" coordsize="21600,21600">
                    <v:path arrowok="t"/>
                    <v:fill on="f" focussize="0,0"/>
                    <v:stroke color="#000000" endarrow="open"/>
                    <v:imagedata o:title=""/>
                    <o:lock v:ext="edit"/>
                  </v:line>
                  <v:shape id="_s59" o:spid="_x0000_s1052" o:spt="202" type="#_x0000_t202" style="position:absolute;left:3514;top:5300;height:416;width:1385;" filled="f" stroked="t" coordsize="21600,21600">
                    <v:path/>
                    <v:fill on="f" focussize="0,0"/>
                    <v:stroke weight="0.5pt" color="#000000" dashstyle="longDash"/>
                    <v:imagedata o:title=""/>
                    <o:lock v:ext="edit"/>
                    <v:textbox>
                      <w:txbxContent>
                        <w:p>
                          <w:pPr>
                            <w:jc w:val="center"/>
                            <w:rPr>
                              <w:rFonts w:eastAsia="宋体"/>
                              <w:lang w:val="en-US" w:eastAsia="zh-CN"/>
                            </w:rPr>
                          </w:pPr>
                          <w:r>
                            <w:rPr>
                              <w:rFonts w:hint="eastAsia"/>
                              <w:lang w:val="en-US" w:eastAsia="zh-CN"/>
                            </w:rPr>
                            <w:t>气化炉</w:t>
                          </w:r>
                        </w:p>
                      </w:txbxContent>
                    </v:textbox>
                  </v:shape>
                  <v:line id="_s60" o:spid="_x0000_s1053" o:spt="20" style="position:absolute;left:4888;top:5504;flip:y;height:0;width:520;" filled="f" stroked="t" coordsize="21600,21600">
                    <v:path arrowok="t"/>
                    <v:fill on="f" focussize="0,0"/>
                    <v:stroke color="#000000" endarrow="open"/>
                    <v:imagedata o:title=""/>
                    <o:lock v:ext="edit"/>
                  </v:line>
                  <v:line id="_s61" o:spid="_x0000_s1054" o:spt="20" style="position:absolute;left:6619;top:5492;flip:y;height:0;width:521;" filled="f" stroked="t" coordsize="21600,21600">
                    <v:path arrowok="t"/>
                    <v:fill on="f" focussize="0,0"/>
                    <v:stroke color="#000000" endarrow="open"/>
                    <v:imagedata o:title=""/>
                    <o:lock v:ext="edit"/>
                  </v:line>
                  <v:shape id="_s62" o:spid="_x0000_s1055" o:spt="202" type="#_x0000_t202" style="position:absolute;left:6925;top:5254;height:401;width:1264;" filled="f" stroked="f" coordsize="21600,21600">
                    <v:path/>
                    <v:fill on="f" focussize="0,0"/>
                    <v:stroke on="f" color="#000000"/>
                    <v:imagedata o:title=""/>
                    <o:lock v:ext="edit"/>
                    <v:textbox>
                      <w:txbxContent>
                        <w:p>
                          <w:pPr>
                            <w:jc w:val="center"/>
                            <w:rPr>
                              <w:rFonts w:hint="eastAsia" w:eastAsia="宋体"/>
                              <w:lang w:val="en-US" w:eastAsia="zh-CN"/>
                            </w:rPr>
                          </w:pPr>
                          <w:r>
                            <w:rPr>
                              <w:rFonts w:hint="eastAsia"/>
                              <w:lang w:val="en-US" w:eastAsia="zh-CN"/>
                            </w:rPr>
                            <w:t>灰渣</w:t>
                          </w:r>
                        </w:p>
                      </w:txbxContent>
                    </v:textbox>
                  </v:shape>
                  <v:line id="_s63" o:spid="_x0000_s1056" o:spt="20" style="position:absolute;left:6596;top:4581;flip:y;height:0;width:521;" filled="f" stroked="t" coordsize="21600,21600">
                    <v:path arrowok="t"/>
                    <v:fill on="f" focussize="0,0"/>
                    <v:stroke color="#000000" endarrow="open"/>
                    <v:imagedata o:title=""/>
                    <o:lock v:ext="edit"/>
                  </v:line>
                  <v:shape id="_s64" o:spid="_x0000_s1057" o:spt="202" type="#_x0000_t202" style="position:absolute;left:6902;top:4343;height:400;width:1816;" filled="f" stroked="f" coordsize="21600,21600">
                    <v:path/>
                    <v:fill on="f" focussize="0,0"/>
                    <v:stroke on="f" color="#000000"/>
                    <v:imagedata o:title=""/>
                    <o:lock v:ext="edit"/>
                    <v:textbox>
                      <w:txbxContent>
                        <w:p>
                          <w:pPr>
                            <w:jc w:val="center"/>
                            <w:rPr>
                              <w:rFonts w:eastAsia="宋体"/>
                              <w:lang w:val="en-US" w:eastAsia="zh-CN"/>
                            </w:rPr>
                          </w:pPr>
                          <w:r>
                            <w:rPr>
                              <w:rFonts w:hint="eastAsia"/>
                              <w:lang w:val="en-US" w:eastAsia="zh-CN"/>
                            </w:rPr>
                            <w:t>粉尘、噪声</w:t>
                          </w:r>
                        </w:p>
                      </w:txbxContent>
                    </v:textbox>
                  </v:shape>
                  <v:shape id="_s65" o:spid="_x0000_s1058" o:spt="202" type="#_x0000_t202" style="position:absolute;left:3526;top:6258;height:416;width:1386;" filled="f" stroked="t" coordsize="21600,21600">
                    <v:path/>
                    <v:fill on="f" focussize="0,0"/>
                    <v:stroke weight="0.5pt" color="#000000" dashstyle="longDash"/>
                    <v:imagedata o:title=""/>
                    <o:lock v:ext="edit"/>
                    <v:textbox>
                      <w:txbxContent>
                        <w:p>
                          <w:pPr>
                            <w:jc w:val="center"/>
                            <w:rPr>
                              <w:rFonts w:eastAsia="宋体"/>
                              <w:lang w:val="en-US" w:eastAsia="zh-CN"/>
                            </w:rPr>
                          </w:pPr>
                          <w:r>
                            <w:rPr>
                              <w:rFonts w:hint="eastAsia"/>
                              <w:lang w:val="en-US" w:eastAsia="zh-CN"/>
                            </w:rPr>
                            <w:t>燃烧锅炉</w:t>
                          </w:r>
                        </w:p>
                      </w:txbxContent>
                    </v:textbox>
                  </v:shape>
                  <v:line id="_s66" o:spid="_x0000_s1059" o:spt="20" style="position:absolute;left:4901;top:6462;flip:y;height:0;width:520;" filled="f" stroked="t" coordsize="21600,21600">
                    <v:path arrowok="t"/>
                    <v:fill on="f" focussize="0,0"/>
                    <v:stroke color="#000000" endarrow="open"/>
                    <v:imagedata o:title=""/>
                    <o:lock v:ext="edit"/>
                  </v:line>
                  <v:line id="_s67" o:spid="_x0000_s1060" o:spt="20" style="position:absolute;left:6026;top:7557;flip:x;height:471;width:0;" filled="f" stroked="t" coordsize="21600,21600">
                    <v:path arrowok="t"/>
                    <v:fill on="f" focussize="0,0"/>
                    <v:stroke color="#000000" endarrow="open"/>
                    <v:imagedata o:title=""/>
                    <o:lock v:ext="edit"/>
                  </v:line>
                  <v:line id="_s68" o:spid="_x0000_s1061" o:spt="20" style="position:absolute;left:6619;top:6462;flip:y;height:0;width:521;" filled="f" stroked="t" coordsize="21600,21600">
                    <v:path arrowok="t"/>
                    <v:fill on="f" focussize="0,0"/>
                    <v:stroke color="#000000" endarrow="open"/>
                    <v:imagedata o:title=""/>
                    <o:lock v:ext="edit"/>
                  </v:line>
                  <v:shape id="_s69" o:spid="_x0000_s1062" o:spt="202" type="#_x0000_t202" style="position:absolute;left:6787;top:6224;height:401;width:1264;" filled="f" stroked="f" coordsize="21600,21600">
                    <v:path/>
                    <v:fill on="f" focussize="0,0"/>
                    <v:stroke on="f" color="#000000"/>
                    <v:imagedata o:title=""/>
                    <o:lock v:ext="edit"/>
                    <v:textbox>
                      <w:txbxContent>
                        <w:p>
                          <w:pPr>
                            <w:jc w:val="center"/>
                            <w:rPr>
                              <w:rFonts w:eastAsia="宋体"/>
                              <w:lang w:val="en-US" w:eastAsia="zh-CN"/>
                            </w:rPr>
                          </w:pPr>
                          <w:r>
                            <w:rPr>
                              <w:rFonts w:hint="eastAsia"/>
                              <w:lang w:val="en-US" w:eastAsia="zh-CN"/>
                            </w:rPr>
                            <w:t>烟气</w:t>
                          </w:r>
                        </w:p>
                      </w:txbxContent>
                    </v:textbox>
                  </v:shape>
                  <v:line id="_s70" o:spid="_x0000_s1063" o:spt="20" style="position:absolute;left:7669;top:6449;flip:y;height:0;width:520;" filled="f" stroked="t" coordsize="21600,21600">
                    <v:path arrowok="t"/>
                    <v:fill on="f" focussize="0,0"/>
                    <v:stroke color="#000000" endarrow="open"/>
                    <v:imagedata o:title=""/>
                    <o:lock v:ext="edit"/>
                  </v:line>
                  <v:shape id="_s71" o:spid="_x0000_s1064" o:spt="202" type="#_x0000_t202" style="position:absolute;left:8171;top:6241;height:438;width:1656;" fillcolor="#FFFFFF" filled="t" stroked="t" coordsize="21600,21600">
                    <v:path/>
                    <v:fill on="t" focussize="0,0"/>
                    <v:stroke color="#000000"/>
                    <v:imagedata o:title=""/>
                    <o:lock v:ext="edit"/>
                    <v:textbox>
                      <w:txbxContent>
                        <w:p>
                          <w:pPr>
                            <w:jc w:val="center"/>
                            <w:rPr>
                              <w:rFonts w:eastAsia="宋体"/>
                              <w:lang w:val="en-US" w:eastAsia="zh-CN"/>
                            </w:rPr>
                          </w:pPr>
                          <w:r>
                            <w:rPr>
                              <w:rFonts w:hint="eastAsia"/>
                              <w:lang w:val="en-US" w:eastAsia="zh-CN"/>
                            </w:rPr>
                            <w:t>废气处理装置</w:t>
                          </w:r>
                        </w:p>
                      </w:txbxContent>
                    </v:textbox>
                  </v:shape>
                  <v:line id="_s72" o:spid="_x0000_s1065" o:spt="20" style="position:absolute;left:9027;top:6689;flip:x;height:471;width:0;" filled="f" stroked="t" coordsize="21600,21600">
                    <v:path arrowok="t"/>
                    <v:fill on="f" focussize="0,0"/>
                    <v:stroke color="#000000" endarrow="open"/>
                    <v:imagedata o:title=""/>
                    <o:lock v:ext="edit"/>
                  </v:line>
                  <v:shape id="_s73" o:spid="_x0000_s1066" o:spt="202" type="#_x0000_t202" style="position:absolute;left:8321;top:7171;height:401;width:1369;" filled="f" stroked="f" coordsize="21600,21600">
                    <v:path/>
                    <v:fill on="f" focussize="0,0"/>
                    <v:stroke on="f" color="#000000"/>
                    <v:imagedata o:title=""/>
                    <o:lock v:ext="edit"/>
                    <v:textbox>
                      <w:txbxContent>
                        <w:p>
                          <w:pPr>
                            <w:jc w:val="center"/>
                            <w:rPr>
                              <w:rFonts w:eastAsia="宋体"/>
                              <w:lang w:val="en-US" w:eastAsia="zh-CN"/>
                            </w:rPr>
                          </w:pPr>
                          <w:r>
                            <w:rPr>
                              <w:rFonts w:hint="eastAsia"/>
                              <w:lang w:val="en-US" w:eastAsia="zh-CN"/>
                            </w:rPr>
                            <w:t>40m排气筒</w:t>
                          </w:r>
                        </w:p>
                      </w:txbxContent>
                    </v:textbox>
                  </v:shape>
                  <w10:wrap type="none"/>
                  <w10:anchorlock/>
                </v:group>
              </w:pict>
            </w:r>
          </w:p>
          <w:p>
            <w:pPr>
              <w:pStyle w:val="2"/>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图2-2 项目生产工艺流程</w:t>
            </w:r>
            <w:r>
              <w:rPr>
                <w:rFonts w:ascii="Times New Roman" w:hAnsi="Times New Roman" w:cs="Times New Roman"/>
                <w:b/>
                <w:color w:val="auto"/>
                <w:sz w:val="21"/>
                <w:szCs w:val="21"/>
              </w:rPr>
              <w:t>及产污</w:t>
            </w:r>
            <w:r>
              <w:rPr>
                <w:rFonts w:ascii="Times New Roman" w:hAnsi="Times New Roman" w:cs="Times New Roman"/>
                <w:b/>
                <w:bCs/>
                <w:color w:val="auto"/>
                <w:sz w:val="21"/>
                <w:szCs w:val="21"/>
              </w:rPr>
              <w:t>图</w:t>
            </w:r>
          </w:p>
          <w:p>
            <w:pPr>
              <w:pStyle w:val="2"/>
              <w:adjustRightInd w:val="0"/>
              <w:snapToGrid w:val="0"/>
              <w:spacing w:before="0" w:after="0" w:line="360" w:lineRule="auto"/>
              <w:ind w:left="420" w:right="0"/>
              <w:rPr>
                <w:rFonts w:ascii="Times New Roman" w:hAnsi="Times New Roman" w:cs="Times New Roman"/>
                <w:b/>
                <w:bCs/>
                <w:color w:val="auto"/>
                <w:sz w:val="24"/>
              </w:rPr>
            </w:pPr>
            <w:r>
              <w:rPr>
                <w:rFonts w:ascii="Times New Roman" w:hAnsi="Times New Roman" w:cs="Times New Roman"/>
                <w:b/>
                <w:bCs/>
                <w:color w:val="auto"/>
                <w:sz w:val="24"/>
                <w:lang w:val="en-US" w:eastAsia="zh-CN"/>
              </w:rPr>
              <w:t>工艺流程简述</w:t>
            </w:r>
            <w:r>
              <w:rPr>
                <w:rFonts w:ascii="Times New Roman" w:hAnsi="Times New Roman" w:cs="Times New Roman"/>
                <w:b/>
                <w:bCs/>
                <w:color w:val="auto"/>
                <w:sz w:val="24"/>
              </w:rPr>
              <w:t>：</w:t>
            </w:r>
          </w:p>
          <w:p>
            <w:pPr>
              <w:pStyle w:val="2"/>
              <w:adjustRightInd w:val="0"/>
              <w:snapToGrid w:val="0"/>
              <w:spacing w:before="0" w:after="0" w:line="360" w:lineRule="auto"/>
              <w:ind w:right="0" w:firstLine="480" w:firstLineChars="200"/>
              <w:rPr>
                <w:rFonts w:hint="eastAsia" w:ascii="Times New Roman" w:hAnsi="Times New Roman" w:eastAsia="宋体" w:cs="Times New Roman"/>
                <w:color w:val="auto"/>
                <w:sz w:val="24"/>
                <w:szCs w:val="24"/>
                <w:u w:val="none"/>
                <w:lang w:eastAsia="zh-CN"/>
              </w:rPr>
            </w:pPr>
            <w:r>
              <w:rPr>
                <w:rFonts w:ascii="Times New Roman" w:hAnsi="Times New Roman" w:cs="Times New Roman"/>
                <w:color w:val="auto"/>
                <w:sz w:val="24"/>
                <w:szCs w:val="24"/>
                <w:u w:val="none"/>
                <w:lang w:eastAsia="zh-CN"/>
              </w:rPr>
              <w:t>（</w:t>
            </w:r>
            <w:r>
              <w:rPr>
                <w:rFonts w:ascii="Times New Roman" w:hAnsi="Times New Roman" w:cs="Times New Roman"/>
                <w:color w:val="auto"/>
                <w:sz w:val="24"/>
                <w:szCs w:val="24"/>
                <w:u w:val="none"/>
                <w:lang w:val="en-US" w:eastAsia="zh-CN"/>
              </w:rPr>
              <w:t>1</w:t>
            </w:r>
            <w:r>
              <w:rPr>
                <w:rFonts w:ascii="Times New Roman" w:hAnsi="Times New Roman" w:cs="Times New Roman"/>
                <w:color w:val="auto"/>
                <w:sz w:val="24"/>
                <w:szCs w:val="24"/>
                <w:u w:val="none"/>
                <w:lang w:eastAsia="zh-CN"/>
              </w:rPr>
              <w:t>）</w:t>
            </w:r>
            <w:r>
              <w:rPr>
                <w:rFonts w:ascii="Times New Roman" w:hAnsi="Times New Roman" w:cs="Times New Roman"/>
                <w:color w:val="auto"/>
                <w:sz w:val="24"/>
                <w:szCs w:val="24"/>
                <w:u w:val="none"/>
              </w:rPr>
              <w:t>上料</w:t>
            </w:r>
            <w:r>
              <w:rPr>
                <w:rFonts w:ascii="Times New Roman" w:hAnsi="Times New Roman" w:cs="Times New Roman"/>
                <w:color w:val="auto"/>
                <w:sz w:val="24"/>
                <w:szCs w:val="24"/>
                <w:u w:val="none"/>
                <w:lang w:eastAsia="zh-CN"/>
              </w:rPr>
              <w:t>：</w:t>
            </w:r>
            <w:r>
              <w:rPr>
                <w:rFonts w:hint="eastAsia" w:cs="Times New Roman"/>
                <w:color w:val="auto"/>
                <w:sz w:val="24"/>
                <w:szCs w:val="24"/>
                <w:u w:val="none"/>
                <w:lang w:eastAsia="zh-CN"/>
              </w:rPr>
              <w:t>生物质原料（其尺寸约200mm--20mm），通过自动上料机从气化炉顶部送入炉本体内，自上而下完成预热。</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u w:val="none"/>
                <w:lang w:val="en-US" w:eastAsia="zh-CN"/>
              </w:rPr>
            </w:pPr>
            <w:r>
              <w:rPr>
                <w:rFonts w:ascii="Times New Roman" w:hAnsi="Times New Roman" w:cs="Times New Roman"/>
                <w:color w:val="auto"/>
                <w:sz w:val="24"/>
                <w:szCs w:val="24"/>
                <w:u w:val="none"/>
                <w:lang w:eastAsia="zh-CN"/>
              </w:rPr>
              <w:t>（</w:t>
            </w:r>
            <w:r>
              <w:rPr>
                <w:rFonts w:ascii="Times New Roman" w:hAnsi="Times New Roman" w:cs="Times New Roman"/>
                <w:color w:val="auto"/>
                <w:sz w:val="24"/>
                <w:szCs w:val="24"/>
                <w:u w:val="none"/>
                <w:lang w:val="en-US" w:eastAsia="zh-CN"/>
              </w:rPr>
              <w:t>2</w:t>
            </w:r>
            <w:r>
              <w:rPr>
                <w:rFonts w:ascii="Times New Roman" w:hAnsi="Times New Roman" w:cs="Times New Roman"/>
                <w:color w:val="auto"/>
                <w:sz w:val="24"/>
                <w:szCs w:val="24"/>
                <w:u w:val="none"/>
                <w:lang w:eastAsia="zh-CN"/>
              </w:rPr>
              <w:t>）</w:t>
            </w:r>
            <w:r>
              <w:rPr>
                <w:rFonts w:ascii="Times New Roman" w:hAnsi="Times New Roman" w:cs="Times New Roman"/>
                <w:color w:val="auto"/>
                <w:sz w:val="24"/>
                <w:szCs w:val="24"/>
                <w:u w:val="none"/>
                <w:lang w:val="en-US" w:eastAsia="zh-CN"/>
              </w:rPr>
              <w:t>气化：生物质原料在气化炉本体中高温（800~90℃）裂解、气化，转变为可燃气体，同时生成碳化物（灰渣），</w:t>
            </w:r>
            <w:r>
              <w:rPr>
                <w:rFonts w:hint="eastAsia" w:cs="Times New Roman"/>
                <w:color w:val="auto"/>
                <w:sz w:val="24"/>
                <w:szCs w:val="24"/>
                <w:u w:val="none"/>
                <w:lang w:eastAsia="zh-CN"/>
              </w:rPr>
              <w:t>燃料及灰渣依靠自重下落到旋转炉排和灰盘上继续燃烧释放热能，</w:t>
            </w:r>
            <w:r>
              <w:rPr>
                <w:rFonts w:ascii="Times New Roman" w:hAnsi="Times New Roman" w:cs="Times New Roman"/>
                <w:color w:val="auto"/>
                <w:sz w:val="24"/>
                <w:szCs w:val="24"/>
                <w:u w:val="none"/>
                <w:lang w:val="en-US" w:eastAsia="zh-CN"/>
              </w:rPr>
              <w:t>气化炉气化过程需要使用冷却水降温，冷却水暂存于冷却水箱内，循环使用不外排。</w:t>
            </w:r>
            <w:r>
              <w:rPr>
                <w:rFonts w:hint="eastAsia" w:cs="Times New Roman"/>
                <w:color w:val="auto"/>
                <w:sz w:val="24"/>
                <w:szCs w:val="24"/>
                <w:u w:val="none"/>
                <w:lang w:eastAsia="zh-CN"/>
              </w:rPr>
              <w:t>当灰渣累计到预定高度后通过灰渣溢流口自动排除。</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lang w:val="en-US" w:eastAsia="zh-CN"/>
              </w:rPr>
            </w:pPr>
            <w:r>
              <w:rPr>
                <w:rFonts w:ascii="Times New Roman" w:hAnsi="Times New Roman" w:cs="Times New Roman"/>
                <w:color w:val="auto"/>
                <w:sz w:val="24"/>
                <w:szCs w:val="24"/>
                <w:lang w:val="en-US" w:eastAsia="zh-CN"/>
              </w:rPr>
              <w:t>生物质气化原理：生物质燃料中的碳元素质量分数为</w:t>
            </w:r>
            <w:r>
              <w:rPr>
                <w:rFonts w:hint="eastAsia" w:cs="Times New Roman"/>
                <w:color w:val="auto"/>
                <w:sz w:val="24"/>
                <w:szCs w:val="24"/>
                <w:lang w:val="en-US" w:eastAsia="zh-CN"/>
              </w:rPr>
              <w:t>40%-50%</w:t>
            </w:r>
            <w:r>
              <w:rPr>
                <w:rFonts w:ascii="Times New Roman" w:hAnsi="Times New Roman" w:cs="Times New Roman"/>
                <w:color w:val="auto"/>
                <w:sz w:val="24"/>
                <w:szCs w:val="24"/>
                <w:lang w:val="en-US" w:eastAsia="zh-CN"/>
              </w:rPr>
              <w:t>，同时还含有氢、氧、氮及无机成分如钾、钠、钙、硅等，这些元素在缺氧条件下加热，使之发生复杂的热化学反应热能转化过程，此过程实质是生物质燃料中的碳、氢、氧等元素在反应条件下按照化学键的成键原理，变成一氧化碳、甲烷、氢气等可燃气体。</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lang w:val="en-US" w:eastAsia="zh-CN"/>
              </w:rPr>
            </w:pPr>
            <w:r>
              <w:rPr>
                <w:rFonts w:ascii="Times New Roman" w:hAnsi="Times New Roman" w:cs="Times New Roman"/>
                <w:color w:val="auto"/>
                <w:sz w:val="24"/>
                <w:szCs w:val="24"/>
                <w:lang w:val="en-US" w:eastAsia="zh-CN"/>
              </w:rPr>
              <w:t>空气由气化炉的底部进入，与热灰渣进行换热，进入气化炉底部的氧化区与高温碳料燃烧产热，氧化层在1000℃以上。CO</w:t>
            </w:r>
            <w:r>
              <w:rPr>
                <w:rFonts w:ascii="Times New Roman" w:hAnsi="Times New Roman" w:cs="Times New Roman"/>
                <w:color w:val="auto"/>
                <w:sz w:val="24"/>
                <w:szCs w:val="24"/>
                <w:vertAlign w:val="subscript"/>
                <w:lang w:val="en-US" w:eastAsia="zh-CN"/>
              </w:rPr>
              <w:t>2</w:t>
            </w:r>
            <w:r>
              <w:rPr>
                <w:rFonts w:ascii="Times New Roman" w:hAnsi="Times New Roman" w:cs="Times New Roman"/>
                <w:color w:val="auto"/>
                <w:sz w:val="24"/>
                <w:szCs w:val="24"/>
                <w:lang w:val="en-US" w:eastAsia="zh-CN"/>
              </w:rPr>
              <w:t>、H</w:t>
            </w:r>
            <w:r>
              <w:rPr>
                <w:rFonts w:ascii="Times New Roman" w:hAnsi="Times New Roman" w:cs="Times New Roman"/>
                <w:color w:val="auto"/>
                <w:sz w:val="24"/>
                <w:szCs w:val="24"/>
                <w:vertAlign w:val="subscript"/>
                <w:lang w:val="en-US" w:eastAsia="zh-CN"/>
              </w:rPr>
              <w:t>2</w:t>
            </w:r>
            <w:r>
              <w:rPr>
                <w:rFonts w:ascii="Times New Roman" w:hAnsi="Times New Roman" w:cs="Times New Roman"/>
                <w:color w:val="auto"/>
                <w:sz w:val="24"/>
                <w:szCs w:val="24"/>
                <w:lang w:val="en-US" w:eastAsia="zh-CN"/>
              </w:rPr>
              <w:t>O等升到还原层遇到下行的高温碳发生还原反应形成燃气，温度降低至700-900℃。热解层物料被热气流加热热解，析出挥发分，固体碳下落。热气流到干燥层烘干物料后降温到300℃以下进入锅炉。</w:t>
            </w:r>
          </w:p>
          <w:p>
            <w:pPr>
              <w:pStyle w:val="2"/>
              <w:adjustRightInd w:val="0"/>
              <w:snapToGrid w:val="0"/>
              <w:spacing w:before="0" w:after="0" w:line="360" w:lineRule="auto"/>
              <w:ind w:right="0" w:firstLine="480" w:firstLineChars="200"/>
              <w:rPr>
                <w:rFonts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val="en-US" w:eastAsia="zh-CN"/>
              </w:rPr>
              <w:t>生物质燃料从炉顶进料口进入炉内，随着物料气块位置下降，气化炉内部温度不断上升，物料进行着复杂的热分解，析出不同馏分的挥发份，直到900℃以上基本结束。气化炉的氧化区和还原区为气化反应的主要场所，而热解区和干燥区为燃料的准备场所，气化形成的可燃气从下往上经过气化炉是将热量传递给待气化的生物质，用于生物质的热分解和干燥，同时降低燃气的自身温度副产物焦油在高温时呈气态，与生物质燃气一起进入燃气锅炉，因此项目无焦油产生，亦无挥发性有机物 VOCs 外排。</w:t>
            </w:r>
          </w:p>
          <w:p>
            <w:pPr>
              <w:pStyle w:val="2"/>
              <w:adjustRightInd w:val="0"/>
              <w:snapToGrid w:val="0"/>
              <w:spacing w:before="0" w:after="0" w:line="360" w:lineRule="auto"/>
              <w:ind w:right="0"/>
              <w:rPr>
                <w:rFonts w:ascii="Times New Roman" w:hAnsi="Times New Roman" w:cs="Times New Roman"/>
                <w:color w:val="auto"/>
                <w:sz w:val="24"/>
                <w:szCs w:val="24"/>
              </w:rPr>
            </w:pPr>
            <w:r>
              <w:rPr>
                <w:rFonts w:ascii="Times New Roman" w:hAnsi="Times New Roman" w:cs="Times New Roman"/>
                <w:color w:val="auto"/>
              </w:rPr>
              <w:drawing>
                <wp:inline distT="0" distB="0" distL="114300" distR="114300">
                  <wp:extent cx="5351145" cy="2857500"/>
                  <wp:effectExtent l="0" t="0" r="14" b="44"/>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3"/>
                          <a:stretch>
                            <a:fillRect/>
                          </a:stretch>
                        </pic:blipFill>
                        <pic:spPr>
                          <a:xfrm>
                            <a:off x="0" y="0"/>
                            <a:ext cx="5351145" cy="2857500"/>
                          </a:xfrm>
                          <a:prstGeom prst="rect">
                            <a:avLst/>
                          </a:prstGeom>
                          <a:noFill/>
                          <a:ln w="9525" cap="flat" cmpd="sng">
                            <a:noFill/>
                            <a:prstDash val="solid"/>
                            <a:round/>
                          </a:ln>
                        </pic:spPr>
                      </pic:pic>
                    </a:graphicData>
                  </a:graphic>
                </wp:inline>
              </w:drawing>
            </w:r>
          </w:p>
          <w:p>
            <w:pPr>
              <w:pStyle w:val="2"/>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图2-</w:t>
            </w:r>
            <w:r>
              <w:rPr>
                <w:rFonts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w:t>
            </w:r>
            <w:r>
              <w:rPr>
                <w:rFonts w:ascii="Times New Roman" w:hAnsi="Times New Roman" w:cs="Times New Roman"/>
                <w:b/>
                <w:bCs/>
                <w:color w:val="auto"/>
                <w:sz w:val="21"/>
                <w:szCs w:val="21"/>
                <w:lang w:val="en-US" w:eastAsia="zh-CN"/>
              </w:rPr>
              <w:t>生物质气化过程示意</w:t>
            </w:r>
            <w:r>
              <w:rPr>
                <w:rFonts w:ascii="Times New Roman" w:hAnsi="Times New Roman" w:cs="Times New Roman"/>
                <w:b/>
                <w:bCs/>
                <w:color w:val="auto"/>
                <w:sz w:val="21"/>
                <w:szCs w:val="21"/>
              </w:rPr>
              <w:t>图</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lang w:val="en-US" w:eastAsia="zh-CN"/>
              </w:rPr>
            </w:pPr>
            <w:r>
              <w:rPr>
                <w:rFonts w:ascii="Times New Roman" w:hAnsi="Times New Roman" w:cs="Times New Roman"/>
                <w:color w:val="auto"/>
                <w:sz w:val="24"/>
                <w:szCs w:val="24"/>
                <w:lang w:val="en-US" w:eastAsia="zh-CN"/>
              </w:rPr>
              <w:t>（3）燃烧：燃烧机将生物质气与锅炉空气预热器引来的热风充分混合后送入锅炉底部燃烧室。用高能电子点火器引燃生物质气燃烧释放出大量热能而被布置在燃烧室内壁的模式鳍片水冷壁内流动的炉水吸收，炉水经吸热而升温升压就生产为压力2.45MPa温度220℃的饱和蒸汽，通过分气缸供企业使用。此过程为自动燃烧，作业人员于控制室内控制参数，对设备仅进行巡视管理作业。</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right="0" w:firstLine="480" w:firstLineChars="200"/>
              <w:textAlignment w:val="auto"/>
              <w:rPr>
                <w:b w:val="0"/>
                <w:bCs w:val="0"/>
                <w:color w:val="auto"/>
                <w:sz w:val="24"/>
              </w:rPr>
            </w:pPr>
            <w:r>
              <w:rPr>
                <w:rFonts w:hint="eastAsia"/>
                <w:b w:val="0"/>
                <w:bCs w:val="0"/>
                <w:color w:val="auto"/>
                <w:sz w:val="24"/>
              </w:rPr>
              <w:t>低氮燃烧器</w:t>
            </w:r>
            <w:r>
              <w:rPr>
                <w:rFonts w:hint="eastAsia"/>
                <w:b w:val="0"/>
                <w:bCs w:val="0"/>
                <w:color w:val="auto"/>
                <w:sz w:val="24"/>
                <w:lang w:val="en-US" w:eastAsia="zh-CN"/>
              </w:rPr>
              <w:t>工艺简介</w:t>
            </w:r>
            <w:r>
              <w:rPr>
                <w:rFonts w:hint="eastAsia"/>
                <w:b w:val="0"/>
                <w:bCs w:val="0"/>
                <w:color w:val="auto"/>
                <w:sz w:val="24"/>
              </w:rPr>
              <w:t>：</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lang w:val="en-US" w:eastAsia="zh-CN"/>
              </w:rPr>
            </w:pPr>
            <w:r>
              <w:rPr>
                <w:rFonts w:hint="eastAsia"/>
                <w:color w:val="auto"/>
                <w:sz w:val="24"/>
                <w:szCs w:val="24"/>
              </w:rPr>
              <w:t>低氮燃烧器是锅炉燃烧系统中的关键设备，低氮燃烧技术是改进燃烧设备或控制燃烧条件，以降低燃烧尾气中NOx浓度的各项技术。影响燃烧过程中NOx生成的主要因素是燃烧温度、烟气在高温区的停留时间、烟气中各种组分的浓度以及混合程度。因此，改变空气-燃料比、燃烧空气的温度、燃烧区冷却的程度和燃烧器的形状设计都可以减少燃烧过程中氮氧化物的生成。本项目采用烟气循环的方式实现低氮燃烧。其原理为：将烟气的燃烧产物加入到燃烧区域内，降低燃烧温度，减少NOx生成；同时加入的烟气降低了氧气的分压，这将减弱氧气与氮气生成热力型NOx的过程，从而减少NOx的生成。根据应用原理的不同，烟气再循环有两种应用方式，分别为外部烟气再循环与内部烟气再循环该燃烧器。本项目采用“</w:t>
            </w:r>
            <w:r>
              <w:rPr>
                <w:rFonts w:hint="eastAsia"/>
                <w:color w:val="auto"/>
                <w:sz w:val="24"/>
                <w:szCs w:val="24"/>
                <w:lang w:val="en-US" w:eastAsia="zh-CN"/>
              </w:rPr>
              <w:t>分层燃烧</w:t>
            </w:r>
            <w:r>
              <w:rPr>
                <w:rFonts w:hint="eastAsia"/>
                <w:color w:val="auto"/>
                <w:sz w:val="24"/>
                <w:szCs w:val="24"/>
              </w:rPr>
              <w:t>+双级烟气循环”来控制NOx生成</w:t>
            </w:r>
            <w:r>
              <w:rPr>
                <w:rFonts w:hint="eastAsia" w:cs="Times New Roman"/>
                <w:color w:val="auto"/>
                <w:sz w:val="24"/>
                <w:szCs w:val="24"/>
                <w:lang w:val="en-US" w:eastAsia="zh-CN"/>
              </w:rPr>
              <w:t>。</w:t>
            </w:r>
          </w:p>
          <w:p>
            <w:pPr>
              <w:pStyle w:val="2"/>
              <w:adjustRightInd w:val="0"/>
              <w:snapToGrid w:val="0"/>
              <w:spacing w:before="0" w:after="0" w:line="360" w:lineRule="auto"/>
              <w:ind w:firstLine="482" w:firstLineChars="200"/>
              <w:rPr>
                <w:rFonts w:ascii="Times New Roman" w:hAnsi="Times New Roman" w:cs="Times New Roman"/>
                <w:b/>
                <w:bCs/>
                <w:color w:val="auto"/>
                <w:kern w:val="2"/>
                <w:sz w:val="24"/>
                <w:szCs w:val="24"/>
              </w:rPr>
            </w:pPr>
            <w:r>
              <w:rPr>
                <w:rFonts w:hint="eastAsia" w:cs="Times New Roman"/>
                <w:b/>
                <w:bCs/>
                <w:color w:val="auto"/>
                <w:kern w:val="2"/>
                <w:sz w:val="24"/>
                <w:szCs w:val="24"/>
                <w:lang w:val="en-US" w:eastAsia="zh-CN"/>
              </w:rPr>
              <w:t>5</w:t>
            </w:r>
            <w:r>
              <w:rPr>
                <w:rFonts w:ascii="Times New Roman" w:hAnsi="Times New Roman" w:cs="Times New Roman"/>
                <w:b/>
                <w:bCs/>
                <w:color w:val="auto"/>
                <w:kern w:val="2"/>
                <w:sz w:val="24"/>
                <w:szCs w:val="24"/>
              </w:rPr>
              <w:t>、产污分析</w:t>
            </w:r>
          </w:p>
          <w:p>
            <w:pPr>
              <w:spacing w:line="360" w:lineRule="auto"/>
              <w:ind w:firstLine="480" w:firstLineChars="200"/>
              <w:rPr>
                <w:rFonts w:ascii="Times New Roman" w:hAnsi="Times New Roman" w:cs="Times New Roman"/>
                <w:color w:val="auto"/>
              </w:rPr>
            </w:pPr>
            <w:r>
              <w:rPr>
                <w:rFonts w:ascii="Times New Roman" w:hAnsi="Times New Roman" w:cs="Times New Roman"/>
                <w:color w:val="auto"/>
                <w:sz w:val="24"/>
              </w:rPr>
              <w:t>根据以上分析，本项目产生的污染物如下：</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废水：锅炉废水、办公生活污水、</w:t>
            </w:r>
            <w:r>
              <w:rPr>
                <w:rFonts w:ascii="Times New Roman" w:hAnsi="Times New Roman" w:cs="Times New Roman"/>
                <w:color w:val="auto"/>
                <w:sz w:val="24"/>
                <w:lang w:val="en-US" w:eastAsia="zh-CN"/>
              </w:rPr>
              <w:t>软水制备废</w:t>
            </w:r>
            <w:r>
              <w:rPr>
                <w:rFonts w:ascii="Times New Roman" w:hAnsi="Times New Roman" w:cs="Times New Roman"/>
                <w:color w:val="auto"/>
                <w:sz w:val="24"/>
              </w:rPr>
              <w:t>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废气：</w:t>
            </w:r>
            <w:r>
              <w:rPr>
                <w:rFonts w:ascii="Times New Roman" w:hAnsi="Times New Roman" w:cs="Times New Roman"/>
                <w:color w:val="auto"/>
                <w:sz w:val="24"/>
                <w:lang w:val="en-US" w:eastAsia="zh-CN"/>
              </w:rPr>
              <w:t>投料粉尘、锅炉</w:t>
            </w:r>
            <w:r>
              <w:rPr>
                <w:rFonts w:ascii="Times New Roman" w:hAnsi="Times New Roman" w:cs="Times New Roman"/>
                <w:color w:val="auto"/>
                <w:sz w:val="24"/>
              </w:rPr>
              <w:t>燃烧废气。</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噪声：锅炉、水泵、风机等设备运行噪声。</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固废：分为一般固废和危险废物。一般固废包括：生活垃圾</w:t>
            </w:r>
            <w:r>
              <w:rPr>
                <w:rFonts w:hint="eastAsia" w:cs="Times New Roman"/>
                <w:color w:val="auto"/>
                <w:sz w:val="24"/>
                <w:lang w:eastAsia="zh-CN"/>
              </w:rPr>
              <w:t>、</w:t>
            </w:r>
            <w:r>
              <w:rPr>
                <w:rFonts w:hint="eastAsia" w:cs="Times New Roman"/>
                <w:color w:val="auto"/>
                <w:sz w:val="24"/>
                <w:lang w:val="en-US" w:eastAsia="zh-CN"/>
              </w:rPr>
              <w:t>除尘器收尘、灰渣</w:t>
            </w:r>
            <w:r>
              <w:rPr>
                <w:rFonts w:ascii="Times New Roman" w:hAnsi="Times New Roman" w:cs="Times New Roman"/>
                <w:color w:val="auto"/>
                <w:sz w:val="24"/>
              </w:rPr>
              <w:t>；危险废物包括：废机油及桶、废含油手套抹布、</w:t>
            </w:r>
            <w:r>
              <w:rPr>
                <w:rFonts w:hint="eastAsia" w:cs="Times New Roman"/>
                <w:color w:val="auto"/>
                <w:sz w:val="24"/>
                <w:lang w:val="en-US" w:eastAsia="zh-CN"/>
              </w:rPr>
              <w:t>废离子交换树脂、废催化剂</w:t>
            </w:r>
            <w:r>
              <w:rPr>
                <w:rFonts w:ascii="Times New Roman" w:hAnsi="Times New Roman" w:cs="Times New Roman"/>
                <w:color w:val="auto"/>
                <w:sz w:val="24"/>
              </w:rPr>
              <w:t>。</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textAlignment w:val="auto"/>
              <w:rPr>
                <w:rFonts w:ascii="Times New Roman" w:hAnsi="Times New Roman" w:cs="Times New Roman"/>
                <w:color w:val="auto"/>
                <w:sz w:val="21"/>
                <w:szCs w:val="21"/>
              </w:rPr>
            </w:pPr>
            <w:r>
              <w:rPr>
                <w:rFonts w:ascii="Times New Roman" w:hAnsi="Times New Roman" w:cs="Times New Roman"/>
                <w:b/>
                <w:bCs/>
                <w:color w:val="auto"/>
                <w:sz w:val="21"/>
                <w:szCs w:val="21"/>
              </w:rPr>
              <w:t>表2-</w:t>
            </w:r>
            <w:r>
              <w:rPr>
                <w:rFonts w:hint="eastAsia" w:ascii="Times New Roman" w:hAnsi="Times New Roman" w:cs="Times New Roman"/>
                <w:b/>
                <w:bCs/>
                <w:color w:val="auto"/>
                <w:sz w:val="21"/>
                <w:szCs w:val="21"/>
                <w:lang w:val="en-US" w:eastAsia="zh-CN"/>
              </w:rPr>
              <w:t>9</w:t>
            </w:r>
            <w:r>
              <w:rPr>
                <w:rFonts w:ascii="Times New Roman" w:hAnsi="Times New Roman" w:cs="Times New Roman"/>
                <w:b/>
                <w:bCs/>
                <w:color w:val="auto"/>
                <w:sz w:val="21"/>
                <w:szCs w:val="21"/>
              </w:rPr>
              <w:t xml:space="preserve"> 产污环节一览表</w:t>
            </w:r>
          </w:p>
          <w:tbl>
            <w:tblPr>
              <w:tblStyle w:val="2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066"/>
              <w:gridCol w:w="3297"/>
              <w:gridCol w:w="29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污染类型</w:t>
                  </w:r>
                </w:p>
              </w:tc>
              <w:tc>
                <w:tcPr>
                  <w:tcW w:w="632" w:type="pct"/>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1954" w:type="pct"/>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污染工序</w:t>
                  </w:r>
                </w:p>
              </w:tc>
              <w:tc>
                <w:tcPr>
                  <w:tcW w:w="1733" w:type="pct"/>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污染物类型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0" w:type="pct"/>
                  <w:vMerge w:val="restart"/>
                  <w:tcBorders>
                    <w:top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632"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生产区</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锅炉废气</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生物质燃烧废气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0" w:type="pct"/>
                  <w:vMerge w:val="continue"/>
                  <w:tcBorders>
                    <w:top w:val="single" w:color="auto" w:sz="4" w:space="0"/>
                    <w:right w:val="single" w:color="auto" w:sz="4" w:space="0"/>
                  </w:tcBorders>
                  <w:vAlign w:val="center"/>
                </w:tcPr>
                <w:p/>
              </w:tc>
              <w:tc>
                <w:tcPr>
                  <w:tcW w:w="632"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sz w:val="21"/>
                      <w:szCs w:val="21"/>
                    </w:rPr>
                    <w:t>生产区</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lang w:val="en-US" w:eastAsia="zh-CN" w:bidi="ar-SA"/>
                    </w:rPr>
                    <w:t>投料</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sz w:val="21"/>
                      <w:szCs w:val="21"/>
                      <w:lang w:eastAsia="zh-CN"/>
                    </w:rPr>
                    <w:t>投料粉尘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Merge w:val="restart"/>
                  <w:tcBorders>
                    <w:top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632"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生产区</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员工洗手、锅炉排水</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COD、BOD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、SS、石油类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Merge w:val="continue"/>
                  <w:tcBorders>
                    <w:top w:val="single" w:color="auto" w:sz="4" w:space="0"/>
                    <w:right w:val="single" w:color="auto" w:sz="4" w:space="0"/>
                  </w:tcBorders>
                  <w:vAlign w:val="center"/>
                </w:tcPr>
                <w:p/>
              </w:tc>
              <w:tc>
                <w:tcPr>
                  <w:tcW w:w="632"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办公区</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办公室生活污水</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COD、BOD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、SS、氨氮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tcBorders>
                    <w:top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632"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设备</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锅炉、水泵、风机等</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right="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设备运行噪声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80" w:type="pct"/>
                  <w:vMerge w:val="restart"/>
                  <w:tcBorders>
                    <w:top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固体废物</w:t>
                  </w:r>
                </w:p>
              </w:tc>
              <w:tc>
                <w:tcPr>
                  <w:tcW w:w="632" w:type="pct"/>
                  <w:vMerge w:val="restar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生产区</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设备检修、生产</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废机油及桶、废含油手套抹布、废离子交换树脂、废催化剂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80" w:type="pct"/>
                  <w:vMerge w:val="continue"/>
                  <w:tcBorders>
                    <w:top w:val="single" w:color="auto" w:sz="4" w:space="0"/>
                    <w:right w:val="single" w:color="auto" w:sz="4" w:space="0"/>
                  </w:tcBorders>
                  <w:vAlign w:val="center"/>
                </w:tcPr>
                <w:p/>
              </w:tc>
              <w:tc>
                <w:tcPr>
                  <w:tcW w:w="632" w:type="pct"/>
                  <w:vMerge w:val="continue"/>
                  <w:tcBorders>
                    <w:top w:val="single" w:color="auto" w:sz="4" w:space="0"/>
                    <w:left w:val="single" w:color="auto" w:sz="4" w:space="0"/>
                    <w:right w:val="single" w:color="auto" w:sz="4" w:space="0"/>
                  </w:tcBorders>
                  <w:vAlign w:val="center"/>
                </w:tcP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气化</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除尘器收尘、灰渣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pct"/>
                  <w:vMerge w:val="continue"/>
                  <w:tcBorders>
                    <w:top w:val="single" w:color="auto" w:sz="4" w:space="0"/>
                    <w:right w:val="single" w:color="auto" w:sz="4" w:space="0"/>
                  </w:tcBorders>
                  <w:vAlign w:val="center"/>
                </w:tcPr>
                <w:p/>
              </w:tc>
              <w:tc>
                <w:tcPr>
                  <w:tcW w:w="632"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办公区</w:t>
                  </w:r>
                </w:p>
              </w:tc>
              <w:tc>
                <w:tcPr>
                  <w:tcW w:w="1954" w:type="pct"/>
                  <w:tcBorders>
                    <w:top w:val="single" w:color="auto" w:sz="4" w:space="0"/>
                    <w:left w:val="single" w:color="auto" w:sz="4" w:space="0"/>
                    <w:righ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办公生活</w:t>
                  </w:r>
                </w:p>
              </w:tc>
              <w:tc>
                <w:tcPr>
                  <w:tcW w:w="1733" w:type="pct"/>
                  <w:tcBorders>
                    <w:top w:val="single" w:color="auto" w:sz="4"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pacing w:after="0" w:line="240" w:lineRule="auto"/>
                    <w:ind w:left="0" w:leftChars="0" w:firstLine="0" w:firstLineChars="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办公生活垃圾</w:t>
                  </w:r>
                </w:p>
              </w:tc>
            </w:tr>
          </w:tbl>
          <w:p>
            <w:pPr>
              <w:tabs>
                <w:tab w:val="left" w:pos="1500"/>
              </w:tabs>
              <w:spacing w:line="360" w:lineRule="auto"/>
              <w:rPr>
                <w:rFonts w:ascii="Times New Roman" w:hAnsi="Times New Roman" w:cs="Times New Roman"/>
                <w:b/>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455" w:type="dxa"/>
            <w:tcBorders>
              <w:top w:val="single" w:color="auto" w:sz="4" w:space="0"/>
              <w:left w:val="single" w:color="auto" w:sz="8" w:space="0"/>
              <w:right w:val="single" w:color="auto" w:sz="4" w:space="0"/>
            </w:tcBorders>
            <w:vAlign w:val="center"/>
          </w:tcPr>
          <w:p>
            <w:pPr>
              <w:pStyle w:val="21"/>
              <w:adjustRightInd w:val="0"/>
              <w:snapToGrid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bCs/>
                <w:color w:val="auto"/>
                <w:kern w:val="2"/>
                <w:sz w:val="21"/>
                <w:szCs w:val="21"/>
              </w:rPr>
              <w:t>与项目有关的原有环境污染问题</w:t>
            </w:r>
          </w:p>
        </w:tc>
        <w:tc>
          <w:tcPr>
            <w:tcW w:w="8605" w:type="dxa"/>
            <w:tcBorders>
              <w:top w:val="single" w:color="auto" w:sz="4" w:space="0"/>
              <w:left w:val="single" w:color="auto" w:sz="4" w:space="0"/>
              <w:right w:val="single" w:color="auto" w:sz="8" w:space="0"/>
            </w:tcBorders>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auto"/>
                <w:sz w:val="24"/>
                <w:szCs w:val="32"/>
                <w:lang w:val="en-US" w:eastAsia="zh-CN"/>
              </w:rPr>
            </w:pPr>
            <w:r>
              <w:rPr>
                <w:rFonts w:hint="eastAsia"/>
                <w:b/>
                <w:bCs/>
                <w:color w:val="auto"/>
                <w:sz w:val="24"/>
                <w:szCs w:val="32"/>
              </w:rPr>
              <w:t>公司简介及现有项目</w:t>
            </w:r>
            <w:r>
              <w:rPr>
                <w:rFonts w:hint="eastAsia"/>
                <w:b/>
                <w:bCs/>
                <w:color w:val="auto"/>
                <w:sz w:val="24"/>
                <w:szCs w:val="32"/>
                <w:lang w:val="en-US" w:eastAsia="zh-CN"/>
              </w:rPr>
              <w:t>简介：</w:t>
            </w:r>
          </w:p>
          <w:p>
            <w:pPr>
              <w:adjustRightInd w:val="0"/>
              <w:snapToGrid w:val="0"/>
              <w:spacing w:line="360" w:lineRule="auto"/>
              <w:ind w:firstLine="480" w:firstLineChars="200"/>
              <w:rPr>
                <w:color w:val="auto"/>
                <w:sz w:val="24"/>
                <w:szCs w:val="24"/>
              </w:rPr>
            </w:pPr>
            <w:r>
              <w:rPr>
                <w:color w:val="auto"/>
                <w:sz w:val="24"/>
                <w:szCs w:val="24"/>
              </w:rPr>
              <w:t>四川鸿鹏新材料有限公司（原名“四川鸿鹏化工有限公司”，以下简称“鸿鹏公司”）成立于2015年11月，注册资本金</w:t>
            </w:r>
            <w:r>
              <w:rPr>
                <w:rFonts w:hint="eastAsia"/>
                <w:color w:val="auto"/>
                <w:sz w:val="24"/>
                <w:szCs w:val="24"/>
              </w:rPr>
              <w:t>叁仟陆佰</w:t>
            </w:r>
            <w:r>
              <w:rPr>
                <w:color w:val="auto"/>
                <w:sz w:val="24"/>
                <w:szCs w:val="24"/>
              </w:rPr>
              <w:t>万元，</w:t>
            </w:r>
            <w:r>
              <w:rPr>
                <w:rFonts w:hint="eastAsia"/>
                <w:color w:val="auto"/>
                <w:sz w:val="24"/>
                <w:szCs w:val="24"/>
              </w:rPr>
              <w:t>以中石油四川石化生产的环氧乙烷为原料进行深加工的综合性化工企业，主要从事高分子材料的生产、销售，批发，仓储环氧乙烷，建材及化工用品销售。</w:t>
            </w:r>
            <w:r>
              <w:rPr>
                <w:color w:val="auto"/>
                <w:sz w:val="24"/>
                <w:szCs w:val="24"/>
              </w:rPr>
              <w:t>环氧乙烷主要用于制造乙二醇（制涤纶纤维原料）、合成洗涤剂、非离子表面活性剂、抗冻剂、乳化剂以及缩乙二醇类产品，也常用于灭菌剂，可在常温下杀灭各种微生物，包括芽孢、结核杆菌、细菌、病毒、真菌等。四川省内有众多制药、纺织行业，对环氧乙烷的需求量较大。然而环氧乙烷易燃易爆，因而不易长途运输，产品必须及时销售，可调配的市场存量很小。因此环氧乙烷进出口量很少，基本上都是就近生产，就近销售。由于国内经济高速发展，对环氧乙烷需求连年上升，而市场的缺口又不能依靠进口解决，我国市场环氧乙烷常常处于供不应求的状况，价格也是不断走高。</w:t>
            </w:r>
          </w:p>
          <w:p>
            <w:pPr>
              <w:adjustRightInd w:val="0"/>
              <w:snapToGrid w:val="0"/>
              <w:spacing w:line="360" w:lineRule="auto"/>
              <w:ind w:firstLine="480" w:firstLineChars="200"/>
              <w:rPr>
                <w:color w:val="auto"/>
                <w:sz w:val="24"/>
                <w:szCs w:val="24"/>
              </w:rPr>
            </w:pPr>
            <w:r>
              <w:rPr>
                <w:color w:val="auto"/>
                <w:sz w:val="24"/>
                <w:szCs w:val="24"/>
              </w:rPr>
              <w:t>中国石油四川石化有限责任公司具有环氧乙烷330kt/a的生产能力，但在四川省内暂无环氧乙烷二级充装分销企业，无法有效满足下游企业的购买需要。为满足四川省内市场的需求，鸿鹏公司</w:t>
            </w:r>
            <w:r>
              <w:rPr>
                <w:rFonts w:hint="eastAsia"/>
                <w:color w:val="auto"/>
                <w:sz w:val="24"/>
                <w:szCs w:val="24"/>
              </w:rPr>
              <w:t>于2016年3月</w:t>
            </w:r>
            <w:r>
              <w:rPr>
                <w:color w:val="auto"/>
                <w:sz w:val="24"/>
                <w:szCs w:val="24"/>
              </w:rPr>
              <w:t>在四川省大英县</w:t>
            </w:r>
            <w:r>
              <w:rPr>
                <w:rFonts w:hint="eastAsia"/>
                <w:color w:val="auto"/>
                <w:sz w:val="24"/>
                <w:szCs w:val="24"/>
              </w:rPr>
              <w:t>工业集中发展区梁家下坝建设</w:t>
            </w:r>
            <w:r>
              <w:rPr>
                <w:color w:val="auto"/>
                <w:sz w:val="24"/>
                <w:szCs w:val="24"/>
              </w:rPr>
              <w:t>环氧乙烷充装项目，</w:t>
            </w:r>
            <w:r>
              <w:rPr>
                <w:rFonts w:hint="eastAsia"/>
                <w:color w:val="auto"/>
                <w:sz w:val="24"/>
                <w:szCs w:val="24"/>
              </w:rPr>
              <w:t>充装产能4000吨/年环氧乙烷，</w:t>
            </w:r>
            <w:r>
              <w:rPr>
                <w:color w:val="auto"/>
                <w:sz w:val="24"/>
                <w:szCs w:val="24"/>
              </w:rPr>
              <w:t>环氧乙烷充装项目</w:t>
            </w:r>
            <w:r>
              <w:rPr>
                <w:rFonts w:hint="eastAsia"/>
                <w:color w:val="auto"/>
                <w:sz w:val="24"/>
                <w:szCs w:val="24"/>
              </w:rPr>
              <w:t>分两期建设，每期实现充装产能2000吨/年环氧乙烷</w:t>
            </w:r>
            <w:r>
              <w:rPr>
                <w:color w:val="auto"/>
                <w:sz w:val="24"/>
                <w:szCs w:val="24"/>
              </w:rPr>
              <w:t>。</w:t>
            </w:r>
            <w:r>
              <w:rPr>
                <w:rFonts w:hint="eastAsia"/>
                <w:color w:val="auto"/>
                <w:sz w:val="24"/>
                <w:szCs w:val="24"/>
              </w:rPr>
              <w:t>环氧乙烷充装项目于2016年3月4日取得《大英县环境保护局关于环氧乙烷充装项目环境影响报告表的批复》（大环函[2016]23号），同月开始一期工程建设。</w:t>
            </w:r>
            <w:r>
              <w:rPr>
                <w:color w:val="auto"/>
                <w:sz w:val="24"/>
                <w:szCs w:val="24"/>
              </w:rPr>
              <w:t>环氧乙烷充装项目</w:t>
            </w:r>
            <w:r>
              <w:rPr>
                <w:rFonts w:hint="eastAsia"/>
                <w:color w:val="auto"/>
                <w:sz w:val="24"/>
                <w:szCs w:val="24"/>
              </w:rPr>
              <w:t>一期建设于2017年4月建成并开始生产调试，于2017年8月11日通过大英县环保局的现场核查和环保验收（大环验[2017]19号）。目前，</w:t>
            </w:r>
            <w:r>
              <w:rPr>
                <w:color w:val="auto"/>
                <w:sz w:val="24"/>
                <w:szCs w:val="24"/>
              </w:rPr>
              <w:t>环氧乙烷充装项目</w:t>
            </w:r>
            <w:r>
              <w:rPr>
                <w:rFonts w:hint="eastAsia"/>
                <w:color w:val="auto"/>
                <w:sz w:val="24"/>
                <w:szCs w:val="24"/>
              </w:rPr>
              <w:t>二期建设已完成，但未投入运行。</w:t>
            </w:r>
          </w:p>
          <w:p>
            <w:pPr>
              <w:spacing w:line="360" w:lineRule="auto"/>
              <w:ind w:firstLine="480" w:firstLineChars="200"/>
              <w:rPr>
                <w:rFonts w:hint="eastAsia"/>
                <w:color w:val="auto"/>
                <w:sz w:val="24"/>
                <w:szCs w:val="24"/>
              </w:rPr>
            </w:pPr>
            <w:r>
              <w:rPr>
                <w:rFonts w:hint="eastAsia"/>
                <w:color w:val="auto"/>
                <w:sz w:val="24"/>
                <w:szCs w:val="24"/>
              </w:rPr>
              <w:t>2018年，</w:t>
            </w:r>
            <w:r>
              <w:rPr>
                <w:color w:val="auto"/>
                <w:sz w:val="24"/>
                <w:szCs w:val="24"/>
              </w:rPr>
              <w:t>为适应日益增长的</w:t>
            </w:r>
            <w:r>
              <w:rPr>
                <w:rFonts w:hint="eastAsia"/>
                <w:color w:val="auto"/>
                <w:sz w:val="24"/>
                <w:szCs w:val="24"/>
              </w:rPr>
              <w:t>聚醚类表面活性剂</w:t>
            </w:r>
            <w:r>
              <w:rPr>
                <w:color w:val="auto"/>
                <w:sz w:val="24"/>
                <w:szCs w:val="24"/>
              </w:rPr>
              <w:t>的需要，</w:t>
            </w:r>
            <w:r>
              <w:rPr>
                <w:rFonts w:hint="eastAsia"/>
                <w:color w:val="auto"/>
                <w:sz w:val="24"/>
                <w:szCs w:val="24"/>
              </w:rPr>
              <w:t>满足市场需求，鸿鹏公司通过缜密的市场调研，结合自身环氧乙烷原料供应优势，拟投资5000万人民币，以现有厂区为基础，新增工业用地186亩，建设年产6万吨表面活性剂项目，项目建设表面活性剂生产装置及配套公用工程、辅助生产设施，实现年产6万吨表面活性剂的生产能力，其中减水剂产品3万吨、脂肪醇聚醚产品2.5万吨、聚乙二醇系列产品0.5万吨</w:t>
            </w:r>
            <w:r>
              <w:rPr>
                <w:color w:val="auto"/>
                <w:sz w:val="24"/>
                <w:szCs w:val="24"/>
              </w:rPr>
              <w:t>。</w:t>
            </w:r>
            <w:r>
              <w:rPr>
                <w:rFonts w:hint="eastAsia"/>
                <w:color w:val="auto"/>
                <w:sz w:val="24"/>
                <w:szCs w:val="24"/>
              </w:rPr>
              <w:t>年产6万吨表面活性剂项目于2018年11月27日取得《遂宁市环境保护局关于6万吨/年表面活性剂生产项目环境影响报告书的批复》（遂环评函</w:t>
            </w:r>
            <w:r>
              <w:rPr>
                <w:rFonts w:hint="eastAsia"/>
                <w:color w:val="auto"/>
                <w:sz w:val="24"/>
                <w:szCs w:val="24"/>
                <w:lang w:eastAsia="zh-CN"/>
              </w:rPr>
              <w:t>〔</w:t>
            </w:r>
            <w:r>
              <w:rPr>
                <w:rFonts w:hint="eastAsia"/>
                <w:color w:val="auto"/>
                <w:sz w:val="24"/>
                <w:szCs w:val="24"/>
              </w:rPr>
              <w:t>2018</w:t>
            </w:r>
            <w:r>
              <w:rPr>
                <w:rFonts w:hint="eastAsia"/>
                <w:color w:val="auto"/>
                <w:sz w:val="24"/>
                <w:szCs w:val="24"/>
                <w:lang w:eastAsia="zh-CN"/>
              </w:rPr>
              <w:t>〕</w:t>
            </w:r>
            <w:r>
              <w:rPr>
                <w:rFonts w:hint="eastAsia"/>
                <w:color w:val="auto"/>
                <w:sz w:val="24"/>
                <w:szCs w:val="24"/>
              </w:rPr>
              <w:t>156号）。</w:t>
            </w:r>
          </w:p>
          <w:p>
            <w:pPr>
              <w:spacing w:line="360" w:lineRule="auto"/>
              <w:ind w:firstLine="480" w:firstLineChars="200"/>
              <w:rPr>
                <w:rFonts w:hint="eastAsia" w:eastAsia="宋体"/>
                <w:color w:val="auto"/>
                <w:sz w:val="24"/>
                <w:szCs w:val="24"/>
                <w:lang w:eastAsia="zh-CN"/>
              </w:rPr>
            </w:pPr>
            <w:r>
              <w:rPr>
                <w:rFonts w:hint="eastAsia"/>
                <w:color w:val="auto"/>
                <w:sz w:val="24"/>
                <w:szCs w:val="24"/>
                <w:lang w:val="en-US" w:eastAsia="zh-CN"/>
              </w:rPr>
              <w:t>2019年，</w:t>
            </w:r>
            <w:r>
              <w:rPr>
                <w:rFonts w:hint="eastAsia"/>
                <w:color w:val="auto"/>
                <w:sz w:val="24"/>
                <w:szCs w:val="24"/>
              </w:rPr>
              <w:t>随着我国精细化工工业的不断发展，国内对精细化学品吗啉的</w:t>
            </w:r>
            <w:r>
              <w:rPr>
                <w:color w:val="auto"/>
                <w:sz w:val="24"/>
                <w:szCs w:val="24"/>
              </w:rPr>
              <w:t>需求大幅增长。</w:t>
            </w:r>
            <w:r>
              <w:rPr>
                <w:rFonts w:hint="eastAsia"/>
                <w:color w:val="auto"/>
                <w:sz w:val="24"/>
                <w:szCs w:val="24"/>
              </w:rPr>
              <w:t>精细化工是化学工业的重要组成部分，其产品是指那些加工深度高、质量要求高、产品又较少的化工产品</w:t>
            </w:r>
            <w:r>
              <w:rPr>
                <w:rFonts w:hint="eastAsia"/>
                <w:color w:val="auto"/>
                <w:sz w:val="24"/>
                <w:szCs w:val="24"/>
                <w:lang w:eastAsia="zh-CN"/>
              </w:rPr>
              <w:t>。</w:t>
            </w:r>
            <w:r>
              <w:rPr>
                <w:rFonts w:hint="eastAsia"/>
                <w:color w:val="auto"/>
                <w:sz w:val="24"/>
                <w:szCs w:val="24"/>
              </w:rPr>
              <w:t>满足市场需求，鸿鹏公司通过缜密的市场调研，结合自身优势</w:t>
            </w:r>
            <w:r>
              <w:rPr>
                <w:rFonts w:hint="eastAsia"/>
                <w:color w:val="auto"/>
                <w:sz w:val="24"/>
                <w:szCs w:val="24"/>
                <w:lang w:eastAsia="zh-CN"/>
              </w:rPr>
              <w:t>，</w:t>
            </w:r>
            <w:r>
              <w:rPr>
                <w:color w:val="auto"/>
                <w:sz w:val="24"/>
                <w:szCs w:val="24"/>
              </w:rPr>
              <w:t>拟投资4000万人民币，以现有厂区和拟建表面活性剂生产装置及配套公用工程、辅助生产设施为基础，引进</w:t>
            </w:r>
            <w:r>
              <w:rPr>
                <w:color w:val="auto"/>
                <w:kern w:val="0"/>
                <w:sz w:val="24"/>
                <w:szCs w:val="24"/>
              </w:rPr>
              <w:t>二甘醇催化氨解环化法吗啉生产装置，建设3000</w:t>
            </w:r>
            <w:r>
              <w:rPr>
                <w:rFonts w:hint="eastAsia"/>
                <w:color w:val="auto"/>
                <w:kern w:val="0"/>
                <w:sz w:val="24"/>
                <w:szCs w:val="24"/>
              </w:rPr>
              <w:t>/t吗啉生产项目，</w:t>
            </w:r>
            <w:r>
              <w:rPr>
                <w:color w:val="auto"/>
                <w:sz w:val="24"/>
                <w:szCs w:val="24"/>
              </w:rPr>
              <w:t>实现年产</w:t>
            </w:r>
            <w:r>
              <w:rPr>
                <w:rFonts w:hint="eastAsia"/>
                <w:color w:val="auto"/>
                <w:sz w:val="24"/>
                <w:szCs w:val="24"/>
              </w:rPr>
              <w:t>3000</w:t>
            </w:r>
            <w:r>
              <w:rPr>
                <w:color w:val="auto"/>
                <w:sz w:val="24"/>
                <w:szCs w:val="24"/>
              </w:rPr>
              <w:t>吨</w:t>
            </w:r>
            <w:r>
              <w:rPr>
                <w:rFonts w:hint="eastAsia"/>
                <w:color w:val="auto"/>
                <w:sz w:val="24"/>
                <w:szCs w:val="24"/>
              </w:rPr>
              <w:t>吗啉及其副产物N-甲基吗啉、N-乙基吗啉、高沸物和氨水等1945吨</w:t>
            </w:r>
            <w:r>
              <w:rPr>
                <w:color w:val="auto"/>
                <w:sz w:val="24"/>
                <w:szCs w:val="24"/>
              </w:rPr>
              <w:t>的生产能力。</w:t>
            </w:r>
            <w:r>
              <w:rPr>
                <w:rFonts w:hint="eastAsia"/>
                <w:color w:val="auto"/>
                <w:sz w:val="24"/>
                <w:szCs w:val="24"/>
              </w:rPr>
              <w:t>项目于201</w:t>
            </w:r>
            <w:r>
              <w:rPr>
                <w:rFonts w:hint="eastAsia"/>
                <w:color w:val="auto"/>
                <w:sz w:val="24"/>
                <w:szCs w:val="24"/>
                <w:lang w:val="en-US" w:eastAsia="zh-CN"/>
              </w:rPr>
              <w:t>9</w:t>
            </w:r>
            <w:r>
              <w:rPr>
                <w:rFonts w:hint="eastAsia"/>
                <w:color w:val="auto"/>
                <w:sz w:val="24"/>
                <w:szCs w:val="24"/>
              </w:rPr>
              <w:t>年</w:t>
            </w:r>
            <w:r>
              <w:rPr>
                <w:rFonts w:hint="eastAsia"/>
                <w:color w:val="auto"/>
                <w:sz w:val="24"/>
                <w:szCs w:val="24"/>
                <w:lang w:val="en-US" w:eastAsia="zh-CN"/>
              </w:rPr>
              <w:t>6</w:t>
            </w:r>
            <w:r>
              <w:rPr>
                <w:rFonts w:hint="eastAsia"/>
                <w:color w:val="auto"/>
                <w:sz w:val="24"/>
                <w:szCs w:val="24"/>
              </w:rPr>
              <w:t>月</w:t>
            </w:r>
            <w:r>
              <w:rPr>
                <w:rFonts w:hint="eastAsia"/>
                <w:color w:val="auto"/>
                <w:sz w:val="24"/>
                <w:szCs w:val="24"/>
                <w:lang w:val="en-US" w:eastAsia="zh-CN"/>
              </w:rPr>
              <w:t>14</w:t>
            </w:r>
            <w:r>
              <w:rPr>
                <w:rFonts w:hint="eastAsia"/>
                <w:color w:val="auto"/>
                <w:sz w:val="24"/>
                <w:szCs w:val="24"/>
              </w:rPr>
              <w:t>日取得《遂宁市生态环境局关于四川鸿鹏新材料有限公司3000吨/年吗啉生产项</w:t>
            </w:r>
            <w:r>
              <w:rPr>
                <w:rFonts w:hint="eastAsia"/>
                <w:color w:val="auto"/>
                <w:sz w:val="24"/>
                <w:szCs w:val="24"/>
                <w:lang w:val="en-US" w:eastAsia="zh-CN"/>
              </w:rPr>
              <w:t>目</w:t>
            </w:r>
            <w:r>
              <w:rPr>
                <w:rFonts w:hint="eastAsia"/>
                <w:color w:val="auto"/>
                <w:sz w:val="24"/>
                <w:szCs w:val="24"/>
              </w:rPr>
              <w:t>环境影响报告书的批复》（遂环评函[201</w:t>
            </w:r>
            <w:r>
              <w:rPr>
                <w:rFonts w:hint="eastAsia"/>
                <w:color w:val="auto"/>
                <w:sz w:val="24"/>
                <w:szCs w:val="24"/>
                <w:lang w:val="en-US" w:eastAsia="zh-CN"/>
              </w:rPr>
              <w:t>9</w:t>
            </w:r>
            <w:r>
              <w:rPr>
                <w:rFonts w:hint="eastAsia"/>
                <w:color w:val="auto"/>
                <w:sz w:val="24"/>
                <w:szCs w:val="24"/>
              </w:rPr>
              <w:t>]</w:t>
            </w:r>
            <w:r>
              <w:rPr>
                <w:rFonts w:hint="eastAsia"/>
                <w:color w:val="auto"/>
                <w:sz w:val="24"/>
                <w:szCs w:val="24"/>
                <w:lang w:val="en-US" w:eastAsia="zh-CN"/>
              </w:rPr>
              <w:t>48</w:t>
            </w:r>
            <w:r>
              <w:rPr>
                <w:rFonts w:hint="eastAsia"/>
                <w:color w:val="auto"/>
                <w:sz w:val="24"/>
                <w:szCs w:val="24"/>
              </w:rPr>
              <w:t>号）。</w:t>
            </w:r>
          </w:p>
          <w:p>
            <w:pPr>
              <w:jc w:val="center"/>
              <w:rPr>
                <w:b/>
                <w:color w:val="auto"/>
                <w:sz w:val="24"/>
                <w:szCs w:val="24"/>
              </w:rPr>
            </w:pPr>
            <w:r>
              <w:rPr>
                <w:b/>
                <w:color w:val="auto"/>
                <w:sz w:val="21"/>
                <w:szCs w:val="21"/>
              </w:rPr>
              <w:t>表2</w:t>
            </w:r>
            <w:r>
              <w:rPr>
                <w:rFonts w:hint="eastAsia"/>
                <w:b/>
                <w:color w:val="auto"/>
                <w:sz w:val="21"/>
                <w:szCs w:val="21"/>
              </w:rPr>
              <w:t>-1</w:t>
            </w:r>
            <w:r>
              <w:rPr>
                <w:rFonts w:hint="eastAsia"/>
                <w:b/>
                <w:color w:val="auto"/>
                <w:sz w:val="21"/>
                <w:szCs w:val="21"/>
                <w:lang w:val="en-US" w:eastAsia="zh-CN"/>
              </w:rPr>
              <w:t>0</w:t>
            </w:r>
            <w:r>
              <w:rPr>
                <w:b/>
                <w:color w:val="auto"/>
                <w:sz w:val="21"/>
                <w:szCs w:val="21"/>
              </w:rPr>
              <w:t xml:space="preserve"> </w:t>
            </w:r>
            <w:r>
              <w:rPr>
                <w:rFonts w:hint="eastAsia"/>
                <w:b/>
                <w:color w:val="auto"/>
                <w:sz w:val="21"/>
                <w:szCs w:val="21"/>
              </w:rPr>
              <w:t>鸿鹏</w:t>
            </w:r>
            <w:r>
              <w:rPr>
                <w:b/>
                <w:color w:val="auto"/>
                <w:sz w:val="21"/>
                <w:szCs w:val="21"/>
              </w:rPr>
              <w:t>公司现有生产设施“三同时”执行情况</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749"/>
              <w:gridCol w:w="1018"/>
              <w:gridCol w:w="1453"/>
              <w:gridCol w:w="1018"/>
              <w:gridCol w:w="1453"/>
              <w:gridCol w:w="1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059" w:type="pct"/>
                  <w:gridSpan w:val="2"/>
                  <w:vMerge w:val="restart"/>
                  <w:vAlign w:val="center"/>
                </w:tcPr>
                <w:p>
                  <w:pPr>
                    <w:adjustRightInd w:val="0"/>
                    <w:snapToGrid w:val="0"/>
                    <w:jc w:val="center"/>
                    <w:rPr>
                      <w:color w:val="auto"/>
                      <w:szCs w:val="21"/>
                    </w:rPr>
                  </w:pPr>
                  <w:r>
                    <w:rPr>
                      <w:color w:val="auto"/>
                      <w:szCs w:val="21"/>
                    </w:rPr>
                    <w:t>名称</w:t>
                  </w:r>
                </w:p>
              </w:tc>
              <w:tc>
                <w:tcPr>
                  <w:tcW w:w="1464" w:type="pct"/>
                  <w:gridSpan w:val="2"/>
                  <w:vAlign w:val="center"/>
                </w:tcPr>
                <w:p>
                  <w:pPr>
                    <w:adjustRightInd w:val="0"/>
                    <w:snapToGrid w:val="0"/>
                    <w:jc w:val="center"/>
                    <w:rPr>
                      <w:color w:val="auto"/>
                      <w:szCs w:val="21"/>
                    </w:rPr>
                  </w:pPr>
                  <w:r>
                    <w:rPr>
                      <w:color w:val="auto"/>
                      <w:szCs w:val="21"/>
                    </w:rPr>
                    <w:t>环境影响评价</w:t>
                  </w:r>
                </w:p>
              </w:tc>
              <w:tc>
                <w:tcPr>
                  <w:tcW w:w="1464" w:type="pct"/>
                  <w:gridSpan w:val="2"/>
                  <w:vAlign w:val="center"/>
                </w:tcPr>
                <w:p>
                  <w:pPr>
                    <w:adjustRightInd w:val="0"/>
                    <w:snapToGrid w:val="0"/>
                    <w:jc w:val="center"/>
                    <w:rPr>
                      <w:color w:val="auto"/>
                      <w:szCs w:val="21"/>
                    </w:rPr>
                  </w:pPr>
                  <w:r>
                    <w:rPr>
                      <w:color w:val="auto"/>
                      <w:szCs w:val="21"/>
                    </w:rPr>
                    <w:t>竣工环境保护验收</w:t>
                  </w:r>
                </w:p>
              </w:tc>
              <w:tc>
                <w:tcPr>
                  <w:tcW w:w="1012" w:type="pct"/>
                  <w:vMerge w:val="restart"/>
                  <w:vAlign w:val="center"/>
                </w:tcPr>
                <w:p>
                  <w:pPr>
                    <w:adjustRightInd w:val="0"/>
                    <w:snapToGrid w:val="0"/>
                    <w:jc w:val="center"/>
                    <w:rPr>
                      <w:color w:val="auto"/>
                      <w:szCs w:val="21"/>
                    </w:rPr>
                  </w:pPr>
                  <w:r>
                    <w:rPr>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059" w:type="pct"/>
                  <w:gridSpan w:val="2"/>
                  <w:vMerge w:val="continue"/>
                  <w:tcBorders>
                    <w:top w:val="single" w:color="auto" w:sz="4" w:space="0"/>
                    <w:right w:val="single" w:color="auto" w:sz="4" w:space="0"/>
                  </w:tcBorders>
                  <w:vAlign w:val="center"/>
                </w:tcPr>
                <w:p/>
              </w:tc>
              <w:tc>
                <w:tcPr>
                  <w:tcW w:w="603"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color w:val="auto"/>
                      <w:szCs w:val="21"/>
                    </w:rPr>
                    <w:t>审批单位</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color w:val="auto"/>
                      <w:szCs w:val="21"/>
                    </w:rPr>
                    <w:t>批准文号</w:t>
                  </w:r>
                </w:p>
              </w:tc>
              <w:tc>
                <w:tcPr>
                  <w:tcW w:w="603"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color w:val="auto"/>
                      <w:szCs w:val="21"/>
                    </w:rPr>
                    <w:t>审批单位</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color w:val="auto"/>
                      <w:szCs w:val="21"/>
                    </w:rPr>
                    <w:t>批准文号</w:t>
                  </w:r>
                </w:p>
              </w:tc>
              <w:tc>
                <w:tcPr>
                  <w:tcW w:w="1012" w:type="pct"/>
                  <w:vMerge w:val="continue"/>
                  <w:tcBorders>
                    <w:top w:val="single" w:color="auto" w:sz="4" w:space="0"/>
                    <w:left w:val="single" w:color="auto" w:sz="4" w:space="0"/>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restart"/>
                  <w:tcBorders>
                    <w:top w:val="single" w:color="000000" w:sz="2" w:space="0"/>
                  </w:tcBorders>
                  <w:vAlign w:val="center"/>
                </w:tcPr>
                <w:p>
                  <w:pPr>
                    <w:adjustRightInd w:val="0"/>
                    <w:snapToGrid w:val="0"/>
                    <w:jc w:val="center"/>
                    <w:rPr>
                      <w:color w:val="auto"/>
                      <w:szCs w:val="21"/>
                    </w:rPr>
                  </w:pPr>
                  <w:r>
                    <w:rPr>
                      <w:rFonts w:hint="eastAsia"/>
                      <w:color w:val="auto"/>
                      <w:szCs w:val="21"/>
                    </w:rPr>
                    <w:t>环氧乙烷充装项目</w:t>
                  </w:r>
                </w:p>
              </w:tc>
              <w:tc>
                <w:tcPr>
                  <w:tcW w:w="444"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一期</w:t>
                  </w:r>
                </w:p>
              </w:tc>
              <w:tc>
                <w:tcPr>
                  <w:tcW w:w="603" w:type="pct"/>
                  <w:vMerge w:val="restar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大英县环保局</w:t>
                  </w:r>
                </w:p>
              </w:tc>
              <w:tc>
                <w:tcPr>
                  <w:tcW w:w="861" w:type="pct"/>
                  <w:vMerge w:val="restar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大环函</w:t>
                  </w:r>
                  <w:r>
                    <w:rPr>
                      <w:color w:val="auto"/>
                      <w:szCs w:val="21"/>
                    </w:rPr>
                    <w:t>[2016]23号</w:t>
                  </w:r>
                </w:p>
              </w:tc>
              <w:tc>
                <w:tcPr>
                  <w:tcW w:w="603"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大英县环保局</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大环验</w:t>
                  </w:r>
                  <w:r>
                    <w:rPr>
                      <w:color w:val="auto"/>
                      <w:szCs w:val="21"/>
                    </w:rPr>
                    <w:t>[2017]19号</w:t>
                  </w:r>
                </w:p>
              </w:tc>
              <w:tc>
                <w:tcPr>
                  <w:tcW w:w="1012" w:type="pct"/>
                  <w:tcBorders>
                    <w:top w:val="single" w:color="auto" w:sz="4" w:space="0"/>
                    <w:left w:val="single" w:color="auto" w:sz="4" w:space="0"/>
                  </w:tcBorders>
                  <w:vAlign w:val="center"/>
                </w:tcPr>
                <w:p>
                  <w:pPr>
                    <w:adjustRightInd w:val="0"/>
                    <w:snapToGrid w:val="0"/>
                    <w:jc w:val="center"/>
                    <w:rPr>
                      <w:color w:val="auto"/>
                      <w:szCs w:val="21"/>
                    </w:rPr>
                  </w:pPr>
                  <w:r>
                    <w:rPr>
                      <w:color w:val="auto"/>
                      <w:szCs w:val="21"/>
                    </w:rPr>
                    <w:t>已建成投产，已验收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5" w:type="pct"/>
                  <w:vMerge w:val="continue"/>
                  <w:tcBorders>
                    <w:top w:val="single" w:color="auto" w:sz="4" w:space="0"/>
                    <w:right w:val="single" w:color="auto" w:sz="4" w:space="0"/>
                  </w:tcBorders>
                  <w:vAlign w:val="center"/>
                </w:tcPr>
                <w:p/>
              </w:tc>
              <w:tc>
                <w:tcPr>
                  <w:tcW w:w="444"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二期</w:t>
                  </w:r>
                </w:p>
              </w:tc>
              <w:tc>
                <w:tcPr>
                  <w:tcW w:w="603" w:type="pct"/>
                  <w:vMerge w:val="continue"/>
                  <w:tcBorders>
                    <w:top w:val="single" w:color="auto" w:sz="4" w:space="0"/>
                    <w:left w:val="single" w:color="auto" w:sz="4" w:space="0"/>
                    <w:right w:val="single" w:color="auto" w:sz="4" w:space="0"/>
                  </w:tcBorders>
                  <w:vAlign w:val="center"/>
                </w:tcPr>
                <w:p/>
              </w:tc>
              <w:tc>
                <w:tcPr>
                  <w:tcW w:w="861" w:type="pct"/>
                  <w:vMerge w:val="continue"/>
                  <w:tcBorders>
                    <w:top w:val="single" w:color="auto" w:sz="4" w:space="0"/>
                    <w:left w:val="single" w:color="auto" w:sz="4" w:space="0"/>
                    <w:right w:val="single" w:color="auto" w:sz="4" w:space="0"/>
                  </w:tcBorders>
                  <w:vAlign w:val="center"/>
                </w:tcPr>
                <w:p/>
              </w:tc>
              <w:tc>
                <w:tcPr>
                  <w:tcW w:w="603"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012" w:type="pct"/>
                  <w:tcBorders>
                    <w:top w:val="single" w:color="auto" w:sz="4" w:space="0"/>
                    <w:left w:val="single" w:color="auto" w:sz="4" w:space="0"/>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pct"/>
                  <w:gridSpan w:val="2"/>
                  <w:tcBorders>
                    <w:top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6万吨/年表面活性剂生产项目</w:t>
                  </w:r>
                </w:p>
              </w:tc>
              <w:tc>
                <w:tcPr>
                  <w:tcW w:w="603"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遂宁市环境保护局</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遂环评函[2018]156号</w:t>
                  </w:r>
                </w:p>
              </w:tc>
              <w:tc>
                <w:tcPr>
                  <w:tcW w:w="603"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012" w:type="pct"/>
                  <w:tcBorders>
                    <w:top w:val="single" w:color="auto" w:sz="4" w:space="0"/>
                    <w:left w:val="single" w:color="auto" w:sz="4" w:space="0"/>
                  </w:tcBorders>
                  <w:vAlign w:val="center"/>
                </w:tcPr>
                <w:p>
                  <w:pPr>
                    <w:adjustRightInd w:val="0"/>
                    <w:snapToGrid w:val="0"/>
                    <w:jc w:val="center"/>
                    <w:rPr>
                      <w:color w:val="auto"/>
                      <w:szCs w:val="21"/>
                    </w:rPr>
                  </w:pPr>
                  <w:r>
                    <w:rPr>
                      <w:color w:val="auto"/>
                      <w:szCs w:val="21"/>
                    </w:rPr>
                    <w:t>已建成投产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pct"/>
                  <w:gridSpan w:val="2"/>
                  <w:tcBorders>
                    <w:top w:val="single" w:color="auto" w:sz="4" w:space="0"/>
                    <w:right w:val="single" w:color="auto" w:sz="4" w:space="0"/>
                  </w:tcBorders>
                  <w:vAlign w:val="center"/>
                </w:tcPr>
                <w:p>
                  <w:pPr>
                    <w:adjustRightInd w:val="0"/>
                    <w:snapToGrid w:val="0"/>
                    <w:jc w:val="center"/>
                    <w:rPr>
                      <w:rFonts w:eastAsia="宋体"/>
                      <w:color w:val="auto"/>
                      <w:szCs w:val="21"/>
                      <w:lang w:val="en-US" w:eastAsia="zh-CN"/>
                    </w:rPr>
                  </w:pPr>
                  <w:r>
                    <w:rPr>
                      <w:rFonts w:hint="eastAsia"/>
                      <w:color w:val="auto"/>
                      <w:szCs w:val="21"/>
                    </w:rPr>
                    <w:t>3000吨/年吗啉生产</w:t>
                  </w:r>
                  <w:r>
                    <w:rPr>
                      <w:rFonts w:hint="eastAsia"/>
                      <w:color w:val="auto"/>
                      <w:szCs w:val="21"/>
                      <w:lang w:val="en-US" w:eastAsia="zh-CN"/>
                    </w:rPr>
                    <w:t>项目</w:t>
                  </w:r>
                </w:p>
              </w:tc>
              <w:tc>
                <w:tcPr>
                  <w:tcW w:w="603" w:type="pct"/>
                  <w:tcBorders>
                    <w:top w:val="single" w:color="auto" w:sz="4" w:space="0"/>
                    <w:left w:val="single" w:color="auto" w:sz="4" w:space="0"/>
                    <w:right w:val="single" w:color="auto" w:sz="4" w:space="0"/>
                  </w:tcBorders>
                  <w:vAlign w:val="center"/>
                </w:tcPr>
                <w:p>
                  <w:pPr>
                    <w:adjustRightInd w:val="0"/>
                    <w:snapToGrid w:val="0"/>
                    <w:jc w:val="center"/>
                    <w:rPr>
                      <w:rFonts w:eastAsia="宋体"/>
                      <w:color w:val="auto"/>
                      <w:szCs w:val="21"/>
                      <w:lang w:val="en-US" w:eastAsia="zh-CN"/>
                    </w:rPr>
                  </w:pPr>
                  <w:r>
                    <w:rPr>
                      <w:rFonts w:hint="eastAsia"/>
                      <w:color w:val="auto"/>
                      <w:szCs w:val="21"/>
                    </w:rPr>
                    <w:t>遂宁市</w:t>
                  </w:r>
                  <w:r>
                    <w:rPr>
                      <w:rFonts w:hint="eastAsia"/>
                      <w:color w:val="auto"/>
                      <w:szCs w:val="21"/>
                      <w:lang w:val="en-US" w:eastAsia="zh-CN"/>
                    </w:rPr>
                    <w:t>生态环境局</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rFonts w:hint="eastAsia"/>
                      <w:color w:val="auto"/>
                      <w:szCs w:val="21"/>
                    </w:rPr>
                  </w:pPr>
                  <w:r>
                    <w:rPr>
                      <w:rFonts w:hint="eastAsia"/>
                      <w:color w:val="auto"/>
                      <w:szCs w:val="21"/>
                    </w:rPr>
                    <w:t>遂环评函〔2019〕48号</w:t>
                  </w:r>
                </w:p>
              </w:tc>
              <w:tc>
                <w:tcPr>
                  <w:tcW w:w="603" w:type="pct"/>
                  <w:tcBorders>
                    <w:top w:val="single" w:color="auto" w:sz="4" w:space="0"/>
                    <w:left w:val="single" w:color="auto" w:sz="4" w:space="0"/>
                    <w:right w:val="single" w:color="auto" w:sz="4" w:space="0"/>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861" w:type="pct"/>
                  <w:tcBorders>
                    <w:top w:val="single" w:color="auto" w:sz="4" w:space="0"/>
                    <w:left w:val="single" w:color="auto" w:sz="4" w:space="0"/>
                    <w:right w:val="single" w:color="auto" w:sz="4" w:space="0"/>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1012" w:type="pct"/>
                  <w:tcBorders>
                    <w:top w:val="single" w:color="auto" w:sz="4" w:space="0"/>
                    <w:left w:val="single" w:color="auto" w:sz="4" w:space="0"/>
                  </w:tcBorders>
                  <w:vAlign w:val="center"/>
                </w:tcPr>
                <w:p>
                  <w:pPr>
                    <w:adjustRightInd w:val="0"/>
                    <w:snapToGrid w:val="0"/>
                    <w:jc w:val="center"/>
                    <w:rPr>
                      <w:rFonts w:hint="eastAsia"/>
                      <w:color w:val="auto"/>
                      <w:szCs w:val="21"/>
                    </w:rPr>
                  </w:pPr>
                  <w:r>
                    <w:rPr>
                      <w:color w:val="auto"/>
                      <w:szCs w:val="21"/>
                    </w:rPr>
                    <w:t>已建成投产</w:t>
                  </w:r>
                </w:p>
              </w:tc>
            </w:tr>
          </w:tbl>
          <w:p>
            <w:pPr>
              <w:adjustRightInd w:val="0"/>
              <w:snapToGrid w:val="0"/>
              <w:spacing w:before="120" w:beforeLines="50" w:line="360" w:lineRule="auto"/>
              <w:ind w:firstLine="482"/>
              <w:jc w:val="left"/>
              <w:rPr>
                <w:rFonts w:hint="eastAsia" w:ascii="Times New Roman" w:hAnsi="Times New Roman" w:eastAsia="宋体" w:cs="Times New Roman"/>
                <w:color w:val="auto"/>
                <w:sz w:val="24"/>
                <w:lang w:val="en-US" w:eastAsia="zh-CN"/>
              </w:rPr>
            </w:pPr>
            <w:r>
              <w:rPr>
                <w:rFonts w:ascii="Times New Roman" w:hAnsi="Times New Roman" w:cs="Times New Roman"/>
                <w:color w:val="auto"/>
                <w:sz w:val="24"/>
              </w:rPr>
              <w:t>本项目</w:t>
            </w:r>
            <w:r>
              <w:rPr>
                <w:rFonts w:ascii="Times New Roman" w:hAnsi="Times New Roman" w:cs="Times New Roman"/>
                <w:color w:val="auto"/>
                <w:sz w:val="24"/>
                <w:lang w:val="en-US" w:eastAsia="zh-CN"/>
              </w:rPr>
              <w:t>利用</w:t>
            </w:r>
            <w:r>
              <w:rPr>
                <w:rFonts w:ascii="Times New Roman" w:hAnsi="Times New Roman" w:cs="Times New Roman"/>
                <w:color w:val="auto"/>
                <w:sz w:val="24"/>
                <w:lang w:eastAsia="zh-CN"/>
              </w:rPr>
              <w:t>四川鸿鹏新材料有限公司</w:t>
            </w:r>
            <w:r>
              <w:rPr>
                <w:rFonts w:ascii="Times New Roman" w:hAnsi="Times New Roman" w:cs="Times New Roman"/>
                <w:color w:val="auto"/>
                <w:sz w:val="24"/>
              </w:rPr>
              <w:t>空</w:t>
            </w:r>
            <w:r>
              <w:rPr>
                <w:rFonts w:ascii="Times New Roman" w:hAnsi="Times New Roman" w:cs="Times New Roman"/>
                <w:color w:val="auto"/>
                <w:sz w:val="24"/>
                <w:lang w:val="en-US" w:eastAsia="zh-CN"/>
              </w:rPr>
              <w:t>地</w:t>
            </w:r>
            <w:r>
              <w:rPr>
                <w:rFonts w:ascii="Times New Roman" w:hAnsi="Times New Roman" w:cs="Times New Roman"/>
                <w:color w:val="auto"/>
                <w:sz w:val="24"/>
              </w:rPr>
              <w:t>进行建设，该</w:t>
            </w:r>
            <w:r>
              <w:rPr>
                <w:rFonts w:ascii="Times New Roman" w:hAnsi="Times New Roman" w:cs="Times New Roman"/>
                <w:color w:val="auto"/>
                <w:sz w:val="24"/>
                <w:lang w:val="en-US" w:eastAsia="zh-CN"/>
              </w:rPr>
              <w:t>地区</w:t>
            </w:r>
            <w:r>
              <w:rPr>
                <w:rFonts w:ascii="Times New Roman" w:hAnsi="Times New Roman" w:cs="Times New Roman"/>
                <w:color w:val="auto"/>
                <w:sz w:val="24"/>
              </w:rPr>
              <w:t>未进行任何生产活动，因此对本项目来说不存在原有污染情况及环境问题。</w:t>
            </w:r>
          </w:p>
          <w:p>
            <w:pPr>
              <w:spacing w:line="360" w:lineRule="auto"/>
              <w:jc w:val="center"/>
              <w:rPr>
                <w:rFonts w:ascii="Times New Roman" w:hAnsi="Times New Roman" w:cs="Times New Roman"/>
                <w:color w:val="auto"/>
              </w:rPr>
            </w:pPr>
            <w:r>
              <w:rPr>
                <w:rFonts w:ascii="Times New Roman" w:hAnsi="Times New Roman" w:eastAsia="宋体" w:cs="Times New Roman"/>
                <w:color w:val="auto"/>
                <w:kern w:val="2"/>
                <w:sz w:val="24"/>
                <w:szCs w:val="24"/>
                <w:lang w:eastAsia="zh-CN"/>
              </w:rPr>
              <w:drawing>
                <wp:inline distT="0" distB="0" distL="114300" distR="114300">
                  <wp:extent cx="5253990" cy="3940175"/>
                  <wp:effectExtent l="0" t="0" r="15" b="29"/>
                  <wp:docPr id="77" name="图片 38" descr="96c398a57dcd38a26543394fe8a5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descr="96c398a57dcd38a26543394fe8a547f"/>
                          <pic:cNvPicPr>
                            <a:picLocks noChangeAspect="1"/>
                          </pic:cNvPicPr>
                        </pic:nvPicPr>
                        <pic:blipFill>
                          <a:blip r:embed="rId11"/>
                          <a:stretch>
                            <a:fillRect/>
                          </a:stretch>
                        </pic:blipFill>
                        <pic:spPr>
                          <a:xfrm>
                            <a:off x="0" y="0"/>
                            <a:ext cx="5253990" cy="3940175"/>
                          </a:xfrm>
                          <a:prstGeom prst="rect">
                            <a:avLst/>
                          </a:prstGeom>
                          <a:noFill/>
                          <a:ln w="9525" cap="flat" cmpd="sng">
                            <a:noFill/>
                            <a:prstDash val="solid"/>
                            <a:miter/>
                          </a:ln>
                        </pic:spPr>
                      </pic:pic>
                    </a:graphicData>
                  </a:graphic>
                </wp:inline>
              </w:drawing>
            </w:r>
          </w:p>
          <w:p>
            <w:pPr>
              <w:spacing w:line="360" w:lineRule="auto"/>
              <w:ind w:firstLine="482"/>
              <w:jc w:val="center"/>
              <w:rPr>
                <w:rFonts w:ascii="Times New Roman" w:hAnsi="Times New Roman" w:cs="Times New Roman"/>
                <w:b/>
                <w:color w:val="auto"/>
                <w:szCs w:val="21"/>
              </w:rPr>
            </w:pPr>
            <w:r>
              <w:rPr>
                <w:rFonts w:ascii="Times New Roman" w:hAnsi="Times New Roman" w:cs="Times New Roman"/>
                <w:b/>
                <w:color w:val="auto"/>
                <w:szCs w:val="21"/>
                <w:lang w:val="en-US" w:eastAsia="zh-CN"/>
              </w:rPr>
              <w:t>项目现场</w:t>
            </w:r>
            <w:r>
              <w:rPr>
                <w:rFonts w:ascii="Times New Roman" w:hAnsi="Times New Roman" w:cs="Times New Roman"/>
                <w:b/>
                <w:color w:val="auto"/>
                <w:szCs w:val="21"/>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cs="Times New Roman"/>
                <w:b/>
                <w:bCs/>
                <w:color w:val="auto"/>
                <w:sz w:val="24"/>
                <w:u w:val="none"/>
                <w:lang w:val="en-US" w:eastAsia="zh-CN"/>
              </w:rPr>
            </w:pPr>
            <w:r>
              <w:rPr>
                <w:rFonts w:hint="eastAsia" w:cs="Times New Roman"/>
                <w:b/>
                <w:bCs/>
                <w:color w:val="auto"/>
                <w:sz w:val="24"/>
                <w:u w:val="none"/>
                <w:lang w:val="en-US" w:eastAsia="zh-CN"/>
              </w:rPr>
              <w:t>四川鸿鹏新材料有限公司、四川屹光新材料制造有限公司现有锅炉的污染物总量核算：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cs="Times New Roman"/>
                <w:color w:val="auto"/>
                <w:sz w:val="24"/>
                <w:u w:val="none"/>
                <w:lang w:val="en-US" w:eastAsia="zh-CN"/>
              </w:rPr>
            </w:pPr>
            <w:r>
              <w:rPr>
                <w:rFonts w:hint="eastAsia" w:cs="Times New Roman"/>
                <w:color w:val="auto"/>
                <w:sz w:val="24"/>
                <w:u w:val="none"/>
                <w:lang w:val="en-US" w:eastAsia="zh-CN"/>
              </w:rPr>
              <w:t>本项目将对两个厂区集中供热。项目建成后，将替代四川鸿鹏新材料有限公司现有1台3t/h、1台6t/h的燃气锅炉和四川屹光新材料制造有限公司的1台10t/h的燃气锅炉。因此项目将核算四川屹光新材料制造有限公司10t/h的燃气锅炉的产排污和四川鸿鹏新材料有限公司现有1台3t/h、1台6t/h，两台燃气锅炉的产排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cs="Times New Roman"/>
                <w:color w:val="auto"/>
                <w:sz w:val="24"/>
                <w:u w:val="none"/>
                <w:lang w:val="en-US" w:eastAsia="zh-CN"/>
              </w:rPr>
            </w:pPr>
            <w:r>
              <w:rPr>
                <w:rFonts w:hint="eastAsia" w:cs="Times New Roman"/>
                <w:color w:val="auto"/>
                <w:sz w:val="24"/>
                <w:u w:val="none"/>
                <w:lang w:eastAsia="zh-CN"/>
              </w:rPr>
              <w:t>1.</w:t>
            </w:r>
            <w:r>
              <w:rPr>
                <w:rFonts w:hint="eastAsia" w:cs="Times New Roman"/>
                <w:color w:val="auto"/>
                <w:sz w:val="24"/>
                <w:u w:val="none"/>
                <w:lang w:val="en-US" w:eastAsia="zh-CN"/>
              </w:rPr>
              <w:t>根据四川屹光新材料制造有限公司《1万吨年醇胺项目环境影响报告书》相关内容，项目建设10t/h的燃气锅炉</w:t>
            </w:r>
            <w:r>
              <w:rPr>
                <w:rFonts w:hint="eastAsia" w:cs="Times New Roman"/>
                <w:color w:val="auto"/>
                <w:sz w:val="24"/>
                <w:u w:val="none"/>
                <w:lang w:eastAsia="zh-CN"/>
              </w:rPr>
              <w:t>，中压炉，</w:t>
            </w:r>
            <w:r>
              <w:rPr>
                <w:rFonts w:hint="eastAsia" w:cs="Times New Roman"/>
                <w:color w:val="auto"/>
                <w:sz w:val="24"/>
                <w:u w:val="none"/>
                <w:lang w:val="en-US" w:eastAsia="zh-CN"/>
              </w:rPr>
              <w:t>蒸汽压力为</w:t>
            </w:r>
            <w:r>
              <w:rPr>
                <w:rFonts w:hint="eastAsia" w:cs="Times New Roman"/>
                <w:color w:val="auto"/>
                <w:sz w:val="24"/>
                <w:u w:val="none"/>
                <w:lang w:eastAsia="zh-CN"/>
              </w:rPr>
              <w:t>2.5Mpa。</w:t>
            </w:r>
            <w:r>
              <w:rPr>
                <w:rFonts w:hint="eastAsia" w:cs="Times New Roman"/>
                <w:color w:val="auto"/>
                <w:sz w:val="24"/>
                <w:u w:val="none"/>
                <w:lang w:val="en-US" w:eastAsia="zh-CN"/>
              </w:rPr>
              <w:t>批复下达关于锅炉的</w:t>
            </w:r>
            <w:r>
              <w:rPr>
                <w:rFonts w:hint="eastAsia" w:cs="Times New Roman"/>
                <w:color w:val="auto"/>
                <w:sz w:val="24"/>
                <w:u w:val="none"/>
                <w:lang w:eastAsia="zh-CN"/>
              </w:rPr>
              <w:t>总量指标</w:t>
            </w:r>
            <w:r>
              <w:rPr>
                <w:rFonts w:hint="eastAsia" w:cs="Times New Roman"/>
                <w:color w:val="auto"/>
                <w:sz w:val="24"/>
                <w:u w:val="none"/>
                <w:lang w:val="en-US" w:eastAsia="zh-CN"/>
              </w:rPr>
              <w:t>为</w:t>
            </w:r>
            <w:r>
              <w:rPr>
                <w:rFonts w:hint="eastAsia" w:cs="Times New Roman"/>
                <w:color w:val="auto"/>
                <w:sz w:val="24"/>
                <w:u w:val="none"/>
                <w:lang w:eastAsia="zh-CN"/>
              </w:rPr>
              <w:t>：二氧化硫0.03吨；氮氧化物0.32t。</w:t>
            </w:r>
            <w:r>
              <w:rPr>
                <w:rFonts w:hint="eastAsia" w:cs="Times New Roman"/>
                <w:color w:val="auto"/>
                <w:sz w:val="24"/>
                <w:u w:val="none"/>
                <w:lang w:val="en-US" w:eastAsia="zh-CN"/>
              </w:rPr>
              <w:t>实际建设为10t/h的燃气锅炉一台</w:t>
            </w:r>
            <w:r>
              <w:rPr>
                <w:rFonts w:hint="eastAsia" w:cs="Times New Roman"/>
                <w:color w:val="auto"/>
                <w:sz w:val="24"/>
                <w:u w:val="none"/>
                <w:lang w:eastAsia="zh-CN"/>
              </w:rPr>
              <w:t>，中压炉，</w:t>
            </w:r>
            <w:r>
              <w:rPr>
                <w:rFonts w:hint="eastAsia" w:cs="Times New Roman"/>
                <w:color w:val="auto"/>
                <w:sz w:val="24"/>
                <w:u w:val="none"/>
                <w:lang w:val="en-US" w:eastAsia="zh-CN"/>
              </w:rPr>
              <w:t>蒸汽压力为</w:t>
            </w:r>
            <w:r>
              <w:rPr>
                <w:rFonts w:hint="eastAsia" w:cs="Times New Roman"/>
                <w:color w:val="auto"/>
                <w:sz w:val="24"/>
                <w:u w:val="none"/>
                <w:lang w:eastAsia="zh-CN"/>
              </w:rPr>
              <w:t>2.5Mpa。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sz w:val="24"/>
                <w:u w:val="none"/>
                <w:lang w:val="en-US" w:eastAsia="zh-CN"/>
              </w:rPr>
            </w:pPr>
            <w:r>
              <w:rPr>
                <w:rFonts w:hint="eastAsia" w:cs="Times New Roman"/>
                <w:color w:val="auto"/>
                <w:sz w:val="24"/>
                <w:u w:val="none"/>
                <w:lang w:eastAsia="zh-CN"/>
              </w:rPr>
              <w:t>2.</w:t>
            </w:r>
            <w:r>
              <w:rPr>
                <w:rFonts w:hint="eastAsia" w:cs="Times New Roman"/>
                <w:color w:val="auto"/>
                <w:sz w:val="24"/>
                <w:u w:val="none"/>
                <w:lang w:val="en-US" w:eastAsia="zh-CN"/>
              </w:rPr>
              <w:t>根据四川鸿鹏新材料有限公司《6万吨/年表面活性剂生产项目环境影响报告书》</w:t>
            </w:r>
            <w:r>
              <w:rPr>
                <w:rFonts w:hint="eastAsia" w:cs="Times New Roman"/>
                <w:color w:val="auto"/>
                <w:sz w:val="24"/>
                <w:u w:val="none"/>
                <w:lang w:eastAsia="zh-CN"/>
              </w:rPr>
              <w:t>，</w:t>
            </w:r>
            <w:r>
              <w:rPr>
                <w:rFonts w:hint="eastAsia" w:cs="Times New Roman"/>
                <w:color w:val="auto"/>
                <w:sz w:val="24"/>
                <w:u w:val="none"/>
                <w:lang w:val="en-US" w:eastAsia="zh-CN"/>
              </w:rPr>
              <w:t>项目建设10t/h的燃气锅炉</w:t>
            </w:r>
            <w:r>
              <w:rPr>
                <w:rFonts w:hint="eastAsia" w:cs="Times New Roman"/>
                <w:color w:val="auto"/>
                <w:sz w:val="24"/>
                <w:u w:val="none"/>
                <w:lang w:eastAsia="zh-CN"/>
              </w:rPr>
              <w:t>，</w:t>
            </w:r>
            <w:r>
              <w:rPr>
                <w:rFonts w:hint="eastAsia" w:cs="Times New Roman"/>
                <w:color w:val="auto"/>
                <w:sz w:val="24"/>
                <w:u w:val="none"/>
                <w:lang w:val="en-US" w:eastAsia="zh-CN"/>
              </w:rPr>
              <w:t>蒸汽压力为3</w:t>
            </w:r>
            <w:r>
              <w:rPr>
                <w:rFonts w:hint="eastAsia" w:cs="Times New Roman"/>
                <w:color w:val="auto"/>
                <w:sz w:val="24"/>
                <w:u w:val="none"/>
                <w:lang w:eastAsia="zh-CN"/>
              </w:rPr>
              <w:t>Mpa。</w:t>
            </w:r>
            <w:r>
              <w:rPr>
                <w:rFonts w:hint="eastAsia" w:cs="Times New Roman"/>
                <w:color w:val="auto"/>
                <w:sz w:val="24"/>
                <w:u w:val="none"/>
                <w:lang w:val="en-US" w:eastAsia="zh-CN"/>
              </w:rPr>
              <w:t>批复下达关于锅炉的</w:t>
            </w:r>
            <w:r>
              <w:rPr>
                <w:rFonts w:hint="eastAsia" w:cs="Times New Roman"/>
                <w:color w:val="auto"/>
                <w:sz w:val="24"/>
                <w:u w:val="none"/>
                <w:lang w:eastAsia="zh-CN"/>
              </w:rPr>
              <w:t>总量指标</w:t>
            </w:r>
            <w:r>
              <w:rPr>
                <w:rFonts w:hint="eastAsia" w:cs="Times New Roman"/>
                <w:color w:val="auto"/>
                <w:sz w:val="24"/>
                <w:u w:val="none"/>
                <w:lang w:val="en-US" w:eastAsia="zh-CN"/>
              </w:rPr>
              <w:t>为</w:t>
            </w:r>
            <w:r>
              <w:rPr>
                <w:rFonts w:hint="eastAsia" w:cs="Times New Roman"/>
                <w:color w:val="auto"/>
                <w:sz w:val="24"/>
                <w:u w:val="none"/>
                <w:lang w:eastAsia="zh-CN"/>
              </w:rPr>
              <w:t>：二氧化硫0.</w:t>
            </w:r>
            <w:r>
              <w:rPr>
                <w:rFonts w:hint="eastAsia" w:cs="Times New Roman"/>
                <w:color w:val="auto"/>
                <w:sz w:val="24"/>
                <w:u w:val="none"/>
                <w:lang w:val="en-US" w:eastAsia="zh-CN"/>
              </w:rPr>
              <w:t>034</w:t>
            </w:r>
            <w:r>
              <w:rPr>
                <w:rFonts w:hint="eastAsia" w:cs="Times New Roman"/>
                <w:color w:val="auto"/>
                <w:sz w:val="24"/>
                <w:u w:val="none"/>
                <w:lang w:eastAsia="zh-CN"/>
              </w:rPr>
              <w:t>吨；氮氧化物0.</w:t>
            </w:r>
            <w:r>
              <w:rPr>
                <w:rFonts w:hint="eastAsia" w:cs="Times New Roman"/>
                <w:color w:val="auto"/>
                <w:sz w:val="24"/>
                <w:u w:val="none"/>
                <w:lang w:val="en-US" w:eastAsia="zh-CN"/>
              </w:rPr>
              <w:t>978</w:t>
            </w:r>
            <w:r>
              <w:rPr>
                <w:rFonts w:hint="eastAsia" w:cs="Times New Roman"/>
                <w:color w:val="auto"/>
                <w:sz w:val="24"/>
                <w:u w:val="none"/>
                <w:lang w:eastAsia="zh-CN"/>
              </w:rPr>
              <w:t>t，</w:t>
            </w:r>
            <w:r>
              <w:rPr>
                <w:rFonts w:hint="eastAsia" w:cs="Times New Roman"/>
                <w:color w:val="auto"/>
                <w:sz w:val="24"/>
                <w:u w:val="none"/>
                <w:lang w:val="en-US" w:eastAsia="zh-CN"/>
              </w:rPr>
              <w:t>烟尘排放量为0.21t/a</w:t>
            </w:r>
            <w:r>
              <w:rPr>
                <w:rFonts w:hint="eastAsia" w:cs="Times New Roman"/>
                <w:color w:val="auto"/>
                <w:sz w:val="24"/>
                <w:u w:val="none"/>
                <w:lang w:eastAsia="zh-CN"/>
              </w:rPr>
              <w:t>。</w:t>
            </w:r>
            <w:r>
              <w:rPr>
                <w:rFonts w:hint="eastAsia" w:cs="Times New Roman"/>
                <w:color w:val="auto"/>
                <w:sz w:val="24"/>
                <w:u w:val="none"/>
                <w:lang w:val="en-US" w:eastAsia="zh-CN"/>
              </w:rPr>
              <w:t>实际建设为10t/h的燃气锅炉一台</w:t>
            </w:r>
            <w:r>
              <w:rPr>
                <w:rFonts w:hint="eastAsia" w:cs="Times New Roman"/>
                <w:color w:val="auto"/>
                <w:sz w:val="24"/>
                <w:u w:val="none"/>
                <w:lang w:eastAsia="zh-CN"/>
              </w:rPr>
              <w:t>，中压炉，</w:t>
            </w:r>
            <w:r>
              <w:rPr>
                <w:rFonts w:hint="eastAsia" w:cs="Times New Roman"/>
                <w:color w:val="auto"/>
                <w:sz w:val="24"/>
                <w:u w:val="none"/>
                <w:lang w:val="en-US" w:eastAsia="zh-CN"/>
              </w:rPr>
              <w:t>蒸汽压力为</w:t>
            </w:r>
            <w:r>
              <w:rPr>
                <w:rFonts w:hint="eastAsia" w:cs="Times New Roman"/>
                <w:color w:val="auto"/>
                <w:sz w:val="24"/>
                <w:u w:val="none"/>
                <w:lang w:eastAsia="zh-CN"/>
              </w:rPr>
              <w:t>2.5M</w:t>
            </w:r>
            <w:r>
              <w:rPr>
                <w:rFonts w:hint="eastAsia" w:cs="Times New Roman"/>
                <w:color w:val="auto"/>
                <w:sz w:val="24"/>
                <w:u w:val="none"/>
                <w:lang w:val="en-US" w:eastAsia="zh-CN"/>
              </w:rPr>
              <w:t>P</w:t>
            </w:r>
            <w:r>
              <w:rPr>
                <w:rFonts w:hint="eastAsia" w:cs="Times New Roman"/>
                <w:color w:val="auto"/>
                <w:sz w:val="24"/>
                <w:u w:val="none"/>
                <w:lang w:eastAsia="zh-CN"/>
              </w:rPr>
              <w:t>a。</w:t>
            </w:r>
            <w:r>
              <w:rPr>
                <w:rFonts w:hint="eastAsia" w:cs="Times New Roman"/>
                <w:color w:val="auto"/>
                <w:sz w:val="24"/>
                <w:u w:val="none"/>
                <w:lang w:val="en-US" w:eastAsia="zh-CN"/>
              </w:rPr>
              <w:t>实际建设为6t/h的燃气锅炉一台</w:t>
            </w:r>
            <w:r>
              <w:rPr>
                <w:rFonts w:hint="eastAsia" w:cs="Times New Roman"/>
                <w:color w:val="auto"/>
                <w:sz w:val="24"/>
                <w:u w:val="none"/>
                <w:lang w:eastAsia="zh-CN"/>
              </w:rPr>
              <w:t>，</w:t>
            </w:r>
            <w:r>
              <w:rPr>
                <w:rFonts w:hint="eastAsia" w:cs="Times New Roman"/>
                <w:color w:val="auto"/>
                <w:sz w:val="24"/>
                <w:u w:val="none"/>
                <w:lang w:val="en-US" w:eastAsia="zh-CN"/>
              </w:rPr>
              <w:t>蒸汽压力为3</w:t>
            </w:r>
            <w:r>
              <w:rPr>
                <w:rFonts w:hint="eastAsia" w:cs="Times New Roman"/>
                <w:color w:val="auto"/>
                <w:sz w:val="24"/>
                <w:u w:val="none"/>
                <w:lang w:eastAsia="zh-CN"/>
              </w:rPr>
              <w:t>M</w:t>
            </w:r>
            <w:r>
              <w:rPr>
                <w:rFonts w:hint="eastAsia" w:cs="Times New Roman"/>
                <w:color w:val="auto"/>
                <w:sz w:val="24"/>
                <w:u w:val="none"/>
                <w:lang w:val="en-US" w:eastAsia="zh-CN"/>
              </w:rPr>
              <w:t>P</w:t>
            </w:r>
            <w:r>
              <w:rPr>
                <w:rFonts w:hint="eastAsia" w:cs="Times New Roman"/>
                <w:color w:val="auto"/>
                <w:sz w:val="24"/>
                <w:u w:val="none"/>
                <w:lang w:eastAsia="zh-CN"/>
              </w:rPr>
              <w:t>a，</w:t>
            </w:r>
            <w:r>
              <w:rPr>
                <w:rFonts w:hint="eastAsia" w:cs="Times New Roman"/>
                <w:color w:val="auto"/>
                <w:sz w:val="24"/>
                <w:u w:val="none"/>
                <w:lang w:val="en-US" w:eastAsia="zh-CN"/>
              </w:rPr>
              <w:t>3t/h的燃气锅炉一台</w:t>
            </w:r>
            <w:r>
              <w:rPr>
                <w:rFonts w:hint="eastAsia" w:cs="Times New Roman"/>
                <w:color w:val="auto"/>
                <w:sz w:val="24"/>
                <w:u w:val="none"/>
                <w:lang w:eastAsia="zh-CN"/>
              </w:rPr>
              <w:t>，</w:t>
            </w:r>
            <w:r>
              <w:rPr>
                <w:rFonts w:hint="eastAsia" w:cs="Times New Roman"/>
                <w:color w:val="auto"/>
                <w:sz w:val="24"/>
                <w:u w:val="none"/>
                <w:lang w:val="en-US" w:eastAsia="zh-CN"/>
              </w:rPr>
              <w:t>蒸汽压力为1.5</w:t>
            </w:r>
            <w:r>
              <w:rPr>
                <w:rFonts w:hint="eastAsia" w:cs="Times New Roman"/>
                <w:color w:val="auto"/>
                <w:sz w:val="24"/>
                <w:u w:val="none"/>
                <w:lang w:eastAsia="zh-CN"/>
              </w:rPr>
              <w:t>M</w:t>
            </w:r>
            <w:r>
              <w:rPr>
                <w:rFonts w:hint="eastAsia" w:cs="Times New Roman"/>
                <w:color w:val="auto"/>
                <w:sz w:val="24"/>
                <w:u w:val="none"/>
                <w:lang w:val="en-US" w:eastAsia="zh-CN"/>
              </w:rPr>
              <w:t>P</w:t>
            </w:r>
            <w:r>
              <w:rPr>
                <w:rFonts w:hint="eastAsia" w:cs="Times New Roman"/>
                <w:color w:val="auto"/>
                <w:sz w:val="24"/>
                <w:u w:val="none"/>
                <w:lang w:eastAsia="zh-CN"/>
              </w:rPr>
              <w:t>a；</w:t>
            </w:r>
            <w:r>
              <w:rPr>
                <w:rFonts w:hint="eastAsia" w:cs="Times New Roman"/>
                <w:color w:val="auto"/>
                <w:sz w:val="24"/>
                <w:u w:val="none"/>
                <w:lang w:val="en-US" w:eastAsia="zh-CN"/>
              </w:rPr>
              <w:t>锅炉总吨数未超出环评给出的总吨数。本项目建成后，两公司锅炉的污染物排放量均减少。具体见下表。</w:t>
            </w:r>
          </w:p>
          <w:p>
            <w:pPr>
              <w:adjustRightInd w:val="0"/>
              <w:snapToGrid w:val="0"/>
              <w:jc w:val="center"/>
              <w:rPr>
                <w:rFonts w:ascii="Times New Roman" w:hAnsi="Times New Roman" w:eastAsia="宋体"/>
                <w:b/>
                <w:color w:val="auto"/>
                <w:sz w:val="21"/>
                <w:szCs w:val="21"/>
                <w:lang w:val="en-US" w:eastAsia="zh-CN"/>
              </w:rPr>
            </w:pPr>
            <w:r>
              <w:rPr>
                <w:rFonts w:ascii="Times New Roman" w:hAnsi="Times New Roman"/>
                <w:b/>
                <w:color w:val="auto"/>
                <w:sz w:val="21"/>
                <w:szCs w:val="21"/>
              </w:rPr>
              <w:t>表</w:t>
            </w:r>
            <w:r>
              <w:rPr>
                <w:rFonts w:hint="eastAsia"/>
                <w:b/>
                <w:color w:val="auto"/>
                <w:sz w:val="21"/>
                <w:szCs w:val="21"/>
                <w:lang w:val="en-US" w:eastAsia="zh-CN"/>
              </w:rPr>
              <w:t>2</w:t>
            </w:r>
            <w:r>
              <w:rPr>
                <w:rFonts w:ascii="Times New Roman" w:hAnsi="Times New Roman"/>
                <w:b/>
                <w:color w:val="auto"/>
                <w:sz w:val="21"/>
                <w:szCs w:val="21"/>
              </w:rPr>
              <w:t>-</w:t>
            </w:r>
            <w:r>
              <w:rPr>
                <w:rFonts w:hint="eastAsia" w:ascii="Times New Roman" w:hAnsi="Times New Roman"/>
                <w:b/>
                <w:color w:val="auto"/>
                <w:sz w:val="21"/>
                <w:szCs w:val="21"/>
              </w:rPr>
              <w:t>1</w:t>
            </w:r>
            <w:r>
              <w:rPr>
                <w:rFonts w:hint="eastAsia"/>
                <w:b/>
                <w:color w:val="auto"/>
                <w:sz w:val="21"/>
                <w:szCs w:val="21"/>
                <w:lang w:val="en-US" w:eastAsia="zh-CN"/>
              </w:rPr>
              <w:t>1</w:t>
            </w:r>
            <w:r>
              <w:rPr>
                <w:rFonts w:ascii="Times New Roman" w:hAnsi="Times New Roman"/>
                <w:b/>
                <w:color w:val="auto"/>
                <w:sz w:val="21"/>
                <w:szCs w:val="21"/>
              </w:rPr>
              <w:t xml:space="preserve"> </w:t>
            </w:r>
            <w:r>
              <w:rPr>
                <w:rFonts w:hint="eastAsia"/>
                <w:b/>
                <w:color w:val="auto"/>
                <w:sz w:val="21"/>
                <w:szCs w:val="21"/>
                <w:lang w:val="en-US" w:eastAsia="zh-CN"/>
              </w:rPr>
              <w:t>项目建成后</w:t>
            </w:r>
            <w:r>
              <w:rPr>
                <w:rFonts w:hint="eastAsia" w:ascii="Times New Roman" w:hAnsi="Times New Roman"/>
                <w:b/>
                <w:color w:val="auto"/>
                <w:sz w:val="21"/>
                <w:szCs w:val="21"/>
              </w:rPr>
              <w:t>锅炉污染物</w:t>
            </w:r>
            <w:r>
              <w:rPr>
                <w:rFonts w:hint="eastAsia"/>
                <w:b/>
                <w:color w:val="auto"/>
                <w:sz w:val="21"/>
                <w:szCs w:val="21"/>
                <w:lang w:val="en-US" w:eastAsia="zh-CN"/>
              </w:rPr>
              <w:t>排放</w:t>
            </w:r>
            <w:r>
              <w:rPr>
                <w:rFonts w:hint="eastAsia" w:ascii="Times New Roman" w:hAnsi="Times New Roman"/>
                <w:b/>
                <w:color w:val="auto"/>
                <w:sz w:val="21"/>
                <w:szCs w:val="21"/>
              </w:rPr>
              <w:t>量</w:t>
            </w:r>
            <w:r>
              <w:rPr>
                <w:rFonts w:hint="eastAsia"/>
                <w:b/>
                <w:color w:val="auto"/>
                <w:sz w:val="21"/>
                <w:szCs w:val="21"/>
                <w:lang w:val="en-US" w:eastAsia="zh-CN"/>
              </w:rPr>
              <w:t>变化情况表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25"/>
              <w:gridCol w:w="704"/>
              <w:gridCol w:w="2507"/>
              <w:gridCol w:w="2669"/>
              <w:gridCol w:w="153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754"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类别</w:t>
                  </w:r>
                </w:p>
              </w:tc>
              <w:tc>
                <w:tcPr>
                  <w:tcW w:w="1443"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污染物</w:t>
                  </w:r>
                </w:p>
              </w:tc>
              <w:tc>
                <w:tcPr>
                  <w:tcW w:w="926"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原有</w:t>
                  </w:r>
                  <w:r>
                    <w:rPr>
                      <w:rFonts w:ascii="Times New Roman" w:hAnsi="Times New Roman" w:eastAsia="宋体" w:cs="Times New Roman"/>
                      <w:b/>
                      <w:bCs/>
                      <w:color w:val="auto"/>
                      <w:kern w:val="0"/>
                      <w:sz w:val="21"/>
                      <w:szCs w:val="21"/>
                      <w:lang w:val="en-US" w:eastAsia="zh-CN"/>
                    </w:rPr>
                    <w:t>锅炉</w:t>
                  </w:r>
                  <w:r>
                    <w:rPr>
                      <w:rFonts w:hint="eastAsia" w:cs="Times New Roman"/>
                      <w:b/>
                      <w:bCs/>
                      <w:color w:val="0000FF"/>
                      <w:kern w:val="0"/>
                      <w:sz w:val="21"/>
                      <w:szCs w:val="21"/>
                      <w:u w:val="single"/>
                      <w:lang w:val="en-US" w:eastAsia="zh-CN"/>
                    </w:rPr>
                    <w:t>污染物</w:t>
                  </w:r>
                  <w:r>
                    <w:rPr>
                      <w:rFonts w:hint="eastAsia" w:cs="Times New Roman"/>
                      <w:b/>
                      <w:bCs/>
                      <w:color w:val="auto"/>
                      <w:kern w:val="0"/>
                      <w:sz w:val="21"/>
                      <w:szCs w:val="21"/>
                      <w:lang w:val="en-US" w:eastAsia="zh-CN"/>
                    </w:rPr>
                    <w:t>总</w:t>
                  </w:r>
                  <w:r>
                    <w:rPr>
                      <w:rFonts w:ascii="Times New Roman" w:hAnsi="Times New Roman" w:eastAsia="宋体" w:cs="Times New Roman"/>
                      <w:b/>
                      <w:bCs/>
                      <w:color w:val="auto"/>
                      <w:kern w:val="0"/>
                      <w:sz w:val="21"/>
                      <w:szCs w:val="21"/>
                    </w:rPr>
                    <w:t>排放量（t/a）</w:t>
                  </w:r>
                </w:p>
              </w:tc>
              <w:tc>
                <w:tcPr>
                  <w:tcW w:w="104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rPr>
                    <w:t>本项目</w:t>
                  </w:r>
                  <w:r>
                    <w:rPr>
                      <w:rFonts w:hint="eastAsia" w:cs="Times New Roman"/>
                      <w:b/>
                      <w:bCs/>
                      <w:color w:val="auto"/>
                      <w:kern w:val="0"/>
                      <w:sz w:val="21"/>
                      <w:szCs w:val="21"/>
                      <w:lang w:val="en-US" w:eastAsia="zh-CN"/>
                    </w:rPr>
                    <w:t>建成后污染物</w:t>
                  </w:r>
                  <w:r>
                    <w:rPr>
                      <w:rFonts w:ascii="Times New Roman" w:hAnsi="Times New Roman" w:eastAsia="宋体" w:cs="Times New Roman"/>
                      <w:b/>
                      <w:bCs/>
                      <w:color w:val="auto"/>
                      <w:kern w:val="0"/>
                      <w:sz w:val="21"/>
                      <w:szCs w:val="21"/>
                    </w:rPr>
                    <w:t>排放量（t/a）</w:t>
                  </w:r>
                </w:p>
              </w:tc>
              <w:tc>
                <w:tcPr>
                  <w:tcW w:w="834"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增减变化量（t/a）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restart"/>
                  <w:tcBorders>
                    <w:top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废气污染物</w:t>
                  </w:r>
                </w:p>
              </w:tc>
              <w:tc>
                <w:tcPr>
                  <w:tcW w:w="1443"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vertAlign w:val="subscript"/>
                      <w:lang w:val="en-US" w:eastAsia="zh-CN"/>
                    </w:rPr>
                  </w:pPr>
                  <w:r>
                    <w:rPr>
                      <w:rFonts w:ascii="Times New Roman" w:hAnsi="Times New Roman" w:cs="Times New Roman"/>
                      <w:color w:val="auto"/>
                      <w:kern w:val="0"/>
                      <w:sz w:val="21"/>
                      <w:szCs w:val="21"/>
                      <w:lang w:val="en-US" w:eastAsia="zh-CN"/>
                    </w:rPr>
                    <w:t>SO</w:t>
                  </w:r>
                  <w:r>
                    <w:rPr>
                      <w:rFonts w:ascii="Times New Roman" w:hAnsi="Times New Roman" w:cs="Times New Roman"/>
                      <w:color w:val="auto"/>
                      <w:kern w:val="0"/>
                      <w:sz w:val="21"/>
                      <w:szCs w:val="21"/>
                      <w:vertAlign w:val="subscript"/>
                      <w:lang w:val="en-US" w:eastAsia="zh-CN"/>
                    </w:rPr>
                    <w:t>2</w:t>
                  </w:r>
                </w:p>
              </w:tc>
              <w:tc>
                <w:tcPr>
                  <w:tcW w:w="926"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0.064</w:t>
                  </w:r>
                </w:p>
              </w:tc>
              <w:tc>
                <w:tcPr>
                  <w:tcW w:w="1041"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0.026</w:t>
                  </w:r>
                </w:p>
              </w:tc>
              <w:tc>
                <w:tcPr>
                  <w:tcW w:w="834" w:type="pct"/>
                  <w:tcBorders>
                    <w:top w:val="single" w:color="auto" w:sz="8" w:space="0"/>
                    <w:lef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w:t>
                  </w:r>
                  <w:r>
                    <w:rPr>
                      <w:rFonts w:hint="eastAsia" w:cs="Times New Roman"/>
                      <w:color w:val="auto"/>
                      <w:kern w:val="0"/>
                      <w:sz w:val="21"/>
                      <w:szCs w:val="21"/>
                      <w:lang w:val="en-US" w:eastAsia="zh-CN"/>
                    </w:rPr>
                    <w:t>3</w:t>
                  </w:r>
                  <w:r>
                    <w:rPr>
                      <w:rFonts w:ascii="Times New Roman" w:hAnsi="Times New Roman" w:cs="Times New Roman"/>
                      <w:color w:val="auto"/>
                      <w:kern w:val="0"/>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continue"/>
                  <w:tcBorders>
                    <w:top w:val="single" w:color="auto" w:sz="8" w:space="0"/>
                    <w:right w:val="single" w:color="auto" w:sz="8" w:space="0"/>
                  </w:tcBorders>
                  <w:noWrap/>
                  <w:vAlign w:val="center"/>
                </w:tcPr>
                <w:p/>
              </w:tc>
              <w:tc>
                <w:tcPr>
                  <w:tcW w:w="1443"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vertAlign w:val="subscript"/>
                      <w:lang w:val="en-US" w:eastAsia="zh-CN"/>
                    </w:rPr>
                  </w:pPr>
                  <w:r>
                    <w:rPr>
                      <w:rFonts w:ascii="Times New Roman" w:hAnsi="Times New Roman" w:cs="Times New Roman"/>
                      <w:color w:val="auto"/>
                      <w:kern w:val="0"/>
                      <w:sz w:val="21"/>
                      <w:szCs w:val="21"/>
                      <w:lang w:val="en-US" w:eastAsia="zh-CN"/>
                    </w:rPr>
                    <w:t>NO</w:t>
                  </w:r>
                  <w:r>
                    <w:rPr>
                      <w:rFonts w:ascii="Times New Roman" w:hAnsi="Times New Roman" w:cs="Times New Roman"/>
                      <w:color w:val="auto"/>
                      <w:kern w:val="0"/>
                      <w:sz w:val="21"/>
                      <w:szCs w:val="21"/>
                      <w:vertAlign w:val="subscript"/>
                      <w:lang w:val="en-US" w:eastAsia="zh-CN"/>
                    </w:rPr>
                    <w:t>x</w:t>
                  </w:r>
                </w:p>
              </w:tc>
              <w:tc>
                <w:tcPr>
                  <w:tcW w:w="926"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1.29</w:t>
                  </w:r>
                  <w:r>
                    <w:rPr>
                      <w:rFonts w:ascii="Times New Roman" w:hAnsi="Times New Roman" w:cs="Times New Roman"/>
                      <w:color w:val="auto"/>
                      <w:kern w:val="0"/>
                      <w:sz w:val="21"/>
                      <w:szCs w:val="21"/>
                      <w:lang w:val="en-US" w:eastAsia="zh-CN"/>
                    </w:rPr>
                    <w:t>8</w:t>
                  </w:r>
                </w:p>
              </w:tc>
              <w:tc>
                <w:tcPr>
                  <w:tcW w:w="1041"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color w:val="auto"/>
                      <w:kern w:val="0"/>
                      <w:sz w:val="21"/>
                      <w:szCs w:val="21"/>
                      <w:lang w:val="en-US" w:eastAsia="zh-CN"/>
                    </w:rPr>
                  </w:pPr>
                  <w:r>
                    <w:rPr>
                      <w:rFonts w:ascii="Times New Roman" w:hAnsi="Times New Roman" w:cs="Times New Roman"/>
                      <w:color w:val="auto"/>
                      <w:kern w:val="0"/>
                      <w:sz w:val="21"/>
                      <w:szCs w:val="21"/>
                      <w:lang w:val="en-US" w:eastAsia="zh-CN"/>
                    </w:rPr>
                    <w:t>0.944</w:t>
                  </w:r>
                </w:p>
              </w:tc>
              <w:tc>
                <w:tcPr>
                  <w:tcW w:w="834" w:type="pct"/>
                  <w:tcBorders>
                    <w:top w:val="single" w:color="auto" w:sz="8" w:space="0"/>
                    <w:lef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w:t>
                  </w:r>
                  <w:r>
                    <w:rPr>
                      <w:rFonts w:hint="eastAsia" w:cs="Times New Roman"/>
                      <w:color w:val="auto"/>
                      <w:kern w:val="0"/>
                      <w:sz w:val="21"/>
                      <w:szCs w:val="21"/>
                      <w:lang w:val="en-US" w:eastAsia="zh-CN"/>
                    </w:rPr>
                    <w:t>35</w:t>
                  </w:r>
                  <w:r>
                    <w:rPr>
                      <w:rFonts w:ascii="Times New Roman" w:hAnsi="Times New Roman" w:cs="Times New Roman"/>
                      <w:color w:val="auto"/>
                      <w:kern w:val="0"/>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continue"/>
                  <w:tcBorders>
                    <w:top w:val="single" w:color="auto" w:sz="8" w:space="0"/>
                    <w:right w:val="single" w:color="auto" w:sz="8" w:space="0"/>
                  </w:tcBorders>
                  <w:noWrap/>
                  <w:vAlign w:val="center"/>
                </w:tcPr>
                <w:p/>
              </w:tc>
              <w:tc>
                <w:tcPr>
                  <w:tcW w:w="1443"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颗粒物</w:t>
                  </w:r>
                </w:p>
              </w:tc>
              <w:tc>
                <w:tcPr>
                  <w:tcW w:w="926"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0.21</w:t>
                  </w:r>
                </w:p>
              </w:tc>
              <w:tc>
                <w:tcPr>
                  <w:tcW w:w="1041"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0.205</w:t>
                  </w:r>
                </w:p>
              </w:tc>
              <w:tc>
                <w:tcPr>
                  <w:tcW w:w="834" w:type="pct"/>
                  <w:tcBorders>
                    <w:top w:val="single" w:color="auto" w:sz="8" w:space="0"/>
                    <w:lef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-0.005</w:t>
                  </w:r>
                </w:p>
              </w:tc>
            </w:tr>
          </w:tbl>
          <w:p>
            <w:pPr>
              <w:adjustRightInd w:val="0"/>
              <w:snapToGrid w:val="0"/>
              <w:spacing w:before="120" w:beforeLines="50" w:line="360" w:lineRule="auto"/>
              <w:ind w:firstLine="482"/>
              <w:jc w:val="left"/>
              <w:rPr>
                <w:rFonts w:hint="eastAsia" w:ascii="Times New Roman" w:hAnsi="Times New Roman" w:eastAsia="宋体" w:cs="Times New Roman"/>
                <w:color w:val="auto"/>
                <w:sz w:val="24"/>
                <w:lang w:val="en-US" w:eastAsia="zh-CN"/>
              </w:rPr>
            </w:pPr>
            <w:r>
              <w:rPr>
                <w:rFonts w:ascii="Times New Roman" w:hAnsi="Times New Roman" w:cs="Times New Roman"/>
                <w:color w:val="auto"/>
                <w:sz w:val="24"/>
              </w:rPr>
              <w:t>四川鸿鹏新材料有限公司年使用蒸汽量约为37000t/a，四川屹光新材料制造有限公司年使用蒸汽量约为40000t/a，本项目建成后，年产蒸汽量为9.504万t/a。完全能满足两公司的蒸汽使用要求。</w:t>
            </w:r>
            <w:r>
              <w:rPr>
                <w:rFonts w:hint="eastAsia" w:cs="Times New Roman"/>
                <w:color w:val="auto"/>
                <w:sz w:val="24"/>
                <w:lang w:val="en-US" w:eastAsia="zh-CN"/>
              </w:rPr>
              <w:t>建成后不会影响原有环评的产能。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lang w:val="en-US" w:eastAsia="zh-CN"/>
              </w:rPr>
            </w:pPr>
            <w:r>
              <w:rPr>
                <w:rFonts w:hint="eastAsia"/>
                <w:color w:val="auto"/>
                <w:sz w:val="24"/>
                <w:szCs w:val="32"/>
                <w:u w:val="none"/>
                <w:lang w:val="en-US" w:eastAsia="zh-CN"/>
              </w:rPr>
              <w:t>综上，本项目建成后，不会影响原有环评的产能。实现了能源替代，且排污总量减少，成本减少。对区域环境产生正效益。</w:t>
            </w:r>
          </w:p>
        </w:tc>
      </w:tr>
    </w:tbl>
    <w:p>
      <w:pPr>
        <w:pStyle w:val="21"/>
        <w:jc w:val="center"/>
        <w:rPr>
          <w:rFonts w:ascii="Times New Roman" w:hAnsi="Times New Roman" w:eastAsia="黑体" w:cs="Times New Roman"/>
          <w:snapToGrid w:val="0"/>
          <w:color w:val="auto"/>
          <w:sz w:val="36"/>
          <w:szCs w:val="36"/>
        </w:rPr>
        <w:sectPr>
          <w:pgSz w:w="11906" w:h="16838"/>
          <w:pgMar w:top="1701" w:right="1531" w:bottom="1701" w:left="1531" w:header="851" w:footer="851" w:gutter="0"/>
          <w:cols w:space="720" w:num="1"/>
          <w:docGrid w:linePitch="312" w:charSpace="0"/>
        </w:sectPr>
      </w:pPr>
    </w:p>
    <w:p>
      <w:pPr>
        <w:pStyle w:val="2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6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50" w:type="dxa"/>
            <w:vAlign w:val="center"/>
          </w:tcPr>
          <w:p>
            <w:pPr>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区域</w:t>
            </w:r>
          </w:p>
          <w:p>
            <w:pPr>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环境</w:t>
            </w:r>
          </w:p>
          <w:p>
            <w:pPr>
              <w:adjustRightInd w:val="0"/>
              <w:snapToGrid w:val="0"/>
              <w:jc w:val="center"/>
              <w:rPr>
                <w:rFonts w:ascii="Times New Roman" w:hAnsi="Times New Roman" w:cs="Times New Roman"/>
                <w:color w:val="auto"/>
                <w:kern w:val="0"/>
                <w:sz w:val="24"/>
              </w:rPr>
            </w:pPr>
            <w:r>
              <w:rPr>
                <w:rFonts w:ascii="Times New Roman" w:hAnsi="Times New Roman" w:cs="Times New Roman"/>
                <w:color w:val="auto"/>
                <w:kern w:val="0"/>
                <w:sz w:val="24"/>
              </w:rPr>
              <w:t>质量</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 w:val="24"/>
              </w:rPr>
              <w:t>现状</w:t>
            </w:r>
          </w:p>
        </w:tc>
        <w:tc>
          <w:tcPr>
            <w:tcW w:w="8611" w:type="dxa"/>
            <w:vAlign w:val="center"/>
          </w:tcPr>
          <w:p>
            <w:pPr>
              <w:autoSpaceDE w:val="0"/>
              <w:autoSpaceDN w:val="0"/>
              <w:spacing w:line="360" w:lineRule="auto"/>
              <w:ind w:firstLine="482" w:firstLineChars="200"/>
              <w:jc w:val="left"/>
              <w:rPr>
                <w:rFonts w:ascii="Times New Roman" w:hAnsi="Times New Roman" w:cs="Times New Roman"/>
                <w:b/>
                <w:color w:val="auto"/>
                <w:kern w:val="0"/>
                <w:sz w:val="24"/>
              </w:rPr>
            </w:pPr>
            <w:r>
              <w:rPr>
                <w:rFonts w:ascii="Times New Roman" w:hAnsi="Times New Roman" w:cs="Times New Roman"/>
                <w:b/>
                <w:color w:val="auto"/>
                <w:kern w:val="0"/>
                <w:sz w:val="24"/>
              </w:rPr>
              <w:t>一、环境空气质量现状</w:t>
            </w:r>
          </w:p>
          <w:p>
            <w:pPr>
              <w:adjustRightInd w:val="0"/>
              <w:snapToGrid w:val="0"/>
              <w:spacing w:line="360" w:lineRule="auto"/>
              <w:ind w:firstLine="482" w:firstLineChars="200"/>
              <w:rPr>
                <w:rFonts w:ascii="Times New Roman" w:hAnsi="Times New Roman" w:eastAsia="宋体" w:cs="Times New Roman"/>
                <w:b/>
                <w:bCs/>
                <w:color w:val="auto"/>
                <w:sz w:val="24"/>
                <w:szCs w:val="32"/>
                <w:u w:val="none"/>
              </w:rPr>
            </w:pPr>
            <w:r>
              <w:rPr>
                <w:rFonts w:ascii="Times New Roman" w:hAnsi="Times New Roman" w:eastAsia="宋体" w:cs="Times New Roman"/>
                <w:b/>
                <w:bCs/>
                <w:color w:val="auto"/>
                <w:sz w:val="24"/>
                <w:szCs w:val="32"/>
                <w:u w:val="none"/>
              </w:rPr>
              <w:t>（1）常规污染物</w:t>
            </w:r>
          </w:p>
          <w:p>
            <w:pPr>
              <w:spacing w:line="360" w:lineRule="auto"/>
              <w:ind w:firstLine="480" w:firstLineChars="200"/>
              <w:jc w:val="left"/>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本项目引用</w:t>
            </w:r>
            <w:r>
              <w:rPr>
                <w:rFonts w:ascii="Times New Roman" w:hAnsi="Times New Roman" w:eastAsia="宋体" w:cs="Times New Roman"/>
                <w:color w:val="auto"/>
                <w:sz w:val="24"/>
                <w:u w:val="none"/>
                <w:lang w:val="en-US" w:eastAsia="zh-CN"/>
              </w:rPr>
              <w:t>遂宁</w:t>
            </w:r>
            <w:r>
              <w:rPr>
                <w:rFonts w:ascii="Times New Roman" w:hAnsi="Times New Roman" w:eastAsia="宋体" w:cs="Times New Roman"/>
                <w:color w:val="auto"/>
                <w:sz w:val="24"/>
                <w:u w:val="none"/>
              </w:rPr>
              <w:t>市生态环境局于202</w:t>
            </w:r>
            <w:r>
              <w:rPr>
                <w:rFonts w:hint="eastAsia" w:cs="Times New Roman"/>
                <w:color w:val="auto"/>
                <w:sz w:val="24"/>
                <w:u w:val="none"/>
                <w:lang w:val="en-US" w:eastAsia="zh-CN"/>
              </w:rPr>
              <w:t>4</w:t>
            </w:r>
            <w:r>
              <w:rPr>
                <w:rFonts w:ascii="Times New Roman" w:hAnsi="Times New Roman" w:eastAsia="宋体" w:cs="Times New Roman"/>
                <w:color w:val="auto"/>
                <w:sz w:val="24"/>
                <w:u w:val="none"/>
              </w:rPr>
              <w:t>年1月</w:t>
            </w:r>
            <w:r>
              <w:rPr>
                <w:rFonts w:hint="eastAsia" w:cs="Times New Roman"/>
                <w:color w:val="auto"/>
                <w:sz w:val="24"/>
                <w:u w:val="none"/>
                <w:lang w:val="en-US" w:eastAsia="zh-CN"/>
              </w:rPr>
              <w:t>15</w:t>
            </w:r>
            <w:r>
              <w:rPr>
                <w:rFonts w:ascii="Times New Roman" w:hAnsi="Times New Roman" w:eastAsia="宋体" w:cs="Times New Roman"/>
                <w:color w:val="auto"/>
                <w:sz w:val="24"/>
                <w:u w:val="none"/>
              </w:rPr>
              <w:t>日公布的《</w:t>
            </w:r>
            <w:r>
              <w:rPr>
                <w:rFonts w:ascii="Times New Roman" w:hAnsi="Times New Roman" w:eastAsia="宋体" w:cs="Times New Roman"/>
                <w:color w:val="auto"/>
                <w:sz w:val="24"/>
                <w:u w:val="none"/>
                <w:lang w:val="en-US" w:eastAsia="zh-CN"/>
              </w:rPr>
              <w:t>202</w:t>
            </w:r>
            <w:r>
              <w:rPr>
                <w:rFonts w:hint="eastAsia" w:cs="Times New Roman"/>
                <w:color w:val="auto"/>
                <w:sz w:val="24"/>
                <w:u w:val="none"/>
                <w:lang w:val="en-US" w:eastAsia="zh-CN"/>
              </w:rPr>
              <w:t>3</w:t>
            </w:r>
            <w:r>
              <w:rPr>
                <w:rFonts w:ascii="Times New Roman" w:hAnsi="Times New Roman" w:eastAsia="宋体" w:cs="Times New Roman"/>
                <w:color w:val="auto"/>
                <w:sz w:val="24"/>
                <w:u w:val="none"/>
                <w:lang w:val="en-US" w:eastAsia="zh-CN"/>
              </w:rPr>
              <w:t>年遂宁市环境质量公告</w:t>
            </w:r>
            <w:r>
              <w:rPr>
                <w:rFonts w:ascii="Times New Roman" w:hAnsi="Times New Roman" w:eastAsia="宋体" w:cs="Times New Roman"/>
                <w:color w:val="auto"/>
                <w:sz w:val="24"/>
                <w:u w:val="none"/>
              </w:rPr>
              <w:t>》</w:t>
            </w:r>
            <w:r>
              <w:rPr>
                <w:rFonts w:ascii="Times New Roman" w:hAnsi="Times New Roman" w:eastAsia="宋体" w:cs="Times New Roman"/>
                <w:color w:val="auto"/>
                <w:sz w:val="24"/>
                <w:u w:val="none"/>
                <w:lang w:eastAsia="zh-CN"/>
              </w:rPr>
              <w:t>（</w:t>
            </w:r>
            <w:r>
              <w:rPr>
                <w:rFonts w:ascii="Times New Roman" w:hAnsi="Times New Roman" w:eastAsia="宋体" w:cs="Times New Roman"/>
                <w:color w:val="auto"/>
                <w:sz w:val="24"/>
                <w:u w:val="none"/>
                <w:lang w:val="en-US" w:eastAsia="zh-CN"/>
              </w:rPr>
              <w:t>网址：</w:t>
            </w:r>
            <w:r>
              <w:rPr>
                <w:rFonts w:ascii="Times New Roman" w:hAnsi="Times New Roman" w:eastAsia="宋体" w:cs="Times New Roman"/>
                <w:color w:val="auto"/>
                <w:sz w:val="24"/>
                <w:szCs w:val="24"/>
                <w:u w:val="none"/>
              </w:rPr>
              <w:t>https://www.suining.gov.cn/phone/show/5b25e70895b814af678b0a09f2c09177.html</w:t>
            </w:r>
            <w:r>
              <w:rPr>
                <w:rFonts w:ascii="Times New Roman" w:hAnsi="Times New Roman" w:eastAsia="宋体" w:cs="Times New Roman"/>
                <w:color w:val="auto"/>
                <w:sz w:val="24"/>
                <w:u w:val="none"/>
                <w:lang w:eastAsia="zh-CN"/>
              </w:rPr>
              <w:t>）</w:t>
            </w:r>
            <w:r>
              <w:rPr>
                <w:rFonts w:ascii="Times New Roman" w:hAnsi="Times New Roman" w:eastAsia="宋体" w:cs="Times New Roman"/>
                <w:color w:val="auto"/>
                <w:sz w:val="24"/>
                <w:u w:val="none"/>
              </w:rPr>
              <w:t>，</w:t>
            </w:r>
            <w:r>
              <w:rPr>
                <w:rFonts w:ascii="Times New Roman" w:hAnsi="Times New Roman" w:eastAsia="宋体" w:cs="Times New Roman"/>
                <w:color w:val="auto"/>
                <w:sz w:val="24"/>
                <w:u w:val="none"/>
                <w:shd w:val="clear" w:color="auto" w:fill="FFFFFF"/>
              </w:rPr>
              <w:t>202</w:t>
            </w:r>
            <w:r>
              <w:rPr>
                <w:rFonts w:hint="eastAsia" w:cs="Times New Roman"/>
                <w:color w:val="auto"/>
                <w:sz w:val="24"/>
                <w:u w:val="none"/>
                <w:shd w:val="clear" w:color="auto" w:fill="FFFFFF"/>
                <w:lang w:val="en-US" w:eastAsia="zh-CN"/>
              </w:rPr>
              <w:t>3</w:t>
            </w:r>
            <w:r>
              <w:rPr>
                <w:rFonts w:ascii="Times New Roman" w:hAnsi="Times New Roman" w:eastAsia="宋体" w:cs="Times New Roman"/>
                <w:color w:val="auto"/>
                <w:sz w:val="24"/>
                <w:u w:val="none"/>
                <w:shd w:val="clear" w:color="auto" w:fill="FFFFFF"/>
              </w:rPr>
              <w:t>年，</w:t>
            </w:r>
            <w:r>
              <w:rPr>
                <w:rFonts w:ascii="Times New Roman" w:hAnsi="Times New Roman" w:eastAsia="宋体" w:cs="Times New Roman"/>
                <w:color w:val="auto"/>
                <w:sz w:val="24"/>
                <w:u w:val="none"/>
                <w:shd w:val="clear" w:color="auto" w:fill="FFFFFF"/>
                <w:lang w:val="en-US" w:eastAsia="zh-CN"/>
              </w:rPr>
              <w:t>本年度遂宁市城区环境空气质量119天优、199天良、43天轻度污染、3天中度污染、1天重度污染，空气质量达标率为87.1%，主要污染物SO</w:t>
            </w:r>
            <w:r>
              <w:rPr>
                <w:rFonts w:ascii="Times New Roman" w:hAnsi="Times New Roman" w:eastAsia="宋体" w:cs="Times New Roman"/>
                <w:color w:val="auto"/>
                <w:sz w:val="24"/>
                <w:u w:val="none"/>
                <w:shd w:val="clear" w:color="auto" w:fill="FFFFFF"/>
                <w:vertAlign w:val="subscript"/>
                <w:lang w:val="en-US" w:eastAsia="zh-CN"/>
              </w:rPr>
              <w:t>2</w:t>
            </w:r>
            <w:r>
              <w:rPr>
                <w:rFonts w:ascii="Times New Roman" w:hAnsi="Times New Roman" w:eastAsia="宋体" w:cs="Times New Roman"/>
                <w:color w:val="auto"/>
                <w:sz w:val="24"/>
                <w:u w:val="none"/>
                <w:shd w:val="clear" w:color="auto" w:fill="FFFFFF"/>
                <w:lang w:val="en-US" w:eastAsia="zh-CN"/>
              </w:rPr>
              <w:t>、NO</w:t>
            </w:r>
            <w:r>
              <w:rPr>
                <w:rFonts w:ascii="Times New Roman" w:hAnsi="Times New Roman" w:eastAsia="宋体" w:cs="Times New Roman"/>
                <w:color w:val="auto"/>
                <w:sz w:val="24"/>
                <w:u w:val="none"/>
                <w:shd w:val="clear" w:color="auto" w:fill="FFFFFF"/>
                <w:vertAlign w:val="subscript"/>
                <w:lang w:val="en-US" w:eastAsia="zh-CN"/>
              </w:rPr>
              <w:t>2</w:t>
            </w:r>
            <w:r>
              <w:rPr>
                <w:rFonts w:ascii="Times New Roman" w:hAnsi="Times New Roman" w:eastAsia="宋体" w:cs="Times New Roman"/>
                <w:color w:val="auto"/>
                <w:sz w:val="24"/>
                <w:u w:val="none"/>
                <w:shd w:val="clear" w:color="auto" w:fill="FFFFFF"/>
                <w:vertAlign w:val="baseline"/>
                <w:lang w:val="en-US" w:eastAsia="zh-CN"/>
              </w:rPr>
              <w:t>、</w:t>
            </w:r>
            <w:r>
              <w:rPr>
                <w:rFonts w:ascii="Times New Roman" w:hAnsi="Times New Roman" w:eastAsia="宋体" w:cs="Times New Roman"/>
                <w:color w:val="auto"/>
                <w:sz w:val="24"/>
                <w:u w:val="none"/>
                <w:shd w:val="clear" w:color="auto" w:fill="FFFFFF"/>
                <w:lang w:val="en-US" w:eastAsia="zh-CN"/>
              </w:rPr>
              <w:t>PM</w:t>
            </w:r>
            <w:r>
              <w:rPr>
                <w:rFonts w:ascii="Times New Roman" w:hAnsi="Times New Roman" w:eastAsia="宋体" w:cs="Times New Roman"/>
                <w:color w:val="auto"/>
                <w:sz w:val="24"/>
                <w:u w:val="none"/>
                <w:shd w:val="clear" w:color="auto" w:fill="FFFFFF"/>
                <w:vertAlign w:val="subscript"/>
                <w:lang w:val="en-US" w:eastAsia="zh-CN"/>
              </w:rPr>
              <w:t>10</w:t>
            </w:r>
            <w:r>
              <w:rPr>
                <w:rFonts w:ascii="Times New Roman" w:hAnsi="Times New Roman" w:eastAsia="宋体" w:cs="Times New Roman"/>
                <w:color w:val="auto"/>
                <w:sz w:val="24"/>
                <w:u w:val="none"/>
                <w:shd w:val="clear" w:color="auto" w:fill="FFFFFF"/>
                <w:lang w:val="en-US" w:eastAsia="zh-CN"/>
              </w:rPr>
              <w:t>、PM</w:t>
            </w:r>
            <w:r>
              <w:rPr>
                <w:rFonts w:ascii="Times New Roman" w:hAnsi="Times New Roman" w:eastAsia="宋体" w:cs="Times New Roman"/>
                <w:color w:val="auto"/>
                <w:sz w:val="24"/>
                <w:u w:val="none"/>
                <w:shd w:val="clear" w:color="auto" w:fill="FFFFFF"/>
                <w:vertAlign w:val="subscript"/>
                <w:lang w:val="en-US" w:eastAsia="zh-CN"/>
              </w:rPr>
              <w:t>2.5</w:t>
            </w:r>
            <w:r>
              <w:rPr>
                <w:rFonts w:ascii="Times New Roman" w:hAnsi="Times New Roman" w:eastAsia="宋体" w:cs="Times New Roman"/>
                <w:color w:val="auto"/>
                <w:sz w:val="24"/>
                <w:u w:val="none"/>
                <w:shd w:val="clear" w:color="auto" w:fill="FFFFFF"/>
                <w:lang w:val="en-US" w:eastAsia="zh-CN"/>
              </w:rPr>
              <w:t>、CO和O</w:t>
            </w:r>
            <w:r>
              <w:rPr>
                <w:rFonts w:ascii="Times New Roman" w:hAnsi="Times New Roman" w:eastAsia="宋体" w:cs="Times New Roman"/>
                <w:color w:val="auto"/>
                <w:sz w:val="24"/>
                <w:u w:val="none"/>
                <w:shd w:val="clear" w:color="auto" w:fill="FFFFFF"/>
                <w:vertAlign w:val="subscript"/>
                <w:lang w:val="en-US" w:eastAsia="zh-CN"/>
              </w:rPr>
              <w:t>3</w:t>
            </w:r>
            <w:r>
              <w:rPr>
                <w:rFonts w:ascii="Times New Roman" w:hAnsi="Times New Roman" w:eastAsia="宋体" w:cs="Times New Roman"/>
                <w:color w:val="auto"/>
                <w:sz w:val="24"/>
                <w:u w:val="none"/>
                <w:shd w:val="clear" w:color="auto" w:fill="FFFFFF"/>
                <w:lang w:val="en-US" w:eastAsia="zh-CN"/>
              </w:rPr>
              <w:t>的年均值分别为7.7微克/立方米、24.6微克/立方米、51.7微克/立方米、30.0微克/立方米、1.0毫克/立方米和144.4微克/立方米。同比SO2、PM10和O3浓度分别下降了21.4%、4.3%和1.1%，NO2、PM2.5和CO浓度分别上升了22.4%、0.7%和11.1%</w:t>
            </w:r>
            <w:r>
              <w:rPr>
                <w:rFonts w:ascii="Times New Roman" w:hAnsi="Times New Roman" w:eastAsia="宋体" w:cs="Times New Roman"/>
                <w:color w:val="auto"/>
                <w:sz w:val="24"/>
                <w:u w:val="none"/>
                <w:shd w:val="clear" w:color="auto" w:fill="FFFFFF"/>
              </w:rPr>
              <w:t>。</w:t>
            </w:r>
          </w:p>
          <w:p>
            <w:pPr>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202</w:t>
            </w:r>
            <w:r>
              <w:rPr>
                <w:rFonts w:hint="eastAsia" w:cs="Times New Roman"/>
                <w:color w:val="auto"/>
                <w:sz w:val="24"/>
                <w:u w:val="none"/>
                <w:lang w:val="en-US" w:eastAsia="zh-CN"/>
              </w:rPr>
              <w:t>3</w:t>
            </w:r>
            <w:r>
              <w:rPr>
                <w:rFonts w:ascii="Times New Roman" w:hAnsi="Times New Roman" w:eastAsia="宋体" w:cs="Times New Roman"/>
                <w:color w:val="auto"/>
                <w:sz w:val="24"/>
                <w:u w:val="none"/>
              </w:rPr>
              <w:t>年</w:t>
            </w:r>
            <w:r>
              <w:rPr>
                <w:rFonts w:ascii="Times New Roman" w:hAnsi="Times New Roman" w:eastAsia="宋体" w:cs="Times New Roman"/>
                <w:color w:val="auto"/>
                <w:sz w:val="24"/>
                <w:u w:val="none"/>
                <w:lang w:val="en-US" w:eastAsia="zh-CN"/>
              </w:rPr>
              <w:t>遂宁市城区</w:t>
            </w:r>
            <w:r>
              <w:rPr>
                <w:rFonts w:ascii="Times New Roman" w:hAnsi="Times New Roman" w:eastAsia="宋体" w:cs="Times New Roman"/>
                <w:color w:val="auto"/>
                <w:sz w:val="24"/>
                <w:u w:val="none"/>
              </w:rPr>
              <w:t>环境空气质量见表3-1。</w:t>
            </w:r>
          </w:p>
          <w:p>
            <w:pPr>
              <w:ind w:firstLine="422" w:firstLineChars="200"/>
              <w:jc w:val="center"/>
              <w:rPr>
                <w:rFonts w:ascii="Times New Roman" w:hAnsi="Times New Roman" w:eastAsia="宋体" w:cs="Times New Roman"/>
                <w:b/>
                <w:color w:val="auto"/>
                <w:szCs w:val="21"/>
                <w:u w:val="none"/>
              </w:rPr>
            </w:pPr>
            <w:r>
              <w:rPr>
                <w:rFonts w:ascii="Times New Roman" w:hAnsi="Times New Roman" w:eastAsia="宋体" w:cs="Times New Roman"/>
                <w:b/>
                <w:color w:val="auto"/>
                <w:szCs w:val="21"/>
                <w:u w:val="none"/>
              </w:rPr>
              <w:t>表3-1</w:t>
            </w:r>
            <w:r>
              <w:rPr>
                <w:rFonts w:ascii="Times New Roman" w:hAnsi="Times New Roman" w:eastAsia="宋体" w:cs="Times New Roman"/>
                <w:b/>
                <w:color w:val="auto"/>
                <w:szCs w:val="21"/>
                <w:u w:val="none"/>
                <w:lang w:val="en-US" w:eastAsia="zh-CN"/>
              </w:rPr>
              <w:t>遂宁</w:t>
            </w:r>
            <w:r>
              <w:rPr>
                <w:rFonts w:ascii="Times New Roman" w:hAnsi="Times New Roman" w:eastAsia="宋体" w:cs="Times New Roman"/>
                <w:b/>
                <w:color w:val="auto"/>
                <w:szCs w:val="21"/>
                <w:u w:val="none"/>
              </w:rPr>
              <w:t>市</w:t>
            </w:r>
            <w:r>
              <w:rPr>
                <w:rFonts w:ascii="Times New Roman" w:hAnsi="Times New Roman" w:eastAsia="宋体" w:cs="Times New Roman"/>
                <w:b/>
                <w:color w:val="auto"/>
                <w:szCs w:val="21"/>
                <w:u w:val="none"/>
                <w:lang w:val="en-US" w:eastAsia="zh-CN"/>
              </w:rPr>
              <w:t>城区</w:t>
            </w:r>
            <w:r>
              <w:rPr>
                <w:rFonts w:ascii="Times New Roman" w:hAnsi="Times New Roman" w:eastAsia="宋体" w:cs="Times New Roman"/>
                <w:b/>
                <w:color w:val="auto"/>
                <w:szCs w:val="21"/>
                <w:u w:val="none"/>
              </w:rPr>
              <w:t>202</w:t>
            </w:r>
            <w:r>
              <w:rPr>
                <w:rFonts w:hint="eastAsia" w:cs="Times New Roman"/>
                <w:b/>
                <w:color w:val="auto"/>
                <w:szCs w:val="21"/>
                <w:u w:val="none"/>
                <w:lang w:val="en-US" w:eastAsia="zh-CN"/>
              </w:rPr>
              <w:t>3</w:t>
            </w:r>
            <w:r>
              <w:rPr>
                <w:rFonts w:ascii="Times New Roman" w:hAnsi="Times New Roman" w:eastAsia="宋体" w:cs="Times New Roman"/>
                <w:b/>
                <w:color w:val="auto"/>
                <w:szCs w:val="21"/>
                <w:u w:val="none"/>
              </w:rPr>
              <w:t>年环境空气质量状况数据</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691"/>
              <w:gridCol w:w="1614"/>
              <w:gridCol w:w="1195"/>
              <w:gridCol w:w="988"/>
              <w:gridCol w:w="1005"/>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34" w:type="dxa"/>
                  <w:tcBorders>
                    <w:top w:val="single" w:color="auto" w:sz="12" w:space="0"/>
                    <w:left w:val="nil"/>
                    <w:bottom w:val="single" w:color="auto" w:sz="4" w:space="0"/>
                    <w:right w:val="single" w:color="auto" w:sz="4" w:space="0"/>
                  </w:tcBorders>
                  <w:noWrap/>
                  <w:vAlign w:val="center"/>
                </w:tcPr>
                <w:p>
                  <w:pPr>
                    <w:jc w:val="center"/>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地点</w:t>
                  </w:r>
                </w:p>
              </w:tc>
              <w:tc>
                <w:tcPr>
                  <w:tcW w:w="3301" w:type="dxa"/>
                  <w:gridSpan w:val="2"/>
                  <w:tcBorders>
                    <w:top w:val="single" w:color="auto" w:sz="12"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监测因子</w:t>
                  </w:r>
                </w:p>
              </w:tc>
              <w:tc>
                <w:tcPr>
                  <w:tcW w:w="1194" w:type="dxa"/>
                  <w:tcBorders>
                    <w:top w:val="single" w:color="auto" w:sz="12"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浓度</w:t>
                  </w:r>
                </w:p>
              </w:tc>
              <w:tc>
                <w:tcPr>
                  <w:tcW w:w="987" w:type="dxa"/>
                  <w:tcBorders>
                    <w:top w:val="single" w:color="auto" w:sz="12"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标准值</w:t>
                  </w:r>
                </w:p>
              </w:tc>
              <w:tc>
                <w:tcPr>
                  <w:tcW w:w="1004" w:type="dxa"/>
                  <w:tcBorders>
                    <w:top w:val="single" w:color="auto" w:sz="12"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Pi值</w:t>
                  </w:r>
                </w:p>
              </w:tc>
              <w:tc>
                <w:tcPr>
                  <w:tcW w:w="1170" w:type="dxa"/>
                  <w:tcBorders>
                    <w:top w:val="single" w:color="auto" w:sz="12" w:space="0"/>
                    <w:left w:val="single" w:color="auto" w:sz="4" w:space="0"/>
                    <w:bottom w:val="single" w:color="auto" w:sz="4" w:space="0"/>
                    <w:right w:val="nil"/>
                  </w:tcBorders>
                  <w:noWrap/>
                  <w:vAlign w:val="center"/>
                </w:tcPr>
                <w:p>
                  <w:pPr>
                    <w:jc w:val="center"/>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4" w:type="dxa"/>
                  <w:vMerge w:val="restart"/>
                  <w:tcBorders>
                    <w:top w:val="single" w:color="auto" w:sz="4" w:space="0"/>
                    <w:left w:val="nil"/>
                    <w:bottom w:val="single" w:color="auto" w:sz="12"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遂宁市全市平均</w:t>
                  </w:r>
                </w:p>
              </w:tc>
              <w:tc>
                <w:tcPr>
                  <w:tcW w:w="1689"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SO</w:t>
                  </w:r>
                  <w:r>
                    <w:rPr>
                      <w:rFonts w:ascii="Times New Roman" w:hAnsi="Times New Roman" w:eastAsia="宋体" w:cs="Times New Roman"/>
                      <w:color w:val="auto"/>
                      <w:szCs w:val="21"/>
                      <w:u w:val="none"/>
                      <w:vertAlign w:val="subscript"/>
                    </w:rPr>
                    <w:t>2</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12"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季</w:t>
                  </w:r>
                  <w:r>
                    <w:rPr>
                      <w:rFonts w:ascii="Times New Roman" w:hAnsi="Times New Roman" w:eastAsia="宋体" w:cs="Times New Roman"/>
                      <w:color w:val="auto"/>
                      <w:szCs w:val="21"/>
                      <w:u w:val="none"/>
                    </w:rPr>
                    <w:t>均值</w:t>
                  </w:r>
                </w:p>
              </w:tc>
              <w:tc>
                <w:tcPr>
                  <w:tcW w:w="119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7.7</w:t>
                  </w:r>
                </w:p>
              </w:tc>
              <w:tc>
                <w:tcPr>
                  <w:tcW w:w="98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60</w:t>
                  </w:r>
                </w:p>
              </w:tc>
              <w:tc>
                <w:tcPr>
                  <w:tcW w:w="100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0.1283</w:t>
                  </w:r>
                </w:p>
              </w:tc>
              <w:tc>
                <w:tcPr>
                  <w:tcW w:w="1170" w:type="dxa"/>
                  <w:tcBorders>
                    <w:top w:val="single" w:color="auto" w:sz="4" w:space="0"/>
                    <w:left w:val="single" w:color="auto" w:sz="4" w:space="0"/>
                    <w:bottom w:val="single" w:color="auto" w:sz="4" w:space="0"/>
                    <w:right w:val="nil"/>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4" w:type="dxa"/>
                  <w:vMerge w:val="continue"/>
                  <w:tcBorders>
                    <w:top w:val="single" w:color="auto" w:sz="4" w:space="0"/>
                    <w:left w:val="nil"/>
                    <w:bottom w:val="single" w:color="auto" w:sz="12" w:space="0"/>
                    <w:right w:val="single" w:color="auto" w:sz="4" w:space="0"/>
                  </w:tcBorders>
                  <w:noWrap/>
                  <w:vAlign w:val="center"/>
                </w:tcPr>
                <w:p/>
              </w:tc>
              <w:tc>
                <w:tcPr>
                  <w:tcW w:w="1689"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NO</w:t>
                  </w:r>
                  <w:r>
                    <w:rPr>
                      <w:rFonts w:ascii="Times New Roman" w:hAnsi="Times New Roman" w:eastAsia="宋体" w:cs="Times New Roman"/>
                      <w:color w:val="auto"/>
                      <w:szCs w:val="21"/>
                      <w:u w:val="none"/>
                      <w:vertAlign w:val="subscript"/>
                    </w:rPr>
                    <w:t>2</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12"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季</w:t>
                  </w:r>
                  <w:r>
                    <w:rPr>
                      <w:rFonts w:ascii="Times New Roman" w:hAnsi="Times New Roman" w:eastAsia="宋体" w:cs="Times New Roman"/>
                      <w:color w:val="auto"/>
                      <w:szCs w:val="21"/>
                      <w:u w:val="none"/>
                    </w:rPr>
                    <w:t>均值</w:t>
                  </w:r>
                </w:p>
              </w:tc>
              <w:tc>
                <w:tcPr>
                  <w:tcW w:w="119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24.6</w:t>
                  </w:r>
                </w:p>
              </w:tc>
              <w:tc>
                <w:tcPr>
                  <w:tcW w:w="98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40</w:t>
                  </w:r>
                </w:p>
              </w:tc>
              <w:tc>
                <w:tcPr>
                  <w:tcW w:w="100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0.615</w:t>
                  </w:r>
                </w:p>
              </w:tc>
              <w:tc>
                <w:tcPr>
                  <w:tcW w:w="1170" w:type="dxa"/>
                  <w:tcBorders>
                    <w:top w:val="single" w:color="auto" w:sz="4" w:space="0"/>
                    <w:left w:val="single" w:color="auto" w:sz="4" w:space="0"/>
                    <w:bottom w:val="single" w:color="auto" w:sz="4" w:space="0"/>
                    <w:right w:val="nil"/>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4" w:type="dxa"/>
                  <w:vMerge w:val="continue"/>
                  <w:tcBorders>
                    <w:top w:val="single" w:color="auto" w:sz="4" w:space="0"/>
                    <w:left w:val="nil"/>
                    <w:bottom w:val="single" w:color="auto" w:sz="12" w:space="0"/>
                    <w:right w:val="single" w:color="auto" w:sz="4" w:space="0"/>
                  </w:tcBorders>
                  <w:noWrap/>
                  <w:vAlign w:val="center"/>
                </w:tcPr>
                <w:p/>
              </w:tc>
              <w:tc>
                <w:tcPr>
                  <w:tcW w:w="1689"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CO（</w:t>
                  </w:r>
                  <w:r>
                    <w:rPr>
                      <w:rFonts w:ascii="Times New Roman" w:hAnsi="Times New Roman" w:eastAsia="宋体" w:cs="Times New Roman"/>
                      <w:color w:val="auto"/>
                      <w:szCs w:val="21"/>
                      <w:u w:val="none"/>
                      <w:shd w:val="clear" w:color="auto" w:fill="FFFFFF"/>
                    </w:rPr>
                    <w:t>mg/m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12"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季</w:t>
                  </w:r>
                  <w:r>
                    <w:rPr>
                      <w:rFonts w:ascii="Times New Roman" w:hAnsi="Times New Roman" w:eastAsia="宋体" w:cs="Times New Roman"/>
                      <w:color w:val="auto"/>
                      <w:szCs w:val="21"/>
                      <w:u w:val="none"/>
                    </w:rPr>
                    <w:t>均值</w:t>
                  </w:r>
                </w:p>
              </w:tc>
              <w:tc>
                <w:tcPr>
                  <w:tcW w:w="119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1.0</w:t>
                  </w:r>
                </w:p>
              </w:tc>
              <w:tc>
                <w:tcPr>
                  <w:tcW w:w="98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4</w:t>
                  </w:r>
                </w:p>
              </w:tc>
              <w:tc>
                <w:tcPr>
                  <w:tcW w:w="100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0.25</w:t>
                  </w:r>
                </w:p>
              </w:tc>
              <w:tc>
                <w:tcPr>
                  <w:tcW w:w="1170" w:type="dxa"/>
                  <w:tcBorders>
                    <w:top w:val="single" w:color="auto" w:sz="4" w:space="0"/>
                    <w:left w:val="single" w:color="auto" w:sz="4" w:space="0"/>
                    <w:bottom w:val="single" w:color="auto" w:sz="4" w:space="0"/>
                    <w:right w:val="nil"/>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4" w:type="dxa"/>
                  <w:vMerge w:val="continue"/>
                  <w:tcBorders>
                    <w:top w:val="single" w:color="auto" w:sz="4" w:space="0"/>
                    <w:left w:val="nil"/>
                    <w:bottom w:val="single" w:color="auto" w:sz="12" w:space="0"/>
                    <w:right w:val="single" w:color="auto" w:sz="4" w:space="0"/>
                  </w:tcBorders>
                  <w:noWrap/>
                  <w:vAlign w:val="center"/>
                </w:tcPr>
                <w:p/>
              </w:tc>
              <w:tc>
                <w:tcPr>
                  <w:tcW w:w="1689"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PM</w:t>
                  </w:r>
                  <w:r>
                    <w:rPr>
                      <w:rFonts w:ascii="Times New Roman" w:hAnsi="Times New Roman" w:eastAsia="宋体" w:cs="Times New Roman"/>
                      <w:color w:val="auto"/>
                      <w:szCs w:val="21"/>
                      <w:u w:val="none"/>
                      <w:vertAlign w:val="subscript"/>
                    </w:rPr>
                    <w:t>10</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12"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季</w:t>
                  </w:r>
                  <w:r>
                    <w:rPr>
                      <w:rFonts w:ascii="Times New Roman" w:hAnsi="Times New Roman" w:eastAsia="宋体" w:cs="Times New Roman"/>
                      <w:color w:val="auto"/>
                      <w:szCs w:val="21"/>
                      <w:u w:val="none"/>
                    </w:rPr>
                    <w:t>均值</w:t>
                  </w:r>
                </w:p>
              </w:tc>
              <w:tc>
                <w:tcPr>
                  <w:tcW w:w="119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51.7</w:t>
                  </w:r>
                </w:p>
              </w:tc>
              <w:tc>
                <w:tcPr>
                  <w:tcW w:w="98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70</w:t>
                  </w:r>
                </w:p>
              </w:tc>
              <w:tc>
                <w:tcPr>
                  <w:tcW w:w="100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0.738</w:t>
                  </w:r>
                  <w:r>
                    <w:rPr>
                      <w:rFonts w:hint="eastAsia" w:cs="Times New Roman"/>
                      <w:color w:val="auto"/>
                      <w:szCs w:val="21"/>
                      <w:u w:val="none"/>
                      <w:lang w:val="en-US" w:eastAsia="zh-CN"/>
                    </w:rPr>
                    <w:t>6</w:t>
                  </w:r>
                  <w:r>
                    <w:rPr>
                      <w:rFonts w:hint="eastAsia" w:ascii="Times New Roman" w:hAnsi="Times New Roman" w:eastAsia="宋体" w:cs="Times New Roman"/>
                      <w:color w:val="auto"/>
                      <w:szCs w:val="21"/>
                      <w:u w:val="none"/>
                      <w:lang w:val="en-US" w:eastAsia="zh-CN"/>
                    </w:rPr>
                    <w:t xml:space="preserve"> </w:t>
                  </w:r>
                </w:p>
              </w:tc>
              <w:tc>
                <w:tcPr>
                  <w:tcW w:w="1170" w:type="dxa"/>
                  <w:tcBorders>
                    <w:top w:val="single" w:color="auto" w:sz="4" w:space="0"/>
                    <w:left w:val="single" w:color="auto" w:sz="4" w:space="0"/>
                    <w:bottom w:val="single" w:color="auto" w:sz="4" w:space="0"/>
                    <w:right w:val="nil"/>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4" w:type="dxa"/>
                  <w:vMerge w:val="continue"/>
                  <w:tcBorders>
                    <w:top w:val="single" w:color="auto" w:sz="4" w:space="0"/>
                    <w:left w:val="nil"/>
                    <w:bottom w:val="single" w:color="auto" w:sz="12" w:space="0"/>
                    <w:right w:val="single" w:color="auto" w:sz="4" w:space="0"/>
                  </w:tcBorders>
                  <w:noWrap/>
                  <w:vAlign w:val="center"/>
                </w:tcPr>
                <w:p/>
              </w:tc>
              <w:tc>
                <w:tcPr>
                  <w:tcW w:w="1689"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PM</w:t>
                  </w:r>
                  <w:r>
                    <w:rPr>
                      <w:rFonts w:ascii="Times New Roman" w:hAnsi="Times New Roman" w:eastAsia="宋体" w:cs="Times New Roman"/>
                      <w:color w:val="auto"/>
                      <w:szCs w:val="21"/>
                      <w:u w:val="none"/>
                      <w:vertAlign w:val="subscript"/>
                    </w:rPr>
                    <w:t>2.5</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12"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季</w:t>
                  </w:r>
                  <w:r>
                    <w:rPr>
                      <w:rFonts w:ascii="Times New Roman" w:hAnsi="Times New Roman" w:eastAsia="宋体" w:cs="Times New Roman"/>
                      <w:color w:val="auto"/>
                      <w:szCs w:val="21"/>
                      <w:u w:val="none"/>
                    </w:rPr>
                    <w:t>均值</w:t>
                  </w:r>
                </w:p>
              </w:tc>
              <w:tc>
                <w:tcPr>
                  <w:tcW w:w="119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30</w:t>
                  </w:r>
                </w:p>
              </w:tc>
              <w:tc>
                <w:tcPr>
                  <w:tcW w:w="987"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35</w:t>
                  </w:r>
                </w:p>
              </w:tc>
              <w:tc>
                <w:tcPr>
                  <w:tcW w:w="1004" w:type="dxa"/>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0.8571</w:t>
                  </w:r>
                </w:p>
              </w:tc>
              <w:tc>
                <w:tcPr>
                  <w:tcW w:w="1170" w:type="dxa"/>
                  <w:tcBorders>
                    <w:top w:val="single" w:color="auto" w:sz="4" w:space="0"/>
                    <w:left w:val="single" w:color="auto" w:sz="4" w:space="0"/>
                    <w:bottom w:val="single" w:color="auto" w:sz="4" w:space="0"/>
                    <w:right w:val="nil"/>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34" w:type="dxa"/>
                  <w:vMerge w:val="continue"/>
                  <w:tcBorders>
                    <w:top w:val="single" w:color="auto" w:sz="4" w:space="0"/>
                    <w:left w:val="nil"/>
                    <w:bottom w:val="single" w:color="auto" w:sz="12" w:space="0"/>
                    <w:right w:val="single" w:color="auto" w:sz="4" w:space="0"/>
                  </w:tcBorders>
                  <w:noWrap/>
                  <w:vAlign w:val="center"/>
                </w:tcPr>
                <w:p/>
              </w:tc>
              <w:tc>
                <w:tcPr>
                  <w:tcW w:w="1689" w:type="dxa"/>
                  <w:tcBorders>
                    <w:top w:val="single" w:color="auto" w:sz="4" w:space="0"/>
                    <w:left w:val="single" w:color="auto" w:sz="4" w:space="0"/>
                    <w:bottom w:val="single" w:color="auto" w:sz="12"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O</w:t>
                  </w:r>
                  <w:r>
                    <w:rPr>
                      <w:rFonts w:ascii="Times New Roman" w:hAnsi="Times New Roman" w:eastAsia="宋体" w:cs="Times New Roman"/>
                      <w:color w:val="auto"/>
                      <w:szCs w:val="21"/>
                      <w:u w:val="none"/>
                      <w:vertAlign w:val="subscript"/>
                    </w:rPr>
                    <w:t>3</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12" w:type="dxa"/>
                  <w:tcBorders>
                    <w:top w:val="single" w:color="auto" w:sz="4" w:space="0"/>
                    <w:left w:val="single" w:color="auto" w:sz="4" w:space="0"/>
                    <w:bottom w:val="single" w:color="auto" w:sz="12"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季</w:t>
                  </w:r>
                  <w:r>
                    <w:rPr>
                      <w:rFonts w:ascii="Times New Roman" w:hAnsi="Times New Roman" w:eastAsia="宋体" w:cs="Times New Roman"/>
                      <w:color w:val="auto"/>
                      <w:szCs w:val="21"/>
                      <w:u w:val="none"/>
                    </w:rPr>
                    <w:t>均值</w:t>
                  </w:r>
                </w:p>
              </w:tc>
              <w:tc>
                <w:tcPr>
                  <w:tcW w:w="1194" w:type="dxa"/>
                  <w:tcBorders>
                    <w:top w:val="single" w:color="auto" w:sz="4" w:space="0"/>
                    <w:left w:val="single" w:color="auto" w:sz="4" w:space="0"/>
                    <w:bottom w:val="single" w:color="auto" w:sz="12"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144.4</w:t>
                  </w:r>
                </w:p>
              </w:tc>
              <w:tc>
                <w:tcPr>
                  <w:tcW w:w="987" w:type="dxa"/>
                  <w:tcBorders>
                    <w:top w:val="single" w:color="auto" w:sz="4" w:space="0"/>
                    <w:left w:val="single" w:color="auto" w:sz="4" w:space="0"/>
                    <w:bottom w:val="single" w:color="auto" w:sz="12" w:space="0"/>
                    <w:right w:val="single" w:color="auto" w:sz="4" w:space="0"/>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160</w:t>
                  </w:r>
                </w:p>
              </w:tc>
              <w:tc>
                <w:tcPr>
                  <w:tcW w:w="1004" w:type="dxa"/>
                  <w:tcBorders>
                    <w:top w:val="single" w:color="auto" w:sz="4" w:space="0"/>
                    <w:left w:val="single" w:color="auto" w:sz="4" w:space="0"/>
                    <w:bottom w:val="single" w:color="auto" w:sz="12" w:space="0"/>
                    <w:right w:val="single" w:color="auto" w:sz="4" w:space="0"/>
                  </w:tcBorders>
                  <w:noWrap/>
                  <w:vAlign w:val="center"/>
                </w:tcPr>
                <w:p>
                  <w:pPr>
                    <w:jc w:val="center"/>
                    <w:rPr>
                      <w:rFonts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0.9025</w:t>
                  </w:r>
                </w:p>
              </w:tc>
              <w:tc>
                <w:tcPr>
                  <w:tcW w:w="1170" w:type="dxa"/>
                  <w:tcBorders>
                    <w:top w:val="single" w:color="auto" w:sz="4" w:space="0"/>
                    <w:left w:val="single" w:color="auto" w:sz="4" w:space="0"/>
                    <w:bottom w:val="single" w:color="auto" w:sz="12" w:space="0"/>
                    <w:right w:val="nil"/>
                  </w:tcBorders>
                  <w:noWrap/>
                  <w:vAlign w:val="center"/>
                </w:tcPr>
                <w:p>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bl>
          <w:p>
            <w:pPr>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因此，根据《</w:t>
            </w:r>
            <w:r>
              <w:rPr>
                <w:rFonts w:ascii="Times New Roman" w:hAnsi="Times New Roman" w:eastAsia="宋体" w:cs="Times New Roman"/>
                <w:color w:val="auto"/>
                <w:sz w:val="24"/>
                <w:u w:val="none"/>
                <w:lang w:val="en-US" w:eastAsia="zh-CN"/>
              </w:rPr>
              <w:t>环境空气质量标准</w:t>
            </w:r>
            <w:r>
              <w:rPr>
                <w:rFonts w:ascii="Times New Roman" w:hAnsi="Times New Roman" w:eastAsia="宋体" w:cs="Times New Roman"/>
                <w:color w:val="auto"/>
                <w:sz w:val="24"/>
                <w:u w:val="none"/>
              </w:rPr>
              <w:t>》（</w:t>
            </w:r>
            <w:r>
              <w:rPr>
                <w:rFonts w:ascii="Times New Roman" w:hAnsi="Times New Roman" w:eastAsia="宋体" w:cs="Times New Roman"/>
                <w:color w:val="auto"/>
                <w:sz w:val="24"/>
                <w:u w:val="none"/>
                <w:lang w:val="en-US" w:eastAsia="zh-CN"/>
              </w:rPr>
              <w:t>GB3095-2002</w:t>
            </w:r>
            <w:r>
              <w:rPr>
                <w:rFonts w:ascii="Times New Roman" w:hAnsi="Times New Roman" w:eastAsia="宋体" w:cs="Times New Roman"/>
                <w:color w:val="auto"/>
                <w:sz w:val="24"/>
                <w:u w:val="none"/>
              </w:rPr>
              <w:t>）可知，202</w:t>
            </w:r>
            <w:r>
              <w:rPr>
                <w:rFonts w:hint="eastAsia" w:cs="Times New Roman"/>
                <w:color w:val="auto"/>
                <w:sz w:val="24"/>
                <w:u w:val="none"/>
                <w:lang w:val="en-US" w:eastAsia="zh-CN"/>
              </w:rPr>
              <w:t>3</w:t>
            </w:r>
            <w:r>
              <w:rPr>
                <w:rFonts w:ascii="Times New Roman" w:hAnsi="Times New Roman" w:eastAsia="宋体" w:cs="Times New Roman"/>
                <w:color w:val="auto"/>
                <w:sz w:val="24"/>
                <w:u w:val="none"/>
              </w:rPr>
              <w:t>年</w:t>
            </w:r>
            <w:r>
              <w:rPr>
                <w:rFonts w:ascii="Times New Roman" w:hAnsi="Times New Roman" w:eastAsia="宋体" w:cs="Times New Roman"/>
                <w:color w:val="auto"/>
                <w:sz w:val="24"/>
                <w:u w:val="none"/>
                <w:lang w:val="en-US" w:eastAsia="zh-CN"/>
              </w:rPr>
              <w:t>遂宁市</w:t>
            </w:r>
            <w:r>
              <w:rPr>
                <w:rFonts w:ascii="Times New Roman" w:hAnsi="Times New Roman" w:eastAsia="宋体" w:cs="Times New Roman"/>
                <w:color w:val="auto"/>
                <w:sz w:val="24"/>
                <w:u w:val="none"/>
              </w:rPr>
              <w:t>大气环境质量达标。</w:t>
            </w:r>
          </w:p>
          <w:p>
            <w:pPr>
              <w:spacing w:line="360" w:lineRule="auto"/>
              <w:ind w:firstLine="520" w:firstLineChars="200"/>
              <w:jc w:val="left"/>
              <w:rPr>
                <w:rFonts w:ascii="Times New Roman" w:hAnsi="Times New Roman" w:eastAsia="宋体" w:cs="Times New Roman"/>
                <w:color w:val="auto"/>
                <w:spacing w:val="10"/>
                <w:sz w:val="24"/>
                <w:szCs w:val="32"/>
                <w:u w:val="none"/>
                <w:lang w:val="en-US" w:eastAsia="zh-CN"/>
              </w:rPr>
            </w:pPr>
            <w:r>
              <w:rPr>
                <w:rFonts w:ascii="Times New Roman" w:hAnsi="Times New Roman" w:eastAsia="宋体" w:cs="Times New Roman"/>
                <w:b w:val="0"/>
                <w:bCs w:val="0"/>
                <w:color w:val="auto"/>
                <w:spacing w:val="10"/>
                <w:sz w:val="24"/>
                <w:szCs w:val="32"/>
                <w:u w:val="none"/>
                <w:lang w:val="en-US" w:eastAsia="zh-CN"/>
              </w:rPr>
              <w:t>根据大英县人民政府发布的大英县城区环境空气质量月报（2023年1月~6月），大英县环境空气质量</w:t>
            </w:r>
            <w:r>
              <w:rPr>
                <w:rFonts w:hint="eastAsia" w:cs="Times New Roman"/>
                <w:b w:val="0"/>
                <w:bCs w:val="0"/>
                <w:color w:val="auto"/>
                <w:spacing w:val="10"/>
                <w:sz w:val="24"/>
                <w:szCs w:val="32"/>
                <w:u w:val="none"/>
                <w:lang w:val="en-US" w:eastAsia="zh-CN"/>
              </w:rPr>
              <w:t>见下表</w:t>
            </w:r>
            <w:r>
              <w:rPr>
                <w:rFonts w:ascii="Times New Roman" w:hAnsi="Times New Roman" w:eastAsia="宋体" w:cs="Times New Roman"/>
                <w:b w:val="0"/>
                <w:bCs w:val="0"/>
                <w:color w:val="auto"/>
                <w:spacing w:val="10"/>
                <w:sz w:val="24"/>
                <w:szCs w:val="32"/>
                <w:u w:val="none"/>
                <w:lang w:val="en-US" w:eastAsia="zh-CN"/>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宋体" w:cs="Times New Roman"/>
                <w:b/>
                <w:color w:val="auto"/>
                <w:szCs w:val="21"/>
                <w:u w:val="none"/>
              </w:rPr>
            </w:pPr>
            <w:r>
              <w:rPr>
                <w:rFonts w:ascii="Times New Roman" w:hAnsi="Times New Roman" w:eastAsia="宋体" w:cs="Times New Roman"/>
                <w:b/>
                <w:color w:val="auto"/>
                <w:szCs w:val="21"/>
                <w:u w:val="none"/>
              </w:rPr>
              <w:t>表3-</w:t>
            </w:r>
            <w:r>
              <w:rPr>
                <w:rFonts w:ascii="Times New Roman" w:hAnsi="Times New Roman" w:eastAsia="宋体" w:cs="Times New Roman"/>
                <w:b/>
                <w:color w:val="auto"/>
                <w:szCs w:val="21"/>
                <w:u w:val="none"/>
                <w:lang w:val="en-US" w:eastAsia="zh-CN"/>
              </w:rPr>
              <w:t>2大英县</w:t>
            </w:r>
            <w:r>
              <w:rPr>
                <w:rFonts w:ascii="Times New Roman" w:hAnsi="Times New Roman" w:eastAsia="宋体" w:cs="Times New Roman"/>
                <w:b/>
                <w:color w:val="auto"/>
                <w:szCs w:val="21"/>
                <w:u w:val="none"/>
              </w:rPr>
              <w:t>环境空气质量状况数据</w:t>
            </w:r>
          </w:p>
          <w:tbl>
            <w:tblPr>
              <w:tblStyle w:val="25"/>
              <w:tblpPr w:leftFromText="180" w:rightFromText="180" w:vertAnchor="text" w:horzAnchor="page" w:tblpX="96" w:tblpY="255"/>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690"/>
              <w:gridCol w:w="1617"/>
              <w:gridCol w:w="1195"/>
              <w:gridCol w:w="989"/>
              <w:gridCol w:w="1004"/>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3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地点</w:t>
                  </w:r>
                </w:p>
              </w:tc>
              <w:tc>
                <w:tcPr>
                  <w:tcW w:w="3313"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监测因子</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浓度</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标准值</w:t>
                  </w: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Pi值</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rPr>
                  </w:pPr>
                  <w:r>
                    <w:rPr>
                      <w:rFonts w:ascii="Times New Roman" w:hAnsi="Times New Roman" w:eastAsia="宋体" w:cs="Times New Roman"/>
                      <w:b/>
                      <w:bCs/>
                      <w:color w:val="auto"/>
                      <w:szCs w:val="21"/>
                      <w:u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大英县城区</w:t>
                  </w:r>
                </w:p>
              </w:tc>
              <w:tc>
                <w:tcPr>
                  <w:tcW w:w="1693"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SO</w:t>
                  </w:r>
                  <w:r>
                    <w:rPr>
                      <w:rFonts w:ascii="Times New Roman" w:hAnsi="Times New Roman" w:eastAsia="宋体" w:cs="Times New Roman"/>
                      <w:color w:val="auto"/>
                      <w:szCs w:val="21"/>
                      <w:u w:val="none"/>
                      <w:vertAlign w:val="subscript"/>
                    </w:rPr>
                    <w:t>2</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1月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3.9</w:t>
                  </w:r>
                </w:p>
              </w:tc>
              <w:tc>
                <w:tcPr>
                  <w:tcW w:w="9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60</w:t>
                  </w:r>
                </w:p>
              </w:tc>
              <w:tc>
                <w:tcPr>
                  <w:tcW w:w="100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Cs w:val="21"/>
                      <w:u w:val="none"/>
                      <w:lang w:val="en-US" w:eastAsia="zh-CN"/>
                    </w:rPr>
                  </w:pPr>
                  <w:r>
                    <w:rPr>
                      <w:rFonts w:ascii="Times New Roman" w:hAnsi="Times New Roman" w:eastAsia="宋体" w:cs="Times New Roman"/>
                      <w:color w:val="auto"/>
                      <w:kern w:val="0"/>
                      <w:szCs w:val="21"/>
                      <w:u w:val="none"/>
                      <w:lang w:val="en-US" w:eastAsia="zh-CN"/>
                    </w:rPr>
                    <w:t>0.065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Cs w:val="21"/>
                      <w:u w:val="none"/>
                      <w:lang w:val="en-US" w:eastAsia="zh-CN"/>
                    </w:rPr>
                  </w:pPr>
                  <w:r>
                    <w:rPr>
                      <w:rFonts w:ascii="Times New Roman" w:hAnsi="Times New Roman" w:eastAsia="宋体" w:cs="Times New Roman"/>
                      <w:color w:val="auto"/>
                      <w:kern w:val="0"/>
                      <w:szCs w:val="21"/>
                      <w:u w:val="none"/>
                      <w:lang w:val="en-US" w:eastAsia="zh-CN"/>
                    </w:rPr>
                    <w:t>0.083</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4.2</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Cs w:val="21"/>
                      <w:u w:val="none"/>
                      <w:lang w:val="en-US" w:eastAsia="zh-CN"/>
                    </w:rPr>
                  </w:pPr>
                  <w:r>
                    <w:rPr>
                      <w:rFonts w:ascii="Times New Roman" w:hAnsi="Times New Roman" w:eastAsia="宋体" w:cs="Times New Roman"/>
                      <w:color w:val="auto"/>
                      <w:kern w:val="0"/>
                      <w:szCs w:val="21"/>
                      <w:u w:val="none"/>
                      <w:lang w:val="en-US" w:eastAsia="zh-CN"/>
                    </w:rPr>
                    <w:t>0.07</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12</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Cs w:val="21"/>
                      <w:u w:val="none"/>
                      <w:lang w:val="en-US" w:eastAsia="zh-CN"/>
                    </w:rPr>
                  </w:pPr>
                  <w:r>
                    <w:rPr>
                      <w:rFonts w:ascii="Times New Roman" w:hAnsi="Times New Roman" w:eastAsia="宋体" w:cs="Times New Roman"/>
                      <w:color w:val="auto"/>
                      <w:kern w:val="0"/>
                      <w:szCs w:val="21"/>
                      <w:u w:val="none"/>
                      <w:lang w:val="en-US" w:eastAsia="zh-CN"/>
                    </w:rPr>
                    <w:t>0.2</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6.8</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Cs w:val="21"/>
                      <w:u w:val="none"/>
                      <w:lang w:val="en-US" w:eastAsia="zh-CN"/>
                    </w:rPr>
                  </w:pPr>
                  <w:r>
                    <w:rPr>
                      <w:rFonts w:ascii="Times New Roman" w:hAnsi="Times New Roman" w:eastAsia="宋体" w:cs="Times New Roman"/>
                      <w:color w:val="auto"/>
                      <w:kern w:val="0"/>
                      <w:szCs w:val="21"/>
                      <w:u w:val="none"/>
                      <w:lang w:val="en-US" w:eastAsia="zh-CN"/>
                    </w:rPr>
                    <w:t>0.113</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4.8</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Cs w:val="21"/>
                      <w:u w:val="none"/>
                      <w:lang w:val="en-US" w:eastAsia="zh-CN"/>
                    </w:rPr>
                  </w:pPr>
                  <w:r>
                    <w:rPr>
                      <w:rFonts w:ascii="Times New Roman" w:hAnsi="Times New Roman" w:eastAsia="宋体" w:cs="Times New Roman"/>
                      <w:color w:val="auto"/>
                      <w:kern w:val="0"/>
                      <w:szCs w:val="21"/>
                      <w:u w:val="none"/>
                      <w:lang w:val="en-US" w:eastAsia="zh-CN"/>
                    </w:rPr>
                    <w:t>0.08</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NO</w:t>
                  </w:r>
                  <w:r>
                    <w:rPr>
                      <w:rFonts w:ascii="Times New Roman" w:hAnsi="Times New Roman" w:eastAsia="宋体" w:cs="Times New Roman"/>
                      <w:color w:val="auto"/>
                      <w:szCs w:val="21"/>
                      <w:u w:val="none"/>
                      <w:vertAlign w:val="subscript"/>
                    </w:rPr>
                    <w:t>2</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1月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19.5</w:t>
                  </w:r>
                </w:p>
              </w:tc>
              <w:tc>
                <w:tcPr>
                  <w:tcW w:w="9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40</w:t>
                  </w: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0.4875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19.2</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0.48</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13.9</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0.3475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11.8</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0.295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8.4</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0.21</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0.15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ign w:val="center"/>
                </w:tcPr>
                <w:p/>
              </w:tc>
              <w:tc>
                <w:tcPr>
                  <w:tcW w:w="1693"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CO（</w:t>
                  </w:r>
                  <w:r>
                    <w:rPr>
                      <w:rFonts w:ascii="Times New Roman" w:hAnsi="Times New Roman" w:eastAsia="宋体" w:cs="Times New Roman"/>
                      <w:color w:val="auto"/>
                      <w:szCs w:val="21"/>
                      <w:u w:val="none"/>
                      <w:shd w:val="clear" w:color="auto" w:fill="FFFFFF"/>
                    </w:rPr>
                    <w:t>mg/m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1月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1.1</w:t>
                  </w:r>
                </w:p>
              </w:tc>
              <w:tc>
                <w:tcPr>
                  <w:tcW w:w="9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4</w:t>
                  </w: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0.275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0.25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0.8</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0.2</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1.1</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0.275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0.7</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0.175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0.5</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0.125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PM</w:t>
                  </w:r>
                  <w:r>
                    <w:rPr>
                      <w:rFonts w:ascii="Times New Roman" w:hAnsi="Times New Roman" w:eastAsia="宋体" w:cs="Times New Roman"/>
                      <w:color w:val="auto"/>
                      <w:szCs w:val="21"/>
                      <w:u w:val="none"/>
                      <w:vertAlign w:val="subscript"/>
                    </w:rPr>
                    <w:t>10</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1月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85.7</w:t>
                  </w:r>
                </w:p>
              </w:tc>
              <w:tc>
                <w:tcPr>
                  <w:tcW w:w="9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70</w:t>
                  </w: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1.224</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b/>
                      <w:bCs/>
                      <w:color w:val="auto"/>
                      <w:szCs w:val="21"/>
                      <w:u w:val="none"/>
                      <w:lang w:val="en-US" w:eastAsia="zh-CN"/>
                    </w:rPr>
                    <w:t>不</w:t>
                  </w:r>
                  <w:r>
                    <w:rPr>
                      <w:rFonts w:ascii="Times New Roman" w:hAnsi="Times New Roman" w:eastAsia="宋体" w:cs="Times New Roman"/>
                      <w:b/>
                      <w:bCs/>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53.9</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0.77</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39.1</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0.558</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45.4</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0.648</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36.8</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0.526</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23.6</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0.337</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PM</w:t>
                  </w:r>
                  <w:r>
                    <w:rPr>
                      <w:rFonts w:ascii="Times New Roman" w:hAnsi="Times New Roman" w:eastAsia="宋体" w:cs="Times New Roman"/>
                      <w:color w:val="auto"/>
                      <w:szCs w:val="21"/>
                      <w:u w:val="none"/>
                      <w:vertAlign w:val="subscript"/>
                    </w:rPr>
                    <w:t>2.5</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1月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60.8</w:t>
                  </w:r>
                </w:p>
              </w:tc>
              <w:tc>
                <w:tcPr>
                  <w:tcW w:w="9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35</w:t>
                  </w: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1.737</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b/>
                      <w:bCs/>
                      <w:color w:val="auto"/>
                      <w:szCs w:val="21"/>
                      <w:u w:val="none"/>
                      <w:lang w:val="en-US" w:eastAsia="zh-CN"/>
                    </w:rPr>
                    <w:t>不</w:t>
                  </w:r>
                  <w:r>
                    <w:rPr>
                      <w:rFonts w:ascii="Times New Roman" w:hAnsi="Times New Roman" w:eastAsia="宋体" w:cs="Times New Roman"/>
                      <w:b/>
                      <w:bCs/>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38.9</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1.111</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b/>
                      <w:bCs/>
                      <w:color w:val="auto"/>
                      <w:szCs w:val="21"/>
                      <w:u w:val="none"/>
                      <w:lang w:val="en-US" w:eastAsia="zh-CN"/>
                    </w:rPr>
                    <w:t>不</w:t>
                  </w:r>
                  <w:r>
                    <w:rPr>
                      <w:rFonts w:ascii="Times New Roman" w:hAnsi="Times New Roman" w:eastAsia="宋体" w:cs="Times New Roman"/>
                      <w:b/>
                      <w:bCs/>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22.9</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0.654</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22</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0.628</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22.6</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0.646</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14</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0.4</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O</w:t>
                  </w:r>
                  <w:r>
                    <w:rPr>
                      <w:rFonts w:ascii="Times New Roman" w:hAnsi="Times New Roman" w:eastAsia="宋体" w:cs="Times New Roman"/>
                      <w:color w:val="auto"/>
                      <w:szCs w:val="21"/>
                      <w:u w:val="none"/>
                      <w:vertAlign w:val="subscript"/>
                    </w:rPr>
                    <w:t>3</w:t>
                  </w:r>
                  <w:r>
                    <w:rPr>
                      <w:rFonts w:ascii="Times New Roman" w:hAnsi="Times New Roman" w:eastAsia="宋体" w:cs="Times New Roman"/>
                      <w:color w:val="auto"/>
                      <w:szCs w:val="21"/>
                      <w:u w:val="none"/>
                    </w:rPr>
                    <w:t>（</w:t>
                  </w:r>
                  <w:r>
                    <w:rPr>
                      <w:rFonts w:ascii="Times New Roman" w:hAnsi="Times New Roman" w:eastAsia="宋体" w:cs="Times New Roman"/>
                      <w:color w:val="auto"/>
                      <w:szCs w:val="21"/>
                      <w:u w:val="none"/>
                      <w:shd w:val="clear" w:color="auto" w:fill="FFFFFF"/>
                    </w:rPr>
                    <w:t>μg/m</w:t>
                  </w:r>
                  <w:r>
                    <w:rPr>
                      <w:rFonts w:ascii="Times New Roman" w:hAnsi="Times New Roman" w:eastAsia="宋体" w:cs="Times New Roman"/>
                      <w:color w:val="auto"/>
                      <w:szCs w:val="21"/>
                      <w:u w:val="none"/>
                      <w:shd w:val="clear" w:color="auto" w:fill="FFFFFF"/>
                      <w:vertAlign w:val="superscript"/>
                    </w:rPr>
                    <w:t>3</w:t>
                  </w:r>
                  <w:r>
                    <w:rPr>
                      <w:rFonts w:ascii="Times New Roman" w:hAnsi="Times New Roman" w:eastAsia="宋体" w:cs="Times New Roman"/>
                      <w:color w:val="auto"/>
                      <w:szCs w:val="21"/>
                      <w:u w:val="none"/>
                    </w:rPr>
                    <w:t>）</w:t>
                  </w: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83</w:t>
                  </w:r>
                </w:p>
              </w:tc>
              <w:tc>
                <w:tcPr>
                  <w:tcW w:w="9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160</w:t>
                  </w: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0.519</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lang w:val="en-US" w:eastAsia="zh-CN"/>
                    </w:rPr>
                    <w:t>2月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95.9</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0.599</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3月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122</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0.7625</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4月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163.2</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1.02</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rPr>
                  </w:pPr>
                  <w:r>
                    <w:rPr>
                      <w:rFonts w:ascii="Times New Roman" w:hAnsi="Times New Roman" w:eastAsia="宋体" w:cs="Times New Roman"/>
                      <w:b/>
                      <w:bCs/>
                      <w:color w:val="auto"/>
                      <w:szCs w:val="21"/>
                      <w:u w:val="none"/>
                      <w:lang w:val="en-US" w:eastAsia="zh-CN"/>
                    </w:rPr>
                    <w:t>不</w:t>
                  </w:r>
                  <w:r>
                    <w:rPr>
                      <w:rFonts w:ascii="Times New Roman" w:hAnsi="Times New Roman" w:eastAsia="宋体" w:cs="Times New Roman"/>
                      <w:b/>
                      <w:bCs/>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5月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144</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0.9</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lang w:val="en-US" w:eastAsia="zh-CN"/>
                    </w:rPr>
                  </w:pPr>
                  <w:r>
                    <w:rPr>
                      <w:rFonts w:ascii="Times New Roman" w:hAnsi="Times New Roman" w:eastAsia="宋体" w:cs="Times New Roman"/>
                      <w:color w:val="auto"/>
                      <w:szCs w:val="21"/>
                      <w:u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37" w:type="dxa"/>
                  <w:vMerge w:val="continue"/>
                  <w:tcBorders>
                    <w:tl2br w:val="nil"/>
                    <w:tr2bl w:val="nil"/>
                  </w:tcBorders>
                  <w:noWrap/>
                  <w:vAlign w:val="center"/>
                </w:tcPr>
                <w:p/>
              </w:tc>
              <w:tc>
                <w:tcPr>
                  <w:tcW w:w="1693" w:type="dxa"/>
                  <w:vMerge w:val="continue"/>
                  <w:tcBorders>
                    <w:tl2br w:val="nil"/>
                    <w:tr2bl w:val="nil"/>
                  </w:tcBorders>
                  <w:noWrap/>
                  <w:vAlign w:val="center"/>
                </w:tcPr>
                <w:p/>
              </w:tc>
              <w:tc>
                <w:tcPr>
                  <w:tcW w:w="162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6月</w:t>
                  </w:r>
                  <w:r>
                    <w:rPr>
                      <w:rFonts w:ascii="Times New Roman" w:hAnsi="Times New Roman" w:eastAsia="宋体" w:cs="Times New Roman"/>
                      <w:color w:val="auto"/>
                      <w:szCs w:val="21"/>
                      <w:u w:val="none"/>
                    </w:rPr>
                    <w:t>均值</w:t>
                  </w:r>
                </w:p>
              </w:tc>
              <w:tc>
                <w:tcPr>
                  <w:tcW w:w="1197"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150.1</w:t>
                  </w:r>
                </w:p>
              </w:tc>
              <w:tc>
                <w:tcPr>
                  <w:tcW w:w="990" w:type="dxa"/>
                  <w:vMerge w:val="continue"/>
                  <w:tcBorders>
                    <w:tl2br w:val="nil"/>
                    <w:tr2bl w:val="nil"/>
                  </w:tcBorders>
                  <w:noWrap/>
                  <w:vAlign w:val="center"/>
                </w:tcPr>
                <w:p/>
              </w:tc>
              <w:tc>
                <w:tcPr>
                  <w:tcW w:w="100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lang w:val="en-US" w:eastAsia="zh-CN"/>
                    </w:rPr>
                    <w:t>0.938</w:t>
                  </w:r>
                </w:p>
              </w:tc>
              <w:tc>
                <w:tcPr>
                  <w:tcW w:w="11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bCs/>
                      <w:color w:val="auto"/>
                      <w:szCs w:val="21"/>
                      <w:u w:val="none"/>
                      <w:lang w:val="en-US" w:eastAsia="zh-CN"/>
                    </w:rPr>
                  </w:pPr>
                  <w:r>
                    <w:rPr>
                      <w:rFonts w:ascii="Times New Roman" w:hAnsi="Times New Roman" w:eastAsia="宋体" w:cs="Times New Roman"/>
                      <w:color w:val="auto"/>
                      <w:szCs w:val="21"/>
                      <w:u w:val="none"/>
                    </w:rPr>
                    <w:t>达标</w:t>
                  </w:r>
                </w:p>
              </w:tc>
            </w:tr>
          </w:tbl>
          <w:p>
            <w:pPr>
              <w:pStyle w:val="21"/>
              <w:widowControl w:val="0"/>
              <w:spacing w:before="0" w:beforeAutospacing="0" w:after="0" w:afterAutospacing="0" w:line="360" w:lineRule="auto"/>
              <w:ind w:firstLine="520" w:firstLineChars="200"/>
              <w:jc w:val="both"/>
              <w:rPr>
                <w:rFonts w:ascii="Times New Roman" w:hAnsi="Times New Roman" w:eastAsia="宋体" w:cs="Times New Roman"/>
                <w:color w:val="auto"/>
                <w:spacing w:val="10"/>
                <w:szCs w:val="24"/>
                <w:u w:val="none"/>
                <w:lang w:val="en-US" w:eastAsia="zh-CN"/>
              </w:rPr>
            </w:pPr>
            <w:r>
              <w:rPr>
                <w:rFonts w:ascii="Times New Roman" w:hAnsi="Times New Roman" w:eastAsia="宋体" w:cs="Times New Roman"/>
                <w:color w:val="auto"/>
                <w:spacing w:val="10"/>
                <w:u w:val="none"/>
              </w:rPr>
              <w:t>根据以上</w:t>
            </w:r>
            <w:r>
              <w:rPr>
                <w:rFonts w:ascii="Times New Roman" w:hAnsi="Times New Roman" w:eastAsia="宋体" w:cs="Times New Roman"/>
                <w:color w:val="auto"/>
                <w:spacing w:val="10"/>
                <w:u w:val="none"/>
                <w:lang w:val="en-US" w:eastAsia="zh-CN"/>
              </w:rPr>
              <w:t>监测</w:t>
            </w:r>
            <w:r>
              <w:rPr>
                <w:rFonts w:ascii="Times New Roman" w:hAnsi="Times New Roman" w:eastAsia="宋体" w:cs="Times New Roman"/>
                <w:color w:val="auto"/>
                <w:spacing w:val="10"/>
                <w:u w:val="none"/>
              </w:rPr>
              <w:t>结果，</w:t>
            </w:r>
            <w:r>
              <w:rPr>
                <w:rFonts w:ascii="Times New Roman" w:hAnsi="Times New Roman" w:eastAsia="宋体" w:cs="Times New Roman"/>
                <w:color w:val="auto"/>
                <w:spacing w:val="10"/>
                <w:u w:val="none"/>
                <w:lang w:val="en-US" w:eastAsia="zh-CN"/>
              </w:rPr>
              <w:t>大英县城区</w:t>
            </w:r>
            <w:r>
              <w:rPr>
                <w:rFonts w:ascii="Times New Roman" w:hAnsi="Times New Roman" w:eastAsia="宋体" w:cs="Times New Roman"/>
                <w:color w:val="auto"/>
                <w:spacing w:val="10"/>
                <w:u w:val="none"/>
              </w:rPr>
              <w:t>SO</w:t>
            </w:r>
            <w:r>
              <w:rPr>
                <w:rFonts w:ascii="Times New Roman" w:hAnsi="Times New Roman" w:eastAsia="宋体" w:cs="Times New Roman"/>
                <w:color w:val="auto"/>
                <w:spacing w:val="10"/>
                <w:u w:val="none"/>
                <w:vertAlign w:val="subscript"/>
              </w:rPr>
              <w:t>2</w:t>
            </w:r>
            <w:r>
              <w:rPr>
                <w:rFonts w:ascii="Times New Roman" w:hAnsi="Times New Roman" w:eastAsia="宋体" w:cs="Times New Roman"/>
                <w:color w:val="auto"/>
                <w:spacing w:val="10"/>
                <w:u w:val="none"/>
              </w:rPr>
              <w:t>、NO</w:t>
            </w:r>
            <w:r>
              <w:rPr>
                <w:rFonts w:ascii="Times New Roman" w:hAnsi="Times New Roman" w:eastAsia="宋体" w:cs="Times New Roman"/>
                <w:color w:val="auto"/>
                <w:spacing w:val="10"/>
                <w:u w:val="none"/>
                <w:vertAlign w:val="subscript"/>
              </w:rPr>
              <w:t>2</w:t>
            </w:r>
            <w:r>
              <w:rPr>
                <w:rFonts w:ascii="Times New Roman" w:hAnsi="Times New Roman" w:eastAsia="宋体" w:cs="Times New Roman"/>
                <w:color w:val="auto"/>
                <w:spacing w:val="10"/>
                <w:u w:val="none"/>
                <w:vertAlign w:val="baseline"/>
                <w:lang w:eastAsia="zh-CN"/>
              </w:rPr>
              <w:t>、</w:t>
            </w:r>
            <w:r>
              <w:rPr>
                <w:rFonts w:ascii="Times New Roman" w:hAnsi="Times New Roman" w:eastAsia="宋体" w:cs="Times New Roman"/>
                <w:color w:val="auto"/>
                <w:spacing w:val="10"/>
                <w:u w:val="none"/>
              </w:rPr>
              <w:t>CO均满足《环境空气质量标准》（GB3095-2012）二级标准要求</w:t>
            </w:r>
            <w:r>
              <w:rPr>
                <w:rFonts w:ascii="Times New Roman" w:hAnsi="Times New Roman" w:eastAsia="宋体" w:cs="Times New Roman"/>
                <w:color w:val="auto"/>
                <w:spacing w:val="10"/>
                <w:u w:val="none"/>
                <w:lang w:eastAsia="zh-CN"/>
              </w:rPr>
              <w:t>，</w:t>
            </w:r>
            <w:r>
              <w:rPr>
                <w:rFonts w:ascii="Times New Roman" w:hAnsi="Times New Roman" w:eastAsia="宋体" w:cs="Times New Roman"/>
                <w:color w:val="auto"/>
                <w:spacing w:val="10"/>
                <w:u w:val="none"/>
              </w:rPr>
              <w:t>PM</w:t>
            </w:r>
            <w:r>
              <w:rPr>
                <w:rFonts w:ascii="Times New Roman" w:hAnsi="Times New Roman" w:eastAsia="宋体" w:cs="Times New Roman"/>
                <w:color w:val="auto"/>
                <w:spacing w:val="10"/>
                <w:u w:val="none"/>
                <w:vertAlign w:val="subscript"/>
              </w:rPr>
              <w:t>10</w:t>
            </w:r>
            <w:r>
              <w:rPr>
                <w:rFonts w:ascii="Times New Roman" w:hAnsi="Times New Roman" w:eastAsia="宋体" w:cs="Times New Roman"/>
                <w:color w:val="auto"/>
                <w:spacing w:val="10"/>
                <w:u w:val="none"/>
              </w:rPr>
              <w:t>、O</w:t>
            </w:r>
            <w:r>
              <w:rPr>
                <w:rFonts w:ascii="Times New Roman" w:hAnsi="Times New Roman" w:eastAsia="宋体" w:cs="Times New Roman"/>
                <w:color w:val="auto"/>
                <w:spacing w:val="10"/>
                <w:u w:val="none"/>
                <w:vertAlign w:val="subscript"/>
              </w:rPr>
              <w:t>3</w:t>
            </w:r>
            <w:r>
              <w:rPr>
                <w:rFonts w:ascii="Times New Roman" w:hAnsi="Times New Roman" w:eastAsia="宋体" w:cs="Times New Roman"/>
                <w:color w:val="auto"/>
                <w:spacing w:val="10"/>
                <w:u w:val="none"/>
              </w:rPr>
              <w:t>、PM</w:t>
            </w:r>
            <w:r>
              <w:rPr>
                <w:rFonts w:ascii="Times New Roman" w:hAnsi="Times New Roman" w:eastAsia="宋体" w:cs="Times New Roman"/>
                <w:color w:val="auto"/>
                <w:spacing w:val="10"/>
                <w:u w:val="none"/>
                <w:vertAlign w:val="subscript"/>
              </w:rPr>
              <w:t>2.5</w:t>
            </w:r>
            <w:r>
              <w:rPr>
                <w:rFonts w:ascii="Times New Roman" w:hAnsi="Times New Roman" w:eastAsia="宋体" w:cs="Times New Roman"/>
                <w:color w:val="auto"/>
                <w:spacing w:val="10"/>
                <w:u w:val="none"/>
                <w:vertAlign w:val="baseline"/>
                <w:lang w:val="en-US" w:eastAsia="zh-CN"/>
              </w:rPr>
              <w:t>偶有超标，</w:t>
            </w:r>
            <w:r>
              <w:rPr>
                <w:rFonts w:ascii="Times New Roman" w:hAnsi="Times New Roman" w:eastAsia="宋体" w:cs="Times New Roman"/>
                <w:color w:val="auto"/>
                <w:spacing w:val="10"/>
                <w:u w:val="none"/>
                <w:lang w:val="en-US" w:eastAsia="zh-CN"/>
              </w:rPr>
              <w:t>区域大气环境质量相对较好。</w:t>
            </w:r>
            <w:r>
              <w:rPr>
                <w:rFonts w:ascii="Times New Roman" w:hAnsi="Times New Roman" w:eastAsia="宋体" w:cs="Times New Roman"/>
                <w:color w:val="auto"/>
                <w:spacing w:val="10"/>
                <w:szCs w:val="24"/>
                <w:u w:val="none"/>
              </w:rPr>
              <w:t>根据《</w:t>
            </w:r>
            <w:r>
              <w:rPr>
                <w:rFonts w:ascii="Times New Roman" w:hAnsi="Times New Roman" w:eastAsia="宋体" w:cs="Times New Roman"/>
                <w:color w:val="auto"/>
                <w:spacing w:val="10"/>
                <w:szCs w:val="24"/>
                <w:u w:val="none"/>
                <w:lang w:val="en-US" w:eastAsia="zh-CN"/>
              </w:rPr>
              <w:t>遂宁市人民政府</w:t>
            </w:r>
            <w:r>
              <w:rPr>
                <w:rFonts w:ascii="Times New Roman" w:hAnsi="Times New Roman" w:eastAsia="宋体" w:cs="Times New Roman"/>
                <w:color w:val="auto"/>
                <w:spacing w:val="10"/>
                <w:szCs w:val="24"/>
                <w:u w:val="none"/>
              </w:rPr>
              <w:t>办公室关于转发&lt;</w:t>
            </w:r>
            <w:r>
              <w:rPr>
                <w:rFonts w:ascii="Times New Roman" w:hAnsi="Times New Roman" w:eastAsia="宋体" w:cs="Times New Roman"/>
                <w:color w:val="auto"/>
                <w:spacing w:val="10"/>
                <w:szCs w:val="24"/>
                <w:u w:val="none"/>
                <w:lang w:val="en-US" w:eastAsia="zh-CN"/>
              </w:rPr>
              <w:t>遂宁市“十四五”生态环境保护规划</w:t>
            </w:r>
            <w:r>
              <w:rPr>
                <w:rFonts w:ascii="Times New Roman" w:hAnsi="Times New Roman" w:eastAsia="宋体" w:cs="Times New Roman"/>
                <w:color w:val="auto"/>
                <w:spacing w:val="10"/>
                <w:szCs w:val="24"/>
                <w:u w:val="none"/>
              </w:rPr>
              <w:t>）&gt;的通知》（</w:t>
            </w:r>
            <w:r>
              <w:rPr>
                <w:rFonts w:ascii="Times New Roman" w:hAnsi="Times New Roman" w:eastAsia="宋体" w:cs="Times New Roman"/>
                <w:color w:val="auto"/>
                <w:spacing w:val="10"/>
                <w:szCs w:val="24"/>
                <w:u w:val="none"/>
                <w:lang w:val="en-US" w:eastAsia="zh-CN"/>
              </w:rPr>
              <w:t>遂府函〔2022〕38号</w:t>
            </w:r>
            <w:r>
              <w:rPr>
                <w:rFonts w:ascii="Times New Roman" w:hAnsi="Times New Roman" w:eastAsia="宋体" w:cs="Times New Roman"/>
                <w:color w:val="auto"/>
                <w:spacing w:val="10"/>
                <w:szCs w:val="24"/>
                <w:u w:val="none"/>
              </w:rPr>
              <w:t>），通过各项大气污染防治方案的实施，达标期限与分阶段目标到2020年</w:t>
            </w:r>
            <w:r>
              <w:rPr>
                <w:rFonts w:ascii="Times New Roman" w:hAnsi="Times New Roman" w:eastAsia="宋体" w:cs="Times New Roman"/>
                <w:color w:val="auto"/>
                <w:spacing w:val="10"/>
                <w:szCs w:val="24"/>
                <w:u w:val="none"/>
                <w:lang w:val="en-US" w:eastAsia="zh-CN"/>
              </w:rPr>
              <w:t>空气质量优良天数比例95.1%，</w:t>
            </w:r>
            <w:r>
              <w:rPr>
                <w:rFonts w:ascii="Times New Roman" w:hAnsi="Times New Roman" w:eastAsia="宋体" w:cs="Times New Roman"/>
                <w:color w:val="auto"/>
                <w:spacing w:val="10"/>
                <w:szCs w:val="24"/>
                <w:u w:val="none"/>
              </w:rPr>
              <w:t>PM</w:t>
            </w:r>
            <w:r>
              <w:rPr>
                <w:rFonts w:ascii="Times New Roman" w:hAnsi="Times New Roman" w:eastAsia="宋体" w:cs="Times New Roman"/>
                <w:color w:val="auto"/>
                <w:spacing w:val="10"/>
                <w:szCs w:val="24"/>
                <w:u w:val="none"/>
                <w:vertAlign w:val="subscript"/>
              </w:rPr>
              <w:t>2.5</w:t>
            </w:r>
            <w:r>
              <w:rPr>
                <w:rFonts w:ascii="Times New Roman" w:hAnsi="Times New Roman" w:eastAsia="宋体" w:cs="Times New Roman"/>
                <w:color w:val="auto"/>
                <w:spacing w:val="10"/>
                <w:szCs w:val="24"/>
                <w:u w:val="none"/>
              </w:rPr>
              <w:t>年均浓度下降到</w:t>
            </w:r>
            <w:r>
              <w:rPr>
                <w:rFonts w:ascii="Times New Roman" w:hAnsi="Times New Roman" w:eastAsia="宋体" w:cs="Times New Roman"/>
                <w:color w:val="auto"/>
                <w:spacing w:val="10"/>
                <w:szCs w:val="24"/>
                <w:u w:val="none"/>
                <w:lang w:val="en-US" w:eastAsia="zh-CN"/>
              </w:rPr>
              <w:t>27.7</w:t>
            </w:r>
            <w:r>
              <w:rPr>
                <w:rFonts w:ascii="Times New Roman" w:hAnsi="Times New Roman" w:eastAsia="宋体" w:cs="Times New Roman"/>
                <w:color w:val="auto"/>
                <w:spacing w:val="10"/>
                <w:szCs w:val="24"/>
                <w:u w:val="none"/>
              </w:rPr>
              <w:t>微克/立方米</w:t>
            </w:r>
            <w:r>
              <w:rPr>
                <w:rFonts w:ascii="Times New Roman" w:hAnsi="Times New Roman" w:eastAsia="宋体" w:cs="Times New Roman"/>
                <w:color w:val="auto"/>
                <w:spacing w:val="10"/>
                <w:szCs w:val="24"/>
                <w:u w:val="none"/>
                <w:lang w:val="en-US" w:eastAsia="zh-CN"/>
              </w:rPr>
              <w:t>以下</w:t>
            </w:r>
            <w:r>
              <w:rPr>
                <w:rFonts w:ascii="Times New Roman" w:hAnsi="Times New Roman" w:eastAsia="宋体" w:cs="Times New Roman"/>
                <w:color w:val="auto"/>
                <w:spacing w:val="10"/>
                <w:szCs w:val="24"/>
                <w:u w:val="none"/>
              </w:rPr>
              <w:t>，</w:t>
            </w:r>
            <w:r>
              <w:rPr>
                <w:rFonts w:ascii="Times New Roman" w:hAnsi="Times New Roman" w:eastAsia="宋体" w:cs="Times New Roman"/>
                <w:color w:val="auto"/>
                <w:spacing w:val="10"/>
                <w:szCs w:val="24"/>
                <w:u w:val="none"/>
                <w:lang w:val="en-US" w:eastAsia="zh-CN"/>
              </w:rPr>
              <w:t>重污染天数基本消除</w:t>
            </w:r>
            <w:r>
              <w:rPr>
                <w:rFonts w:ascii="Times New Roman" w:hAnsi="Times New Roman" w:eastAsia="宋体" w:cs="Times New Roman"/>
                <w:color w:val="auto"/>
                <w:spacing w:val="10"/>
                <w:szCs w:val="24"/>
                <w:u w:val="none"/>
                <w:lang w:eastAsia="zh-CN"/>
              </w:rPr>
              <w:t>；</w:t>
            </w:r>
            <w:r>
              <w:rPr>
                <w:rFonts w:ascii="Times New Roman" w:hAnsi="Times New Roman" w:eastAsia="宋体" w:cs="Times New Roman"/>
                <w:color w:val="auto"/>
                <w:spacing w:val="10"/>
                <w:szCs w:val="24"/>
                <w:u w:val="none"/>
                <w:lang w:val="en-US" w:eastAsia="zh-CN"/>
              </w:rPr>
              <w:t>到2025年空气质量优良天数比例95.4%</w:t>
            </w:r>
            <w:r>
              <w:rPr>
                <w:rFonts w:ascii="Times New Roman" w:hAnsi="Times New Roman" w:eastAsia="宋体" w:cs="Times New Roman"/>
                <w:color w:val="auto"/>
                <w:spacing w:val="10"/>
                <w:szCs w:val="24"/>
                <w:u w:val="none"/>
              </w:rPr>
              <w:t>，PM</w:t>
            </w:r>
            <w:r>
              <w:rPr>
                <w:rFonts w:ascii="Times New Roman" w:hAnsi="Times New Roman" w:eastAsia="宋体" w:cs="Times New Roman"/>
                <w:color w:val="auto"/>
                <w:spacing w:val="10"/>
                <w:szCs w:val="24"/>
                <w:u w:val="none"/>
                <w:vertAlign w:val="subscript"/>
              </w:rPr>
              <w:t>2.5</w:t>
            </w:r>
            <w:r>
              <w:rPr>
                <w:rFonts w:ascii="Times New Roman" w:hAnsi="Times New Roman" w:eastAsia="宋体" w:cs="Times New Roman"/>
                <w:color w:val="auto"/>
                <w:spacing w:val="10"/>
                <w:szCs w:val="24"/>
                <w:u w:val="none"/>
              </w:rPr>
              <w:t>年均浓度下降到</w:t>
            </w:r>
            <w:r>
              <w:rPr>
                <w:rFonts w:ascii="Times New Roman" w:hAnsi="Times New Roman" w:eastAsia="宋体" w:cs="Times New Roman"/>
                <w:color w:val="auto"/>
                <w:spacing w:val="10"/>
                <w:szCs w:val="24"/>
                <w:u w:val="none"/>
                <w:lang w:val="en-US" w:eastAsia="zh-CN"/>
              </w:rPr>
              <w:t>27.7</w:t>
            </w:r>
            <w:r>
              <w:rPr>
                <w:rFonts w:ascii="Times New Roman" w:hAnsi="Times New Roman" w:eastAsia="宋体" w:cs="Times New Roman"/>
                <w:color w:val="auto"/>
                <w:spacing w:val="10"/>
                <w:szCs w:val="24"/>
                <w:u w:val="none"/>
              </w:rPr>
              <w:t>微克/立方米</w:t>
            </w:r>
            <w:r>
              <w:rPr>
                <w:rFonts w:ascii="Times New Roman" w:hAnsi="Times New Roman" w:eastAsia="宋体" w:cs="Times New Roman"/>
                <w:color w:val="auto"/>
                <w:spacing w:val="10"/>
                <w:szCs w:val="24"/>
                <w:u w:val="none"/>
                <w:lang w:val="en-US" w:eastAsia="zh-CN"/>
              </w:rPr>
              <w:t>以下</w:t>
            </w:r>
            <w:r>
              <w:rPr>
                <w:rFonts w:ascii="Times New Roman" w:hAnsi="Times New Roman" w:eastAsia="宋体" w:cs="Times New Roman"/>
                <w:color w:val="auto"/>
                <w:spacing w:val="10"/>
                <w:szCs w:val="24"/>
                <w:u w:val="none"/>
              </w:rPr>
              <w:t>，PM</w:t>
            </w:r>
            <w:r>
              <w:rPr>
                <w:rFonts w:ascii="Times New Roman" w:hAnsi="Times New Roman" w:eastAsia="宋体" w:cs="Times New Roman"/>
                <w:color w:val="auto"/>
                <w:spacing w:val="10"/>
                <w:szCs w:val="24"/>
                <w:u w:val="none"/>
                <w:vertAlign w:val="subscript"/>
                <w:lang w:val="en-US" w:eastAsia="zh-CN"/>
              </w:rPr>
              <w:t>10</w:t>
            </w:r>
            <w:r>
              <w:rPr>
                <w:rFonts w:ascii="Times New Roman" w:hAnsi="Times New Roman" w:eastAsia="宋体" w:cs="Times New Roman"/>
                <w:color w:val="auto"/>
                <w:spacing w:val="10"/>
                <w:szCs w:val="24"/>
                <w:u w:val="none"/>
              </w:rPr>
              <w:t>年均浓度下降到</w:t>
            </w:r>
            <w:r>
              <w:rPr>
                <w:rFonts w:ascii="Times New Roman" w:hAnsi="Times New Roman" w:eastAsia="宋体" w:cs="Times New Roman"/>
                <w:color w:val="auto"/>
                <w:spacing w:val="10"/>
                <w:szCs w:val="24"/>
                <w:u w:val="none"/>
                <w:lang w:val="en-US" w:eastAsia="zh-CN"/>
              </w:rPr>
              <w:t>27.7</w:t>
            </w:r>
            <w:r>
              <w:rPr>
                <w:rFonts w:ascii="Times New Roman" w:hAnsi="Times New Roman" w:eastAsia="宋体" w:cs="Times New Roman"/>
                <w:color w:val="auto"/>
                <w:spacing w:val="10"/>
                <w:szCs w:val="24"/>
                <w:u w:val="none"/>
              </w:rPr>
              <w:t>微克/立方米</w:t>
            </w:r>
            <w:r>
              <w:rPr>
                <w:rFonts w:ascii="Times New Roman" w:hAnsi="Times New Roman" w:eastAsia="宋体" w:cs="Times New Roman"/>
                <w:color w:val="auto"/>
                <w:spacing w:val="10"/>
                <w:szCs w:val="24"/>
                <w:u w:val="none"/>
                <w:lang w:val="en-US" w:eastAsia="zh-CN"/>
              </w:rPr>
              <w:t>以下，重污染天数基本消除。</w:t>
            </w:r>
          </w:p>
          <w:p>
            <w:pPr>
              <w:widowControl/>
              <w:spacing w:line="360" w:lineRule="auto"/>
              <w:ind w:firstLine="480" w:firstLineChars="200"/>
              <w:jc w:val="left"/>
              <w:rPr>
                <w:rFonts w:ascii="Times New Roman" w:hAnsi="Times New Roman" w:cs="Times New Roman"/>
                <w:bCs/>
                <w:color w:val="auto"/>
                <w:sz w:val="24"/>
                <w:u w:val="none"/>
              </w:rPr>
            </w:pPr>
            <w:r>
              <w:rPr>
                <w:rFonts w:ascii="Times New Roman" w:hAnsi="Times New Roman" w:eastAsia="宋体" w:cs="Times New Roman"/>
                <w:bCs/>
                <w:color w:val="auto"/>
                <w:sz w:val="24"/>
                <w:u w:val="none"/>
              </w:rPr>
              <w:t>随着</w:t>
            </w:r>
            <w:r>
              <w:rPr>
                <w:rFonts w:ascii="Times New Roman" w:hAnsi="Times New Roman" w:eastAsia="宋体" w:cs="Times New Roman"/>
                <w:bCs/>
                <w:color w:val="auto"/>
                <w:sz w:val="24"/>
                <w:u w:val="none"/>
                <w:lang w:val="en-US" w:eastAsia="zh-CN"/>
              </w:rPr>
              <w:t>遂宁</w:t>
            </w:r>
            <w:r>
              <w:rPr>
                <w:rFonts w:ascii="Times New Roman" w:hAnsi="Times New Roman" w:eastAsia="宋体" w:cs="Times New Roman"/>
                <w:bCs/>
                <w:color w:val="auto"/>
                <w:sz w:val="24"/>
                <w:u w:val="none"/>
              </w:rPr>
              <w:t>市废气污染治理专项整治的深入，区域内环境空气质量将得到进一步改善</w:t>
            </w:r>
            <w:r>
              <w:rPr>
                <w:rFonts w:ascii="Times New Roman" w:hAnsi="Times New Roman" w:cs="Times New Roman"/>
                <w:bCs/>
                <w:color w:val="auto"/>
                <w:sz w:val="24"/>
                <w:u w:val="none"/>
              </w:rPr>
              <w:t>。</w:t>
            </w:r>
          </w:p>
          <w:p>
            <w:pPr>
              <w:adjustRightInd w:val="0"/>
              <w:snapToGrid w:val="0"/>
              <w:spacing w:line="360" w:lineRule="auto"/>
              <w:ind w:firstLine="482" w:firstLineChars="200"/>
              <w:rPr>
                <w:rFonts w:ascii="Times New Roman" w:hAnsi="Times New Roman" w:eastAsia="宋体" w:cs="Times New Roman"/>
                <w:b/>
                <w:bCs/>
                <w:color w:val="auto"/>
                <w:sz w:val="24"/>
                <w:szCs w:val="32"/>
                <w:u w:val="none"/>
              </w:rPr>
            </w:pPr>
            <w:r>
              <w:rPr>
                <w:rFonts w:ascii="Times New Roman" w:hAnsi="Times New Roman" w:eastAsia="宋体" w:cs="Times New Roman"/>
                <w:b/>
                <w:bCs/>
                <w:color w:val="auto"/>
                <w:sz w:val="24"/>
                <w:szCs w:val="32"/>
                <w:u w:val="none"/>
              </w:rPr>
              <w:t>（</w:t>
            </w:r>
            <w:r>
              <w:rPr>
                <w:rFonts w:hint="eastAsia" w:cs="Times New Roman"/>
                <w:b/>
                <w:bCs/>
                <w:color w:val="auto"/>
                <w:sz w:val="24"/>
                <w:szCs w:val="32"/>
                <w:u w:val="none"/>
                <w:lang w:val="en-US" w:eastAsia="zh-CN"/>
              </w:rPr>
              <w:t>2</w:t>
            </w:r>
            <w:r>
              <w:rPr>
                <w:rFonts w:ascii="Times New Roman" w:hAnsi="Times New Roman" w:eastAsia="宋体" w:cs="Times New Roman"/>
                <w:b/>
                <w:bCs/>
                <w:color w:val="auto"/>
                <w:sz w:val="24"/>
                <w:szCs w:val="32"/>
                <w:u w:val="none"/>
              </w:rPr>
              <w:t>）</w:t>
            </w:r>
            <w:r>
              <w:rPr>
                <w:rFonts w:hint="eastAsia" w:cs="Times New Roman"/>
                <w:b/>
                <w:bCs/>
                <w:color w:val="auto"/>
                <w:sz w:val="24"/>
                <w:szCs w:val="32"/>
                <w:u w:val="none"/>
                <w:lang w:val="en-US" w:eastAsia="zh-CN"/>
              </w:rPr>
              <w:t>特征</w:t>
            </w:r>
            <w:r>
              <w:rPr>
                <w:rFonts w:ascii="Times New Roman" w:hAnsi="Times New Roman" w:eastAsia="宋体" w:cs="Times New Roman"/>
                <w:b/>
                <w:bCs/>
                <w:color w:val="auto"/>
                <w:sz w:val="24"/>
                <w:szCs w:val="32"/>
                <w:u w:val="none"/>
              </w:rPr>
              <w:t>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auto"/>
                <w:kern w:val="0"/>
                <w:sz w:val="24"/>
                <w:szCs w:val="24"/>
                <w:u w:val="none"/>
                <w:vertAlign w:val="subscript"/>
                <w:lang w:val="en-US" w:eastAsia="zh-CN"/>
              </w:rPr>
            </w:pPr>
            <w:r>
              <w:rPr>
                <w:rFonts w:ascii="Times New Roman" w:hAnsi="Times New Roman" w:eastAsia="宋体" w:cs="Times New Roman"/>
                <w:color w:val="auto"/>
                <w:sz w:val="24"/>
                <w:szCs w:val="24"/>
                <w:u w:val="none"/>
              </w:rPr>
              <w:t>本</w:t>
            </w:r>
            <w:r>
              <w:rPr>
                <w:rFonts w:hint="eastAsia" w:cs="Times New Roman"/>
                <w:color w:val="auto"/>
                <w:sz w:val="24"/>
                <w:szCs w:val="24"/>
                <w:u w:val="none"/>
                <w:lang w:val="en-US" w:eastAsia="zh-CN"/>
              </w:rPr>
              <w:t>项目产生烟尘为</w:t>
            </w:r>
            <w:r>
              <w:rPr>
                <w:rFonts w:ascii="Times New Roman" w:hAnsi="Times New Roman" w:eastAsia="宋体" w:cs="Times New Roman"/>
                <w:color w:val="auto"/>
                <w:spacing w:val="10"/>
                <w:sz w:val="24"/>
                <w:szCs w:val="24"/>
                <w:u w:val="none"/>
              </w:rPr>
              <w:t>PM</w:t>
            </w:r>
            <w:r>
              <w:rPr>
                <w:rFonts w:ascii="Times New Roman" w:hAnsi="Times New Roman" w:eastAsia="宋体" w:cs="Times New Roman"/>
                <w:color w:val="auto"/>
                <w:spacing w:val="10"/>
                <w:sz w:val="24"/>
                <w:szCs w:val="24"/>
                <w:u w:val="none"/>
                <w:vertAlign w:val="subscript"/>
                <w:lang w:val="en-US" w:eastAsia="zh-CN"/>
              </w:rPr>
              <w:t>10</w:t>
            </w:r>
            <w:r>
              <w:rPr>
                <w:rFonts w:hint="eastAsia" w:cs="Times New Roman"/>
                <w:color w:val="auto"/>
                <w:spacing w:val="10"/>
                <w:sz w:val="24"/>
                <w:szCs w:val="24"/>
                <w:u w:val="none"/>
                <w:vertAlign w:val="baseline"/>
                <w:lang w:val="en-US" w:eastAsia="zh-CN"/>
              </w:rPr>
              <w:t>和</w:t>
            </w:r>
            <w:r>
              <w:rPr>
                <w:rFonts w:ascii="Times New Roman" w:hAnsi="Times New Roman" w:eastAsia="宋体" w:cs="Times New Roman"/>
                <w:color w:val="auto"/>
                <w:spacing w:val="10"/>
                <w:sz w:val="24"/>
                <w:szCs w:val="24"/>
                <w:u w:val="none"/>
              </w:rPr>
              <w:t>PM</w:t>
            </w:r>
            <w:r>
              <w:rPr>
                <w:rFonts w:hint="eastAsia" w:cs="Times New Roman"/>
                <w:color w:val="auto"/>
                <w:spacing w:val="10"/>
                <w:sz w:val="24"/>
                <w:szCs w:val="24"/>
                <w:u w:val="none"/>
                <w:vertAlign w:val="subscript"/>
                <w:lang w:val="en-US" w:eastAsia="zh-CN"/>
              </w:rPr>
              <w:t>2.5</w:t>
            </w:r>
            <w:r>
              <w:rPr>
                <w:rFonts w:hint="eastAsia" w:cs="Times New Roman"/>
                <w:color w:val="auto"/>
                <w:spacing w:val="10"/>
                <w:sz w:val="24"/>
                <w:szCs w:val="24"/>
                <w:u w:val="none"/>
                <w:lang w:val="en-US" w:eastAsia="zh-CN"/>
              </w:rPr>
              <w:t>，不需再做环境质量现状监测。H</w:t>
            </w:r>
            <w:r>
              <w:rPr>
                <w:rFonts w:hint="eastAsia" w:cs="Times New Roman"/>
                <w:color w:val="auto"/>
                <w:spacing w:val="10"/>
                <w:sz w:val="24"/>
                <w:szCs w:val="24"/>
                <w:u w:val="none"/>
                <w:vertAlign w:val="subscript"/>
                <w:lang w:val="en-US" w:eastAsia="zh-CN"/>
              </w:rPr>
              <w:t>2</w:t>
            </w:r>
            <w:r>
              <w:rPr>
                <w:rFonts w:hint="eastAsia" w:cs="Times New Roman"/>
                <w:color w:val="auto"/>
                <w:spacing w:val="10"/>
                <w:sz w:val="24"/>
                <w:szCs w:val="24"/>
                <w:u w:val="none"/>
                <w:vertAlign w:val="baseline"/>
                <w:lang w:val="en-US" w:eastAsia="zh-CN"/>
              </w:rPr>
              <w:t>S不在《环境空气质量标准》（GB3095-2012）内，无相关标准。</w:t>
            </w:r>
            <w:r>
              <w:rPr>
                <w:rFonts w:hint="eastAsia" w:cs="Times New Roman"/>
                <w:color w:val="auto"/>
                <w:spacing w:val="10"/>
                <w:sz w:val="24"/>
                <w:szCs w:val="24"/>
                <w:u w:val="none"/>
                <w:lang w:val="en-US" w:eastAsia="zh-CN"/>
              </w:rPr>
              <w:t>不需做环境质量现状监测。</w:t>
            </w:r>
          </w:p>
          <w:p>
            <w:pPr>
              <w:autoSpaceDE/>
              <w:autoSpaceDN/>
              <w:spacing w:line="360" w:lineRule="auto"/>
              <w:rPr>
                <w:rFonts w:ascii="Times New Roman" w:hAnsi="Times New Roman" w:eastAsia="宋体" w:cs="Times New Roman"/>
                <w:b/>
                <w:bCs/>
                <w:color w:val="auto"/>
                <w:kern w:val="0"/>
                <w:sz w:val="24"/>
                <w:szCs w:val="21"/>
                <w:u w:val="none"/>
              </w:rPr>
            </w:pPr>
            <w:r>
              <w:rPr>
                <w:rFonts w:ascii="Times New Roman" w:hAnsi="Times New Roman" w:eastAsia="宋体" w:cs="Times New Roman"/>
                <w:b/>
                <w:bCs/>
                <w:color w:val="auto"/>
                <w:kern w:val="0"/>
                <w:sz w:val="24"/>
                <w:szCs w:val="21"/>
                <w:u w:val="none"/>
              </w:rPr>
              <w:t>二、地表水环境质量现状调查与评价</w:t>
            </w:r>
          </w:p>
          <w:p>
            <w:pPr>
              <w:keepNext w:val="0"/>
              <w:keepLines w:val="0"/>
              <w:widowControl w:val="0"/>
              <w:suppressLineNumbers w:val="0"/>
              <w:autoSpaceDE w:val="0"/>
              <w:autoSpaceDN w:val="0"/>
              <w:spacing w:before="0" w:beforeAutospacing="0" w:after="0" w:afterAutospacing="0" w:line="360" w:lineRule="auto"/>
              <w:ind w:left="0" w:right="0" w:firstLine="480" w:firstLineChars="200"/>
              <w:rPr>
                <w:rFonts w:ascii="Times New Roman" w:hAnsi="Times New Roman" w:cs="Times New Roman"/>
                <w:color w:val="auto"/>
                <w:kern w:val="0"/>
                <w:sz w:val="24"/>
                <w:u w:val="none"/>
              </w:rPr>
            </w:pPr>
            <w:bookmarkStart w:id="8" w:name="_Hlk79487528"/>
            <w:r>
              <w:rPr>
                <w:rFonts w:ascii="Times New Roman" w:hAnsi="Times New Roman" w:cs="Times New Roman"/>
                <w:color w:val="auto"/>
                <w:sz w:val="24"/>
                <w:u w:val="none"/>
              </w:rPr>
              <w:t>本项目</w:t>
            </w:r>
            <w:r>
              <w:rPr>
                <w:rFonts w:ascii="Times New Roman" w:hAnsi="Times New Roman" w:cs="Times New Roman"/>
                <w:color w:val="auto"/>
                <w:sz w:val="24"/>
                <w:u w:val="none"/>
                <w:lang w:val="en-US" w:eastAsia="zh-CN"/>
              </w:rPr>
              <w:t>所在区域地表水体为郪江，</w:t>
            </w:r>
            <w:r>
              <w:rPr>
                <w:rFonts w:ascii="Times New Roman" w:hAnsi="Times New Roman" w:cs="Times New Roman"/>
                <w:color w:val="auto"/>
                <w:sz w:val="24"/>
                <w:u w:val="none"/>
              </w:rPr>
              <w:t>选取较近的</w:t>
            </w:r>
            <w:r>
              <w:rPr>
                <w:rFonts w:ascii="Times New Roman" w:hAnsi="Times New Roman" w:cs="Times New Roman"/>
                <w:color w:val="auto"/>
                <w:sz w:val="24"/>
                <w:u w:val="none"/>
                <w:lang w:val="en-US" w:eastAsia="zh-CN"/>
              </w:rPr>
              <w:t>郪江口控制断面</w:t>
            </w:r>
            <w:r>
              <w:rPr>
                <w:rFonts w:ascii="Times New Roman" w:hAnsi="Times New Roman" w:cs="Times New Roman"/>
                <w:color w:val="auto"/>
                <w:sz w:val="24"/>
                <w:u w:val="none"/>
              </w:rPr>
              <w:t>监测断面作为参照，根据</w:t>
            </w:r>
            <w:r>
              <w:rPr>
                <w:rFonts w:ascii="Times New Roman" w:hAnsi="Times New Roman" w:cs="Times New Roman"/>
                <w:color w:val="auto"/>
                <w:sz w:val="24"/>
                <w:u w:val="none"/>
                <w:lang w:val="en-US" w:eastAsia="zh-CN"/>
              </w:rPr>
              <w:t>遂宁市生态环境局发布的《202</w:t>
            </w:r>
            <w:r>
              <w:rPr>
                <w:rFonts w:hint="eastAsia" w:cs="Times New Roman"/>
                <w:color w:val="auto"/>
                <w:sz w:val="24"/>
                <w:u w:val="none"/>
                <w:lang w:val="en-US" w:eastAsia="zh-CN"/>
              </w:rPr>
              <w:t>3</w:t>
            </w:r>
            <w:r>
              <w:rPr>
                <w:rFonts w:ascii="Times New Roman" w:hAnsi="Times New Roman" w:cs="Times New Roman"/>
                <w:color w:val="auto"/>
                <w:sz w:val="24"/>
                <w:u w:val="none"/>
                <w:lang w:val="en-US" w:eastAsia="zh-CN"/>
              </w:rPr>
              <w:t>年遂宁市环境质量公告》</w:t>
            </w:r>
            <w:r>
              <w:rPr>
                <w:rFonts w:ascii="Times New Roman" w:hAnsi="Times New Roman" w:cs="Times New Roman"/>
                <w:color w:val="auto"/>
                <w:sz w:val="24"/>
                <w:u w:val="none"/>
                <w:lang w:eastAsia="zh-CN"/>
              </w:rPr>
              <w:t>（</w:t>
            </w:r>
            <w:r>
              <w:rPr>
                <w:rFonts w:ascii="Times New Roman" w:hAnsi="Times New Roman" w:cs="Times New Roman"/>
                <w:color w:val="auto"/>
                <w:sz w:val="24"/>
                <w:u w:val="none"/>
                <w:lang w:val="en-US" w:eastAsia="zh-CN"/>
              </w:rPr>
              <w:t>网址：</w:t>
            </w:r>
            <w:r>
              <w:rPr>
                <w:rFonts w:ascii="Times New Roman" w:hAnsi="Times New Roman" w:eastAsia="宋体" w:cs="Times New Roman"/>
                <w:color w:val="auto"/>
                <w:sz w:val="24"/>
                <w:szCs w:val="24"/>
                <w:u w:val="none"/>
              </w:rPr>
              <w:t>https://www.suining.gov.cn/phone/show/5b25e70895b814af678b0a09f2c09177.html</w:t>
            </w:r>
            <w:r>
              <w:rPr>
                <w:rFonts w:ascii="Times New Roman" w:hAnsi="Times New Roman" w:cs="Times New Roman"/>
                <w:color w:val="auto"/>
                <w:sz w:val="24"/>
                <w:u w:val="none"/>
                <w:lang w:eastAsia="zh-CN"/>
              </w:rPr>
              <w:t>）</w:t>
            </w:r>
            <w:r>
              <w:rPr>
                <w:rFonts w:ascii="Times New Roman" w:hAnsi="Times New Roman" w:cs="Times New Roman"/>
                <w:color w:val="auto"/>
                <w:sz w:val="24"/>
                <w:u w:val="none"/>
                <w:lang w:val="en-US" w:eastAsia="zh-CN"/>
              </w:rPr>
              <w:t>中</w:t>
            </w:r>
            <w:r>
              <w:rPr>
                <w:rFonts w:ascii="Times New Roman" w:hAnsi="Times New Roman" w:cs="Times New Roman"/>
                <w:color w:val="auto"/>
                <w:sz w:val="24"/>
                <w:u w:val="none"/>
              </w:rPr>
              <w:t>，</w:t>
            </w:r>
            <w:r>
              <w:rPr>
                <w:rFonts w:hint="eastAsia" w:cs="Times New Roman"/>
                <w:color w:val="auto"/>
                <w:sz w:val="24"/>
                <w:u w:val="none"/>
                <w:lang w:val="en-US" w:eastAsia="zh-CN"/>
              </w:rPr>
              <w:t>2023年</w:t>
            </w:r>
            <w:r>
              <w:rPr>
                <w:rFonts w:ascii="Times New Roman" w:hAnsi="Times New Roman" w:cs="Times New Roman"/>
                <w:color w:val="auto"/>
                <w:sz w:val="24"/>
                <w:u w:val="none"/>
                <w:lang w:val="en-US" w:eastAsia="zh-CN"/>
              </w:rPr>
              <w:t>遂宁市河流水质评价结果表，郪江口</w:t>
            </w:r>
            <w:r>
              <w:rPr>
                <w:rFonts w:ascii="Times New Roman" w:hAnsi="Times New Roman" w:cs="Times New Roman"/>
                <w:color w:val="auto"/>
                <w:sz w:val="24"/>
                <w:u w:val="none"/>
              </w:rPr>
              <w:t>控制断面水质</w:t>
            </w:r>
            <w:r>
              <w:rPr>
                <w:rFonts w:ascii="Times New Roman" w:hAnsi="Times New Roman" w:cs="Times New Roman"/>
                <w:color w:val="auto"/>
                <w:sz w:val="24"/>
                <w:u w:val="none"/>
                <w:lang w:val="en-US" w:eastAsia="zh-CN"/>
              </w:rPr>
              <w:t>调查</w:t>
            </w:r>
            <w:bookmarkEnd w:id="8"/>
            <w:r>
              <w:rPr>
                <w:rFonts w:ascii="Times New Roman" w:hAnsi="Times New Roman" w:cs="Times New Roman"/>
                <w:color w:val="auto"/>
                <w:kern w:val="0"/>
                <w:sz w:val="24"/>
                <w:u w:val="none"/>
              </w:rPr>
              <w:t>统计如下：</w:t>
            </w:r>
          </w:p>
          <w:p>
            <w:pPr>
              <w:pStyle w:val="2"/>
              <w:keepNext w:val="0"/>
              <w:keepLines w:val="0"/>
              <w:widowControl/>
              <w:suppressLineNumbers w:val="0"/>
              <w:autoSpaceDE w:val="0"/>
              <w:autoSpaceDN w:val="0"/>
              <w:spacing w:beforeAutospacing="0" w:afterAutospacing="0" w:line="240" w:lineRule="auto"/>
              <w:ind w:left="0"/>
              <w:jc w:val="center"/>
              <w:rPr>
                <w:rFonts w:ascii="Times New Roman" w:hAnsi="Times New Roman" w:cs="Times New Roman"/>
                <w:color w:val="auto"/>
                <w:sz w:val="21"/>
                <w:szCs w:val="21"/>
                <w:u w:val="none"/>
                <w:lang w:val="en-US"/>
              </w:rPr>
            </w:pPr>
            <w:r>
              <w:rPr>
                <w:rFonts w:ascii="Times New Roman" w:hAnsi="Times New Roman" w:cs="Times New Roman"/>
                <w:b/>
                <w:color w:val="auto"/>
                <w:sz w:val="21"/>
                <w:szCs w:val="21"/>
                <w:u w:val="none"/>
              </w:rPr>
              <w:t>表3-</w:t>
            </w:r>
            <w:r>
              <w:rPr>
                <w:rFonts w:hint="eastAsia" w:ascii="Times New Roman" w:hAnsi="Times New Roman" w:cs="Times New Roman"/>
                <w:b/>
                <w:color w:val="auto"/>
                <w:sz w:val="21"/>
                <w:szCs w:val="21"/>
                <w:u w:val="none"/>
                <w:lang w:val="en-US" w:eastAsia="zh-CN"/>
              </w:rPr>
              <w:t>3</w:t>
            </w:r>
            <w:r>
              <w:rPr>
                <w:rFonts w:ascii="Times New Roman" w:hAnsi="Times New Roman" w:cs="Times New Roman"/>
                <w:b/>
                <w:color w:val="auto"/>
                <w:sz w:val="21"/>
                <w:szCs w:val="21"/>
                <w:u w:val="none"/>
              </w:rPr>
              <w:t xml:space="preserve"> </w:t>
            </w:r>
            <w:r>
              <w:rPr>
                <w:rFonts w:ascii="Times New Roman" w:hAnsi="Times New Roman" w:cs="Times New Roman"/>
                <w:b/>
                <w:color w:val="auto"/>
                <w:sz w:val="21"/>
                <w:szCs w:val="21"/>
                <w:u w:val="none"/>
                <w:lang w:val="en-US" w:eastAsia="zh-CN"/>
              </w:rPr>
              <w:t xml:space="preserve"> </w:t>
            </w:r>
            <w:r>
              <w:rPr>
                <w:rFonts w:hint="eastAsia" w:cs="Times New Roman"/>
                <w:b/>
                <w:color w:val="auto"/>
                <w:sz w:val="21"/>
                <w:szCs w:val="21"/>
                <w:u w:val="none"/>
                <w:lang w:val="en-US" w:eastAsia="zh-CN"/>
              </w:rPr>
              <w:t>2023年</w:t>
            </w:r>
            <w:r>
              <w:rPr>
                <w:rFonts w:ascii="Times New Roman" w:hAnsi="Times New Roman" w:cs="Times New Roman"/>
                <w:b/>
                <w:color w:val="auto"/>
                <w:sz w:val="21"/>
                <w:szCs w:val="21"/>
                <w:u w:val="none"/>
                <w:lang w:val="en-US" w:eastAsia="zh-CN"/>
              </w:rPr>
              <w:t>遂宁市河流水质评价结果表</w:t>
            </w:r>
          </w:p>
          <w:tbl>
            <w:tblPr>
              <w:tblStyle w:val="25"/>
              <w:tblW w:w="85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893"/>
              <w:gridCol w:w="1088"/>
              <w:gridCol w:w="1396"/>
              <w:gridCol w:w="1309"/>
              <w:gridCol w:w="1109"/>
              <w:gridCol w:w="13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279"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ascii="Times New Roman" w:hAnsi="Times New Roman" w:cs="Times New Roman"/>
                      <w:color w:val="auto"/>
                      <w:u w:val="none"/>
                      <w:lang w:val="en-US" w:eastAsia="zh-CN"/>
                    </w:rPr>
                    <w:t>断面名称</w:t>
                  </w:r>
                </w:p>
              </w:tc>
              <w:tc>
                <w:tcPr>
                  <w:tcW w:w="906"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lang w:val="en-US" w:eastAsia="zh-CN"/>
                    </w:rPr>
                  </w:pPr>
                  <w:r>
                    <w:rPr>
                      <w:rFonts w:ascii="Times New Roman" w:hAnsi="Times New Roman" w:cs="Times New Roman"/>
                      <w:color w:val="auto"/>
                      <w:u w:val="none"/>
                      <w:lang w:val="en-US" w:eastAsia="zh-CN"/>
                    </w:rPr>
                    <w:t>所在地</w:t>
                  </w:r>
                </w:p>
              </w:tc>
              <w:tc>
                <w:tcPr>
                  <w:tcW w:w="1105"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ascii="Times New Roman" w:hAnsi="Times New Roman" w:cs="Times New Roman"/>
                      <w:color w:val="auto"/>
                      <w:u w:val="none"/>
                      <w:lang w:val="en-US" w:eastAsia="zh-CN"/>
                    </w:rPr>
                    <w:t>规定类别</w:t>
                  </w:r>
                </w:p>
              </w:tc>
              <w:tc>
                <w:tcPr>
                  <w:tcW w:w="1419"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rPr>
                  </w:pPr>
                  <w:r>
                    <w:rPr>
                      <w:rFonts w:ascii="Times New Roman" w:hAnsi="Times New Roman" w:cs="Times New Roman"/>
                      <w:color w:val="auto"/>
                      <w:u w:val="none"/>
                      <w:lang w:val="en-US" w:eastAsia="zh-CN"/>
                    </w:rPr>
                    <w:t>202</w:t>
                  </w:r>
                  <w:r>
                    <w:rPr>
                      <w:rFonts w:hint="eastAsia" w:cs="Times New Roman"/>
                      <w:color w:val="auto"/>
                      <w:u w:val="none"/>
                      <w:lang w:val="en-US" w:eastAsia="zh-CN"/>
                    </w:rPr>
                    <w:t>2</w:t>
                  </w:r>
                  <w:r>
                    <w:rPr>
                      <w:rFonts w:ascii="Times New Roman" w:hAnsi="Times New Roman" w:cs="Times New Roman"/>
                      <w:color w:val="auto"/>
                      <w:u w:val="none"/>
                      <w:lang w:val="en-US" w:eastAsia="zh-CN"/>
                    </w:rPr>
                    <w:t>年度类别</w:t>
                  </w:r>
                </w:p>
              </w:tc>
              <w:tc>
                <w:tcPr>
                  <w:tcW w:w="1330"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hint="eastAsia" w:cs="Times New Roman"/>
                      <w:color w:val="auto"/>
                      <w:u w:val="none"/>
                      <w:lang w:val="en-US" w:eastAsia="zh-CN"/>
                    </w:rPr>
                    <w:t>2023年</w:t>
                  </w:r>
                  <w:r>
                    <w:rPr>
                      <w:rFonts w:ascii="Times New Roman" w:hAnsi="Times New Roman" w:cs="Times New Roman"/>
                      <w:color w:val="auto"/>
                      <w:u w:val="none"/>
                      <w:lang w:val="en-US" w:eastAsia="zh-CN"/>
                    </w:rPr>
                    <w:t>度类别</w:t>
                  </w:r>
                </w:p>
              </w:tc>
              <w:tc>
                <w:tcPr>
                  <w:tcW w:w="1126"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rPr>
                  </w:pPr>
                  <w:r>
                    <w:rPr>
                      <w:rFonts w:ascii="Times New Roman" w:hAnsi="Times New Roman" w:cs="Times New Roman"/>
                      <w:color w:val="auto"/>
                      <w:u w:val="none"/>
                    </w:rPr>
                    <w:t>是否达标</w:t>
                  </w:r>
                </w:p>
              </w:tc>
              <w:tc>
                <w:tcPr>
                  <w:tcW w:w="1371" w:type="dxa"/>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ascii="Times New Roman" w:hAnsi="Times New Roman" w:cs="Times New Roman"/>
                      <w:color w:val="auto"/>
                      <w:u w:val="none"/>
                      <w:lang w:val="en-US" w:eastAsia="zh-CN"/>
                    </w:rPr>
                    <w:t>主要污染指标/超标倍数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9" w:type="dxa"/>
                  <w:tcBorders>
                    <w:top w:val="single" w:color="auto" w:sz="4" w:space="0"/>
                    <w:righ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ascii="Times New Roman" w:hAnsi="Times New Roman" w:cs="Times New Roman"/>
                      <w:color w:val="auto"/>
                      <w:u w:val="none"/>
                      <w:lang w:val="en-US" w:eastAsia="zh-CN"/>
                    </w:rPr>
                    <w:t>郪江口</w:t>
                  </w:r>
                </w:p>
              </w:tc>
              <w:tc>
                <w:tcPr>
                  <w:tcW w:w="906" w:type="dxa"/>
                  <w:tcBorders>
                    <w:top w:val="single" w:color="auto" w:sz="4" w:space="0"/>
                    <w:left w:val="single" w:color="auto" w:sz="4" w:space="0"/>
                    <w:righ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ascii="Times New Roman" w:hAnsi="Times New Roman" w:cs="Times New Roman"/>
                      <w:color w:val="auto"/>
                      <w:u w:val="none"/>
                      <w:lang w:val="en-US" w:eastAsia="zh-CN"/>
                    </w:rPr>
                    <w:t>大英县</w:t>
                  </w:r>
                </w:p>
              </w:tc>
              <w:tc>
                <w:tcPr>
                  <w:tcW w:w="1105" w:type="dxa"/>
                  <w:tcBorders>
                    <w:top w:val="single" w:color="auto" w:sz="4" w:space="0"/>
                    <w:left w:val="single" w:color="auto" w:sz="4" w:space="0"/>
                    <w:righ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rPr>
                  </w:pPr>
                  <w:r>
                    <w:rPr>
                      <w:rFonts w:ascii="Times New Roman" w:hAnsi="Times New Roman" w:cs="Times New Roman"/>
                      <w:color w:val="auto"/>
                      <w:u w:val="none"/>
                    </w:rPr>
                    <w:t>Ⅲ</w:t>
                  </w:r>
                </w:p>
              </w:tc>
              <w:tc>
                <w:tcPr>
                  <w:tcW w:w="1419" w:type="dxa"/>
                  <w:tcBorders>
                    <w:top w:val="single" w:color="auto" w:sz="4" w:space="0"/>
                    <w:left w:val="single" w:color="auto" w:sz="4" w:space="0"/>
                    <w:righ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rPr>
                  </w:pPr>
                  <w:r>
                    <w:rPr>
                      <w:rFonts w:ascii="Times New Roman" w:hAnsi="Times New Roman" w:cs="Times New Roman"/>
                      <w:color w:val="auto"/>
                      <w:u w:val="none"/>
                    </w:rPr>
                    <w:t>Ⅲ</w:t>
                  </w:r>
                </w:p>
              </w:tc>
              <w:tc>
                <w:tcPr>
                  <w:tcW w:w="1330" w:type="dxa"/>
                  <w:tcBorders>
                    <w:top w:val="single" w:color="auto" w:sz="4" w:space="0"/>
                    <w:left w:val="single" w:color="auto" w:sz="4" w:space="0"/>
                    <w:righ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rPr>
                  </w:pPr>
                  <w:r>
                    <w:rPr>
                      <w:rFonts w:ascii="Times New Roman" w:hAnsi="Times New Roman" w:cs="Times New Roman"/>
                      <w:color w:val="auto"/>
                      <w:u w:val="none"/>
                    </w:rPr>
                    <w:t>Ⅲ</w:t>
                  </w:r>
                </w:p>
              </w:tc>
              <w:tc>
                <w:tcPr>
                  <w:tcW w:w="1126" w:type="dxa"/>
                  <w:tcBorders>
                    <w:top w:val="single" w:color="auto" w:sz="4" w:space="0"/>
                    <w:left w:val="single" w:color="auto" w:sz="4" w:space="0"/>
                    <w:righ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cs="Times New Roman"/>
                      <w:color w:val="auto"/>
                      <w:u w:val="none"/>
                    </w:rPr>
                  </w:pPr>
                  <w:r>
                    <w:rPr>
                      <w:rFonts w:ascii="Times New Roman" w:hAnsi="Times New Roman" w:cs="Times New Roman"/>
                      <w:color w:val="auto"/>
                      <w:u w:val="none"/>
                    </w:rPr>
                    <w:t>达标</w:t>
                  </w:r>
                </w:p>
              </w:tc>
              <w:tc>
                <w:tcPr>
                  <w:tcW w:w="1371" w:type="dxa"/>
                  <w:tcBorders>
                    <w:top w:val="single" w:color="auto" w:sz="4" w:space="0"/>
                    <w:left w:val="single" w:color="auto" w:sz="4" w:space="0"/>
                  </w:tcBorders>
                  <w:noWrap/>
                  <w:vAlign w:val="center"/>
                </w:tcPr>
                <w:p>
                  <w:pPr>
                    <w:keepNext w:val="0"/>
                    <w:keepLines w:val="0"/>
                    <w:widowControl w:val="0"/>
                    <w:suppressLineNumbers w:val="0"/>
                    <w:autoSpaceDE w:val="0"/>
                    <w:autoSpaceDN w:val="0"/>
                    <w:spacing w:before="0" w:beforeAutospacing="0" w:after="0" w:afterAutospacing="0"/>
                    <w:ind w:left="0" w:right="0"/>
                    <w:jc w:val="center"/>
                    <w:rPr>
                      <w:rFonts w:ascii="Times New Roman" w:hAnsi="Times New Roman" w:eastAsia="宋体" w:cs="Times New Roman"/>
                      <w:color w:val="auto"/>
                      <w:u w:val="none"/>
                      <w:lang w:val="en-US" w:eastAsia="zh-CN"/>
                    </w:rPr>
                  </w:pPr>
                  <w:r>
                    <w:rPr>
                      <w:rFonts w:ascii="Times New Roman" w:hAnsi="Times New Roman" w:cs="Times New Roman"/>
                      <w:color w:val="auto"/>
                      <w:u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left"/>
              <w:textAlignment w:val="auto"/>
              <w:rPr>
                <w:rFonts w:ascii="Times New Roman" w:hAnsi="Times New Roman" w:eastAsia="宋体" w:cs="Times New Roman"/>
                <w:color w:val="auto"/>
                <w:sz w:val="21"/>
                <w:szCs w:val="21"/>
                <w:u w:val="none"/>
                <w:lang w:eastAsia="zh-CN"/>
              </w:rPr>
            </w:pPr>
            <w:r>
              <w:rPr>
                <w:rFonts w:ascii="Times New Roman" w:hAnsi="Times New Roman" w:eastAsia="宋体" w:cs="Times New Roman"/>
                <w:color w:val="auto"/>
                <w:sz w:val="21"/>
                <w:szCs w:val="21"/>
                <w:u w:val="none"/>
                <w:lang w:val="en-US" w:eastAsia="zh-CN"/>
              </w:rPr>
              <w:t>注：</w:t>
            </w:r>
            <w:r>
              <w:rPr>
                <w:rFonts w:ascii="Times New Roman" w:hAnsi="Times New Roman" w:eastAsia="宋体" w:cs="Times New Roman"/>
                <w:color w:val="auto"/>
                <w:sz w:val="21"/>
                <w:szCs w:val="21"/>
                <w:u w:val="none"/>
                <w:lang w:val="en-US" w:eastAsia="zh-CN"/>
              </w:rPr>
              <w:fldChar w:fldCharType="begin"/>
            </w:r>
            <w:r>
              <w:rPr>
                <w:rFonts w:ascii="Times New Roman" w:hAnsi="Times New Roman" w:eastAsia="宋体" w:cs="Times New Roman"/>
                <w:color w:val="auto"/>
                <w:sz w:val="21"/>
                <w:szCs w:val="21"/>
                <w:u w:val="none"/>
                <w:lang w:val="en-US" w:eastAsia="zh-CN"/>
              </w:rPr>
              <w:instrText xml:space="preserve"> = 1 \* GB3 \* MERGEFORMAT </w:instrText>
            </w:r>
            <w:r>
              <w:rPr>
                <w:rFonts w:ascii="Times New Roman" w:hAnsi="Times New Roman" w:eastAsia="宋体" w:cs="Times New Roman"/>
                <w:color w:val="auto"/>
                <w:sz w:val="21"/>
                <w:szCs w:val="21"/>
                <w:u w:val="none"/>
                <w:lang w:val="en-US" w:eastAsia="zh-CN"/>
              </w:rPr>
              <w:fldChar w:fldCharType="separate"/>
            </w:r>
            <w:r>
              <w:rPr>
                <w:rFonts w:ascii="Times New Roman" w:hAnsi="Times New Roman" w:eastAsia="宋体" w:cs="Times New Roman"/>
                <w:color w:val="auto"/>
                <w:sz w:val="21"/>
                <w:szCs w:val="21"/>
                <w:u w:val="none"/>
              </w:rPr>
              <w:t>①</w:t>
            </w:r>
            <w:r>
              <w:rPr>
                <w:rFonts w:ascii="Times New Roman" w:hAnsi="Times New Roman" w:eastAsia="宋体" w:cs="Times New Roman"/>
                <w:color w:val="auto"/>
                <w:sz w:val="21"/>
                <w:szCs w:val="21"/>
                <w:u w:val="none"/>
                <w:lang w:val="en-US" w:eastAsia="zh-CN"/>
              </w:rPr>
              <w:fldChar w:fldCharType="end"/>
            </w:r>
            <w:r>
              <w:rPr>
                <w:rFonts w:ascii="Times New Roman" w:hAnsi="Times New Roman" w:eastAsia="宋体" w:cs="Times New Roman"/>
                <w:color w:val="auto"/>
                <w:sz w:val="21"/>
                <w:szCs w:val="21"/>
                <w:u w:val="none"/>
                <w:lang w:val="en-US" w:eastAsia="zh-CN"/>
              </w:rPr>
              <w:t>郪江水域功能类别执行《地表水环境质量标准》（GB3838-2002）中的</w:t>
            </w:r>
            <w:r>
              <w:rPr>
                <w:rFonts w:ascii="Times New Roman" w:hAnsi="Times New Roman" w:eastAsia="宋体" w:cs="Times New Roman"/>
                <w:color w:val="auto"/>
                <w:sz w:val="21"/>
                <w:szCs w:val="21"/>
                <w:u w:val="none"/>
              </w:rPr>
              <w:t>Ⅲ类水质标准</w:t>
            </w:r>
            <w:r>
              <w:rPr>
                <w:rFonts w:ascii="Times New Roman" w:hAnsi="Times New Roman" w:eastAsia="宋体" w:cs="Times New Roman"/>
                <w:color w:val="auto"/>
                <w:sz w:val="21"/>
                <w:szCs w:val="21"/>
                <w:u w:val="none"/>
                <w:lang w:eastAsia="zh-CN"/>
              </w:rPr>
              <w:t>。</w:t>
            </w:r>
          </w:p>
          <w:p>
            <w:pPr>
              <w:pStyle w:val="13"/>
              <w:keepNext w:val="0"/>
              <w:keepLines w:val="0"/>
              <w:pageBreakBefore w:val="0"/>
              <w:widowControl w:val="0"/>
              <w:kinsoku/>
              <w:wordWrap/>
              <w:overflowPunct/>
              <w:topLinePunct w:val="0"/>
              <w:autoSpaceDE/>
              <w:autoSpaceDN/>
              <w:bidi w:val="0"/>
              <w:spacing w:after="0" w:line="240" w:lineRule="auto"/>
              <w:ind w:left="0" w:leftChars="0" w:firstLine="0"/>
              <w:jc w:val="left"/>
              <w:textAlignment w:val="auto"/>
              <w:rPr>
                <w:rFonts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u w:val="none"/>
                <w:lang w:val="en-US" w:eastAsia="zh-CN"/>
              </w:rPr>
              <w:fldChar w:fldCharType="begin"/>
            </w:r>
            <w:r>
              <w:rPr>
                <w:rFonts w:ascii="Times New Roman" w:hAnsi="Times New Roman" w:eastAsia="宋体" w:cs="Times New Roman"/>
                <w:color w:val="auto"/>
                <w:sz w:val="21"/>
                <w:szCs w:val="21"/>
                <w:u w:val="none"/>
                <w:lang w:val="en-US" w:eastAsia="zh-CN"/>
              </w:rPr>
              <w:instrText xml:space="preserve"> = 2 \* GB3 \* MERGEFORMAT </w:instrText>
            </w:r>
            <w:r>
              <w:rPr>
                <w:rFonts w:ascii="Times New Roman" w:hAnsi="Times New Roman" w:eastAsia="宋体" w:cs="Times New Roman"/>
                <w:color w:val="auto"/>
                <w:sz w:val="21"/>
                <w:szCs w:val="21"/>
                <w:u w:val="none"/>
                <w:lang w:val="en-US" w:eastAsia="zh-CN"/>
              </w:rPr>
              <w:fldChar w:fldCharType="separate"/>
            </w:r>
            <w:r>
              <w:rPr>
                <w:rFonts w:ascii="Times New Roman" w:hAnsi="Times New Roman" w:eastAsia="宋体" w:cs="Times New Roman"/>
                <w:color w:val="auto"/>
                <w:sz w:val="21"/>
                <w:szCs w:val="21"/>
                <w:u w:val="none"/>
              </w:rPr>
              <w:t>②</w:t>
            </w:r>
            <w:r>
              <w:rPr>
                <w:rFonts w:ascii="Times New Roman" w:hAnsi="Times New Roman" w:eastAsia="宋体" w:cs="Times New Roman"/>
                <w:color w:val="auto"/>
                <w:sz w:val="21"/>
                <w:szCs w:val="21"/>
                <w:u w:val="none"/>
                <w:lang w:val="en-US" w:eastAsia="zh-CN"/>
              </w:rPr>
              <w:fldChar w:fldCharType="end"/>
            </w:r>
            <w:r>
              <w:rPr>
                <w:rFonts w:ascii="Times New Roman" w:hAnsi="Times New Roman" w:eastAsia="宋体" w:cs="Times New Roman"/>
                <w:b w:val="0"/>
                <w:bCs w:val="0"/>
                <w:color w:val="auto"/>
                <w:spacing w:val="-6"/>
                <w:sz w:val="21"/>
                <w:szCs w:val="21"/>
                <w:u w:val="none"/>
                <w:vertAlign w:val="baseline"/>
              </w:rPr>
              <w:t>超过Ⅲ类水质标准的指标为断面污染指标</w:t>
            </w:r>
            <w:r>
              <w:rPr>
                <w:rFonts w:ascii="Times New Roman" w:hAnsi="Times New Roman" w:eastAsia="宋体" w:cs="Times New Roman"/>
                <w:b w:val="0"/>
                <w:bCs w:val="0"/>
                <w:color w:val="auto"/>
                <w:spacing w:val="-6"/>
                <w:sz w:val="21"/>
                <w:szCs w:val="21"/>
                <w:u w:val="none"/>
                <w:vertAlign w:val="baseline"/>
                <w:lang w:eastAsia="zh-CN"/>
              </w:rPr>
              <w:t>，</w:t>
            </w:r>
            <w:r>
              <w:rPr>
                <w:rFonts w:ascii="Times New Roman" w:hAnsi="Times New Roman" w:eastAsia="宋体" w:cs="Times New Roman"/>
                <w:b w:val="0"/>
                <w:bCs w:val="0"/>
                <w:color w:val="auto"/>
                <w:spacing w:val="-6"/>
                <w:sz w:val="21"/>
                <w:szCs w:val="21"/>
                <w:u w:val="none"/>
                <w:vertAlign w:val="baseline"/>
              </w:rPr>
              <w:t>取超标倍数最大的前三项为主要污染指标。</w:t>
            </w:r>
          </w:p>
          <w:p>
            <w:pPr>
              <w:widowControl/>
              <w:spacing w:line="360" w:lineRule="auto"/>
              <w:ind w:firstLine="480" w:firstLineChars="200"/>
              <w:jc w:val="left"/>
              <w:rPr>
                <w:rFonts w:ascii="Times New Roman" w:hAnsi="Times New Roman" w:eastAsia="宋体" w:cs="Times New Roman"/>
                <w:bCs/>
                <w:color w:val="0000FF"/>
                <w:sz w:val="24"/>
                <w:u w:val="single"/>
                <w:lang w:eastAsia="zh-CN"/>
              </w:rPr>
            </w:pPr>
            <w:r>
              <w:rPr>
                <w:rFonts w:ascii="Times New Roman" w:hAnsi="Times New Roman" w:cs="Times New Roman"/>
                <w:color w:val="auto"/>
                <w:sz w:val="24"/>
                <w:u w:val="none"/>
              </w:rPr>
              <w:t>监测结果表明：</w:t>
            </w:r>
            <w:r>
              <w:rPr>
                <w:rFonts w:ascii="Times New Roman" w:hAnsi="Times New Roman" w:cs="Times New Roman"/>
                <w:color w:val="auto"/>
                <w:sz w:val="24"/>
                <w:u w:val="none"/>
                <w:lang w:val="en-US" w:eastAsia="zh-CN"/>
              </w:rPr>
              <w:t>郪江口</w:t>
            </w:r>
            <w:r>
              <w:rPr>
                <w:rFonts w:ascii="Times New Roman" w:hAnsi="Times New Roman" w:cs="Times New Roman"/>
                <w:color w:val="auto"/>
                <w:sz w:val="24"/>
                <w:u w:val="none"/>
                <w:lang w:eastAsia="zh-CN"/>
              </w:rPr>
              <w:t>控制断面</w:t>
            </w:r>
            <w:r>
              <w:rPr>
                <w:rFonts w:ascii="Times New Roman" w:hAnsi="Times New Roman" w:cs="Times New Roman"/>
                <w:color w:val="auto"/>
                <w:sz w:val="24"/>
                <w:u w:val="none"/>
              </w:rPr>
              <w:t>监测断面满足《地表水环境质量标准》（GB3838-2002）Ⅲ类水质标准</w:t>
            </w:r>
            <w:r>
              <w:rPr>
                <w:rFonts w:ascii="Times New Roman" w:hAnsi="Times New Roman" w:cs="Times New Roman"/>
                <w:color w:val="auto"/>
                <w:sz w:val="24"/>
                <w:u w:val="none"/>
                <w:lang w:eastAsia="zh-CN"/>
              </w:rPr>
              <w:t>，</w:t>
            </w:r>
            <w:r>
              <w:rPr>
                <w:rFonts w:ascii="Times New Roman" w:hAnsi="Times New Roman" w:cs="Times New Roman"/>
                <w:color w:val="auto"/>
                <w:sz w:val="24"/>
                <w:u w:val="none"/>
                <w:lang w:val="en-US" w:eastAsia="zh-CN"/>
              </w:rPr>
              <w:t>故项目所在区域地表水环境质量较好</w:t>
            </w:r>
            <w:r>
              <w:rPr>
                <w:rFonts w:ascii="Times New Roman" w:hAnsi="Times New Roman" w:cs="Times New Roman"/>
                <w:bCs/>
                <w:color w:val="auto"/>
                <w:sz w:val="24"/>
                <w:u w:val="none"/>
                <w:lang w:eastAsia="zh-CN"/>
              </w:rPr>
              <w:t>。</w:t>
            </w:r>
          </w:p>
          <w:p>
            <w:pPr>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三、项目周围声环境质量</w:t>
            </w:r>
          </w:p>
          <w:p>
            <w:pPr>
              <w:tabs>
                <w:tab w:val="left" w:pos="1260"/>
              </w:tabs>
              <w:adjustRightInd w:val="0"/>
              <w:spacing w:line="360" w:lineRule="auto"/>
              <w:ind w:firstLine="480" w:firstLineChars="200"/>
              <w:rPr>
                <w:rFonts w:ascii="Times New Roman" w:hAnsi="Times New Roman" w:cs="Times New Roman"/>
                <w:b/>
                <w:color w:val="auto"/>
                <w:sz w:val="24"/>
              </w:rPr>
            </w:pPr>
            <w:r>
              <w:rPr>
                <w:rFonts w:ascii="Times New Roman" w:hAnsi="Times New Roman" w:cs="Times New Roman"/>
                <w:color w:val="auto"/>
                <w:sz w:val="24"/>
              </w:rPr>
              <w:t>本项目厂界外周边</w:t>
            </w:r>
            <w:r>
              <w:rPr>
                <w:rFonts w:ascii="Times New Roman" w:hAnsi="Times New Roman" w:eastAsia="Times New Roman" w:cs="Times New Roman"/>
                <w:color w:val="auto"/>
                <w:sz w:val="24"/>
              </w:rPr>
              <w:t>50m</w:t>
            </w:r>
            <w:r>
              <w:rPr>
                <w:rFonts w:ascii="Times New Roman" w:hAnsi="Times New Roman" w:cs="Times New Roman"/>
                <w:color w:val="auto"/>
                <w:sz w:val="24"/>
              </w:rPr>
              <w:t>范围内不存在声环境保护目标，因此，无需进行声环境质量现状监测。</w:t>
            </w:r>
          </w:p>
          <w:p>
            <w:pPr>
              <w:tabs>
                <w:tab w:val="left" w:pos="1260"/>
              </w:tabs>
              <w:adjustRightIn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四、生态环境质量现状</w:t>
            </w:r>
          </w:p>
          <w:p>
            <w:pPr>
              <w:adjustRightInd w:val="0"/>
              <w:snapToGrid w:val="0"/>
              <w:spacing w:line="360" w:lineRule="auto"/>
              <w:ind w:firstLine="480" w:firstLineChars="200"/>
              <w:rPr>
                <w:rFonts w:ascii="Times New Roman" w:hAnsi="Times New Roman" w:cs="Times New Roman"/>
                <w:color w:val="auto"/>
                <w:kern w:val="0"/>
                <w:szCs w:val="21"/>
              </w:rPr>
            </w:pPr>
            <w:r>
              <w:rPr>
                <w:rFonts w:ascii="Times New Roman" w:hAnsi="Times New Roman" w:cs="Times New Roman"/>
                <w:color w:val="auto"/>
                <w:sz w:val="24"/>
                <w:szCs w:val="22"/>
              </w:rPr>
              <w:t>项目所在区域主要以工业企业为主，无重点保护的古树名木。项目区地表及其附近水土流失程度较轻，评价区内生态环境良好。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50"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环境</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保护</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目标</w:t>
            </w:r>
          </w:p>
        </w:tc>
        <w:tc>
          <w:tcPr>
            <w:tcW w:w="8611" w:type="dxa"/>
            <w:tcBorders>
              <w:top w:val="single" w:color="auto" w:sz="4" w:space="0"/>
              <w:left w:val="single" w:color="auto" w:sz="4" w:space="0"/>
              <w:right w:val="single" w:color="auto" w:sz="8" w:space="0"/>
            </w:tcBorders>
            <w:vAlign w:val="center"/>
          </w:tcPr>
          <w:p>
            <w:pPr>
              <w:pStyle w:val="62"/>
              <w:adjustRightInd/>
              <w:spacing w:line="360" w:lineRule="auto"/>
              <w:ind w:firstLine="482"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1、大气环境保护目标</w:t>
            </w:r>
          </w:p>
          <w:p>
            <w:pPr>
              <w:pStyle w:val="62"/>
              <w:adjustRightInd/>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 w:val="0"/>
                <w:color w:val="auto"/>
                <w:sz w:val="24"/>
                <w:szCs w:val="24"/>
              </w:rPr>
              <w:t>本项目位于</w:t>
            </w:r>
            <w:r>
              <w:rPr>
                <w:rFonts w:ascii="Times New Roman" w:hAnsi="Times New Roman" w:eastAsia="宋体" w:cs="Times New Roman"/>
                <w:b w:val="0"/>
                <w:color w:val="auto"/>
                <w:sz w:val="24"/>
                <w:szCs w:val="24"/>
                <w:lang w:eastAsia="zh-CN"/>
              </w:rPr>
              <w:t>四川省遂宁市大英县隆盛镇席家沟村</w:t>
            </w:r>
            <w:r>
              <w:rPr>
                <w:rFonts w:ascii="Times New Roman" w:hAnsi="Times New Roman" w:eastAsia="宋体" w:cs="Times New Roman"/>
                <w:b w:val="0"/>
                <w:color w:val="auto"/>
                <w:sz w:val="24"/>
                <w:szCs w:val="24"/>
              </w:rPr>
              <w:t>，属于大英县工业集中发展区，项目周边主要为工业企业及待建工业用地等，无自然保护区、风景名胜区、居住区和农村地区人群较集中区域。</w:t>
            </w:r>
          </w:p>
          <w:p>
            <w:pPr>
              <w:pStyle w:val="62"/>
              <w:adjustRightInd/>
              <w:spacing w:line="360" w:lineRule="auto"/>
              <w:ind w:firstLine="482"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2、声环境保护目标</w:t>
            </w:r>
          </w:p>
          <w:p>
            <w:pPr>
              <w:pStyle w:val="62"/>
              <w:adjustRightInd/>
              <w:spacing w:line="360" w:lineRule="auto"/>
              <w:ind w:firstLine="480" w:firstLineChars="200"/>
              <w:rPr>
                <w:rFonts w:ascii="Times New Roman" w:hAnsi="Times New Roman" w:eastAsia="宋体" w:cs="Times New Roman"/>
                <w:b w:val="0"/>
                <w:color w:val="auto"/>
                <w:sz w:val="24"/>
                <w:szCs w:val="24"/>
              </w:rPr>
            </w:pPr>
            <w:r>
              <w:rPr>
                <w:rFonts w:ascii="Times New Roman" w:hAnsi="Times New Roman" w:eastAsia="宋体" w:cs="Times New Roman"/>
                <w:b w:val="0"/>
                <w:color w:val="auto"/>
                <w:sz w:val="24"/>
                <w:szCs w:val="24"/>
              </w:rPr>
              <w:t>项目厂界外50m范围内无医院、学校、住宅、自然保护区等声环境保护目标，主要环境保护目标见下表。</w:t>
            </w:r>
          </w:p>
          <w:p>
            <w:pPr>
              <w:pStyle w:val="62"/>
              <w:adjustRightInd w:val="0"/>
              <w:snapToGrid w:val="0"/>
              <w:spacing w:line="360" w:lineRule="auto"/>
              <w:ind w:firstLine="482"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3、地下水环境保护目标</w:t>
            </w:r>
          </w:p>
          <w:p>
            <w:pPr>
              <w:spacing w:line="360" w:lineRule="auto"/>
              <w:ind w:firstLine="480" w:firstLineChars="200"/>
              <w:jc w:val="left"/>
              <w:rPr>
                <w:rFonts w:ascii="Times New Roman" w:hAnsi="Times New Roman" w:cs="Times New Roman"/>
                <w:b/>
                <w:color w:val="auto"/>
              </w:rPr>
            </w:pPr>
            <w:r>
              <w:rPr>
                <w:rFonts w:ascii="Times New Roman" w:hAnsi="Times New Roman" w:cs="Times New Roman"/>
                <w:color w:val="auto"/>
                <w:sz w:val="24"/>
              </w:rPr>
              <w:t>项目厂界外500m范围内无地下水集中式饮用水水源和热水、矿泉水、温泉等特殊地下水资源，不涉及地下水环境保护目标。</w:t>
            </w:r>
          </w:p>
          <w:p>
            <w:pPr>
              <w:spacing w:line="360" w:lineRule="auto"/>
              <w:jc w:val="center"/>
              <w:rPr>
                <w:rFonts w:ascii="Times New Roman" w:hAnsi="Times New Roman" w:cs="Times New Roman"/>
                <w:b/>
                <w:color w:val="auto"/>
              </w:rPr>
            </w:pPr>
            <w:r>
              <w:rPr>
                <w:rFonts w:ascii="Times New Roman" w:hAnsi="Times New Roman" w:cs="Times New Roman"/>
                <w:b/>
                <w:color w:val="auto"/>
              </w:rPr>
              <w:t>表3-</w:t>
            </w:r>
            <w:r>
              <w:rPr>
                <w:rFonts w:hint="eastAsia" w:ascii="Times New Roman" w:hAnsi="Times New Roman" w:cs="Times New Roman"/>
                <w:b/>
                <w:color w:val="auto"/>
                <w:lang w:val="en-US" w:eastAsia="zh-CN"/>
              </w:rPr>
              <w:t>5</w:t>
            </w:r>
            <w:r>
              <w:rPr>
                <w:rFonts w:ascii="Times New Roman" w:hAnsi="Times New Roman" w:cs="Times New Roman"/>
                <w:b/>
                <w:color w:val="auto"/>
              </w:rPr>
              <w:t>本项目主要外环境保护目标</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4"/>
              <w:gridCol w:w="1354"/>
              <w:gridCol w:w="1354"/>
              <w:gridCol w:w="1206"/>
              <w:gridCol w:w="3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4" w:hRule="atLeast"/>
                <w:jc w:val="center"/>
              </w:trPr>
              <w:tc>
                <w:tcPr>
                  <w:tcW w:w="1282" w:type="dxa"/>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环境类别</w:t>
                  </w:r>
                </w:p>
              </w:tc>
              <w:tc>
                <w:tcPr>
                  <w:tcW w:w="1363" w:type="dxa"/>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环境保护目标</w:t>
                  </w:r>
                </w:p>
              </w:tc>
              <w:tc>
                <w:tcPr>
                  <w:tcW w:w="1362" w:type="dxa"/>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方位距离</w:t>
                  </w:r>
                </w:p>
              </w:tc>
              <w:tc>
                <w:tcPr>
                  <w:tcW w:w="1212" w:type="dxa"/>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性质</w:t>
                  </w:r>
                </w:p>
              </w:tc>
              <w:tc>
                <w:tcPr>
                  <w:tcW w:w="3228" w:type="dxa"/>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4" w:hRule="atLeast"/>
                <w:jc w:val="center"/>
              </w:trPr>
              <w:tc>
                <w:tcPr>
                  <w:tcW w:w="1282" w:type="dxa"/>
                  <w:vMerge w:val="restart"/>
                  <w:tcBorders>
                    <w:top w:val="single" w:color="auto" w:sz="6" w:space="0"/>
                    <w:right w:val="single" w:color="auto" w:sz="6"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大气环境</w:t>
                  </w:r>
                </w:p>
              </w:tc>
              <w:tc>
                <w:tcPr>
                  <w:tcW w:w="1363" w:type="dxa"/>
                  <w:tcBorders>
                    <w:bottom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362" w:type="dxa"/>
                  <w:tcBorders>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212" w:type="dxa"/>
                  <w:tcBorders>
                    <w:bottom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3228" w:type="dxa"/>
                  <w:vMerge w:val="restart"/>
                  <w:tcBorders>
                    <w:top w:val="single" w:color="auto" w:sz="6" w:space="0"/>
                    <w:left w:val="single" w:color="auto" w:sz="6" w:space="0"/>
                  </w:tcBorders>
                  <w:tcMar>
                    <w:left w:w="28" w:type="dxa"/>
                    <w:right w:w="28" w:type="dxa"/>
                  </w:tcMar>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《环境空气质量标准》</w:t>
                  </w:r>
                  <w:r>
                    <w:rPr>
                      <w:rFonts w:hint="eastAsia" w:cs="Times New Roman"/>
                      <w:color w:val="auto"/>
                      <w:szCs w:val="21"/>
                      <w:lang w:eastAsia="zh-CN"/>
                    </w:rPr>
                    <w:t>（</w:t>
                  </w:r>
                  <w:r>
                    <w:rPr>
                      <w:rFonts w:ascii="Times New Roman" w:hAnsi="Times New Roman" w:cs="Times New Roman"/>
                      <w:color w:val="auto"/>
                      <w:szCs w:val="21"/>
                    </w:rPr>
                    <w:t>GB3095-2012</w:t>
                  </w:r>
                  <w:r>
                    <w:rPr>
                      <w:rFonts w:hint="eastAsia" w:cs="Times New Roman"/>
                      <w:color w:val="auto"/>
                      <w:szCs w:val="21"/>
                      <w:lang w:eastAsia="zh-CN"/>
                    </w:rPr>
                    <w:t>）</w:t>
                  </w:r>
                  <w:r>
                    <w:rPr>
                      <w:rFonts w:ascii="Times New Roman" w:hAnsi="Times New Roman" w:cs="Times New Roman"/>
                      <w:color w:val="auto"/>
                      <w:szCs w:val="21"/>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282" w:type="dxa"/>
                  <w:vMerge w:val="continue"/>
                  <w:tcBorders>
                    <w:bottom w:val="single" w:color="auto" w:sz="4" w:space="0"/>
                  </w:tcBorders>
                  <w:tcMar>
                    <w:left w:w="28" w:type="dxa"/>
                    <w:right w:w="28" w:type="dxa"/>
                  </w:tcMar>
                  <w:vAlign w:val="center"/>
                </w:tcPr>
                <w:p/>
              </w:tc>
              <w:tc>
                <w:tcPr>
                  <w:tcW w:w="1363" w:type="dxa"/>
                  <w:tcBorders>
                    <w:top w:val="single" w:color="auto" w:sz="4" w:space="0"/>
                    <w:bottom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362" w:type="dxa"/>
                  <w:tcBorders>
                    <w:top w:val="single" w:color="auto" w:sz="4" w:space="0"/>
                    <w:bottom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1212" w:type="dxa"/>
                  <w:tcBorders>
                    <w:top w:val="single" w:color="auto" w:sz="4" w:space="0"/>
                    <w:bottom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w:t>
                  </w:r>
                </w:p>
              </w:tc>
              <w:tc>
                <w:tcPr>
                  <w:tcW w:w="3228" w:type="dxa"/>
                  <w:vMerge w:val="continue"/>
                  <w:tcBorders>
                    <w:bottom w:val="single" w:color="auto" w:sz="4" w:space="0"/>
                  </w:tcBorders>
                  <w:tcMar>
                    <w:left w:w="28" w:type="dxa"/>
                    <w:right w:w="28" w:type="dxa"/>
                  </w:tcMar>
                  <w:vAlign w:val="center"/>
                </w:tc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7" w:hRule="atLeast"/>
                <w:jc w:val="center"/>
              </w:trPr>
              <w:tc>
                <w:tcPr>
                  <w:tcW w:w="1282" w:type="dxa"/>
                  <w:tcBorders>
                    <w:top w:val="single" w:color="auto" w:sz="4"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声环境</w:t>
                  </w:r>
                </w:p>
              </w:tc>
              <w:tc>
                <w:tcPr>
                  <w:tcW w:w="3937" w:type="dxa"/>
                  <w:gridSpan w:val="3"/>
                  <w:tcBorders>
                    <w:top w:val="single" w:color="auto" w:sz="4"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项目所在区域周边 50m 范围无声环境敏感点</w:t>
                  </w:r>
                </w:p>
              </w:tc>
              <w:tc>
                <w:tcPr>
                  <w:tcW w:w="3228" w:type="dxa"/>
                  <w:tcBorders>
                    <w:top w:val="single" w:color="auto" w:sz="4" w:space="0"/>
                  </w:tcBorders>
                  <w:tcMar>
                    <w:left w:w="28" w:type="dxa"/>
                    <w:right w:w="28" w:type="dxa"/>
                  </w:tcMar>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color w:val="auto"/>
                      <w:spacing w:val="4"/>
                      <w:szCs w:val="21"/>
                    </w:rPr>
                  </w:pPr>
                  <w:r>
                    <w:rPr>
                      <w:rFonts w:ascii="Times New Roman" w:hAnsi="Times New Roman" w:cs="Times New Roman"/>
                      <w:color w:val="auto"/>
                      <w:spacing w:val="4"/>
                      <w:szCs w:val="21"/>
                    </w:rPr>
                    <w:t>《声环境质量标准》（GB3096-2008）3类标准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3" w:hRule="atLeast"/>
                <w:jc w:val="center"/>
              </w:trPr>
              <w:tc>
                <w:tcPr>
                  <w:tcW w:w="1282" w:type="dxa"/>
                  <w:tcBorders>
                    <w:top w:val="single" w:color="auto" w:sz="6" w:space="0"/>
                    <w:right w:val="single" w:color="auto" w:sz="6"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地表水环境</w:t>
                  </w:r>
                </w:p>
              </w:tc>
              <w:tc>
                <w:tcPr>
                  <w:tcW w:w="1363" w:type="dxa"/>
                  <w:tcBorders>
                    <w:top w:val="single" w:color="auto" w:sz="6" w:space="0"/>
                    <w:left w:val="single" w:color="auto" w:sz="6" w:space="0"/>
                    <w:right w:val="single" w:color="auto" w:sz="6" w:space="0"/>
                  </w:tcBorders>
                  <w:tcMar>
                    <w:left w:w="28" w:type="dxa"/>
                    <w:right w:w="28" w:type="dxa"/>
                  </w:tcMar>
                  <w:vAlign w:val="center"/>
                </w:tcPr>
                <w:p>
                  <w:pPr>
                    <w:pStyle w:val="66"/>
                    <w:rPr>
                      <w:rFonts w:ascii="Times New Roman" w:hAnsi="Times New Roman" w:eastAsia="宋体" w:cs="Times New Roman"/>
                      <w:color w:val="auto"/>
                      <w:szCs w:val="21"/>
                      <w:lang w:eastAsia="zh-CN"/>
                    </w:rPr>
                  </w:pPr>
                  <w:r>
                    <w:rPr>
                      <w:rFonts w:ascii="Times New Roman" w:hAnsi="Times New Roman" w:cs="Times New Roman"/>
                      <w:color w:val="auto"/>
                      <w:szCs w:val="21"/>
                      <w:lang w:eastAsia="zh-CN"/>
                    </w:rPr>
                    <w:t>郪江</w:t>
                  </w:r>
                </w:p>
              </w:tc>
              <w:tc>
                <w:tcPr>
                  <w:tcW w:w="1362" w:type="dxa"/>
                  <w:tcBorders>
                    <w:top w:val="single" w:color="auto" w:sz="6" w:space="0"/>
                    <w:left w:val="single" w:color="auto" w:sz="6" w:space="0"/>
                    <w:right w:val="single" w:color="auto" w:sz="6"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西侧50m</w:t>
                  </w:r>
                </w:p>
              </w:tc>
              <w:tc>
                <w:tcPr>
                  <w:tcW w:w="1212" w:type="dxa"/>
                  <w:tcBorders>
                    <w:top w:val="single" w:color="auto" w:sz="6" w:space="0"/>
                    <w:left w:val="single" w:color="auto" w:sz="6" w:space="0"/>
                    <w:right w:val="single" w:color="auto" w:sz="6"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纳污、绿化、堤防、灌溉</w:t>
                  </w:r>
                </w:p>
              </w:tc>
              <w:tc>
                <w:tcPr>
                  <w:tcW w:w="3228" w:type="dxa"/>
                  <w:tcBorders>
                    <w:top w:val="single" w:color="auto" w:sz="6" w:space="0"/>
                    <w:left w:val="single" w:color="auto" w:sz="6" w:space="0"/>
                  </w:tcBorders>
                  <w:tcMar>
                    <w:left w:w="28" w:type="dxa"/>
                    <w:right w:w="28" w:type="dxa"/>
                  </w:tcMar>
                  <w:vAlign w:val="center"/>
                </w:tcPr>
                <w:p>
                  <w:pPr>
                    <w:pStyle w:val="66"/>
                    <w:rPr>
                      <w:rFonts w:ascii="Times New Roman" w:hAnsi="Times New Roman" w:cs="Times New Roman"/>
                      <w:color w:val="auto"/>
                      <w:szCs w:val="21"/>
                    </w:rPr>
                  </w:pPr>
                  <w:r>
                    <w:rPr>
                      <w:rFonts w:ascii="Times New Roman" w:hAnsi="Times New Roman" w:cs="Times New Roman"/>
                      <w:color w:val="auto"/>
                      <w:szCs w:val="21"/>
                    </w:rPr>
                    <w:t>《地表水环境质量标准》（GB3838-2002）Ⅲ类标准</w:t>
                  </w:r>
                </w:p>
              </w:tc>
            </w:tr>
          </w:tbl>
          <w:p>
            <w:pPr>
              <w:adjustRightInd w:val="0"/>
              <w:snapToGrid w:val="0"/>
              <w:spacing w:line="360" w:lineRule="auto"/>
              <w:ind w:firstLine="420" w:firstLineChars="200"/>
              <w:rPr>
                <w:rFonts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450" w:type="dxa"/>
            <w:tcBorders>
              <w:top w:val="single" w:color="auto" w:sz="4" w:space="0"/>
              <w:left w:val="single" w:color="auto" w:sz="8" w:space="0"/>
              <w:right w:val="single" w:color="auto" w:sz="4" w:space="0"/>
            </w:tcBorders>
            <w:tcMar>
              <w:left w:w="28" w:type="dxa"/>
              <w:right w:w="28" w:type="dxa"/>
            </w:tcMar>
            <w:vAlign w:val="center"/>
          </w:tcPr>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污染</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物排</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放控</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制标</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准</w:t>
            </w:r>
          </w:p>
        </w:tc>
        <w:tc>
          <w:tcPr>
            <w:tcW w:w="8611" w:type="dxa"/>
            <w:tcBorders>
              <w:top w:val="single" w:color="auto" w:sz="4" w:space="0"/>
              <w:left w:val="single" w:color="auto" w:sz="4" w:space="0"/>
              <w:right w:val="single" w:color="auto" w:sz="8" w:space="0"/>
            </w:tcBorders>
            <w:vAlign w:val="center"/>
          </w:tcPr>
          <w:p>
            <w:pPr>
              <w:pStyle w:val="55"/>
              <w:spacing w:line="360" w:lineRule="auto"/>
              <w:ind w:left="0" w:firstLine="482" w:firstLineChars="200"/>
              <w:rPr>
                <w:rFonts w:ascii="Times New Roman" w:hAnsi="Times New Roman" w:cs="Times New Roman"/>
                <w:b/>
                <w:color w:val="auto"/>
                <w:szCs w:val="24"/>
              </w:rPr>
            </w:pPr>
            <w:r>
              <w:rPr>
                <w:rFonts w:ascii="Times New Roman" w:hAnsi="Times New Roman" w:cs="Times New Roman"/>
                <w:b/>
                <w:color w:val="auto"/>
                <w:szCs w:val="24"/>
              </w:rPr>
              <w:t>一、废水</w:t>
            </w:r>
          </w:p>
          <w:p>
            <w:pPr>
              <w:adjustRightInd w:val="0"/>
              <w:spacing w:line="360" w:lineRule="auto"/>
              <w:ind w:firstLine="480" w:firstLineChars="200"/>
              <w:jc w:val="left"/>
              <w:outlineLvl w:val="0"/>
              <w:rPr>
                <w:rFonts w:ascii="Times New Roman" w:hAnsi="Times New Roman" w:cs="Times New Roman"/>
                <w:color w:val="auto"/>
                <w:spacing w:val="-8"/>
                <w:sz w:val="24"/>
              </w:rPr>
            </w:pPr>
            <w:r>
              <w:rPr>
                <w:rFonts w:ascii="Times New Roman" w:hAnsi="Times New Roman" w:cs="Times New Roman"/>
                <w:color w:val="auto"/>
                <w:sz w:val="24"/>
              </w:rPr>
              <w:t>废水排放执行《污水综合排放标准》（GB8978-1996）中的三级标准，</w:t>
            </w:r>
            <w:r>
              <w:rPr>
                <w:rFonts w:ascii="Times New Roman" w:hAnsi="Times New Roman" w:cs="Times New Roman"/>
                <w:color w:val="auto"/>
                <w:spacing w:val="-8"/>
                <w:sz w:val="24"/>
              </w:rPr>
              <w:t>具体数值见下表。</w:t>
            </w:r>
          </w:p>
          <w:p>
            <w:pPr>
              <w:adjustRightInd w:val="0"/>
              <w:spacing w:line="360" w:lineRule="auto"/>
              <w:ind w:firstLine="422" w:firstLineChars="200"/>
              <w:jc w:val="center"/>
              <w:outlineLvl w:val="0"/>
              <w:rPr>
                <w:rFonts w:ascii="Times New Roman" w:hAnsi="Times New Roman" w:cs="Times New Roman"/>
                <w:b/>
                <w:bCs/>
                <w:color w:val="auto"/>
                <w:szCs w:val="21"/>
              </w:rPr>
            </w:pPr>
            <w:r>
              <w:rPr>
                <w:rFonts w:ascii="Times New Roman" w:hAnsi="Times New Roman" w:cs="Times New Roman"/>
                <w:b/>
                <w:bCs/>
                <w:color w:val="auto"/>
              </w:rPr>
              <w:t>表3-</w:t>
            </w:r>
            <w:r>
              <w:rPr>
                <w:rFonts w:hint="eastAsia" w:ascii="Times New Roman" w:hAnsi="Times New Roman" w:cs="Times New Roman"/>
                <w:b/>
                <w:bCs/>
                <w:color w:val="auto"/>
                <w:lang w:val="en-US" w:eastAsia="zh-CN"/>
              </w:rPr>
              <w:t>6</w:t>
            </w:r>
            <w:r>
              <w:rPr>
                <w:rFonts w:ascii="Times New Roman" w:hAnsi="Times New Roman" w:cs="Times New Roman"/>
                <w:b/>
                <w:bCs/>
                <w:color w:val="auto"/>
              </w:rPr>
              <w:t xml:space="preserve">  污水综合排放标准</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864"/>
              <w:gridCol w:w="733"/>
              <w:gridCol w:w="926"/>
              <w:gridCol w:w="805"/>
              <w:gridCol w:w="805"/>
              <w:gridCol w:w="791"/>
              <w:gridCol w:w="835"/>
              <w:gridCol w:w="1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423" w:type="dxa"/>
                  <w:tcMar>
                    <w:left w:w="28" w:type="dxa"/>
                    <w:right w:w="28" w:type="dxa"/>
                  </w:tcMar>
                  <w:vAlign w:val="center"/>
                </w:tcPr>
                <w:p>
                  <w:pPr>
                    <w:pStyle w:val="66"/>
                    <w:spacing w:before="0" w:after="0"/>
                    <w:rPr>
                      <w:rFonts w:ascii="Times New Roman" w:hAnsi="Times New Roman" w:cs="Times New Roman"/>
                      <w:bCs/>
                      <w:color w:val="auto"/>
                      <w:szCs w:val="21"/>
                    </w:rPr>
                  </w:pPr>
                  <w:r>
                    <w:rPr>
                      <w:rFonts w:ascii="Times New Roman" w:hAnsi="Times New Roman" w:cs="Times New Roman"/>
                      <w:bCs/>
                      <w:color w:val="auto"/>
                      <w:szCs w:val="21"/>
                    </w:rPr>
                    <w:t>项目</w:t>
                  </w:r>
                </w:p>
              </w:tc>
              <w:tc>
                <w:tcPr>
                  <w:tcW w:w="870" w:type="dxa"/>
                  <w:tcMar>
                    <w:left w:w="28" w:type="dxa"/>
                    <w:right w:w="28" w:type="dxa"/>
                  </w:tcMar>
                  <w:vAlign w:val="center"/>
                </w:tcPr>
                <w:p>
                  <w:pPr>
                    <w:pStyle w:val="66"/>
                    <w:spacing w:before="0" w:after="0"/>
                    <w:rPr>
                      <w:rFonts w:ascii="Times New Roman" w:hAnsi="Times New Roman" w:cs="Times New Roman"/>
                      <w:bCs/>
                      <w:color w:val="auto"/>
                      <w:szCs w:val="21"/>
                    </w:rPr>
                  </w:pPr>
                  <w:r>
                    <w:rPr>
                      <w:rFonts w:ascii="Times New Roman" w:hAnsi="Times New Roman" w:cs="Times New Roman"/>
                      <w:bCs/>
                      <w:color w:val="auto"/>
                      <w:szCs w:val="21"/>
                    </w:rPr>
                    <w:t>pH</w:t>
                  </w:r>
                </w:p>
              </w:tc>
              <w:tc>
                <w:tcPr>
                  <w:tcW w:w="734" w:type="dxa"/>
                  <w:tcMar>
                    <w:left w:w="28" w:type="dxa"/>
                    <w:right w:w="28" w:type="dxa"/>
                  </w:tcMar>
                  <w:vAlign w:val="center"/>
                </w:tcPr>
                <w:p>
                  <w:pPr>
                    <w:pStyle w:val="66"/>
                    <w:spacing w:before="0" w:after="0"/>
                    <w:rPr>
                      <w:rFonts w:ascii="Times New Roman" w:hAnsi="Times New Roman" w:cs="Times New Roman"/>
                      <w:bCs/>
                      <w:color w:val="auto"/>
                      <w:szCs w:val="21"/>
                      <w:vertAlign w:val="subscript"/>
                    </w:rPr>
                  </w:pPr>
                  <w:r>
                    <w:rPr>
                      <w:rFonts w:ascii="Times New Roman" w:hAnsi="Times New Roman" w:cs="Times New Roman"/>
                      <w:bCs/>
                      <w:color w:val="auto"/>
                      <w:szCs w:val="21"/>
                    </w:rPr>
                    <w:t>COD</w:t>
                  </w:r>
                  <w:r>
                    <w:rPr>
                      <w:rFonts w:ascii="Times New Roman" w:hAnsi="Times New Roman" w:cs="Times New Roman"/>
                      <w:bCs/>
                      <w:color w:val="auto"/>
                      <w:szCs w:val="21"/>
                      <w:vertAlign w:val="subscript"/>
                    </w:rPr>
                    <w:t>Cr</w:t>
                  </w:r>
                </w:p>
              </w:tc>
              <w:tc>
                <w:tcPr>
                  <w:tcW w:w="930" w:type="dxa"/>
                  <w:tcMar>
                    <w:left w:w="28" w:type="dxa"/>
                    <w:right w:w="28" w:type="dxa"/>
                  </w:tcMar>
                  <w:vAlign w:val="center"/>
                </w:tcPr>
                <w:p>
                  <w:pPr>
                    <w:pStyle w:val="66"/>
                    <w:spacing w:before="0" w:after="0"/>
                    <w:rPr>
                      <w:rFonts w:ascii="Times New Roman" w:hAnsi="Times New Roman" w:cs="Times New Roman"/>
                      <w:bCs/>
                      <w:color w:val="auto"/>
                      <w:szCs w:val="21"/>
                    </w:rPr>
                  </w:pPr>
                  <w:r>
                    <w:rPr>
                      <w:rFonts w:ascii="Times New Roman" w:hAnsi="Times New Roman" w:cs="Times New Roman"/>
                      <w:bCs/>
                      <w:color w:val="auto"/>
                      <w:szCs w:val="21"/>
                    </w:rPr>
                    <w:t>BOD</w:t>
                  </w:r>
                  <w:r>
                    <w:rPr>
                      <w:rFonts w:ascii="Times New Roman" w:hAnsi="Times New Roman" w:cs="Times New Roman"/>
                      <w:bCs/>
                      <w:color w:val="auto"/>
                      <w:szCs w:val="21"/>
                      <w:vertAlign w:val="subscript"/>
                    </w:rPr>
                    <w:t>5</w:t>
                  </w:r>
                </w:p>
              </w:tc>
              <w:tc>
                <w:tcPr>
                  <w:tcW w:w="810" w:type="dxa"/>
                  <w:tcMar>
                    <w:left w:w="28" w:type="dxa"/>
                    <w:right w:w="28" w:type="dxa"/>
                  </w:tcMar>
                  <w:vAlign w:val="center"/>
                </w:tcPr>
                <w:p>
                  <w:pPr>
                    <w:pStyle w:val="66"/>
                    <w:spacing w:before="0" w:after="0"/>
                    <w:rPr>
                      <w:rFonts w:ascii="Times New Roman" w:hAnsi="Times New Roman" w:cs="Times New Roman"/>
                      <w:bCs/>
                      <w:color w:val="auto"/>
                      <w:szCs w:val="21"/>
                    </w:rPr>
                  </w:pPr>
                  <w:r>
                    <w:rPr>
                      <w:rFonts w:ascii="Times New Roman" w:hAnsi="Times New Roman" w:cs="Times New Roman"/>
                      <w:bCs/>
                      <w:color w:val="auto"/>
                      <w:szCs w:val="21"/>
                    </w:rPr>
                    <w:t>SS</w:t>
                  </w:r>
                </w:p>
              </w:tc>
              <w:tc>
                <w:tcPr>
                  <w:tcW w:w="810" w:type="dxa"/>
                  <w:tcMar>
                    <w:left w:w="28" w:type="dxa"/>
                    <w:right w:w="28" w:type="dxa"/>
                  </w:tcMar>
                  <w:vAlign w:val="center"/>
                </w:tcPr>
                <w:p>
                  <w:pPr>
                    <w:pStyle w:val="66"/>
                    <w:spacing w:before="0" w:after="0"/>
                    <w:rPr>
                      <w:rFonts w:ascii="Times New Roman" w:hAnsi="Times New Roman" w:cs="Times New Roman"/>
                      <w:bCs/>
                      <w:color w:val="auto"/>
                      <w:szCs w:val="21"/>
                    </w:rPr>
                  </w:pPr>
                  <w:r>
                    <w:rPr>
                      <w:rFonts w:ascii="Times New Roman" w:hAnsi="Times New Roman" w:cs="Times New Roman"/>
                      <w:color w:val="auto"/>
                      <w:szCs w:val="21"/>
                    </w:rPr>
                    <w:t>氨氮</w:t>
                  </w:r>
                </w:p>
              </w:tc>
              <w:tc>
                <w:tcPr>
                  <w:tcW w:w="795" w:type="dxa"/>
                  <w:vAlign w:val="cente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石油类</w:t>
                  </w:r>
                </w:p>
              </w:tc>
              <w:tc>
                <w:tcPr>
                  <w:tcW w:w="840" w:type="dxa"/>
                  <w:vAlign w:val="cente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总磷</w:t>
                  </w:r>
                </w:p>
              </w:tc>
              <w:tc>
                <w:tcPr>
                  <w:tcW w:w="1235" w:type="dxa"/>
                  <w:vAlign w:val="cente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总溶解性固体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23" w:type="dxa"/>
                  <w:tcBorders>
                    <w:top w:val="single" w:color="auto" w:sz="4" w:space="0"/>
                    <w:right w:val="single" w:color="auto" w:sz="4" w:space="0"/>
                  </w:tcBorders>
                  <w:tcMar>
                    <w:left w:w="28" w:type="dxa"/>
                    <w:right w:w="28" w:type="dxa"/>
                  </w:tcMa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标准值（mg/L）</w:t>
                  </w:r>
                </w:p>
              </w:tc>
              <w:tc>
                <w:tcPr>
                  <w:tcW w:w="870" w:type="dxa"/>
                  <w:tcBorders>
                    <w:top w:val="single" w:color="auto" w:sz="4" w:space="0"/>
                    <w:left w:val="single" w:color="auto" w:sz="4" w:space="0"/>
                    <w:right w:val="single" w:color="auto" w:sz="4" w:space="0"/>
                  </w:tcBorders>
                  <w:tcMar>
                    <w:left w:w="28" w:type="dxa"/>
                    <w:right w:w="28" w:type="dxa"/>
                  </w:tcMa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6~9</w:t>
                  </w:r>
                </w:p>
              </w:tc>
              <w:tc>
                <w:tcPr>
                  <w:tcW w:w="734" w:type="dxa"/>
                  <w:tcBorders>
                    <w:top w:val="single" w:color="auto" w:sz="4" w:space="0"/>
                    <w:left w:val="single" w:color="auto" w:sz="4" w:space="0"/>
                    <w:right w:val="single" w:color="auto" w:sz="4" w:space="0"/>
                  </w:tcBorders>
                  <w:tcMar>
                    <w:left w:w="28" w:type="dxa"/>
                    <w:right w:w="28" w:type="dxa"/>
                  </w:tcMa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500</w:t>
                  </w:r>
                </w:p>
              </w:tc>
              <w:tc>
                <w:tcPr>
                  <w:tcW w:w="930" w:type="dxa"/>
                  <w:tcBorders>
                    <w:top w:val="single" w:color="auto" w:sz="4" w:space="0"/>
                    <w:left w:val="single" w:color="auto" w:sz="4" w:space="0"/>
                    <w:right w:val="single" w:color="auto" w:sz="4" w:space="0"/>
                  </w:tcBorders>
                  <w:tcMar>
                    <w:left w:w="28" w:type="dxa"/>
                    <w:right w:w="28" w:type="dxa"/>
                  </w:tcMa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300</w:t>
                  </w:r>
                </w:p>
              </w:tc>
              <w:tc>
                <w:tcPr>
                  <w:tcW w:w="810" w:type="dxa"/>
                  <w:tcBorders>
                    <w:top w:val="single" w:color="auto" w:sz="4" w:space="0"/>
                    <w:left w:val="single" w:color="auto" w:sz="4" w:space="0"/>
                    <w:right w:val="single" w:color="auto" w:sz="4" w:space="0"/>
                  </w:tcBorders>
                  <w:tcMar>
                    <w:left w:w="28" w:type="dxa"/>
                    <w:right w:w="28" w:type="dxa"/>
                  </w:tcMa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400</w:t>
                  </w:r>
                </w:p>
              </w:tc>
              <w:tc>
                <w:tcPr>
                  <w:tcW w:w="810" w:type="dxa"/>
                  <w:tcBorders>
                    <w:top w:val="single" w:color="auto" w:sz="4" w:space="0"/>
                    <w:left w:val="single" w:color="auto" w:sz="4" w:space="0"/>
                    <w:right w:val="single" w:color="auto" w:sz="4" w:space="0"/>
                  </w:tcBorders>
                  <w:tcMar>
                    <w:left w:w="28" w:type="dxa"/>
                    <w:right w:w="28" w:type="dxa"/>
                  </w:tcMar>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45</w:t>
                  </w:r>
                  <w:r>
                    <w:rPr>
                      <w:rFonts w:ascii="Times New Roman" w:hAnsi="Times New Roman" w:eastAsia="Times New Roman" w:cs="Times New Roman"/>
                      <w:color w:val="auto"/>
                      <w:szCs w:val="21"/>
                    </w:rPr>
                    <w:t>*</w:t>
                  </w:r>
                </w:p>
              </w:tc>
              <w:tc>
                <w:tcPr>
                  <w:tcW w:w="795" w:type="dxa"/>
                  <w:tcBorders>
                    <w:top w:val="single" w:color="auto" w:sz="4" w:space="0"/>
                    <w:left w:val="single" w:color="auto" w:sz="4" w:space="0"/>
                    <w:right w:val="single" w:color="auto" w:sz="4" w:space="0"/>
                  </w:tcBorders>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20</w:t>
                  </w:r>
                </w:p>
              </w:tc>
              <w:tc>
                <w:tcPr>
                  <w:tcW w:w="840" w:type="dxa"/>
                  <w:tcBorders>
                    <w:top w:val="single" w:color="auto" w:sz="4" w:space="0"/>
                    <w:left w:val="single" w:color="auto" w:sz="4" w:space="0"/>
                    <w:right w:val="single" w:color="auto" w:sz="4" w:space="0"/>
                  </w:tcBorders>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8</w:t>
                  </w:r>
                  <w:r>
                    <w:rPr>
                      <w:rFonts w:ascii="Times New Roman" w:hAnsi="Times New Roman" w:eastAsia="Times New Roman" w:cs="Times New Roman"/>
                      <w:color w:val="auto"/>
                      <w:szCs w:val="21"/>
                    </w:rPr>
                    <w:t>*</w:t>
                  </w:r>
                </w:p>
              </w:tc>
              <w:tc>
                <w:tcPr>
                  <w:tcW w:w="1235" w:type="dxa"/>
                  <w:tcBorders>
                    <w:top w:val="single" w:color="auto" w:sz="4" w:space="0"/>
                    <w:left w:val="single" w:color="auto" w:sz="4" w:space="0"/>
                  </w:tcBorders>
                </w:tcPr>
                <w:p>
                  <w:pPr>
                    <w:pStyle w:val="66"/>
                    <w:spacing w:before="0" w:after="0"/>
                    <w:rPr>
                      <w:rFonts w:ascii="Times New Roman" w:hAnsi="Times New Roman" w:cs="Times New Roman"/>
                      <w:color w:val="auto"/>
                      <w:szCs w:val="21"/>
                    </w:rPr>
                  </w:pPr>
                  <w:r>
                    <w:rPr>
                      <w:rFonts w:ascii="Times New Roman" w:hAnsi="Times New Roman" w:cs="Times New Roman"/>
                      <w:color w:val="auto"/>
                      <w:szCs w:val="21"/>
                    </w:rPr>
                    <w:t>2000</w:t>
                  </w:r>
                  <w:r>
                    <w:rPr>
                      <w:rFonts w:ascii="Times New Roman" w:hAnsi="Times New Roman" w:eastAsia="Times New Roman" w:cs="Times New Roman"/>
                      <w:color w:val="auto"/>
                      <w:szCs w:val="21"/>
                    </w:rPr>
                    <w:t>*</w:t>
                  </w:r>
                </w:p>
              </w:tc>
            </w:tr>
          </w:tbl>
          <w:p>
            <w:pPr>
              <w:rPr>
                <w:rFonts w:ascii="Times New Roman" w:hAnsi="Times New Roman" w:cs="Times New Roman"/>
                <w:color w:val="auto"/>
                <w:szCs w:val="21"/>
              </w:rPr>
            </w:pPr>
            <w:r>
              <w:rPr>
                <w:rFonts w:ascii="Times New Roman" w:hAnsi="Times New Roman" w:cs="Times New Roman"/>
                <w:color w:val="auto"/>
                <w:szCs w:val="21"/>
              </w:rPr>
              <w:t>注：*由于《污水综合排放标准》（GB8978-1996）中无氨氮、总磷、总溶解性固体的三级排放限值，参照执行《污水排入城镇下水道水质标准》（GBT31962-2015）B等级标准。</w:t>
            </w:r>
          </w:p>
          <w:p>
            <w:pPr>
              <w:spacing w:line="360" w:lineRule="auto"/>
              <w:ind w:left="491" w:leftChars="234"/>
              <w:rPr>
                <w:rFonts w:ascii="Times New Roman" w:hAnsi="Times New Roman" w:cs="Times New Roman"/>
                <w:b/>
                <w:color w:val="auto"/>
                <w:sz w:val="24"/>
              </w:rPr>
            </w:pPr>
            <w:r>
              <w:rPr>
                <w:rFonts w:ascii="Times New Roman" w:hAnsi="Times New Roman" w:cs="Times New Roman"/>
                <w:b/>
                <w:color w:val="auto"/>
                <w:sz w:val="24"/>
              </w:rPr>
              <w:t>二、废气</w:t>
            </w:r>
          </w:p>
          <w:p>
            <w:pPr>
              <w:spacing w:line="360" w:lineRule="auto"/>
              <w:ind w:firstLine="480" w:firstLineChars="200"/>
              <w:jc w:val="left"/>
              <w:rPr>
                <w:rFonts w:ascii="Times New Roman" w:hAnsi="Times New Roman" w:cs="Times New Roman"/>
                <w:color w:val="auto"/>
                <w:sz w:val="24"/>
                <w:szCs w:val="32"/>
                <w:lang w:val="en-US" w:eastAsia="zh-CN"/>
              </w:rPr>
            </w:pPr>
            <w:r>
              <w:rPr>
                <w:rFonts w:ascii="Times New Roman" w:hAnsi="Times New Roman" w:cs="Times New Roman"/>
                <w:color w:val="auto"/>
                <w:sz w:val="24"/>
                <w:szCs w:val="32"/>
                <w:lang w:val="en-US" w:eastAsia="zh-CN"/>
              </w:rPr>
              <w:t>施工期：扬尘执行《四川省施工场地扬尘排放标准》（DB51 2682-2020）相关要求。</w:t>
            </w:r>
          </w:p>
          <w:p>
            <w:pPr>
              <w:spacing w:line="324" w:lineRule="auto"/>
              <w:ind w:firstLine="422" w:firstLineChars="200"/>
              <w:jc w:val="center"/>
              <w:rPr>
                <w:rFonts w:ascii="Times New Roman" w:hAnsi="Times New Roman" w:cs="Times New Roman"/>
                <w:b/>
                <w:bCs/>
                <w:color w:val="auto"/>
                <w:szCs w:val="21"/>
                <w:highlight w:val="darkGreen"/>
              </w:rPr>
            </w:pPr>
            <w:r>
              <w:rPr>
                <w:rFonts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7</w:t>
            </w:r>
            <w:r>
              <w:rPr>
                <w:rFonts w:ascii="Times New Roman" w:hAnsi="Times New Roman" w:cs="Times New Roman"/>
                <w:b/>
                <w:bCs/>
                <w:color w:val="auto"/>
                <w:szCs w:val="21"/>
              </w:rPr>
              <w:t xml:space="preserve"> 《四川省施工场地扬尘排放标准》（DB51 2682-2020）</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2650"/>
              <w:gridCol w:w="2346"/>
              <w:gridCol w:w="1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Align w:val="center"/>
                </w:tcPr>
                <w:p>
                  <w:pPr>
                    <w:autoSpaceDE w:val="0"/>
                    <w:autoSpaceDN w:val="0"/>
                    <w:jc w:val="center"/>
                    <w:rPr>
                      <w:rFonts w:ascii="Times New Roman" w:hAnsi="Times New Roman" w:cs="Times New Roman"/>
                      <w:b/>
                      <w:caps/>
                      <w:smallCaps w:val="0"/>
                      <w:color w:val="auto"/>
                      <w:szCs w:val="21"/>
                    </w:rPr>
                  </w:pPr>
                  <w:r>
                    <w:rPr>
                      <w:rFonts w:ascii="Times New Roman" w:hAnsi="Times New Roman" w:cs="Times New Roman"/>
                      <w:b/>
                      <w:caps/>
                      <w:smallCaps w:val="0"/>
                      <w:color w:val="auto"/>
                      <w:szCs w:val="21"/>
                    </w:rPr>
                    <w:t>名称</w:t>
                  </w:r>
                </w:p>
              </w:tc>
              <w:tc>
                <w:tcPr>
                  <w:tcW w:w="2666" w:type="dxa"/>
                  <w:vAlign w:val="center"/>
                </w:tcPr>
                <w:p>
                  <w:pPr>
                    <w:tabs>
                      <w:tab w:val="left" w:pos="600"/>
                    </w:tabs>
                    <w:jc w:val="center"/>
                    <w:rPr>
                      <w:rFonts w:ascii="Times New Roman" w:hAnsi="Times New Roman" w:eastAsia="宋体" w:cs="Times New Roman"/>
                      <w:b/>
                      <w:color w:val="auto"/>
                      <w:szCs w:val="21"/>
                      <w:lang w:val="en-US" w:eastAsia="zh-CN"/>
                    </w:rPr>
                  </w:pPr>
                  <w:r>
                    <w:rPr>
                      <w:rFonts w:ascii="Times New Roman" w:hAnsi="Times New Roman" w:cs="Times New Roman"/>
                      <w:b/>
                      <w:color w:val="auto"/>
                      <w:szCs w:val="21"/>
                      <w:lang w:val="en-US" w:eastAsia="zh-CN"/>
                    </w:rPr>
                    <w:t>施工阶段</w:t>
                  </w:r>
                </w:p>
              </w:tc>
              <w:tc>
                <w:tcPr>
                  <w:tcW w:w="2355" w:type="dxa"/>
                  <w:vAlign w:val="center"/>
                </w:tcPr>
                <w:p>
                  <w:pPr>
                    <w:autoSpaceDE w:val="0"/>
                    <w:autoSpaceDN w:val="0"/>
                    <w:jc w:val="center"/>
                    <w:rPr>
                      <w:rFonts w:ascii="Times New Roman" w:hAnsi="Times New Roman" w:cs="Times New Roman"/>
                      <w:b/>
                      <w:caps/>
                      <w:smallCaps w:val="0"/>
                      <w:color w:val="auto"/>
                      <w:spacing w:val="-4"/>
                      <w:szCs w:val="21"/>
                    </w:rPr>
                  </w:pPr>
                  <w:r>
                    <w:rPr>
                      <w:rFonts w:ascii="Times New Roman" w:hAnsi="Times New Roman" w:cs="Times New Roman"/>
                      <w:b/>
                      <w:color w:val="auto"/>
                      <w:szCs w:val="21"/>
                    </w:rPr>
                    <w:t>浓度限值（</w:t>
                  </w:r>
                  <w:r>
                    <w:rPr>
                      <w:rFonts w:ascii="Times New Roman" w:hAnsi="Times New Roman" w:cs="Times New Roman"/>
                      <w:b/>
                      <w:color w:val="auto"/>
                      <w:szCs w:val="21"/>
                      <w:lang w:val="en-US" w:eastAsia="zh-CN"/>
                    </w:rPr>
                    <w:t>u</w:t>
                  </w:r>
                  <w:r>
                    <w:rPr>
                      <w:rFonts w:ascii="Times New Roman" w:hAnsi="Times New Roman" w:cs="Times New Roman"/>
                      <w:b/>
                      <w:color w:val="auto"/>
                      <w:szCs w:val="21"/>
                    </w:rPr>
                    <w:t>g/m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c>
                <w:tcPr>
                  <w:tcW w:w="1929" w:type="dxa"/>
                  <w:vAlign w:val="center"/>
                </w:tcPr>
                <w:p>
                  <w:pPr>
                    <w:autoSpaceDE w:val="0"/>
                    <w:autoSpaceDN w:val="0"/>
                    <w:jc w:val="center"/>
                    <w:rPr>
                      <w:rFonts w:ascii="Times New Roman" w:hAnsi="Times New Roman" w:eastAsia="宋体" w:cs="Times New Roman"/>
                      <w:b/>
                      <w:caps/>
                      <w:smallCaps w:val="0"/>
                      <w:color w:val="auto"/>
                      <w:szCs w:val="21"/>
                      <w:lang w:eastAsia="zh-CN"/>
                    </w:rPr>
                  </w:pPr>
                  <w:r>
                    <w:rPr>
                      <w:rFonts w:ascii="Times New Roman" w:hAnsi="Times New Roman" w:cs="Times New Roman"/>
                      <w:b/>
                      <w:caps/>
                      <w:smallCaps w:val="0"/>
                      <w:color w:val="auto"/>
                      <w:szCs w:val="21"/>
                    </w:rPr>
                    <w:t>监测</w:t>
                  </w:r>
                  <w:r>
                    <w:rPr>
                      <w:rFonts w:ascii="Times New Roman" w:hAnsi="Times New Roman" w:cs="Times New Roman"/>
                      <w:b/>
                      <w:caps/>
                      <w:smallCaps w:val="0"/>
                      <w:color w:val="auto"/>
                      <w:szCs w:val="21"/>
                      <w:lang w:eastAsia="zh-CN"/>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Merge w:val="restart"/>
                  <w:tcBorders>
                    <w:top w:val="single" w:color="auto" w:sz="4" w:space="0"/>
                    <w:right w:val="single" w:color="auto" w:sz="4" w:space="0"/>
                  </w:tcBorders>
                  <w:vAlign w:val="center"/>
                </w:tcPr>
                <w:p>
                  <w:pPr>
                    <w:autoSpaceDE w:val="0"/>
                    <w:autoSpaceDN w:val="0"/>
                    <w:jc w:val="center"/>
                    <w:rPr>
                      <w:rFonts w:ascii="Times New Roman" w:hAnsi="Times New Roman" w:eastAsia="宋体" w:cs="Times New Roman"/>
                      <w:b w:val="0"/>
                      <w:bCs/>
                      <w:caps/>
                      <w:smallCaps w:val="0"/>
                      <w:color w:val="auto"/>
                      <w:szCs w:val="21"/>
                      <w:lang w:val="en-US" w:eastAsia="zh-CN"/>
                    </w:rPr>
                  </w:pPr>
                  <w:r>
                    <w:rPr>
                      <w:rFonts w:ascii="Times New Roman" w:hAnsi="Times New Roman" w:cs="Times New Roman"/>
                      <w:b w:val="0"/>
                      <w:bCs/>
                      <w:caps/>
                      <w:smallCaps w:val="0"/>
                      <w:color w:val="auto"/>
                      <w:szCs w:val="21"/>
                      <w:lang w:val="en-US" w:eastAsia="zh-CN"/>
                    </w:rPr>
                    <w:t>tsp</w:t>
                  </w:r>
                </w:p>
              </w:tc>
              <w:tc>
                <w:tcPr>
                  <w:tcW w:w="2666" w:type="dxa"/>
                  <w:tcBorders>
                    <w:top w:val="single" w:color="auto" w:sz="4" w:space="0"/>
                    <w:left w:val="single" w:color="auto" w:sz="4" w:space="0"/>
                    <w:right w:val="single" w:color="auto" w:sz="4" w:space="0"/>
                  </w:tcBorders>
                  <w:vAlign w:val="center"/>
                </w:tcPr>
                <w:p>
                  <w:pPr>
                    <w:tabs>
                      <w:tab w:val="left" w:pos="600"/>
                    </w:tabs>
                    <w:jc w:val="center"/>
                    <w:rPr>
                      <w:rFonts w:ascii="Times New Roman" w:hAnsi="Times New Roman" w:eastAsia="宋体" w:cs="Times New Roman"/>
                      <w:b w:val="0"/>
                      <w:bCs/>
                      <w:color w:val="auto"/>
                      <w:szCs w:val="21"/>
                      <w:lang w:val="en-US" w:eastAsia="zh-CN"/>
                    </w:rPr>
                  </w:pPr>
                  <w:r>
                    <w:rPr>
                      <w:rFonts w:ascii="Times New Roman" w:hAnsi="Times New Roman" w:cs="Times New Roman"/>
                      <w:b w:val="0"/>
                      <w:bCs/>
                      <w:color w:val="auto"/>
                      <w:szCs w:val="21"/>
                      <w:lang w:eastAsia="zh-CN"/>
                    </w:rPr>
                    <w:t>拆除工程</w:t>
                  </w:r>
                  <w:r>
                    <w:rPr>
                      <w:rFonts w:ascii="Times New Roman" w:hAnsi="Times New Roman" w:cs="Times New Roman"/>
                      <w:b w:val="0"/>
                      <w:bCs/>
                      <w:color w:val="auto"/>
                      <w:szCs w:val="21"/>
                      <w:lang w:val="en-US" w:eastAsia="zh-CN"/>
                    </w:rPr>
                    <w:t>/土方开挖/土方石</w:t>
                  </w:r>
                </w:p>
              </w:tc>
              <w:tc>
                <w:tcPr>
                  <w:tcW w:w="2355" w:type="dxa"/>
                  <w:tcBorders>
                    <w:top w:val="single" w:color="auto" w:sz="4" w:space="0"/>
                    <w:left w:val="single" w:color="auto" w:sz="4" w:space="0"/>
                    <w:right w:val="single" w:color="auto" w:sz="4" w:space="0"/>
                  </w:tcBorders>
                  <w:vAlign w:val="center"/>
                </w:tcPr>
                <w:p>
                  <w:pPr>
                    <w:autoSpaceDE w:val="0"/>
                    <w:autoSpaceDN w:val="0"/>
                    <w:jc w:val="center"/>
                    <w:rPr>
                      <w:rFonts w:ascii="Times New Roman" w:hAnsi="Times New Roman" w:eastAsia="宋体" w:cs="Times New Roman"/>
                      <w:b w:val="0"/>
                      <w:bCs/>
                      <w:color w:val="auto"/>
                      <w:szCs w:val="21"/>
                      <w:lang w:val="en-US" w:eastAsia="zh-CN"/>
                    </w:rPr>
                  </w:pPr>
                  <w:r>
                    <w:rPr>
                      <w:rFonts w:ascii="Times New Roman" w:hAnsi="Times New Roman" w:cs="Times New Roman"/>
                      <w:b w:val="0"/>
                      <w:bCs/>
                      <w:color w:val="auto"/>
                      <w:szCs w:val="21"/>
                      <w:lang w:val="en-US" w:eastAsia="zh-CN"/>
                    </w:rPr>
                    <w:t>600</w:t>
                  </w:r>
                </w:p>
              </w:tc>
              <w:tc>
                <w:tcPr>
                  <w:tcW w:w="1929" w:type="dxa"/>
                  <w:vMerge w:val="restart"/>
                  <w:tcBorders>
                    <w:top w:val="single" w:color="auto" w:sz="4" w:space="0"/>
                    <w:left w:val="single" w:color="auto" w:sz="4" w:space="0"/>
                  </w:tcBorders>
                  <w:vAlign w:val="center"/>
                </w:tcPr>
                <w:p>
                  <w:pPr>
                    <w:autoSpaceDE w:val="0"/>
                    <w:autoSpaceDN w:val="0"/>
                    <w:jc w:val="center"/>
                    <w:rPr>
                      <w:rFonts w:ascii="Times New Roman" w:hAnsi="Times New Roman" w:eastAsia="宋体" w:cs="Times New Roman"/>
                      <w:b w:val="0"/>
                      <w:bCs/>
                      <w:caps/>
                      <w:smallCaps w:val="0"/>
                      <w:color w:val="auto"/>
                      <w:szCs w:val="21"/>
                      <w:lang w:val="en-US" w:eastAsia="zh-CN"/>
                    </w:rPr>
                  </w:pPr>
                  <w:r>
                    <w:rPr>
                      <w:rFonts w:ascii="Times New Roman" w:hAnsi="Times New Roman" w:cs="Times New Roman"/>
                      <w:b w:val="0"/>
                      <w:bCs/>
                      <w:caps/>
                      <w:smallCaps w:val="0"/>
                      <w:color w:val="auto"/>
                      <w:szCs w:val="21"/>
                      <w:lang w:eastAsia="zh-CN"/>
                    </w:rPr>
                    <w:t>自监测起持续</w:t>
                  </w:r>
                  <w:r>
                    <w:rPr>
                      <w:rFonts w:ascii="Times New Roman" w:hAnsi="Times New Roman" w:cs="Times New Roman"/>
                      <w:b w:val="0"/>
                      <w:bCs/>
                      <w:caps/>
                      <w:smallCaps w:val="0"/>
                      <w:color w:val="auto"/>
                      <w:szCs w:val="21"/>
                      <w:lang w:val="en-US" w:eastAsia="zh-CN"/>
                    </w:rPr>
                    <w:t>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Merge w:val="continue"/>
                  <w:tcBorders>
                    <w:top w:val="single" w:color="auto" w:sz="4" w:space="0"/>
                    <w:right w:val="single" w:color="auto" w:sz="4" w:space="0"/>
                  </w:tcBorders>
                  <w:vAlign w:val="center"/>
                </w:tcPr>
                <w:p/>
              </w:tc>
              <w:tc>
                <w:tcPr>
                  <w:tcW w:w="2666" w:type="dxa"/>
                  <w:tcBorders>
                    <w:top w:val="single" w:color="auto" w:sz="4" w:space="0"/>
                    <w:left w:val="single" w:color="auto" w:sz="4" w:space="0"/>
                    <w:right w:val="single" w:color="auto" w:sz="4" w:space="0"/>
                  </w:tcBorders>
                  <w:vAlign w:val="center"/>
                </w:tcPr>
                <w:p>
                  <w:pPr>
                    <w:tabs>
                      <w:tab w:val="left" w:pos="600"/>
                    </w:tabs>
                    <w:jc w:val="center"/>
                    <w:rPr>
                      <w:rFonts w:ascii="Times New Roman" w:hAnsi="Times New Roman" w:eastAsia="宋体" w:cs="Times New Roman"/>
                      <w:b w:val="0"/>
                      <w:bCs/>
                      <w:color w:val="auto"/>
                      <w:szCs w:val="21"/>
                      <w:lang w:eastAsia="zh-CN"/>
                    </w:rPr>
                  </w:pPr>
                  <w:r>
                    <w:rPr>
                      <w:rFonts w:ascii="Times New Roman" w:hAnsi="Times New Roman" w:cs="Times New Roman"/>
                      <w:b w:val="0"/>
                      <w:bCs/>
                      <w:color w:val="auto"/>
                      <w:szCs w:val="21"/>
                      <w:lang w:eastAsia="zh-CN"/>
                    </w:rPr>
                    <w:t>其他工程阶段</w:t>
                  </w:r>
                </w:p>
              </w:tc>
              <w:tc>
                <w:tcPr>
                  <w:tcW w:w="2355" w:type="dxa"/>
                  <w:tcBorders>
                    <w:top w:val="single" w:color="auto" w:sz="4" w:space="0"/>
                    <w:left w:val="single" w:color="auto" w:sz="4" w:space="0"/>
                    <w:right w:val="single" w:color="auto" w:sz="4" w:space="0"/>
                  </w:tcBorders>
                  <w:vAlign w:val="center"/>
                </w:tcPr>
                <w:p>
                  <w:pPr>
                    <w:autoSpaceDE w:val="0"/>
                    <w:autoSpaceDN w:val="0"/>
                    <w:jc w:val="center"/>
                    <w:rPr>
                      <w:rFonts w:ascii="Times New Roman" w:hAnsi="Times New Roman" w:eastAsia="宋体" w:cs="Times New Roman"/>
                      <w:b w:val="0"/>
                      <w:bCs/>
                      <w:color w:val="auto"/>
                      <w:szCs w:val="21"/>
                      <w:lang w:val="en-US" w:eastAsia="zh-CN"/>
                    </w:rPr>
                  </w:pPr>
                  <w:r>
                    <w:rPr>
                      <w:rFonts w:ascii="Times New Roman" w:hAnsi="Times New Roman" w:cs="Times New Roman"/>
                      <w:b w:val="0"/>
                      <w:bCs/>
                      <w:color w:val="auto"/>
                      <w:szCs w:val="21"/>
                      <w:lang w:val="en-US" w:eastAsia="zh-CN"/>
                    </w:rPr>
                    <w:t>250</w:t>
                  </w:r>
                </w:p>
              </w:tc>
              <w:tc>
                <w:tcPr>
                  <w:tcW w:w="1929" w:type="dxa"/>
                  <w:vMerge w:val="continue"/>
                  <w:tcBorders>
                    <w:top w:val="single" w:color="auto" w:sz="4" w:space="0"/>
                    <w:left w:val="single" w:color="auto" w:sz="4" w:space="0"/>
                  </w:tcBorders>
                  <w:vAlign w:val="center"/>
                </w:tcPr>
                <w:p/>
              </w:tc>
            </w:tr>
          </w:tbl>
          <w:p>
            <w:pPr>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szCs w:val="32"/>
                <w:lang w:eastAsia="zh-CN"/>
              </w:rPr>
              <w:t>本项目</w:t>
            </w:r>
            <w:r>
              <w:rPr>
                <w:rFonts w:hint="eastAsia" w:cs="Times New Roman"/>
                <w:color w:val="auto"/>
                <w:sz w:val="24"/>
                <w:szCs w:val="32"/>
                <w:lang w:val="en-US" w:eastAsia="zh-CN"/>
              </w:rPr>
              <w:t>锅炉</w:t>
            </w:r>
            <w:r>
              <w:rPr>
                <w:rFonts w:ascii="Times New Roman" w:hAnsi="Times New Roman" w:cs="Times New Roman"/>
                <w:color w:val="auto"/>
                <w:sz w:val="24"/>
                <w:szCs w:val="32"/>
                <w:lang w:eastAsia="zh-CN"/>
              </w:rPr>
              <w:t>燃烧生物质气，</w:t>
            </w:r>
            <w:r>
              <w:rPr>
                <w:rFonts w:hint="eastAsia" w:cs="Times New Roman"/>
                <w:color w:val="auto"/>
                <w:sz w:val="24"/>
                <w:szCs w:val="32"/>
                <w:lang w:val="en-US" w:eastAsia="zh-CN"/>
              </w:rPr>
              <w:t>因此</w:t>
            </w:r>
            <w:r>
              <w:rPr>
                <w:rFonts w:ascii="Times New Roman" w:hAnsi="Times New Roman" w:cs="Times New Roman"/>
                <w:color w:val="auto"/>
                <w:sz w:val="24"/>
                <w:szCs w:val="32"/>
                <w:lang w:eastAsia="zh-CN"/>
              </w:rPr>
              <w:t>参照燃气锅炉排放标准</w:t>
            </w:r>
            <w:r>
              <w:rPr>
                <w:rFonts w:ascii="Times New Roman" w:hAnsi="Times New Roman" w:eastAsia="宋体" w:cs="Times New Roman"/>
                <w:color w:val="auto"/>
                <w:sz w:val="24"/>
              </w:rPr>
              <w:t>执行</w:t>
            </w:r>
            <w:r>
              <w:rPr>
                <w:rFonts w:hint="eastAsia" w:eastAsia="宋体" w:cs="Times New Roman"/>
                <w:color w:val="auto"/>
                <w:sz w:val="24"/>
                <w:lang w:eastAsia="zh-CN"/>
              </w:rPr>
              <w:t>，</w:t>
            </w:r>
            <w:r>
              <w:rPr>
                <w:rFonts w:ascii="Times New Roman" w:hAnsi="Times New Roman" w:eastAsia="宋体" w:cs="Times New Roman"/>
                <w:color w:val="auto"/>
                <w:sz w:val="24"/>
              </w:rPr>
              <w:t>《锅炉大气污染物排放标准》GB13271-2014表2中</w:t>
            </w:r>
            <w:r>
              <w:rPr>
                <w:rFonts w:ascii="Times New Roman" w:hAnsi="Times New Roman" w:eastAsia="宋体" w:cs="Times New Roman"/>
                <w:color w:val="auto"/>
                <w:sz w:val="24"/>
                <w:lang w:val="en-US" w:eastAsia="zh-CN"/>
              </w:rPr>
              <w:t>的</w:t>
            </w:r>
            <w:r>
              <w:rPr>
                <w:rFonts w:ascii="Times New Roman" w:hAnsi="Times New Roman" w:eastAsia="宋体" w:cs="Times New Roman"/>
                <w:color w:val="auto"/>
                <w:sz w:val="24"/>
              </w:rPr>
              <w:t>排放浓度限值</w:t>
            </w:r>
            <w:r>
              <w:rPr>
                <w:rFonts w:ascii="Times New Roman" w:hAnsi="Times New Roman" w:cs="Times New Roman"/>
                <w:color w:val="auto"/>
                <w:sz w:val="24"/>
              </w:rPr>
              <w:t>。</w:t>
            </w:r>
          </w:p>
          <w:p>
            <w:pPr>
              <w:spacing w:line="240" w:lineRule="auto"/>
              <w:ind w:firstLine="422" w:firstLineChars="200"/>
              <w:jc w:val="center"/>
              <w:rPr>
                <w:rFonts w:ascii="Times New Roman" w:hAnsi="Times New Roman" w:cs="Times New Roman"/>
                <w:b/>
                <w:bCs/>
                <w:color w:val="auto"/>
                <w:szCs w:val="21"/>
              </w:rPr>
            </w:pPr>
          </w:p>
          <w:p>
            <w:pPr>
              <w:spacing w:line="240" w:lineRule="auto"/>
              <w:ind w:firstLine="422" w:firstLineChars="200"/>
              <w:jc w:val="center"/>
              <w:rPr>
                <w:rFonts w:ascii="Times New Roman" w:hAnsi="Times New Roman" w:cs="Times New Roman"/>
                <w:b/>
                <w:bCs/>
                <w:color w:val="auto"/>
                <w:szCs w:val="21"/>
                <w:highlight w:val="darkGreen"/>
              </w:rPr>
            </w:pPr>
            <w:r>
              <w:rPr>
                <w:rFonts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8</w:t>
            </w:r>
            <w:r>
              <w:rPr>
                <w:rFonts w:ascii="Times New Roman" w:hAnsi="Times New Roman" w:cs="Times New Roman"/>
                <w:b/>
                <w:bCs/>
                <w:color w:val="auto"/>
                <w:szCs w:val="21"/>
              </w:rPr>
              <w:t xml:space="preserve"> 锅炉大气污染物排放标准GB 13271-2014</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521"/>
              <w:gridCol w:w="2692"/>
              <w:gridCol w:w="2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97" w:type="dxa"/>
                  <w:vAlign w:val="center"/>
                </w:tcPr>
                <w:p>
                  <w:pPr>
                    <w:autoSpaceDE w:val="0"/>
                    <w:autoSpaceDN w:val="0"/>
                    <w:spacing w:line="240" w:lineRule="auto"/>
                    <w:jc w:val="center"/>
                    <w:rPr>
                      <w:rFonts w:ascii="Times New Roman" w:hAnsi="Times New Roman" w:cs="Times New Roman"/>
                      <w:b/>
                      <w:caps/>
                      <w:smallCaps w:val="0"/>
                      <w:color w:val="auto"/>
                      <w:szCs w:val="21"/>
                    </w:rPr>
                  </w:pPr>
                  <w:r>
                    <w:rPr>
                      <w:rFonts w:ascii="Times New Roman" w:hAnsi="Times New Roman" w:cs="Times New Roman"/>
                      <w:b/>
                      <w:caps/>
                      <w:smallCaps w:val="0"/>
                      <w:color w:val="auto"/>
                      <w:szCs w:val="21"/>
                    </w:rPr>
                    <w:t>名称</w:t>
                  </w:r>
                </w:p>
              </w:tc>
              <w:tc>
                <w:tcPr>
                  <w:tcW w:w="1529" w:type="dxa"/>
                  <w:vAlign w:val="center"/>
                </w:tcPr>
                <w:p>
                  <w:pPr>
                    <w:tabs>
                      <w:tab w:val="left" w:pos="600"/>
                    </w:tabs>
                    <w:spacing w:line="240" w:lineRule="auto"/>
                    <w:jc w:val="center"/>
                    <w:rPr>
                      <w:rFonts w:ascii="Times New Roman" w:hAnsi="Times New Roman" w:cs="Times New Roman"/>
                      <w:b/>
                      <w:color w:val="auto"/>
                      <w:szCs w:val="21"/>
                    </w:rPr>
                  </w:pPr>
                  <w:r>
                    <w:rPr>
                      <w:rFonts w:ascii="Times New Roman" w:hAnsi="Times New Roman" w:cs="Times New Roman"/>
                      <w:b/>
                      <w:color w:val="auto"/>
                      <w:szCs w:val="21"/>
                    </w:rPr>
                    <w:t>污染物</w:t>
                  </w:r>
                </w:p>
              </w:tc>
              <w:tc>
                <w:tcPr>
                  <w:tcW w:w="2703" w:type="dxa"/>
                  <w:vAlign w:val="center"/>
                </w:tcPr>
                <w:p>
                  <w:pPr>
                    <w:autoSpaceDE w:val="0"/>
                    <w:autoSpaceDN w:val="0"/>
                    <w:spacing w:line="240" w:lineRule="auto"/>
                    <w:jc w:val="center"/>
                    <w:rPr>
                      <w:rFonts w:ascii="Times New Roman" w:hAnsi="Times New Roman" w:cs="Times New Roman"/>
                      <w:b/>
                      <w:caps/>
                      <w:smallCaps w:val="0"/>
                      <w:color w:val="auto"/>
                      <w:spacing w:val="-4"/>
                      <w:szCs w:val="21"/>
                    </w:rPr>
                  </w:pPr>
                  <w:r>
                    <w:rPr>
                      <w:rFonts w:ascii="Times New Roman" w:hAnsi="Times New Roman" w:cs="Times New Roman"/>
                      <w:b/>
                      <w:color w:val="auto"/>
                      <w:szCs w:val="21"/>
                    </w:rPr>
                    <w:t>浓度限值（mg/m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c>
                <w:tcPr>
                  <w:tcW w:w="2718" w:type="dxa"/>
                  <w:vAlign w:val="center"/>
                </w:tcPr>
                <w:p>
                  <w:pPr>
                    <w:autoSpaceDE w:val="0"/>
                    <w:autoSpaceDN w:val="0"/>
                    <w:spacing w:line="240" w:lineRule="auto"/>
                    <w:jc w:val="center"/>
                    <w:rPr>
                      <w:rFonts w:ascii="Times New Roman" w:hAnsi="Times New Roman" w:cs="Times New Roman"/>
                      <w:b/>
                      <w:caps/>
                      <w:smallCaps w:val="0"/>
                      <w:color w:val="auto"/>
                      <w:szCs w:val="21"/>
                    </w:rPr>
                  </w:pPr>
                  <w:r>
                    <w:rPr>
                      <w:rFonts w:ascii="Times New Roman" w:hAnsi="Times New Roman" w:cs="Times New Roman"/>
                      <w:b/>
                      <w:caps/>
                      <w:smallCaps w:val="0"/>
                      <w:color w:val="auto"/>
                      <w:szCs w:val="21"/>
                    </w:rPr>
                    <w:t>污染物监测位置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restart"/>
                  <w:tcBorders>
                    <w:top w:val="single" w:color="auto" w:sz="4" w:space="0"/>
                    <w:right w:val="single" w:color="auto" w:sz="4" w:space="0"/>
                  </w:tcBorders>
                  <w:vAlign w:val="center"/>
                </w:tcPr>
                <w:p>
                  <w:pPr>
                    <w:spacing w:line="240" w:lineRule="auto"/>
                    <w:jc w:val="center"/>
                    <w:rPr>
                      <w:rFonts w:ascii="Times New Roman" w:hAnsi="Times New Roman" w:cs="Times New Roman"/>
                      <w:bCs/>
                      <w:color w:val="auto"/>
                    </w:rPr>
                  </w:pPr>
                  <w:r>
                    <w:rPr>
                      <w:rFonts w:ascii="Times New Roman" w:hAnsi="Times New Roman" w:cs="Times New Roman"/>
                      <w:bCs/>
                      <w:color w:val="auto"/>
                    </w:rPr>
                    <w:t>锅炉烟气</w:t>
                  </w:r>
                </w:p>
              </w:tc>
              <w:tc>
                <w:tcPr>
                  <w:tcW w:w="1529"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bCs/>
                      <w:color w:val="auto"/>
                    </w:rPr>
                  </w:pPr>
                  <w:r>
                    <w:rPr>
                      <w:rFonts w:ascii="Times New Roman" w:hAnsi="Times New Roman" w:cs="Times New Roman"/>
                      <w:bCs/>
                      <w:color w:val="auto"/>
                    </w:rPr>
                    <w:t>颗粒物</w:t>
                  </w:r>
                </w:p>
              </w:tc>
              <w:tc>
                <w:tcPr>
                  <w:tcW w:w="2703" w:type="dxa"/>
                  <w:tcBorders>
                    <w:top w:val="single" w:color="auto" w:sz="4" w:space="0"/>
                    <w:left w:val="single" w:color="auto" w:sz="4" w:space="0"/>
                    <w:right w:val="single" w:color="auto" w:sz="4" w:space="0"/>
                  </w:tcBorders>
                  <w:vAlign w:val="center"/>
                </w:tcPr>
                <w:p>
                  <w:pPr>
                    <w:autoSpaceDE w:val="0"/>
                    <w:autoSpaceDN w:val="0"/>
                    <w:spacing w:line="240" w:lineRule="auto"/>
                    <w:jc w:val="center"/>
                    <w:rPr>
                      <w:rFonts w:ascii="Times New Roman" w:hAnsi="Times New Roman" w:eastAsia="宋体" w:cs="Times New Roman"/>
                      <w:bCs/>
                      <w:color w:val="auto"/>
                      <w:szCs w:val="21"/>
                      <w:lang w:val="en-US" w:eastAsia="zh-CN"/>
                    </w:rPr>
                  </w:pPr>
                  <w:r>
                    <w:rPr>
                      <w:rFonts w:ascii="Times New Roman" w:hAnsi="Times New Roman" w:cs="Times New Roman"/>
                      <w:bCs/>
                      <w:color w:val="auto"/>
                      <w:szCs w:val="21"/>
                      <w:lang w:val="en-US" w:eastAsia="zh-CN"/>
                    </w:rPr>
                    <w:t>20</w:t>
                  </w:r>
                </w:p>
              </w:tc>
              <w:tc>
                <w:tcPr>
                  <w:tcW w:w="2718" w:type="dxa"/>
                  <w:vMerge w:val="restart"/>
                  <w:tcBorders>
                    <w:top w:val="single" w:color="auto" w:sz="4" w:space="0"/>
                    <w:left w:val="single" w:color="auto" w:sz="4" w:space="0"/>
                  </w:tcBorders>
                  <w:vAlign w:val="center"/>
                </w:tcPr>
                <w:p>
                  <w:pPr>
                    <w:autoSpaceDE w:val="0"/>
                    <w:autoSpaceDN w:val="0"/>
                    <w:spacing w:line="240" w:lineRule="auto"/>
                    <w:jc w:val="center"/>
                    <w:rPr>
                      <w:rFonts w:ascii="Times New Roman" w:hAnsi="Times New Roman" w:cs="Times New Roman"/>
                      <w:bCs/>
                      <w:color w:val="auto"/>
                      <w:szCs w:val="21"/>
                    </w:rPr>
                  </w:pPr>
                  <w:r>
                    <w:rPr>
                      <w:rFonts w:ascii="Times New Roman" w:hAnsi="Times New Roman" w:cs="Times New Roman"/>
                      <w:bCs/>
                      <w:color w:val="auto"/>
                      <w:szCs w:val="21"/>
                    </w:rPr>
                    <w:t>烟囱或烟道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tcBorders>
                    <w:top w:val="single" w:color="auto" w:sz="4" w:space="0"/>
                    <w:right w:val="single" w:color="auto" w:sz="4" w:space="0"/>
                  </w:tcBorders>
                  <w:vAlign w:val="center"/>
                </w:tcPr>
                <w:p/>
              </w:tc>
              <w:tc>
                <w:tcPr>
                  <w:tcW w:w="1529"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bCs/>
                      <w:color w:val="auto"/>
                    </w:rPr>
                  </w:pPr>
                  <w:r>
                    <w:rPr>
                      <w:rFonts w:ascii="Times New Roman" w:hAnsi="Times New Roman" w:cs="Times New Roman"/>
                      <w:bCs/>
                      <w:color w:val="auto"/>
                    </w:rPr>
                    <w:t>二氧化硫</w:t>
                  </w:r>
                </w:p>
              </w:tc>
              <w:tc>
                <w:tcPr>
                  <w:tcW w:w="2703" w:type="dxa"/>
                  <w:tcBorders>
                    <w:top w:val="single" w:color="auto" w:sz="4" w:space="0"/>
                    <w:left w:val="single" w:color="auto" w:sz="4" w:space="0"/>
                    <w:right w:val="single" w:color="auto" w:sz="4" w:space="0"/>
                  </w:tcBorders>
                  <w:vAlign w:val="center"/>
                </w:tcPr>
                <w:p>
                  <w:pPr>
                    <w:autoSpaceDE w:val="0"/>
                    <w:autoSpaceDN w:val="0"/>
                    <w:spacing w:line="240" w:lineRule="auto"/>
                    <w:jc w:val="center"/>
                    <w:rPr>
                      <w:rFonts w:ascii="Times New Roman" w:hAnsi="Times New Roman" w:eastAsia="宋体" w:cs="Times New Roman"/>
                      <w:bCs/>
                      <w:color w:val="auto"/>
                      <w:szCs w:val="21"/>
                      <w:lang w:val="en-US" w:eastAsia="zh-CN"/>
                    </w:rPr>
                  </w:pPr>
                  <w:r>
                    <w:rPr>
                      <w:rFonts w:ascii="Times New Roman" w:hAnsi="Times New Roman" w:cs="Times New Roman"/>
                      <w:bCs/>
                      <w:color w:val="auto"/>
                      <w:szCs w:val="21"/>
                      <w:lang w:val="en-US" w:eastAsia="zh-CN"/>
                    </w:rPr>
                    <w:t>50</w:t>
                  </w:r>
                </w:p>
              </w:tc>
              <w:tc>
                <w:tcPr>
                  <w:tcW w:w="2718" w:type="dxa"/>
                  <w:vMerge w:val="continue"/>
                  <w:tcBorders>
                    <w:top w:val="single" w:color="auto" w:sz="4" w:space="0"/>
                    <w:left w:val="single" w:color="auto" w:sz="4" w:space="0"/>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tcBorders>
                    <w:top w:val="single" w:color="auto" w:sz="4" w:space="0"/>
                    <w:right w:val="single" w:color="auto" w:sz="4" w:space="0"/>
                  </w:tcBorders>
                  <w:vAlign w:val="center"/>
                </w:tcPr>
                <w:p/>
              </w:tc>
              <w:tc>
                <w:tcPr>
                  <w:tcW w:w="1529"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bCs/>
                      <w:color w:val="auto"/>
                    </w:rPr>
                  </w:pPr>
                  <w:r>
                    <w:rPr>
                      <w:rFonts w:ascii="Times New Roman" w:hAnsi="Times New Roman" w:cs="Times New Roman"/>
                      <w:bCs/>
                      <w:color w:val="auto"/>
                    </w:rPr>
                    <w:t>氮氧化物</w:t>
                  </w:r>
                </w:p>
              </w:tc>
              <w:tc>
                <w:tcPr>
                  <w:tcW w:w="2703" w:type="dxa"/>
                  <w:tcBorders>
                    <w:top w:val="single" w:color="auto" w:sz="4" w:space="0"/>
                    <w:left w:val="single" w:color="auto" w:sz="4" w:space="0"/>
                    <w:right w:val="single" w:color="auto" w:sz="4" w:space="0"/>
                  </w:tcBorders>
                  <w:vAlign w:val="center"/>
                </w:tcPr>
                <w:p>
                  <w:pPr>
                    <w:autoSpaceDE w:val="0"/>
                    <w:autoSpaceDN w:val="0"/>
                    <w:spacing w:line="240" w:lineRule="auto"/>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150</w:t>
                  </w:r>
                </w:p>
              </w:tc>
              <w:tc>
                <w:tcPr>
                  <w:tcW w:w="2718" w:type="dxa"/>
                  <w:vMerge w:val="continue"/>
                  <w:tcBorders>
                    <w:top w:val="single" w:color="auto" w:sz="4" w:space="0"/>
                    <w:left w:val="single" w:color="auto" w:sz="4" w:space="0"/>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tcBorders>
                    <w:top w:val="single" w:color="auto" w:sz="4" w:space="0"/>
                    <w:right w:val="single" w:color="auto" w:sz="4" w:space="0"/>
                  </w:tcBorders>
                  <w:vAlign w:val="center"/>
                </w:tcPr>
                <w:p/>
              </w:tc>
              <w:tc>
                <w:tcPr>
                  <w:tcW w:w="1529"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eastAsia="宋体" w:cs="Times New Roman"/>
                      <w:bCs/>
                      <w:color w:val="auto"/>
                      <w:lang w:val="en-US" w:eastAsia="zh-CN"/>
                    </w:rPr>
                  </w:pPr>
                  <w:r>
                    <w:rPr>
                      <w:rFonts w:ascii="Times New Roman" w:hAnsi="Times New Roman" w:cs="Times New Roman"/>
                      <w:bCs/>
                      <w:color w:val="auto"/>
                      <w:lang w:val="en-US" w:eastAsia="zh-CN"/>
                    </w:rPr>
                    <w:t>汞及其化合物</w:t>
                  </w:r>
                </w:p>
              </w:tc>
              <w:tc>
                <w:tcPr>
                  <w:tcW w:w="2703" w:type="dxa"/>
                  <w:tcBorders>
                    <w:top w:val="single" w:color="auto" w:sz="4" w:space="0"/>
                    <w:left w:val="single" w:color="auto" w:sz="4" w:space="0"/>
                    <w:right w:val="single" w:color="auto" w:sz="4" w:space="0"/>
                  </w:tcBorders>
                  <w:vAlign w:val="center"/>
                </w:tcPr>
                <w:p>
                  <w:pPr>
                    <w:autoSpaceDE w:val="0"/>
                    <w:autoSpaceDN w:val="0"/>
                    <w:spacing w:line="240" w:lineRule="auto"/>
                    <w:jc w:val="center"/>
                    <w:rPr>
                      <w:rFonts w:ascii="Times New Roman" w:hAnsi="Times New Roman" w:eastAsia="宋体" w:cs="Times New Roman"/>
                      <w:bCs/>
                      <w:color w:val="auto"/>
                      <w:szCs w:val="21"/>
                      <w:lang w:eastAsia="zh-CN"/>
                    </w:rPr>
                  </w:pPr>
                  <w:r>
                    <w:rPr>
                      <w:rFonts w:ascii="Times New Roman" w:hAnsi="Times New Roman" w:cs="Times New Roman"/>
                      <w:bCs/>
                      <w:color w:val="auto"/>
                      <w:szCs w:val="21"/>
                      <w:lang w:val="en-US" w:eastAsia="zh-CN"/>
                    </w:rPr>
                    <w:t>-</w:t>
                  </w:r>
                </w:p>
              </w:tc>
              <w:tc>
                <w:tcPr>
                  <w:tcW w:w="2718" w:type="dxa"/>
                  <w:vMerge w:val="continue"/>
                  <w:tcBorders>
                    <w:top w:val="single" w:color="auto" w:sz="4" w:space="0"/>
                    <w:left w:val="single" w:color="auto" w:sz="4" w:space="0"/>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7" w:type="dxa"/>
                  <w:vMerge w:val="continue"/>
                  <w:tcBorders>
                    <w:top w:val="single" w:color="auto" w:sz="4" w:space="0"/>
                    <w:right w:val="single" w:color="auto" w:sz="4" w:space="0"/>
                  </w:tcBorders>
                  <w:vAlign w:val="center"/>
                </w:tcPr>
                <w:p/>
              </w:tc>
              <w:tc>
                <w:tcPr>
                  <w:tcW w:w="1529" w:type="dxa"/>
                  <w:tcBorders>
                    <w:top w:val="single" w:color="auto" w:sz="4" w:space="0"/>
                    <w:left w:val="single" w:color="auto" w:sz="4" w:space="0"/>
                    <w:right w:val="single" w:color="auto" w:sz="4" w:space="0"/>
                  </w:tcBorders>
                  <w:vAlign w:val="center"/>
                </w:tcPr>
                <w:p>
                  <w:pPr>
                    <w:spacing w:line="240" w:lineRule="auto"/>
                    <w:jc w:val="center"/>
                    <w:rPr>
                      <w:rFonts w:ascii="Times New Roman" w:hAnsi="Times New Roman" w:cs="Times New Roman"/>
                      <w:bCs/>
                      <w:color w:val="auto"/>
                    </w:rPr>
                  </w:pPr>
                  <w:r>
                    <w:rPr>
                      <w:rFonts w:ascii="Times New Roman" w:hAnsi="Times New Roman" w:cs="Times New Roman"/>
                      <w:bCs/>
                      <w:color w:val="auto"/>
                    </w:rPr>
                    <w:t>烟气黑度</w:t>
                  </w:r>
                </w:p>
              </w:tc>
              <w:tc>
                <w:tcPr>
                  <w:tcW w:w="2703" w:type="dxa"/>
                  <w:tcBorders>
                    <w:top w:val="single" w:color="auto" w:sz="4" w:space="0"/>
                    <w:left w:val="single" w:color="auto" w:sz="4" w:space="0"/>
                    <w:right w:val="single" w:color="auto" w:sz="4" w:space="0"/>
                  </w:tcBorders>
                  <w:vAlign w:val="center"/>
                </w:tcPr>
                <w:p>
                  <w:pPr>
                    <w:autoSpaceDE w:val="0"/>
                    <w:autoSpaceDN w:val="0"/>
                    <w:spacing w:line="240" w:lineRule="auto"/>
                    <w:jc w:val="center"/>
                    <w:rPr>
                      <w:rFonts w:ascii="Times New Roman" w:hAnsi="Times New Roman" w:cs="Times New Roman"/>
                      <w:bCs/>
                      <w:color w:val="auto"/>
                      <w:szCs w:val="21"/>
                    </w:rPr>
                  </w:pPr>
                  <w:r>
                    <w:rPr>
                      <w:rFonts w:ascii="Times New Roman" w:hAnsi="Times New Roman" w:cs="Times New Roman"/>
                      <w:bCs/>
                      <w:color w:val="auto"/>
                      <w:szCs w:val="21"/>
                    </w:rPr>
                    <w:t>≤1</w:t>
                  </w:r>
                </w:p>
              </w:tc>
              <w:tc>
                <w:tcPr>
                  <w:tcW w:w="2718" w:type="dxa"/>
                  <w:tcBorders>
                    <w:top w:val="single" w:color="auto" w:sz="4" w:space="0"/>
                    <w:left w:val="single" w:color="auto" w:sz="4" w:space="0"/>
                  </w:tcBorders>
                  <w:vAlign w:val="center"/>
                </w:tcPr>
                <w:p>
                  <w:pPr>
                    <w:autoSpaceDE w:val="0"/>
                    <w:autoSpaceDN w:val="0"/>
                    <w:spacing w:line="240" w:lineRule="auto"/>
                    <w:jc w:val="center"/>
                    <w:rPr>
                      <w:rFonts w:ascii="Times New Roman" w:hAnsi="Times New Roman" w:cs="Times New Roman"/>
                      <w:bCs/>
                      <w:color w:val="auto"/>
                      <w:szCs w:val="21"/>
                    </w:rPr>
                  </w:pPr>
                  <w:r>
                    <w:rPr>
                      <w:rFonts w:ascii="Times New Roman" w:hAnsi="Times New Roman" w:cs="Times New Roman"/>
                      <w:bCs/>
                      <w:color w:val="auto"/>
                      <w:szCs w:val="21"/>
                    </w:rPr>
                    <w:t>烟囱排放口</w:t>
                  </w:r>
                </w:p>
              </w:tc>
            </w:tr>
          </w:tbl>
          <w:p>
            <w:pPr>
              <w:pStyle w:val="55"/>
              <w:spacing w:line="360" w:lineRule="auto"/>
              <w:rPr>
                <w:rFonts w:ascii="Times New Roman" w:hAnsi="Times New Roman" w:cs="Times New Roman"/>
                <w:b/>
                <w:color w:val="auto"/>
                <w:szCs w:val="24"/>
              </w:rPr>
            </w:pPr>
            <w:r>
              <w:rPr>
                <w:rFonts w:ascii="Times New Roman" w:hAnsi="Times New Roman" w:cs="Times New Roman"/>
                <w:b/>
                <w:color w:val="auto"/>
                <w:szCs w:val="24"/>
              </w:rPr>
              <w:t>三、噪声</w:t>
            </w:r>
          </w:p>
          <w:p>
            <w:pPr>
              <w:pStyle w:val="55"/>
              <w:spacing w:line="360" w:lineRule="auto"/>
              <w:ind w:firstLine="480"/>
              <w:rPr>
                <w:rFonts w:ascii="Times New Roman" w:hAnsi="Times New Roman" w:cs="Times New Roman"/>
                <w:color w:val="auto"/>
              </w:rPr>
            </w:pPr>
            <w:r>
              <w:rPr>
                <w:rFonts w:ascii="Times New Roman" w:hAnsi="Times New Roman" w:cs="Times New Roman"/>
                <w:color w:val="auto"/>
              </w:rPr>
              <w:t>施工期噪声执行《建筑施工场界环境噪声排放标准》</w:t>
            </w:r>
            <w:r>
              <w:rPr>
                <w:rFonts w:hint="eastAsia" w:cs="Times New Roman"/>
                <w:color w:val="auto"/>
                <w:lang w:eastAsia="zh-CN"/>
              </w:rPr>
              <w:t>（</w:t>
            </w:r>
            <w:r>
              <w:rPr>
                <w:rFonts w:ascii="Times New Roman" w:hAnsi="Times New Roman" w:cs="Times New Roman"/>
                <w:color w:val="auto"/>
              </w:rPr>
              <w:t>GB12523-2011</w:t>
            </w:r>
            <w:r>
              <w:rPr>
                <w:rFonts w:hint="eastAsia" w:cs="Times New Roman"/>
                <w:color w:val="auto"/>
                <w:lang w:eastAsia="zh-CN"/>
              </w:rPr>
              <w:t>）</w:t>
            </w:r>
            <w:r>
              <w:rPr>
                <w:rFonts w:ascii="Times New Roman" w:hAnsi="Times New Roman" w:cs="Times New Roman"/>
                <w:color w:val="auto"/>
              </w:rPr>
              <w:t>限值，</w:t>
            </w:r>
            <w:r>
              <w:rPr>
                <w:rFonts w:ascii="Times New Roman" w:hAnsi="Times New Roman" w:cs="Times New Roman"/>
                <w:color w:val="auto"/>
                <w:u w:val="single"/>
              </w:rPr>
              <w:t>昼间70</w:t>
            </w:r>
            <w:r>
              <w:rPr>
                <w:rFonts w:ascii="Times New Roman" w:hAnsi="Times New Roman" w:cs="Times New Roman"/>
                <w:bCs/>
                <w:color w:val="auto"/>
                <w:szCs w:val="21"/>
                <w:u w:val="single"/>
              </w:rPr>
              <w:t>[dB</w:t>
            </w:r>
            <w:r>
              <w:rPr>
                <w:rFonts w:hint="eastAsia" w:cs="Times New Roman"/>
                <w:bCs/>
                <w:color w:val="auto"/>
                <w:szCs w:val="21"/>
                <w:u w:val="single"/>
                <w:lang w:eastAsia="zh-CN"/>
              </w:rPr>
              <w:t>（</w:t>
            </w:r>
            <w:r>
              <w:rPr>
                <w:rFonts w:ascii="Times New Roman" w:hAnsi="Times New Roman" w:cs="Times New Roman"/>
                <w:bCs/>
                <w:color w:val="auto"/>
                <w:szCs w:val="21"/>
                <w:u w:val="single"/>
              </w:rPr>
              <w:t>A</w:t>
            </w:r>
            <w:r>
              <w:rPr>
                <w:rFonts w:hint="eastAsia" w:cs="Times New Roman"/>
                <w:bCs/>
                <w:color w:val="auto"/>
                <w:szCs w:val="21"/>
                <w:u w:val="single"/>
                <w:lang w:eastAsia="zh-CN"/>
              </w:rPr>
              <w:t>）</w:t>
            </w:r>
            <w:r>
              <w:rPr>
                <w:rFonts w:ascii="Times New Roman" w:hAnsi="Times New Roman" w:cs="Times New Roman"/>
                <w:bCs/>
                <w:color w:val="auto"/>
                <w:szCs w:val="21"/>
                <w:u w:val="single"/>
              </w:rPr>
              <w:t>]、夜间55[dB</w:t>
            </w:r>
            <w:r>
              <w:rPr>
                <w:rFonts w:hint="eastAsia" w:cs="Times New Roman"/>
                <w:bCs/>
                <w:color w:val="auto"/>
                <w:szCs w:val="21"/>
                <w:u w:val="single"/>
                <w:lang w:eastAsia="zh-CN"/>
              </w:rPr>
              <w:t>（</w:t>
            </w:r>
            <w:r>
              <w:rPr>
                <w:rFonts w:ascii="Times New Roman" w:hAnsi="Times New Roman" w:cs="Times New Roman"/>
                <w:bCs/>
                <w:color w:val="auto"/>
                <w:szCs w:val="21"/>
                <w:u w:val="single"/>
              </w:rPr>
              <w:t>A</w:t>
            </w:r>
            <w:r>
              <w:rPr>
                <w:rFonts w:hint="eastAsia" w:cs="Times New Roman"/>
                <w:bCs/>
                <w:color w:val="auto"/>
                <w:szCs w:val="21"/>
                <w:u w:val="single"/>
                <w:lang w:eastAsia="zh-CN"/>
              </w:rPr>
              <w:t>）</w:t>
            </w:r>
            <w:r>
              <w:rPr>
                <w:rFonts w:ascii="Times New Roman" w:hAnsi="Times New Roman" w:cs="Times New Roman"/>
                <w:bCs/>
                <w:color w:val="auto"/>
                <w:szCs w:val="21"/>
                <w:u w:val="single"/>
              </w:rPr>
              <w:t>]</w:t>
            </w:r>
            <w:r>
              <w:rPr>
                <w:rFonts w:ascii="Times New Roman" w:hAnsi="Times New Roman" w:cs="Times New Roman"/>
                <w:color w:val="auto"/>
              </w:rPr>
              <w:t>。</w:t>
            </w:r>
            <w:r>
              <w:rPr>
                <w:rFonts w:ascii="Times New Roman" w:hAnsi="Times New Roman" w:cs="Times New Roman"/>
                <w:bCs/>
                <w:color w:val="auto"/>
                <w:szCs w:val="24"/>
              </w:rPr>
              <w:t>营运期执行</w:t>
            </w:r>
            <w:r>
              <w:rPr>
                <w:rFonts w:ascii="Times New Roman" w:hAnsi="Times New Roman" w:cs="Times New Roman"/>
                <w:color w:val="auto"/>
                <w:szCs w:val="24"/>
              </w:rPr>
              <w:t>《工业企业厂界环境噪声排放标准》（GB12348-2008）</w:t>
            </w:r>
            <w:r>
              <w:rPr>
                <w:rFonts w:ascii="Times New Roman" w:hAnsi="Times New Roman" w:cs="Times New Roman"/>
                <w:color w:val="auto"/>
                <w:szCs w:val="21"/>
              </w:rPr>
              <w:t>3</w:t>
            </w:r>
            <w:r>
              <w:rPr>
                <w:rFonts w:ascii="Times New Roman" w:hAnsi="Times New Roman" w:cs="Times New Roman"/>
                <w:color w:val="auto"/>
                <w:szCs w:val="24"/>
              </w:rPr>
              <w:t>类</w:t>
            </w:r>
            <w:r>
              <w:rPr>
                <w:rFonts w:ascii="Times New Roman" w:hAnsi="Times New Roman" w:cs="Times New Roman"/>
                <w:color w:val="auto"/>
              </w:rPr>
              <w:t>标准。</w:t>
            </w:r>
          </w:p>
          <w:p>
            <w:pPr>
              <w:spacing w:line="324" w:lineRule="auto"/>
              <w:ind w:firstLine="422" w:firstLineChars="200"/>
              <w:jc w:val="center"/>
              <w:rPr>
                <w:rFonts w:ascii="Times New Roman" w:hAnsi="Times New Roman" w:cs="Times New Roman"/>
                <w:b/>
                <w:bCs/>
                <w:color w:val="auto"/>
                <w:szCs w:val="21"/>
                <w:highlight w:val="darkGreen"/>
              </w:rPr>
            </w:pPr>
            <w:r>
              <w:rPr>
                <w:rFonts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9</w:t>
            </w:r>
            <w:r>
              <w:rPr>
                <w:rFonts w:ascii="Times New Roman" w:hAnsi="Times New Roman" w:cs="Times New Roman"/>
                <w:b/>
                <w:bCs/>
                <w:color w:val="auto"/>
                <w:szCs w:val="21"/>
              </w:rPr>
              <w:t xml:space="preserve"> 工业企业厂界噪声排放标准</w:t>
            </w:r>
          </w:p>
          <w:tbl>
            <w:tblPr>
              <w:tblStyle w:val="2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5"/>
              <w:gridCol w:w="2406"/>
              <w:gridCol w:w="1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7" w:type="dxa"/>
                </w:tcPr>
                <w:p>
                  <w:pPr>
                    <w:jc w:val="center"/>
                    <w:rPr>
                      <w:rFonts w:ascii="Times New Roman" w:hAnsi="Times New Roman" w:cs="Times New Roman"/>
                      <w:bCs/>
                      <w:color w:val="auto"/>
                      <w:szCs w:val="21"/>
                    </w:rPr>
                  </w:pPr>
                  <w:r>
                    <w:rPr>
                      <w:rFonts w:ascii="Times New Roman" w:hAnsi="Times New Roman" w:cs="Times New Roman"/>
                      <w:bCs/>
                      <w:color w:val="auto"/>
                      <w:szCs w:val="21"/>
                    </w:rPr>
                    <w:t>时段</w:t>
                  </w:r>
                </w:p>
              </w:tc>
              <w:tc>
                <w:tcPr>
                  <w:tcW w:w="2502" w:type="dxa"/>
                </w:tcPr>
                <w:p>
                  <w:pPr>
                    <w:jc w:val="center"/>
                    <w:rPr>
                      <w:rFonts w:ascii="Times New Roman" w:hAnsi="Times New Roman" w:cs="Times New Roman"/>
                      <w:bCs/>
                      <w:color w:val="auto"/>
                      <w:szCs w:val="21"/>
                    </w:rPr>
                  </w:pPr>
                  <w:r>
                    <w:rPr>
                      <w:rFonts w:ascii="Times New Roman" w:hAnsi="Times New Roman" w:cs="Times New Roman"/>
                      <w:bCs/>
                      <w:color w:val="auto"/>
                      <w:szCs w:val="21"/>
                    </w:rPr>
                    <w:t>昼间[dBA</w:t>
                  </w:r>
                  <w:r>
                    <w:rPr>
                      <w:rFonts w:hint="eastAsia" w:cs="Times New Roman"/>
                      <w:bCs/>
                      <w:color w:val="auto"/>
                      <w:szCs w:val="21"/>
                      <w:lang w:eastAsia="zh-CN"/>
                    </w:rPr>
                    <w:t>）</w:t>
                  </w:r>
                  <w:r>
                    <w:rPr>
                      <w:rFonts w:ascii="Times New Roman" w:hAnsi="Times New Roman" w:cs="Times New Roman"/>
                      <w:bCs/>
                      <w:color w:val="auto"/>
                      <w:szCs w:val="21"/>
                    </w:rPr>
                    <w:t>]</w:t>
                  </w:r>
                </w:p>
              </w:tc>
              <w:tc>
                <w:tcPr>
                  <w:tcW w:w="2051" w:type="dxa"/>
                </w:tcPr>
                <w:p>
                  <w:pPr>
                    <w:jc w:val="center"/>
                    <w:rPr>
                      <w:rFonts w:ascii="Times New Roman" w:hAnsi="Times New Roman" w:cs="Times New Roman"/>
                      <w:bCs/>
                      <w:color w:val="auto"/>
                      <w:szCs w:val="21"/>
                    </w:rPr>
                  </w:pPr>
                  <w:r>
                    <w:rPr>
                      <w:rFonts w:ascii="Times New Roman" w:hAnsi="Times New Roman" w:cs="Times New Roman"/>
                      <w:bCs/>
                      <w:color w:val="auto"/>
                      <w:szCs w:val="21"/>
                    </w:rPr>
                    <w:t>夜间[dBA</w:t>
                  </w:r>
                  <w:r>
                    <w:rPr>
                      <w:rFonts w:hint="eastAsia" w:cs="Times New Roman"/>
                      <w:bCs/>
                      <w:color w:val="auto"/>
                      <w:szCs w:val="21"/>
                      <w:lang w:eastAsia="zh-CN"/>
                    </w:rPr>
                    <w:t>）</w:t>
                  </w:r>
                  <w:r>
                    <w:rPr>
                      <w:rFonts w:ascii="Times New Roman" w:hAnsi="Times New Roman" w:cs="Times New Roman"/>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7" w:type="dxa"/>
                  <w:tcBorders>
                    <w:top w:val="single" w:color="auto" w:sz="4" w:space="0"/>
                    <w:right w:val="single" w:color="auto" w:sz="4" w:space="0"/>
                  </w:tcBorders>
                </w:tcPr>
                <w:p>
                  <w:pPr>
                    <w:jc w:val="center"/>
                    <w:rPr>
                      <w:rFonts w:ascii="Times New Roman" w:hAnsi="Times New Roman" w:cs="Times New Roman"/>
                      <w:color w:val="auto"/>
                      <w:szCs w:val="21"/>
                    </w:rPr>
                  </w:pPr>
                  <w:r>
                    <w:rPr>
                      <w:rFonts w:ascii="Times New Roman" w:hAnsi="Times New Roman" w:cs="Times New Roman"/>
                      <w:color w:val="auto"/>
                      <w:szCs w:val="21"/>
                    </w:rPr>
                    <w:t>GB</w:t>
                  </w:r>
                  <w:r>
                    <w:rPr>
                      <w:rFonts w:ascii="Times New Roman" w:hAnsi="Times New Roman" w:cs="Times New Roman"/>
                      <w:color w:val="auto"/>
                    </w:rPr>
                    <w:t>12348</w:t>
                  </w:r>
                  <w:r>
                    <w:rPr>
                      <w:rFonts w:ascii="Times New Roman" w:hAnsi="Times New Roman" w:cs="Times New Roman"/>
                      <w:color w:val="auto"/>
                      <w:szCs w:val="21"/>
                    </w:rPr>
                    <w:t>-2008</w:t>
                  </w:r>
                </w:p>
              </w:tc>
              <w:tc>
                <w:tcPr>
                  <w:tcW w:w="2502" w:type="dxa"/>
                  <w:tcBorders>
                    <w:top w:val="single" w:color="auto" w:sz="4" w:space="0"/>
                    <w:left w:val="single" w:color="auto" w:sz="4" w:space="0"/>
                    <w:right w:val="single" w:color="auto" w:sz="4" w:space="0"/>
                  </w:tcBorders>
                </w:tcPr>
                <w:p>
                  <w:pPr>
                    <w:jc w:val="center"/>
                    <w:rPr>
                      <w:rFonts w:ascii="Times New Roman" w:hAnsi="Times New Roman" w:cs="Times New Roman"/>
                      <w:color w:val="auto"/>
                      <w:szCs w:val="21"/>
                    </w:rPr>
                  </w:pPr>
                  <w:r>
                    <w:rPr>
                      <w:rFonts w:ascii="Times New Roman" w:hAnsi="Times New Roman" w:cs="Times New Roman"/>
                      <w:color w:val="auto"/>
                      <w:szCs w:val="21"/>
                    </w:rPr>
                    <w:t>65</w:t>
                  </w:r>
                </w:p>
              </w:tc>
              <w:tc>
                <w:tcPr>
                  <w:tcW w:w="2051" w:type="dxa"/>
                  <w:tcBorders>
                    <w:top w:val="single" w:color="auto" w:sz="4" w:space="0"/>
                    <w:left w:val="single" w:color="auto" w:sz="4" w:space="0"/>
                  </w:tcBorders>
                </w:tcPr>
                <w:p>
                  <w:pPr>
                    <w:jc w:val="center"/>
                    <w:rPr>
                      <w:rFonts w:ascii="Times New Roman" w:hAnsi="Times New Roman" w:cs="Times New Roman"/>
                      <w:color w:val="auto"/>
                      <w:szCs w:val="21"/>
                    </w:rPr>
                  </w:pPr>
                  <w:r>
                    <w:rPr>
                      <w:rFonts w:ascii="Times New Roman" w:hAnsi="Times New Roman" w:cs="Times New Roman"/>
                      <w:color w:val="auto"/>
                      <w:szCs w:val="21"/>
                    </w:rPr>
                    <w:t>55</w:t>
                  </w:r>
                </w:p>
              </w:tc>
            </w:tr>
          </w:tbl>
          <w:p>
            <w:pPr>
              <w:pStyle w:val="55"/>
              <w:adjustRightInd/>
              <w:spacing w:line="360" w:lineRule="auto"/>
              <w:rPr>
                <w:rFonts w:ascii="Times New Roman" w:hAnsi="Times New Roman" w:cs="Times New Roman"/>
                <w:b/>
                <w:color w:val="auto"/>
                <w:szCs w:val="24"/>
              </w:rPr>
            </w:pPr>
            <w:r>
              <w:rPr>
                <w:rFonts w:ascii="Times New Roman" w:hAnsi="Times New Roman" w:cs="Times New Roman"/>
                <w:b/>
                <w:color w:val="auto"/>
                <w:szCs w:val="24"/>
              </w:rPr>
              <w:t>四、固体废物</w:t>
            </w:r>
          </w:p>
          <w:p>
            <w:pPr>
              <w:adjustRightInd w:val="0"/>
              <w:snapToGrid w:val="0"/>
              <w:spacing w:line="360" w:lineRule="auto"/>
              <w:ind w:firstLine="480" w:firstLineChars="200"/>
              <w:rPr>
                <w:rFonts w:ascii="Times New Roman" w:hAnsi="Times New Roman" w:cs="Times New Roman"/>
                <w:color w:val="auto"/>
                <w:kern w:val="0"/>
                <w:szCs w:val="21"/>
              </w:rPr>
            </w:pPr>
            <w:r>
              <w:rPr>
                <w:rFonts w:ascii="Times New Roman" w:hAnsi="Times New Roman" w:cs="Times New Roman"/>
                <w:color w:val="auto"/>
                <w:sz w:val="24"/>
                <w:u w:val="none"/>
              </w:rPr>
              <w:t>一般固废应该有一个贮存场所，本项目采用库房、包装工具贮存一般固废，贮存过程应满足相应防渗漏、防雨淋、防扬尘等环境保护要求，危险废物管理执行《国家危险废物名录》（2021版）、</w:t>
            </w:r>
            <w:r>
              <w:rPr>
                <w:rFonts w:ascii="Times New Roman" w:hAnsi="Times New Roman" w:cs="Times New Roman"/>
                <w:color w:val="auto"/>
                <w:sz w:val="24"/>
                <w:u w:val="none"/>
                <w:lang w:eastAsia="zh-CN"/>
              </w:rPr>
              <w:t>《危险废物贮存污染控制标准》（GB18597-2023）</w:t>
            </w:r>
            <w:r>
              <w:rPr>
                <w:rFonts w:ascii="Times New Roman" w:hAnsi="Times New Roman" w:cs="Times New Roman"/>
                <w:color w:val="auto"/>
                <w:sz w:val="24"/>
                <w:u w:val="none"/>
              </w:rPr>
              <w:t>的有关规定</w:t>
            </w:r>
            <w:r>
              <w:rPr>
                <w:rFonts w:ascii="Times New Roman" w:hAnsi="Times New Roman"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4" w:hRule="atLeast"/>
          <w:jc w:val="center"/>
        </w:trPr>
        <w:tc>
          <w:tcPr>
            <w:tcW w:w="450"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总量</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控制</w:t>
            </w:r>
          </w:p>
          <w:p>
            <w:pPr>
              <w:adjustRightInd w:val="0"/>
              <w:snapToGrid w:val="0"/>
              <w:jc w:val="center"/>
              <w:rPr>
                <w:rFonts w:ascii="Times New Roman" w:hAnsi="Times New Roman" w:cs="Times New Roman"/>
                <w:color w:val="auto"/>
                <w:kern w:val="0"/>
                <w:szCs w:val="21"/>
              </w:rPr>
            </w:pPr>
            <w:r>
              <w:rPr>
                <w:rFonts w:ascii="Times New Roman" w:hAnsi="Times New Roman" w:cs="Times New Roman"/>
                <w:color w:val="auto"/>
                <w:kern w:val="0"/>
                <w:szCs w:val="21"/>
              </w:rPr>
              <w:t>指标</w:t>
            </w:r>
          </w:p>
        </w:tc>
        <w:tc>
          <w:tcPr>
            <w:tcW w:w="8611" w:type="dxa"/>
            <w:tcBorders>
              <w:top w:val="single" w:color="auto" w:sz="4" w:space="0"/>
              <w:left w:val="single" w:color="auto" w:sz="4" w:space="0"/>
              <w:right w:val="single" w:color="auto" w:sz="8" w:space="0"/>
            </w:tcBorders>
            <w:vAlign w:val="center"/>
          </w:tcPr>
          <w:p>
            <w:pPr>
              <w:spacing w:line="360" w:lineRule="auto"/>
              <w:ind w:firstLine="482"/>
              <w:rPr>
                <w:rFonts w:ascii="Times New Roman" w:hAnsi="Times New Roman" w:cs="Times New Roman"/>
                <w:color w:val="auto"/>
                <w:sz w:val="24"/>
              </w:rPr>
            </w:pPr>
            <w:r>
              <w:rPr>
                <w:rFonts w:ascii="Times New Roman" w:hAnsi="Times New Roman" w:cs="Times New Roman"/>
                <w:color w:val="auto"/>
                <w:sz w:val="24"/>
              </w:rPr>
              <w:t>根据国家对总量控制的有关要求，并结合项目污染物排放及周围环境状况，本项目需进行总量控制的污染物为COD</w:t>
            </w:r>
            <w:r>
              <w:rPr>
                <w:rFonts w:ascii="Times New Roman" w:hAnsi="Times New Roman" w:cs="Times New Roman"/>
                <w:color w:val="auto"/>
                <w:sz w:val="24"/>
                <w:vertAlign w:val="subscript"/>
              </w:rPr>
              <w:t>Cr</w:t>
            </w:r>
            <w:r>
              <w:rPr>
                <w:rFonts w:ascii="Times New Roman" w:hAnsi="Times New Roman" w:cs="Times New Roman"/>
                <w:color w:val="auto"/>
                <w:sz w:val="24"/>
              </w:rPr>
              <w:t>、NH</w:t>
            </w:r>
            <w:r>
              <w:rPr>
                <w:rFonts w:ascii="Times New Roman" w:hAnsi="Times New Roman" w:cs="Times New Roman"/>
                <w:color w:val="auto"/>
                <w:sz w:val="24"/>
                <w:vertAlign w:val="subscript"/>
              </w:rPr>
              <w:t>3</w:t>
            </w:r>
            <w:r>
              <w:rPr>
                <w:rFonts w:ascii="Times New Roman" w:hAnsi="Times New Roman" w:cs="Times New Roman"/>
                <w:color w:val="auto"/>
                <w:sz w:val="24"/>
              </w:rPr>
              <w:t>-N、总磷。</w:t>
            </w:r>
          </w:p>
          <w:p>
            <w:pPr>
              <w:spacing w:line="360" w:lineRule="auto"/>
              <w:ind w:firstLine="482"/>
              <w:rPr>
                <w:rFonts w:ascii="Times New Roman" w:hAnsi="Times New Roman" w:cs="Times New Roman"/>
                <w:b/>
                <w:color w:val="auto"/>
                <w:sz w:val="24"/>
              </w:rPr>
            </w:pPr>
            <w:r>
              <w:rPr>
                <w:rFonts w:ascii="Times New Roman" w:hAnsi="Times New Roman" w:cs="Times New Roman"/>
                <w:b/>
                <w:bCs/>
                <w:color w:val="auto"/>
                <w:sz w:val="24"/>
              </w:rPr>
              <w:t>废水：</w:t>
            </w:r>
            <w:r>
              <w:rPr>
                <w:rFonts w:ascii="Times New Roman" w:hAnsi="Times New Roman" w:cs="Times New Roman"/>
                <w:color w:val="auto"/>
                <w:sz w:val="24"/>
              </w:rPr>
              <w:t>项目产生的废水经预处理</w:t>
            </w:r>
            <w:r>
              <w:rPr>
                <w:rFonts w:hint="eastAsia" w:cs="Times New Roman"/>
                <w:color w:val="auto"/>
                <w:sz w:val="24"/>
                <w:lang w:val="en-US" w:eastAsia="zh-CN"/>
              </w:rPr>
              <w:t>池</w:t>
            </w:r>
            <w:r>
              <w:rPr>
                <w:rFonts w:ascii="Times New Roman" w:hAnsi="Times New Roman" w:cs="Times New Roman"/>
                <w:color w:val="auto"/>
                <w:sz w:val="24"/>
              </w:rPr>
              <w:t>处理后达到三级标准后排入园区污水管网，</w:t>
            </w:r>
            <w:r>
              <w:rPr>
                <w:rFonts w:ascii="Times New Roman" w:hAnsi="Times New Roman" w:cs="Times New Roman"/>
                <w:color w:val="auto"/>
                <w:sz w:val="24"/>
                <w:u w:val="none"/>
              </w:rPr>
              <w:t>最终进入</w:t>
            </w:r>
            <w:r>
              <w:rPr>
                <w:rFonts w:hint="eastAsia" w:cs="Times New Roman"/>
                <w:color w:val="auto"/>
                <w:sz w:val="24"/>
                <w:u w:val="none"/>
                <w:lang w:eastAsia="zh-CN"/>
              </w:rPr>
              <w:t>大英经济开发区污水处理厂</w:t>
            </w:r>
            <w:r>
              <w:rPr>
                <w:rFonts w:ascii="Times New Roman" w:hAnsi="Times New Roman" w:cs="Times New Roman"/>
                <w:color w:val="auto"/>
                <w:spacing w:val="-2"/>
                <w:sz w:val="24"/>
                <w:szCs w:val="22"/>
                <w:u w:val="none"/>
              </w:rPr>
              <w:t>处理</w:t>
            </w:r>
            <w:r>
              <w:rPr>
                <w:rFonts w:ascii="Times New Roman" w:hAnsi="Times New Roman" w:cs="Times New Roman"/>
                <w:color w:val="auto"/>
                <w:sz w:val="24"/>
                <w:szCs w:val="24"/>
                <w:u w:val="none"/>
              </w:rPr>
              <w:t>达《地表水环境质量标准》（GB3838-2002）中Ⅲ类水体标准（</w:t>
            </w:r>
            <w:r>
              <w:rPr>
                <w:rFonts w:ascii="Times New Roman" w:hAnsi="Times New Roman" w:cs="Times New Roman"/>
                <w:color w:val="auto"/>
                <w:sz w:val="24"/>
                <w:szCs w:val="24"/>
              </w:rPr>
              <w:t>总氮按照《四川省岷江、沱江流域水污染物排放标准》（DB51/2311-2016）“工业园区集中式污水处理厂排放”标准控制）</w:t>
            </w:r>
            <w:r>
              <w:rPr>
                <w:rFonts w:ascii="Times New Roman" w:hAnsi="Times New Roman" w:cs="Times New Roman"/>
                <w:color w:val="auto"/>
                <w:spacing w:val="-2"/>
                <w:sz w:val="24"/>
                <w:szCs w:val="22"/>
              </w:rPr>
              <w:t>后</w:t>
            </w:r>
            <w:r>
              <w:rPr>
                <w:rFonts w:ascii="Times New Roman" w:hAnsi="Times New Roman" w:cs="Times New Roman"/>
                <w:color w:val="auto"/>
                <w:sz w:val="24"/>
              </w:rPr>
              <w:t>排入</w:t>
            </w:r>
            <w:r>
              <w:rPr>
                <w:rFonts w:ascii="Times New Roman" w:hAnsi="Times New Roman" w:cs="Times New Roman"/>
                <w:color w:val="auto"/>
                <w:sz w:val="24"/>
                <w:lang w:eastAsia="zh-CN"/>
              </w:rPr>
              <w:t>郪江</w:t>
            </w:r>
            <w:r>
              <w:rPr>
                <w:rFonts w:ascii="Times New Roman" w:hAnsi="Times New Roman" w:cs="Times New Roman"/>
                <w:color w:val="auto"/>
                <w:sz w:val="24"/>
              </w:rPr>
              <w:t>。</w:t>
            </w:r>
          </w:p>
          <w:p>
            <w:pPr>
              <w:spacing w:line="360" w:lineRule="auto"/>
              <w:ind w:firstLine="482"/>
              <w:rPr>
                <w:rFonts w:ascii="Times New Roman" w:hAnsi="Times New Roman" w:cs="Times New Roman"/>
                <w:bCs/>
                <w:color w:val="auto"/>
                <w:sz w:val="24"/>
              </w:rPr>
            </w:pPr>
            <w:r>
              <w:rPr>
                <w:rFonts w:ascii="Times New Roman" w:hAnsi="Times New Roman" w:cs="Times New Roman"/>
                <w:bCs/>
                <w:color w:val="auto"/>
                <w:sz w:val="24"/>
              </w:rPr>
              <w:t>项目废水排放量为</w:t>
            </w:r>
            <w:r>
              <w:rPr>
                <w:rFonts w:hint="eastAsia" w:cs="Times New Roman"/>
                <w:color w:val="auto"/>
                <w:sz w:val="24"/>
                <w:szCs w:val="22"/>
                <w:lang w:eastAsia="zh-CN"/>
              </w:rPr>
              <w:t>9204.8</w:t>
            </w:r>
            <w:r>
              <w:rPr>
                <w:rFonts w:ascii="Times New Roman" w:hAnsi="Times New Roman" w:cs="Times New Roman"/>
                <w:bCs/>
                <w:color w:val="auto"/>
                <w:sz w:val="24"/>
              </w:rPr>
              <w:t>t/a，则：</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（1）项目污水排入污水管网的总量指标：</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CODcr：</w:t>
            </w:r>
            <w:r>
              <w:rPr>
                <w:rFonts w:hint="eastAsia" w:cs="Times New Roman"/>
                <w:bCs/>
                <w:color w:val="auto"/>
                <w:sz w:val="24"/>
                <w:lang w:eastAsia="zh-CN"/>
              </w:rPr>
              <w:t>9204.8</w:t>
            </w:r>
            <w:r>
              <w:rPr>
                <w:rFonts w:ascii="Times New Roman" w:hAnsi="Times New Roman" w:cs="Times New Roman"/>
                <w:bCs/>
                <w:color w:val="auto"/>
                <w:sz w:val="24"/>
              </w:rPr>
              <w:t>t/a×500mg/L×10</w:t>
            </w:r>
            <w:r>
              <w:rPr>
                <w:rFonts w:ascii="Times New Roman" w:hAnsi="Times New Roman" w:cs="Times New Roman"/>
                <w:bCs/>
                <w:color w:val="auto"/>
                <w:sz w:val="24"/>
                <w:vertAlign w:val="superscript"/>
              </w:rPr>
              <w:t>-6</w:t>
            </w:r>
            <w:r>
              <w:rPr>
                <w:rFonts w:ascii="Times New Roman" w:hAnsi="Times New Roman" w:cs="Times New Roman"/>
                <w:bCs/>
                <w:color w:val="auto"/>
                <w:sz w:val="24"/>
              </w:rPr>
              <w:t>=</w:t>
            </w:r>
            <w:r>
              <w:rPr>
                <w:rFonts w:hint="eastAsia" w:cs="Times New Roman"/>
                <w:bCs/>
                <w:color w:val="auto"/>
                <w:sz w:val="24"/>
                <w:lang w:val="en-US" w:eastAsia="zh-CN"/>
              </w:rPr>
              <w:t>4.602</w:t>
            </w:r>
            <w:r>
              <w:rPr>
                <w:rFonts w:ascii="Times New Roman" w:hAnsi="Times New Roman" w:cs="Times New Roman"/>
                <w:bCs/>
                <w:color w:val="auto"/>
                <w:sz w:val="24"/>
              </w:rPr>
              <w:t>t；</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NH</w:t>
            </w:r>
            <w:r>
              <w:rPr>
                <w:rFonts w:ascii="Times New Roman" w:hAnsi="Times New Roman" w:cs="Times New Roman"/>
                <w:bCs/>
                <w:color w:val="auto"/>
                <w:sz w:val="24"/>
                <w:vertAlign w:val="subscript"/>
              </w:rPr>
              <w:t>3</w:t>
            </w:r>
            <w:r>
              <w:rPr>
                <w:rFonts w:ascii="Times New Roman" w:hAnsi="Times New Roman" w:cs="Times New Roman"/>
                <w:bCs/>
                <w:color w:val="auto"/>
                <w:sz w:val="24"/>
              </w:rPr>
              <w:t>-N：</w:t>
            </w:r>
            <w:r>
              <w:rPr>
                <w:rFonts w:hint="eastAsia" w:cs="Times New Roman"/>
                <w:bCs/>
                <w:color w:val="auto"/>
                <w:sz w:val="24"/>
                <w:lang w:eastAsia="zh-CN"/>
              </w:rPr>
              <w:t>9204.8</w:t>
            </w:r>
            <w:r>
              <w:rPr>
                <w:rFonts w:ascii="Times New Roman" w:hAnsi="Times New Roman" w:cs="Times New Roman"/>
                <w:bCs/>
                <w:color w:val="auto"/>
                <w:sz w:val="24"/>
              </w:rPr>
              <w:t>t/a×45mg/L×10</w:t>
            </w:r>
            <w:r>
              <w:rPr>
                <w:rFonts w:ascii="Times New Roman" w:hAnsi="Times New Roman" w:cs="Times New Roman"/>
                <w:bCs/>
                <w:color w:val="auto"/>
                <w:sz w:val="24"/>
                <w:vertAlign w:val="superscript"/>
              </w:rPr>
              <w:t>-6</w:t>
            </w:r>
            <w:r>
              <w:rPr>
                <w:rFonts w:ascii="Times New Roman" w:hAnsi="Times New Roman" w:cs="Times New Roman"/>
                <w:bCs/>
                <w:color w:val="auto"/>
                <w:sz w:val="24"/>
              </w:rPr>
              <w:t>=</w:t>
            </w:r>
            <w:r>
              <w:rPr>
                <w:rFonts w:hint="eastAsia" w:cs="Times New Roman"/>
                <w:bCs/>
                <w:color w:val="auto"/>
                <w:sz w:val="24"/>
                <w:lang w:val="en-US" w:eastAsia="zh-CN"/>
              </w:rPr>
              <w:t>0.414</w:t>
            </w:r>
            <w:r>
              <w:rPr>
                <w:rFonts w:ascii="Times New Roman" w:hAnsi="Times New Roman" w:cs="Times New Roman"/>
                <w:bCs/>
                <w:color w:val="auto"/>
                <w:sz w:val="24"/>
              </w:rPr>
              <w:t>t；</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TP：</w:t>
            </w:r>
            <w:r>
              <w:rPr>
                <w:rFonts w:hint="eastAsia" w:cs="Times New Roman"/>
                <w:bCs/>
                <w:color w:val="auto"/>
                <w:sz w:val="24"/>
                <w:lang w:eastAsia="zh-CN"/>
              </w:rPr>
              <w:t>9204.8</w:t>
            </w:r>
            <w:r>
              <w:rPr>
                <w:rFonts w:ascii="Times New Roman" w:hAnsi="Times New Roman" w:cs="Times New Roman"/>
                <w:bCs/>
                <w:color w:val="auto"/>
                <w:sz w:val="24"/>
              </w:rPr>
              <w:t>t/a×8mg/L×10</w:t>
            </w:r>
            <w:r>
              <w:rPr>
                <w:rFonts w:ascii="Times New Roman" w:hAnsi="Times New Roman" w:cs="Times New Roman"/>
                <w:bCs/>
                <w:color w:val="auto"/>
                <w:sz w:val="24"/>
                <w:vertAlign w:val="superscript"/>
              </w:rPr>
              <w:t>-6</w:t>
            </w:r>
            <w:r>
              <w:rPr>
                <w:rFonts w:ascii="Times New Roman" w:hAnsi="Times New Roman" w:cs="Times New Roman"/>
                <w:bCs/>
                <w:color w:val="auto"/>
                <w:sz w:val="24"/>
              </w:rPr>
              <w:t>=0.0</w:t>
            </w:r>
            <w:r>
              <w:rPr>
                <w:rFonts w:hint="eastAsia" w:cs="Times New Roman"/>
                <w:bCs/>
                <w:color w:val="auto"/>
                <w:sz w:val="24"/>
                <w:lang w:val="en-US" w:eastAsia="zh-CN"/>
              </w:rPr>
              <w:t>74</w:t>
            </w:r>
            <w:r>
              <w:rPr>
                <w:rFonts w:ascii="Times New Roman" w:hAnsi="Times New Roman" w:cs="Times New Roman"/>
                <w:bCs/>
                <w:color w:val="auto"/>
                <w:sz w:val="24"/>
              </w:rPr>
              <w:t>t。</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（2）最终排入</w:t>
            </w:r>
            <w:r>
              <w:rPr>
                <w:rFonts w:ascii="Times New Roman" w:hAnsi="Times New Roman" w:cs="Times New Roman"/>
                <w:color w:val="auto"/>
                <w:sz w:val="24"/>
                <w:lang w:eastAsia="zh-CN"/>
              </w:rPr>
              <w:t>郪江</w:t>
            </w:r>
            <w:r>
              <w:rPr>
                <w:rFonts w:ascii="Times New Roman" w:hAnsi="Times New Roman" w:cs="Times New Roman"/>
                <w:bCs/>
                <w:color w:val="auto"/>
                <w:sz w:val="24"/>
              </w:rPr>
              <w:t>的总量指标：</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CODcr：</w:t>
            </w:r>
            <w:r>
              <w:rPr>
                <w:rFonts w:hint="eastAsia" w:cs="Times New Roman"/>
                <w:bCs/>
                <w:color w:val="auto"/>
                <w:sz w:val="24"/>
                <w:lang w:eastAsia="zh-CN"/>
              </w:rPr>
              <w:t>9204.8</w:t>
            </w:r>
            <w:r>
              <w:rPr>
                <w:rFonts w:ascii="Times New Roman" w:hAnsi="Times New Roman" w:cs="Times New Roman"/>
                <w:bCs/>
                <w:color w:val="auto"/>
                <w:sz w:val="24"/>
              </w:rPr>
              <w:t>t/a×</w:t>
            </w:r>
            <w:r>
              <w:rPr>
                <w:rFonts w:hint="eastAsia" w:cs="Times New Roman"/>
                <w:bCs/>
                <w:color w:val="auto"/>
                <w:sz w:val="24"/>
                <w:lang w:val="en-US" w:eastAsia="zh-CN"/>
              </w:rPr>
              <w:t>2</w:t>
            </w:r>
            <w:r>
              <w:rPr>
                <w:rFonts w:ascii="Times New Roman" w:hAnsi="Times New Roman" w:cs="Times New Roman"/>
                <w:bCs/>
                <w:color w:val="auto"/>
                <w:sz w:val="24"/>
              </w:rPr>
              <w:t>0mg/L×10</w:t>
            </w:r>
            <w:r>
              <w:rPr>
                <w:rFonts w:ascii="Times New Roman" w:hAnsi="Times New Roman" w:cs="Times New Roman"/>
                <w:bCs/>
                <w:color w:val="auto"/>
                <w:sz w:val="24"/>
                <w:vertAlign w:val="superscript"/>
              </w:rPr>
              <w:t>-6</w:t>
            </w:r>
            <w:r>
              <w:rPr>
                <w:rFonts w:ascii="Times New Roman" w:hAnsi="Times New Roman" w:cs="Times New Roman"/>
                <w:bCs/>
                <w:color w:val="auto"/>
                <w:sz w:val="24"/>
              </w:rPr>
              <w:t>=0.</w:t>
            </w:r>
            <w:r>
              <w:rPr>
                <w:rFonts w:hint="eastAsia" w:cs="Times New Roman"/>
                <w:bCs/>
                <w:color w:val="auto"/>
                <w:sz w:val="24"/>
                <w:lang w:val="en-US" w:eastAsia="zh-CN"/>
              </w:rPr>
              <w:t>184</w:t>
            </w:r>
            <w:r>
              <w:rPr>
                <w:rFonts w:ascii="Times New Roman" w:hAnsi="Times New Roman" w:cs="Times New Roman"/>
                <w:bCs/>
                <w:color w:val="auto"/>
                <w:sz w:val="24"/>
              </w:rPr>
              <w:t>t；</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NH</w:t>
            </w:r>
            <w:r>
              <w:rPr>
                <w:rFonts w:ascii="Times New Roman" w:hAnsi="Times New Roman" w:cs="Times New Roman"/>
                <w:bCs/>
                <w:color w:val="auto"/>
                <w:sz w:val="24"/>
                <w:vertAlign w:val="subscript"/>
              </w:rPr>
              <w:t>3</w:t>
            </w:r>
            <w:r>
              <w:rPr>
                <w:rFonts w:ascii="Times New Roman" w:hAnsi="Times New Roman" w:cs="Times New Roman"/>
                <w:bCs/>
                <w:color w:val="auto"/>
                <w:sz w:val="24"/>
              </w:rPr>
              <w:t>-N：</w:t>
            </w:r>
            <w:r>
              <w:rPr>
                <w:rFonts w:hint="eastAsia" w:cs="Times New Roman"/>
                <w:bCs/>
                <w:color w:val="auto"/>
                <w:sz w:val="24"/>
                <w:lang w:eastAsia="zh-CN"/>
              </w:rPr>
              <w:t>9204.8</w:t>
            </w:r>
            <w:r>
              <w:rPr>
                <w:rFonts w:ascii="Times New Roman" w:hAnsi="Times New Roman" w:cs="Times New Roman"/>
                <w:bCs/>
                <w:color w:val="auto"/>
                <w:sz w:val="24"/>
              </w:rPr>
              <w:t>t/a×</w:t>
            </w:r>
            <w:r>
              <w:rPr>
                <w:rFonts w:hint="eastAsia" w:cs="Times New Roman"/>
                <w:bCs/>
                <w:color w:val="auto"/>
                <w:sz w:val="24"/>
                <w:lang w:val="en-US" w:eastAsia="zh-CN"/>
              </w:rPr>
              <w:t>1.0</w:t>
            </w:r>
            <w:r>
              <w:rPr>
                <w:rFonts w:ascii="Times New Roman" w:hAnsi="Times New Roman" w:cs="Times New Roman"/>
                <w:bCs/>
                <w:color w:val="auto"/>
                <w:sz w:val="24"/>
              </w:rPr>
              <w:t>mg/L×10</w:t>
            </w:r>
            <w:r>
              <w:rPr>
                <w:rFonts w:ascii="Times New Roman" w:hAnsi="Times New Roman" w:cs="Times New Roman"/>
                <w:bCs/>
                <w:color w:val="auto"/>
                <w:sz w:val="24"/>
                <w:vertAlign w:val="superscript"/>
              </w:rPr>
              <w:t>-6</w:t>
            </w:r>
            <w:r>
              <w:rPr>
                <w:rFonts w:ascii="Times New Roman" w:hAnsi="Times New Roman" w:cs="Times New Roman"/>
                <w:bCs/>
                <w:color w:val="auto"/>
                <w:sz w:val="24"/>
              </w:rPr>
              <w:t>=0.</w:t>
            </w:r>
            <w:r>
              <w:rPr>
                <w:rFonts w:hint="eastAsia" w:cs="Times New Roman"/>
                <w:bCs/>
                <w:color w:val="auto"/>
                <w:sz w:val="24"/>
                <w:lang w:val="en-US" w:eastAsia="zh-CN"/>
              </w:rPr>
              <w:t>0</w:t>
            </w:r>
            <w:r>
              <w:rPr>
                <w:rFonts w:ascii="Times New Roman" w:hAnsi="Times New Roman" w:cs="Times New Roman"/>
                <w:bCs/>
                <w:color w:val="auto"/>
                <w:sz w:val="24"/>
              </w:rPr>
              <w:t>0</w:t>
            </w:r>
            <w:r>
              <w:rPr>
                <w:rFonts w:hint="eastAsia" w:cs="Times New Roman"/>
                <w:bCs/>
                <w:color w:val="auto"/>
                <w:sz w:val="24"/>
                <w:lang w:val="en-US" w:eastAsia="zh-CN"/>
              </w:rPr>
              <w:t>92</w:t>
            </w:r>
            <w:r>
              <w:rPr>
                <w:rFonts w:ascii="Times New Roman" w:hAnsi="Times New Roman" w:cs="Times New Roman"/>
                <w:bCs/>
                <w:color w:val="auto"/>
                <w:sz w:val="24"/>
              </w:rPr>
              <w:t>t；</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TP：</w:t>
            </w:r>
            <w:r>
              <w:rPr>
                <w:rFonts w:hint="eastAsia" w:cs="Times New Roman"/>
                <w:bCs/>
                <w:color w:val="auto"/>
                <w:sz w:val="24"/>
                <w:lang w:eastAsia="zh-CN"/>
              </w:rPr>
              <w:t>9204.8</w:t>
            </w:r>
            <w:r>
              <w:rPr>
                <w:rFonts w:ascii="Times New Roman" w:hAnsi="Times New Roman" w:cs="Times New Roman"/>
                <w:bCs/>
                <w:color w:val="auto"/>
                <w:sz w:val="24"/>
              </w:rPr>
              <w:t>t/a×0.5mg/L×10</w:t>
            </w:r>
            <w:r>
              <w:rPr>
                <w:rFonts w:ascii="Times New Roman" w:hAnsi="Times New Roman" w:cs="Times New Roman"/>
                <w:bCs/>
                <w:color w:val="auto"/>
                <w:sz w:val="24"/>
                <w:vertAlign w:val="superscript"/>
              </w:rPr>
              <w:t>-6</w:t>
            </w:r>
            <w:r>
              <w:rPr>
                <w:rFonts w:ascii="Times New Roman" w:hAnsi="Times New Roman" w:cs="Times New Roman"/>
                <w:bCs/>
                <w:color w:val="auto"/>
                <w:sz w:val="24"/>
              </w:rPr>
              <w:t>=0.00</w:t>
            </w:r>
            <w:r>
              <w:rPr>
                <w:rFonts w:hint="eastAsia" w:cs="Times New Roman"/>
                <w:bCs/>
                <w:color w:val="auto"/>
                <w:sz w:val="24"/>
                <w:lang w:val="en-US" w:eastAsia="zh-CN"/>
              </w:rPr>
              <w:t>5</w:t>
            </w:r>
            <w:r>
              <w:rPr>
                <w:rFonts w:ascii="Times New Roman" w:hAnsi="Times New Roman" w:cs="Times New Roman"/>
                <w:bCs/>
                <w:color w:val="auto"/>
                <w:sz w:val="24"/>
              </w:rPr>
              <w:t>t。</w:t>
            </w:r>
          </w:p>
          <w:p>
            <w:pPr>
              <w:pStyle w:val="2"/>
              <w:adjustRightInd w:val="0"/>
              <w:snapToGrid w:val="0"/>
              <w:spacing w:before="0" w:after="0" w:line="360" w:lineRule="auto"/>
              <w:ind w:right="0" w:firstLine="482" w:firstLineChars="200"/>
              <w:rPr>
                <w:rFonts w:ascii="Times New Roman" w:hAnsi="Times New Roman" w:eastAsia="宋体" w:cs="Times New Roman"/>
                <w:color w:val="auto"/>
                <w:sz w:val="24"/>
                <w:lang w:val="en-US" w:eastAsia="zh-CN"/>
              </w:rPr>
            </w:pPr>
            <w:r>
              <w:rPr>
                <w:rFonts w:ascii="Times New Roman" w:hAnsi="Times New Roman" w:cs="Times New Roman"/>
                <w:b/>
                <w:color w:val="auto"/>
                <w:sz w:val="24"/>
              </w:rPr>
              <w:t>废气：</w:t>
            </w:r>
            <w:r>
              <w:rPr>
                <w:rFonts w:ascii="Times New Roman" w:hAnsi="Times New Roman" w:cs="Times New Roman"/>
                <w:color w:val="auto"/>
                <w:sz w:val="24"/>
              </w:rPr>
              <w:t>本项目废气执行</w:t>
            </w:r>
            <w:r>
              <w:rPr>
                <w:rFonts w:ascii="Times New Roman" w:hAnsi="Times New Roman" w:cs="Times New Roman"/>
                <w:bCs/>
                <w:color w:val="auto"/>
                <w:sz w:val="24"/>
              </w:rPr>
              <w:t>《锅炉大气污染物排放标准》GB13271-2014</w:t>
            </w:r>
            <w:r>
              <w:rPr>
                <w:rFonts w:ascii="Times New Roman" w:hAnsi="Times New Roman" w:cs="Times New Roman"/>
                <w:color w:val="auto"/>
                <w:sz w:val="24"/>
              </w:rPr>
              <w:t>表2中</w:t>
            </w:r>
            <w:r>
              <w:rPr>
                <w:rFonts w:hint="eastAsia" w:ascii="Times New Roman" w:hAnsi="Times New Roman" w:cs="Times New Roman"/>
                <w:color w:val="auto"/>
                <w:sz w:val="24"/>
                <w:lang w:val="en-US" w:eastAsia="zh-CN"/>
              </w:rPr>
              <w:t>排</w:t>
            </w:r>
            <w:r>
              <w:rPr>
                <w:rFonts w:ascii="Times New Roman" w:hAnsi="Times New Roman" w:cs="Times New Roman"/>
                <w:color w:val="auto"/>
                <w:sz w:val="24"/>
              </w:rPr>
              <w:t>放浓度限值（SO</w:t>
            </w:r>
            <w:r>
              <w:rPr>
                <w:rFonts w:ascii="Times New Roman" w:hAnsi="Times New Roman" w:cs="Times New Roman"/>
                <w:color w:val="auto"/>
                <w:sz w:val="24"/>
                <w:vertAlign w:val="subscript"/>
              </w:rPr>
              <w:t>2</w:t>
            </w:r>
            <w:r>
              <w:rPr>
                <w:rFonts w:ascii="Times New Roman" w:hAnsi="Times New Roman" w:cs="Times New Roman"/>
                <w:color w:val="auto"/>
                <w:sz w:val="24"/>
              </w:rPr>
              <w:t>：</w:t>
            </w:r>
            <w:r>
              <w:rPr>
                <w:rFonts w:hint="eastAsia" w:ascii="Times New Roman" w:hAnsi="Times New Roman" w:cs="Times New Roman"/>
                <w:color w:val="auto"/>
                <w:sz w:val="24"/>
                <w:lang w:val="en-US" w:eastAsia="zh-CN"/>
              </w:rPr>
              <w:t>5</w:t>
            </w:r>
            <w:r>
              <w:rPr>
                <w:rFonts w:ascii="Times New Roman" w:hAnsi="Times New Roman" w:cs="Times New Roman"/>
                <w:color w:val="auto"/>
                <w:sz w:val="24"/>
              </w:rPr>
              <w:t>0mg/m</w:t>
            </w:r>
            <w:r>
              <w:rPr>
                <w:rFonts w:ascii="Times New Roman" w:hAnsi="Times New Roman" w:cs="Times New Roman"/>
                <w:color w:val="auto"/>
                <w:sz w:val="24"/>
                <w:vertAlign w:val="superscript"/>
              </w:rPr>
              <w:t>3</w:t>
            </w:r>
            <w:r>
              <w:rPr>
                <w:rFonts w:ascii="Times New Roman" w:hAnsi="Times New Roman" w:cs="Times New Roman"/>
                <w:color w:val="auto"/>
                <w:sz w:val="24"/>
              </w:rPr>
              <w:t>、NO</w:t>
            </w:r>
            <w:r>
              <w:rPr>
                <w:rFonts w:ascii="Times New Roman" w:hAnsi="Times New Roman" w:cs="Times New Roman"/>
                <w:color w:val="auto"/>
                <w:sz w:val="24"/>
                <w:vertAlign w:val="subscript"/>
              </w:rPr>
              <w:t>X</w:t>
            </w:r>
            <w:r>
              <w:rPr>
                <w:rFonts w:ascii="Times New Roman" w:hAnsi="Times New Roman" w:cs="Times New Roman"/>
                <w:color w:val="auto"/>
                <w:sz w:val="24"/>
              </w:rPr>
              <w:t>：</w:t>
            </w:r>
            <w:r>
              <w:rPr>
                <w:rFonts w:hint="eastAsia" w:cs="Times New Roman"/>
                <w:color w:val="auto"/>
                <w:sz w:val="24"/>
                <w:lang w:val="en-US" w:eastAsia="zh-CN"/>
              </w:rPr>
              <w:t>150</w:t>
            </w:r>
            <w:r>
              <w:rPr>
                <w:rFonts w:ascii="Times New Roman" w:hAnsi="Times New Roman" w:cs="Times New Roman"/>
                <w:color w:val="auto"/>
                <w:sz w:val="24"/>
              </w:rPr>
              <w:t>mg/m</w:t>
            </w:r>
            <w:r>
              <w:rPr>
                <w:rFonts w:ascii="Times New Roman" w:hAnsi="Times New Roman" w:cs="Times New Roman"/>
                <w:color w:val="auto"/>
                <w:sz w:val="24"/>
                <w:vertAlign w:val="superscript"/>
              </w:rPr>
              <w:t>3</w:t>
            </w:r>
            <w:r>
              <w:rPr>
                <w:rFonts w:ascii="Times New Roman" w:hAnsi="Times New Roman" w:cs="Times New Roman"/>
                <w:color w:val="auto"/>
                <w:sz w:val="24"/>
              </w:rPr>
              <w:t>、颗粒物：</w:t>
            </w:r>
            <w:r>
              <w:rPr>
                <w:rFonts w:hint="eastAsia" w:ascii="Times New Roman" w:hAnsi="Times New Roman" w:cs="Times New Roman"/>
                <w:color w:val="auto"/>
                <w:sz w:val="24"/>
                <w:lang w:val="en-US" w:eastAsia="zh-CN"/>
              </w:rPr>
              <w:t>2</w:t>
            </w:r>
            <w:r>
              <w:rPr>
                <w:rFonts w:ascii="Times New Roman" w:hAnsi="Times New Roman" w:cs="Times New Roman"/>
                <w:color w:val="auto"/>
                <w:sz w:val="24"/>
              </w:rPr>
              <w:t>0mg/m</w:t>
            </w:r>
            <w:r>
              <w:rPr>
                <w:rFonts w:ascii="Times New Roman" w:hAnsi="Times New Roman" w:cs="Times New Roman"/>
                <w:color w:val="auto"/>
                <w:sz w:val="24"/>
                <w:vertAlign w:val="superscript"/>
              </w:rPr>
              <w:t>3</w:t>
            </w:r>
            <w:r>
              <w:rPr>
                <w:rFonts w:ascii="Times New Roman" w:hAnsi="Times New Roman" w:cs="Times New Roman"/>
                <w:color w:val="auto"/>
                <w:sz w:val="24"/>
              </w:rPr>
              <w:t>）主要二氧化硫、氮氧化物、颗粒物。</w:t>
            </w:r>
            <w:r>
              <w:rPr>
                <w:rFonts w:hint="eastAsia" w:ascii="Times New Roman" w:hAnsi="Times New Roman" w:cs="Times New Roman"/>
                <w:color w:val="auto"/>
                <w:sz w:val="24"/>
                <w:lang w:val="en-US" w:eastAsia="zh-CN"/>
              </w:rPr>
              <w:t>总量指标见下表：</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SO</w:t>
            </w:r>
            <w:r>
              <w:rPr>
                <w:rFonts w:ascii="Times New Roman" w:hAnsi="Times New Roman" w:cs="Times New Roman"/>
                <w:color w:val="auto"/>
                <w:sz w:val="24"/>
                <w:vertAlign w:val="subscript"/>
              </w:rPr>
              <w:t>2</w:t>
            </w:r>
            <w:r>
              <w:rPr>
                <w:rFonts w:ascii="Times New Roman" w:hAnsi="Times New Roman" w:cs="Times New Roman"/>
                <w:color w:val="auto"/>
                <w:sz w:val="24"/>
              </w:rPr>
              <w:t>：</w:t>
            </w:r>
            <w:r>
              <w:rPr>
                <w:rFonts w:hint="eastAsia" w:cs="Times New Roman"/>
                <w:color w:val="auto"/>
                <w:sz w:val="24"/>
                <w:lang w:eastAsia="zh-CN"/>
              </w:rPr>
              <w:t>0.026</w:t>
            </w:r>
            <w:r>
              <w:rPr>
                <w:rFonts w:ascii="Times New Roman" w:hAnsi="Times New Roman" w:cs="Times New Roman"/>
                <w:color w:val="auto"/>
              </w:rPr>
              <w:t>t/a</w:t>
            </w:r>
          </w:p>
          <w:p>
            <w:pPr>
              <w:spacing w:line="360" w:lineRule="auto"/>
              <w:ind w:firstLine="480" w:firstLineChars="200"/>
              <w:rPr>
                <w:rFonts w:ascii="Times New Roman" w:hAnsi="Times New Roman" w:cs="Times New Roman"/>
                <w:color w:val="auto"/>
                <w:sz w:val="24"/>
              </w:rPr>
            </w:pPr>
            <w:r>
              <w:rPr>
                <w:rFonts w:hint="eastAsia" w:cs="Times New Roman"/>
                <w:color w:val="auto"/>
                <w:sz w:val="24"/>
                <w:lang w:val="en-US" w:eastAsia="zh-CN"/>
              </w:rPr>
              <w:t>氮氧化物</w:t>
            </w:r>
            <w:r>
              <w:rPr>
                <w:rFonts w:ascii="Times New Roman" w:hAnsi="Times New Roman" w:cs="Times New Roman"/>
                <w:color w:val="auto"/>
                <w:sz w:val="24"/>
              </w:rPr>
              <w:t>：</w:t>
            </w:r>
            <w:r>
              <w:rPr>
                <w:rFonts w:hint="eastAsia" w:cs="Times New Roman"/>
                <w:color w:val="auto"/>
                <w:sz w:val="24"/>
                <w:lang w:val="en-US" w:eastAsia="zh-CN"/>
              </w:rPr>
              <w:t>0.944</w:t>
            </w:r>
            <w:r>
              <w:rPr>
                <w:rFonts w:ascii="Times New Roman" w:hAnsi="Times New Roman" w:cs="Times New Roman"/>
                <w:color w:val="auto"/>
              </w:rPr>
              <w:t>t/a</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颗粒物：</w:t>
            </w:r>
            <w:r>
              <w:rPr>
                <w:rFonts w:hint="eastAsia" w:cs="Times New Roman"/>
                <w:color w:val="auto"/>
                <w:sz w:val="24"/>
                <w:lang w:val="en-US" w:eastAsia="zh-CN"/>
              </w:rPr>
              <w:t>0.205</w:t>
            </w:r>
            <w:r>
              <w:rPr>
                <w:rFonts w:hint="eastAsia" w:cs="Times New Roman"/>
                <w:color w:val="auto"/>
                <w:sz w:val="24"/>
                <w:lang w:eastAsia="zh-CN"/>
              </w:rPr>
              <w:t>t</w:t>
            </w:r>
            <w:r>
              <w:rPr>
                <w:rFonts w:ascii="Times New Roman" w:hAnsi="Times New Roman" w:cs="Times New Roman"/>
                <w:color w:val="auto"/>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cs="Times New Roman"/>
                <w:color w:val="auto"/>
                <w:sz w:val="24"/>
                <w:lang w:val="en-US" w:eastAsia="zh-CN"/>
              </w:rPr>
            </w:pPr>
            <w:r>
              <w:rPr>
                <w:rFonts w:hint="eastAsia" w:cs="Times New Roman"/>
                <w:color w:val="auto"/>
                <w:sz w:val="24"/>
                <w:lang w:val="en-US" w:eastAsia="zh-CN"/>
              </w:rPr>
              <w:t>本项目实施后，鸿鹏锅炉污染物总量见下表：</w:t>
            </w:r>
          </w:p>
          <w:p>
            <w:pPr>
              <w:adjustRightInd w:val="0"/>
              <w:snapToGrid w:val="0"/>
              <w:jc w:val="center"/>
              <w:rPr>
                <w:rFonts w:ascii="Times New Roman" w:hAnsi="Times New Roman" w:eastAsia="宋体"/>
                <w:b/>
                <w:color w:val="auto"/>
                <w:sz w:val="21"/>
                <w:szCs w:val="21"/>
                <w:lang w:val="en-US" w:eastAsia="zh-CN"/>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3</w:t>
            </w:r>
            <w:r>
              <w:rPr>
                <w:rFonts w:ascii="Times New Roman" w:hAnsi="Times New Roman"/>
                <w:b/>
                <w:color w:val="auto"/>
                <w:sz w:val="21"/>
                <w:szCs w:val="21"/>
              </w:rPr>
              <w:t>-</w:t>
            </w:r>
            <w:r>
              <w:rPr>
                <w:rFonts w:hint="eastAsia" w:ascii="Times New Roman" w:hAnsi="Times New Roman"/>
                <w:b/>
                <w:color w:val="auto"/>
                <w:sz w:val="21"/>
                <w:szCs w:val="21"/>
              </w:rPr>
              <w:t>1</w:t>
            </w:r>
            <w:r>
              <w:rPr>
                <w:rFonts w:hint="eastAsia" w:ascii="Times New Roman" w:hAnsi="Times New Roman"/>
                <w:b/>
                <w:color w:val="auto"/>
                <w:sz w:val="21"/>
                <w:szCs w:val="21"/>
                <w:lang w:val="en-US" w:eastAsia="zh-CN"/>
              </w:rPr>
              <w:t>0</w:t>
            </w:r>
            <w:r>
              <w:rPr>
                <w:rFonts w:ascii="Times New Roman" w:hAnsi="Times New Roman"/>
                <w:b/>
                <w:color w:val="auto"/>
                <w:sz w:val="21"/>
                <w:szCs w:val="21"/>
              </w:rPr>
              <w:t xml:space="preserve"> </w:t>
            </w:r>
            <w:r>
              <w:rPr>
                <w:rFonts w:hint="eastAsia"/>
                <w:b/>
                <w:color w:val="auto"/>
                <w:sz w:val="21"/>
                <w:szCs w:val="21"/>
                <w:lang w:val="en-US" w:eastAsia="zh-CN"/>
              </w:rPr>
              <w:t>鸿鹏</w:t>
            </w:r>
            <w:r>
              <w:rPr>
                <w:rFonts w:hint="eastAsia" w:ascii="Times New Roman" w:hAnsi="Times New Roman"/>
                <w:b/>
                <w:color w:val="auto"/>
                <w:sz w:val="21"/>
                <w:szCs w:val="21"/>
              </w:rPr>
              <w:t>锅炉污染物总量</w:t>
            </w:r>
            <w:r>
              <w:rPr>
                <w:rFonts w:hint="eastAsia"/>
                <w:b/>
                <w:color w:val="auto"/>
                <w:sz w:val="21"/>
                <w:szCs w:val="21"/>
                <w:lang w:val="en-US" w:eastAsia="zh-CN"/>
              </w:rPr>
              <w:t>变化情况表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94"/>
              <w:gridCol w:w="805"/>
              <w:gridCol w:w="2200"/>
              <w:gridCol w:w="2397"/>
              <w:gridCol w:w="180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754"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类别</w:t>
                  </w:r>
                </w:p>
              </w:tc>
              <w:tc>
                <w:tcPr>
                  <w:tcW w:w="1443"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污染物</w:t>
                  </w:r>
                </w:p>
              </w:tc>
              <w:tc>
                <w:tcPr>
                  <w:tcW w:w="926"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原有</w:t>
                  </w:r>
                  <w:r>
                    <w:rPr>
                      <w:rFonts w:ascii="Times New Roman" w:hAnsi="Times New Roman" w:eastAsia="宋体" w:cs="Times New Roman"/>
                      <w:b/>
                      <w:bCs/>
                      <w:color w:val="auto"/>
                      <w:kern w:val="0"/>
                      <w:sz w:val="21"/>
                      <w:szCs w:val="21"/>
                      <w:lang w:val="en-US" w:eastAsia="zh-CN"/>
                    </w:rPr>
                    <w:t>锅炉</w:t>
                  </w:r>
                  <w:r>
                    <w:rPr>
                      <w:rFonts w:ascii="Times New Roman" w:hAnsi="Times New Roman" w:eastAsia="宋体" w:cs="Times New Roman"/>
                      <w:b/>
                      <w:bCs/>
                      <w:color w:val="auto"/>
                      <w:kern w:val="0"/>
                      <w:sz w:val="21"/>
                      <w:szCs w:val="21"/>
                    </w:rPr>
                    <w:t>排放量（t/a）</w:t>
                  </w:r>
                </w:p>
              </w:tc>
              <w:tc>
                <w:tcPr>
                  <w:tcW w:w="104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rPr>
                    <w:t>本项目锅炉</w:t>
                  </w:r>
                  <w:r>
                    <w:rPr>
                      <w:rFonts w:ascii="Times New Roman" w:hAnsi="Times New Roman" w:eastAsia="宋体" w:cs="Times New Roman"/>
                      <w:b/>
                      <w:bCs/>
                      <w:color w:val="auto"/>
                      <w:kern w:val="0"/>
                      <w:sz w:val="21"/>
                      <w:szCs w:val="21"/>
                    </w:rPr>
                    <w:t>排放量（t/a）</w:t>
                  </w:r>
                </w:p>
              </w:tc>
              <w:tc>
                <w:tcPr>
                  <w:tcW w:w="834"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rPr>
                    <w:t>增减变化量（t/a）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restart"/>
                  <w:tcBorders>
                    <w:top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废气污染物</w:t>
                  </w:r>
                </w:p>
              </w:tc>
              <w:tc>
                <w:tcPr>
                  <w:tcW w:w="1443"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vertAlign w:val="subscript"/>
                      <w:lang w:val="en-US" w:eastAsia="zh-CN"/>
                    </w:rPr>
                  </w:pPr>
                  <w:r>
                    <w:rPr>
                      <w:rFonts w:ascii="Times New Roman" w:hAnsi="Times New Roman" w:cs="Times New Roman"/>
                      <w:color w:val="auto"/>
                      <w:kern w:val="0"/>
                      <w:sz w:val="21"/>
                      <w:szCs w:val="21"/>
                      <w:lang w:val="en-US" w:eastAsia="zh-CN"/>
                    </w:rPr>
                    <w:t>SO</w:t>
                  </w:r>
                  <w:r>
                    <w:rPr>
                      <w:rFonts w:ascii="Times New Roman" w:hAnsi="Times New Roman" w:cs="Times New Roman"/>
                      <w:color w:val="auto"/>
                      <w:kern w:val="0"/>
                      <w:sz w:val="21"/>
                      <w:szCs w:val="21"/>
                      <w:vertAlign w:val="subscript"/>
                      <w:lang w:val="en-US" w:eastAsia="zh-CN"/>
                    </w:rPr>
                    <w:t>2</w:t>
                  </w:r>
                </w:p>
              </w:tc>
              <w:tc>
                <w:tcPr>
                  <w:tcW w:w="926"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0.034</w:t>
                  </w:r>
                </w:p>
              </w:tc>
              <w:tc>
                <w:tcPr>
                  <w:tcW w:w="1041"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0.026</w:t>
                  </w:r>
                </w:p>
              </w:tc>
              <w:tc>
                <w:tcPr>
                  <w:tcW w:w="834" w:type="pct"/>
                  <w:tcBorders>
                    <w:top w:val="single" w:color="auto" w:sz="8" w:space="0"/>
                    <w:lef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continue"/>
                  <w:tcBorders>
                    <w:top w:val="single" w:color="auto" w:sz="8" w:space="0"/>
                    <w:right w:val="single" w:color="auto" w:sz="8" w:space="0"/>
                  </w:tcBorders>
                  <w:noWrap/>
                  <w:vAlign w:val="center"/>
                </w:tcPr>
                <w:p/>
              </w:tc>
              <w:tc>
                <w:tcPr>
                  <w:tcW w:w="1443"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vertAlign w:val="subscript"/>
                      <w:lang w:val="en-US" w:eastAsia="zh-CN"/>
                    </w:rPr>
                  </w:pPr>
                  <w:r>
                    <w:rPr>
                      <w:rFonts w:ascii="Times New Roman" w:hAnsi="Times New Roman" w:cs="Times New Roman"/>
                      <w:color w:val="auto"/>
                      <w:kern w:val="0"/>
                      <w:sz w:val="21"/>
                      <w:szCs w:val="21"/>
                      <w:lang w:val="en-US" w:eastAsia="zh-CN"/>
                    </w:rPr>
                    <w:t>NO</w:t>
                  </w:r>
                  <w:r>
                    <w:rPr>
                      <w:rFonts w:ascii="Times New Roman" w:hAnsi="Times New Roman" w:cs="Times New Roman"/>
                      <w:color w:val="auto"/>
                      <w:kern w:val="0"/>
                      <w:sz w:val="21"/>
                      <w:szCs w:val="21"/>
                      <w:vertAlign w:val="subscript"/>
                      <w:lang w:val="en-US" w:eastAsia="zh-CN"/>
                    </w:rPr>
                    <w:t>x</w:t>
                  </w:r>
                </w:p>
              </w:tc>
              <w:tc>
                <w:tcPr>
                  <w:tcW w:w="926"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0.978</w:t>
                  </w:r>
                </w:p>
              </w:tc>
              <w:tc>
                <w:tcPr>
                  <w:tcW w:w="1041"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color w:val="auto"/>
                      <w:kern w:val="0"/>
                      <w:sz w:val="21"/>
                      <w:szCs w:val="21"/>
                      <w:lang w:val="en-US" w:eastAsia="zh-CN"/>
                    </w:rPr>
                  </w:pPr>
                  <w:r>
                    <w:rPr>
                      <w:rFonts w:ascii="Times New Roman" w:hAnsi="Times New Roman" w:cs="Times New Roman"/>
                      <w:color w:val="auto"/>
                      <w:kern w:val="0"/>
                      <w:sz w:val="21"/>
                      <w:szCs w:val="21"/>
                      <w:lang w:val="en-US" w:eastAsia="zh-CN"/>
                    </w:rPr>
                    <w:t>0.944</w:t>
                  </w:r>
                </w:p>
              </w:tc>
              <w:tc>
                <w:tcPr>
                  <w:tcW w:w="834" w:type="pct"/>
                  <w:tcBorders>
                    <w:top w:val="single" w:color="auto" w:sz="8" w:space="0"/>
                    <w:lef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-0.034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754" w:type="pct"/>
                  <w:vMerge w:val="continue"/>
                  <w:tcBorders>
                    <w:top w:val="single" w:color="auto" w:sz="8" w:space="0"/>
                    <w:right w:val="single" w:color="auto" w:sz="8" w:space="0"/>
                  </w:tcBorders>
                  <w:noWrap/>
                  <w:vAlign w:val="center"/>
                </w:tcPr>
                <w:p/>
              </w:tc>
              <w:tc>
                <w:tcPr>
                  <w:tcW w:w="1443"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颗粒物</w:t>
                  </w:r>
                </w:p>
              </w:tc>
              <w:tc>
                <w:tcPr>
                  <w:tcW w:w="926"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0.21</w:t>
                  </w:r>
                </w:p>
              </w:tc>
              <w:tc>
                <w:tcPr>
                  <w:tcW w:w="1041" w:type="pct"/>
                  <w:tcBorders>
                    <w:top w:val="single" w:color="auto" w:sz="8" w:space="0"/>
                    <w:left w:val="single" w:color="auto" w:sz="8" w:space="0"/>
                    <w:righ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0.205</w:t>
                  </w:r>
                </w:p>
              </w:tc>
              <w:tc>
                <w:tcPr>
                  <w:tcW w:w="834" w:type="pct"/>
                  <w:tcBorders>
                    <w:top w:val="single" w:color="auto" w:sz="8" w:space="0"/>
                    <w:left w:val="single" w:color="auto" w:sz="8" w:space="0"/>
                  </w:tcBorders>
                  <w:noWrap/>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color w:val="auto"/>
                      <w:kern w:val="0"/>
                      <w:sz w:val="21"/>
                      <w:szCs w:val="21"/>
                      <w:lang w:val="en-US" w:eastAsia="zh-CN"/>
                    </w:rPr>
                  </w:pPr>
                  <w:r>
                    <w:rPr>
                      <w:rFonts w:ascii="Times New Roman" w:hAnsi="Times New Roman" w:cs="Times New Roman"/>
                      <w:color w:val="auto"/>
                      <w:kern w:val="0"/>
                      <w:sz w:val="21"/>
                      <w:szCs w:val="21"/>
                      <w:lang w:val="en-US" w:eastAsia="zh-CN"/>
                    </w:rPr>
                    <w:t>-0.005</w:t>
                  </w:r>
                </w:p>
              </w:tc>
            </w:tr>
          </w:tbl>
          <w:p>
            <w:pPr>
              <w:adjustRightInd w:val="0"/>
              <w:snapToGrid w:val="0"/>
              <w:rPr>
                <w:rFonts w:ascii="Times New Roman" w:hAnsi="Times New Roman" w:cs="Times New Roman"/>
                <w:color w:val="auto"/>
                <w:kern w:val="0"/>
                <w:szCs w:val="21"/>
              </w:rPr>
            </w:pPr>
          </w:p>
        </w:tc>
      </w:tr>
    </w:tbl>
    <w:p>
      <w:pPr>
        <w:pStyle w:val="2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6"/>
          <w:szCs w:val="36"/>
        </w:rPr>
        <w:br w:type="page"/>
      </w:r>
      <w:r>
        <w:rPr>
          <w:rFonts w:ascii="Times New Roman" w:hAnsi="Times New Roman" w:eastAsia="黑体" w:cs="Times New Roman"/>
          <w:snapToGrid w:val="0"/>
          <w:color w:val="auto"/>
          <w:sz w:val="30"/>
          <w:szCs w:val="30"/>
        </w:rPr>
        <w:t>四、主要环境影响和保护措施</w:t>
      </w:r>
    </w:p>
    <w:tbl>
      <w:tblPr>
        <w:tblStyle w:val="25"/>
        <w:tblW w:w="89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cs="Times New Roman"/>
                <w:color w:val="auto"/>
                <w:kern w:val="2"/>
                <w:szCs w:val="24"/>
              </w:rPr>
            </w:pPr>
            <w:r>
              <w:rPr>
                <w:rFonts w:ascii="Times New Roman" w:hAnsi="Times New Roman" w:cs="Times New Roman"/>
                <w:color w:val="auto"/>
                <w:kern w:val="2"/>
                <w:szCs w:val="24"/>
              </w:rPr>
              <w:t>施工</w:t>
            </w:r>
          </w:p>
          <w:p>
            <w:pPr>
              <w:pStyle w:val="21"/>
              <w:adjustRightInd w:val="0"/>
              <w:snapToGrid w:val="0"/>
              <w:spacing w:before="0" w:beforeAutospacing="0" w:after="0" w:afterAutospacing="0"/>
              <w:jc w:val="center"/>
              <w:rPr>
                <w:rFonts w:ascii="Times New Roman" w:hAnsi="Times New Roman" w:cs="Times New Roman"/>
                <w:color w:val="auto"/>
                <w:kern w:val="2"/>
                <w:szCs w:val="24"/>
              </w:rPr>
            </w:pPr>
            <w:r>
              <w:rPr>
                <w:rFonts w:ascii="Times New Roman" w:hAnsi="Times New Roman" w:cs="Times New Roman"/>
                <w:color w:val="auto"/>
                <w:kern w:val="2"/>
                <w:szCs w:val="24"/>
              </w:rPr>
              <w:t>期环</w:t>
            </w:r>
          </w:p>
          <w:p>
            <w:pPr>
              <w:pStyle w:val="21"/>
              <w:adjustRightInd w:val="0"/>
              <w:snapToGrid w:val="0"/>
              <w:spacing w:before="0" w:beforeAutospacing="0" w:after="0" w:afterAutospacing="0"/>
              <w:jc w:val="center"/>
              <w:rPr>
                <w:rFonts w:ascii="Times New Roman" w:hAnsi="Times New Roman" w:cs="Times New Roman"/>
                <w:color w:val="auto"/>
                <w:kern w:val="2"/>
                <w:szCs w:val="24"/>
              </w:rPr>
            </w:pPr>
            <w:r>
              <w:rPr>
                <w:rFonts w:ascii="Times New Roman" w:hAnsi="Times New Roman" w:cs="Times New Roman"/>
                <w:color w:val="auto"/>
                <w:kern w:val="2"/>
                <w:szCs w:val="24"/>
              </w:rPr>
              <w:t>境保</w:t>
            </w:r>
          </w:p>
          <w:p>
            <w:pPr>
              <w:pStyle w:val="21"/>
              <w:adjustRightInd w:val="0"/>
              <w:snapToGrid w:val="0"/>
              <w:spacing w:before="0" w:beforeAutospacing="0" w:after="0" w:afterAutospacing="0"/>
              <w:jc w:val="center"/>
              <w:rPr>
                <w:rFonts w:ascii="Times New Roman" w:hAnsi="Times New Roman" w:cs="Times New Roman"/>
                <w:color w:val="auto"/>
                <w:kern w:val="2"/>
                <w:szCs w:val="24"/>
              </w:rPr>
            </w:pPr>
            <w:r>
              <w:rPr>
                <w:rFonts w:ascii="Times New Roman" w:hAnsi="Times New Roman" w:cs="Times New Roman"/>
                <w:color w:val="auto"/>
                <w:kern w:val="2"/>
                <w:szCs w:val="24"/>
              </w:rPr>
              <w:t>护措</w:t>
            </w:r>
          </w:p>
          <w:p>
            <w:pPr>
              <w:pStyle w:val="21"/>
              <w:adjustRightInd w:val="0"/>
              <w:snapToGrid w:val="0"/>
              <w:spacing w:before="0" w:beforeAutospacing="0" w:after="0" w:afterAutospacing="0"/>
              <w:jc w:val="center"/>
              <w:rPr>
                <w:rFonts w:ascii="Times New Roman" w:hAnsi="Times New Roman" w:cs="Times New Roman"/>
                <w:bCs/>
                <w:color w:val="auto"/>
                <w:kern w:val="2"/>
                <w:sz w:val="21"/>
                <w:szCs w:val="21"/>
              </w:rPr>
            </w:pPr>
            <w:r>
              <w:rPr>
                <w:rFonts w:ascii="Times New Roman" w:hAnsi="Times New Roman" w:cs="Times New Roman"/>
                <w:color w:val="auto"/>
                <w:kern w:val="2"/>
                <w:szCs w:val="24"/>
              </w:rPr>
              <w:t>施</w:t>
            </w:r>
          </w:p>
        </w:tc>
        <w:tc>
          <w:tcPr>
            <w:tcW w:w="8179" w:type="dxa"/>
            <w:vAlign w:val="center"/>
          </w:tcPr>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1、大气污染源</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施工过程中的大气污染物主要为施工扬尘和施工废气，主要来自三方面：一是土石方堆放、回填、运输等过程中产生的扬尘；二是车辆运输过程中产生的二次扬尘；三是机械燃油废气和装饰工程中的有机废气。</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（1）施工扬尘：</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扬尘起尘量与许多因素有关。本项目起尘原因主要是建筑材料（钢材等）运输进场装卸及堆放过程产生的扬尘、建筑材料运输产生的道路扬尘等。此类扬尘属无组织面源排放，经类比分析，施工场地扬尘浓度平均值约为3.5mg/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。其属低矮排放源，且施工区域大多在室内，影响范围小，时间较短，随施工结束后消除。</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为减少施工扬尘的产生和排放，在施工过程中，施工单位必须严格按照国家</w:t>
            </w:r>
            <w:r>
              <w:rPr>
                <w:rFonts w:ascii="Times New Roman" w:hAnsi="Times New Roman" w:cs="Times New Roman"/>
                <w:color w:val="0000FF"/>
                <w:sz w:val="24"/>
                <w:highlight w:val="none"/>
                <w:u w:val="single"/>
              </w:rPr>
              <w:t>生态环境部</w:t>
            </w:r>
            <w:r>
              <w:rPr>
                <w:rFonts w:ascii="Times New Roman" w:hAnsi="Times New Roman" w:cs="Times New Roman"/>
                <w:color w:val="auto"/>
                <w:sz w:val="24"/>
                <w:highlight w:val="none"/>
              </w:rPr>
              <w:t>和建设部《关于有效控制城市扬尘污染物的通知》、《关于印发&lt;四川省灰霾污染防治实施方案&gt;的通知》（川环发[2013]78号）等相关要求，严格按照《四川省人民政府办公厅关于印发四川省大气污染防治行动计划实施细则 2015年度实施计划的通知》（川办函〔2015〕59 号）中有关施工工地和道路扬尘污染防治规定，积极推行绿色施工，施工现场必须全封闭设置围墙，严禁敞开式作业，施工现场道路、作业区、生活区必须进行地面硬化；制定、完善和严格执行建设施工管理制度，全面推行现场标准化管理，城市主城区工地做到“六必须”（必须围挡作业，必须硬化道路，必须设置冲洗设施，必须及时洒水作业，必须配齐保洁人员，必须及时清扫施工现场）、“六不准”（不准车辆带泥出门，不准运渣车辆冒载，不准高空抛洒建筑垃圾，不准现场搅拌混凝土，不准场地积水，不准现场焚烧废弃物），加强建设工地监督检查，督促责任单位落实降尘、压尘和抑尘措施。为此，施工单位应根据本项目分阶段建设的特殊性采取以下扬尘治理措施：</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①要求施工单位文明施工，定期对地面洒水，对撒落在路面的渣土及时清除，避免扬尘对周边住户及学校正常工作或生活造成不良影响；</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②自卸车、垃圾运输车等运输车辆不允许超载、冒载，出场前一律清洗轮胎，用毡布覆盖，并且在施工区出口设置防尘飞扬垫；</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③施工过程中，楼上施工产生的建筑渣土，不许在楼上直接向下倾倒、抛洒，必须运送到地面；</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④建材堆放地点要相对集中，临时废弃土石堆场及时清运，并对堆场以毡布覆盖，裸露地面进行硬化和绿化，减少建材的露天堆放时间；开挖出的土石方应加强围栏，表面用毡布覆盖，并及时将多余弃土外运。风速大于 3m/s 时应停止施工。</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同时，项目应执行川办函〔2018〕10号《四川省重污染天气应急预案（2018年修订）》及川重污染天气应急办〔2018〕34号《四川省重污染天气应急指挥部办公室关于印发&lt;四川省重污染天气应急预案（2018年修订）&gt;修订单的函》中的应急措施要求，做好施工管理及施工现场污染防治工作。</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环评要求施工单位在日常施工过程中严格采取上述施工扬尘污染防治措施，切实有效降低施工工地扬尘产生量及其浓度，确保达到《四川省施工场地扬尘排放标准》（DB512682-2020）的排放要求。</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（2）施工燃油废气</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施工期间，使用机动车运送原材料、设备，会排放定量的CO、NO</w:t>
            </w:r>
            <w:r>
              <w:rPr>
                <w:rFonts w:ascii="Times New Roman" w:hAnsi="Times New Roman" w:cs="Times New Roman"/>
                <w:color w:val="auto"/>
                <w:sz w:val="24"/>
                <w:highlight w:val="none"/>
                <w:vertAlign w:val="subscript"/>
              </w:rPr>
              <w:t>x</w:t>
            </w:r>
            <w:r>
              <w:rPr>
                <w:rFonts w:ascii="Times New Roman" w:hAnsi="Times New Roman" w:cs="Times New Roman"/>
                <w:color w:val="auto"/>
                <w:sz w:val="24"/>
                <w:highlight w:val="none"/>
              </w:rPr>
              <w:t>以及未完全燃烧的HC等，其特点是排放量小，且属间断性无组织排放，由于其这一特点，加之施工场地开阔，扩散条件良好，因此对其不加处理也可达到相应的排放标准。在施工期内应多加注意施工设备的维护，使其能够正常</w:t>
            </w:r>
            <w:r>
              <w:rPr>
                <w:rFonts w:hint="eastAsia" w:cs="Times New Roman"/>
                <w:color w:val="auto"/>
                <w:sz w:val="24"/>
                <w:highlight w:val="none"/>
                <w:lang w:val="en-US" w:eastAsia="zh-CN"/>
              </w:rPr>
              <w:t>地</w:t>
            </w:r>
            <w:r>
              <w:rPr>
                <w:rFonts w:ascii="Times New Roman" w:hAnsi="Times New Roman" w:cs="Times New Roman"/>
                <w:color w:val="auto"/>
                <w:sz w:val="24"/>
                <w:highlight w:val="none"/>
              </w:rPr>
              <w:t>运行，提高设备原料的利用率。</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2、水污染源</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本项目施工期采取雨污分流，施工场地外雨水设置截洪沟截排，防止上游雨水冲刷项目区形成面源污染和水土流失，施工场地雨水应设置雨水收集沟收集至临时雨水收集池（50m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，土质结构，内衬土工膜）沉淀后回用于施工过程或</w:t>
            </w:r>
            <w:r>
              <w:rPr>
                <w:rFonts w:ascii="Times New Roman" w:hAnsi="Times New Roman" w:cs="Times New Roman"/>
                <w:color w:val="auto"/>
                <w:sz w:val="24"/>
                <w:highlight w:val="none"/>
                <w:lang w:eastAsia="zh-CN"/>
              </w:rPr>
              <w:t>洒水</w:t>
            </w:r>
            <w:r>
              <w:rPr>
                <w:rFonts w:ascii="Times New Roman" w:hAnsi="Times New Roman" w:cs="Times New Roman"/>
                <w:color w:val="auto"/>
                <w:sz w:val="24"/>
                <w:highlight w:val="none"/>
              </w:rPr>
              <w:t>降尘。</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施工期废水主要包括施工废水和生活污水。</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（1）施工废水：主要来源于混凝土搅拌系统砂石材料和施工机械的冲洗废水，该废水含泥砂，悬浮物浓度较高，pH值呈弱碱性，并带有少量的油污。类比相似项目，施工废水中主要污染物浓度为COD</w:t>
            </w:r>
            <w:r>
              <w:rPr>
                <w:rFonts w:ascii="Times New Roman" w:hAnsi="Times New Roman" w:cs="Times New Roman"/>
                <w:color w:val="auto"/>
                <w:sz w:val="24"/>
                <w:highlight w:val="none"/>
                <w:vertAlign w:val="subscript"/>
              </w:rPr>
              <w:t>Cr</w:t>
            </w:r>
            <w:r>
              <w:rPr>
                <w:rFonts w:ascii="Times New Roman" w:hAnsi="Times New Roman" w:cs="Times New Roman"/>
                <w:color w:val="auto"/>
                <w:sz w:val="24"/>
                <w:highlight w:val="none"/>
              </w:rPr>
              <w:t>：150mg/L、SS：1200mg/L、石油类：12mg/L，废水经</w:t>
            </w:r>
            <w:r>
              <w:rPr>
                <w:rFonts w:ascii="Times New Roman" w:hAnsi="Times New Roman" w:cs="Times New Roman"/>
                <w:color w:val="auto"/>
                <w:sz w:val="24"/>
                <w:highlight w:val="none"/>
                <w:lang w:val="en-US" w:eastAsia="zh-CN"/>
              </w:rPr>
              <w:t>三级沉淀池（总容积为300m</w:t>
            </w:r>
            <w:r>
              <w:rPr>
                <w:rFonts w:ascii="Times New Roman" w:hAnsi="Times New Roman" w:cs="Times New Roman"/>
                <w:color w:val="auto"/>
                <w:sz w:val="24"/>
                <w:highlight w:val="none"/>
                <w:vertAlign w:val="superscript"/>
                <w:lang w:val="en-US" w:eastAsia="zh-CN"/>
              </w:rPr>
              <w:t>3</w:t>
            </w:r>
            <w:r>
              <w:rPr>
                <w:rFonts w:ascii="Times New Roman" w:hAnsi="Times New Roman" w:cs="Times New Roman"/>
                <w:color w:val="auto"/>
                <w:sz w:val="24"/>
                <w:highlight w:val="none"/>
                <w:lang w:val="en-US" w:eastAsia="zh-CN"/>
              </w:rPr>
              <w:t>）</w:t>
            </w:r>
            <w:r>
              <w:rPr>
                <w:rFonts w:ascii="Times New Roman" w:hAnsi="Times New Roman" w:cs="Times New Roman"/>
                <w:color w:val="auto"/>
                <w:sz w:val="24"/>
                <w:highlight w:val="none"/>
              </w:rPr>
              <w:t>沉淀后回用施工，不外排。</w:t>
            </w:r>
            <w:r>
              <w:rPr>
                <w:rFonts w:ascii="Times New Roman" w:hAnsi="Times New Roman" w:cs="Times New Roman"/>
                <w:color w:val="auto"/>
                <w:sz w:val="24"/>
                <w:highlight w:val="none"/>
                <w:lang w:val="en-US" w:eastAsia="zh-CN"/>
              </w:rPr>
              <w:t>待施工结束，将沉淀池拆除。</w:t>
            </w:r>
          </w:p>
          <w:p>
            <w:pPr>
              <w:adjustRightInd w:val="0"/>
              <w:snapToGrid w:val="0"/>
              <w:spacing w:line="360" w:lineRule="auto"/>
              <w:ind w:firstLine="480" w:firstLineChars="200"/>
              <w:jc w:val="left"/>
              <w:rPr>
                <w:rFonts w:ascii="Times New Roman" w:hAnsi="Times New Roman" w:eastAsia="宋体" w:cs="Times New Roman"/>
                <w:color w:val="auto"/>
                <w:sz w:val="24"/>
                <w:highlight w:val="none"/>
                <w:lang w:val="en-US" w:eastAsia="zh-CN"/>
              </w:rPr>
            </w:pPr>
            <w:r>
              <w:rPr>
                <w:rFonts w:ascii="Times New Roman" w:hAnsi="Times New Roman" w:cs="Times New Roman"/>
                <w:color w:val="auto"/>
                <w:sz w:val="24"/>
                <w:highlight w:val="none"/>
              </w:rPr>
              <w:t>（2）生活污水：施工高峰期作业人员及管理人员按100人计，生活用水量按50L/人·d计，则生活日用水量为5m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/d；排放系数按0.8计，则项目施工期生活污水排放量为4m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/d；主要污染物为COD、BOD、氨氮、SS以及少量动植物油等。项目</w:t>
            </w:r>
            <w:r>
              <w:rPr>
                <w:rFonts w:ascii="Times New Roman" w:hAnsi="Times New Roman" w:cs="Times New Roman"/>
                <w:color w:val="auto"/>
                <w:sz w:val="24"/>
                <w:highlight w:val="none"/>
                <w:lang w:val="en-US" w:eastAsia="zh-CN"/>
              </w:rPr>
              <w:t>依托厂区已建</w:t>
            </w:r>
            <w:r>
              <w:rPr>
                <w:rFonts w:ascii="Times New Roman" w:hAnsi="Times New Roman" w:cs="Times New Roman"/>
                <w:color w:val="auto"/>
                <w:sz w:val="24"/>
                <w:highlight w:val="none"/>
              </w:rPr>
              <w:t>一座预处理池（容积为</w:t>
            </w:r>
            <w:r>
              <w:rPr>
                <w:rFonts w:ascii="Times New Roman" w:hAnsi="Times New Roman" w:cs="Times New Roman"/>
                <w:color w:val="auto"/>
                <w:sz w:val="24"/>
                <w:highlight w:val="none"/>
                <w:lang w:val="en-US" w:eastAsia="zh-CN"/>
              </w:rPr>
              <w:t>1</w:t>
            </w:r>
            <w:r>
              <w:rPr>
                <w:rFonts w:ascii="Times New Roman" w:hAnsi="Times New Roman" w:cs="Times New Roman"/>
                <w:color w:val="auto"/>
                <w:sz w:val="24"/>
                <w:highlight w:val="none"/>
              </w:rPr>
              <w:t>00m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），生活污水排入预处理池处理，处理后</w:t>
            </w:r>
            <w:r>
              <w:rPr>
                <w:rFonts w:ascii="Times New Roman" w:hAnsi="Times New Roman" w:cs="Times New Roman"/>
                <w:color w:val="auto"/>
                <w:sz w:val="24"/>
                <w:highlight w:val="none"/>
                <w:lang w:val="en-US" w:eastAsia="zh-CN"/>
              </w:rPr>
              <w:t>通过园区管网排至</w:t>
            </w:r>
            <w:r>
              <w:rPr>
                <w:rFonts w:hint="eastAsia" w:cs="Times New Roman"/>
                <w:color w:val="auto"/>
                <w:sz w:val="24"/>
                <w:highlight w:val="none"/>
                <w:lang w:val="en-US" w:eastAsia="zh-CN"/>
              </w:rPr>
              <w:t>大英经济开发区污水处理厂</w:t>
            </w:r>
            <w:r>
              <w:rPr>
                <w:rFonts w:ascii="Times New Roman" w:hAnsi="Times New Roman" w:cs="Times New Roman"/>
                <w:color w:val="auto"/>
                <w:sz w:val="24"/>
                <w:highlight w:val="none"/>
              </w:rPr>
              <w:t>。</w:t>
            </w:r>
            <w:r>
              <w:rPr>
                <w:rFonts w:ascii="Times New Roman" w:hAnsi="Times New Roman" w:cs="Times New Roman"/>
                <w:color w:val="auto"/>
                <w:sz w:val="24"/>
                <w:highlight w:val="none"/>
                <w:lang w:val="en-US" w:eastAsia="zh-CN"/>
              </w:rPr>
              <w:t>待施工结束，将预处理池回填。</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3、噪声源</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施工期噪声主要包括施工机械噪声和运输车辆交通噪声，具体如下：</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①土石方挖掘机、基础施工工序使用的塔吊，钢筋加工时使用的卷扬机、压缩机等机械设备及运输车辆产生的噪声，声级值数75~105dB（A）。</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②板、梁、柱</w:t>
            </w:r>
            <w:r>
              <w:rPr>
                <w:rFonts w:hint="eastAsia" w:cs="Times New Roman"/>
                <w:color w:val="auto"/>
                <w:sz w:val="24"/>
                <w:highlight w:val="none"/>
                <w:lang w:eastAsia="zh-CN"/>
              </w:rPr>
              <w:t>浇筑</w:t>
            </w:r>
            <w:r>
              <w:rPr>
                <w:rFonts w:ascii="Times New Roman" w:hAnsi="Times New Roman" w:cs="Times New Roman"/>
                <w:color w:val="auto"/>
                <w:sz w:val="24"/>
                <w:highlight w:val="none"/>
              </w:rPr>
              <w:t>时，使用的混凝土输送泵、振捣碾，钢筋加工使用的电锯、电焊机、空压机等设备产生的噪声，声级值约75～105dB（A）。</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③电钻、电锤、手工钻、无齿锯、多功能木工刨、云石机、切割机、角向磨光机等设备噪声，声级值90～115dB（A）。</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④运输建筑材料及土石方的车辆交通噪声，声级值约75～90dB（A）。</w:t>
            </w:r>
          </w:p>
          <w:p>
            <w:pPr>
              <w:adjustRightInd w:val="0"/>
              <w:snapToGrid w:val="0"/>
              <w:spacing w:line="360" w:lineRule="auto"/>
              <w:ind w:firstLine="482" w:firstLineChars="200"/>
              <w:jc w:val="left"/>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拟采取的防治措施有：</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①选用低噪设备，并采取有效的隔声减振措施。</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合理安排作业时间，将打桩、倾倒卵石料等强噪声作业尽量安排在白天进行，杜绝夜间（22：00~6：00），午休期间（12:00-14:00）施工噪声扰民；如果工艺要求必须连续作业的强噪声施工，应首先征得当地建委、城管等主管部门的同意，并及时向周边各住宅区居民公告，以免发生噪声扰民纠纷。</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③严格进行施工人员管理，文明施工。装卸、搬运钢管、模板等严禁抛掷，木工房使用前应完全封闭。</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④施工范围严格设置围挡，对钢筋加工区设置加工棚。</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⑤选用低噪设备、做好施工机械消声、减震工作，定期对机械设备进行维修维护。</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⑥合理布局，将主要噪声设备源强（钢筋加工棚、设备加工区）置于施工范围中部。</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在采取上述措施的基础上，施工期场界噪声能达到《建筑施工场界环境噪声排放标准》（GB12523-2011）标准要求。</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4、固体废物</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项目土方基本能挖填平衡，固体废物主要为建筑垃圾和施工人员的生活垃圾。</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（1）建渣</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在项目施工过程中，产生的建筑垃圾（废木块、混凝土渣、废铁、废钢板废料等、废包装材料等），评价对产生的建渣按照10kg/m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的计算，本项目建筑面积为</w:t>
            </w:r>
            <w:r>
              <w:rPr>
                <w:rFonts w:ascii="Times New Roman" w:hAnsi="Times New Roman" w:cs="Times New Roman"/>
                <w:color w:val="auto"/>
                <w:sz w:val="24"/>
                <w:highlight w:val="none"/>
                <w:lang w:val="en-US" w:eastAsia="zh-CN"/>
              </w:rPr>
              <w:t>6988.56</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，则推算本项目施工期产生的施工建渣为</w:t>
            </w:r>
            <w:r>
              <w:rPr>
                <w:rFonts w:ascii="Times New Roman" w:hAnsi="Times New Roman" w:cs="Times New Roman"/>
                <w:color w:val="auto"/>
                <w:sz w:val="24"/>
                <w:highlight w:val="none"/>
                <w:lang w:val="en-US" w:eastAsia="zh-CN"/>
              </w:rPr>
              <w:t>69.89</w:t>
            </w:r>
            <w:r>
              <w:rPr>
                <w:rFonts w:ascii="Times New Roman" w:hAnsi="Times New Roman" w:cs="Times New Roman"/>
                <w:color w:val="auto"/>
                <w:sz w:val="24"/>
                <w:highlight w:val="none"/>
              </w:rPr>
              <w:t>吨。施工现场应设置建筑废弃物临时堆场并进行防雨、防泄漏处理。施工产生的废料应首先考虑回收利用，对钢筋、钢板、木材等下角料可分类回收，交废物收购站处理；对不能回收的建筑垃圾，如混凝土废料、含砖、石、砂的杂土等应集中堆放，定时清运到指定垃圾场。</w:t>
            </w:r>
          </w:p>
          <w:p>
            <w:pPr>
              <w:autoSpaceDE/>
              <w:autoSpaceDN/>
              <w:adjustRightInd w:val="0"/>
              <w:snapToGrid w:val="0"/>
              <w:spacing w:line="360" w:lineRule="auto"/>
              <w:ind w:firstLine="480" w:firstLineChars="200"/>
              <w:jc w:val="left"/>
              <w:rPr>
                <w:rFonts w:ascii="Times New Roman" w:hAnsi="Times New Roman" w:cs="Times New Roman"/>
                <w:color w:val="auto"/>
                <w:sz w:val="24"/>
                <w:szCs w:val="24"/>
                <w:highlight w:val="none"/>
              </w:rPr>
            </w:pPr>
            <w:r>
              <w:rPr>
                <w:rStyle w:val="29"/>
                <w:rFonts w:ascii="Times New Roman" w:hAnsi="Times New Roman" w:cs="Times New Roman"/>
                <w:color w:val="auto"/>
                <w:kern w:val="0"/>
                <w:sz w:val="24"/>
                <w:szCs w:val="24"/>
                <w:highlight w:val="none"/>
              </w:rPr>
              <w:t>（2）</w:t>
            </w:r>
            <w:r>
              <w:rPr>
                <w:rStyle w:val="29"/>
                <w:rFonts w:ascii="Times New Roman" w:hAnsi="Times New Roman" w:cs="Times New Roman"/>
                <w:color w:val="auto"/>
                <w:kern w:val="0"/>
                <w:sz w:val="24"/>
                <w:szCs w:val="24"/>
                <w:highlight w:val="none"/>
                <w:lang w:val="en-US" w:eastAsia="zh-CN"/>
              </w:rPr>
              <w:t>施工期</w:t>
            </w:r>
            <w:r>
              <w:rPr>
                <w:rStyle w:val="29"/>
                <w:rFonts w:ascii="Times New Roman" w:hAnsi="Times New Roman" w:cs="Times New Roman"/>
                <w:color w:val="auto"/>
                <w:kern w:val="0"/>
                <w:sz w:val="24"/>
                <w:szCs w:val="24"/>
                <w:highlight w:val="none"/>
              </w:rPr>
              <w:t>生活垃圾</w:t>
            </w:r>
          </w:p>
          <w:p>
            <w:pPr>
              <w:autoSpaceDE/>
              <w:autoSpaceDN/>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按高峰时施工人员100人，施工期生活垃圾按0.5kg/人·d计，产生量为50kg/d。环评要求设专人打扫卫生，设置垃圾箱、垃圾桶，每天收集施工区域的生活垃圾，交由环卫部门统一清运、处理。</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5、水土流失</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（1）污染源分析</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建筑物施工过程中基础开挖将不可避免产生水土流失。水土流失的成因主要有：</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①施工过程中开挖造成地表裸露，表层土抗蚀能力减弱，将加剧水土流失。</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②施工区的土石渣料堆放遇下雨时受雨水冲刷，将不可避免的产生部分水土流失。</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③取土回填也易产生水土流失。</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（2）防治措施</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①在施工过程中必须做到对施工区土壤的分层剥离、分层开挖、分层堆放和循序分层回填。应注意表层土壤的堆放及防护问题，避免雨天施工，施工时采取修建挡土墙、排水沟、覆盖塑料布等措施，可有效防止水土流失。施工设置杂货区、垃圾箱，明确卫生责任区，确定责任人，并定期打扫清除。</w:t>
            </w:r>
          </w:p>
          <w:p>
            <w:pPr>
              <w:adjustRightInd w:val="0"/>
              <w:snapToGrid w:val="0"/>
              <w:spacing w:line="360" w:lineRule="auto"/>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②尽量减少施工人员及施工机械对作业场外的植被破坏。施工便道尽量利用现有道路。</w:t>
            </w:r>
          </w:p>
          <w:p>
            <w:pPr>
              <w:spacing w:line="360" w:lineRule="auto"/>
              <w:ind w:firstLine="480" w:firstLineChars="200"/>
              <w:rPr>
                <w:rFonts w:ascii="Times New Roman" w:hAnsi="Times New Roman" w:cs="Times New Roman"/>
                <w:bCs/>
                <w:color w:val="auto"/>
                <w:spacing w:val="-10"/>
                <w:szCs w:val="21"/>
              </w:rPr>
            </w:pPr>
            <w:r>
              <w:rPr>
                <w:rFonts w:ascii="Times New Roman" w:hAnsi="Times New Roman" w:cs="Times New Roman"/>
                <w:color w:val="auto"/>
                <w:sz w:val="24"/>
                <w:highlight w:val="none"/>
              </w:rPr>
              <w:t>综上所述，本项目施工期施工作业影响是暂时的，在施工结束后，影响区域的各环境要素基本都可以得到恢复。只要建设单位认真制定和严格落实工程施工期应该采取的环保对策措施，则施工建设活动对外环境的不利影响可得到消除或有效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Borders>
              <w:top w:val="single" w:color="auto" w:sz="4" w:space="0"/>
              <w:left w:val="single" w:color="auto" w:sz="8" w:space="0"/>
              <w:right w:val="single" w:color="auto" w:sz="4" w:space="0"/>
            </w:tcBorders>
            <w:tcMar>
              <w:left w:w="28" w:type="dxa"/>
              <w:right w:w="28" w:type="dxa"/>
            </w:tcMar>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运营</w:t>
            </w:r>
          </w:p>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期环</w:t>
            </w:r>
          </w:p>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境影</w:t>
            </w:r>
          </w:p>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响和</w:t>
            </w:r>
          </w:p>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保护</w:t>
            </w:r>
          </w:p>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措施</w:t>
            </w:r>
          </w:p>
        </w:tc>
        <w:tc>
          <w:tcPr>
            <w:tcW w:w="8179" w:type="dxa"/>
            <w:tcBorders>
              <w:top w:val="single" w:color="auto" w:sz="4" w:space="0"/>
              <w:left w:val="single" w:color="auto" w:sz="4" w:space="0"/>
              <w:right w:val="single" w:color="auto" w:sz="8" w:space="0"/>
            </w:tcBorders>
            <w:vAlign w:val="center"/>
          </w:tcPr>
          <w:p>
            <w:pPr>
              <w:spacing w:line="360" w:lineRule="auto"/>
              <w:rPr>
                <w:rFonts w:ascii="Times New Roman" w:hAnsi="Times New Roman" w:cs="Times New Roman"/>
                <w:b/>
                <w:color w:val="auto"/>
                <w:sz w:val="24"/>
              </w:rPr>
            </w:pPr>
            <w:r>
              <w:rPr>
                <w:rFonts w:ascii="Times New Roman" w:hAnsi="Times New Roman" w:cs="Times New Roman"/>
                <w:b/>
                <w:color w:val="auto"/>
                <w:sz w:val="24"/>
              </w:rPr>
              <w:t>二、营运期环境影响分析</w:t>
            </w:r>
          </w:p>
          <w:p>
            <w:pPr>
              <w:adjustRightInd w:val="0"/>
              <w:snapToGrid w:val="0"/>
              <w:spacing w:line="360" w:lineRule="auto"/>
              <w:ind w:firstLine="482" w:firstLineChars="200"/>
              <w:rPr>
                <w:rFonts w:ascii="Times New Roman" w:hAnsi="Times New Roman" w:cs="Times New Roman"/>
                <w:b/>
                <w:color w:val="auto"/>
                <w:sz w:val="24"/>
                <w:szCs w:val="28"/>
              </w:rPr>
            </w:pPr>
            <w:r>
              <w:rPr>
                <w:rFonts w:ascii="Times New Roman" w:hAnsi="Times New Roman" w:cs="Times New Roman"/>
                <w:b/>
                <w:color w:val="auto"/>
                <w:sz w:val="24"/>
                <w:szCs w:val="28"/>
              </w:rPr>
              <w:t>1.1</w:t>
            </w:r>
            <w:r>
              <w:rPr>
                <w:rFonts w:ascii="Times New Roman" w:hAnsi="Times New Roman" w:cs="Times New Roman"/>
                <w:b/>
                <w:color w:val="auto"/>
                <w:sz w:val="24"/>
              </w:rPr>
              <w:t>营运</w:t>
            </w:r>
            <w:r>
              <w:rPr>
                <w:rFonts w:ascii="Times New Roman" w:hAnsi="Times New Roman" w:cs="Times New Roman"/>
                <w:b/>
                <w:color w:val="auto"/>
                <w:sz w:val="24"/>
                <w:szCs w:val="28"/>
              </w:rPr>
              <w:t>期大气环境影响分析</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本项目运营期产生的废气产生节点主要为锅炉废气；</w:t>
            </w:r>
          </w:p>
          <w:p>
            <w:pPr>
              <w:pStyle w:val="2"/>
              <w:adjustRightInd w:val="0"/>
              <w:snapToGrid w:val="0"/>
              <w:spacing w:before="0" w:after="0" w:line="360" w:lineRule="auto"/>
              <w:ind w:right="0"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（1）</w:t>
            </w:r>
            <w:r>
              <w:rPr>
                <w:rFonts w:ascii="Times New Roman" w:hAnsi="Times New Roman" w:cs="Times New Roman"/>
                <w:b/>
                <w:color w:val="auto"/>
                <w:sz w:val="24"/>
                <w:szCs w:val="24"/>
                <w:lang w:val="en-US" w:eastAsia="zh-CN"/>
              </w:rPr>
              <w:t>生物质燃烧</w:t>
            </w:r>
            <w:r>
              <w:rPr>
                <w:rFonts w:ascii="Times New Roman" w:hAnsi="Times New Roman" w:cs="Times New Roman"/>
                <w:b/>
                <w:color w:val="auto"/>
                <w:sz w:val="24"/>
                <w:szCs w:val="24"/>
              </w:rPr>
              <w:t>废气及治理</w:t>
            </w:r>
          </w:p>
          <w:p>
            <w:pPr>
              <w:pStyle w:val="2"/>
              <w:adjustRightInd w:val="0"/>
              <w:snapToGrid w:val="0"/>
              <w:spacing w:before="0" w:after="0" w:line="360" w:lineRule="auto"/>
              <w:ind w:right="0"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本项目新建</w:t>
            </w:r>
            <w:r>
              <w:rPr>
                <w:rFonts w:ascii="Times New Roman" w:hAnsi="Times New Roman" w:cs="Times New Roman"/>
                <w:bCs/>
                <w:color w:val="auto"/>
                <w:sz w:val="24"/>
                <w:szCs w:val="24"/>
                <w:lang w:val="en-US" w:eastAsia="zh-CN"/>
              </w:rPr>
              <w:t>1</w:t>
            </w:r>
            <w:r>
              <w:rPr>
                <w:rFonts w:ascii="Times New Roman" w:hAnsi="Times New Roman" w:cs="Times New Roman"/>
                <w:bCs/>
                <w:color w:val="auto"/>
                <w:sz w:val="24"/>
                <w:szCs w:val="24"/>
              </w:rPr>
              <w:t>台</w:t>
            </w:r>
            <w:r>
              <w:rPr>
                <w:rFonts w:hint="eastAsia" w:cs="Times New Roman"/>
                <w:bCs/>
                <w:color w:val="auto"/>
                <w:sz w:val="24"/>
                <w:szCs w:val="24"/>
                <w:lang w:val="en-US" w:eastAsia="zh-CN"/>
              </w:rPr>
              <w:t>生物质燃气锅炉</w:t>
            </w:r>
            <w:r>
              <w:rPr>
                <w:rFonts w:ascii="Times New Roman" w:hAnsi="Times New Roman" w:cs="Times New Roman"/>
                <w:bCs/>
                <w:color w:val="auto"/>
                <w:sz w:val="24"/>
                <w:szCs w:val="24"/>
              </w:rPr>
              <w:t>，锅炉燃料为</w:t>
            </w:r>
            <w:r>
              <w:rPr>
                <w:rFonts w:ascii="Times New Roman" w:hAnsi="Times New Roman" w:cs="Times New Roman"/>
                <w:bCs/>
                <w:color w:val="auto"/>
                <w:sz w:val="24"/>
                <w:szCs w:val="24"/>
                <w:lang w:val="en-US" w:eastAsia="zh-CN"/>
              </w:rPr>
              <w:t>气化炉分解生物质原料产生的</w:t>
            </w:r>
            <w:r>
              <w:rPr>
                <w:rFonts w:hint="eastAsia" w:cs="Times New Roman"/>
                <w:bCs/>
                <w:color w:val="auto"/>
                <w:sz w:val="24"/>
                <w:szCs w:val="24"/>
                <w:lang w:val="en-US" w:eastAsia="zh-CN"/>
              </w:rPr>
              <w:t>气体，气体</w:t>
            </w:r>
            <w:r>
              <w:rPr>
                <w:rFonts w:ascii="Times New Roman" w:hAnsi="Times New Roman" w:cs="Times New Roman"/>
                <w:bCs/>
                <w:color w:val="auto"/>
                <w:sz w:val="24"/>
                <w:szCs w:val="24"/>
              </w:rPr>
              <w:t>燃烧将产生锅炉烟气，其主要污染物为SO</w:t>
            </w:r>
            <w:r>
              <w:rPr>
                <w:rFonts w:ascii="Times New Roman" w:hAnsi="Times New Roman" w:cs="Times New Roman"/>
                <w:bCs/>
                <w:color w:val="auto"/>
                <w:sz w:val="24"/>
                <w:szCs w:val="24"/>
                <w:vertAlign w:val="subscript"/>
              </w:rPr>
              <w:t>2</w:t>
            </w:r>
            <w:r>
              <w:rPr>
                <w:rFonts w:ascii="Times New Roman" w:hAnsi="Times New Roman" w:cs="Times New Roman"/>
                <w:bCs/>
                <w:color w:val="auto"/>
                <w:sz w:val="24"/>
                <w:szCs w:val="24"/>
              </w:rPr>
              <w:t>、NOx、颗粒物。</w:t>
            </w:r>
          </w:p>
          <w:p>
            <w:pPr>
              <w:pStyle w:val="2"/>
              <w:adjustRightInd w:val="0"/>
              <w:snapToGrid w:val="0"/>
              <w:spacing w:before="0" w:after="0" w:line="360" w:lineRule="auto"/>
              <w:ind w:right="0" w:firstLine="482" w:firstLineChars="200"/>
              <w:rPr>
                <w:rFonts w:ascii="Times New Roman" w:hAnsi="Times New Roman" w:cs="Times New Roman"/>
                <w:b/>
                <w:bCs/>
                <w:color w:val="auto"/>
                <w:sz w:val="24"/>
                <w:szCs w:val="24"/>
                <w:vertAlign w:val="baseline"/>
                <w:lang w:val="en-US" w:eastAsia="zh-CN"/>
              </w:rPr>
            </w:pPr>
            <w:r>
              <w:rPr>
                <w:rFonts w:ascii="Times New Roman" w:hAnsi="Times New Roman" w:cs="Times New Roman"/>
                <w:b/>
                <w:bCs/>
                <w:color w:val="auto"/>
                <w:sz w:val="24"/>
                <w:szCs w:val="24"/>
                <w:vertAlign w:val="baseline"/>
                <w:lang w:val="en-US" w:eastAsia="zh-CN"/>
              </w:rPr>
              <w:t>锅炉烟气量：</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vertAlign w:val="baseline"/>
                <w:lang w:val="en-US" w:eastAsia="zh-CN"/>
              </w:rPr>
            </w:pPr>
            <w:r>
              <w:rPr>
                <w:rFonts w:ascii="Times New Roman" w:hAnsi="Times New Roman" w:cs="Times New Roman"/>
                <w:color w:val="auto"/>
                <w:sz w:val="24"/>
                <w:szCs w:val="24"/>
                <w:vertAlign w:val="baseline"/>
                <w:lang w:val="en-US" w:eastAsia="zh-CN"/>
              </w:rPr>
              <w:t>参考《生物质热解气化原理与技术》（孙立、张晓东编著），生物质气化炉的气体产率为2.0-2.5m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/kg本项目按 2.</w:t>
            </w:r>
            <w:r>
              <w:rPr>
                <w:rFonts w:hint="eastAsia" w:cs="Times New Roman"/>
                <w:color w:val="auto"/>
                <w:sz w:val="24"/>
                <w:szCs w:val="24"/>
                <w:vertAlign w:val="baseline"/>
                <w:lang w:val="en-US" w:eastAsia="zh-CN"/>
              </w:rPr>
              <w:t>4</w:t>
            </w:r>
            <w:r>
              <w:rPr>
                <w:rFonts w:ascii="Times New Roman" w:hAnsi="Times New Roman" w:cs="Times New Roman"/>
                <w:color w:val="auto"/>
                <w:sz w:val="24"/>
                <w:szCs w:val="24"/>
                <w:vertAlign w:val="baseline"/>
                <w:lang w:val="en-US" w:eastAsia="zh-CN"/>
              </w:rPr>
              <w:t>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/kg计，本项目生物质燃料年消耗量为20</w:t>
            </w:r>
            <w:r>
              <w:rPr>
                <w:rFonts w:hint="eastAsia" w:cs="Times New Roman"/>
                <w:color w:val="auto"/>
                <w:sz w:val="24"/>
                <w:szCs w:val="24"/>
                <w:vertAlign w:val="baseline"/>
                <w:lang w:val="en-US" w:eastAsia="zh-CN"/>
              </w:rPr>
              <w:t>476</w:t>
            </w:r>
            <w:r>
              <w:rPr>
                <w:rFonts w:ascii="Times New Roman" w:hAnsi="Times New Roman" w:cs="Times New Roman"/>
                <w:color w:val="auto"/>
                <w:sz w:val="24"/>
                <w:szCs w:val="24"/>
                <w:vertAlign w:val="baseline"/>
                <w:lang w:val="en-US" w:eastAsia="zh-CN"/>
              </w:rPr>
              <w:t>t，则项目生物质气化炉的燃气气体量为</w:t>
            </w:r>
            <w:r>
              <w:rPr>
                <w:rFonts w:hint="eastAsia" w:cs="Times New Roman"/>
                <w:color w:val="auto"/>
                <w:sz w:val="24"/>
                <w:szCs w:val="24"/>
                <w:vertAlign w:val="baseline"/>
                <w:lang w:val="en-US" w:eastAsia="zh-CN"/>
              </w:rPr>
              <w:t>4914.24</w:t>
            </w:r>
            <w:r>
              <w:rPr>
                <w:rFonts w:ascii="Times New Roman" w:hAnsi="Times New Roman" w:cs="Times New Roman"/>
                <w:color w:val="auto"/>
                <w:sz w:val="24"/>
                <w:szCs w:val="24"/>
                <w:vertAlign w:val="baseline"/>
                <w:lang w:val="en-US" w:eastAsia="zh-CN"/>
              </w:rPr>
              <w:t>万m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/a。</w:t>
            </w:r>
          </w:p>
          <w:p>
            <w:pPr>
              <w:pStyle w:val="2"/>
              <w:adjustRightInd w:val="0"/>
              <w:snapToGrid w:val="0"/>
              <w:spacing w:before="0" w:after="0" w:line="360" w:lineRule="auto"/>
              <w:ind w:right="0" w:firstLine="480" w:firstLineChars="200"/>
              <w:rPr>
                <w:rFonts w:ascii="Times New Roman" w:hAnsi="Times New Roman" w:eastAsia="宋体" w:cs="Times New Roman"/>
                <w:bCs/>
                <w:color w:val="auto"/>
                <w:sz w:val="24"/>
                <w:szCs w:val="24"/>
                <w:lang w:eastAsia="zh-CN"/>
              </w:rPr>
            </w:pPr>
            <w:r>
              <w:rPr>
                <w:rFonts w:ascii="Times New Roman" w:hAnsi="Times New Roman" w:cs="Times New Roman"/>
                <w:bCs/>
                <w:color w:val="auto"/>
                <w:sz w:val="24"/>
                <w:szCs w:val="24"/>
              </w:rPr>
              <w:t>根据《污染源源强核算技术指南--锅炉》（HJ991-2018）</w:t>
            </w:r>
            <w:r>
              <w:rPr>
                <w:rFonts w:ascii="Times New Roman" w:hAnsi="Times New Roman" w:cs="Times New Roman"/>
                <w:bCs/>
                <w:color w:val="auto"/>
                <w:sz w:val="24"/>
                <w:szCs w:val="24"/>
                <w:lang w:val="en-US" w:eastAsia="zh-CN"/>
              </w:rPr>
              <w:t>中气体燃料烟气经验</w:t>
            </w:r>
            <w:r>
              <w:rPr>
                <w:rFonts w:hint="eastAsia" w:cs="Times New Roman"/>
                <w:bCs/>
                <w:color w:val="auto"/>
                <w:sz w:val="24"/>
                <w:szCs w:val="24"/>
                <w:lang w:val="en-US" w:eastAsia="zh-CN"/>
              </w:rPr>
              <w:t>公式</w:t>
            </w:r>
            <w:r>
              <w:rPr>
                <w:rFonts w:ascii="Times New Roman" w:hAnsi="Times New Roman" w:cs="Times New Roman"/>
                <w:bCs/>
                <w:color w:val="auto"/>
                <w:sz w:val="24"/>
                <w:szCs w:val="24"/>
                <w:lang w:val="en-US" w:eastAsia="zh-CN"/>
              </w:rPr>
              <w:t>计算如下</w:t>
            </w:r>
            <w:r>
              <w:rPr>
                <w:rFonts w:ascii="Times New Roman" w:hAnsi="Times New Roman" w:cs="Times New Roman"/>
                <w:bCs/>
                <w:color w:val="auto"/>
                <w:sz w:val="24"/>
                <w:szCs w:val="24"/>
                <w:lang w:eastAsia="zh-CN"/>
              </w:rPr>
              <w:t>：</w:t>
            </w:r>
          </w:p>
          <w:p>
            <w:pPr>
              <w:pStyle w:val="2"/>
              <w:adjustRightInd w:val="0"/>
              <w:snapToGrid w:val="0"/>
              <w:spacing w:before="0" w:after="0" w:line="360" w:lineRule="auto"/>
              <w:ind w:right="0"/>
              <w:jc w:val="center"/>
              <w:rPr>
                <w:rFonts w:ascii="Times New Roman" w:hAnsi="Times New Roman" w:cs="Times New Roman"/>
                <w:bCs/>
                <w:color w:val="auto"/>
                <w:sz w:val="24"/>
                <w:szCs w:val="24"/>
                <w:lang w:val="en-US" w:eastAsia="zh-CN"/>
              </w:rPr>
            </w:pPr>
            <w:r>
              <w:rPr>
                <w:rFonts w:ascii="Times New Roman" w:hAnsi="Times New Roman" w:cs="Times New Roman"/>
                <w:color w:val="auto"/>
              </w:rPr>
              <w:drawing>
                <wp:inline distT="0" distB="0" distL="114300" distR="114300">
                  <wp:extent cx="2879725" cy="1024255"/>
                  <wp:effectExtent l="0" t="0" r="19" b="1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4"/>
                          <a:stretch>
                            <a:fillRect/>
                          </a:stretch>
                        </pic:blipFill>
                        <pic:spPr>
                          <a:xfrm>
                            <a:off x="0" y="0"/>
                            <a:ext cx="2879725" cy="1024889"/>
                          </a:xfrm>
                          <a:prstGeom prst="rect">
                            <a:avLst/>
                          </a:prstGeom>
                          <a:noFill/>
                          <a:ln w="9525" cap="flat" cmpd="sng">
                            <a:noFill/>
                            <a:prstDash val="solid"/>
                            <a:round/>
                          </a:ln>
                        </pic:spPr>
                      </pic:pic>
                    </a:graphicData>
                  </a:graphic>
                </wp:inline>
              </w:drawing>
            </w:r>
          </w:p>
          <w:p>
            <w:pPr>
              <w:pStyle w:val="2"/>
              <w:adjustRightInd w:val="0"/>
              <w:snapToGrid w:val="0"/>
              <w:spacing w:before="0" w:after="0" w:line="360" w:lineRule="auto"/>
              <w:ind w:right="0"/>
              <w:rPr>
                <w:rFonts w:ascii="Times New Roman" w:hAnsi="Times New Roman" w:cs="Times New Roman"/>
                <w:color w:val="auto"/>
                <w:vertAlign w:val="baseline"/>
                <w:lang w:val="en-US" w:eastAsia="zh-CN"/>
              </w:rPr>
            </w:pPr>
            <w:r>
              <w:rPr>
                <w:rFonts w:ascii="Times New Roman" w:hAnsi="Times New Roman" w:cs="Times New Roman"/>
                <w:bCs/>
                <w:color w:val="auto"/>
                <w:sz w:val="24"/>
                <w:szCs w:val="24"/>
                <w:lang w:val="en-US" w:eastAsia="zh-CN"/>
              </w:rPr>
              <w:t>其中：V</w:t>
            </w:r>
            <w:r>
              <w:rPr>
                <w:rFonts w:ascii="Times New Roman" w:hAnsi="Times New Roman" w:cs="Times New Roman"/>
                <w:bCs/>
                <w:color w:val="auto"/>
                <w:sz w:val="24"/>
                <w:szCs w:val="24"/>
                <w:vertAlign w:val="subscript"/>
                <w:lang w:val="en-US" w:eastAsia="zh-CN"/>
              </w:rPr>
              <w:t>0</w:t>
            </w:r>
            <w:r>
              <w:rPr>
                <w:rFonts w:ascii="Times New Roman" w:hAnsi="Times New Roman" w:cs="Times New Roman"/>
                <w:bCs/>
                <w:color w:val="auto"/>
                <w:sz w:val="24"/>
                <w:szCs w:val="24"/>
                <w:vertAlign w:val="baseline"/>
                <w:lang w:val="en-US" w:eastAsia="zh-CN"/>
              </w:rPr>
              <w:t>——理论空气量：（Nm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w:t>
            </w:r>
            <w:r>
              <w:rPr>
                <w:rFonts w:hint="eastAsia" w:cs="Times New Roman"/>
                <w:bCs/>
                <w:color w:val="auto"/>
                <w:sz w:val="24"/>
                <w:szCs w:val="24"/>
                <w:vertAlign w:val="baseline"/>
                <w:lang w:val="en-US" w:eastAsia="zh-CN"/>
              </w:rPr>
              <w:t>本项目V</w:t>
            </w:r>
            <w:r>
              <w:rPr>
                <w:rFonts w:hint="eastAsia" w:cs="Times New Roman"/>
                <w:bCs/>
                <w:color w:val="auto"/>
                <w:sz w:val="24"/>
                <w:szCs w:val="24"/>
                <w:vertAlign w:val="subscript"/>
                <w:lang w:val="en-US" w:eastAsia="zh-CN"/>
              </w:rPr>
              <w:t>0</w:t>
            </w:r>
            <w:r>
              <w:rPr>
                <w:rFonts w:hint="eastAsia" w:cs="Times New Roman"/>
                <w:bCs/>
                <w:color w:val="auto"/>
                <w:sz w:val="24"/>
                <w:szCs w:val="24"/>
                <w:vertAlign w:val="baseline"/>
                <w:lang w:val="en-US" w:eastAsia="zh-CN"/>
              </w:rPr>
              <w:t>=1.1913</w:t>
            </w:r>
            <w:r>
              <w:rPr>
                <w:rFonts w:ascii="Times New Roman" w:hAnsi="Times New Roman" w:cs="Times New Roman"/>
                <w:bCs/>
                <w:color w:val="auto"/>
                <w:sz w:val="24"/>
                <w:szCs w:val="24"/>
                <w:vertAlign w:val="baseline"/>
                <w:lang w:val="en-US" w:eastAsia="zh-CN"/>
              </w:rPr>
              <w:t>（Nm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w:t>
            </w:r>
          </w:p>
          <w:p>
            <w:pPr>
              <w:pStyle w:val="2"/>
              <w:adjustRightInd w:val="0"/>
              <w:snapToGrid w:val="0"/>
              <w:spacing w:before="0" w:after="0" w:line="360" w:lineRule="auto"/>
              <w:ind w:right="0" w:firstLine="480" w:firstLineChars="200"/>
              <w:rPr>
                <w:rFonts w:ascii="Times New Roman" w:hAnsi="Times New Roman" w:cs="Times New Roman"/>
                <w:color w:val="auto"/>
                <w:vertAlign w:val="baseline"/>
                <w:lang w:val="en-US" w:eastAsia="zh-CN"/>
              </w:rPr>
            </w:pPr>
            <w:r>
              <w:rPr>
                <w:rFonts w:ascii="Times New Roman" w:hAnsi="Times New Roman" w:cs="Times New Roman"/>
                <w:bCs/>
                <w:color w:val="auto"/>
                <w:sz w:val="24"/>
                <w:szCs w:val="24"/>
                <w:lang w:val="en-US" w:eastAsia="zh-CN"/>
              </w:rPr>
              <w:t>Q</w:t>
            </w:r>
            <w:r>
              <w:rPr>
                <w:rFonts w:ascii="Times New Roman" w:hAnsi="Times New Roman" w:cs="Times New Roman"/>
                <w:bCs/>
                <w:color w:val="auto"/>
                <w:sz w:val="24"/>
                <w:szCs w:val="24"/>
                <w:vertAlign w:val="subscript"/>
                <w:lang w:val="en-US" w:eastAsia="zh-CN"/>
              </w:rPr>
              <w:t>net，ar</w:t>
            </w:r>
            <w:r>
              <w:rPr>
                <w:rFonts w:ascii="Times New Roman" w:hAnsi="Times New Roman" w:cs="Times New Roman"/>
                <w:bCs/>
                <w:color w:val="auto"/>
                <w:sz w:val="24"/>
                <w:szCs w:val="24"/>
                <w:vertAlign w:val="baseline"/>
                <w:lang w:val="en-US" w:eastAsia="zh-CN"/>
              </w:rPr>
              <w:t>——</w:t>
            </w:r>
            <w:r>
              <w:rPr>
                <w:rFonts w:ascii="Times New Roman" w:hAnsi="Times New Roman" w:cs="Times New Roman"/>
                <w:bCs/>
                <w:color w:val="auto"/>
                <w:sz w:val="24"/>
                <w:szCs w:val="24"/>
                <w:lang w:val="en-US" w:eastAsia="zh-CN"/>
              </w:rPr>
              <w:t>生物质燃料基准低位发热量</w:t>
            </w:r>
            <w:r>
              <w:rPr>
                <w:rFonts w:ascii="Times New Roman" w:hAnsi="Times New Roman" w:cs="Times New Roman"/>
                <w:bCs/>
                <w:color w:val="auto"/>
                <w:sz w:val="24"/>
                <w:szCs w:val="24"/>
                <w:vertAlign w:val="baseline"/>
                <w:lang w:val="en-US" w:eastAsia="zh-CN"/>
              </w:rPr>
              <w:t>：（kj/m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w:t>
            </w:r>
          </w:p>
          <w:p>
            <w:pPr>
              <w:pStyle w:val="2"/>
              <w:adjustRightInd w:val="0"/>
              <w:snapToGrid w:val="0"/>
              <w:spacing w:before="0" w:after="0" w:line="360" w:lineRule="auto"/>
              <w:ind w:right="0" w:firstLine="480" w:firstLineChars="200"/>
              <w:rPr>
                <w:rFonts w:ascii="Times New Roman" w:hAnsi="Times New Roman" w:cs="Times New Roman"/>
                <w:color w:val="auto"/>
                <w:vertAlign w:val="baseline"/>
                <w:lang w:val="en-US" w:eastAsia="zh-CN"/>
              </w:rPr>
            </w:pPr>
            <w:r>
              <w:rPr>
                <w:rFonts w:ascii="Times New Roman" w:hAnsi="Times New Roman" w:cs="Times New Roman"/>
                <w:bCs/>
                <w:color w:val="auto"/>
                <w:sz w:val="24"/>
                <w:szCs w:val="24"/>
                <w:lang w:val="en-US" w:eastAsia="zh-CN"/>
              </w:rPr>
              <w:t>V</w:t>
            </w:r>
            <w:r>
              <w:rPr>
                <w:rFonts w:ascii="Times New Roman" w:hAnsi="Times New Roman" w:cs="Times New Roman"/>
                <w:bCs/>
                <w:color w:val="auto"/>
                <w:sz w:val="24"/>
                <w:szCs w:val="24"/>
                <w:vertAlign w:val="subscript"/>
                <w:lang w:val="en-US" w:eastAsia="zh-CN"/>
              </w:rPr>
              <w:t>s</w:t>
            </w:r>
            <w:r>
              <w:rPr>
                <w:rFonts w:ascii="Times New Roman" w:hAnsi="Times New Roman" w:cs="Times New Roman"/>
                <w:bCs/>
                <w:color w:val="auto"/>
                <w:sz w:val="24"/>
                <w:szCs w:val="24"/>
                <w:vertAlign w:val="baseline"/>
                <w:lang w:val="en-US" w:eastAsia="zh-CN"/>
              </w:rPr>
              <w:t>——湿烟气排气量：（Nm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vertAlign w:val="baseline"/>
                <w:lang w:val="en-US" w:eastAsia="zh-CN"/>
              </w:rPr>
              <w:t>）ａ——过量空气系数。本项目取1.</w:t>
            </w:r>
            <w:r>
              <w:rPr>
                <w:rFonts w:hint="eastAsia" w:cs="Times New Roman"/>
                <w:bCs/>
                <w:color w:val="auto"/>
                <w:sz w:val="24"/>
                <w:szCs w:val="24"/>
                <w:vertAlign w:val="baseline"/>
                <w:lang w:val="en-US" w:eastAsia="zh-CN"/>
              </w:rPr>
              <w:t>2</w:t>
            </w:r>
          </w:p>
          <w:p>
            <w:pPr>
              <w:pStyle w:val="2"/>
              <w:adjustRightInd w:val="0"/>
              <w:snapToGrid w:val="0"/>
              <w:spacing w:before="0" w:after="0" w:line="360" w:lineRule="auto"/>
              <w:ind w:right="0" w:firstLine="480" w:firstLineChars="200"/>
              <w:rPr>
                <w:rFonts w:ascii="Times New Roman" w:hAnsi="Times New Roman" w:eastAsia="宋体" w:cs="Times New Roman"/>
                <w:b/>
                <w:color w:val="auto"/>
                <w:sz w:val="24"/>
                <w:szCs w:val="24"/>
              </w:rPr>
            </w:pPr>
            <w:r>
              <w:rPr>
                <w:rFonts w:ascii="Times New Roman" w:hAnsi="Times New Roman" w:cs="Times New Roman"/>
                <w:bCs/>
                <w:color w:val="auto"/>
                <w:sz w:val="24"/>
                <w:szCs w:val="24"/>
                <w:lang w:val="en-US" w:eastAsia="zh-CN"/>
              </w:rPr>
              <w:t>本项目燃料</w:t>
            </w:r>
            <w:r>
              <w:rPr>
                <w:rFonts w:ascii="Times New Roman" w:hAnsi="Times New Roman" w:cs="Times New Roman"/>
                <w:color w:val="auto"/>
                <w:sz w:val="24"/>
                <w:szCs w:val="32"/>
                <w:lang w:val="en-US" w:eastAsia="zh-CN"/>
              </w:rPr>
              <w:t>基准低位发热量</w:t>
            </w:r>
            <w:r>
              <w:rPr>
                <w:rFonts w:ascii="Times New Roman" w:hAnsi="Times New Roman" w:cs="Times New Roman"/>
                <w:bCs/>
                <w:color w:val="auto"/>
                <w:sz w:val="24"/>
                <w:szCs w:val="24"/>
                <w:lang w:val="en-US" w:eastAsia="zh-CN"/>
              </w:rPr>
              <w:t>Q</w:t>
            </w:r>
            <w:r>
              <w:rPr>
                <w:rFonts w:ascii="Times New Roman" w:hAnsi="Times New Roman" w:cs="Times New Roman"/>
                <w:bCs/>
                <w:color w:val="auto"/>
                <w:sz w:val="24"/>
                <w:szCs w:val="24"/>
                <w:vertAlign w:val="subscript"/>
                <w:lang w:val="en-US" w:eastAsia="zh-CN"/>
              </w:rPr>
              <w:t>net，ar</w:t>
            </w:r>
            <w:r>
              <w:rPr>
                <w:rFonts w:ascii="Times New Roman" w:hAnsi="Times New Roman" w:cs="Times New Roman"/>
                <w:bCs/>
                <w:color w:val="auto"/>
                <w:sz w:val="24"/>
                <w:szCs w:val="24"/>
                <w:vertAlign w:val="baseline"/>
                <w:lang w:val="en-US" w:eastAsia="zh-CN"/>
              </w:rPr>
              <w:t>=</w:t>
            </w:r>
            <w:r>
              <w:rPr>
                <w:rFonts w:hint="eastAsia" w:cs="Times New Roman"/>
                <w:bCs/>
                <w:color w:val="auto"/>
                <w:sz w:val="24"/>
                <w:szCs w:val="24"/>
                <w:vertAlign w:val="baseline"/>
                <w:lang w:val="en-US" w:eastAsia="zh-CN"/>
              </w:rPr>
              <w:t>570</w:t>
            </w:r>
            <w:r>
              <w:rPr>
                <w:rFonts w:ascii="Times New Roman" w:hAnsi="Times New Roman" w:cs="Times New Roman"/>
                <w:color w:val="auto"/>
                <w:sz w:val="24"/>
                <w:szCs w:val="32"/>
                <w:lang w:val="en-US" w:eastAsia="zh-CN"/>
              </w:rPr>
              <w:t>0</w:t>
            </w:r>
            <w:r>
              <w:rPr>
                <w:rFonts w:ascii="Times New Roman" w:hAnsi="Times New Roman" w:cs="Times New Roman"/>
                <w:color w:val="auto"/>
                <w:sz w:val="24"/>
                <w:szCs w:val="24"/>
              </w:rPr>
              <w:t>kJ/m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vertAlign w:val="baseline"/>
                <w:lang w:val="en-US" w:eastAsia="zh-CN"/>
              </w:rPr>
              <w:t>，</w:t>
            </w:r>
            <w:r>
              <w:rPr>
                <w:rFonts w:ascii="Times New Roman" w:hAnsi="Times New Roman" w:cs="Times New Roman"/>
                <w:bCs/>
                <w:color w:val="auto"/>
                <w:sz w:val="24"/>
                <w:szCs w:val="24"/>
                <w:lang w:val="en-US" w:eastAsia="zh-CN"/>
              </w:rPr>
              <w:t>经计算，本项目生物质燃料燃烧所产生的实际烟气量为</w:t>
            </w:r>
            <w:r>
              <w:rPr>
                <w:rFonts w:hint="eastAsia" w:cs="Times New Roman"/>
                <w:bCs/>
                <w:color w:val="auto"/>
                <w:sz w:val="24"/>
                <w:szCs w:val="24"/>
                <w:lang w:val="en-US" w:eastAsia="zh-CN"/>
              </w:rPr>
              <w:t>2.2282</w:t>
            </w:r>
            <w:r>
              <w:rPr>
                <w:rFonts w:ascii="Times New Roman" w:hAnsi="Times New Roman" w:cs="Times New Roman"/>
                <w:bCs/>
                <w:color w:val="auto"/>
                <w:sz w:val="24"/>
                <w:szCs w:val="24"/>
                <w:lang w:val="en-US" w:eastAsia="zh-CN"/>
              </w:rPr>
              <w:t>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lang w:val="en-US" w:eastAsia="zh-CN"/>
              </w:rPr>
              <w:t>/m</w:t>
            </w:r>
            <w:r>
              <w:rPr>
                <w:rFonts w:ascii="Times New Roman" w:hAnsi="Times New Roman" w:cs="Times New Roman"/>
                <w:bCs/>
                <w:color w:val="auto"/>
                <w:sz w:val="24"/>
                <w:szCs w:val="24"/>
                <w:vertAlign w:val="superscript"/>
                <w:lang w:val="en-US" w:eastAsia="zh-CN"/>
              </w:rPr>
              <w:t>3</w:t>
            </w:r>
            <w:r>
              <w:rPr>
                <w:rFonts w:ascii="Times New Roman" w:hAnsi="Times New Roman" w:cs="Times New Roman"/>
                <w:bCs/>
                <w:color w:val="auto"/>
                <w:sz w:val="24"/>
                <w:szCs w:val="24"/>
                <w:lang w:val="en-US" w:eastAsia="zh-CN"/>
              </w:rPr>
              <w:t>生物质气化燃气，项目生物质气化燃气年产生量为</w:t>
            </w:r>
            <w:r>
              <w:rPr>
                <w:rFonts w:hint="eastAsia" w:cs="Times New Roman"/>
                <w:color w:val="auto"/>
                <w:sz w:val="24"/>
                <w:szCs w:val="24"/>
                <w:vertAlign w:val="baseline"/>
                <w:lang w:val="en-US" w:eastAsia="zh-CN"/>
              </w:rPr>
              <w:t>4914.24</w:t>
            </w:r>
            <w:r>
              <w:rPr>
                <w:rFonts w:ascii="Times New Roman" w:hAnsi="Times New Roman" w:cs="Times New Roman"/>
                <w:color w:val="auto"/>
                <w:sz w:val="24"/>
                <w:szCs w:val="24"/>
                <w:vertAlign w:val="baseline"/>
                <w:lang w:val="en-US" w:eastAsia="zh-CN"/>
              </w:rPr>
              <w:t>万m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/a，则项目烟气排放量为</w:t>
            </w:r>
            <w:r>
              <w:rPr>
                <w:rFonts w:hint="eastAsia" w:cs="Times New Roman"/>
                <w:color w:val="auto"/>
                <w:sz w:val="24"/>
                <w:szCs w:val="24"/>
                <w:vertAlign w:val="baseline"/>
                <w:lang w:val="en-US" w:eastAsia="zh-CN"/>
              </w:rPr>
              <w:t>10949.91</w:t>
            </w:r>
            <w:r>
              <w:rPr>
                <w:rFonts w:ascii="Times New Roman" w:hAnsi="Times New Roman" w:cs="Times New Roman"/>
                <w:color w:val="auto"/>
                <w:sz w:val="24"/>
                <w:szCs w:val="24"/>
                <w:vertAlign w:val="baseline"/>
                <w:lang w:val="en-US" w:eastAsia="zh-CN"/>
              </w:rPr>
              <w:t>万m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/a，</w:t>
            </w:r>
            <w:r>
              <w:rPr>
                <w:rFonts w:hint="eastAsia" w:cs="Times New Roman"/>
                <w:color w:val="auto"/>
                <w:sz w:val="24"/>
                <w:szCs w:val="24"/>
                <w:vertAlign w:val="baseline"/>
                <w:lang w:val="en-US" w:eastAsia="zh-CN"/>
              </w:rPr>
              <w:t>13825.64</w:t>
            </w:r>
            <w:r>
              <w:rPr>
                <w:rFonts w:ascii="Times New Roman" w:hAnsi="Times New Roman" w:eastAsia="宋体" w:cs="Times New Roman"/>
                <w:bCs/>
                <w:color w:val="auto"/>
                <w:sz w:val="24"/>
                <w:szCs w:val="24"/>
              </w:rPr>
              <w:t>m</w:t>
            </w:r>
            <w:r>
              <w:rPr>
                <w:rFonts w:ascii="Times New Roman" w:hAnsi="Times New Roman" w:eastAsia="宋体" w:cs="Times New Roman"/>
                <w:bCs/>
                <w:color w:val="auto"/>
                <w:sz w:val="24"/>
                <w:szCs w:val="24"/>
                <w:vertAlign w:val="superscript"/>
              </w:rPr>
              <w:t>3</w:t>
            </w:r>
            <w:r>
              <w:rPr>
                <w:rFonts w:ascii="Times New Roman" w:hAnsi="Times New Roman" w:eastAsia="宋体" w:cs="Times New Roman"/>
                <w:bCs/>
                <w:color w:val="auto"/>
                <w:sz w:val="24"/>
                <w:szCs w:val="24"/>
              </w:rPr>
              <w:t>/h。</w:t>
            </w:r>
          </w:p>
          <w:p>
            <w:pPr>
              <w:pStyle w:val="43"/>
              <w:kinsoku w:val="0"/>
              <w:overflowPunct w:val="0"/>
              <w:rPr>
                <w:rFonts w:ascii="Times New Roman" w:hAnsi="Times New Roman" w:cs="Times New Roman"/>
                <w:b/>
                <w:color w:val="auto"/>
                <w:sz w:val="24"/>
                <w:szCs w:val="24"/>
                <w:lang w:eastAsia="zh-CN"/>
              </w:rPr>
            </w:pPr>
            <w:r>
              <w:rPr>
                <w:rFonts w:ascii="Times New Roman" w:hAnsi="Times New Roman" w:cs="Times New Roman"/>
                <w:b/>
                <w:color w:val="auto"/>
                <w:sz w:val="24"/>
                <w:szCs w:val="24"/>
                <w:lang w:eastAsia="zh-CN"/>
              </w:rPr>
              <w:t>氮氧化物：</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锅炉以生物质气化燃气为燃料，生物质气化燃气成分包括氮气、碳氢化合物气体、一氧化碳、氢气等，在燃烧过程中主要是碳氢化合物气体、一氧化碳、氢气等发生反应，燃烧放热，燃烧产物主要为二氧化碳和水。生物质气化燃气中氮气与空气中的氮气一样，为惰性气体，但在高温过程中容易与氧发生反应形成热力型氮氧化物，热力型氮氧化物的形成与温度密切相关。</w: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w:t>因为没有</w:t>
            </w:r>
            <w:r>
              <w:rPr>
                <w:rFonts w:hint="eastAsia"/>
                <w:color w:val="auto"/>
                <w:sz w:val="24"/>
                <w:lang w:val="en-US" w:eastAsia="zh-CN"/>
              </w:rPr>
              <w:t>生物质气化炉</w:t>
            </w:r>
            <w:r>
              <w:rPr>
                <w:color w:val="auto"/>
                <w:sz w:val="24"/>
              </w:rPr>
              <w:t>氮氧化物的源强，</w:t>
            </w:r>
            <w:r>
              <w:rPr>
                <w:rFonts w:hint="eastAsia"/>
                <w:color w:val="auto"/>
                <w:sz w:val="24"/>
                <w:lang w:val="en-US" w:eastAsia="zh-CN"/>
              </w:rPr>
              <w:t>本项目参照发生炉煤气</w:t>
            </w:r>
            <w:r>
              <w:rPr>
                <w:color w:val="auto"/>
                <w:sz w:val="24"/>
              </w:rPr>
              <w:t>锅炉的氮氧化物的源强排污系数</w:t>
            </w:r>
            <w:r>
              <w:rPr>
                <w:rFonts w:hint="eastAsia"/>
                <w:color w:val="auto"/>
                <w:sz w:val="24"/>
                <w:lang w:eastAsia="zh-CN"/>
              </w:rPr>
              <w:t>，</w:t>
            </w:r>
            <w:r>
              <w:rPr>
                <w:rFonts w:hint="eastAsia"/>
                <w:color w:val="auto"/>
                <w:sz w:val="24"/>
                <w:lang w:val="en-US" w:eastAsia="zh-CN"/>
              </w:rPr>
              <w:t>为0.64kg/</w:t>
            </w:r>
            <w:r>
              <w:rPr>
                <w:rFonts w:hint="eastAsia"/>
                <w:color w:val="auto"/>
                <w:sz w:val="24"/>
              </w:rPr>
              <w:t>万立方米-原料</w:t>
            </w:r>
            <w:r>
              <w:rPr>
                <w:rFonts w:hint="eastAsia"/>
                <w:color w:val="auto"/>
                <w:sz w:val="24"/>
                <w:lang w:eastAsia="zh-CN"/>
              </w:rPr>
              <w:t>（</w:t>
            </w:r>
            <w:r>
              <w:rPr>
                <w:rFonts w:hint="eastAsia"/>
                <w:color w:val="auto"/>
                <w:sz w:val="24"/>
                <w:lang w:val="en-US" w:eastAsia="zh-CN"/>
              </w:rPr>
              <w:t>发生炉煤气</w:t>
            </w:r>
            <w:r>
              <w:rPr>
                <w:color w:val="auto"/>
                <w:sz w:val="24"/>
              </w:rPr>
              <w:t>的</w:t>
            </w:r>
            <w:r>
              <w:rPr>
                <w:rFonts w:hint="eastAsia"/>
                <w:color w:val="auto"/>
                <w:sz w:val="24"/>
                <w:lang w:val="en-US" w:eastAsia="zh-CN"/>
              </w:rPr>
              <w:t>燃料热值为5234</w:t>
            </w:r>
            <w:r>
              <w:rPr>
                <w:rFonts w:ascii="Times New Roman" w:hAnsi="Times New Roman" w:cs="Times New Roman"/>
                <w:color w:val="auto"/>
                <w:sz w:val="24"/>
                <w:szCs w:val="24"/>
              </w:rPr>
              <w:t>kJ/m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vertAlign w:val="baseline"/>
                <w:lang w:val="en-US" w:eastAsia="zh-CN"/>
              </w:rPr>
              <w:t>，</w:t>
            </w:r>
            <w:r>
              <w:rPr>
                <w:rFonts w:hint="eastAsia" w:cs="Times New Roman"/>
                <w:color w:val="auto"/>
                <w:sz w:val="24"/>
                <w:szCs w:val="24"/>
                <w:vertAlign w:val="baseline"/>
                <w:lang w:val="en-US" w:eastAsia="zh-CN"/>
              </w:rPr>
              <w:t>与本项目低位发热量相差较小</w:t>
            </w:r>
            <w:r>
              <w:rPr>
                <w:rFonts w:hint="eastAsia"/>
                <w:color w:val="auto"/>
                <w:sz w:val="24"/>
                <w:lang w:eastAsia="zh-CN"/>
              </w:rPr>
              <w:t>），</w:t>
            </w:r>
            <w:r>
              <w:rPr>
                <w:rFonts w:hint="eastAsia"/>
                <w:color w:val="auto"/>
                <w:sz w:val="24"/>
                <w:lang w:val="en-US" w:eastAsia="zh-CN"/>
              </w:rPr>
              <w:t>项目</w:t>
            </w:r>
            <w:r>
              <w:rPr>
                <w:rFonts w:ascii="Times New Roman" w:hAnsi="Times New Roman" w:cs="Times New Roman"/>
                <w:bCs/>
                <w:color w:val="auto"/>
                <w:sz w:val="24"/>
                <w:szCs w:val="24"/>
                <w:lang w:val="en-US" w:eastAsia="zh-CN"/>
              </w:rPr>
              <w:t>燃气年产生量为</w:t>
            </w:r>
            <w:r>
              <w:rPr>
                <w:rFonts w:hint="eastAsia" w:cs="Times New Roman"/>
                <w:color w:val="auto"/>
                <w:sz w:val="24"/>
                <w:szCs w:val="24"/>
                <w:vertAlign w:val="baseline"/>
                <w:lang w:val="en-US" w:eastAsia="zh-CN"/>
              </w:rPr>
              <w:t>4914.24</w:t>
            </w:r>
            <w:r>
              <w:rPr>
                <w:rFonts w:ascii="Times New Roman" w:hAnsi="Times New Roman" w:cs="Times New Roman"/>
                <w:color w:val="auto"/>
                <w:sz w:val="24"/>
                <w:szCs w:val="24"/>
                <w:vertAlign w:val="baseline"/>
                <w:lang w:val="en-US" w:eastAsia="zh-CN"/>
              </w:rPr>
              <w:t>万m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/a</w:t>
            </w:r>
            <w:r>
              <w:rPr>
                <w:rFonts w:hint="eastAsia" w:cs="Times New Roman"/>
                <w:color w:val="auto"/>
                <w:sz w:val="24"/>
                <w:szCs w:val="24"/>
                <w:vertAlign w:val="baseline"/>
                <w:lang w:val="en-US" w:eastAsia="zh-CN"/>
              </w:rPr>
              <w:t>，则氮氧化物排放量为4914.24</w:t>
            </w:r>
            <w:r>
              <w:rPr>
                <w:rFonts w:ascii="Times New Roman" w:hAnsi="Times New Roman" w:cs="Times New Roman"/>
                <w:color w:val="auto"/>
                <w:sz w:val="24"/>
                <w:szCs w:val="24"/>
                <w:vertAlign w:val="baseline"/>
                <w:lang w:val="en-US" w:eastAsia="zh-CN"/>
              </w:rPr>
              <w:t>万m</w:t>
            </w:r>
            <w:r>
              <w:rPr>
                <w:rFonts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vertAlign w:val="baseline"/>
                <w:lang w:val="en-US" w:eastAsia="zh-CN"/>
              </w:rPr>
              <w:t>/a</w:t>
            </w:r>
            <w:r>
              <w:rPr>
                <w:rFonts w:hint="eastAsia" w:cs="Times New Roman"/>
                <w:color w:val="auto"/>
                <w:sz w:val="24"/>
                <w:szCs w:val="24"/>
                <w:lang w:val="en-US" w:eastAsia="zh-CN"/>
              </w:rPr>
              <w:t>×0.64</w:t>
            </w:r>
            <w:r>
              <w:rPr>
                <w:rFonts w:hint="eastAsia"/>
                <w:color w:val="auto"/>
                <w:sz w:val="24"/>
                <w:lang w:val="en-US" w:eastAsia="zh-CN"/>
              </w:rPr>
              <w:t>kg/</w:t>
            </w:r>
            <w:r>
              <w:rPr>
                <w:rFonts w:hint="eastAsia"/>
                <w:color w:val="auto"/>
                <w:sz w:val="24"/>
              </w:rPr>
              <w:t>万立方米</w:t>
            </w:r>
            <w:r>
              <w:rPr>
                <w:rFonts w:hint="eastAsia"/>
                <w:color w:val="auto"/>
                <w:sz w:val="24"/>
                <w:lang w:val="en-US" w:eastAsia="zh-CN"/>
              </w:rPr>
              <w:t>=</w:t>
            </w:r>
            <w:r>
              <w:rPr>
                <w:rFonts w:hint="eastAsia" w:cs="Times New Roman"/>
                <w:color w:val="auto"/>
                <w:sz w:val="24"/>
                <w:szCs w:val="24"/>
                <w:vertAlign w:val="baseline"/>
                <w:lang w:val="en-US" w:eastAsia="zh-CN"/>
              </w:rPr>
              <w:t>3.145t/a，0.397kg/h。产生浓度为28.71</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hint="eastAsia" w:cs="Times New Roman"/>
                <w:color w:val="auto"/>
                <w:sz w:val="24"/>
                <w:szCs w:val="24"/>
                <w:vertAlign w:val="baseline"/>
                <w:lang w:eastAsia="zh-CN"/>
              </w:rPr>
              <w:t>。</w:t>
            </w:r>
          </w:p>
          <w:p>
            <w:pPr>
              <w:pStyle w:val="2"/>
              <w:spacing w:before="0" w:after="0" w:line="360" w:lineRule="auto"/>
              <w:ind w:right="0"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二氧化硫：</w:t>
            </w:r>
          </w:p>
          <w:p>
            <w:pPr>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684145" cy="539750"/>
                  <wp:effectExtent l="0" t="0" r="9" b="23"/>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5"/>
                          <a:stretch>
                            <a:fillRect/>
                          </a:stretch>
                        </pic:blipFill>
                        <pic:spPr>
                          <a:xfrm>
                            <a:off x="0" y="0"/>
                            <a:ext cx="2684779" cy="539750"/>
                          </a:xfrm>
                          <a:prstGeom prst="rect">
                            <a:avLst/>
                          </a:prstGeom>
                          <a:noFill/>
                          <a:ln w="9525" cap="flat" cmpd="sng">
                            <a:noFill/>
                            <a:prstDash val="solid"/>
                            <a:round/>
                          </a:ln>
                        </pic:spPr>
                      </pic:pic>
                    </a:graphicData>
                  </a:graphic>
                </wp:inline>
              </w:drawing>
            </w:r>
          </w:p>
          <w:p>
            <w:pPr>
              <w:pStyle w:val="2"/>
              <w:rPr>
                <w:rFonts w:ascii="Times New Roman" w:hAnsi="Times New Roman" w:cs="Times New Roman"/>
                <w:color w:val="auto"/>
                <w:sz w:val="24"/>
                <w:szCs w:val="24"/>
              </w:rPr>
            </w:pPr>
            <w:r>
              <w:rPr>
                <w:rFonts w:ascii="Times New Roman" w:hAnsi="Times New Roman" w:cs="Times New Roman"/>
                <w:color w:val="auto"/>
                <w:sz w:val="24"/>
                <w:szCs w:val="24"/>
              </w:rPr>
              <w:t>式中：</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Eso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一-核算时段内二氧化硫排放量，t；</w:t>
            </w:r>
          </w:p>
          <w:p>
            <w:pPr>
              <w:pStyle w:val="2"/>
              <w:adjustRightInd w:val="0"/>
              <w:snapToGrid w:val="0"/>
              <w:spacing w:before="0" w:after="0" w:line="360" w:lineRule="auto"/>
              <w:ind w:right="0" w:firstLine="480" w:firstLineChars="200"/>
              <w:rPr>
                <w:rFonts w:ascii="Times New Roman" w:hAnsi="Times New Roman" w:eastAsia="宋体" w:cs="Times New Roman"/>
                <w:color w:val="auto"/>
                <w:sz w:val="24"/>
                <w:szCs w:val="24"/>
                <w:lang w:val="en-US" w:eastAsia="zh-CN"/>
              </w:rPr>
            </w:pPr>
            <w:r>
              <w:rPr>
                <w:rFonts w:ascii="Times New Roman" w:hAnsi="Times New Roman" w:cs="Times New Roman"/>
                <w:color w:val="auto"/>
                <w:sz w:val="24"/>
                <w:szCs w:val="24"/>
              </w:rPr>
              <w:t>R一-核算时段内锅炉燃料耗量，万m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w:t>
            </w:r>
          </w:p>
          <w:p>
            <w:pPr>
              <w:pStyle w:val="2"/>
              <w:adjustRightInd w:val="0"/>
              <w:snapToGrid w:val="0"/>
              <w:spacing w:before="0" w:after="0" w:line="360" w:lineRule="auto"/>
              <w:ind w:right="0" w:firstLine="480" w:firstLineChars="200"/>
              <w:rPr>
                <w:rFonts w:hint="eastAsia" w:ascii="Times New Roman" w:hAnsi="Times New Roman" w:eastAsia="宋体" w:cs="Times New Roman"/>
                <w:color w:val="auto"/>
                <w:sz w:val="24"/>
                <w:szCs w:val="24"/>
                <w:vertAlign w:val="baseline"/>
                <w:lang w:val="en-US" w:eastAsia="zh-CN"/>
              </w:rPr>
            </w:pPr>
            <w:r>
              <w:rPr>
                <w:rFonts w:ascii="Times New Roman" w:hAnsi="Times New Roman" w:cs="Times New Roman"/>
                <w:color w:val="auto"/>
                <w:sz w:val="24"/>
                <w:szCs w:val="24"/>
              </w:rPr>
              <w:t>S</w:t>
            </w:r>
            <w:r>
              <w:rPr>
                <w:rFonts w:ascii="Times New Roman" w:hAnsi="Times New Roman" w:cs="Times New Roman"/>
                <w:color w:val="auto"/>
                <w:sz w:val="24"/>
                <w:szCs w:val="24"/>
                <w:vertAlign w:val="subscript"/>
              </w:rPr>
              <w:t>t</w:t>
            </w:r>
            <w:r>
              <w:rPr>
                <w:rFonts w:ascii="Times New Roman" w:hAnsi="Times New Roman" w:cs="Times New Roman"/>
                <w:color w:val="auto"/>
                <w:sz w:val="24"/>
                <w:szCs w:val="24"/>
              </w:rPr>
              <w:t>一燃料总硫的质量浓度，mg/m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；参考生物质气化燃气成分报告</w:t>
            </w:r>
            <w:r>
              <w:rPr>
                <w:rFonts w:ascii="Times New Roman" w:hAnsi="Times New Roman" w:cs="Times New Roman"/>
                <w:color w:val="auto"/>
                <w:sz w:val="24"/>
                <w:szCs w:val="24"/>
                <w:lang w:eastAsia="zh-CN"/>
              </w:rPr>
              <w:t>，</w:t>
            </w:r>
            <w:r>
              <w:rPr>
                <w:rFonts w:ascii="Times New Roman" w:hAnsi="Times New Roman" w:cs="Times New Roman"/>
                <w:color w:val="auto"/>
                <w:sz w:val="24"/>
                <w:szCs w:val="24"/>
                <w:u w:val="single"/>
                <w:lang w:val="en-US" w:eastAsia="zh-CN"/>
              </w:rPr>
              <w:t>本项目</w:t>
            </w:r>
            <w:r>
              <w:rPr>
                <w:rFonts w:hint="eastAsia" w:cs="Times New Roman"/>
                <w:color w:val="auto"/>
                <w:sz w:val="24"/>
                <w:szCs w:val="24"/>
                <w:u w:val="single"/>
                <w:lang w:val="en-US" w:eastAsia="zh-CN"/>
              </w:rPr>
              <w:t>H</w:t>
            </w:r>
            <w:r>
              <w:rPr>
                <w:rFonts w:hint="eastAsia" w:cs="Times New Roman"/>
                <w:color w:val="auto"/>
                <w:sz w:val="24"/>
                <w:szCs w:val="24"/>
                <w:u w:val="single"/>
                <w:vertAlign w:val="subscript"/>
                <w:lang w:val="en-US" w:eastAsia="zh-CN"/>
              </w:rPr>
              <w:t>2</w:t>
            </w:r>
            <w:r>
              <w:rPr>
                <w:rFonts w:hint="eastAsia" w:cs="Times New Roman"/>
                <w:color w:val="auto"/>
                <w:sz w:val="24"/>
                <w:szCs w:val="24"/>
                <w:u w:val="single"/>
                <w:vertAlign w:val="baseline"/>
                <w:lang w:val="en-US" w:eastAsia="zh-CN"/>
              </w:rPr>
              <w:t>S浓度为</w:t>
            </w:r>
            <w:r>
              <w:rPr>
                <w:rFonts w:hint="eastAsia" w:cs="Times New Roman"/>
                <w:color w:val="auto"/>
                <w:sz w:val="24"/>
                <w:szCs w:val="24"/>
                <w:u w:val="single"/>
                <w:lang w:val="en-US" w:eastAsia="zh-CN"/>
              </w:rPr>
              <w:t>0.29</w:t>
            </w:r>
            <w:r>
              <w:rPr>
                <w:rFonts w:ascii="Times New Roman" w:hAnsi="Times New Roman" w:cs="Times New Roman"/>
                <w:color w:val="auto"/>
                <w:sz w:val="24"/>
                <w:szCs w:val="24"/>
                <w:u w:val="single"/>
              </w:rPr>
              <w:t>mg/m</w:t>
            </w:r>
            <w:r>
              <w:rPr>
                <w:rFonts w:ascii="Times New Roman" w:hAnsi="Times New Roman" w:cs="Times New Roman"/>
                <w:color w:val="auto"/>
                <w:sz w:val="24"/>
                <w:szCs w:val="24"/>
                <w:u w:val="single"/>
                <w:vertAlign w:val="superscript"/>
              </w:rPr>
              <w:t>3</w:t>
            </w:r>
            <w:r>
              <w:rPr>
                <w:rFonts w:hint="eastAsia" w:cs="Times New Roman"/>
                <w:color w:val="auto"/>
                <w:sz w:val="24"/>
                <w:szCs w:val="24"/>
                <w:u w:val="single"/>
                <w:vertAlign w:val="baseline"/>
                <w:lang w:eastAsia="zh-CN"/>
              </w:rPr>
              <w:t>，</w:t>
            </w:r>
            <w:r>
              <w:rPr>
                <w:rFonts w:hint="eastAsia" w:cs="Times New Roman"/>
                <w:color w:val="auto"/>
                <w:sz w:val="24"/>
                <w:szCs w:val="24"/>
                <w:u w:val="single"/>
                <w:vertAlign w:val="baseline"/>
                <w:lang w:val="en-US" w:eastAsia="zh-CN"/>
              </w:rPr>
              <w:t>则</w:t>
            </w:r>
            <w:r>
              <w:rPr>
                <w:rFonts w:ascii="Times New Roman" w:hAnsi="Times New Roman" w:cs="Times New Roman"/>
                <w:color w:val="auto"/>
                <w:sz w:val="24"/>
                <w:szCs w:val="24"/>
                <w:u w:val="single"/>
              </w:rPr>
              <w:t>总硫的质量浓度</w:t>
            </w:r>
            <w:r>
              <w:rPr>
                <w:rFonts w:hint="eastAsia" w:cs="Times New Roman"/>
                <w:color w:val="auto"/>
                <w:sz w:val="24"/>
                <w:szCs w:val="24"/>
                <w:u w:val="single"/>
                <w:lang w:val="en-US" w:eastAsia="zh-CN"/>
              </w:rPr>
              <w:t>0.273</w:t>
            </w:r>
            <w:r>
              <w:rPr>
                <w:rFonts w:ascii="Times New Roman" w:hAnsi="Times New Roman" w:cs="Times New Roman"/>
                <w:color w:val="auto"/>
                <w:sz w:val="24"/>
                <w:szCs w:val="24"/>
                <w:u w:val="single"/>
              </w:rPr>
              <w:t>mg/m</w:t>
            </w:r>
            <w:r>
              <w:rPr>
                <w:rFonts w:ascii="Times New Roman" w:hAnsi="Times New Roman" w:cs="Times New Roman"/>
                <w:color w:val="auto"/>
                <w:sz w:val="24"/>
                <w:szCs w:val="24"/>
                <w:u w:val="single"/>
                <w:vertAlign w:val="superscript"/>
              </w:rPr>
              <w:t>3</w:t>
            </w:r>
            <w:r>
              <w:rPr>
                <w:rFonts w:hint="eastAsia" w:ascii="Times New Roman" w:hAnsi="Times New Roman" w:cs="Times New Roman"/>
                <w:color w:val="auto"/>
                <w:sz w:val="24"/>
                <w:szCs w:val="24"/>
                <w:u w:val="single"/>
                <w:vertAlign w:val="baseline"/>
                <w:lang w:eastAsia="zh-CN"/>
              </w:rPr>
              <w:t>。</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η</w:t>
            </w:r>
            <w:r>
              <w:rPr>
                <w:rFonts w:ascii="Times New Roman" w:hAnsi="Times New Roman" w:cs="Times New Roman"/>
                <w:color w:val="auto"/>
                <w:sz w:val="24"/>
                <w:szCs w:val="24"/>
                <w:vertAlign w:val="subscript"/>
              </w:rPr>
              <w:t>s</w:t>
            </w:r>
            <w:r>
              <w:rPr>
                <w:rFonts w:ascii="Times New Roman" w:hAnsi="Times New Roman" w:cs="Times New Roman"/>
                <w:color w:val="auto"/>
                <w:sz w:val="24"/>
                <w:szCs w:val="24"/>
              </w:rPr>
              <w:t>--脱硫效率，%，本项目取0；</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K-- 燃料中的硫燃烧后氧化成二氧化硫的份额，量纲的量，</w:t>
            </w:r>
            <w:r>
              <w:rPr>
                <w:rFonts w:ascii="Times New Roman" w:hAnsi="Times New Roman" w:cs="Times New Roman"/>
                <w:color w:val="auto"/>
                <w:sz w:val="24"/>
                <w:szCs w:val="24"/>
                <w:lang w:val="en-US" w:eastAsia="zh-CN"/>
              </w:rPr>
              <w:t>本项目</w:t>
            </w:r>
            <w:r>
              <w:rPr>
                <w:rFonts w:ascii="Times New Roman" w:hAnsi="Times New Roman" w:cs="Times New Roman"/>
                <w:color w:val="auto"/>
                <w:sz w:val="24"/>
                <w:szCs w:val="24"/>
              </w:rPr>
              <w:t>炉取1.0。</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则本项目二氧化硫排放量为</w:t>
            </w:r>
            <w:r>
              <w:rPr>
                <w:rFonts w:hint="eastAsia" w:cs="Times New Roman"/>
                <w:color w:val="auto"/>
                <w:sz w:val="24"/>
                <w:szCs w:val="24"/>
                <w:lang w:val="en-US" w:eastAsia="zh-CN"/>
              </w:rPr>
              <w:t>2×4914.24×0.273×1×1×10</w:t>
            </w:r>
            <w:r>
              <w:rPr>
                <w:rFonts w:hint="eastAsia" w:cs="Times New Roman"/>
                <w:color w:val="auto"/>
                <w:sz w:val="24"/>
                <w:szCs w:val="24"/>
                <w:vertAlign w:val="superscript"/>
                <w:lang w:val="en-US" w:eastAsia="zh-CN"/>
              </w:rPr>
              <w:t>-5</w:t>
            </w:r>
            <w:r>
              <w:rPr>
                <w:rFonts w:hint="eastAsia" w:cs="Times New Roman"/>
                <w:color w:val="auto"/>
                <w:sz w:val="24"/>
                <w:szCs w:val="24"/>
                <w:vertAlign w:val="baseline"/>
                <w:lang w:val="en-US" w:eastAsia="zh-CN"/>
              </w:rPr>
              <w:t>=</w:t>
            </w:r>
            <w:r>
              <w:rPr>
                <w:rFonts w:hint="eastAsia" w:cs="Times New Roman"/>
                <w:color w:val="auto"/>
                <w:sz w:val="24"/>
                <w:szCs w:val="24"/>
                <w:lang w:val="en-US" w:eastAsia="zh-CN"/>
              </w:rPr>
              <w:t>0.026t</w:t>
            </w:r>
            <w:r>
              <w:rPr>
                <w:rFonts w:ascii="Times New Roman" w:hAnsi="Times New Roman" w:cs="Times New Roman"/>
                <w:color w:val="auto"/>
                <w:sz w:val="24"/>
                <w:szCs w:val="24"/>
              </w:rPr>
              <w:t>，0.</w:t>
            </w:r>
            <w:r>
              <w:rPr>
                <w:rFonts w:hint="eastAsia" w:cs="Times New Roman"/>
                <w:color w:val="auto"/>
                <w:sz w:val="24"/>
                <w:szCs w:val="24"/>
                <w:lang w:val="en-US" w:eastAsia="zh-CN"/>
              </w:rPr>
              <w:t>0033</w:t>
            </w:r>
            <w:r>
              <w:rPr>
                <w:rFonts w:ascii="Times New Roman" w:hAnsi="Times New Roman" w:cs="Times New Roman"/>
                <w:color w:val="auto"/>
                <w:sz w:val="24"/>
                <w:szCs w:val="24"/>
              </w:rPr>
              <w:t>kg/h，浓度为</w:t>
            </w:r>
            <w:r>
              <w:rPr>
                <w:rFonts w:hint="eastAsia" w:cs="Times New Roman"/>
                <w:color w:val="auto"/>
                <w:sz w:val="24"/>
                <w:szCs w:val="24"/>
                <w:lang w:val="en-US" w:eastAsia="zh-CN"/>
              </w:rPr>
              <w:t>0.24</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w:t>
            </w:r>
          </w:p>
          <w:p>
            <w:pPr>
              <w:pStyle w:val="2"/>
              <w:adjustRightInd w:val="0"/>
              <w:snapToGrid w:val="0"/>
              <w:spacing w:before="0" w:after="0" w:line="360" w:lineRule="auto"/>
              <w:ind w:right="0"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颗粒物：</w:t>
            </w:r>
          </w:p>
          <w:p>
            <w:pPr>
              <w:spacing w:line="360" w:lineRule="auto"/>
              <w:ind w:firstLine="480" w:firstLineChars="200"/>
              <w:rPr>
                <w:rFonts w:hint="eastAsia" w:ascii="Times New Roman" w:hAnsi="Times New Roman" w:eastAsia="宋体" w:cs="Times New Roman"/>
                <w:color w:val="auto"/>
                <w:sz w:val="24"/>
                <w:lang w:val="en-US" w:eastAsia="zh-CN"/>
              </w:rPr>
            </w:pPr>
            <w:r>
              <w:rPr>
                <w:color w:val="auto"/>
                <w:sz w:val="24"/>
              </w:rPr>
              <w:t>因为没有</w:t>
            </w:r>
            <w:r>
              <w:rPr>
                <w:rFonts w:hint="eastAsia"/>
                <w:color w:val="auto"/>
                <w:sz w:val="24"/>
                <w:lang w:val="en-US" w:eastAsia="zh-CN"/>
              </w:rPr>
              <w:t>生物质气化炉颗粒物</w:t>
            </w:r>
            <w:r>
              <w:rPr>
                <w:color w:val="auto"/>
                <w:sz w:val="24"/>
              </w:rPr>
              <w:t>的源强，</w:t>
            </w:r>
            <w:r>
              <w:rPr>
                <w:rFonts w:hint="eastAsia"/>
                <w:color w:val="auto"/>
                <w:sz w:val="24"/>
                <w:lang w:val="en-US" w:eastAsia="zh-CN"/>
              </w:rPr>
              <w:t>本项目参照生物质直燃锅炉发生</w:t>
            </w:r>
            <w:r>
              <w:rPr>
                <w:color w:val="auto"/>
                <w:sz w:val="24"/>
              </w:rPr>
              <w:t>的</w:t>
            </w:r>
            <w:r>
              <w:rPr>
                <w:rFonts w:hint="eastAsia"/>
                <w:color w:val="auto"/>
                <w:sz w:val="24"/>
                <w:lang w:val="en-US" w:eastAsia="zh-CN"/>
              </w:rPr>
              <w:t>颗粒物</w:t>
            </w:r>
            <w:r>
              <w:rPr>
                <w:color w:val="auto"/>
                <w:sz w:val="24"/>
              </w:rPr>
              <w:t>的源强排污系数</w:t>
            </w:r>
            <w:r>
              <w:rPr>
                <w:rFonts w:hint="eastAsia"/>
                <w:color w:val="auto"/>
                <w:sz w:val="24"/>
                <w:lang w:eastAsia="zh-CN"/>
              </w:rPr>
              <w:t>，</w:t>
            </w:r>
            <w:r>
              <w:rPr>
                <w:rFonts w:hint="eastAsia"/>
                <w:color w:val="auto"/>
                <w:sz w:val="24"/>
                <w:lang w:val="en-US" w:eastAsia="zh-CN"/>
              </w:rPr>
              <w:t>为0.5kg/</w:t>
            </w:r>
            <w:r>
              <w:rPr>
                <w:rFonts w:hint="eastAsia"/>
                <w:color w:val="auto"/>
                <w:sz w:val="24"/>
              </w:rPr>
              <w:t>千克/</w:t>
            </w:r>
            <w:r>
              <w:rPr>
                <w:rFonts w:hint="eastAsia"/>
                <w:color w:val="auto"/>
                <w:sz w:val="24"/>
                <w:lang w:val="en-US" w:eastAsia="zh-CN"/>
              </w:rPr>
              <w:t>吨</w:t>
            </w:r>
            <w:r>
              <w:rPr>
                <w:rFonts w:hint="eastAsia"/>
                <w:color w:val="auto"/>
                <w:sz w:val="24"/>
              </w:rPr>
              <w:t>-原料</w:t>
            </w:r>
            <w:r>
              <w:rPr>
                <w:rFonts w:hint="eastAsia"/>
                <w:color w:val="auto"/>
                <w:sz w:val="24"/>
                <w:lang w:eastAsia="zh-CN"/>
              </w:rPr>
              <w:t>，</w:t>
            </w:r>
            <w:r>
              <w:rPr>
                <w:rFonts w:ascii="Times New Roman" w:hAnsi="Times New Roman" w:cs="Times New Roman"/>
                <w:color w:val="auto"/>
                <w:sz w:val="24"/>
                <w:szCs w:val="24"/>
                <w:vertAlign w:val="baseline"/>
                <w:lang w:val="en-US" w:eastAsia="zh-CN"/>
              </w:rPr>
              <w:t>本项目生物质燃料年消耗量为20</w:t>
            </w:r>
            <w:r>
              <w:rPr>
                <w:rFonts w:hint="eastAsia" w:cs="Times New Roman"/>
                <w:color w:val="auto"/>
                <w:sz w:val="24"/>
                <w:szCs w:val="24"/>
                <w:vertAlign w:val="baseline"/>
                <w:lang w:val="en-US" w:eastAsia="zh-CN"/>
              </w:rPr>
              <w:t>476</w:t>
            </w:r>
            <w:r>
              <w:rPr>
                <w:rFonts w:ascii="Times New Roman" w:hAnsi="Times New Roman" w:cs="Times New Roman"/>
                <w:color w:val="auto"/>
                <w:sz w:val="24"/>
                <w:szCs w:val="24"/>
                <w:vertAlign w:val="baseline"/>
                <w:lang w:val="en-US" w:eastAsia="zh-CN"/>
              </w:rPr>
              <w:t>t</w:t>
            </w:r>
            <w:r>
              <w:rPr>
                <w:rFonts w:hint="eastAsia" w:cs="Times New Roman"/>
                <w:color w:val="auto"/>
                <w:sz w:val="24"/>
                <w:szCs w:val="24"/>
                <w:vertAlign w:val="baseline"/>
                <w:lang w:val="en-US" w:eastAsia="zh-CN"/>
              </w:rPr>
              <w:t>，则颗粒物的产生量为10.24t/a，1.293kg/h。产生浓度为89.62</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hint="eastAsia" w:cs="Times New Roman"/>
                <w:color w:val="auto"/>
                <w:sz w:val="24"/>
                <w:szCs w:val="24"/>
                <w:vertAlign w:val="baseline"/>
                <w:lang w:eastAsia="zh-CN"/>
              </w:rPr>
              <w:t>。</w:t>
            </w:r>
          </w:p>
          <w:p>
            <w:pPr>
              <w:adjustRightInd w:val="0"/>
              <w:snapToGrid w:val="0"/>
              <w:spacing w:line="360" w:lineRule="auto"/>
              <w:ind w:firstLine="480" w:firstLineChars="200"/>
              <w:rPr>
                <w:rFonts w:ascii="Times New Roman" w:hAnsi="Times New Roman" w:cs="Times New Roman"/>
                <w:bCs/>
                <w:color w:val="auto"/>
                <w:sz w:val="24"/>
                <w:lang w:val="en-US"/>
              </w:rPr>
            </w:pPr>
            <w:r>
              <w:rPr>
                <w:rFonts w:ascii="Times New Roman" w:hAnsi="Times New Roman" w:cs="Times New Roman"/>
                <w:bCs/>
                <w:color w:val="auto"/>
                <w:sz w:val="24"/>
                <w:lang w:val="en-US" w:eastAsia="zh-CN"/>
              </w:rPr>
              <w:t>综上，</w:t>
            </w:r>
            <w:r>
              <w:rPr>
                <w:rFonts w:ascii="Times New Roman" w:hAnsi="Times New Roman" w:cs="Times New Roman"/>
                <w:bCs/>
                <w:color w:val="auto"/>
                <w:sz w:val="24"/>
              </w:rPr>
              <w:t>本项目锅炉</w:t>
            </w:r>
            <w:r>
              <w:rPr>
                <w:rFonts w:ascii="Times New Roman" w:hAnsi="Times New Roman" w:cs="Times New Roman"/>
                <w:bCs/>
                <w:color w:val="auto"/>
                <w:sz w:val="24"/>
                <w:lang w:val="en-US" w:eastAsia="zh-CN"/>
              </w:rPr>
              <w:t>尾气</w:t>
            </w:r>
            <w:r>
              <w:rPr>
                <w:rFonts w:ascii="Times New Roman" w:hAnsi="Times New Roman" w:cs="Times New Roman"/>
                <w:bCs/>
                <w:color w:val="auto"/>
                <w:sz w:val="24"/>
              </w:rPr>
              <w:t>颗粒物</w:t>
            </w:r>
            <w:r>
              <w:rPr>
                <w:rFonts w:ascii="Times New Roman" w:hAnsi="Times New Roman" w:cs="Times New Roman"/>
                <w:bCs/>
                <w:color w:val="auto"/>
                <w:sz w:val="24"/>
                <w:lang w:val="en-US" w:eastAsia="zh-CN"/>
              </w:rPr>
              <w:t>产生</w:t>
            </w:r>
            <w:r>
              <w:rPr>
                <w:rFonts w:ascii="Times New Roman" w:hAnsi="Times New Roman" w:cs="Times New Roman"/>
                <w:bCs/>
                <w:color w:val="auto"/>
                <w:sz w:val="24"/>
              </w:rPr>
              <w:t>量</w:t>
            </w:r>
            <w:r>
              <w:rPr>
                <w:rFonts w:ascii="Times New Roman" w:hAnsi="Times New Roman" w:cs="Times New Roman"/>
                <w:bCs/>
                <w:color w:val="auto"/>
                <w:sz w:val="24"/>
                <w:lang w:val="en-US" w:eastAsia="zh-CN"/>
              </w:rPr>
              <w:t>为</w:t>
            </w:r>
            <w:r>
              <w:rPr>
                <w:rFonts w:hint="eastAsia" w:cs="Times New Roman"/>
                <w:bCs/>
                <w:color w:val="auto"/>
                <w:sz w:val="24"/>
                <w:lang w:val="en-US" w:eastAsia="zh-CN"/>
              </w:rPr>
              <w:t>10.24</w:t>
            </w:r>
            <w:r>
              <w:rPr>
                <w:rFonts w:ascii="Times New Roman" w:hAnsi="Times New Roman" w:cs="Times New Roman"/>
                <w:bCs/>
                <w:color w:val="auto"/>
                <w:sz w:val="24"/>
              </w:rPr>
              <w:t>t/a，</w:t>
            </w:r>
            <w:r>
              <w:rPr>
                <w:rFonts w:hint="eastAsia" w:cs="Times New Roman"/>
                <w:bCs/>
                <w:color w:val="auto"/>
                <w:sz w:val="24"/>
                <w:lang w:val="en-US" w:eastAsia="zh-CN"/>
              </w:rPr>
              <w:t>1.293</w:t>
            </w:r>
            <w:r>
              <w:rPr>
                <w:rFonts w:ascii="Times New Roman" w:hAnsi="Times New Roman" w:cs="Times New Roman"/>
                <w:bCs/>
                <w:color w:val="auto"/>
                <w:sz w:val="24"/>
              </w:rPr>
              <w:t>kg/h，</w:t>
            </w:r>
            <w:r>
              <w:rPr>
                <w:rFonts w:hint="eastAsia" w:cs="Times New Roman"/>
                <w:bCs/>
                <w:color w:val="auto"/>
                <w:sz w:val="24"/>
                <w:lang w:val="en-US" w:eastAsia="zh-CN"/>
              </w:rPr>
              <w:t>产生</w:t>
            </w:r>
            <w:r>
              <w:rPr>
                <w:rFonts w:ascii="Times New Roman" w:hAnsi="Times New Roman" w:cs="Times New Roman"/>
                <w:bCs/>
                <w:color w:val="auto"/>
                <w:sz w:val="24"/>
              </w:rPr>
              <w:t>浓度为，</w:t>
            </w:r>
            <w:r>
              <w:rPr>
                <w:rFonts w:hint="eastAsia" w:cs="Times New Roman"/>
                <w:bCs/>
                <w:color w:val="auto"/>
                <w:sz w:val="24"/>
                <w:lang w:val="en-US" w:eastAsia="zh-CN"/>
              </w:rPr>
              <w:t>89.62</w:t>
            </w:r>
            <w:r>
              <w:rPr>
                <w:rFonts w:ascii="Times New Roman" w:hAnsi="Times New Roman" w:cs="Times New Roman"/>
                <w:bCs/>
                <w:color w:val="auto"/>
                <w:sz w:val="24"/>
              </w:rPr>
              <w:t>mg/m</w:t>
            </w:r>
            <w:r>
              <w:rPr>
                <w:rFonts w:ascii="Times New Roman" w:hAnsi="Times New Roman" w:cs="Times New Roman"/>
                <w:bCs/>
                <w:color w:val="auto"/>
                <w:sz w:val="24"/>
                <w:vertAlign w:val="superscript"/>
              </w:rPr>
              <w:t>3</w:t>
            </w:r>
            <w:r>
              <w:rPr>
                <w:rFonts w:ascii="Times New Roman" w:hAnsi="Times New Roman" w:cs="Times New Roman"/>
                <w:bCs/>
                <w:color w:val="auto"/>
                <w:sz w:val="24"/>
              </w:rPr>
              <w:t>；二氧化硫排放量为</w:t>
            </w:r>
            <w:r>
              <w:rPr>
                <w:rFonts w:hint="eastAsia" w:cs="Times New Roman"/>
                <w:color w:val="auto"/>
                <w:sz w:val="24"/>
                <w:szCs w:val="24"/>
                <w:lang w:val="en-US" w:eastAsia="zh-CN"/>
              </w:rPr>
              <w:t>26kg</w:t>
            </w:r>
            <w:r>
              <w:rPr>
                <w:rFonts w:ascii="Times New Roman" w:hAnsi="Times New Roman" w:cs="Times New Roman"/>
                <w:color w:val="auto"/>
                <w:sz w:val="24"/>
                <w:szCs w:val="24"/>
              </w:rPr>
              <w:t>/a，0.</w:t>
            </w:r>
            <w:r>
              <w:rPr>
                <w:rFonts w:hint="eastAsia" w:cs="Times New Roman"/>
                <w:color w:val="auto"/>
                <w:sz w:val="24"/>
                <w:szCs w:val="24"/>
                <w:lang w:val="en-US" w:eastAsia="zh-CN"/>
              </w:rPr>
              <w:t>0033</w:t>
            </w:r>
            <w:r>
              <w:rPr>
                <w:rFonts w:ascii="Times New Roman" w:hAnsi="Times New Roman" w:cs="Times New Roman"/>
                <w:color w:val="auto"/>
                <w:sz w:val="24"/>
                <w:szCs w:val="24"/>
              </w:rPr>
              <w:t>kg/h，</w:t>
            </w:r>
            <w:r>
              <w:rPr>
                <w:rFonts w:hint="eastAsia" w:cs="Times New Roman"/>
                <w:color w:val="auto"/>
                <w:sz w:val="24"/>
                <w:szCs w:val="24"/>
                <w:lang w:val="en-US" w:eastAsia="zh-CN"/>
              </w:rPr>
              <w:t>产生</w:t>
            </w:r>
            <w:r>
              <w:rPr>
                <w:rFonts w:ascii="Times New Roman" w:hAnsi="Times New Roman" w:cs="Times New Roman"/>
                <w:color w:val="auto"/>
                <w:sz w:val="24"/>
                <w:szCs w:val="24"/>
              </w:rPr>
              <w:t>浓度为</w:t>
            </w:r>
            <w:r>
              <w:rPr>
                <w:rFonts w:hint="eastAsia" w:cs="Times New Roman"/>
                <w:color w:val="auto"/>
                <w:sz w:val="24"/>
                <w:szCs w:val="24"/>
                <w:lang w:val="en-US" w:eastAsia="zh-CN"/>
              </w:rPr>
              <w:t>0.24</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ascii="Times New Roman" w:hAnsi="Times New Roman" w:cs="Times New Roman"/>
                <w:bCs/>
                <w:color w:val="auto"/>
                <w:sz w:val="24"/>
              </w:rPr>
              <w:t>；</w:t>
            </w:r>
            <w:r>
              <w:rPr>
                <w:rFonts w:hint="eastAsia" w:cs="Times New Roman"/>
                <w:color w:val="auto"/>
                <w:sz w:val="24"/>
                <w:szCs w:val="24"/>
                <w:vertAlign w:val="baseline"/>
                <w:lang w:val="en-US" w:eastAsia="zh-CN"/>
              </w:rPr>
              <w:t>氮氧化物排放量为3.145t/a，0.397kg/h。产生浓度为28.75</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ascii="Times New Roman" w:hAnsi="Times New Roman" w:cs="Times New Roman"/>
                <w:bCs/>
                <w:color w:val="auto"/>
                <w:sz w:val="24"/>
                <w:lang w:eastAsia="zh-CN"/>
              </w:rPr>
              <w:t>。</w:t>
            </w:r>
          </w:p>
          <w:p>
            <w:pPr>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（2）</w:t>
            </w:r>
            <w:r>
              <w:rPr>
                <w:rFonts w:hint="eastAsia" w:cs="Times New Roman"/>
                <w:b/>
                <w:bCs/>
                <w:color w:val="auto"/>
                <w:sz w:val="24"/>
                <w:lang w:val="en-US" w:eastAsia="zh-CN"/>
              </w:rPr>
              <w:t>处理措施及</w:t>
            </w:r>
            <w:r>
              <w:rPr>
                <w:rFonts w:ascii="Times New Roman" w:hAnsi="Times New Roman" w:cs="Times New Roman"/>
                <w:b/>
                <w:bCs/>
                <w:color w:val="auto"/>
                <w:sz w:val="24"/>
              </w:rPr>
              <w:t>达标情况</w:t>
            </w:r>
          </w:p>
          <w:p>
            <w:pPr>
              <w:adjustRightInd w:val="0"/>
              <w:snapToGrid w:val="0"/>
              <w:spacing w:line="360" w:lineRule="auto"/>
              <w:ind w:firstLine="480" w:firstLineChars="200"/>
              <w:rPr>
                <w:rFonts w:cs="Times New Roman"/>
                <w:b/>
                <w:bCs w:val="0"/>
                <w:color w:val="auto"/>
                <w:sz w:val="24"/>
                <w:lang w:val="en-US" w:eastAsia="zh-CN"/>
              </w:rPr>
            </w:pPr>
            <w:r>
              <w:rPr>
                <w:rFonts w:hint="eastAsia" w:cs="Times New Roman"/>
                <w:b w:val="0"/>
                <w:bCs/>
                <w:color w:val="auto"/>
                <w:sz w:val="24"/>
                <w:lang w:val="en-US" w:eastAsia="zh-CN"/>
              </w:rPr>
              <w:t>项目</w:t>
            </w:r>
            <w:r>
              <w:rPr>
                <w:rFonts w:ascii="Times New Roman" w:hAnsi="Times New Roman" w:cs="Times New Roman"/>
                <w:bCs/>
                <w:color w:val="auto"/>
                <w:sz w:val="24"/>
              </w:rPr>
              <w:t>锅炉</w:t>
            </w:r>
            <w:r>
              <w:rPr>
                <w:rFonts w:ascii="Times New Roman" w:hAnsi="Times New Roman" w:cs="Times New Roman"/>
                <w:bCs/>
                <w:color w:val="auto"/>
                <w:sz w:val="24"/>
                <w:lang w:val="en-US" w:eastAsia="zh-CN"/>
              </w:rPr>
              <w:t>烟气除尘措施为</w:t>
            </w:r>
            <w:r>
              <w:rPr>
                <w:rFonts w:ascii="Times New Roman" w:hAnsi="Times New Roman" w:cs="Times New Roman"/>
                <w:bCs/>
                <w:color w:val="auto"/>
                <w:sz w:val="24"/>
              </w:rPr>
              <w:t>采用</w:t>
            </w:r>
            <w:r>
              <w:rPr>
                <w:rFonts w:ascii="Times New Roman" w:hAnsi="Times New Roman" w:cs="Times New Roman"/>
                <w:bCs/>
                <w:color w:val="auto"/>
                <w:sz w:val="24"/>
                <w:lang w:eastAsia="zh-CN"/>
              </w:rPr>
              <w:t>“</w:t>
            </w:r>
            <w:r>
              <w:rPr>
                <w:rFonts w:hint="eastAsia" w:cs="Times New Roman"/>
                <w:bCs/>
                <w:color w:val="auto"/>
                <w:sz w:val="24"/>
                <w:lang w:val="en-US" w:eastAsia="zh-CN"/>
              </w:rPr>
              <w:t>低氮燃烧+SCR脱硝+布袋除尘器</w:t>
            </w:r>
            <w:r>
              <w:rPr>
                <w:rFonts w:ascii="Times New Roman" w:hAnsi="Times New Roman" w:cs="Times New Roman"/>
                <w:bCs/>
                <w:color w:val="auto"/>
                <w:sz w:val="24"/>
                <w:lang w:eastAsia="zh-CN"/>
              </w:rPr>
              <w:t>”</w:t>
            </w:r>
            <w:r>
              <w:rPr>
                <w:rFonts w:ascii="Times New Roman" w:hAnsi="Times New Roman" w:cs="Times New Roman"/>
                <w:bCs/>
                <w:color w:val="auto"/>
                <w:sz w:val="24"/>
              </w:rPr>
              <w:t>，</w:t>
            </w:r>
            <w:r>
              <w:rPr>
                <w:rFonts w:ascii="Times New Roman" w:hAnsi="Times New Roman" w:cs="Times New Roman"/>
                <w:bCs/>
                <w:color w:val="auto"/>
                <w:sz w:val="24"/>
                <w:lang w:val="en-US" w:eastAsia="zh-CN"/>
              </w:rPr>
              <w:t>处理后烟道尾气</w:t>
            </w:r>
            <w:r>
              <w:rPr>
                <w:rFonts w:hint="eastAsia" w:cs="Times New Roman"/>
                <w:bCs/>
                <w:color w:val="auto"/>
                <w:sz w:val="24"/>
                <w:lang w:val="en-US" w:eastAsia="zh-CN"/>
              </w:rPr>
              <w:t>由40m排气筒排放。</w:t>
            </w:r>
          </w:p>
          <w:p>
            <w:pPr>
              <w:adjustRightInd w:val="0"/>
              <w:snapToGrid w:val="0"/>
              <w:spacing w:line="360" w:lineRule="auto"/>
              <w:ind w:firstLine="482" w:firstLineChars="200"/>
              <w:rPr>
                <w:rFonts w:hint="eastAsia" w:cs="Times New Roman"/>
                <w:b/>
                <w:bCs w:val="0"/>
                <w:color w:val="auto"/>
                <w:sz w:val="24"/>
                <w:lang w:val="en-US" w:eastAsia="zh-CN"/>
              </w:rPr>
            </w:pPr>
            <w:r>
              <w:rPr>
                <w:rFonts w:hint="eastAsia" w:cs="Times New Roman"/>
                <w:b/>
                <w:bCs w:val="0"/>
                <w:color w:val="auto"/>
                <w:sz w:val="24"/>
                <w:lang w:val="en-US" w:eastAsia="zh-CN"/>
              </w:rPr>
              <w:t>项目尾气处理装置工艺简介：</w:t>
            </w:r>
          </w:p>
          <w:p>
            <w:pPr>
              <w:adjustRightInd w:val="0"/>
              <w:snapToGrid w:val="0"/>
              <w:spacing w:line="360" w:lineRule="auto"/>
              <w:ind w:firstLine="482" w:firstLineChars="200"/>
              <w:rPr>
                <w:rFonts w:cs="Times New Roman"/>
                <w:b/>
                <w:bCs w:val="0"/>
                <w:color w:val="auto"/>
                <w:sz w:val="24"/>
                <w:lang w:val="en-US" w:eastAsia="zh-CN"/>
              </w:rPr>
            </w:pPr>
            <w:r>
              <w:rPr>
                <w:rFonts w:hint="eastAsia" w:cs="Times New Roman"/>
                <w:b/>
                <w:bCs w:val="0"/>
                <w:color w:val="auto"/>
                <w:sz w:val="24"/>
                <w:lang w:val="en-US" w:eastAsia="zh-CN"/>
              </w:rPr>
              <w:t>1.氮氧化物</w:t>
            </w:r>
          </w:p>
          <w:p>
            <w:pPr>
              <w:adjustRightInd w:val="0"/>
              <w:snapToGrid w:val="0"/>
              <w:spacing w:line="360" w:lineRule="auto"/>
              <w:ind w:firstLine="480" w:firstLineChars="200"/>
              <w:rPr>
                <w:rFonts w:ascii="Times New Roman" w:hAnsi="Times New Roman" w:cs="Times New Roman"/>
                <w:bCs/>
                <w:color w:val="auto"/>
                <w:sz w:val="24"/>
                <w:lang w:val="en-US" w:eastAsia="zh-CN"/>
              </w:rPr>
            </w:pPr>
            <w:r>
              <w:rPr>
                <w:rFonts w:hint="eastAsia" w:cs="Times New Roman"/>
                <w:bCs/>
                <w:color w:val="auto"/>
                <w:sz w:val="24"/>
                <w:lang w:val="en-US" w:eastAsia="zh-CN"/>
              </w:rPr>
              <w:t>SCR工艺简介：</w:t>
            </w:r>
          </w:p>
          <w:p>
            <w:pPr>
              <w:adjustRightInd w:val="0"/>
              <w:snapToGrid w:val="0"/>
              <w:spacing w:line="360" w:lineRule="auto"/>
              <w:ind w:firstLine="480" w:firstLineChars="200"/>
              <w:rPr>
                <w:rFonts w:ascii="Times New Roman" w:hAnsi="Times New Roman" w:cs="Times New Roman"/>
                <w:bCs/>
                <w:color w:val="auto"/>
                <w:sz w:val="24"/>
                <w:lang w:val="en-US" w:eastAsia="zh-CN"/>
              </w:rPr>
            </w:pPr>
            <w:r>
              <w:rPr>
                <w:rFonts w:ascii="Times New Roman" w:hAnsi="Times New Roman" w:cs="Times New Roman"/>
                <w:bCs/>
                <w:color w:val="auto"/>
                <w:sz w:val="24"/>
                <w:lang w:val="en-US" w:eastAsia="zh-CN"/>
              </w:rPr>
              <w:t>目前世界上流行的SCR工艺主要分为氨法SCR和尿素法SCR两种，从运输及储存安全性上比较，尿素最安全、氨水次之、液氨危险性最高。氨水不属于危险化学品，综上所述，从运行成本及安全性综合比较，选用氨水较好。本项目设计采用氨水法工艺，该工艺是利用氨对NO</w:t>
            </w:r>
            <w:r>
              <w:rPr>
                <w:rFonts w:ascii="Times New Roman" w:hAnsi="Times New Roman" w:cs="Times New Roman"/>
                <w:bCs/>
                <w:color w:val="auto"/>
                <w:sz w:val="24"/>
                <w:vertAlign w:val="subscript"/>
                <w:lang w:val="en-US" w:eastAsia="zh-CN"/>
              </w:rPr>
              <w:t>X</w:t>
            </w:r>
            <w:r>
              <w:rPr>
                <w:rFonts w:ascii="Times New Roman" w:hAnsi="Times New Roman" w:cs="Times New Roman"/>
                <w:bCs/>
                <w:color w:val="auto"/>
                <w:sz w:val="24"/>
                <w:lang w:val="en-US" w:eastAsia="zh-CN"/>
              </w:rPr>
              <w:t>的还原功能，在催化剂的作用下将NO</w:t>
            </w:r>
            <w:r>
              <w:rPr>
                <w:rFonts w:ascii="Times New Roman" w:hAnsi="Times New Roman" w:cs="Times New Roman"/>
                <w:bCs/>
                <w:color w:val="auto"/>
                <w:sz w:val="24"/>
                <w:vertAlign w:val="subscript"/>
                <w:lang w:val="en-US" w:eastAsia="zh-CN"/>
              </w:rPr>
              <w:t>X</w:t>
            </w:r>
            <w:r>
              <w:rPr>
                <w:rFonts w:hint="eastAsia" w:cs="Times New Roman"/>
                <w:bCs/>
                <w:color w:val="auto"/>
                <w:sz w:val="24"/>
                <w:lang w:val="en-US" w:eastAsia="zh-CN"/>
              </w:rPr>
              <w:t>（</w:t>
            </w:r>
            <w:r>
              <w:rPr>
                <w:rFonts w:ascii="Times New Roman" w:hAnsi="Times New Roman" w:cs="Times New Roman"/>
                <w:bCs/>
                <w:color w:val="auto"/>
                <w:sz w:val="24"/>
                <w:lang w:val="en-US" w:eastAsia="zh-CN"/>
              </w:rPr>
              <w:t>主要是NO</w:t>
            </w:r>
            <w:r>
              <w:rPr>
                <w:rFonts w:hint="eastAsia" w:cs="Times New Roman"/>
                <w:bCs/>
                <w:color w:val="auto"/>
                <w:sz w:val="24"/>
                <w:lang w:val="en-US" w:eastAsia="zh-CN"/>
              </w:rPr>
              <w:t>）</w:t>
            </w:r>
            <w:r>
              <w:rPr>
                <w:rFonts w:ascii="Times New Roman" w:hAnsi="Times New Roman" w:cs="Times New Roman"/>
                <w:bCs/>
                <w:color w:val="auto"/>
                <w:sz w:val="24"/>
                <w:lang w:val="en-US" w:eastAsia="zh-CN"/>
              </w:rPr>
              <w:t>还原为对大气没有影响的N</w:t>
            </w:r>
            <w:r>
              <w:rPr>
                <w:rFonts w:ascii="Times New Roman" w:hAnsi="Times New Roman" w:cs="Times New Roman"/>
                <w:bCs/>
                <w:color w:val="auto"/>
                <w:sz w:val="24"/>
                <w:vertAlign w:val="subscript"/>
                <w:lang w:val="en-US" w:eastAsia="zh-CN"/>
              </w:rPr>
              <w:t>2</w:t>
            </w:r>
            <w:r>
              <w:rPr>
                <w:rFonts w:ascii="Times New Roman" w:hAnsi="Times New Roman" w:cs="Times New Roman"/>
                <w:bCs/>
                <w:color w:val="auto"/>
                <w:sz w:val="24"/>
                <w:lang w:val="en-US" w:eastAsia="zh-CN"/>
              </w:rPr>
              <w:t>和水。还原剂为NH</w:t>
            </w:r>
            <w:r>
              <w:rPr>
                <w:rFonts w:ascii="Times New Roman" w:hAnsi="Times New Roman" w:cs="Times New Roman"/>
                <w:bCs/>
                <w:color w:val="auto"/>
                <w:sz w:val="24"/>
                <w:vertAlign w:val="subscript"/>
                <w:lang w:val="en-US" w:eastAsia="zh-CN"/>
              </w:rPr>
              <w:t>3</w:t>
            </w:r>
            <w:r>
              <w:rPr>
                <w:rFonts w:ascii="Times New Roman" w:hAnsi="Times New Roman" w:cs="Times New Roman"/>
                <w:bCs/>
                <w:color w:val="auto"/>
                <w:sz w:val="24"/>
                <w:lang w:val="en-US" w:eastAsia="zh-CN"/>
              </w:rPr>
              <w:t>，主要化学反应方程式为：</w:t>
            </w:r>
          </w:p>
          <w:p>
            <w:pPr>
              <w:adjustRightInd w:val="0"/>
              <w:snapToGrid w:val="0"/>
              <w:spacing w:line="360" w:lineRule="auto"/>
              <w:ind w:firstLine="480" w:firstLineChars="200"/>
              <w:rPr>
                <w:rFonts w:ascii="Times New Roman" w:hAnsi="Times New Roman" w:cs="Times New Roman"/>
                <w:bCs/>
                <w:color w:val="auto"/>
                <w:sz w:val="24"/>
                <w:lang w:val="en-US" w:eastAsia="zh-CN"/>
              </w:rPr>
            </w:pPr>
            <w:r>
              <w:rPr>
                <w:rFonts w:ascii="Times New Roman" w:hAnsi="Times New Roman" w:cs="Times New Roman"/>
                <w:bCs/>
                <w:color w:val="auto"/>
                <w:sz w:val="24"/>
                <w:lang w:val="en-US" w:eastAsia="zh-CN"/>
              </w:rPr>
              <w:t>在SCR反应器内，NO通过以下反应被还原：</w:t>
            </w:r>
          </w:p>
          <w:p>
            <w:pPr>
              <w:adjustRightInd w:val="0"/>
              <w:snapToGrid w:val="0"/>
              <w:spacing w:line="360" w:lineRule="auto"/>
              <w:ind w:firstLine="480" w:firstLineChars="200"/>
              <w:rPr>
                <w:rFonts w:ascii="Times New Roman" w:hAnsi="Times New Roman" w:cs="Times New Roman"/>
                <w:bCs/>
                <w:color w:val="auto"/>
                <w:sz w:val="24"/>
                <w:lang w:val="en-US" w:eastAsia="zh-CN"/>
              </w:rPr>
            </w:pPr>
            <w:r>
              <w:rPr>
                <w:rFonts w:ascii="Times New Roman" w:hAnsi="Times New Roman" w:cs="Times New Roman"/>
                <w:bCs/>
                <w:color w:val="auto"/>
                <w:sz w:val="24"/>
                <w:lang w:val="en-US" w:eastAsia="zh-CN"/>
              </w:rPr>
              <w:t>4NO+4NH</w:t>
            </w:r>
            <w:r>
              <w:rPr>
                <w:rFonts w:ascii="Times New Roman" w:hAnsi="Times New Roman" w:cs="Times New Roman"/>
                <w:bCs/>
                <w:color w:val="auto"/>
                <w:sz w:val="24"/>
                <w:vertAlign w:val="subscript"/>
                <w:lang w:val="en-US" w:eastAsia="zh-CN"/>
              </w:rPr>
              <w:t>3</w:t>
            </w:r>
            <w:r>
              <w:rPr>
                <w:rFonts w:ascii="Times New Roman" w:hAnsi="Times New Roman" w:cs="Times New Roman"/>
                <w:bCs/>
                <w:color w:val="auto"/>
                <w:sz w:val="24"/>
                <w:lang w:val="en-US" w:eastAsia="zh-CN"/>
              </w:rPr>
              <w:t>+O</w:t>
            </w:r>
            <w:r>
              <w:rPr>
                <w:rFonts w:ascii="Times New Roman" w:hAnsi="Times New Roman" w:cs="Times New Roman"/>
                <w:bCs/>
                <w:color w:val="auto"/>
                <w:sz w:val="24"/>
                <w:vertAlign w:val="subscript"/>
                <w:lang w:val="en-US" w:eastAsia="zh-CN"/>
              </w:rPr>
              <w:t>2</w:t>
            </w:r>
            <w:r>
              <w:rPr>
                <w:rFonts w:ascii="Times New Roman" w:hAnsi="Times New Roman" w:cs="Times New Roman"/>
                <w:bCs/>
                <w:color w:val="auto"/>
                <w:sz w:val="24"/>
                <w:lang w:val="en-US" w:eastAsia="zh-CN"/>
              </w:rPr>
              <w:t>→4N</w:t>
            </w:r>
            <w:r>
              <w:rPr>
                <w:rFonts w:ascii="Times New Roman" w:hAnsi="Times New Roman" w:cs="Times New Roman"/>
                <w:bCs/>
                <w:color w:val="auto"/>
                <w:sz w:val="24"/>
                <w:vertAlign w:val="subscript"/>
                <w:lang w:val="en-US" w:eastAsia="zh-CN"/>
              </w:rPr>
              <w:t>2</w:t>
            </w:r>
            <w:r>
              <w:rPr>
                <w:rFonts w:ascii="Times New Roman" w:hAnsi="Times New Roman" w:cs="Times New Roman"/>
                <w:bCs/>
                <w:color w:val="auto"/>
                <w:sz w:val="24"/>
                <w:lang w:val="en-US" w:eastAsia="zh-CN"/>
              </w:rPr>
              <w:t>+6H</w:t>
            </w:r>
            <w:r>
              <w:rPr>
                <w:rFonts w:ascii="Times New Roman" w:hAnsi="Times New Roman" w:cs="Times New Roman"/>
                <w:bCs/>
                <w:color w:val="auto"/>
                <w:sz w:val="24"/>
                <w:vertAlign w:val="subscript"/>
                <w:lang w:val="en-US" w:eastAsia="zh-CN"/>
              </w:rPr>
              <w:t>2</w:t>
            </w:r>
            <w:r>
              <w:rPr>
                <w:rFonts w:ascii="Times New Roman" w:hAnsi="Times New Roman" w:cs="Times New Roman"/>
                <w:bCs/>
                <w:color w:val="auto"/>
                <w:sz w:val="24"/>
                <w:lang w:val="en-US" w:eastAsia="zh-CN"/>
              </w:rPr>
              <w:t>O</w:t>
            </w:r>
          </w:p>
          <w:p>
            <w:pPr>
              <w:adjustRightInd w:val="0"/>
              <w:snapToGrid w:val="0"/>
              <w:spacing w:line="360" w:lineRule="auto"/>
              <w:ind w:firstLine="480" w:firstLineChars="200"/>
              <w:rPr>
                <w:rFonts w:ascii="Times New Roman" w:hAnsi="Times New Roman" w:cs="Times New Roman"/>
                <w:bCs/>
                <w:color w:val="auto"/>
                <w:sz w:val="24"/>
                <w:lang w:val="en-US" w:eastAsia="zh-CN"/>
              </w:rPr>
            </w:pPr>
            <w:r>
              <w:rPr>
                <w:rFonts w:ascii="Times New Roman" w:hAnsi="Times New Roman" w:cs="Times New Roman"/>
                <w:bCs/>
                <w:color w:val="auto"/>
                <w:sz w:val="24"/>
                <w:lang w:val="en-US" w:eastAsia="zh-CN"/>
              </w:rPr>
              <w:t>6NO+4NH</w:t>
            </w:r>
            <w:r>
              <w:rPr>
                <w:rFonts w:ascii="Times New Roman" w:hAnsi="Times New Roman" w:cs="Times New Roman"/>
                <w:bCs/>
                <w:color w:val="auto"/>
                <w:sz w:val="24"/>
                <w:vertAlign w:val="subscript"/>
                <w:lang w:val="en-US" w:eastAsia="zh-CN"/>
              </w:rPr>
              <w:t>3</w:t>
            </w:r>
            <w:r>
              <w:rPr>
                <w:rFonts w:ascii="Times New Roman" w:hAnsi="Times New Roman" w:cs="Times New Roman"/>
                <w:bCs/>
                <w:color w:val="auto"/>
                <w:sz w:val="24"/>
                <w:lang w:val="en-US" w:eastAsia="zh-CN"/>
              </w:rPr>
              <w:t>→5N</w:t>
            </w:r>
            <w:r>
              <w:rPr>
                <w:rFonts w:ascii="Times New Roman" w:hAnsi="Times New Roman" w:cs="Times New Roman"/>
                <w:bCs/>
                <w:color w:val="auto"/>
                <w:sz w:val="24"/>
                <w:vertAlign w:val="subscript"/>
                <w:lang w:val="en-US" w:eastAsia="zh-CN"/>
              </w:rPr>
              <w:t>2</w:t>
            </w:r>
            <w:r>
              <w:rPr>
                <w:rFonts w:ascii="Times New Roman" w:hAnsi="Times New Roman" w:cs="Times New Roman"/>
                <w:bCs/>
                <w:color w:val="auto"/>
                <w:sz w:val="24"/>
                <w:lang w:val="en-US" w:eastAsia="zh-CN"/>
              </w:rPr>
              <w:t>+6H</w:t>
            </w:r>
            <w:r>
              <w:rPr>
                <w:rFonts w:ascii="Times New Roman" w:hAnsi="Times New Roman" w:cs="Times New Roman"/>
                <w:bCs/>
                <w:color w:val="auto"/>
                <w:sz w:val="24"/>
                <w:vertAlign w:val="subscript"/>
                <w:lang w:val="en-US" w:eastAsia="zh-CN"/>
              </w:rPr>
              <w:t>2</w:t>
            </w:r>
            <w:r>
              <w:rPr>
                <w:rFonts w:ascii="Times New Roman" w:hAnsi="Times New Roman" w:cs="Times New Roman"/>
                <w:bCs/>
                <w:color w:val="auto"/>
                <w:sz w:val="24"/>
                <w:lang w:val="en-US" w:eastAsia="zh-CN"/>
              </w:rPr>
              <w:t>O</w:t>
            </w:r>
          </w:p>
          <w:p>
            <w:pPr>
              <w:adjustRightInd w:val="0"/>
              <w:snapToGrid w:val="0"/>
              <w:spacing w:line="360" w:lineRule="auto"/>
              <w:ind w:firstLine="480" w:firstLineChars="200"/>
              <w:rPr>
                <w:rFonts w:hint="eastAsia" w:cs="Times New Roman"/>
                <w:bCs/>
                <w:color w:val="auto"/>
                <w:sz w:val="24"/>
                <w:vertAlign w:val="baseline"/>
                <w:lang w:val="en-US" w:eastAsia="zh-CN"/>
              </w:rPr>
            </w:pPr>
            <w:r>
              <w:rPr>
                <w:rFonts w:hint="eastAsia" w:cs="Times New Roman"/>
                <w:bCs/>
                <w:color w:val="auto"/>
                <w:sz w:val="24"/>
                <w:lang w:val="en-US" w:eastAsia="zh-CN"/>
              </w:rPr>
              <w:t>本项目选择NH</w:t>
            </w:r>
            <w:r>
              <w:rPr>
                <w:rFonts w:hint="eastAsia" w:cs="Times New Roman"/>
                <w:bCs/>
                <w:color w:val="auto"/>
                <w:sz w:val="24"/>
                <w:vertAlign w:val="subscript"/>
                <w:lang w:val="en-US" w:eastAsia="zh-CN"/>
              </w:rPr>
              <w:t>3</w:t>
            </w:r>
            <w:r>
              <w:rPr>
                <w:rFonts w:hint="eastAsia" w:cs="Times New Roman"/>
                <w:bCs/>
                <w:color w:val="auto"/>
                <w:sz w:val="24"/>
                <w:vertAlign w:val="baseline"/>
                <w:lang w:val="en-US" w:eastAsia="zh-CN"/>
              </w:rPr>
              <w:t>做催化剂。</w:t>
            </w:r>
          </w:p>
          <w:p>
            <w:pPr>
              <w:adjustRightInd w:val="0"/>
              <w:snapToGrid w:val="0"/>
              <w:spacing w:line="360" w:lineRule="auto"/>
              <w:ind w:firstLine="480" w:firstLineChars="200"/>
              <w:rPr>
                <w:rFonts w:hint="eastAsia" w:cs="Times New Roman"/>
                <w:bCs/>
                <w:color w:val="auto"/>
                <w:sz w:val="24"/>
                <w:lang w:val="en-US" w:eastAsia="zh-CN"/>
              </w:rPr>
            </w:pPr>
            <w:r>
              <w:rPr>
                <w:rFonts w:hint="eastAsia" w:cs="Times New Roman"/>
                <w:bCs/>
                <w:color w:val="auto"/>
                <w:sz w:val="24"/>
                <w:lang w:val="en-US" w:eastAsia="zh-CN"/>
              </w:rPr>
              <w:t>NO</w:t>
            </w:r>
            <w:r>
              <w:rPr>
                <w:rFonts w:hint="eastAsia" w:cs="Times New Roman"/>
                <w:bCs/>
                <w:color w:val="auto"/>
                <w:sz w:val="24"/>
                <w:vertAlign w:val="subscript"/>
                <w:lang w:val="en-US" w:eastAsia="zh-CN"/>
              </w:rPr>
              <w:t>x</w:t>
            </w:r>
            <w:r>
              <w:rPr>
                <w:rFonts w:hint="eastAsia" w:cs="Times New Roman"/>
                <w:bCs/>
                <w:color w:val="auto"/>
                <w:sz w:val="24"/>
                <w:lang w:val="en-US" w:eastAsia="zh-CN"/>
              </w:rPr>
              <w:t>与NH</w:t>
            </w:r>
            <w:r>
              <w:rPr>
                <w:rFonts w:hint="eastAsia" w:cs="Times New Roman"/>
                <w:bCs/>
                <w:color w:val="auto"/>
                <w:sz w:val="24"/>
                <w:vertAlign w:val="subscript"/>
                <w:lang w:val="en-US" w:eastAsia="zh-CN"/>
              </w:rPr>
              <w:t>3</w:t>
            </w:r>
            <w:r>
              <w:rPr>
                <w:rFonts w:hint="eastAsia" w:cs="Times New Roman"/>
                <w:bCs/>
                <w:color w:val="auto"/>
                <w:sz w:val="24"/>
                <w:lang w:val="en-US" w:eastAsia="zh-CN"/>
              </w:rPr>
              <w:t>在催化剂的作用下产生还原。催化剂安放在一个固定的反应器内，烟气穿过反应器平行流经催化剂表面。催化剂单元通常垂直布置，烟气自上向下流动。SCR系统一般由氨水溶液的储存系统、氨水喷入系统、反应器系统、烟气系统等组成。</w:t>
            </w:r>
          </w:p>
          <w:p>
            <w:pPr>
              <w:adjustRightInd w:val="0"/>
              <w:snapToGrid w:val="0"/>
              <w:spacing w:line="360" w:lineRule="auto"/>
              <w:ind w:firstLine="480" w:firstLineChars="200"/>
              <w:rPr>
                <w:rFonts w:hint="eastAsia" w:cs="Times New Roman"/>
                <w:bCs/>
                <w:color w:val="auto"/>
                <w:sz w:val="24"/>
                <w:lang w:val="en-US" w:eastAsia="zh-CN"/>
              </w:rPr>
            </w:pPr>
            <w:r>
              <w:rPr>
                <w:rFonts w:hint="eastAsia" w:cs="Times New Roman"/>
                <w:bCs/>
                <w:color w:val="auto"/>
                <w:sz w:val="24"/>
                <w:lang w:val="en-US" w:eastAsia="zh-CN"/>
              </w:rPr>
              <w:t>SCR反应器在锅炉烟道中采用中热段/高灰（实际低，高为相对）布置。</w:t>
            </w:r>
          </w:p>
          <w:p>
            <w:pPr>
              <w:adjustRightInd w:val="0"/>
              <w:snapToGrid w:val="0"/>
              <w:spacing w:line="360" w:lineRule="auto"/>
              <w:ind w:firstLine="480" w:firstLineChars="200"/>
              <w:rPr>
                <w:rFonts w:cs="Times New Roman"/>
                <w:bCs/>
                <w:color w:val="auto"/>
                <w:sz w:val="24"/>
                <w:lang w:val="en-US" w:eastAsia="zh-CN"/>
              </w:rPr>
            </w:pPr>
            <w:r>
              <w:rPr>
                <w:rFonts w:hint="eastAsia" w:cs="Times New Roman"/>
                <w:bCs/>
                <w:color w:val="auto"/>
                <w:sz w:val="24"/>
                <w:lang w:val="en-US" w:eastAsia="zh-CN"/>
              </w:rPr>
              <w:t>本案反应器布置在炉膛出口段（炉膛出口烟温（额定负荷）280--260度，50%负荷时260--200度）位置，此时烟气中所含有的全部飞灰和SO</w:t>
            </w:r>
            <w:r>
              <w:rPr>
                <w:rFonts w:hint="eastAsia" w:cs="Times New Roman"/>
                <w:bCs/>
                <w:color w:val="auto"/>
                <w:sz w:val="24"/>
                <w:vertAlign w:val="subscript"/>
                <w:lang w:val="en-US" w:eastAsia="zh-CN"/>
              </w:rPr>
              <w:t>2</w:t>
            </w:r>
            <w:r>
              <w:rPr>
                <w:rFonts w:hint="eastAsia" w:cs="Times New Roman"/>
                <w:bCs/>
                <w:color w:val="auto"/>
                <w:sz w:val="24"/>
                <w:lang w:val="en-US" w:eastAsia="zh-CN"/>
              </w:rPr>
              <w:t>均通过催化剂反应器，反应器的工作条件是在“不干净”的高尘烟气中。由于这种布置方案的烟气温度在200～280℃的范围内，适合于中温催化剂的反应温度，且由于SO</w:t>
            </w:r>
            <w:r>
              <w:rPr>
                <w:rFonts w:hint="eastAsia" w:cs="Times New Roman"/>
                <w:bCs/>
                <w:color w:val="auto"/>
                <w:sz w:val="24"/>
                <w:vertAlign w:val="subscript"/>
                <w:lang w:val="en-US" w:eastAsia="zh-CN"/>
              </w:rPr>
              <w:t>2</w:t>
            </w:r>
            <w:r>
              <w:rPr>
                <w:rFonts w:hint="eastAsia" w:cs="Times New Roman"/>
                <w:bCs/>
                <w:color w:val="auto"/>
                <w:sz w:val="24"/>
                <w:lang w:val="en-US" w:eastAsia="zh-CN"/>
              </w:rPr>
              <w:t>及NO</w:t>
            </w:r>
            <w:r>
              <w:rPr>
                <w:rFonts w:hint="eastAsia" w:cs="Times New Roman"/>
                <w:bCs/>
                <w:color w:val="auto"/>
                <w:sz w:val="24"/>
                <w:vertAlign w:val="subscript"/>
                <w:lang w:val="en-US" w:eastAsia="zh-CN"/>
              </w:rPr>
              <w:t>X</w:t>
            </w:r>
            <w:r>
              <w:rPr>
                <w:rFonts w:hint="eastAsia" w:cs="Times New Roman"/>
                <w:bCs/>
                <w:color w:val="auto"/>
                <w:sz w:val="24"/>
                <w:lang w:val="en-US" w:eastAsia="zh-CN"/>
              </w:rPr>
              <w:t>初始浓度不高，与氨生成的亚硫酸氢氨量少，不易附着在催化剂表面引起催化剂堵塞因而它被广泛采用。</w:t>
            </w:r>
          </w:p>
          <w:p>
            <w:pPr>
              <w:adjustRightInd w:val="0"/>
              <w:snapToGrid w:val="0"/>
              <w:spacing w:line="360" w:lineRule="auto"/>
              <w:ind w:firstLine="480" w:firstLineChars="200"/>
              <w:rPr>
                <w:rFonts w:hint="eastAsia" w:cs="Times New Roman"/>
                <w:bCs/>
                <w:color w:val="auto"/>
                <w:sz w:val="24"/>
                <w:lang w:val="en-US" w:eastAsia="zh-CN"/>
              </w:rPr>
            </w:pPr>
            <w:r>
              <w:rPr>
                <w:rFonts w:hint="eastAsia" w:cs="Times New Roman"/>
                <w:bCs/>
                <w:color w:val="auto"/>
                <w:sz w:val="24"/>
                <w:lang w:val="en-US" w:eastAsia="zh-CN"/>
              </w:rPr>
              <w:t>对生物质燃气锅炉，SCR反应器多选择安装于锅炉省煤器前，因为此区间的烟气温度刚好适合SCR脱硝还原反应，氨被喷射于锅炉出口烟道内的适当位置，使其与烟气充分混合后在反应器内与氮氧化物反应，SCR系统的脱硝效率为90%及以上。</w:t>
            </w:r>
          </w:p>
          <w:p>
            <w:pPr>
              <w:adjustRightInd w:val="0"/>
              <w:snapToGrid w:val="0"/>
              <w:spacing w:line="360" w:lineRule="auto"/>
              <w:ind w:firstLine="480" w:firstLineChars="200"/>
              <w:rPr>
                <w:rFonts w:cs="Times New Roman"/>
                <w:bCs/>
                <w:color w:val="auto"/>
                <w:sz w:val="24"/>
                <w:lang w:val="en-US" w:eastAsia="zh-CN"/>
              </w:rPr>
            </w:pPr>
            <w:r>
              <w:rPr>
                <w:rFonts w:hint="eastAsia" w:cs="Times New Roman"/>
                <w:bCs/>
                <w:color w:val="auto"/>
                <w:sz w:val="24"/>
                <w:lang w:val="en-US" w:eastAsia="zh-CN"/>
              </w:rPr>
              <w:t>本项目SCR反应器系统由SCR反应器、催化剂层、催化剂吹灰装置、喷氨格栅、爬梯平台等组成。反应器的水平段安装有烟气导流、优化分布的装置以及氨的喷射格栅在反应器的竖直段装有催化剂床。反应器采用固定床平行通道型式。</w:t>
            </w:r>
            <w:r>
              <w:rPr>
                <w:rFonts w:hint="eastAsia" w:cs="Times New Roman"/>
                <w:b/>
                <w:bCs w:val="0"/>
                <w:color w:val="auto"/>
                <w:sz w:val="24"/>
                <w:lang w:val="en-US" w:eastAsia="zh-CN"/>
              </w:rPr>
              <w:t>催化剂层采用三层催化剂层组成，极大地提高了NO</w:t>
            </w:r>
            <w:r>
              <w:rPr>
                <w:rFonts w:hint="eastAsia" w:cs="Times New Roman"/>
                <w:b/>
                <w:bCs w:val="0"/>
                <w:color w:val="auto"/>
                <w:sz w:val="24"/>
                <w:vertAlign w:val="subscript"/>
                <w:lang w:val="en-US" w:eastAsia="zh-CN"/>
              </w:rPr>
              <w:t>x</w:t>
            </w:r>
            <w:r>
              <w:rPr>
                <w:rFonts w:hint="eastAsia" w:cs="Times New Roman"/>
                <w:b/>
                <w:bCs w:val="0"/>
                <w:color w:val="auto"/>
                <w:sz w:val="24"/>
                <w:vertAlign w:val="baseline"/>
                <w:lang w:val="en-US" w:eastAsia="zh-CN"/>
              </w:rPr>
              <w:t>的处理效率。根据《4430工业锅炉（热力生产和供应行业）行业系数手册》提供的NO</w:t>
            </w:r>
            <w:r>
              <w:rPr>
                <w:rFonts w:hint="eastAsia" w:cs="Times New Roman"/>
                <w:b/>
                <w:bCs w:val="0"/>
                <w:color w:val="auto"/>
                <w:sz w:val="24"/>
                <w:vertAlign w:val="subscript"/>
                <w:lang w:val="en-US" w:eastAsia="zh-CN"/>
              </w:rPr>
              <w:t>x</w:t>
            </w:r>
            <w:r>
              <w:rPr>
                <w:rFonts w:hint="eastAsia" w:cs="Times New Roman"/>
                <w:b/>
                <w:bCs w:val="0"/>
                <w:color w:val="auto"/>
                <w:sz w:val="24"/>
                <w:vertAlign w:val="baseline"/>
                <w:lang w:val="en-US" w:eastAsia="zh-CN"/>
              </w:rPr>
              <w:t>处理效率按70%计算</w:t>
            </w:r>
            <w:r>
              <w:rPr>
                <w:rFonts w:hint="eastAsia" w:cs="Times New Roman"/>
                <w:b/>
                <w:bCs w:val="0"/>
                <w:color w:val="auto"/>
                <w:sz w:val="24"/>
                <w:lang w:val="en-US" w:eastAsia="zh-CN"/>
              </w:rPr>
              <w:t>。</w:t>
            </w:r>
          </w:p>
          <w:p>
            <w:pPr>
              <w:adjustRightInd w:val="0"/>
              <w:snapToGrid w:val="0"/>
              <w:spacing w:line="360" w:lineRule="auto"/>
              <w:ind w:firstLine="480" w:firstLineChars="200"/>
              <w:rPr>
                <w:rFonts w:ascii="Times New Roman" w:hAnsi="Times New Roman" w:cs="Times New Roman"/>
                <w:bCs/>
                <w:color w:val="auto"/>
                <w:sz w:val="24"/>
                <w:lang w:eastAsia="zh-CN"/>
              </w:rPr>
            </w:pPr>
            <w:r>
              <w:rPr>
                <w:rFonts w:hint="eastAsia" w:cs="Times New Roman"/>
                <w:bCs/>
                <w:color w:val="auto"/>
                <w:sz w:val="24"/>
                <w:lang w:val="en-US" w:eastAsia="zh-CN"/>
              </w:rPr>
              <w:t>本项目SCR去除效率按70%计算。则处理后</w:t>
            </w:r>
            <w:r>
              <w:rPr>
                <w:rFonts w:ascii="Times New Roman" w:hAnsi="Times New Roman" w:cs="Times New Roman"/>
                <w:bCs/>
                <w:color w:val="auto"/>
                <w:sz w:val="24"/>
                <w:lang w:val="en-US" w:eastAsia="zh-CN"/>
              </w:rPr>
              <w:t>氮氧化物排放</w:t>
            </w:r>
            <w:r>
              <w:rPr>
                <w:rFonts w:ascii="Times New Roman" w:hAnsi="Times New Roman" w:cs="Times New Roman"/>
                <w:bCs/>
                <w:color w:val="auto"/>
                <w:sz w:val="24"/>
              </w:rPr>
              <w:t>量</w:t>
            </w:r>
            <w:r>
              <w:rPr>
                <w:rFonts w:ascii="Times New Roman" w:hAnsi="Times New Roman" w:cs="Times New Roman"/>
                <w:bCs/>
                <w:color w:val="auto"/>
                <w:sz w:val="24"/>
                <w:lang w:val="en-US" w:eastAsia="zh-CN"/>
              </w:rPr>
              <w:t>为</w:t>
            </w:r>
            <w:r>
              <w:rPr>
                <w:rFonts w:hint="eastAsia" w:cs="Times New Roman"/>
                <w:bCs/>
                <w:color w:val="auto"/>
                <w:sz w:val="24"/>
                <w:lang w:val="en-US" w:eastAsia="zh-CN"/>
              </w:rPr>
              <w:t>0.944</w:t>
            </w:r>
            <w:r>
              <w:rPr>
                <w:rFonts w:ascii="Times New Roman" w:hAnsi="Times New Roman" w:cs="Times New Roman"/>
                <w:bCs/>
                <w:color w:val="auto"/>
                <w:sz w:val="24"/>
              </w:rPr>
              <w:t>t/a，</w:t>
            </w:r>
            <w:r>
              <w:rPr>
                <w:rFonts w:ascii="Times New Roman" w:hAnsi="Times New Roman" w:cs="Times New Roman"/>
                <w:bCs/>
                <w:color w:val="auto"/>
                <w:sz w:val="24"/>
                <w:lang w:val="en-US" w:eastAsia="zh-CN"/>
              </w:rPr>
              <w:t>0</w:t>
            </w:r>
            <w:r>
              <w:rPr>
                <w:rFonts w:hint="eastAsia" w:cs="Times New Roman"/>
                <w:bCs/>
                <w:color w:val="auto"/>
                <w:sz w:val="24"/>
                <w:lang w:val="en-US" w:eastAsia="zh-CN"/>
              </w:rPr>
              <w:t>.119</w:t>
            </w:r>
            <w:r>
              <w:rPr>
                <w:rFonts w:ascii="Times New Roman" w:hAnsi="Times New Roman" w:cs="Times New Roman"/>
                <w:bCs/>
                <w:color w:val="auto"/>
                <w:sz w:val="24"/>
              </w:rPr>
              <w:t>kg/h，排放浓度为</w:t>
            </w:r>
            <w:r>
              <w:rPr>
                <w:rFonts w:hint="eastAsia" w:cs="Times New Roman"/>
                <w:bCs/>
                <w:color w:val="auto"/>
                <w:sz w:val="24"/>
                <w:lang w:val="en-US" w:eastAsia="zh-CN"/>
              </w:rPr>
              <w:t>8.61</w:t>
            </w:r>
            <w:r>
              <w:rPr>
                <w:rFonts w:ascii="Times New Roman" w:hAnsi="Times New Roman" w:cs="Times New Roman"/>
                <w:bCs/>
                <w:color w:val="auto"/>
                <w:sz w:val="24"/>
              </w:rPr>
              <w:t>mg/m</w:t>
            </w:r>
            <w:r>
              <w:rPr>
                <w:rFonts w:ascii="Times New Roman" w:hAnsi="Times New Roman" w:cs="Times New Roman"/>
                <w:bCs/>
                <w:color w:val="auto"/>
                <w:sz w:val="24"/>
                <w:vertAlign w:val="superscript"/>
              </w:rPr>
              <w:t>3</w:t>
            </w:r>
            <w:r>
              <w:rPr>
                <w:rFonts w:ascii="Times New Roman" w:hAnsi="Times New Roman" w:cs="Times New Roman"/>
                <w:bCs/>
                <w:color w:val="auto"/>
                <w:sz w:val="24"/>
                <w:lang w:eastAsia="zh-CN"/>
              </w:rPr>
              <w:t>。</w:t>
            </w:r>
          </w:p>
          <w:p>
            <w:pPr>
              <w:adjustRightInd w:val="0"/>
              <w:snapToGrid w:val="0"/>
              <w:spacing w:line="360" w:lineRule="auto"/>
              <w:ind w:left="0" w:firstLine="482" w:firstLineChars="200"/>
              <w:rPr>
                <w:rFonts w:hint="eastAsia" w:cs="Times New Roman"/>
                <w:b/>
                <w:bCs w:val="0"/>
                <w:color w:val="auto"/>
                <w:sz w:val="24"/>
                <w:lang w:val="en-US" w:eastAsia="zh-CN"/>
              </w:rPr>
            </w:pPr>
            <w:r>
              <w:rPr>
                <w:rFonts w:hint="eastAsia" w:cs="Times New Roman"/>
                <w:b/>
                <w:bCs w:val="0"/>
                <w:color w:val="auto"/>
                <w:sz w:val="24"/>
                <w:lang w:val="en-US" w:eastAsia="zh-CN"/>
              </w:rPr>
              <w:t>2.二氧化硫</w:t>
            </w:r>
          </w:p>
          <w:p>
            <w:pPr>
              <w:adjustRightInd w:val="0"/>
              <w:snapToGrid w:val="0"/>
              <w:spacing w:line="360" w:lineRule="auto"/>
              <w:ind w:left="0" w:firstLine="480" w:firstLineChars="200"/>
              <w:rPr>
                <w:rFonts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本项目使用超低硫含量的生物气，其二氧化硫源强</w:t>
            </w:r>
            <w:r>
              <w:rPr>
                <w:rFonts w:hint="eastAsia" w:cs="Times New Roman"/>
                <w:color w:val="auto"/>
                <w:sz w:val="24"/>
                <w:szCs w:val="24"/>
                <w:lang w:val="en-US" w:eastAsia="zh-CN"/>
              </w:rPr>
              <w:t>2×4914.24×0.273×1×1×10</w:t>
            </w:r>
            <w:r>
              <w:rPr>
                <w:rFonts w:hint="eastAsia" w:cs="Times New Roman"/>
                <w:color w:val="auto"/>
                <w:sz w:val="24"/>
                <w:szCs w:val="24"/>
                <w:vertAlign w:val="superscript"/>
                <w:lang w:val="en-US" w:eastAsia="zh-CN"/>
              </w:rPr>
              <w:t>-5</w:t>
            </w:r>
            <w:r>
              <w:rPr>
                <w:rFonts w:hint="eastAsia" w:cs="Times New Roman"/>
                <w:color w:val="auto"/>
                <w:sz w:val="24"/>
                <w:szCs w:val="24"/>
                <w:vertAlign w:val="baseline"/>
                <w:lang w:val="en-US" w:eastAsia="zh-CN"/>
              </w:rPr>
              <w:t>=</w:t>
            </w:r>
            <w:r>
              <w:rPr>
                <w:rFonts w:hint="eastAsia" w:cs="Times New Roman"/>
                <w:color w:val="auto"/>
                <w:sz w:val="24"/>
                <w:szCs w:val="24"/>
                <w:lang w:val="en-US" w:eastAsia="zh-CN"/>
              </w:rPr>
              <w:t>0.026t</w:t>
            </w:r>
            <w:r>
              <w:rPr>
                <w:rFonts w:ascii="Times New Roman" w:hAnsi="Times New Roman" w:cs="Times New Roman"/>
                <w:color w:val="auto"/>
                <w:sz w:val="24"/>
                <w:szCs w:val="24"/>
              </w:rPr>
              <w:t>，</w:t>
            </w:r>
            <w:r>
              <w:rPr>
                <w:rFonts w:hint="eastAsia"/>
                <w:color w:val="auto"/>
                <w:sz w:val="24"/>
                <w:szCs w:val="24"/>
                <w:lang w:val="en-US" w:eastAsia="zh-CN"/>
              </w:rPr>
              <w:t>烟气出口的排放速率为</w:t>
            </w:r>
            <w:r>
              <w:rPr>
                <w:rFonts w:ascii="Times New Roman" w:hAnsi="Times New Roman" w:cs="Times New Roman"/>
                <w:color w:val="auto"/>
                <w:sz w:val="24"/>
                <w:szCs w:val="24"/>
              </w:rPr>
              <w:t>0.</w:t>
            </w:r>
            <w:r>
              <w:rPr>
                <w:rFonts w:hint="eastAsia" w:cs="Times New Roman"/>
                <w:color w:val="auto"/>
                <w:sz w:val="24"/>
                <w:szCs w:val="24"/>
                <w:lang w:val="en-US" w:eastAsia="zh-CN"/>
              </w:rPr>
              <w:t>0033</w:t>
            </w:r>
            <w:r>
              <w:rPr>
                <w:rFonts w:ascii="Times New Roman" w:hAnsi="Times New Roman" w:cs="Times New Roman"/>
                <w:color w:val="auto"/>
                <w:sz w:val="24"/>
                <w:szCs w:val="24"/>
              </w:rPr>
              <w:t>kg/h，浓度为</w:t>
            </w:r>
            <w:r>
              <w:rPr>
                <w:rFonts w:hint="eastAsia" w:cs="Times New Roman"/>
                <w:color w:val="auto"/>
                <w:sz w:val="24"/>
                <w:szCs w:val="24"/>
                <w:lang w:val="en-US" w:eastAsia="zh-CN"/>
              </w:rPr>
              <w:t>0.24</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p>
          <w:p>
            <w:pPr>
              <w:adjustRightInd w:val="0"/>
              <w:snapToGrid w:val="0"/>
              <w:spacing w:line="360" w:lineRule="auto"/>
              <w:ind w:firstLine="482" w:firstLineChars="200"/>
              <w:rPr>
                <w:rFonts w:cs="Times New Roman"/>
                <w:b/>
                <w:bCs w:val="0"/>
                <w:color w:val="auto"/>
                <w:sz w:val="24"/>
                <w:lang w:val="en-US" w:eastAsia="zh-CN"/>
              </w:rPr>
            </w:pPr>
            <w:r>
              <w:rPr>
                <w:rFonts w:hint="eastAsia" w:cs="Times New Roman"/>
                <w:b/>
                <w:bCs w:val="0"/>
                <w:color w:val="auto"/>
                <w:sz w:val="24"/>
                <w:lang w:val="en-US" w:eastAsia="zh-CN"/>
              </w:rPr>
              <w:t>3.颗粒物</w:t>
            </w:r>
          </w:p>
          <w:p>
            <w:pPr>
              <w:adjustRightInd w:val="0"/>
              <w:snapToGrid w:val="0"/>
              <w:spacing w:line="360" w:lineRule="auto"/>
              <w:ind w:firstLine="480" w:firstLineChars="200"/>
              <w:rPr>
                <w:rFonts w:ascii="Times New Roman" w:hAnsi="Times New Roman" w:cs="Times New Roman"/>
                <w:bCs/>
                <w:color w:val="auto"/>
                <w:sz w:val="24"/>
              </w:rPr>
            </w:pPr>
            <w:r>
              <w:rPr>
                <w:rFonts w:hint="eastAsia" w:cs="Times New Roman"/>
                <w:bCs/>
                <w:color w:val="auto"/>
                <w:sz w:val="24"/>
                <w:lang w:val="en-US" w:eastAsia="zh-CN"/>
              </w:rPr>
              <w:t>根据《4430工业锅炉（热力生产和供应行业）行业系数手册》</w:t>
            </w:r>
            <w:r>
              <w:rPr>
                <w:rFonts w:ascii="Times New Roman" w:hAnsi="Times New Roman" w:cs="Times New Roman"/>
                <w:bCs/>
                <w:color w:val="auto"/>
                <w:sz w:val="24"/>
                <w:lang w:val="en-US" w:eastAsia="zh-CN"/>
              </w:rPr>
              <w:t>布袋除尘器</w:t>
            </w:r>
            <w:r>
              <w:rPr>
                <w:rFonts w:hint="eastAsia" w:cs="Times New Roman"/>
                <w:bCs/>
                <w:color w:val="auto"/>
                <w:sz w:val="24"/>
                <w:lang w:val="en-US" w:eastAsia="zh-CN"/>
              </w:rPr>
              <w:t>处理颗粒物效率为99.7%，本项目设计处置效率为98%，则</w:t>
            </w:r>
            <w:r>
              <w:rPr>
                <w:rFonts w:ascii="Times New Roman" w:hAnsi="Times New Roman" w:cs="Times New Roman"/>
                <w:bCs/>
                <w:color w:val="auto"/>
                <w:sz w:val="24"/>
                <w:lang w:val="en-US" w:eastAsia="zh-CN"/>
              </w:rPr>
              <w:t>处理后烟道尾气</w:t>
            </w:r>
            <w:r>
              <w:rPr>
                <w:rFonts w:hint="eastAsia" w:cs="Times New Roman"/>
                <w:bCs/>
                <w:color w:val="auto"/>
                <w:sz w:val="24"/>
                <w:lang w:val="en-US" w:eastAsia="zh-CN"/>
              </w:rPr>
              <w:t>的</w:t>
            </w:r>
            <w:r>
              <w:rPr>
                <w:rFonts w:ascii="Times New Roman" w:hAnsi="Times New Roman" w:cs="Times New Roman"/>
                <w:bCs/>
                <w:color w:val="auto"/>
                <w:sz w:val="24"/>
              </w:rPr>
              <w:t>颗粒物排放量</w:t>
            </w:r>
            <w:r>
              <w:rPr>
                <w:rFonts w:hint="eastAsia" w:cs="Times New Roman"/>
                <w:bCs/>
                <w:color w:val="auto"/>
                <w:sz w:val="24"/>
                <w:lang w:val="en-US" w:eastAsia="zh-CN"/>
              </w:rPr>
              <w:t>=</w:t>
            </w:r>
            <w:r>
              <w:rPr>
                <w:rFonts w:hint="eastAsia" w:cs="Times New Roman"/>
                <w:color w:val="auto"/>
                <w:sz w:val="24"/>
                <w:szCs w:val="24"/>
                <w:vertAlign w:val="baseline"/>
                <w:lang w:val="en-US" w:eastAsia="zh-CN"/>
              </w:rPr>
              <w:t>10.24t/a</w:t>
            </w:r>
            <w:r>
              <w:rPr>
                <w:rFonts w:hint="eastAsia" w:cs="Times New Roman"/>
                <w:color w:val="auto"/>
                <w:sz w:val="24"/>
                <w:szCs w:val="24"/>
                <w:lang w:val="en-US" w:eastAsia="zh-CN"/>
              </w:rPr>
              <w:t>×（1-98%）=</w:t>
            </w:r>
            <w:r>
              <w:rPr>
                <w:rFonts w:hint="eastAsia" w:cs="Times New Roman"/>
                <w:bCs/>
                <w:color w:val="auto"/>
                <w:sz w:val="24"/>
                <w:lang w:val="en-US" w:eastAsia="zh-CN"/>
              </w:rPr>
              <w:t>0.205</w:t>
            </w:r>
            <w:r>
              <w:rPr>
                <w:rFonts w:hint="eastAsia" w:cs="Times New Roman"/>
                <w:bCs/>
                <w:color w:val="auto"/>
                <w:sz w:val="24"/>
                <w:lang w:eastAsia="zh-CN"/>
              </w:rPr>
              <w:t>t</w:t>
            </w:r>
            <w:r>
              <w:rPr>
                <w:rFonts w:ascii="Times New Roman" w:hAnsi="Times New Roman" w:cs="Times New Roman"/>
                <w:bCs/>
                <w:color w:val="auto"/>
                <w:sz w:val="24"/>
              </w:rPr>
              <w:t>/a</w:t>
            </w:r>
            <w:r>
              <w:rPr>
                <w:rFonts w:hint="eastAsia" w:cs="Times New Roman"/>
                <w:bCs/>
                <w:color w:val="auto"/>
                <w:sz w:val="24"/>
                <w:lang w:val="en-US" w:eastAsia="zh-CN"/>
              </w:rPr>
              <w:t>；排放浓度=</w:t>
            </w:r>
            <w:r>
              <w:rPr>
                <w:rFonts w:hint="eastAsia" w:cs="Times New Roman"/>
                <w:color w:val="auto"/>
                <w:sz w:val="24"/>
                <w:szCs w:val="24"/>
                <w:vertAlign w:val="baseline"/>
                <w:lang w:val="en-US" w:eastAsia="zh-CN"/>
              </w:rPr>
              <w:t>89.62</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hint="eastAsia" w:cs="Times New Roman"/>
                <w:color w:val="auto"/>
                <w:sz w:val="24"/>
                <w:szCs w:val="24"/>
                <w:lang w:val="en-US" w:eastAsia="zh-CN"/>
              </w:rPr>
              <w:t>×（1-98%）</w:t>
            </w:r>
            <w:r>
              <w:rPr>
                <w:rFonts w:hint="eastAsia" w:cs="Times New Roman"/>
                <w:bCs/>
                <w:color w:val="auto"/>
                <w:sz w:val="24"/>
                <w:lang w:val="en-US" w:eastAsia="zh-CN"/>
              </w:rPr>
              <w:t>=1.8</w:t>
            </w:r>
            <w:r>
              <w:rPr>
                <w:rFonts w:ascii="Times New Roman" w:hAnsi="Times New Roman" w:cs="Times New Roman"/>
                <w:bCs/>
                <w:color w:val="auto"/>
                <w:sz w:val="24"/>
              </w:rPr>
              <w:t>mg/m</w:t>
            </w:r>
            <w:r>
              <w:rPr>
                <w:rFonts w:ascii="Times New Roman" w:hAnsi="Times New Roman" w:cs="Times New Roman"/>
                <w:bCs/>
                <w:color w:val="auto"/>
                <w:sz w:val="24"/>
                <w:vertAlign w:val="superscript"/>
              </w:rPr>
              <w:t>3</w:t>
            </w:r>
            <w:r>
              <w:rPr>
                <w:rFonts w:ascii="Times New Roman" w:hAnsi="Times New Roman" w:cs="Times New Roman"/>
                <w:bCs/>
                <w:color w:val="auto"/>
                <w:sz w:val="24"/>
              </w:rPr>
              <w:t>；</w:t>
            </w:r>
          </w:p>
          <w:p>
            <w:pPr>
              <w:adjustRightInd w:val="0"/>
              <w:snapToGrid w:val="0"/>
              <w:spacing w:line="360" w:lineRule="auto"/>
              <w:ind w:firstLine="480" w:firstLineChars="200"/>
              <w:rPr>
                <w:rFonts w:ascii="Times New Roman" w:hAnsi="Times New Roman" w:cs="Times New Roman"/>
                <w:bCs/>
                <w:color w:val="auto"/>
                <w:sz w:val="24"/>
              </w:rPr>
            </w:pPr>
            <w:r>
              <w:rPr>
                <w:rFonts w:hint="eastAsia" w:cs="Times New Roman"/>
                <w:bCs/>
                <w:color w:val="auto"/>
                <w:sz w:val="24"/>
                <w:lang w:val="en-US" w:eastAsia="zh-CN"/>
              </w:rPr>
              <w:t>综上项目产生的污染物</w:t>
            </w:r>
            <w:r>
              <w:rPr>
                <w:rFonts w:ascii="Times New Roman" w:hAnsi="Times New Roman" w:cs="Times New Roman"/>
                <w:bCs/>
                <w:color w:val="auto"/>
                <w:sz w:val="24"/>
              </w:rPr>
              <w:t>满足《锅炉大气污染物排放标准》GB13271-2014表2中的排放浓度限值</w:t>
            </w:r>
            <w:r>
              <w:rPr>
                <w:rFonts w:ascii="Times New Roman" w:hAnsi="Times New Roman" w:cs="Times New Roman"/>
                <w:bCs/>
                <w:color w:val="auto"/>
                <w:sz w:val="24"/>
                <w:lang w:eastAsia="zh-CN"/>
              </w:rPr>
              <w:t>（</w:t>
            </w:r>
            <w:r>
              <w:rPr>
                <w:rFonts w:ascii="Times New Roman" w:hAnsi="Times New Roman" w:cs="Times New Roman"/>
                <w:bCs/>
                <w:color w:val="auto"/>
                <w:sz w:val="24"/>
              </w:rPr>
              <w:t>颗粒物：</w:t>
            </w:r>
            <w:r>
              <w:rPr>
                <w:rFonts w:ascii="Times New Roman" w:hAnsi="Times New Roman" w:cs="Times New Roman"/>
                <w:bCs/>
                <w:color w:val="auto"/>
                <w:sz w:val="24"/>
                <w:lang w:val="en-US" w:eastAsia="zh-CN"/>
              </w:rPr>
              <w:t>2</w:t>
            </w:r>
            <w:r>
              <w:rPr>
                <w:rFonts w:ascii="Times New Roman" w:hAnsi="Times New Roman" w:cs="Times New Roman"/>
                <w:bCs/>
                <w:color w:val="auto"/>
                <w:sz w:val="24"/>
              </w:rPr>
              <w:t>0mg/m</w:t>
            </w:r>
            <w:r>
              <w:rPr>
                <w:rFonts w:ascii="Times New Roman" w:hAnsi="Times New Roman" w:cs="Times New Roman"/>
                <w:bCs/>
                <w:color w:val="auto"/>
                <w:sz w:val="24"/>
                <w:vertAlign w:val="superscript"/>
              </w:rPr>
              <w:t>3</w:t>
            </w:r>
            <w:r>
              <w:rPr>
                <w:rFonts w:ascii="Times New Roman" w:hAnsi="Times New Roman" w:cs="Times New Roman"/>
                <w:bCs/>
                <w:color w:val="auto"/>
                <w:sz w:val="24"/>
              </w:rPr>
              <w:t>；二氧化硫：</w:t>
            </w:r>
            <w:r>
              <w:rPr>
                <w:rFonts w:ascii="Times New Roman" w:hAnsi="Times New Roman" w:cs="Times New Roman"/>
                <w:bCs/>
                <w:color w:val="auto"/>
                <w:sz w:val="24"/>
                <w:lang w:val="en-US" w:eastAsia="zh-CN"/>
              </w:rPr>
              <w:t>5</w:t>
            </w:r>
            <w:r>
              <w:rPr>
                <w:rFonts w:ascii="Times New Roman" w:hAnsi="Times New Roman" w:cs="Times New Roman"/>
                <w:bCs/>
                <w:color w:val="auto"/>
                <w:sz w:val="24"/>
              </w:rPr>
              <w:t>0mg/m</w:t>
            </w:r>
            <w:r>
              <w:rPr>
                <w:rFonts w:ascii="Times New Roman" w:hAnsi="Times New Roman" w:cs="Times New Roman"/>
                <w:bCs/>
                <w:color w:val="auto"/>
                <w:sz w:val="24"/>
                <w:vertAlign w:val="superscript"/>
              </w:rPr>
              <w:t>3</w:t>
            </w:r>
            <w:r>
              <w:rPr>
                <w:rFonts w:ascii="Times New Roman" w:hAnsi="Times New Roman" w:cs="Times New Roman"/>
                <w:bCs/>
                <w:color w:val="auto"/>
                <w:sz w:val="24"/>
              </w:rPr>
              <w:t>；氮氧化物：</w:t>
            </w:r>
            <w:r>
              <w:rPr>
                <w:rFonts w:hint="eastAsia" w:cs="Times New Roman"/>
                <w:bCs/>
                <w:color w:val="auto"/>
                <w:sz w:val="24"/>
                <w:lang w:val="en-US" w:eastAsia="zh-CN"/>
              </w:rPr>
              <w:t>150</w:t>
            </w:r>
            <w:r>
              <w:rPr>
                <w:rFonts w:ascii="Times New Roman" w:hAnsi="Times New Roman" w:cs="Times New Roman"/>
                <w:bCs/>
                <w:color w:val="auto"/>
                <w:sz w:val="24"/>
              </w:rPr>
              <w:t>mg/m</w:t>
            </w:r>
            <w:r>
              <w:rPr>
                <w:rFonts w:ascii="Times New Roman" w:hAnsi="Times New Roman" w:cs="Times New Roman"/>
                <w:bCs/>
                <w:color w:val="auto"/>
                <w:sz w:val="24"/>
                <w:vertAlign w:val="superscript"/>
              </w:rPr>
              <w:t>3</w:t>
            </w:r>
            <w:r>
              <w:rPr>
                <w:rFonts w:ascii="Times New Roman" w:hAnsi="Times New Roman" w:cs="Times New Roman"/>
                <w:bCs/>
                <w:color w:val="auto"/>
                <w:sz w:val="24"/>
                <w:vertAlign w:val="baseline"/>
                <w:lang w:eastAsia="zh-CN"/>
              </w:rPr>
              <w:t>）</w:t>
            </w:r>
            <w:r>
              <w:rPr>
                <w:rFonts w:ascii="Times New Roman" w:hAnsi="Times New Roman" w:cs="Times New Roman"/>
                <w:bCs/>
                <w:color w:val="auto"/>
                <w:sz w:val="24"/>
              </w:rPr>
              <w:t>，项目污染物排放不会对大气重点管控区造成影响。</w:t>
            </w:r>
          </w:p>
          <w:p>
            <w:pPr>
              <w:adjustRightInd w:val="0"/>
              <w:snapToGrid w:val="0"/>
              <w:spacing w:line="360" w:lineRule="auto"/>
              <w:ind w:firstLine="480" w:firstLineChars="200"/>
              <w:rPr>
                <w:rFonts w:ascii="Times New Roman" w:hAnsi="Times New Roman" w:eastAsia="宋体" w:cs="Times New Roman"/>
                <w:bCs/>
                <w:color w:val="auto"/>
                <w:sz w:val="24"/>
                <w:lang w:eastAsia="zh-CN"/>
              </w:rPr>
            </w:pPr>
            <w:r>
              <w:rPr>
                <w:rFonts w:ascii="Times New Roman" w:hAnsi="Times New Roman" w:cs="Times New Roman"/>
                <w:bCs/>
                <w:color w:val="auto"/>
                <w:sz w:val="24"/>
                <w:lang w:eastAsia="zh-CN"/>
              </w:rPr>
              <w:t>项目废气污染物源强核算结果</w:t>
            </w:r>
            <w:r>
              <w:rPr>
                <w:rFonts w:ascii="Times New Roman" w:hAnsi="Times New Roman" w:cs="Times New Roman"/>
                <w:bCs/>
                <w:color w:val="auto"/>
                <w:sz w:val="24"/>
                <w:lang w:val="en-US" w:eastAsia="zh-CN"/>
              </w:rPr>
              <w:t>见表4-1</w:t>
            </w:r>
            <w:r>
              <w:rPr>
                <w:rFonts w:ascii="Times New Roman" w:hAnsi="Times New Roman" w:cs="Times New Roman"/>
                <w:bCs/>
                <w:color w:val="auto"/>
                <w:sz w:val="24"/>
                <w:lang w:eastAsia="zh-CN"/>
              </w:rPr>
              <w:t>。</w:t>
            </w:r>
          </w:p>
          <w:p>
            <w:pPr>
              <w:pStyle w:val="43"/>
              <w:kinsoku w:val="0"/>
              <w:overflowPunct w:val="0"/>
              <w:jc w:val="center"/>
              <w:rPr>
                <w:rFonts w:ascii="Times New Roman" w:hAnsi="Times New Roman" w:cs="Times New Roman"/>
                <w:b/>
                <w:color w:val="auto"/>
                <w:sz w:val="21"/>
                <w:szCs w:val="21"/>
                <w:lang w:eastAsia="zh-CN"/>
              </w:rPr>
            </w:pPr>
            <w:r>
              <w:rPr>
                <w:rFonts w:ascii="Times New Roman" w:hAnsi="Times New Roman" w:cs="Times New Roman"/>
                <w:b/>
                <w:color w:val="auto"/>
                <w:sz w:val="21"/>
                <w:szCs w:val="21"/>
                <w:lang w:eastAsia="zh-CN"/>
              </w:rPr>
              <w:t>表4-1 项目废气污染物源强核算结果及相关参数</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6"/>
              <w:gridCol w:w="508"/>
              <w:gridCol w:w="630"/>
              <w:gridCol w:w="780"/>
              <w:gridCol w:w="859"/>
              <w:gridCol w:w="608"/>
              <w:gridCol w:w="682"/>
              <w:gridCol w:w="593"/>
              <w:gridCol w:w="780"/>
              <w:gridCol w:w="859"/>
              <w:gridCol w:w="705"/>
              <w:gridCol w:w="783"/>
              <w:gridCol w:w="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66" w:type="dxa"/>
                  <w:vMerge w:val="restart"/>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污染源</w:t>
                  </w:r>
                </w:p>
              </w:tc>
              <w:tc>
                <w:tcPr>
                  <w:tcW w:w="508" w:type="dxa"/>
                  <w:vMerge w:val="restart"/>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污染物</w:t>
                  </w:r>
                </w:p>
              </w:tc>
              <w:tc>
                <w:tcPr>
                  <w:tcW w:w="630" w:type="dxa"/>
                  <w:vMerge w:val="restart"/>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产生量（t/a）</w:t>
                  </w:r>
                </w:p>
              </w:tc>
              <w:tc>
                <w:tcPr>
                  <w:tcW w:w="2247" w:type="dxa"/>
                  <w:gridSpan w:val="3"/>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污染物产生</w:t>
                  </w:r>
                </w:p>
              </w:tc>
              <w:tc>
                <w:tcPr>
                  <w:tcW w:w="1275" w:type="dxa"/>
                  <w:gridSpan w:val="2"/>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
                      <w:color w:val="auto"/>
                      <w:szCs w:val="21"/>
                      <w:lang w:val="en-US" w:eastAsia="zh-CN"/>
                    </w:rPr>
                  </w:pPr>
                  <w:r>
                    <w:rPr>
                      <w:rFonts w:ascii="Times New Roman" w:hAnsi="Times New Roman" w:cs="Times New Roman"/>
                      <w:b/>
                      <w:color w:val="auto"/>
                      <w:szCs w:val="21"/>
                      <w:lang w:val="en-US" w:eastAsia="zh-CN"/>
                    </w:rPr>
                    <w:t>治理措施</w:t>
                  </w:r>
                </w:p>
              </w:tc>
              <w:tc>
                <w:tcPr>
                  <w:tcW w:w="2344" w:type="dxa"/>
                  <w:gridSpan w:val="3"/>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污染物排放</w:t>
                  </w:r>
                </w:p>
              </w:tc>
              <w:tc>
                <w:tcPr>
                  <w:tcW w:w="783" w:type="dxa"/>
                  <w:vMerge w:val="restart"/>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
                      <w:color w:val="auto"/>
                      <w:szCs w:val="21"/>
                      <w:lang w:val="en-US" w:eastAsia="zh-CN"/>
                    </w:rPr>
                  </w:pPr>
                  <w:r>
                    <w:rPr>
                      <w:rFonts w:hint="eastAsia" w:cs="Times New Roman"/>
                      <w:b/>
                      <w:color w:val="auto"/>
                      <w:szCs w:val="21"/>
                      <w:lang w:val="en-US" w:eastAsia="zh-CN"/>
                    </w:rPr>
                    <w:t>浓度限值</w:t>
                  </w:r>
                  <w:r>
                    <w:rPr>
                      <w:rFonts w:ascii="Times New Roman" w:hAnsi="Times New Roman" w:cs="Times New Roman"/>
                      <w:b/>
                      <w:color w:val="auto"/>
                      <w:szCs w:val="21"/>
                    </w:rPr>
                    <w:t>mg/m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c>
                <w:tcPr>
                  <w:tcW w:w="367" w:type="dxa"/>
                  <w:vMerge w:val="restart"/>
                  <w:tcBorders>
                    <w:tl2br w:val="nil"/>
                    <w:tr2bl w:val="nil"/>
                  </w:tcBorders>
                  <w:vAlign w:val="center"/>
                </w:tcPr>
                <w:p>
                  <w:pPr>
                    <w:topLinePunct/>
                    <w:adjustRightInd w:val="0"/>
                    <w:snapToGrid w:val="0"/>
                    <w:spacing w:line="0" w:lineRule="atLeast"/>
                    <w:jc w:val="center"/>
                    <w:rPr>
                      <w:rFonts w:cs="Times New Roman"/>
                      <w:b/>
                      <w:color w:val="auto"/>
                      <w:szCs w:val="21"/>
                      <w:lang w:val="en-US" w:eastAsia="zh-CN"/>
                    </w:rPr>
                  </w:pPr>
                  <w:r>
                    <w:rPr>
                      <w:rFonts w:hint="eastAsia" w:cs="Times New Roman"/>
                      <w:b/>
                      <w:color w:val="auto"/>
                      <w:szCs w:val="21"/>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66" w:type="dxa"/>
                  <w:vMerge w:val="continue"/>
                  <w:tcBorders>
                    <w:tl2br w:val="nil"/>
                    <w:tr2bl w:val="nil"/>
                  </w:tcBorders>
                  <w:vAlign w:val="center"/>
                </w:tcPr>
                <w:p/>
              </w:tc>
              <w:tc>
                <w:tcPr>
                  <w:tcW w:w="508" w:type="dxa"/>
                  <w:vMerge w:val="continue"/>
                  <w:tcBorders>
                    <w:tl2br w:val="nil"/>
                    <w:tr2bl w:val="nil"/>
                  </w:tcBorders>
                  <w:vAlign w:val="center"/>
                </w:tcPr>
                <w:p/>
              </w:tc>
              <w:tc>
                <w:tcPr>
                  <w:tcW w:w="630" w:type="dxa"/>
                  <w:vMerge w:val="continue"/>
                  <w:tcBorders>
                    <w:tl2br w:val="nil"/>
                    <w:tr2bl w:val="nil"/>
                  </w:tcBorders>
                  <w:vAlign w:val="center"/>
                </w:tcPr>
                <w:p/>
              </w:tc>
              <w:tc>
                <w:tcPr>
                  <w:tcW w:w="780" w:type="dxa"/>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烟气量（m</w:t>
                  </w:r>
                  <w:r>
                    <w:rPr>
                      <w:rFonts w:ascii="Times New Roman" w:hAnsi="Times New Roman" w:cs="Times New Roman"/>
                      <w:b/>
                      <w:color w:val="auto"/>
                      <w:szCs w:val="21"/>
                      <w:vertAlign w:val="superscript"/>
                    </w:rPr>
                    <w:t>3</w:t>
                  </w:r>
                  <w:r>
                    <w:rPr>
                      <w:rFonts w:ascii="Times New Roman" w:hAnsi="Times New Roman" w:cs="Times New Roman"/>
                      <w:b/>
                      <w:color w:val="auto"/>
                      <w:szCs w:val="21"/>
                    </w:rPr>
                    <w:t>/h）</w:t>
                  </w: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浓度（mg/m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c>
                <w:tcPr>
                  <w:tcW w:w="608" w:type="dxa"/>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速率</w:t>
                  </w:r>
                </w:p>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kg/h</w:t>
                  </w:r>
                </w:p>
              </w:tc>
              <w:tc>
                <w:tcPr>
                  <w:tcW w:w="682"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
                      <w:color w:val="auto"/>
                      <w:szCs w:val="21"/>
                      <w:lang w:val="en-US" w:eastAsia="zh-CN"/>
                    </w:rPr>
                  </w:pPr>
                  <w:r>
                    <w:rPr>
                      <w:rFonts w:ascii="Times New Roman" w:hAnsi="Times New Roman" w:cs="Times New Roman"/>
                      <w:b/>
                      <w:color w:val="auto"/>
                      <w:szCs w:val="21"/>
                      <w:lang w:val="en-US" w:eastAsia="zh-CN"/>
                    </w:rPr>
                    <w:t>工艺</w:t>
                  </w:r>
                </w:p>
              </w:tc>
              <w:tc>
                <w:tcPr>
                  <w:tcW w:w="593"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
                      <w:color w:val="auto"/>
                      <w:szCs w:val="21"/>
                      <w:lang w:val="en-US" w:eastAsia="zh-CN"/>
                    </w:rPr>
                  </w:pPr>
                  <w:r>
                    <w:rPr>
                      <w:rFonts w:ascii="Times New Roman" w:hAnsi="Times New Roman" w:cs="Times New Roman"/>
                      <w:b/>
                      <w:color w:val="auto"/>
                      <w:szCs w:val="21"/>
                      <w:lang w:val="en-US" w:eastAsia="zh-CN"/>
                    </w:rPr>
                    <w:t>效率（%）</w:t>
                  </w:r>
                </w:p>
              </w:tc>
              <w:tc>
                <w:tcPr>
                  <w:tcW w:w="780" w:type="dxa"/>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烟气量（m</w:t>
                  </w:r>
                  <w:r>
                    <w:rPr>
                      <w:rFonts w:ascii="Times New Roman" w:hAnsi="Times New Roman" w:cs="Times New Roman"/>
                      <w:b/>
                      <w:color w:val="auto"/>
                      <w:szCs w:val="21"/>
                      <w:vertAlign w:val="superscript"/>
                    </w:rPr>
                    <w:t>3</w:t>
                  </w:r>
                  <w:r>
                    <w:rPr>
                      <w:rFonts w:ascii="Times New Roman" w:hAnsi="Times New Roman" w:cs="Times New Roman"/>
                      <w:b/>
                      <w:color w:val="auto"/>
                      <w:szCs w:val="21"/>
                    </w:rPr>
                    <w:t>/h）</w:t>
                  </w: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浓度（mg/m</w:t>
                  </w:r>
                  <w:r>
                    <w:rPr>
                      <w:rFonts w:ascii="Times New Roman" w:hAnsi="Times New Roman" w:cs="Times New Roman"/>
                      <w:b/>
                      <w:color w:val="auto"/>
                      <w:szCs w:val="21"/>
                      <w:vertAlign w:val="superscript"/>
                    </w:rPr>
                    <w:t>3</w:t>
                  </w:r>
                  <w:r>
                    <w:rPr>
                      <w:rFonts w:ascii="Times New Roman" w:hAnsi="Times New Roman" w:cs="Times New Roman"/>
                      <w:b/>
                      <w:color w:val="auto"/>
                      <w:szCs w:val="21"/>
                    </w:rPr>
                    <w:t>）</w:t>
                  </w:r>
                </w:p>
              </w:tc>
              <w:tc>
                <w:tcPr>
                  <w:tcW w:w="705" w:type="dxa"/>
                  <w:tcBorders>
                    <w:tl2br w:val="nil"/>
                    <w:tr2bl w:val="nil"/>
                  </w:tcBorders>
                  <w:vAlign w:val="center"/>
                </w:tcPr>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速率</w:t>
                  </w:r>
                </w:p>
                <w:p>
                  <w:pPr>
                    <w:topLinePunct/>
                    <w:adjustRightInd w:val="0"/>
                    <w:snapToGrid w:val="0"/>
                    <w:spacing w:line="0" w:lineRule="atLeast"/>
                    <w:jc w:val="center"/>
                    <w:rPr>
                      <w:rFonts w:ascii="Times New Roman" w:hAnsi="Times New Roman" w:cs="Times New Roman"/>
                      <w:b/>
                      <w:color w:val="auto"/>
                      <w:szCs w:val="21"/>
                    </w:rPr>
                  </w:pPr>
                  <w:r>
                    <w:rPr>
                      <w:rFonts w:ascii="Times New Roman" w:hAnsi="Times New Roman" w:cs="Times New Roman"/>
                      <w:b/>
                      <w:color w:val="auto"/>
                      <w:szCs w:val="21"/>
                    </w:rPr>
                    <w:t>kg/h</w:t>
                  </w:r>
                </w:p>
              </w:tc>
              <w:tc>
                <w:tcPr>
                  <w:tcW w:w="783" w:type="dxa"/>
                  <w:vMerge w:val="continue"/>
                  <w:tcBorders>
                    <w:tl2br w:val="nil"/>
                    <w:tr2bl w:val="nil"/>
                  </w:tcBorders>
                  <w:vAlign w:val="center"/>
                </w:tcPr>
                <w:p/>
              </w:tc>
              <w:tc>
                <w:tcPr>
                  <w:tcW w:w="367" w:type="dxa"/>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66" w:type="dxa"/>
                  <w:vMerge w:val="restart"/>
                  <w:tcBorders>
                    <w:tl2br w:val="nil"/>
                    <w:tr2bl w:val="nil"/>
                  </w:tcBorders>
                  <w:vAlign w:val="center"/>
                </w:tcPr>
                <w:p>
                  <w:pPr>
                    <w:topLinePunct/>
                    <w:adjustRightInd w:val="0"/>
                    <w:snapToGrid w:val="0"/>
                    <w:spacing w:line="0" w:lineRule="atLeast"/>
                    <w:jc w:val="center"/>
                    <w:rPr>
                      <w:rFonts w:ascii="Times New Roman" w:hAnsi="Times New Roman" w:cs="Times New Roman"/>
                      <w:bCs/>
                      <w:color w:val="auto"/>
                      <w:szCs w:val="21"/>
                    </w:rPr>
                  </w:pPr>
                  <w:r>
                    <w:rPr>
                      <w:rFonts w:ascii="Times New Roman" w:hAnsi="Times New Roman" w:cs="Times New Roman"/>
                      <w:bCs/>
                      <w:color w:val="auto"/>
                      <w:szCs w:val="21"/>
                    </w:rPr>
                    <w:t>锅炉</w:t>
                  </w:r>
                </w:p>
              </w:tc>
              <w:tc>
                <w:tcPr>
                  <w:tcW w:w="508" w:type="dxa"/>
                  <w:tcBorders>
                    <w:tl2br w:val="nil"/>
                    <w:tr2bl w:val="nil"/>
                  </w:tcBorders>
                  <w:vAlign w:val="center"/>
                </w:tcPr>
                <w:p>
                  <w:pPr>
                    <w:topLinePunct/>
                    <w:adjustRightInd w:val="0"/>
                    <w:snapToGrid w:val="0"/>
                    <w:spacing w:line="0" w:lineRule="atLeast"/>
                    <w:jc w:val="center"/>
                    <w:rPr>
                      <w:rFonts w:ascii="Times New Roman" w:hAnsi="Times New Roman" w:cs="Times New Roman"/>
                      <w:bCs/>
                      <w:color w:val="auto"/>
                      <w:szCs w:val="21"/>
                    </w:rPr>
                  </w:pPr>
                  <w:r>
                    <w:rPr>
                      <w:rFonts w:ascii="Times New Roman" w:hAnsi="Times New Roman" w:cs="Times New Roman"/>
                      <w:bCs/>
                      <w:color w:val="auto"/>
                      <w:szCs w:val="21"/>
                    </w:rPr>
                    <w:t>颗粒物</w:t>
                  </w:r>
                </w:p>
              </w:tc>
              <w:tc>
                <w:tcPr>
                  <w:tcW w:w="630"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10.24</w:t>
                  </w:r>
                </w:p>
              </w:tc>
              <w:tc>
                <w:tcPr>
                  <w:tcW w:w="780" w:type="dxa"/>
                  <w:vMerge w:val="restart"/>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13825.64</w:t>
                  </w: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89.62</w:t>
                  </w:r>
                </w:p>
              </w:tc>
              <w:tc>
                <w:tcPr>
                  <w:tcW w:w="608"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1.293</w:t>
                  </w:r>
                </w:p>
              </w:tc>
              <w:tc>
                <w:tcPr>
                  <w:tcW w:w="682" w:type="dxa"/>
                  <w:vMerge w:val="restart"/>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低氮燃烧+</w:t>
                  </w:r>
                  <w:r>
                    <w:rPr>
                      <w:rFonts w:ascii="Times New Roman" w:hAnsi="Times New Roman" w:cs="Times New Roman"/>
                      <w:bCs/>
                      <w:color w:val="auto"/>
                      <w:szCs w:val="21"/>
                      <w:lang w:val="en-US" w:eastAsia="zh-CN"/>
                    </w:rPr>
                    <w:t>SCR脱硝+旋风布袋除尘器</w:t>
                  </w:r>
                </w:p>
              </w:tc>
              <w:tc>
                <w:tcPr>
                  <w:tcW w:w="593"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98</w:t>
                  </w:r>
                </w:p>
              </w:tc>
              <w:tc>
                <w:tcPr>
                  <w:tcW w:w="780" w:type="dxa"/>
                  <w:vMerge w:val="restart"/>
                  <w:tcBorders>
                    <w:tl2br w:val="nil"/>
                    <w:tr2bl w:val="nil"/>
                  </w:tcBorders>
                  <w:vAlign w:val="center"/>
                </w:tcPr>
                <w:p>
                  <w:pPr>
                    <w:topLinePunct/>
                    <w:adjustRightInd w:val="0"/>
                    <w:snapToGrid w:val="0"/>
                    <w:spacing w:line="0" w:lineRule="atLeast"/>
                    <w:jc w:val="center"/>
                    <w:rPr>
                      <w:rFonts w:hint="eastAsia" w:ascii="Times New Roman" w:hAnsi="Times New Roman" w:eastAsia="宋体" w:cs="Times New Roman"/>
                      <w:bCs/>
                      <w:color w:val="auto"/>
                      <w:szCs w:val="21"/>
                      <w:lang w:eastAsia="zh-CN"/>
                    </w:rPr>
                  </w:pPr>
                  <w:r>
                    <w:rPr>
                      <w:rFonts w:hint="eastAsia" w:cs="Times New Roman"/>
                      <w:bCs/>
                      <w:color w:val="auto"/>
                      <w:szCs w:val="21"/>
                      <w:lang w:val="en-US" w:eastAsia="zh-CN"/>
                    </w:rPr>
                    <w:t>13825.64</w:t>
                  </w: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1.8</w:t>
                  </w:r>
                </w:p>
              </w:tc>
              <w:tc>
                <w:tcPr>
                  <w:tcW w:w="705"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0.026</w:t>
                  </w:r>
                </w:p>
              </w:tc>
              <w:tc>
                <w:tcPr>
                  <w:tcW w:w="783" w:type="dxa"/>
                  <w:tcBorders>
                    <w:tl2br w:val="nil"/>
                    <w:tr2bl w:val="nil"/>
                  </w:tcBorders>
                  <w:vAlign w:val="center"/>
                </w:tcPr>
                <w:p>
                  <w:pPr>
                    <w:topLinePunct/>
                    <w:adjustRightInd w:val="0"/>
                    <w:snapToGrid w:val="0"/>
                    <w:spacing w:line="0" w:lineRule="atLeast"/>
                    <w:jc w:val="center"/>
                    <w:rPr>
                      <w:rFonts w:cs="Times New Roman"/>
                      <w:bCs/>
                      <w:color w:val="auto"/>
                      <w:szCs w:val="21"/>
                      <w:lang w:val="en-US" w:eastAsia="zh-CN"/>
                    </w:rPr>
                  </w:pPr>
                  <w:r>
                    <w:rPr>
                      <w:rFonts w:hint="eastAsia" w:cs="Times New Roman"/>
                      <w:bCs/>
                      <w:color w:val="auto"/>
                      <w:szCs w:val="21"/>
                      <w:lang w:val="en-US" w:eastAsia="zh-CN"/>
                    </w:rPr>
                    <w:t>20</w:t>
                  </w:r>
                </w:p>
              </w:tc>
              <w:tc>
                <w:tcPr>
                  <w:tcW w:w="367" w:type="dxa"/>
                  <w:tcBorders>
                    <w:tl2br w:val="nil"/>
                    <w:tr2bl w:val="nil"/>
                  </w:tcBorders>
                  <w:vAlign w:val="center"/>
                </w:tcPr>
                <w:p>
                  <w:pPr>
                    <w:topLinePunct/>
                    <w:adjustRightInd w:val="0"/>
                    <w:snapToGrid w:val="0"/>
                    <w:spacing w:line="0" w:lineRule="atLeast"/>
                    <w:jc w:val="center"/>
                    <w:rPr>
                      <w:rFonts w:cs="Times New Roman"/>
                      <w:bCs/>
                      <w:color w:val="auto"/>
                      <w:szCs w:val="21"/>
                      <w:lang w:val="en-US" w:eastAsia="zh-CN"/>
                    </w:rPr>
                  </w:pPr>
                  <w:r>
                    <w:rPr>
                      <w:rFonts w:hint="eastAsia" w:cs="Times New Roman"/>
                      <w:bCs/>
                      <w:color w:val="auto"/>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366" w:type="dxa"/>
                  <w:vMerge w:val="continue"/>
                  <w:tcBorders>
                    <w:tl2br w:val="nil"/>
                    <w:tr2bl w:val="nil"/>
                  </w:tcBorders>
                  <w:vAlign w:val="center"/>
                </w:tcPr>
                <w:p/>
              </w:tc>
              <w:tc>
                <w:tcPr>
                  <w:tcW w:w="508" w:type="dxa"/>
                  <w:tcBorders>
                    <w:tl2br w:val="nil"/>
                    <w:tr2bl w:val="nil"/>
                  </w:tcBorders>
                  <w:vAlign w:val="center"/>
                </w:tcPr>
                <w:p>
                  <w:pPr>
                    <w:topLinePunct/>
                    <w:adjustRightInd w:val="0"/>
                    <w:snapToGrid w:val="0"/>
                    <w:spacing w:line="0" w:lineRule="atLeast"/>
                    <w:jc w:val="center"/>
                    <w:rPr>
                      <w:rFonts w:ascii="Times New Roman" w:hAnsi="Times New Roman" w:cs="Times New Roman"/>
                      <w:bCs/>
                      <w:color w:val="auto"/>
                      <w:szCs w:val="21"/>
                    </w:rPr>
                  </w:pPr>
                  <w:r>
                    <w:rPr>
                      <w:rFonts w:ascii="Times New Roman" w:hAnsi="Times New Roman" w:cs="Times New Roman"/>
                      <w:bCs/>
                      <w:color w:val="auto"/>
                      <w:szCs w:val="21"/>
                    </w:rPr>
                    <w:t>SO</w:t>
                  </w:r>
                  <w:r>
                    <w:rPr>
                      <w:rFonts w:ascii="Times New Roman" w:hAnsi="Times New Roman" w:cs="Times New Roman"/>
                      <w:bCs/>
                      <w:color w:val="auto"/>
                      <w:szCs w:val="21"/>
                      <w:vertAlign w:val="subscript"/>
                    </w:rPr>
                    <w:t>2</w:t>
                  </w:r>
                </w:p>
              </w:tc>
              <w:tc>
                <w:tcPr>
                  <w:tcW w:w="630"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0.026</w:t>
                  </w:r>
                </w:p>
              </w:tc>
              <w:tc>
                <w:tcPr>
                  <w:tcW w:w="780" w:type="dxa"/>
                  <w:vMerge w:val="continue"/>
                  <w:tcBorders>
                    <w:tl2br w:val="nil"/>
                    <w:tr2bl w:val="nil"/>
                  </w:tcBorders>
                  <w:vAlign w:val="center"/>
                </w:tcP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0.24</w:t>
                  </w:r>
                </w:p>
              </w:tc>
              <w:tc>
                <w:tcPr>
                  <w:tcW w:w="608"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0.0033</w:t>
                  </w:r>
                </w:p>
              </w:tc>
              <w:tc>
                <w:tcPr>
                  <w:tcW w:w="682" w:type="dxa"/>
                  <w:vMerge w:val="continue"/>
                  <w:tcBorders>
                    <w:tl2br w:val="nil"/>
                    <w:tr2bl w:val="nil"/>
                  </w:tcBorders>
                  <w:vAlign w:val="center"/>
                </w:tcPr>
                <w:p/>
              </w:tc>
              <w:tc>
                <w:tcPr>
                  <w:tcW w:w="593"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w:t>
                  </w:r>
                </w:p>
              </w:tc>
              <w:tc>
                <w:tcPr>
                  <w:tcW w:w="780" w:type="dxa"/>
                  <w:vMerge w:val="continue"/>
                  <w:tcBorders>
                    <w:tl2br w:val="nil"/>
                    <w:tr2bl w:val="nil"/>
                  </w:tcBorders>
                  <w:vAlign w:val="center"/>
                </w:tcP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0.24</w:t>
                  </w:r>
                </w:p>
              </w:tc>
              <w:tc>
                <w:tcPr>
                  <w:tcW w:w="705"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0.0033</w:t>
                  </w:r>
                </w:p>
              </w:tc>
              <w:tc>
                <w:tcPr>
                  <w:tcW w:w="783" w:type="dxa"/>
                  <w:tcBorders>
                    <w:tl2br w:val="nil"/>
                    <w:tr2bl w:val="nil"/>
                  </w:tcBorders>
                  <w:vAlign w:val="center"/>
                </w:tcPr>
                <w:p>
                  <w:pPr>
                    <w:topLinePunct/>
                    <w:adjustRightInd w:val="0"/>
                    <w:snapToGrid w:val="0"/>
                    <w:spacing w:line="0" w:lineRule="atLeast"/>
                    <w:jc w:val="center"/>
                    <w:rPr>
                      <w:rFonts w:cs="Times New Roman"/>
                      <w:bCs/>
                      <w:color w:val="auto"/>
                      <w:szCs w:val="21"/>
                      <w:lang w:val="en-US" w:eastAsia="zh-CN"/>
                    </w:rPr>
                  </w:pPr>
                  <w:r>
                    <w:rPr>
                      <w:rFonts w:hint="eastAsia" w:cs="Times New Roman"/>
                      <w:bCs/>
                      <w:color w:val="auto"/>
                      <w:szCs w:val="21"/>
                      <w:lang w:val="en-US" w:eastAsia="zh-CN"/>
                    </w:rPr>
                    <w:t>50</w:t>
                  </w:r>
                </w:p>
              </w:tc>
              <w:tc>
                <w:tcPr>
                  <w:tcW w:w="367" w:type="dxa"/>
                  <w:tcBorders>
                    <w:tl2br w:val="nil"/>
                    <w:tr2bl w:val="nil"/>
                  </w:tcBorders>
                  <w:vAlign w:val="center"/>
                </w:tcPr>
                <w:p>
                  <w:pPr>
                    <w:topLinePunct/>
                    <w:adjustRightInd w:val="0"/>
                    <w:snapToGrid w:val="0"/>
                    <w:spacing w:line="0" w:lineRule="atLeast"/>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6" w:type="dxa"/>
                  <w:vMerge w:val="continue"/>
                  <w:tcBorders>
                    <w:tl2br w:val="nil"/>
                    <w:tr2bl w:val="nil"/>
                  </w:tcBorders>
                  <w:vAlign w:val="center"/>
                </w:tcPr>
                <w:p/>
              </w:tc>
              <w:tc>
                <w:tcPr>
                  <w:tcW w:w="508"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kern w:val="2"/>
                      <w:sz w:val="21"/>
                      <w:szCs w:val="21"/>
                      <w:lang w:val="en-US" w:eastAsia="zh-CN" w:bidi="ar-SA"/>
                    </w:rPr>
                  </w:pPr>
                  <w:r>
                    <w:rPr>
                      <w:rFonts w:ascii="Times New Roman" w:hAnsi="Times New Roman" w:cs="Times New Roman"/>
                      <w:bCs/>
                      <w:color w:val="auto"/>
                      <w:szCs w:val="21"/>
                    </w:rPr>
                    <w:t>NOx</w:t>
                  </w:r>
                </w:p>
              </w:tc>
              <w:tc>
                <w:tcPr>
                  <w:tcW w:w="630"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3.145</w:t>
                  </w:r>
                </w:p>
              </w:tc>
              <w:tc>
                <w:tcPr>
                  <w:tcW w:w="780" w:type="dxa"/>
                  <w:vMerge w:val="continue"/>
                  <w:tcBorders>
                    <w:tl2br w:val="nil"/>
                    <w:tr2bl w:val="nil"/>
                  </w:tcBorders>
                  <w:vAlign w:val="center"/>
                </w:tcP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28.71</w:t>
                  </w:r>
                </w:p>
              </w:tc>
              <w:tc>
                <w:tcPr>
                  <w:tcW w:w="608"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0.397</w:t>
                  </w:r>
                </w:p>
              </w:tc>
              <w:tc>
                <w:tcPr>
                  <w:tcW w:w="682" w:type="dxa"/>
                  <w:vMerge w:val="continue"/>
                  <w:tcBorders>
                    <w:tl2br w:val="nil"/>
                    <w:tr2bl w:val="nil"/>
                  </w:tcBorders>
                  <w:vAlign w:val="center"/>
                </w:tcPr>
                <w:p/>
              </w:tc>
              <w:tc>
                <w:tcPr>
                  <w:tcW w:w="593"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szCs w:val="21"/>
                      <w:lang w:val="en-US" w:eastAsia="zh-CN"/>
                    </w:rPr>
                  </w:pPr>
                  <w:r>
                    <w:rPr>
                      <w:rFonts w:hint="eastAsia" w:cs="Times New Roman"/>
                      <w:bCs/>
                      <w:color w:val="auto"/>
                      <w:szCs w:val="21"/>
                      <w:lang w:val="en-US" w:eastAsia="zh-CN"/>
                    </w:rPr>
                    <w:t>70</w:t>
                  </w:r>
                </w:p>
              </w:tc>
              <w:tc>
                <w:tcPr>
                  <w:tcW w:w="780" w:type="dxa"/>
                  <w:vMerge w:val="continue"/>
                  <w:tcBorders>
                    <w:tl2br w:val="nil"/>
                    <w:tr2bl w:val="nil"/>
                  </w:tcBorders>
                  <w:vAlign w:val="center"/>
                </w:tcPr>
                <w:p/>
              </w:tc>
              <w:tc>
                <w:tcPr>
                  <w:tcW w:w="859"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8.61</w:t>
                  </w:r>
                </w:p>
              </w:tc>
              <w:tc>
                <w:tcPr>
                  <w:tcW w:w="705" w:type="dxa"/>
                  <w:tcBorders>
                    <w:tl2br w:val="nil"/>
                    <w:tr2bl w:val="nil"/>
                  </w:tcBorders>
                  <w:vAlign w:val="center"/>
                </w:tcPr>
                <w:p>
                  <w:pPr>
                    <w:topLinePunct/>
                    <w:adjustRightInd w:val="0"/>
                    <w:snapToGrid w:val="0"/>
                    <w:spacing w:line="0" w:lineRule="atLeast"/>
                    <w:jc w:val="center"/>
                    <w:rPr>
                      <w:rFonts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0.119</w:t>
                  </w:r>
                </w:p>
              </w:tc>
              <w:tc>
                <w:tcPr>
                  <w:tcW w:w="783" w:type="dxa"/>
                  <w:tcBorders>
                    <w:tl2br w:val="nil"/>
                    <w:tr2bl w:val="nil"/>
                  </w:tcBorders>
                  <w:vAlign w:val="center"/>
                </w:tcPr>
                <w:p>
                  <w:pPr>
                    <w:topLinePunct/>
                    <w:adjustRightInd w:val="0"/>
                    <w:snapToGrid w:val="0"/>
                    <w:spacing w:line="0" w:lineRule="atLeast"/>
                    <w:jc w:val="center"/>
                    <w:rPr>
                      <w:rFonts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150</w:t>
                  </w:r>
                </w:p>
              </w:tc>
              <w:tc>
                <w:tcPr>
                  <w:tcW w:w="367" w:type="dxa"/>
                  <w:tcBorders>
                    <w:tl2br w:val="nil"/>
                    <w:tr2bl w:val="nil"/>
                  </w:tcBorders>
                  <w:vAlign w:val="center"/>
                </w:tcPr>
                <w:p>
                  <w:pPr>
                    <w:topLinePunct/>
                    <w:adjustRightInd w:val="0"/>
                    <w:snapToGrid w:val="0"/>
                    <w:spacing w:line="0" w:lineRule="atLeast"/>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是</w:t>
                  </w:r>
                </w:p>
              </w:tc>
            </w:tr>
          </w:tbl>
          <w:p>
            <w:pPr>
              <w:rPr>
                <w:rFonts w:ascii="Times New Roman" w:hAnsi="Times New Roman" w:eastAsia="宋体" w:cs="Times New Roman"/>
                <w:b/>
                <w:bCs/>
                <w:color w:val="auto"/>
                <w:lang w:val="en-US" w:eastAsia="zh-CN"/>
              </w:rPr>
            </w:pPr>
            <w:r>
              <w:rPr>
                <w:rFonts w:ascii="Times New Roman" w:hAnsi="Times New Roman" w:cs="Times New Roman"/>
                <w:b/>
                <w:bCs/>
                <w:color w:val="auto"/>
                <w:lang w:val="en-US" w:eastAsia="zh-CN"/>
              </w:rPr>
              <w:t>监测计划：</w:t>
            </w:r>
          </w:p>
          <w:p>
            <w:pPr>
              <w:pStyle w:val="43"/>
              <w:kinsoku w:val="0"/>
              <w:overflowPunct w:val="0"/>
              <w:jc w:val="both"/>
              <w:rPr>
                <w:rFonts w:ascii="Times New Roman" w:hAnsi="Times New Roman" w:cs="Times New Roman"/>
                <w:b w:val="0"/>
                <w:bCs/>
                <w:color w:val="auto"/>
                <w:sz w:val="24"/>
                <w:szCs w:val="24"/>
                <w:lang w:eastAsia="zh-CN"/>
              </w:rPr>
            </w:pPr>
            <w:r>
              <w:rPr>
                <w:rFonts w:ascii="Times New Roman" w:hAnsi="Times New Roman" w:cs="Times New Roman"/>
                <w:b w:val="0"/>
                <w:bCs/>
                <w:color w:val="auto"/>
                <w:sz w:val="24"/>
                <w:szCs w:val="24"/>
                <w:lang w:eastAsia="zh-CN"/>
              </w:rPr>
              <w:t>根据《排污单位自行监测技术指南 火力发电及锅炉》（HJ820-2017）》</w:t>
            </w:r>
            <w:r>
              <w:rPr>
                <w:rFonts w:hint="eastAsia" w:ascii="Times New Roman" w:hAnsi="Times New Roman" w:cs="Times New Roman"/>
                <w:b w:val="0"/>
                <w:bCs/>
                <w:color w:val="auto"/>
                <w:sz w:val="24"/>
                <w:szCs w:val="24"/>
                <w:lang w:val="en-US" w:eastAsia="zh-CN"/>
              </w:rPr>
              <w:t>注3：“燃气锅炉监测频次要求仅限于以净化天然气为燃料的锅炉或燃气轮机组，其他气体燃料的锅炉或燃气轮机组参照以油为燃料的锅炉或燃气轮机组监测频次要求执行”，本项目监测频次如下。</w:t>
            </w:r>
          </w:p>
          <w:p>
            <w:pPr>
              <w:pStyle w:val="43"/>
              <w:kinsoku w:val="0"/>
              <w:overflowPunct w:val="0"/>
              <w:spacing w:line="240" w:lineRule="auto"/>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表4-</w:t>
            </w:r>
            <w:r>
              <w:rPr>
                <w:rFonts w:ascii="Times New Roman" w:hAnsi="Times New Roman" w:cs="Times New Roman"/>
                <w:b/>
                <w:color w:val="auto"/>
                <w:sz w:val="21"/>
                <w:szCs w:val="21"/>
                <w:u w:val="none"/>
                <w:lang w:val="en-US" w:eastAsia="zh-CN"/>
              </w:rPr>
              <w:t>2</w:t>
            </w:r>
            <w:r>
              <w:rPr>
                <w:rFonts w:ascii="Times New Roman" w:hAnsi="Times New Roman" w:cs="Times New Roman"/>
                <w:b/>
                <w:color w:val="auto"/>
                <w:sz w:val="21"/>
                <w:szCs w:val="21"/>
                <w:u w:val="none"/>
                <w:lang w:eastAsia="zh-CN"/>
              </w:rPr>
              <w:t xml:space="preserve"> 项目废气检测要求一览表</w:t>
            </w:r>
          </w:p>
          <w:tbl>
            <w:tblPr>
              <w:tblStyle w:val="25"/>
              <w:tblW w:w="4996"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3"/>
              <w:gridCol w:w="2746"/>
              <w:gridCol w:w="1150"/>
              <w:gridCol w:w="2013"/>
              <w:gridCol w:w="11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2" w:type="pct"/>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类别</w:t>
                  </w:r>
                </w:p>
              </w:tc>
              <w:tc>
                <w:tcPr>
                  <w:tcW w:w="1724" w:type="pct"/>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监测位置</w:t>
                  </w:r>
                </w:p>
              </w:tc>
              <w:tc>
                <w:tcPr>
                  <w:tcW w:w="722" w:type="pct"/>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监测点数</w:t>
                  </w:r>
                </w:p>
              </w:tc>
              <w:tc>
                <w:tcPr>
                  <w:tcW w:w="1264" w:type="pct"/>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监测项目</w:t>
                  </w:r>
                </w:p>
              </w:tc>
              <w:tc>
                <w:tcPr>
                  <w:tcW w:w="744" w:type="pct"/>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42" w:type="pct"/>
                  <w:tcBorders>
                    <w:bottom w:val="single" w:color="000000" w:sz="12" w:space="0"/>
                  </w:tcBorders>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废气</w:t>
                  </w:r>
                </w:p>
              </w:tc>
              <w:tc>
                <w:tcPr>
                  <w:tcW w:w="1724" w:type="pct"/>
                  <w:tcBorders>
                    <w:bottom w:val="single" w:color="000000" w:sz="12" w:space="0"/>
                  </w:tcBorders>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有组织：锅炉排气筒</w:t>
                  </w:r>
                </w:p>
              </w:tc>
              <w:tc>
                <w:tcPr>
                  <w:tcW w:w="722" w:type="pct"/>
                  <w:tcBorders>
                    <w:bottom w:val="single" w:color="000000" w:sz="12" w:space="0"/>
                  </w:tcBorders>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1</w:t>
                  </w:r>
                </w:p>
              </w:tc>
              <w:tc>
                <w:tcPr>
                  <w:tcW w:w="1264" w:type="pct"/>
                  <w:tcBorders>
                    <w:bottom w:val="single" w:color="000000" w:sz="12" w:space="0"/>
                  </w:tcBorders>
                  <w:vAlign w:val="center"/>
                </w:tcPr>
                <w:p>
                  <w:pPr>
                    <w:widowControl/>
                    <w:jc w:val="center"/>
                    <w:textAlignment w:val="center"/>
                    <w:rPr>
                      <w:rFonts w:hint="eastAsia" w:ascii="Times New Roman" w:hAnsi="Times New Roman" w:eastAsia="宋体" w:cs="Times New Roman"/>
                      <w:color w:val="auto"/>
                      <w:kern w:val="0"/>
                      <w:szCs w:val="21"/>
                      <w:u w:val="none"/>
                      <w:lang w:eastAsia="zh-CN"/>
                    </w:rPr>
                  </w:pPr>
                  <w:r>
                    <w:rPr>
                      <w:rFonts w:ascii="Times New Roman" w:hAnsi="Times New Roman" w:cs="Times New Roman"/>
                      <w:color w:val="auto"/>
                      <w:kern w:val="0"/>
                      <w:szCs w:val="21"/>
                      <w:u w:val="none"/>
                    </w:rPr>
                    <w:t>氮氧化物</w:t>
                  </w:r>
                  <w:r>
                    <w:rPr>
                      <w:rFonts w:hint="eastAsia" w:cs="Times New Roman"/>
                      <w:color w:val="auto"/>
                      <w:kern w:val="0"/>
                      <w:szCs w:val="21"/>
                      <w:u w:val="none"/>
                      <w:lang w:eastAsia="zh-CN"/>
                    </w:rPr>
                    <w:t>、</w:t>
                  </w:r>
                </w:p>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二氧化硫、颗粒物、林格曼黑度</w:t>
                  </w:r>
                </w:p>
              </w:tc>
              <w:tc>
                <w:tcPr>
                  <w:tcW w:w="744" w:type="pct"/>
                  <w:tcBorders>
                    <w:bottom w:val="single" w:color="000000" w:sz="12" w:space="0"/>
                  </w:tcBorders>
                  <w:vAlign w:val="center"/>
                </w:tcPr>
                <w:p>
                  <w:pPr>
                    <w:widowControl/>
                    <w:jc w:val="center"/>
                    <w:textAlignment w:val="center"/>
                    <w:rPr>
                      <w:rFonts w:ascii="Times New Roman" w:hAnsi="Times New Roman" w:cs="Times New Roman"/>
                      <w:color w:val="auto"/>
                      <w:kern w:val="0"/>
                      <w:szCs w:val="21"/>
                      <w:u w:val="none"/>
                    </w:rPr>
                  </w:pPr>
                  <w:r>
                    <w:rPr>
                      <w:rFonts w:ascii="Times New Roman" w:hAnsi="Times New Roman" w:cs="Times New Roman"/>
                      <w:color w:val="auto"/>
                      <w:kern w:val="0"/>
                      <w:szCs w:val="21"/>
                      <w:u w:val="none"/>
                    </w:rPr>
                    <w:t>1 次/月</w:t>
                  </w:r>
                </w:p>
              </w:tc>
            </w:tr>
          </w:tbl>
          <w:p>
            <w:pPr>
              <w:adjustRightInd w:val="0"/>
              <w:snapToGrid w:val="0"/>
              <w:spacing w:line="360" w:lineRule="auto"/>
              <w:ind w:firstLine="482" w:firstLineChars="200"/>
              <w:rPr>
                <w:rFonts w:ascii="Times New Roman" w:hAnsi="Times New Roman" w:cs="Times New Roman"/>
                <w:color w:val="auto"/>
                <w:sz w:val="24"/>
              </w:rPr>
            </w:pPr>
            <w:r>
              <w:rPr>
                <w:rFonts w:ascii="Times New Roman" w:hAnsi="Times New Roman" w:cs="Times New Roman"/>
                <w:b/>
                <w:color w:val="auto"/>
                <w:sz w:val="24"/>
              </w:rPr>
              <w:t>综上所述，项目在严格落实各项环保治理措施、确保各类大气污染物实现达标外排的情况下，项目营运期废气将不会对区域大气环境质量造成明显影响。</w:t>
            </w:r>
          </w:p>
          <w:p>
            <w:pPr>
              <w:adjustRightInd w:val="0"/>
              <w:snapToGrid w:val="0"/>
              <w:spacing w:line="360" w:lineRule="auto"/>
              <w:ind w:firstLine="482" w:firstLineChars="200"/>
              <w:rPr>
                <w:rFonts w:ascii="Times New Roman" w:hAnsi="Times New Roman" w:cs="Times New Roman"/>
                <w:b/>
                <w:color w:val="auto"/>
                <w:sz w:val="24"/>
                <w:szCs w:val="28"/>
              </w:rPr>
            </w:pPr>
            <w:r>
              <w:rPr>
                <w:rFonts w:ascii="Times New Roman" w:hAnsi="Times New Roman" w:cs="Times New Roman"/>
                <w:b/>
                <w:color w:val="auto"/>
                <w:sz w:val="24"/>
                <w:szCs w:val="28"/>
              </w:rPr>
              <w:t>1.2</w:t>
            </w:r>
            <w:r>
              <w:rPr>
                <w:rFonts w:ascii="Times New Roman" w:hAnsi="Times New Roman" w:cs="Times New Roman"/>
                <w:b/>
                <w:color w:val="auto"/>
                <w:sz w:val="24"/>
              </w:rPr>
              <w:t>营运</w:t>
            </w:r>
            <w:r>
              <w:rPr>
                <w:rFonts w:ascii="Times New Roman" w:hAnsi="Times New Roman" w:cs="Times New Roman"/>
                <w:b/>
                <w:color w:val="auto"/>
                <w:sz w:val="24"/>
                <w:szCs w:val="28"/>
              </w:rPr>
              <w:t>期水影响分析</w:t>
            </w:r>
          </w:p>
          <w:p>
            <w:pPr>
              <w:numPr>
                <w:ilvl w:val="0"/>
                <w:numId w:val="4"/>
              </w:numPr>
              <w:adjustRightInd w:val="0"/>
              <w:snapToGrid w:val="0"/>
              <w:spacing w:line="360" w:lineRule="auto"/>
              <w:ind w:left="0" w:firstLine="482" w:firstLineChars="200"/>
              <w:rPr>
                <w:rFonts w:ascii="Times New Roman" w:hAnsi="Times New Roman" w:cs="Times New Roman"/>
                <w:b/>
                <w:color w:val="auto"/>
                <w:sz w:val="24"/>
              </w:rPr>
            </w:pPr>
            <w:r>
              <w:rPr>
                <w:rFonts w:ascii="Times New Roman" w:hAnsi="Times New Roman" w:cs="Times New Roman"/>
                <w:b/>
                <w:color w:val="auto"/>
                <w:sz w:val="24"/>
              </w:rPr>
              <w:t>污水产生情况</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本项目运营期用水主要为员工办公生活污水、锅炉废水。</w:t>
            </w:r>
          </w:p>
          <w:p>
            <w:pPr>
              <w:widowControl/>
              <w:adjustRightInd w:val="0"/>
              <w:snapToGrid w:val="0"/>
              <w:spacing w:line="360" w:lineRule="auto"/>
              <w:ind w:firstLine="482" w:firstLineChars="200"/>
              <w:jc w:val="left"/>
              <w:rPr>
                <w:rFonts w:ascii="Times New Roman" w:hAnsi="Times New Roman" w:cs="Times New Roman"/>
                <w:b/>
                <w:bCs/>
                <w:color w:val="auto"/>
                <w:kern w:val="0"/>
                <w:sz w:val="24"/>
              </w:rPr>
            </w:pPr>
            <w:r>
              <w:rPr>
                <w:rFonts w:ascii="Times New Roman" w:hAnsi="Times New Roman" w:cs="Times New Roman"/>
                <w:b/>
                <w:bCs/>
                <w:color w:val="auto"/>
                <w:sz w:val="24"/>
              </w:rPr>
              <w:t>（1）</w:t>
            </w:r>
            <w:r>
              <w:rPr>
                <w:rFonts w:ascii="Times New Roman" w:hAnsi="Times New Roman" w:cs="Times New Roman"/>
                <w:b/>
                <w:bCs/>
                <w:color w:val="auto"/>
                <w:kern w:val="0"/>
                <w:sz w:val="24"/>
              </w:rPr>
              <w:t>员工办公生活污水</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rPr>
              <w:t>项目劳动定员约1</w:t>
            </w:r>
            <w:r>
              <w:rPr>
                <w:rFonts w:ascii="Times New Roman" w:hAnsi="Times New Roman" w:cs="Times New Roman"/>
                <w:color w:val="auto"/>
                <w:sz w:val="24"/>
                <w:lang w:val="en-US" w:eastAsia="zh-CN"/>
              </w:rPr>
              <w:t>0</w:t>
            </w:r>
            <w:r>
              <w:rPr>
                <w:rFonts w:ascii="Times New Roman" w:hAnsi="Times New Roman" w:cs="Times New Roman"/>
                <w:color w:val="auto"/>
                <w:sz w:val="24"/>
              </w:rPr>
              <w:t>人，参照《四川省用水定额》（川府函（2021）8号）并结合项目运营特点，工作人员用水量按</w:t>
            </w:r>
            <w:r>
              <w:rPr>
                <w:rFonts w:ascii="Times New Roman" w:hAnsi="Times New Roman" w:cs="Times New Roman"/>
                <w:color w:val="auto"/>
                <w:sz w:val="24"/>
                <w:lang w:val="en-US" w:eastAsia="zh-CN"/>
              </w:rPr>
              <w:t>1</w:t>
            </w:r>
            <w:r>
              <w:rPr>
                <w:rFonts w:ascii="Times New Roman" w:hAnsi="Times New Roman" w:cs="Times New Roman"/>
                <w:color w:val="auto"/>
                <w:sz w:val="24"/>
              </w:rPr>
              <w:t>60L/人.d计，一年工作3</w:t>
            </w:r>
            <w:r>
              <w:rPr>
                <w:rFonts w:ascii="Times New Roman" w:hAnsi="Times New Roman" w:cs="Times New Roman"/>
                <w:color w:val="auto"/>
                <w:sz w:val="24"/>
                <w:lang w:val="en-US" w:eastAsia="zh-CN"/>
              </w:rPr>
              <w:t>30</w:t>
            </w:r>
            <w:r>
              <w:rPr>
                <w:rFonts w:ascii="Times New Roman" w:hAnsi="Times New Roman" w:cs="Times New Roman"/>
                <w:color w:val="auto"/>
                <w:sz w:val="24"/>
              </w:rPr>
              <w:t>天，则员工办公生活用水量为</w:t>
            </w:r>
            <w:r>
              <w:rPr>
                <w:rFonts w:ascii="Times New Roman" w:hAnsi="Times New Roman" w:cs="Times New Roman"/>
                <w:color w:val="auto"/>
                <w:sz w:val="24"/>
                <w:lang w:val="en-US" w:eastAsia="zh-CN"/>
              </w:rPr>
              <w:t>1.6</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/d（</w:t>
            </w:r>
            <w:r>
              <w:rPr>
                <w:rFonts w:ascii="Times New Roman" w:hAnsi="Times New Roman" w:cs="Times New Roman"/>
                <w:color w:val="auto"/>
                <w:sz w:val="24"/>
                <w:lang w:val="en-US" w:eastAsia="zh-CN"/>
              </w:rPr>
              <w:t>528</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/a），排污系数按0.80计，则项目员工办公生活污水产生量为</w:t>
            </w:r>
            <w:r>
              <w:rPr>
                <w:rFonts w:ascii="Times New Roman" w:hAnsi="Times New Roman" w:cs="Times New Roman"/>
                <w:color w:val="auto"/>
                <w:sz w:val="24"/>
                <w:lang w:val="en-US" w:eastAsia="zh-CN"/>
              </w:rPr>
              <w:t>1.28</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/d（</w:t>
            </w:r>
            <w:r>
              <w:rPr>
                <w:rFonts w:ascii="Times New Roman" w:hAnsi="Times New Roman" w:cs="Times New Roman"/>
                <w:color w:val="auto"/>
                <w:sz w:val="24"/>
                <w:lang w:val="en-US" w:eastAsia="zh-CN"/>
              </w:rPr>
              <w:t>422.4</w:t>
            </w:r>
            <w:r>
              <w:rPr>
                <w:rFonts w:ascii="Times New Roman" w:hAnsi="Times New Roman" w:cs="Times New Roman"/>
                <w:color w:val="auto"/>
                <w:sz w:val="24"/>
              </w:rPr>
              <w:t>m</w:t>
            </w:r>
            <w:r>
              <w:rPr>
                <w:rFonts w:ascii="Times New Roman" w:hAnsi="Times New Roman" w:cs="Times New Roman"/>
                <w:color w:val="auto"/>
                <w:sz w:val="24"/>
                <w:vertAlign w:val="superscript"/>
              </w:rPr>
              <w:t>3</w:t>
            </w:r>
            <w:r>
              <w:rPr>
                <w:rFonts w:ascii="Times New Roman" w:hAnsi="Times New Roman" w:cs="Times New Roman"/>
                <w:color w:val="auto"/>
                <w:sz w:val="24"/>
              </w:rPr>
              <w:t>/a）。主要污染因子COD、BOD</w:t>
            </w:r>
            <w:r>
              <w:rPr>
                <w:rFonts w:ascii="Times New Roman" w:hAnsi="Times New Roman" w:cs="Times New Roman"/>
                <w:color w:val="auto"/>
                <w:sz w:val="24"/>
                <w:vertAlign w:val="subscript"/>
              </w:rPr>
              <w:t>5</w:t>
            </w:r>
            <w:r>
              <w:rPr>
                <w:rFonts w:ascii="Times New Roman" w:hAnsi="Times New Roman" w:cs="Times New Roman"/>
                <w:color w:val="auto"/>
                <w:sz w:val="24"/>
              </w:rPr>
              <w:t>、氨氮、SS、总磷</w:t>
            </w:r>
            <w:r>
              <w:rPr>
                <w:rFonts w:ascii="Times New Roman" w:hAnsi="Times New Roman" w:cs="Times New Roman"/>
                <w:color w:val="auto"/>
                <w:sz w:val="24"/>
                <w:szCs w:val="24"/>
              </w:rPr>
              <w:t>。</w:t>
            </w:r>
          </w:p>
          <w:p>
            <w:pPr>
              <w:widowControl/>
              <w:adjustRightInd w:val="0"/>
              <w:snapToGrid w:val="0"/>
              <w:spacing w:line="360" w:lineRule="auto"/>
              <w:ind w:firstLine="482" w:firstLineChars="200"/>
              <w:jc w:val="left"/>
              <w:rPr>
                <w:rFonts w:ascii="Times New Roman" w:hAnsi="Times New Roman" w:cs="Times New Roman"/>
                <w:b/>
                <w:bCs/>
                <w:color w:val="auto"/>
                <w:kern w:val="0"/>
                <w:sz w:val="24"/>
              </w:rPr>
            </w:pPr>
            <w:r>
              <w:rPr>
                <w:rFonts w:ascii="Times New Roman" w:hAnsi="Times New Roman" w:cs="Times New Roman"/>
                <w:b/>
                <w:bCs/>
                <w:color w:val="auto"/>
                <w:kern w:val="0"/>
                <w:sz w:val="24"/>
              </w:rPr>
              <w:t>（</w:t>
            </w:r>
            <w:r>
              <w:rPr>
                <w:rFonts w:ascii="Times New Roman" w:hAnsi="Times New Roman" w:cs="Times New Roman"/>
                <w:b/>
                <w:bCs/>
                <w:color w:val="auto"/>
                <w:kern w:val="0"/>
                <w:sz w:val="24"/>
                <w:lang w:val="en-US" w:eastAsia="zh-CN"/>
              </w:rPr>
              <w:t>2</w:t>
            </w:r>
            <w:r>
              <w:rPr>
                <w:rFonts w:ascii="Times New Roman" w:hAnsi="Times New Roman" w:cs="Times New Roman"/>
                <w:b/>
                <w:bCs/>
                <w:color w:val="auto"/>
                <w:kern w:val="0"/>
                <w:sz w:val="24"/>
              </w:rPr>
              <w:t>）锅炉污水</w:t>
            </w:r>
          </w:p>
          <w:p>
            <w:pPr>
              <w:widowControl/>
              <w:adjustRightInd w:val="0"/>
              <w:snapToGrid w:val="0"/>
              <w:spacing w:line="360" w:lineRule="auto"/>
              <w:ind w:firstLine="480" w:firstLineChars="200"/>
              <w:jc w:val="left"/>
              <w:rPr>
                <w:rFonts w:ascii="Times New Roman" w:hAnsi="Times New Roman" w:cs="Times New Roman"/>
                <w:color w:val="auto"/>
                <w:kern w:val="0"/>
                <w:sz w:val="24"/>
                <w:lang w:val="en-US" w:eastAsia="zh-CN"/>
              </w:rPr>
            </w:pPr>
            <w:r>
              <w:rPr>
                <w:rFonts w:ascii="Times New Roman" w:hAnsi="Times New Roman" w:cs="Times New Roman"/>
                <w:color w:val="auto"/>
                <w:kern w:val="0"/>
                <w:sz w:val="24"/>
                <w:lang w:val="en-US" w:eastAsia="zh-CN"/>
              </w:rPr>
              <w:t>根据给排水章节可知项目锅炉排污水为</w:t>
            </w:r>
            <w:r>
              <w:rPr>
                <w:rFonts w:hint="eastAsia" w:cs="Times New Roman"/>
                <w:color w:val="auto"/>
                <w:kern w:val="0"/>
                <w:sz w:val="24"/>
                <w:lang w:val="en-US" w:eastAsia="zh-CN"/>
              </w:rPr>
              <w:t>7832</w:t>
            </w:r>
            <w:r>
              <w:rPr>
                <w:rFonts w:ascii="Times New Roman" w:hAnsi="Times New Roman" w:cs="Times New Roman"/>
                <w:color w:val="auto"/>
                <w:kern w:val="0"/>
                <w:sz w:val="24"/>
                <w:lang w:val="en-US" w:eastAsia="zh-CN"/>
              </w:rPr>
              <w:t>m</w:t>
            </w:r>
            <w:r>
              <w:rPr>
                <w:rFonts w:ascii="Times New Roman" w:hAnsi="Times New Roman" w:cs="Times New Roman"/>
                <w:color w:val="auto"/>
                <w:kern w:val="0"/>
                <w:sz w:val="24"/>
                <w:vertAlign w:val="superscript"/>
                <w:lang w:val="en-US" w:eastAsia="zh-CN"/>
              </w:rPr>
              <w:t>3</w:t>
            </w:r>
            <w:r>
              <w:rPr>
                <w:rFonts w:ascii="Times New Roman" w:hAnsi="Times New Roman" w:cs="Times New Roman"/>
                <w:color w:val="auto"/>
                <w:kern w:val="0"/>
                <w:sz w:val="24"/>
                <w:vertAlign w:val="baseline"/>
                <w:lang w:val="en-US" w:eastAsia="zh-CN"/>
              </w:rPr>
              <w:t>/a，软水制备系统排水量为</w:t>
            </w:r>
            <w:r>
              <w:rPr>
                <w:rFonts w:hint="eastAsia" w:cs="Times New Roman"/>
                <w:color w:val="auto"/>
                <w:kern w:val="0"/>
                <w:sz w:val="24"/>
                <w:vertAlign w:val="baseline"/>
                <w:lang w:val="en-US" w:eastAsia="zh-CN"/>
              </w:rPr>
              <w:t>950.4</w:t>
            </w:r>
            <w:r>
              <w:rPr>
                <w:rFonts w:ascii="Times New Roman" w:hAnsi="Times New Roman" w:cs="Times New Roman"/>
                <w:color w:val="auto"/>
                <w:kern w:val="0"/>
                <w:sz w:val="24"/>
                <w:vertAlign w:val="baseline"/>
                <w:lang w:val="en-US" w:eastAsia="zh-CN"/>
              </w:rPr>
              <w:t>m</w:t>
            </w:r>
            <w:r>
              <w:rPr>
                <w:rFonts w:ascii="Times New Roman" w:hAnsi="Times New Roman" w:cs="Times New Roman"/>
                <w:color w:val="auto"/>
                <w:kern w:val="0"/>
                <w:sz w:val="24"/>
                <w:vertAlign w:val="superscript"/>
                <w:lang w:val="en-US" w:eastAsia="zh-CN"/>
              </w:rPr>
              <w:t>3</w:t>
            </w:r>
            <w:r>
              <w:rPr>
                <w:rFonts w:ascii="Times New Roman" w:hAnsi="Times New Roman" w:cs="Times New Roman"/>
                <w:color w:val="auto"/>
                <w:kern w:val="0"/>
                <w:sz w:val="24"/>
                <w:vertAlign w:val="baseline"/>
                <w:lang w:val="en-US" w:eastAsia="zh-CN"/>
              </w:rPr>
              <w:t>/a。</w:t>
            </w:r>
            <w:r>
              <w:rPr>
                <w:rFonts w:ascii="Times New Roman" w:hAnsi="Times New Roman" w:cs="Times New Roman"/>
                <w:color w:val="auto"/>
                <w:kern w:val="0"/>
                <w:sz w:val="24"/>
              </w:rPr>
              <w:t>根</w:t>
            </w:r>
            <w:r>
              <w:rPr>
                <w:rFonts w:ascii="Times New Roman" w:hAnsi="Times New Roman" w:cs="Times New Roman"/>
                <w:color w:val="auto"/>
                <w:sz w:val="24"/>
                <w:lang w:val="en-US" w:eastAsia="zh-CN"/>
              </w:rPr>
              <w:t>据《锅炉产排污量核算系数手册》</w:t>
            </w:r>
            <w:r>
              <w:rPr>
                <w:rFonts w:ascii="Times New Roman" w:hAnsi="Times New Roman" w:cs="Times New Roman"/>
                <w:color w:val="auto"/>
                <w:kern w:val="0"/>
                <w:sz w:val="24"/>
              </w:rPr>
              <w:t>”工业废水量和化学需氧量表中</w:t>
            </w:r>
            <w:r>
              <w:rPr>
                <w:rFonts w:ascii="Times New Roman" w:hAnsi="Times New Roman" w:cs="Times New Roman"/>
                <w:color w:val="auto"/>
                <w:kern w:val="0"/>
                <w:sz w:val="24"/>
                <w:lang w:val="en-US" w:eastAsia="zh-CN"/>
              </w:rPr>
              <w:t>的</w:t>
            </w:r>
            <w:r>
              <w:rPr>
                <w:rFonts w:ascii="Times New Roman" w:hAnsi="Times New Roman" w:cs="Times New Roman"/>
                <w:color w:val="auto"/>
                <w:kern w:val="0"/>
                <w:sz w:val="24"/>
              </w:rPr>
              <w:t>化学需氧量产生量与废水产生量的比值可知，COD产生浓度约</w:t>
            </w:r>
            <w:r>
              <w:rPr>
                <w:rFonts w:ascii="Times New Roman" w:hAnsi="Times New Roman" w:cs="Times New Roman"/>
                <w:color w:val="auto"/>
                <w:kern w:val="0"/>
                <w:sz w:val="24"/>
                <w:lang w:val="en-US" w:eastAsia="zh-CN"/>
              </w:rPr>
              <w:t>3</w:t>
            </w:r>
            <w:r>
              <w:rPr>
                <w:rFonts w:ascii="Times New Roman" w:hAnsi="Times New Roman" w:cs="Times New Roman"/>
                <w:color w:val="auto"/>
                <w:kern w:val="0"/>
                <w:sz w:val="24"/>
              </w:rPr>
              <w:t>0mg/L。</w:t>
            </w:r>
            <w:r>
              <w:rPr>
                <w:rFonts w:ascii="Times New Roman" w:hAnsi="Times New Roman" w:cs="Times New Roman"/>
                <w:b/>
                <w:bCs/>
                <w:color w:val="auto"/>
                <w:kern w:val="0"/>
                <w:sz w:val="24"/>
              </w:rPr>
              <w:t>锅炉污水</w:t>
            </w:r>
            <w:r>
              <w:rPr>
                <w:rFonts w:ascii="Times New Roman" w:hAnsi="Times New Roman" w:cs="Times New Roman"/>
                <w:color w:val="auto"/>
                <w:kern w:val="0"/>
                <w:sz w:val="24"/>
              </w:rPr>
              <w:t>同员工生活污水经</w:t>
            </w:r>
            <w:r>
              <w:rPr>
                <w:rFonts w:hint="eastAsia" w:cs="Times New Roman"/>
                <w:color w:val="auto"/>
                <w:kern w:val="0"/>
                <w:sz w:val="24"/>
                <w:lang w:val="en-US" w:eastAsia="zh-CN"/>
              </w:rPr>
              <w:t>现有预处理池</w:t>
            </w:r>
            <w:r>
              <w:rPr>
                <w:rFonts w:ascii="Times New Roman" w:hAnsi="Times New Roman" w:cs="Times New Roman"/>
                <w:color w:val="auto"/>
                <w:kern w:val="0"/>
                <w:sz w:val="24"/>
              </w:rPr>
              <w:t>处理后排入</w:t>
            </w:r>
            <w:r>
              <w:rPr>
                <w:rFonts w:ascii="Times New Roman" w:hAnsi="Times New Roman" w:cs="Times New Roman"/>
                <w:color w:val="auto"/>
                <w:kern w:val="0"/>
                <w:sz w:val="24"/>
                <w:lang w:val="en-US" w:eastAsia="zh-CN"/>
              </w:rPr>
              <w:t>园区</w:t>
            </w:r>
            <w:r>
              <w:rPr>
                <w:rFonts w:ascii="Times New Roman" w:hAnsi="Times New Roman" w:cs="Times New Roman"/>
                <w:color w:val="auto"/>
                <w:kern w:val="0"/>
                <w:sz w:val="24"/>
              </w:rPr>
              <w:t>管网</w:t>
            </w:r>
            <w:r>
              <w:rPr>
                <w:rFonts w:ascii="Times New Roman" w:hAnsi="Times New Roman" w:cs="Times New Roman"/>
                <w:color w:val="auto"/>
                <w:kern w:val="0"/>
                <w:sz w:val="24"/>
                <w:lang w:eastAsia="zh-CN"/>
              </w:rPr>
              <w:t>，</w:t>
            </w:r>
            <w:r>
              <w:rPr>
                <w:rFonts w:ascii="Times New Roman" w:hAnsi="Times New Roman" w:cs="Times New Roman"/>
                <w:color w:val="auto"/>
                <w:kern w:val="0"/>
                <w:sz w:val="24"/>
                <w:lang w:val="en-US" w:eastAsia="zh-CN"/>
              </w:rPr>
              <w:t>排入</w:t>
            </w:r>
            <w:r>
              <w:rPr>
                <w:rFonts w:hint="eastAsia" w:cs="Times New Roman"/>
                <w:color w:val="auto"/>
                <w:kern w:val="0"/>
                <w:sz w:val="24"/>
                <w:lang w:val="en-US" w:eastAsia="zh-CN"/>
              </w:rPr>
              <w:t>大英经济开发区污水处理厂</w:t>
            </w:r>
            <w:r>
              <w:rPr>
                <w:rFonts w:ascii="Times New Roman" w:hAnsi="Times New Roman" w:cs="Times New Roman"/>
                <w:color w:val="auto"/>
                <w:kern w:val="0"/>
                <w:sz w:val="24"/>
                <w:lang w:val="en-US" w:eastAsia="zh-CN"/>
              </w:rPr>
              <w:t>处理达到</w:t>
            </w:r>
            <w:r>
              <w:rPr>
                <w:rFonts w:hint="eastAsia" w:cs="Times New Roman"/>
                <w:color w:val="auto"/>
                <w:kern w:val="0"/>
                <w:sz w:val="24"/>
                <w:lang w:val="en-US" w:eastAsia="zh-CN"/>
              </w:rPr>
              <w:t>《地表水环境质量标准》（GB3838-2002）中Ⅲ类水体标准</w:t>
            </w:r>
            <w:r>
              <w:rPr>
                <w:rFonts w:ascii="Times New Roman" w:hAnsi="Times New Roman" w:cs="Times New Roman"/>
                <w:color w:val="auto"/>
                <w:kern w:val="0"/>
                <w:sz w:val="24"/>
                <w:lang w:val="en-US" w:eastAsia="zh-CN"/>
              </w:rPr>
              <w:t>后排入郪江。</w:t>
            </w:r>
          </w:p>
          <w:p>
            <w:pPr>
              <w:pStyle w:val="2"/>
              <w:numPr>
                <w:ilvl w:val="0"/>
                <w:numId w:val="4"/>
              </w:numPr>
              <w:adjustRightInd w:val="0"/>
              <w:snapToGrid w:val="0"/>
              <w:spacing w:before="0" w:after="0" w:line="360" w:lineRule="auto"/>
              <w:ind w:left="0"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污水治理措施</w:t>
            </w:r>
          </w:p>
          <w:p>
            <w:pPr>
              <w:pStyle w:val="2"/>
              <w:adjustRightInd w:val="0"/>
              <w:snapToGrid w:val="0"/>
              <w:spacing w:before="0" w:after="0" w:line="360" w:lineRule="auto"/>
              <w:ind w:right="0" w:firstLine="480" w:firstLineChars="200"/>
              <w:rPr>
                <w:rFonts w:ascii="Times New Roman" w:hAnsi="Times New Roman" w:cs="Times New Roman"/>
                <w:color w:val="auto"/>
                <w:sz w:val="24"/>
              </w:rPr>
            </w:pPr>
            <w:r>
              <w:rPr>
                <w:rFonts w:ascii="Times New Roman" w:hAnsi="Times New Roman" w:cs="Times New Roman"/>
                <w:color w:val="auto"/>
                <w:sz w:val="24"/>
              </w:rPr>
              <w:t>生活污水、锅炉废水经</w:t>
            </w:r>
            <w:r>
              <w:rPr>
                <w:rFonts w:hint="eastAsia" w:cs="Times New Roman"/>
                <w:color w:val="auto"/>
                <w:sz w:val="24"/>
                <w:lang w:eastAsia="zh-CN"/>
              </w:rPr>
              <w:t>现有预处理池</w:t>
            </w:r>
            <w:r>
              <w:rPr>
                <w:rFonts w:ascii="Times New Roman" w:hAnsi="Times New Roman" w:cs="Times New Roman"/>
                <w:color w:val="auto"/>
                <w:sz w:val="24"/>
              </w:rPr>
              <w:t>处理达《污水综合排放标准》（GB8978-1996）三级标准后经市政管网进入</w:t>
            </w:r>
            <w:r>
              <w:rPr>
                <w:rFonts w:hint="eastAsia" w:cs="Times New Roman"/>
                <w:color w:val="auto"/>
                <w:sz w:val="24"/>
                <w:szCs w:val="32"/>
                <w:lang w:val="en-US" w:eastAsia="zh-CN"/>
              </w:rPr>
              <w:t>大英经济开发区污水处理厂</w:t>
            </w:r>
            <w:r>
              <w:rPr>
                <w:rFonts w:ascii="Times New Roman" w:hAnsi="Times New Roman" w:cs="Times New Roman"/>
                <w:color w:val="auto"/>
                <w:sz w:val="24"/>
              </w:rPr>
              <w:t>。</w:t>
            </w:r>
          </w:p>
          <w:p>
            <w:pPr>
              <w:pStyle w:val="2"/>
              <w:adjustRightInd w:val="0"/>
              <w:snapToGrid w:val="0"/>
              <w:spacing w:before="0" w:after="0" w:line="360" w:lineRule="auto"/>
              <w:ind w:right="0" w:firstLine="480" w:firstLineChars="200"/>
              <w:rPr>
                <w:rFonts w:ascii="Times New Roman" w:hAnsi="Times New Roman" w:cs="Times New Roman"/>
                <w:b/>
                <w:bCs/>
                <w:color w:val="auto"/>
                <w:sz w:val="24"/>
              </w:rPr>
            </w:pPr>
            <w:r>
              <w:rPr>
                <w:rFonts w:ascii="Times New Roman" w:hAnsi="Times New Roman" w:cs="Times New Roman"/>
                <w:color w:val="auto"/>
                <w:sz w:val="24"/>
              </w:rPr>
              <w:t>本项目营运期废水中污染物产生、处理和排放情况统计详细见下表。</w:t>
            </w:r>
          </w:p>
          <w:p>
            <w:pPr>
              <w:pStyle w:val="2"/>
              <w:adjustRightInd w:val="0"/>
              <w:snapToGrid w:val="0"/>
              <w:spacing w:before="0" w:after="0" w:line="360" w:lineRule="auto"/>
              <w:ind w:right="0"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eastAsia" w:cs="Times New Roman"/>
                <w:b/>
                <w:bCs/>
                <w:color w:val="auto"/>
                <w:sz w:val="21"/>
                <w:szCs w:val="21"/>
                <w:lang w:val="en-US" w:eastAsia="zh-CN"/>
              </w:rPr>
              <w:t>3</w:t>
            </w:r>
            <w:r>
              <w:rPr>
                <w:rFonts w:ascii="Times New Roman" w:hAnsi="Times New Roman" w:cs="Times New Roman"/>
                <w:b/>
                <w:bCs/>
                <w:color w:val="auto"/>
                <w:sz w:val="21"/>
                <w:szCs w:val="21"/>
              </w:rPr>
              <w:t xml:space="preserve"> 本项目废水主要污染物产生和排放情况统计表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
              <w:gridCol w:w="665"/>
              <w:gridCol w:w="650"/>
              <w:gridCol w:w="1394"/>
              <w:gridCol w:w="727"/>
              <w:gridCol w:w="744"/>
              <w:gridCol w:w="599"/>
              <w:gridCol w:w="630"/>
              <w:gridCol w:w="735"/>
              <w:gridCol w:w="695"/>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种类</w:t>
                  </w:r>
                </w:p>
              </w:tc>
              <w:tc>
                <w:tcPr>
                  <w:tcW w:w="417"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处理措施</w:t>
                  </w:r>
                </w:p>
              </w:tc>
              <w:tc>
                <w:tcPr>
                  <w:tcW w:w="1283" w:type="pct"/>
                  <w:gridSpan w:val="2"/>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废水性质</w:t>
                  </w:r>
                </w:p>
              </w:tc>
              <w:tc>
                <w:tcPr>
                  <w:tcW w:w="45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排水量（t/a）</w:t>
                  </w:r>
                </w:p>
              </w:tc>
              <w:tc>
                <w:tcPr>
                  <w:tcW w:w="467"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COD</w:t>
                  </w:r>
                </w:p>
              </w:tc>
              <w:tc>
                <w:tcPr>
                  <w:tcW w:w="37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BOD</w:t>
                  </w:r>
                  <w:r>
                    <w:rPr>
                      <w:rFonts w:ascii="Times New Roman" w:hAnsi="Times New Roman" w:cs="Times New Roman"/>
                      <w:b/>
                      <w:bCs/>
                      <w:color w:val="auto"/>
                      <w:sz w:val="21"/>
                      <w:szCs w:val="21"/>
                      <w:vertAlign w:val="subscript"/>
                    </w:rPr>
                    <w:t>5</w:t>
                  </w:r>
                </w:p>
              </w:tc>
              <w:tc>
                <w:tcPr>
                  <w:tcW w:w="39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SS</w:t>
                  </w:r>
                </w:p>
              </w:tc>
              <w:tc>
                <w:tcPr>
                  <w:tcW w:w="461"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-N</w:t>
                  </w:r>
                </w:p>
              </w:tc>
              <w:tc>
                <w:tcPr>
                  <w:tcW w:w="43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TP</w:t>
                  </w:r>
                </w:p>
              </w:tc>
              <w:tc>
                <w:tcPr>
                  <w:tcW w:w="479"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溶解性总固体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综合废水</w:t>
                  </w:r>
                </w:p>
              </w:tc>
              <w:tc>
                <w:tcPr>
                  <w:tcW w:w="417"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预处理池</w:t>
                  </w:r>
                </w:p>
              </w:tc>
              <w:tc>
                <w:tcPr>
                  <w:tcW w:w="408"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处理前</w:t>
                  </w:r>
                </w:p>
              </w:tc>
              <w:tc>
                <w:tcPr>
                  <w:tcW w:w="87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浓度（mg/L）</w:t>
                  </w:r>
                </w:p>
              </w:tc>
              <w:tc>
                <w:tcPr>
                  <w:tcW w:w="455"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9204.8</w:t>
                  </w:r>
                </w:p>
              </w:tc>
              <w:tc>
                <w:tcPr>
                  <w:tcW w:w="195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550</w:t>
                  </w:r>
                </w:p>
              </w:tc>
              <w:tc>
                <w:tcPr>
                  <w:tcW w:w="166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350</w:t>
                  </w:r>
                </w:p>
              </w:tc>
              <w:tc>
                <w:tcPr>
                  <w:tcW w:w="1647"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450</w:t>
                  </w:r>
                </w:p>
              </w:tc>
              <w:tc>
                <w:tcPr>
                  <w:tcW w:w="1930"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50</w:t>
                  </w:r>
                </w:p>
              </w:tc>
              <w:tc>
                <w:tcPr>
                  <w:tcW w:w="182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10</w:t>
                  </w:r>
                </w:p>
              </w:tc>
              <w:tc>
                <w:tcPr>
                  <w:tcW w:w="200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tc>
              <w:tc>
                <w:tcPr>
                  <w:tcW w:w="417" w:type="pct"/>
                  <w:vMerge w:val="continue"/>
                  <w:tcBorders>
                    <w:tl2br w:val="nil"/>
                    <w:tr2bl w:val="nil"/>
                  </w:tcBorders>
                  <w:vAlign w:val="center"/>
                </w:tcPr>
                <w:p/>
              </w:tc>
              <w:tc>
                <w:tcPr>
                  <w:tcW w:w="408" w:type="pct"/>
                  <w:vMerge w:val="continue"/>
                  <w:tcBorders>
                    <w:tl2br w:val="nil"/>
                    <w:tr2bl w:val="nil"/>
                  </w:tcBorders>
                  <w:vAlign w:val="center"/>
                </w:tcPr>
                <w:p/>
              </w:tc>
              <w:tc>
                <w:tcPr>
                  <w:tcW w:w="87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455" w:type="pct"/>
                  <w:vMerge w:val="continue"/>
                  <w:tcBorders>
                    <w:tl2br w:val="nil"/>
                    <w:tr2bl w:val="nil"/>
                  </w:tcBorders>
                  <w:vAlign w:val="center"/>
                </w:tcPr>
                <w:p/>
              </w:tc>
              <w:tc>
                <w:tcPr>
                  <w:tcW w:w="195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5.063 </w:t>
                  </w:r>
                </w:p>
              </w:tc>
              <w:tc>
                <w:tcPr>
                  <w:tcW w:w="166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3.222 </w:t>
                  </w:r>
                </w:p>
              </w:tc>
              <w:tc>
                <w:tcPr>
                  <w:tcW w:w="1647"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4.142 </w:t>
                  </w:r>
                </w:p>
              </w:tc>
              <w:tc>
                <w:tcPr>
                  <w:tcW w:w="1930"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0.460 </w:t>
                  </w:r>
                </w:p>
              </w:tc>
              <w:tc>
                <w:tcPr>
                  <w:tcW w:w="182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0.092 </w:t>
                  </w:r>
                </w:p>
              </w:tc>
              <w:tc>
                <w:tcPr>
                  <w:tcW w:w="200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3.222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tc>
              <w:tc>
                <w:tcPr>
                  <w:tcW w:w="417" w:type="pct"/>
                  <w:vMerge w:val="continue"/>
                  <w:tcBorders>
                    <w:tl2br w:val="nil"/>
                    <w:tr2bl w:val="nil"/>
                  </w:tcBorders>
                  <w:vAlign w:val="center"/>
                </w:tcPr>
                <w:p/>
              </w:tc>
              <w:tc>
                <w:tcPr>
                  <w:tcW w:w="408"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处理后</w:t>
                  </w:r>
                </w:p>
              </w:tc>
              <w:tc>
                <w:tcPr>
                  <w:tcW w:w="87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浓度（mg/L）</w:t>
                  </w:r>
                </w:p>
              </w:tc>
              <w:tc>
                <w:tcPr>
                  <w:tcW w:w="455" w:type="pct"/>
                  <w:vMerge w:val="continue"/>
                  <w:tcBorders>
                    <w:tl2br w:val="nil"/>
                    <w:tr2bl w:val="nil"/>
                  </w:tcBorders>
                  <w:vAlign w:val="center"/>
                </w:tcPr>
                <w:p/>
              </w:tc>
              <w:tc>
                <w:tcPr>
                  <w:tcW w:w="195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500</w:t>
                  </w:r>
                </w:p>
              </w:tc>
              <w:tc>
                <w:tcPr>
                  <w:tcW w:w="166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300</w:t>
                  </w:r>
                </w:p>
              </w:tc>
              <w:tc>
                <w:tcPr>
                  <w:tcW w:w="1647"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300</w:t>
                  </w:r>
                </w:p>
              </w:tc>
              <w:tc>
                <w:tcPr>
                  <w:tcW w:w="1930"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45</w:t>
                  </w:r>
                </w:p>
              </w:tc>
              <w:tc>
                <w:tcPr>
                  <w:tcW w:w="182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8</w:t>
                  </w:r>
                </w:p>
              </w:tc>
              <w:tc>
                <w:tcPr>
                  <w:tcW w:w="200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tc>
              <w:tc>
                <w:tcPr>
                  <w:tcW w:w="417" w:type="pct"/>
                  <w:vMerge w:val="continue"/>
                  <w:tcBorders>
                    <w:tl2br w:val="nil"/>
                    <w:tr2bl w:val="nil"/>
                  </w:tcBorders>
                  <w:vAlign w:val="center"/>
                </w:tcPr>
                <w:p/>
              </w:tc>
              <w:tc>
                <w:tcPr>
                  <w:tcW w:w="408" w:type="pct"/>
                  <w:vMerge w:val="continue"/>
                  <w:tcBorders>
                    <w:tl2br w:val="nil"/>
                    <w:tr2bl w:val="nil"/>
                  </w:tcBorders>
                  <w:vAlign w:val="center"/>
                </w:tcPr>
                <w:p/>
              </w:tc>
              <w:tc>
                <w:tcPr>
                  <w:tcW w:w="87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455" w:type="pct"/>
                  <w:vMerge w:val="continue"/>
                  <w:tcBorders>
                    <w:tl2br w:val="nil"/>
                    <w:tr2bl w:val="nil"/>
                  </w:tcBorders>
                  <w:vAlign w:val="center"/>
                </w:tcPr>
                <w:p/>
              </w:tc>
              <w:tc>
                <w:tcPr>
                  <w:tcW w:w="195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4.602 </w:t>
                  </w:r>
                </w:p>
              </w:tc>
              <w:tc>
                <w:tcPr>
                  <w:tcW w:w="166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2.761 </w:t>
                  </w:r>
                </w:p>
              </w:tc>
              <w:tc>
                <w:tcPr>
                  <w:tcW w:w="1647"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3.682 </w:t>
                  </w:r>
                </w:p>
              </w:tc>
              <w:tc>
                <w:tcPr>
                  <w:tcW w:w="1930"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0.414 </w:t>
                  </w:r>
                </w:p>
              </w:tc>
              <w:tc>
                <w:tcPr>
                  <w:tcW w:w="182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0.074 </w:t>
                  </w:r>
                </w:p>
              </w:tc>
              <w:tc>
                <w:tcPr>
                  <w:tcW w:w="200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2.761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26" w:type="pct"/>
                  <w:vMerge w:val="continue"/>
                  <w:tcBorders>
                    <w:tl2br w:val="nil"/>
                    <w:tr2bl w:val="nil"/>
                  </w:tcBorders>
                  <w:vAlign w:val="center"/>
                </w:tcPr>
                <w:p/>
              </w:tc>
              <w:tc>
                <w:tcPr>
                  <w:tcW w:w="417"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污水处理厂</w:t>
                  </w:r>
                </w:p>
              </w:tc>
              <w:tc>
                <w:tcPr>
                  <w:tcW w:w="408" w:type="pct"/>
                  <w:vMerge w:val="restar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提标后</w:t>
                  </w:r>
                </w:p>
              </w:tc>
              <w:tc>
                <w:tcPr>
                  <w:tcW w:w="87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浓度（mg/L）</w:t>
                  </w:r>
                </w:p>
              </w:tc>
              <w:tc>
                <w:tcPr>
                  <w:tcW w:w="455" w:type="pct"/>
                  <w:vMerge w:val="continue"/>
                  <w:tcBorders>
                    <w:tl2br w:val="nil"/>
                    <w:tr2bl w:val="nil"/>
                  </w:tcBorders>
                  <w:vAlign w:val="center"/>
                </w:tcPr>
                <w:p/>
              </w:tc>
              <w:tc>
                <w:tcPr>
                  <w:tcW w:w="1955"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20</w:t>
                  </w:r>
                </w:p>
              </w:tc>
              <w:tc>
                <w:tcPr>
                  <w:tcW w:w="1662"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4</w:t>
                  </w:r>
                </w:p>
              </w:tc>
              <w:tc>
                <w:tcPr>
                  <w:tcW w:w="1647"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10</w:t>
                  </w:r>
                </w:p>
              </w:tc>
              <w:tc>
                <w:tcPr>
                  <w:tcW w:w="1930" w:type="pct"/>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w:t>
                  </w:r>
                </w:p>
              </w:tc>
              <w:tc>
                <w:tcPr>
                  <w:tcW w:w="182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0.5</w:t>
                  </w:r>
                </w:p>
              </w:tc>
              <w:tc>
                <w:tcPr>
                  <w:tcW w:w="200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Style w:val="83"/>
                      <w:rFonts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 w:type="pct"/>
                  <w:vMerge w:val="continue"/>
                  <w:tcBorders>
                    <w:tl2br w:val="nil"/>
                    <w:tr2bl w:val="nil"/>
                  </w:tcBorders>
                  <w:vAlign w:val="center"/>
                </w:tcPr>
                <w:p/>
              </w:tc>
              <w:tc>
                <w:tcPr>
                  <w:tcW w:w="417" w:type="pct"/>
                  <w:vMerge w:val="continue"/>
                  <w:tcBorders>
                    <w:tl2br w:val="nil"/>
                    <w:tr2bl w:val="nil"/>
                  </w:tcBorders>
                  <w:vAlign w:val="center"/>
                </w:tcPr>
                <w:p/>
              </w:tc>
              <w:tc>
                <w:tcPr>
                  <w:tcW w:w="408" w:type="pct"/>
                  <w:vMerge w:val="continue"/>
                  <w:tcBorders>
                    <w:tl2br w:val="nil"/>
                    <w:tr2bl w:val="nil"/>
                  </w:tcBorders>
                  <w:vAlign w:val="center"/>
                </w:tcPr>
                <w:p/>
              </w:tc>
              <w:tc>
                <w:tcPr>
                  <w:tcW w:w="87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455" w:type="pct"/>
                  <w:vMerge w:val="continue"/>
                  <w:tcBorders>
                    <w:tl2br w:val="nil"/>
                    <w:tr2bl w:val="nil"/>
                  </w:tcBorders>
                  <w:vAlign w:val="center"/>
                </w:tcPr>
                <w:p/>
              </w:tc>
              <w:tc>
                <w:tcPr>
                  <w:tcW w:w="1955"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0.184 </w:t>
                  </w:r>
                </w:p>
              </w:tc>
              <w:tc>
                <w:tcPr>
                  <w:tcW w:w="166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0.037 </w:t>
                  </w:r>
                </w:p>
              </w:tc>
              <w:tc>
                <w:tcPr>
                  <w:tcW w:w="1647"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0.092 </w:t>
                  </w:r>
                </w:p>
              </w:tc>
              <w:tc>
                <w:tcPr>
                  <w:tcW w:w="1930"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0.</w:t>
                  </w:r>
                  <w:r>
                    <w:rPr>
                      <w:rFonts w:hint="eastAsia" w:cs="Times New Roman"/>
                      <w:i w:val="0"/>
                      <w:iCs w:val="0"/>
                      <w:color w:val="auto"/>
                      <w:kern w:val="0"/>
                      <w:sz w:val="21"/>
                      <w:szCs w:val="21"/>
                      <w:u w:val="none"/>
                      <w:lang w:val="en-US" w:eastAsia="zh-CN"/>
                    </w:rPr>
                    <w:t>0</w:t>
                  </w:r>
                  <w:r>
                    <w:rPr>
                      <w:rFonts w:ascii="Times New Roman" w:hAnsi="Times New Roman" w:eastAsia="宋体" w:cs="Times New Roman"/>
                      <w:i w:val="0"/>
                      <w:iCs w:val="0"/>
                      <w:color w:val="auto"/>
                      <w:kern w:val="0"/>
                      <w:sz w:val="21"/>
                      <w:szCs w:val="21"/>
                      <w:u w:val="none"/>
                      <w:lang w:val="en-US" w:eastAsia="zh-CN"/>
                    </w:rPr>
                    <w:t xml:space="preserve">092 </w:t>
                  </w:r>
                </w:p>
              </w:tc>
              <w:tc>
                <w:tcPr>
                  <w:tcW w:w="1822" w:type="pct"/>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rPr>
                  </w:pPr>
                  <w:r>
                    <w:rPr>
                      <w:rFonts w:ascii="Times New Roman" w:hAnsi="Times New Roman" w:eastAsia="宋体" w:cs="Times New Roman"/>
                      <w:i w:val="0"/>
                      <w:iCs w:val="0"/>
                      <w:color w:val="auto"/>
                      <w:kern w:val="0"/>
                      <w:sz w:val="21"/>
                      <w:szCs w:val="21"/>
                      <w:u w:val="none"/>
                      <w:lang w:val="en-US" w:eastAsia="zh-CN"/>
                    </w:rPr>
                    <w:t xml:space="preserve">0.005 </w:t>
                  </w:r>
                </w:p>
              </w:tc>
              <w:tc>
                <w:tcPr>
                  <w:tcW w:w="2005"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82" w:type="pct"/>
                  <w:gridSpan w:val="5"/>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《污水综合排放标准》（GB8978-1996）三级标准（mg/L）</w:t>
                  </w:r>
                </w:p>
              </w:tc>
              <w:tc>
                <w:tcPr>
                  <w:tcW w:w="467"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37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39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400</w:t>
                  </w:r>
                </w:p>
              </w:tc>
              <w:tc>
                <w:tcPr>
                  <w:tcW w:w="461"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c>
                <w:tcPr>
                  <w:tcW w:w="43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479"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82" w:type="pct"/>
                  <w:gridSpan w:val="5"/>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《地表水环境质量标准》（GB3838-2002）中Ⅲ类水体标准</w:t>
                  </w:r>
                </w:p>
              </w:tc>
              <w:tc>
                <w:tcPr>
                  <w:tcW w:w="467"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20</w:t>
                  </w:r>
                </w:p>
              </w:tc>
              <w:tc>
                <w:tcPr>
                  <w:tcW w:w="37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4</w:t>
                  </w:r>
                </w:p>
              </w:tc>
              <w:tc>
                <w:tcPr>
                  <w:tcW w:w="39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10</w:t>
                  </w:r>
                </w:p>
              </w:tc>
              <w:tc>
                <w:tcPr>
                  <w:tcW w:w="461"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1</w:t>
                  </w:r>
                </w:p>
              </w:tc>
              <w:tc>
                <w:tcPr>
                  <w:tcW w:w="43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w:t>
                  </w:r>
                </w:p>
              </w:tc>
              <w:tc>
                <w:tcPr>
                  <w:tcW w:w="479"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82" w:type="pct"/>
                  <w:gridSpan w:val="5"/>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《四川省岷江、沱江流域水污染物排放标准》（DB51/2311-2016）（mg/L）</w:t>
                  </w:r>
                </w:p>
              </w:tc>
              <w:tc>
                <w:tcPr>
                  <w:tcW w:w="467"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w:t>
                  </w:r>
                </w:p>
              </w:tc>
              <w:tc>
                <w:tcPr>
                  <w:tcW w:w="37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w:t>
                  </w:r>
                </w:p>
              </w:tc>
              <w:tc>
                <w:tcPr>
                  <w:tcW w:w="395"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w:t>
                  </w:r>
                </w:p>
              </w:tc>
              <w:tc>
                <w:tcPr>
                  <w:tcW w:w="461"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w:t>
                  </w:r>
                </w:p>
              </w:tc>
              <w:tc>
                <w:tcPr>
                  <w:tcW w:w="436"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479" w:type="pct"/>
                  <w:tcBorders>
                    <w:tl2br w:val="nil"/>
                    <w:tr2bl w:val="nil"/>
                  </w:tcBorders>
                  <w:vAlign w:val="center"/>
                </w:tcPr>
                <w:p>
                  <w:pPr>
                    <w:pStyle w:val="2"/>
                    <w:adjustRightInd w:val="0"/>
                    <w:snapToGrid w:val="0"/>
                    <w:spacing w:before="0" w:after="0" w:line="240" w:lineRule="auto"/>
                    <w:ind w:right="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2"/>
              <w:adjustRightInd w:val="0"/>
              <w:snapToGrid w:val="0"/>
              <w:spacing w:before="0" w:after="0" w:line="360" w:lineRule="auto"/>
              <w:ind w:right="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注：*氨氮、总磷、溶解性总固体参考《污水排入城镇下水道水质标准》（GB/T31962-2015）。</w:t>
            </w:r>
          </w:p>
          <w:p>
            <w:pPr>
              <w:pStyle w:val="24"/>
              <w:adjustRightInd w:val="0"/>
              <w:snapToGrid w:val="0"/>
              <w:spacing w:before="120" w:beforeLines="50" w:after="0" w:line="360" w:lineRule="auto"/>
              <w:ind w:left="0" w:leftChars="0"/>
              <w:rPr>
                <w:rFonts w:ascii="Times New Roman" w:hAnsi="Times New Roman" w:cs="Times New Roman"/>
                <w:b/>
                <w:bCs/>
                <w:color w:val="auto"/>
              </w:rPr>
            </w:pPr>
            <w:r>
              <w:rPr>
                <w:rFonts w:ascii="Times New Roman" w:hAnsi="Times New Roman" w:cs="Times New Roman"/>
                <w:color w:val="auto"/>
              </w:rPr>
              <w:t>项目水平衡图见下表：</w:t>
            </w:r>
          </w:p>
          <w:p>
            <w:pPr>
              <w:adjustRightInd w:val="0"/>
              <w:snapToGrid w:val="0"/>
              <w:spacing w:line="360" w:lineRule="auto"/>
              <w:rPr>
                <w:rFonts w:ascii="Times New Roman" w:hAnsi="Times New Roman" w:cs="Times New Roman"/>
                <w:b/>
                <w:color w:val="auto"/>
              </w:rPr>
            </w:pPr>
            <w:r>
              <w:rPr>
                <w:rFonts w:ascii="Times New Roman" w:hAnsi="Times New Roman" w:cs="Times New Roman"/>
                <w:color w:val="auto"/>
              </w:rPr>
              <w:pict>
                <v:group id="对象 85" o:spid="_x0000_s1067" o:spt="203" style="height:374.5pt;width:400.5pt;" coordorigin="2344,1728" coordsize="8010,7490" editas="canvas">
                  <o:lock v:ext="edit"/>
                  <v:shape id="对象 85" o:spid="_x0000_s86" o:spt="75" type="#_x0000_t75" style="position:absolute;left:2344;top:1728;height:7490;width:8010;" filled="f" stroked="f" coordsize="21600,21600">
                    <v:fill on="f" focussize="0,0"/>
                    <v:stroke on="f" color="#000000"/>
                    <v:imagedata o:title=""/>
                    <o:lock v:ext="edit" aspectratio="t"/>
                  </v:shape>
                  <v:rect id="_s87" o:spid="_x0000_s1068" o:spt="1" style="position:absolute;left:8503;top:2209;height:435;width:809;" fillcolor="#FFFFFF" filled="t" stroked="f" coordsize="21600,21600">
                    <v:path/>
                    <v:fill type="gradient" on="t" color2="#FFFFFF" angle="-90" focus="100%" focussize="0,0"/>
                    <v:stroke on="f" color="#000000"/>
                    <v:imagedata o:title=""/>
                    <o:lock v:ext="edit"/>
                    <v:textbox>
                      <w:txbxContent>
                        <w:p>
                          <w:pPr>
                            <w:rPr>
                              <w:rFonts w:eastAsia="宋体"/>
                              <w:lang w:val="en-US" w:eastAsia="zh-CN"/>
                            </w:rPr>
                          </w:pPr>
                          <w:r>
                            <w:rPr>
                              <w:rFonts w:hint="eastAsia"/>
                            </w:rPr>
                            <w:t>0.</w:t>
                          </w:r>
                          <w:r>
                            <w:rPr>
                              <w:rFonts w:hint="eastAsia"/>
                              <w:lang w:val="en-US" w:eastAsia="zh-CN"/>
                            </w:rPr>
                            <w:t>053</w:t>
                          </w:r>
                        </w:p>
                      </w:txbxContent>
                    </v:textbox>
                  </v:rect>
                  <v:rect id="_s88" o:spid="_x0000_s1069" o:spt="1" style="position:absolute;left:3661;top:4689;height:435;width:913;" fillcolor="#FFFFFF" filled="t" stroked="f" coordsize="21600,21600">
                    <v:path/>
                    <v:fill type="gradient" on="t" color2="#FFFFFF" angle="-90" focus="100%" focussize="0,0"/>
                    <v:stroke on="f" color="#000000"/>
                    <v:imagedata o:title=""/>
                    <o:lock v:ext="edit"/>
                    <v:textbox>
                      <w:txbxContent>
                        <w:p>
                          <w:pPr>
                            <w:rPr>
                              <w:rFonts w:eastAsia="宋体"/>
                              <w:lang w:val="en-US" w:eastAsia="zh-CN"/>
                            </w:rPr>
                          </w:pPr>
                          <w:r>
                            <w:rPr>
                              <w:rFonts w:hint="eastAsia"/>
                              <w:lang w:val="en-US" w:eastAsia="zh-CN"/>
                            </w:rPr>
                            <w:t>2.25</w:t>
                          </w:r>
                        </w:p>
                      </w:txbxContent>
                    </v:textbox>
                  </v:rect>
                  <v:rect id="_s89" o:spid="_x0000_s1070" o:spt="1" style="position:absolute;left:8839;top:5818;height:434;width:1200;" fillcolor="#FFFFFF" filled="t" stroked="t" coordsize="21600,21600">
                    <v:path/>
                    <v:fill type="gradient" on="t" color2="#FFFFFF" angle="-90" focus="100%" focussize="0,0"/>
                    <v:stroke weight="1.25pt" color="#000000"/>
                    <v:imagedata o:title=""/>
                    <o:lock v:ext="edit"/>
                    <v:textbox>
                      <w:txbxContent>
                        <w:p>
                          <w:pPr>
                            <w:jc w:val="center"/>
                          </w:pPr>
                          <w:r>
                            <w:rPr>
                              <w:rFonts w:hint="eastAsia"/>
                            </w:rPr>
                            <w:t>预处理池</w:t>
                          </w:r>
                        </w:p>
                      </w:txbxContent>
                    </v:textbox>
                  </v:rect>
                  <v:rect id="_s90" o:spid="_x0000_s1071" o:spt="1" style="position:absolute;left:5040;top:2246;height:571;width:1860;" fillcolor="#FFFFFF" filled="t" stroked="t" coordsize="21600,21600">
                    <v:path/>
                    <v:fill type="gradient" on="t" color2="#FFFFFF" angle="-90" focus="100%" focussize="0,0"/>
                    <v:stroke weight="1.25pt" color="#000000"/>
                    <v:imagedata o:title=""/>
                    <o:lock v:ext="edit"/>
                    <v:textbox>
                      <w:txbxContent>
                        <w:p>
                          <w:pPr>
                            <w:jc w:val="center"/>
                          </w:pPr>
                          <w:r>
                            <w:rPr>
                              <w:rFonts w:hint="eastAsia"/>
                            </w:rPr>
                            <w:t>生活</w:t>
                          </w:r>
                          <w:r>
                            <w:t>用水</w:t>
                          </w:r>
                        </w:p>
                      </w:txbxContent>
                    </v:textbox>
                  </v:rect>
                  <v:rect id="_s91" o:spid="_x0000_s1072" o:spt="1" style="position:absolute;left:8695;top:6603;height:689;width:1331;" filled="f" stroked="t" coordsize="21600,21600">
                    <v:path/>
                    <v:fill on="f" focussize="0,0"/>
                    <v:stroke weight="1.25pt" color="#000000"/>
                    <v:imagedata o:title=""/>
                    <o:lock v:ext="edit"/>
                    <v:textbox>
                      <w:txbxContent>
                        <w:p>
                          <w:pPr>
                            <w:jc w:val="center"/>
                            <w:rPr>
                              <w:lang w:val="en-US"/>
                            </w:rPr>
                          </w:pPr>
                          <w:r>
                            <w:rPr>
                              <w:rFonts w:hint="eastAsia"/>
                              <w:lang w:val="en-US" w:eastAsia="zh-CN"/>
                            </w:rPr>
                            <w:t>园区污水管网</w:t>
                          </w:r>
                        </w:p>
                        <w:p>
                          <w:pPr>
                            <w:jc w:val="center"/>
                            <w:rPr>
                              <w:color w:val="auto"/>
                              <w14:textOutline w14:w="9525" w14:cap="sq">
                                <w14:solidFill>
                                  <w14:srgbClr w14:val="4F81BD"/>
                                </w14:solidFill>
                                <w14:prstDash w14:val="solid"/>
                                <w14:round/>
                              </w14:textOutline>
                            </w:rPr>
                          </w:pPr>
                        </w:p>
                      </w:txbxContent>
                    </v:textbox>
                  </v:rect>
                  <v:rect id="_s92" o:spid="_x0000_s1073" o:spt="1" style="position:absolute;left:8668;top:8644;height:449;width:1439;" fillcolor="#FFFFFF" filled="t" stroked="t" coordsize="21600,21600">
                    <v:path/>
                    <v:fill type="gradient" on="t" color2="#FFFFFF" angle="-90" focus="100%" focussize="0,0"/>
                    <v:stroke weight="1.25pt" color="#000000"/>
                    <v:imagedata o:title=""/>
                    <o:lock v:ext="edit"/>
                    <v:textbox>
                      <w:txbxContent>
                        <w:p>
                          <w:pPr>
                            <w:jc w:val="center"/>
                            <w:rPr>
                              <w:rFonts w:hint="eastAsia" w:eastAsia="宋体"/>
                              <w:sz w:val="18"/>
                              <w:lang w:eastAsia="zh-CN"/>
                            </w:rPr>
                          </w:pPr>
                          <w:r>
                            <w:rPr>
                              <w:rFonts w:hint="eastAsia"/>
                              <w:kern w:val="0"/>
                              <w:lang w:eastAsia="zh-CN"/>
                            </w:rPr>
                            <w:t>郪江</w:t>
                          </w:r>
                        </w:p>
                      </w:txbxContent>
                    </v:textbox>
                  </v:rect>
                  <v:rect id="_s93" o:spid="_x0000_s1074" o:spt="1" style="position:absolute;left:8590;top:7596;height:669;width:1764;" fillcolor="#FFFFFF" filled="t" stroked="t" coordsize="21600,21600">
                    <v:path/>
                    <v:fill type="gradient" on="t" color2="#FFFFFF" angle="-90" focus="100%" focussize="0,0"/>
                    <v:stroke weight="1.25pt" color="#000000"/>
                    <v:imagedata o:title=""/>
                    <o:lock v:ext="edit"/>
                    <v:textbox>
                      <w:txbxContent>
                        <w:p>
                          <w:pPr>
                            <w:jc w:val="center"/>
                            <w:rPr>
                              <w:rFonts w:eastAsia="宋体"/>
                              <w:lang w:val="en-US" w:eastAsia="zh-CN"/>
                            </w:rPr>
                          </w:pPr>
                          <w:r>
                            <w:rPr>
                              <w:rFonts w:hint="eastAsia"/>
                            </w:rPr>
                            <w:t>大英工业集中区</w:t>
                          </w:r>
                          <w:r>
                            <w:rPr>
                              <w:rFonts w:hint="eastAsia"/>
                              <w:lang w:val="en-US" w:eastAsia="zh-CN"/>
                            </w:rPr>
                            <w:t>污水处理厂</w:t>
                          </w:r>
                        </w:p>
                      </w:txbxContent>
                    </v:textbox>
                  </v:rect>
                  <v:rect id="_s94" o:spid="_x0000_s1075" o:spt="1" style="position:absolute;left:2428;top:4210;height:436;width:809;" fillcolor="#FFFFFF" filled="t" stroked="f" coordsize="21600,21600">
                    <v:path/>
                    <v:fill type="gradient" on="t" color2="#FFFFFF" angle="-90" focus="100%" focussize="0,0"/>
                    <v:stroke on="f" color="#000000"/>
                    <v:imagedata o:title=""/>
                    <o:lock v:ext="edit"/>
                    <v:textbox>
                      <w:txbxContent>
                        <w:p>
                          <w:pPr>
                            <w:rPr>
                              <w:rFonts w:eastAsia="宋体"/>
                              <w:lang w:val="en-US" w:eastAsia="zh-CN"/>
                            </w:rPr>
                          </w:pPr>
                          <w:r>
                            <w:rPr>
                              <w:rFonts w:hint="eastAsia"/>
                              <w:lang w:val="en-US" w:eastAsia="zh-CN"/>
                            </w:rPr>
                            <w:t>2.447</w:t>
                          </w:r>
                        </w:p>
                      </w:txbxContent>
                    </v:textbox>
                  </v:rect>
                  <v:rect id="_s95" o:spid="_x0000_s1076" o:spt="1" style="position:absolute;left:2344;top:3810;height:431;width:943;" fillcolor="#FFFFFF" filled="t" stroked="f" coordsize="21600,21600">
                    <v:path/>
                    <v:fill type="gradient" on="t" color2="#FFFFFF" angle="-90" focus="100%" focussize="0,0"/>
                    <v:stroke on="f" color="#000000"/>
                    <v:imagedata o:title=""/>
                    <o:lock v:ext="edit"/>
                    <v:textbox>
                      <w:txbxContent>
                        <w:p>
                          <w:r>
                            <w:rPr>
                              <w:rFonts w:hint="eastAsia"/>
                            </w:rPr>
                            <w:t>自来水</w:t>
                          </w:r>
                        </w:p>
                      </w:txbxContent>
                    </v:textbox>
                  </v:rect>
                  <v:rect id="_s96" o:spid="_x0000_s1077" o:spt="1" style="position:absolute;left:4051;top:2112;height:436;width:809;" fillcolor="#FFFFFF" filled="t" stroked="f" coordsize="21600,21600">
                    <v:path/>
                    <v:fill type="gradient" on="t" color2="#FFFFFF" angle="-90" focus="100%" focussize="0,0"/>
                    <v:stroke on="f" color="#000000"/>
                    <v:imagedata o:title=""/>
                    <o:lock v:ext="edit"/>
                    <v:textbox>
                      <w:txbxContent>
                        <w:p>
                          <w:pPr>
                            <w:rPr>
                              <w:rFonts w:eastAsia="宋体"/>
                              <w:lang w:val="en-US" w:eastAsia="zh-CN"/>
                            </w:rPr>
                          </w:pPr>
                          <w:r>
                            <w:rPr>
                              <w:rFonts w:hint="eastAsia"/>
                            </w:rPr>
                            <w:t>0.</w:t>
                          </w:r>
                          <w:r>
                            <w:rPr>
                              <w:rFonts w:hint="eastAsia"/>
                              <w:lang w:val="en-US" w:eastAsia="zh-CN"/>
                            </w:rPr>
                            <w:t>067</w:t>
                          </w:r>
                        </w:p>
                      </w:txbxContent>
                    </v:textbox>
                  </v:rect>
                  <v:shape id="_s97" o:spid="_x0000_s1078" o:spt="34" type="#_x0000_t34" style="position:absolute;left:2344;top:2532;flip:y;height:1696;width:2695;" filled="f" stroked="t" coordsize="21600,21600" adj="6884">
                    <v:path arrowok="t"/>
                    <v:fill on="f" focussize="0,0"/>
                    <v:stroke weight="1.25pt" color="#000000" endarrow="block"/>
                    <v:imagedata o:title=""/>
                    <o:lock v:ext="edit"/>
                  </v:shape>
                  <v:shape id="_s98" o:spid="_x0000_s1079" o:spt="32" type="#_x0000_t32" style="position:absolute;left:6207;top:6051;height:1;width:559;" filled="f" stroked="t" coordsize="21600,21600">
                    <v:path arrowok="t"/>
                    <v:fill on="f" focussize="0,0"/>
                    <v:stroke weight="1.25pt" color="#000000" endarrow="block"/>
                    <v:imagedata o:title=""/>
                    <o:lock v:ext="edit"/>
                  </v:shape>
                  <v:shape id="_s99" o:spid="_x0000_s1080" o:spt="34" type="#_x0000_t34" style="position:absolute;left:9250;top:8506;height:3;width:342;rotation:5898240f;" filled="f" stroked="t" coordsize="21600,21600" adj="-2368">
                    <v:path arrowok="t"/>
                    <v:fill on="f" focussize="0,0"/>
                    <v:stroke weight="1.25pt" color="#000000" endarrow="block"/>
                    <v:imagedata o:title=""/>
                    <o:lock v:ext="edit"/>
                  </v:shape>
                  <v:shape id="_s100" o:spid="_x0000_s1081" o:spt="34" type="#_x0000_t34" style="position:absolute;left:9237;top:6426;flip:x;height:1;width:335;rotation:5898240f;" filled="f" stroked="t" coordsize="21600,21600" adj="10767">
                    <v:path arrowok="t"/>
                    <v:fill on="f" focussize="0,0"/>
                    <v:stroke weight="1.25pt" color="#000000" endarrow="block"/>
                    <v:imagedata o:title=""/>
                    <o:lock v:ext="edit"/>
                  </v:shape>
                  <v:shape id="_s101" o:spid="_x0000_s1082" o:spt="34" type="#_x0000_t34" style="position:absolute;left:9286;top:7435;height:5;width:270;rotation:5898240f;" filled="f" stroked="t" coordsize="21600,21600" adj="10838">
                    <v:path arrowok="t"/>
                    <v:fill on="f" focussize="0,0"/>
                    <v:stroke weight="1.25pt" color="#000000" endarrow="block"/>
                    <v:imagedata o:title=""/>
                    <o:lock v:ext="edit"/>
                  </v:shape>
                  <v:rect id="_s102" o:spid="_x0000_s1083" o:spt="1" style="position:absolute;left:6322;top:1728;height:436;width:1278;" fillcolor="#FFFFFF" filled="t" stroked="f" coordsize="21600,21600">
                    <v:path/>
                    <v:fill type="gradient" on="t" color2="#FFFFFF" angle="-90" focus="100%" focussize="0,0"/>
                    <v:stroke on="f" color="#000000"/>
                    <v:imagedata o:title=""/>
                    <o:lock v:ext="edit"/>
                    <v:textbox>
                      <w:txbxContent>
                        <w:p>
                          <w:pPr>
                            <w:rPr>
                              <w:rFonts w:eastAsia="宋体"/>
                              <w:lang w:val="en-US" w:eastAsia="zh-CN"/>
                            </w:rPr>
                          </w:pPr>
                          <w:r>
                            <w:rPr>
                              <w:rFonts w:hint="eastAsia"/>
                            </w:rPr>
                            <w:t>损耗0.</w:t>
                          </w:r>
                          <w:r>
                            <w:rPr>
                              <w:rFonts w:hint="eastAsia"/>
                              <w:lang w:val="en-US" w:eastAsia="zh-CN"/>
                            </w:rPr>
                            <w:t>014</w:t>
                          </w:r>
                        </w:p>
                      </w:txbxContent>
                    </v:textbox>
                  </v:rect>
                  <v:shape id="_s103" o:spid="_x0000_s1084" o:spt="37" type="#_x0000_t37" style="position:absolute;left:6002;top:1914;height:352;width:288;rotation:17694720f;" filled="f" stroked="t" coordsize="21600,21600">
                    <v:path arrowok="t"/>
                    <v:fill on="f" focussize="0,0"/>
                    <v:stroke weight="1.25pt" color="#000000" endarrow="block"/>
                    <v:imagedata o:title=""/>
                    <o:lock v:ext="edit"/>
                  </v:shape>
                  <v:rect id="_s104" o:spid="_x0000_s1085" o:spt="1" style="position:absolute;left:5012;top:5837;height:559;width:1160;" fillcolor="#FFFFFF" filled="t" stroked="t" coordsize="21600,21600">
                    <v:path/>
                    <v:fill type="gradient" on="t" color2="#FFFFFF" angle="-90" focus="100%" focussize="0,0"/>
                    <v:stroke weight="1.25pt" color="#000000"/>
                    <v:imagedata o:title=""/>
                    <o:lock v:ext="edit"/>
                    <v:textbox>
                      <w:txbxContent>
                        <w:p>
                          <w:pPr>
                            <w:jc w:val="center"/>
                          </w:pPr>
                          <w:r>
                            <w:rPr>
                              <w:rFonts w:hint="eastAsia"/>
                            </w:rPr>
                            <w:t>凝结水箱</w:t>
                          </w:r>
                        </w:p>
                      </w:txbxContent>
                    </v:textbox>
                  </v:rect>
                  <v:shape id="_s105" o:spid="_x0000_s1086" o:spt="32" type="#_x0000_t32" style="position:absolute;left:7779;top:6084;flip:y;height:8;width:1047;" filled="f" stroked="t" coordsize="21600,21600">
                    <v:path arrowok="t"/>
                    <v:fill on="f" focussize="0,0"/>
                    <v:stroke weight="1.25pt" color="#000000" endarrow="block"/>
                    <v:imagedata o:title=""/>
                    <o:lock v:ext="edit"/>
                  </v:shape>
                  <v:rect id="_s106" o:spid="_x0000_s1087" o:spt="1" style="position:absolute;left:5042;top:4811;height:612;width:1655;" filled="f" stroked="f" coordsize="21600,21600">
                    <v:path/>
                    <v:fill on="f" focussize="0,0"/>
                    <v:stroke on="f" color="#000000"/>
                    <v:imagedata o:title=""/>
                    <o:lock v:ext="edit"/>
                    <v:textbox>
                      <w:txbxContent>
                        <w:p>
                          <w:pPr>
                            <w:rPr>
                              <w:rFonts w:eastAsia="宋体"/>
                              <w:lang w:val="en-US" w:eastAsia="zh-CN"/>
                            </w:rPr>
                          </w:pPr>
                          <w:r>
                            <w:rPr>
                              <w:rFonts w:hint="eastAsia"/>
                            </w:rPr>
                            <w:t>冷凝回用</w:t>
                          </w:r>
                          <w:r>
                            <w:rPr>
                              <w:rFonts w:hint="eastAsia"/>
                              <w:lang w:val="en-US" w:eastAsia="zh-CN"/>
                            </w:rPr>
                            <w:t>10.14</w:t>
                          </w:r>
                        </w:p>
                      </w:txbxContent>
                    </v:textbox>
                  </v:rect>
                  <v:rect id="_s107" o:spid="_x0000_s1088" o:spt="1" style="position:absolute;left:6752;top:5836;height:559;width:1040;" fillcolor="#FFFFFF" filled="t" stroked="t" coordsize="21600,21600">
                    <v:path/>
                    <v:fill type="gradient" on="t" color2="#FFFFFF" angle="-90" focus="100%" focussize="0,0"/>
                    <v:stroke weight="1.25pt" color="#000000"/>
                    <v:imagedata o:title=""/>
                    <o:lock v:ext="edit"/>
                    <v:textbox>
                      <w:txbxContent>
                        <w:p>
                          <w:pPr>
                            <w:jc w:val="center"/>
                          </w:pPr>
                          <w:r>
                            <w:rPr>
                              <w:rFonts w:hint="eastAsia"/>
                            </w:rPr>
                            <w:t>锅炉</w:t>
                          </w:r>
                        </w:p>
                      </w:txbxContent>
                    </v:textbox>
                  </v:rect>
                  <v:shape id="_s108" o:spid="_x0000_s1089" o:spt="33" type="#_x0000_t33" style="position:absolute;left:5592;top:5213;flip:y;height:624;width:1160;rotation:11796480f;" filled="f" stroked="t" coordsize="21600,21600">
                    <v:path arrowok="t"/>
                    <v:fill on="f" focussize="0,0"/>
                    <v:stroke weight="1.25pt" color="#000000" endarrow="block"/>
                    <v:imagedata o:title=""/>
                    <o:lock v:ext="edit"/>
                  </v:shape>
                  <v:rect id="_s109" o:spid="_x0000_s1090" o:spt="1" style="position:absolute;left:8521;top:4921;height:629;width:828;" fillcolor="#FFFFFF" filled="t" stroked="f" coordsize="21600,21600">
                    <v:path/>
                    <v:fill type="gradient" on="t" color2="#FFFFFF" angle="-90" focus="100%" focussize="0,0"/>
                    <v:stroke on="f" color="#000000"/>
                    <v:imagedata o:title=""/>
                    <o:lock v:ext="edit"/>
                    <v:textbox>
                      <w:txbxContent>
                        <w:p>
                          <w:pPr>
                            <w:jc w:val="center"/>
                            <w:rPr>
                              <w:rFonts w:eastAsia="宋体"/>
                              <w:lang w:val="en-US" w:eastAsia="zh-CN"/>
                            </w:rPr>
                          </w:pPr>
                          <w:r>
                            <w:rPr>
                              <w:rFonts w:hint="eastAsia"/>
                            </w:rPr>
                            <w:t>损耗</w:t>
                          </w:r>
                          <w:r>
                            <w:rPr>
                              <w:rFonts w:hint="eastAsia"/>
                              <w:lang w:val="en-US" w:eastAsia="zh-CN"/>
                            </w:rPr>
                            <w:t>1.26</w:t>
                          </w:r>
                        </w:p>
                      </w:txbxContent>
                    </v:textbox>
                  </v:rect>
                  <v:rect id="_s110" o:spid="_x0000_s1091" o:spt="1" style="position:absolute;left:5028;top:6751;height:711;width:1160;" fillcolor="#FFFFFF" filled="t" stroked="t" coordsize="21600,21600">
                    <v:path/>
                    <v:fill type="gradient" on="t" color2="#FFFFFF" angle="-90" focus="100%" focussize="0,0"/>
                    <v:stroke weight="1.25pt" color="#000000"/>
                    <v:imagedata o:title=""/>
                    <o:lock v:ext="edit"/>
                    <v:textbox>
                      <w:txbxContent>
                        <w:p>
                          <w:pPr>
                            <w:jc w:val="center"/>
                          </w:pPr>
                          <w:r>
                            <w:rPr>
                              <w:rFonts w:hint="eastAsia"/>
                            </w:rPr>
                            <w:t>锅炉清洗用水</w:t>
                          </w:r>
                        </w:p>
                      </w:txbxContent>
                    </v:textbox>
                  </v:rect>
                  <v:shape id="_s111" o:spid="_x0000_s1092" o:spt="32" type="#_x0000_t32" style="position:absolute;left:6198;top:7066;height:0;width:539;" filled="f" stroked="t" coordsize="21600,21600">
                    <v:path arrowok="t"/>
                    <v:fill on="f" focussize="0,0"/>
                    <v:stroke weight="1.25pt" color="#000000" endarrow="block"/>
                    <v:imagedata o:title=""/>
                    <o:lock v:ext="edit"/>
                  </v:shape>
                  <v:rect id="_s112" o:spid="_x0000_s1093" o:spt="1" style="position:absolute;left:6752;top:6767;height:768;width:1640;" fillcolor="#FFFFFF" filled="t" stroked="t" coordsize="21600,21600">
                    <v:path/>
                    <v:fill type="gradient" on="t" color2="#FFFFFF" angle="-90" focus="100%" focussize="0,0"/>
                    <v:stroke weight="1.25pt" color="#000000"/>
                    <v:imagedata o:title=""/>
                    <o:lock v:ext="edit"/>
                    <v:textbox>
                      <w:txbxContent>
                        <w:p>
                          <w:pPr>
                            <w:jc w:val="center"/>
                          </w:pPr>
                          <w:r>
                            <w:rPr>
                              <w:rFonts w:hint="eastAsia"/>
                            </w:rPr>
                            <w:t>委托有处理能力单位处理</w:t>
                          </w:r>
                        </w:p>
                      </w:txbxContent>
                    </v:textbox>
                  </v:rect>
                  <v:rect id="_s113" o:spid="_x0000_s1094" o:spt="1" style="position:absolute;left:3712;top:3966;height:419;width:1916;" fillcolor="#FFFFFF" filled="t" stroked="t" coordsize="21600,21600">
                    <v:path/>
                    <v:fill type="gradient" on="t" color2="#FFFFFF" angle="-90" focus="100%" focussize="0,0"/>
                    <v:stroke weight="1.25pt" color="#000000"/>
                    <v:imagedata o:title=""/>
                    <o:lock v:ext="edit"/>
                    <v:textbox>
                      <w:txbxContent>
                        <w:p>
                          <w:pPr>
                            <w:rPr>
                              <w:rFonts w:eastAsia="宋体"/>
                              <w:lang w:val="en-US" w:eastAsia="zh-CN"/>
                            </w:rPr>
                          </w:pPr>
                          <w:r>
                            <w:rPr>
                              <w:rFonts w:hint="eastAsia"/>
                            </w:rPr>
                            <w:t>纯水</w:t>
                          </w:r>
                          <w:r>
                            <w:rPr>
                              <w:rFonts w:hint="eastAsia"/>
                              <w:lang w:val="en-US" w:eastAsia="zh-CN"/>
                            </w:rPr>
                            <w:t>制备机2.37</w:t>
                          </w:r>
                        </w:p>
                      </w:txbxContent>
                    </v:textbox>
                  </v:rect>
                  <v:rect id="_s114" o:spid="_x0000_s1095" o:spt="1" style="position:absolute;left:6107;top:5676;height:419;width:899;" filled="f" stroked="f" coordsize="21600,21600">
                    <v:path/>
                    <v:fill on="f" focussize="0,0"/>
                    <v:stroke on="f" color="#000000"/>
                    <v:imagedata o:title=""/>
                    <o:lock v:ext="edit"/>
                    <v:textbox>
                      <w:txbxContent>
                        <w:p>
                          <w:pPr>
                            <w:pStyle w:val="2"/>
                            <w:rPr>
                              <w:rFonts w:eastAsia="宋体"/>
                              <w:lang w:val="en-US" w:eastAsia="zh-CN"/>
                            </w:rPr>
                          </w:pPr>
                          <w:r>
                            <w:rPr>
                              <w:rFonts w:hint="eastAsia"/>
                              <w:lang w:val="en-US" w:eastAsia="zh-CN"/>
                            </w:rPr>
                            <w:t>12.39</w:t>
                          </w:r>
                        </w:p>
                      </w:txbxContent>
                    </v:textbox>
                  </v:rect>
                  <v:rect id="_s115" o:spid="_x0000_s1096" o:spt="1" style="position:absolute;left:8022;top:5761;height:419;width:779;" filled="f" stroked="f" coordsize="21600,21600">
                    <v:path/>
                    <v:fill on="f" focussize="0,0"/>
                    <v:stroke on="f" color="#000000"/>
                    <v:imagedata o:title=""/>
                    <o:lock v:ext="edit"/>
                    <v:textbox>
                      <w:txbxContent>
                        <w:p>
                          <w:pPr>
                            <w:rPr>
                              <w:rFonts w:eastAsia="宋体"/>
                              <w:lang w:val="en-US" w:eastAsia="zh-CN"/>
                            </w:rPr>
                          </w:pPr>
                          <w:r>
                            <w:rPr>
                              <w:rFonts w:hint="eastAsia"/>
                              <w:lang w:val="en-US" w:eastAsia="zh-CN"/>
                            </w:rPr>
                            <w:t>0.99</w:t>
                          </w:r>
                        </w:p>
                      </w:txbxContent>
                    </v:textbox>
                  </v:rect>
                  <v:rect id="_s116" o:spid="_x0000_s1097" o:spt="1" style="position:absolute;left:6157;top:6726;height:419;width:799;" filled="f" stroked="f" coordsize="21600,21600">
                    <v:path/>
                    <v:fill on="f" focussize="0,0"/>
                    <v:stroke on="f" color="#000000"/>
                    <v:imagedata o:title=""/>
                    <o:lock v:ext="edit"/>
                    <v:textbox>
                      <w:txbxContent>
                        <w:p>
                          <w:r>
                            <w:rPr>
                              <w:rFonts w:hint="eastAsia"/>
                            </w:rPr>
                            <w:t>0.01</w:t>
                          </w:r>
                        </w:p>
                      </w:txbxContent>
                    </v:textbox>
                  </v:rect>
                  <v:rect id="_s117" o:spid="_x0000_s1098" o:spt="1" style="position:absolute;left:9350;top:6231;height:419;width:982;" filled="f" stroked="f" coordsize="21600,21600">
                    <v:path/>
                    <v:fill on="f" focussize="0,0"/>
                    <v:stroke on="f" color="#000000"/>
                    <v:imagedata o:title=""/>
                    <o:lock v:ext="edit"/>
                    <v:textbox>
                      <w:txbxContent>
                        <w:p>
                          <w:pPr>
                            <w:rPr>
                              <w:rFonts w:eastAsia="宋体"/>
                              <w:lang w:val="en-US" w:eastAsia="zh-CN"/>
                            </w:rPr>
                          </w:pPr>
                          <w:r>
                            <w:rPr>
                              <w:rFonts w:hint="eastAsia"/>
                              <w:lang w:val="en-US" w:eastAsia="zh-CN"/>
                            </w:rPr>
                            <w:t>1.043</w:t>
                          </w:r>
                        </w:p>
                      </w:txbxContent>
                    </v:textbox>
                  </v:rect>
                  <v:shape id="_s118" o:spid="_x0000_s1099" o:spt="34" type="#_x0000_t34" style="position:absolute;left:7196;top:5668;flip:x;height:5;width:284;rotation:17694720f;" filled="f" stroked="t" coordsize="21600,21600" adj="10724">
                    <v:path arrowok="t"/>
                    <v:fill on="f" focussize="0,0"/>
                    <v:stroke weight="1.25pt" color="#000000" endarrow="block"/>
                    <v:imagedata o:title=""/>
                    <o:lock v:ext="edit"/>
                  </v:shape>
                  <v:rect id="_s119" o:spid="_x0000_s1100" o:spt="1" style="position:absolute;left:6752;top:4862;height:701;width:1220;" fillcolor="#FFFFFF" filled="t" stroked="t" coordsize="21600,21600">
                    <v:path/>
                    <v:fill type="gradient" on="t" color2="#FFFFFF" angle="-90" focus="100%" focussize="0,0"/>
                    <v:stroke weight="1.25pt" color="#000000"/>
                    <v:imagedata o:title=""/>
                    <o:lock v:ext="edit"/>
                    <v:textbox>
                      <w:txbxContent>
                        <w:p>
                          <w:pPr>
                            <w:jc w:val="center"/>
                            <w:rPr>
                              <w:lang w:val="en-US" w:eastAsia="zh-CN"/>
                            </w:rPr>
                          </w:pPr>
                          <w:r>
                            <w:rPr>
                              <w:rFonts w:hint="eastAsia"/>
                            </w:rPr>
                            <w:t>用汽企业</w:t>
                          </w:r>
                          <w:r>
                            <w:rPr>
                              <w:rFonts w:hint="eastAsia"/>
                              <w:lang w:val="en-US" w:eastAsia="zh-CN"/>
                            </w:rPr>
                            <w:t>11.4</w:t>
                          </w:r>
                        </w:p>
                      </w:txbxContent>
                    </v:textbox>
                  </v:rect>
                  <v:shape id="_s120" o:spid="_x0000_s1101" o:spt="32" type="#_x0000_t32" style="position:absolute;left:4319;top:6063;height:0;width:682;" filled="f" stroked="t" coordsize="21600,21600">
                    <v:path arrowok="t"/>
                    <v:fill on="f" focussize="0,0"/>
                    <v:stroke weight="1.25pt" color="#000000" endarrow="block"/>
                    <v:imagedata o:title=""/>
                    <o:lock v:ext="edit"/>
                  </v:shape>
                  <v:line id="_s121" o:spid="_x0000_s1102" o:spt="20" style="position:absolute;left:4319;top:4375;flip:y;height:1697;width:0;" filled="f" stroked="t" coordsize="21600,21600">
                    <v:path arrowok="t"/>
                    <v:fill on="f" focussize="0,0"/>
                    <v:stroke weight="1.2pt" color="#000000"/>
                    <v:imagedata o:title=""/>
                    <o:lock v:ext="edit"/>
                  </v:line>
                  <v:shape id="_s122" o:spid="_x0000_s1103" o:spt="32" type="#_x0000_t32" style="position:absolute;left:3182;top:4230;height:2;width:562;" filled="f" stroked="t" coordsize="21600,21600">
                    <v:path arrowok="t"/>
                    <v:fill on="f" focussize="0,0"/>
                    <v:stroke weight="1.2pt" color="#000000" endarrow="block"/>
                    <v:imagedata o:title=""/>
                    <o:lock v:ext="edit"/>
                  </v:shape>
                  <v:rect id="_s123" o:spid="_x0000_s1104" o:spt="1" style="position:absolute;left:7075;top:3962;height:435;width:1280;" filled="f" stroked="t" coordsize="21600,21600">
                    <v:path/>
                    <v:fill on="f" focussize="0,0"/>
                    <v:stroke weight="1.25pt" color="#000000"/>
                    <v:imagedata o:title=""/>
                    <o:lock v:ext="edit"/>
                    <v:textbox>
                      <w:txbxContent>
                        <w:p>
                          <w:pPr>
                            <w:rPr>
                              <w:rFonts w:eastAsia="宋体"/>
                              <w:lang w:val="en-US" w:eastAsia="zh-CN"/>
                            </w:rPr>
                          </w:pPr>
                          <w:r>
                            <w:rPr>
                              <w:rFonts w:hint="eastAsia"/>
                              <w:lang w:val="en-US" w:eastAsia="zh-CN"/>
                            </w:rPr>
                            <w:t>浓水0.12</w:t>
                          </w:r>
                        </w:p>
                      </w:txbxContent>
                    </v:textbox>
                  </v:rect>
                  <v:shape id="_s124" o:spid="_x0000_s1105" o:spt="32" type="#_x0000_t32" style="position:absolute;left:3186;top:4191;flip:y;height:2870;width:20;" filled="f" stroked="t" coordsize="21600,21600">
                    <v:path arrowok="t"/>
                    <v:fill on="f" focussize="0,0"/>
                    <v:stroke weight="1.2pt" color="#000000"/>
                    <v:imagedata o:title=""/>
                    <o:lock v:ext="edit"/>
                  </v:shape>
                  <v:shape id="_s125" o:spid="_x0000_s1106" o:spt="32" type="#_x0000_t32" style="position:absolute;left:3176;top:7061;height:10;width:1860;" filled="f" stroked="t" coordsize="21600,21600">
                    <v:path arrowok="t"/>
                    <v:fill on="f" focussize="0,0"/>
                    <v:stroke weight="1.2pt" color="#000000" endarrow="block"/>
                    <v:imagedata o:title=""/>
                    <o:lock v:ext="edit"/>
                  </v:shape>
                  <v:shape id="_s126" o:spid="_x0000_s1107" o:spt="32" type="#_x0000_t32" style="position:absolute;left:7989;top:5242;height:2;width:607;" filled="f" stroked="t" coordsize="21600,21600">
                    <v:path arrowok="t"/>
                    <v:fill on="f" focussize="0,0"/>
                    <v:stroke weight="1.25pt" color="#000000" endarrow="block"/>
                    <v:imagedata o:title=""/>
                    <o:lock v:ext="edit"/>
                  </v:shape>
                  <v:shape id="_s127" o:spid="_x0000_s1108" o:spt="32" type="#_x0000_t32" style="position:absolute;left:5616;top:4185;flip:y;height:6;width:1450;" filled="f" stroked="t" coordsize="21600,21600">
                    <v:path arrowok="t"/>
                    <v:fill on="f" focussize="0,0"/>
                    <v:stroke weight="1.2pt" color="#000000" endarrow="block"/>
                    <v:imagedata o:title=""/>
                    <o:lock v:ext="edit"/>
                  </v:shape>
                  <v:shape id="_s128" o:spid="_x0000_s1109" o:spt="32" type="#_x0000_t32" style="position:absolute;left:6916;top:2561;height:11;width:3010;" filled="f" stroked="t" coordsize="21600,21600">
                    <v:path arrowok="t"/>
                    <v:fill on="f" focussize="0,0"/>
                    <v:stroke weight="1.2pt" color="#000000"/>
                    <v:imagedata o:title=""/>
                    <o:lock v:ext="edit"/>
                  </v:shape>
                  <v:shape id="_s129" o:spid="_x0000_s1110" o:spt="32" type="#_x0000_t32" style="position:absolute;left:8346;top:4170;flip:y;height:1;width:1590;" filled="f" stroked="t" coordsize="21600,21600">
                    <v:path arrowok="t"/>
                    <v:fill on="f" focussize="0,0"/>
                    <v:stroke weight="1.2pt" color="#000000"/>
                    <v:imagedata o:title=""/>
                    <o:lock v:ext="edit"/>
                  </v:shape>
                  <v:shape id="_s130" o:spid="_x0000_s1111" o:spt="32" type="#_x0000_t32" style="position:absolute;left:9938;top:2534;height:3275;width:8;" filled="f" stroked="t" coordsize="21600,21600">
                    <v:path arrowok="t"/>
                    <v:fill on="f" focussize="0,0"/>
                    <v:stroke weight="1.2pt" color="#000000" endarrow="block"/>
                    <v:imagedata o:title=""/>
                    <o:lock v:ext="edit"/>
                  </v:shape>
                  <v:rect id="_s131" o:spid="_x0000_s1112" o:spt="1" style="position:absolute;left:4177;top:6716;height:419;width:800;" filled="f" stroked="f" coordsize="21600,21600">
                    <v:path/>
                    <v:fill on="f" focussize="0,0"/>
                    <v:stroke on="f" color="#000000"/>
                    <v:imagedata o:title=""/>
                    <o:lock v:ext="edit"/>
                    <v:textbox>
                      <w:txbxContent>
                        <w:p>
                          <w:r>
                            <w:rPr>
                              <w:rFonts w:hint="eastAsia"/>
                            </w:rPr>
                            <w:t>0.01</w:t>
                          </w:r>
                        </w:p>
                      </w:txbxContent>
                    </v:textbox>
                  </v:rect>
                  <w10:wrap type="none"/>
                  <w10:anchorlock/>
                </v:group>
              </w:pict>
            </w:r>
          </w:p>
          <w:p>
            <w:pPr>
              <w:adjustRightInd w:val="0"/>
              <w:snapToGrid w:val="0"/>
              <w:spacing w:line="360" w:lineRule="auto"/>
              <w:ind w:firstLine="422" w:firstLineChars="200"/>
              <w:jc w:val="center"/>
              <w:rPr>
                <w:rFonts w:ascii="Times New Roman" w:hAnsi="Times New Roman" w:cs="Times New Roman"/>
                <w:b/>
                <w:bCs/>
                <w:color w:val="auto"/>
                <w:szCs w:val="21"/>
              </w:rPr>
            </w:pPr>
            <w:r>
              <w:rPr>
                <w:rFonts w:ascii="Times New Roman" w:hAnsi="Times New Roman" w:cs="Times New Roman"/>
                <w:b/>
                <w:bCs/>
                <w:color w:val="auto"/>
                <w:kern w:val="0"/>
                <w:szCs w:val="21"/>
              </w:rPr>
              <w:t>图4-1 项目水平衡图（单位：m</w:t>
            </w:r>
            <w:r>
              <w:rPr>
                <w:rFonts w:ascii="Times New Roman" w:hAnsi="Times New Roman" w:cs="Times New Roman"/>
                <w:b/>
                <w:bCs/>
                <w:color w:val="auto"/>
                <w:kern w:val="0"/>
                <w:szCs w:val="21"/>
                <w:vertAlign w:val="superscript"/>
              </w:rPr>
              <w:t>3</w:t>
            </w:r>
            <w:r>
              <w:rPr>
                <w:rFonts w:ascii="Times New Roman" w:hAnsi="Times New Roman" w:cs="Times New Roman"/>
                <w:b/>
                <w:bCs/>
                <w:color w:val="auto"/>
                <w:kern w:val="0"/>
                <w:szCs w:val="21"/>
              </w:rPr>
              <w:t>/</w:t>
            </w:r>
            <w:r>
              <w:rPr>
                <w:rFonts w:ascii="Times New Roman" w:hAnsi="Times New Roman" w:cs="Times New Roman"/>
                <w:b/>
                <w:bCs/>
                <w:color w:val="auto"/>
                <w:kern w:val="0"/>
                <w:szCs w:val="21"/>
                <w:lang w:val="en-US" w:eastAsia="zh-CN"/>
              </w:rPr>
              <w:t>h</w:t>
            </w:r>
            <w:r>
              <w:rPr>
                <w:rFonts w:ascii="Times New Roman" w:hAnsi="Times New Roman" w:cs="Times New Roman"/>
                <w:b/>
                <w:bCs/>
                <w:color w:val="auto"/>
                <w:kern w:val="0"/>
                <w:szCs w:val="21"/>
              </w:rPr>
              <w:t>）</w:t>
            </w:r>
          </w:p>
          <w:p>
            <w:pPr>
              <w:adjustRightInd w:val="0"/>
              <w:snapToGrid w:val="0"/>
              <w:spacing w:line="360" w:lineRule="auto"/>
              <w:ind w:left="420" w:leftChars="200"/>
              <w:rPr>
                <w:rFonts w:ascii="Times New Roman" w:hAnsi="Times New Roman" w:cs="Times New Roman"/>
                <w:b/>
                <w:color w:val="auto"/>
                <w:sz w:val="24"/>
              </w:rPr>
            </w:pPr>
            <w:r>
              <w:rPr>
                <w:rFonts w:ascii="Times New Roman" w:hAnsi="Times New Roman" w:cs="Times New Roman"/>
                <w:b/>
                <w:color w:val="auto"/>
                <w:sz w:val="24"/>
              </w:rPr>
              <w:t>3、依托可行性分析</w:t>
            </w:r>
          </w:p>
          <w:p>
            <w:pPr>
              <w:pStyle w:val="2"/>
              <w:adjustRightInd w:val="0"/>
              <w:snapToGrid w:val="0"/>
              <w:spacing w:before="0" w:after="0" w:line="360" w:lineRule="auto"/>
              <w:ind w:right="0" w:firstLine="482" w:firstLineChars="200"/>
              <w:rPr>
                <w:rFonts w:ascii="Times New Roman" w:hAnsi="Times New Roman" w:cs="Times New Roman"/>
                <w:color w:val="auto"/>
                <w:kern w:val="2"/>
                <w:sz w:val="24"/>
              </w:rPr>
            </w:pPr>
            <w:r>
              <w:rPr>
                <w:rFonts w:ascii="Times New Roman" w:hAnsi="Times New Roman" w:cs="Times New Roman"/>
                <w:b/>
                <w:bCs/>
                <w:color w:val="auto"/>
                <w:kern w:val="2"/>
                <w:sz w:val="24"/>
              </w:rPr>
              <w:t>（1）现有</w:t>
            </w:r>
            <w:r>
              <w:rPr>
                <w:rFonts w:hint="eastAsia" w:cs="Times New Roman"/>
                <w:b/>
                <w:bCs/>
                <w:color w:val="auto"/>
                <w:kern w:val="2"/>
                <w:sz w:val="24"/>
                <w:lang w:eastAsia="zh-CN"/>
              </w:rPr>
              <w:t>预处理池</w:t>
            </w:r>
            <w:r>
              <w:rPr>
                <w:rFonts w:ascii="Times New Roman" w:hAnsi="Times New Roman" w:cs="Times New Roman"/>
                <w:b/>
                <w:bCs/>
                <w:color w:val="auto"/>
                <w:kern w:val="2"/>
                <w:sz w:val="24"/>
              </w:rPr>
              <w:t>依托可行性</w:t>
            </w:r>
            <w:r>
              <w:rPr>
                <w:rFonts w:ascii="Times New Roman" w:hAnsi="Times New Roman" w:cs="Times New Roman"/>
                <w:color w:val="auto"/>
                <w:kern w:val="2"/>
                <w:sz w:val="24"/>
              </w:rPr>
              <w:t>：</w:t>
            </w:r>
          </w:p>
          <w:p>
            <w:pPr>
              <w:pStyle w:val="2"/>
              <w:adjustRightInd w:val="0"/>
              <w:snapToGrid w:val="0"/>
              <w:spacing w:before="0" w:after="0" w:line="360" w:lineRule="auto"/>
              <w:ind w:right="0" w:firstLine="480" w:firstLineChars="200"/>
              <w:rPr>
                <w:rFonts w:ascii="Times New Roman" w:hAnsi="Times New Roman" w:cs="Times New Roman"/>
                <w:color w:val="auto"/>
                <w:kern w:val="2"/>
                <w:sz w:val="24"/>
              </w:rPr>
            </w:pPr>
            <w:r>
              <w:rPr>
                <w:rFonts w:ascii="Times New Roman" w:hAnsi="Times New Roman" w:cs="Times New Roman"/>
                <w:color w:val="auto"/>
                <w:sz w:val="24"/>
                <w:lang w:eastAsia="zh-CN"/>
              </w:rPr>
              <w:t>四川鸿鹏新材料有限公司</w:t>
            </w:r>
            <w:r>
              <w:rPr>
                <w:rFonts w:ascii="Times New Roman" w:hAnsi="Times New Roman" w:cs="Times New Roman"/>
                <w:color w:val="auto"/>
                <w:kern w:val="2"/>
                <w:sz w:val="24"/>
              </w:rPr>
              <w:t>已设置1座预处理池，容积约</w:t>
            </w:r>
            <w:r>
              <w:rPr>
                <w:rFonts w:hint="eastAsia" w:cs="Times New Roman"/>
                <w:color w:val="auto"/>
                <w:kern w:val="2"/>
                <w:sz w:val="24"/>
                <w:lang w:val="en-US" w:eastAsia="zh-CN"/>
              </w:rPr>
              <w:t>2</w:t>
            </w:r>
            <w:r>
              <w:rPr>
                <w:rFonts w:ascii="Times New Roman" w:hAnsi="Times New Roman" w:cs="Times New Roman"/>
                <w:color w:val="auto"/>
                <w:kern w:val="2"/>
                <w:sz w:val="24"/>
              </w:rPr>
              <w:t>00m</w:t>
            </w:r>
            <w:r>
              <w:rPr>
                <w:rFonts w:ascii="Times New Roman" w:hAnsi="Times New Roman" w:cs="Times New Roman"/>
                <w:color w:val="auto"/>
                <w:kern w:val="2"/>
                <w:sz w:val="24"/>
                <w:vertAlign w:val="superscript"/>
              </w:rPr>
              <w:t>3</w:t>
            </w:r>
            <w:r>
              <w:rPr>
                <w:rFonts w:ascii="Times New Roman" w:hAnsi="Times New Roman" w:cs="Times New Roman"/>
                <w:color w:val="auto"/>
                <w:kern w:val="2"/>
                <w:sz w:val="24"/>
              </w:rPr>
              <w:t>，项目废水经预处理池处理达标后排入</w:t>
            </w:r>
            <w:r>
              <w:rPr>
                <w:rFonts w:ascii="Times New Roman" w:hAnsi="Times New Roman" w:cs="Times New Roman"/>
                <w:color w:val="auto"/>
                <w:kern w:val="2"/>
                <w:sz w:val="24"/>
                <w:lang w:eastAsia="zh-CN"/>
              </w:rPr>
              <w:t>园区污水管网</w:t>
            </w:r>
            <w:r>
              <w:rPr>
                <w:rFonts w:ascii="Times New Roman" w:hAnsi="Times New Roman" w:cs="Times New Roman"/>
                <w:color w:val="auto"/>
                <w:kern w:val="2"/>
                <w:sz w:val="24"/>
              </w:rPr>
              <w:t>，预处理池停留时间为12h，总处理量为</w:t>
            </w:r>
            <w:r>
              <w:rPr>
                <w:rFonts w:ascii="Times New Roman" w:hAnsi="Times New Roman" w:cs="Times New Roman"/>
                <w:color w:val="auto"/>
                <w:kern w:val="2"/>
                <w:sz w:val="24"/>
                <w:lang w:val="en-US" w:eastAsia="zh-CN"/>
              </w:rPr>
              <w:t>2</w:t>
            </w:r>
            <w:r>
              <w:rPr>
                <w:rFonts w:ascii="Times New Roman" w:hAnsi="Times New Roman" w:cs="Times New Roman"/>
                <w:color w:val="auto"/>
                <w:kern w:val="2"/>
                <w:sz w:val="24"/>
              </w:rPr>
              <w:t>00m</w:t>
            </w:r>
            <w:r>
              <w:rPr>
                <w:rFonts w:ascii="Times New Roman" w:hAnsi="Times New Roman" w:cs="Times New Roman"/>
                <w:color w:val="auto"/>
                <w:kern w:val="2"/>
                <w:sz w:val="24"/>
                <w:vertAlign w:val="superscript"/>
              </w:rPr>
              <w:t>3</w:t>
            </w:r>
            <w:r>
              <w:rPr>
                <w:rFonts w:ascii="Times New Roman" w:hAnsi="Times New Roman" w:cs="Times New Roman"/>
                <w:color w:val="auto"/>
                <w:kern w:val="2"/>
                <w:sz w:val="24"/>
              </w:rPr>
              <w:t>/d，</w:t>
            </w:r>
            <w:r>
              <w:rPr>
                <w:rFonts w:ascii="Times New Roman" w:hAnsi="Times New Roman" w:cs="Times New Roman"/>
                <w:color w:val="auto"/>
                <w:kern w:val="2"/>
                <w:sz w:val="24"/>
                <w:lang w:val="en-US" w:eastAsia="zh-CN"/>
              </w:rPr>
              <w:t>目前已使用量为25.6</w:t>
            </w:r>
            <w:r>
              <w:rPr>
                <w:rFonts w:ascii="Times New Roman" w:hAnsi="Times New Roman" w:cs="Times New Roman"/>
                <w:color w:val="auto"/>
                <w:kern w:val="2"/>
                <w:sz w:val="24"/>
              </w:rPr>
              <w:t>m</w:t>
            </w:r>
            <w:r>
              <w:rPr>
                <w:rFonts w:ascii="Times New Roman" w:hAnsi="Times New Roman" w:cs="Times New Roman"/>
                <w:color w:val="auto"/>
                <w:kern w:val="2"/>
                <w:sz w:val="24"/>
                <w:vertAlign w:val="superscript"/>
              </w:rPr>
              <w:t>3</w:t>
            </w:r>
            <w:r>
              <w:rPr>
                <w:rFonts w:ascii="Times New Roman" w:hAnsi="Times New Roman" w:cs="Times New Roman"/>
                <w:color w:val="auto"/>
                <w:kern w:val="2"/>
                <w:sz w:val="24"/>
              </w:rPr>
              <w:t>/d，剩余处理量为</w:t>
            </w:r>
            <w:r>
              <w:rPr>
                <w:rFonts w:ascii="Times New Roman" w:hAnsi="Times New Roman" w:cs="Times New Roman"/>
                <w:color w:val="auto"/>
                <w:kern w:val="2"/>
                <w:sz w:val="24"/>
                <w:lang w:val="en-US" w:eastAsia="zh-CN"/>
              </w:rPr>
              <w:t>174.4</w:t>
            </w:r>
            <w:r>
              <w:rPr>
                <w:rFonts w:ascii="Times New Roman" w:hAnsi="Times New Roman" w:cs="Times New Roman"/>
                <w:color w:val="auto"/>
                <w:kern w:val="2"/>
                <w:sz w:val="24"/>
              </w:rPr>
              <w:t>m</w:t>
            </w:r>
            <w:r>
              <w:rPr>
                <w:rFonts w:ascii="Times New Roman" w:hAnsi="Times New Roman" w:cs="Times New Roman"/>
                <w:color w:val="auto"/>
                <w:kern w:val="2"/>
                <w:sz w:val="24"/>
                <w:vertAlign w:val="superscript"/>
              </w:rPr>
              <w:t>3</w:t>
            </w:r>
            <w:r>
              <w:rPr>
                <w:rFonts w:ascii="Times New Roman" w:hAnsi="Times New Roman" w:cs="Times New Roman"/>
                <w:color w:val="auto"/>
                <w:kern w:val="2"/>
                <w:sz w:val="24"/>
              </w:rPr>
              <w:t>/d，本项目污水排放量约</w:t>
            </w:r>
            <w:r>
              <w:rPr>
                <w:rFonts w:hint="eastAsia" w:cs="Times New Roman"/>
                <w:color w:val="auto"/>
                <w:kern w:val="2"/>
                <w:sz w:val="24"/>
                <w:lang w:val="en-US" w:eastAsia="zh-CN"/>
              </w:rPr>
              <w:t>27.89</w:t>
            </w:r>
            <w:r>
              <w:rPr>
                <w:rFonts w:ascii="Times New Roman" w:hAnsi="Times New Roman" w:cs="Times New Roman"/>
                <w:color w:val="auto"/>
                <w:kern w:val="2"/>
                <w:sz w:val="24"/>
              </w:rPr>
              <w:t>m</w:t>
            </w:r>
            <w:r>
              <w:rPr>
                <w:rFonts w:ascii="Times New Roman" w:hAnsi="Times New Roman" w:cs="Times New Roman"/>
                <w:color w:val="auto"/>
                <w:kern w:val="2"/>
                <w:sz w:val="24"/>
                <w:vertAlign w:val="superscript"/>
              </w:rPr>
              <w:t>3</w:t>
            </w:r>
            <w:r>
              <w:rPr>
                <w:rFonts w:ascii="Times New Roman" w:hAnsi="Times New Roman" w:cs="Times New Roman"/>
                <w:color w:val="auto"/>
                <w:kern w:val="2"/>
                <w:sz w:val="24"/>
              </w:rPr>
              <w:t>/d，该预处理池有足够的剩余能力接纳本项目排放的废水。</w:t>
            </w:r>
          </w:p>
          <w:p>
            <w:pPr>
              <w:pStyle w:val="2"/>
              <w:adjustRightInd w:val="0"/>
              <w:snapToGrid w:val="0"/>
              <w:spacing w:before="0" w:after="0" w:line="360" w:lineRule="auto"/>
              <w:ind w:left="0" w:right="0" w:firstLine="482" w:firstLineChars="200"/>
              <w:rPr>
                <w:rFonts w:ascii="Times New Roman" w:hAnsi="Times New Roman" w:cs="Times New Roman"/>
                <w:b/>
                <w:bCs/>
                <w:color w:val="auto"/>
                <w:kern w:val="2"/>
                <w:sz w:val="24"/>
              </w:rPr>
            </w:pPr>
            <w:r>
              <w:rPr>
                <w:rFonts w:ascii="Times New Roman" w:hAnsi="Times New Roman" w:cs="Times New Roman"/>
                <w:b/>
                <w:bCs/>
                <w:color w:val="auto"/>
                <w:kern w:val="2"/>
                <w:sz w:val="24"/>
                <w:lang w:eastAsia="zh-CN"/>
              </w:rPr>
              <w:t>（</w:t>
            </w:r>
            <w:r>
              <w:rPr>
                <w:rFonts w:ascii="Times New Roman" w:hAnsi="Times New Roman" w:cs="Times New Roman"/>
                <w:b/>
                <w:bCs/>
                <w:color w:val="auto"/>
                <w:kern w:val="2"/>
                <w:sz w:val="24"/>
                <w:lang w:val="en-US" w:eastAsia="zh-CN"/>
              </w:rPr>
              <w:t>2</w:t>
            </w:r>
            <w:r>
              <w:rPr>
                <w:rFonts w:ascii="Times New Roman" w:hAnsi="Times New Roman" w:cs="Times New Roman"/>
                <w:b/>
                <w:bCs/>
                <w:color w:val="auto"/>
                <w:kern w:val="2"/>
                <w:sz w:val="24"/>
                <w:lang w:eastAsia="zh-CN"/>
              </w:rPr>
              <w:t>）</w:t>
            </w:r>
            <w:r>
              <w:rPr>
                <w:rFonts w:hint="eastAsia" w:cs="Times New Roman"/>
                <w:b/>
                <w:bCs/>
                <w:color w:val="auto"/>
                <w:kern w:val="2"/>
                <w:sz w:val="24"/>
                <w:lang w:eastAsia="zh-CN"/>
              </w:rPr>
              <w:t>大英经济开发区污水处理厂</w:t>
            </w:r>
            <w:r>
              <w:rPr>
                <w:rFonts w:ascii="Times New Roman" w:hAnsi="Times New Roman" w:cs="Times New Roman"/>
                <w:b/>
                <w:bCs/>
                <w:color w:val="auto"/>
                <w:kern w:val="2"/>
                <w:sz w:val="24"/>
              </w:rPr>
              <w:t>依托可行性分析</w:t>
            </w:r>
          </w:p>
          <w:p>
            <w:pPr>
              <w:adjustRightInd w:val="0"/>
              <w:snapToGrid w:val="0"/>
              <w:spacing w:line="360" w:lineRule="auto"/>
              <w:ind w:firstLine="480" w:firstLineChars="200"/>
              <w:jc w:val="left"/>
              <w:rPr>
                <w:rFonts w:ascii="Times New Roman" w:hAnsi="Times New Roman" w:cs="Times New Roman"/>
                <w:color w:val="auto"/>
                <w:kern w:val="0"/>
                <w:sz w:val="24"/>
                <w:szCs w:val="20"/>
              </w:rPr>
            </w:pPr>
            <w:r>
              <w:rPr>
                <w:rFonts w:ascii="Times New Roman" w:hAnsi="Times New Roman" w:cs="Times New Roman"/>
                <w:color w:val="auto"/>
                <w:sz w:val="24"/>
                <w:szCs w:val="24"/>
              </w:rPr>
              <w:t>大英工业集中区内现设有完善的排水管网，园区污水处理厂</w:t>
            </w:r>
            <w:r>
              <w:rPr>
                <w:rFonts w:ascii="Times New Roman" w:hAnsi="Times New Roman" w:cs="Times New Roman"/>
                <w:color w:val="auto"/>
                <w:sz w:val="24"/>
                <w:szCs w:val="24"/>
                <w:lang w:val="en-US" w:eastAsia="zh-CN"/>
              </w:rPr>
              <w:t>于</w:t>
            </w:r>
            <w:r>
              <w:rPr>
                <w:rFonts w:ascii="Times New Roman" w:hAnsi="Times New Roman" w:cs="Times New Roman"/>
                <w:color w:val="auto"/>
                <w:sz w:val="24"/>
                <w:szCs w:val="24"/>
              </w:rPr>
              <w:t>2019年6月建设完成并投入运行。园区污水处理厂建设项目总处理规模3万m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/d，废水处理工艺为“收集、预处理+水解酸化+ A</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/O 一体化自回流改良型氧化沟+MBR+中性催化+化学除磷（含高效沉淀池、精密过滤）+垂直潜流人工湿地”组合工艺，处理后达《地表水环境质量标准》（GB3838-2002）中Ⅲ类水体标准（总氮按照《四川省岷江、沱江流域水污染物排放标准》（DB51/2311-2016）“工业园区集中式污水处理厂排放”标准控制），尾水经拟设排口排入郪江。根据大英县工业集中发展区对本项目出具的《关于四川鸿鹏新材料有限公司6万吨/年表面活性剂生产项目的情况说明》可知：</w:t>
            </w:r>
            <w:r>
              <w:rPr>
                <w:rFonts w:ascii="Times New Roman" w:hAnsi="Times New Roman" w:cs="Times New Roman"/>
                <w:bCs/>
                <w:color w:val="auto"/>
                <w:sz w:val="24"/>
                <w:szCs w:val="24"/>
              </w:rPr>
              <w:t>园区污水处理厂建设完成后，项目产生的污水可经污水管网进入污水处理厂进行处理。本项目拟于2019年12月完成建设，届时园区污水处理厂一期项目已投入运行，可接纳本项目产生的生产、生活污水。</w:t>
            </w:r>
          </w:p>
          <w:p>
            <w:pPr>
              <w:adjustRightInd w:val="0"/>
              <w:snapToGrid w:val="0"/>
              <w:spacing w:line="360" w:lineRule="auto"/>
              <w:ind w:left="420" w:leftChars="200"/>
              <w:rPr>
                <w:rFonts w:ascii="Times New Roman" w:hAnsi="Times New Roman" w:cs="Times New Roman"/>
                <w:b/>
                <w:color w:val="auto"/>
                <w:sz w:val="24"/>
              </w:rPr>
            </w:pPr>
            <w:r>
              <w:rPr>
                <w:rFonts w:ascii="Times New Roman" w:hAnsi="Times New Roman" w:cs="Times New Roman"/>
                <w:b/>
                <w:color w:val="auto"/>
                <w:sz w:val="24"/>
              </w:rPr>
              <w:t>4、废水环境监测计划</w:t>
            </w:r>
          </w:p>
          <w:p>
            <w:pPr>
              <w:pStyle w:val="2"/>
              <w:adjustRightInd w:val="0"/>
              <w:snapToGrid w:val="0"/>
              <w:spacing w:before="0" w:after="0" w:line="360" w:lineRule="auto"/>
              <w:ind w:left="420" w:leftChars="200" w:right="0"/>
              <w:rPr>
                <w:rFonts w:ascii="Times New Roman" w:hAnsi="Times New Roman" w:cs="Times New Roman"/>
                <w:color w:val="auto"/>
                <w:sz w:val="24"/>
                <w:szCs w:val="24"/>
              </w:rPr>
            </w:pPr>
            <w:r>
              <w:rPr>
                <w:rFonts w:ascii="Times New Roman" w:hAnsi="Times New Roman" w:cs="Times New Roman"/>
                <w:color w:val="auto"/>
                <w:sz w:val="24"/>
                <w:szCs w:val="24"/>
              </w:rPr>
              <w:t>本项目废水环境监测计划如下表所示。</w:t>
            </w:r>
          </w:p>
          <w:p>
            <w:pPr>
              <w:pStyle w:val="2"/>
              <w:adjustRightInd w:val="0"/>
              <w:snapToGrid w:val="0"/>
              <w:spacing w:before="0" w:after="0" w:line="240" w:lineRule="auto"/>
              <w:ind w:left="420" w:leftChars="200"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eastAsia" w:cs="Times New Roman"/>
                <w:b/>
                <w:bCs/>
                <w:color w:val="auto"/>
                <w:sz w:val="21"/>
                <w:szCs w:val="21"/>
                <w:lang w:val="en-US" w:eastAsia="zh-CN"/>
              </w:rPr>
              <w:t>4</w:t>
            </w:r>
            <w:r>
              <w:rPr>
                <w:rFonts w:ascii="Times New Roman" w:hAnsi="Times New Roman" w:cs="Times New Roman"/>
                <w:b/>
                <w:bCs/>
                <w:color w:val="auto"/>
                <w:sz w:val="21"/>
                <w:szCs w:val="21"/>
              </w:rPr>
              <w:t xml:space="preserve"> 废水环境监测计划</w:t>
            </w:r>
          </w:p>
          <w:tbl>
            <w:tblPr>
              <w:tblStyle w:val="25"/>
              <w:tblW w:w="851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529"/>
              <w:gridCol w:w="3706"/>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类别</w:t>
                  </w:r>
                </w:p>
              </w:tc>
              <w:tc>
                <w:tcPr>
                  <w:tcW w:w="1529"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监测位置</w:t>
                  </w:r>
                </w:p>
              </w:tc>
              <w:tc>
                <w:tcPr>
                  <w:tcW w:w="3706"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监测项目</w:t>
                  </w:r>
                </w:p>
              </w:tc>
              <w:tc>
                <w:tcPr>
                  <w:tcW w:w="1832" w:type="dxa"/>
                  <w:tcBorders>
                    <w:tl2br w:val="nil"/>
                    <w:tr2bl w:val="nil"/>
                  </w:tcBorders>
                </w:tcPr>
                <w:p>
                  <w:pPr>
                    <w:widowControl/>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5" w:type="dxa"/>
                  <w:tcBorders>
                    <w:tl2br w:val="nil"/>
                    <w:tr2bl w:val="nil"/>
                  </w:tcBorders>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综合废水</w:t>
                  </w:r>
                </w:p>
              </w:tc>
              <w:tc>
                <w:tcPr>
                  <w:tcW w:w="1529" w:type="dxa"/>
                  <w:tcBorders>
                    <w:tl2br w:val="nil"/>
                    <w:tr2bl w:val="nil"/>
                  </w:tcBorders>
                  <w:vAlign w:val="center"/>
                </w:tcPr>
                <w:p>
                  <w:pPr>
                    <w:widowControl/>
                    <w:jc w:val="center"/>
                    <w:textAlignment w:val="center"/>
                    <w:rPr>
                      <w:rFonts w:ascii="Times New Roman" w:hAnsi="Times New Roman" w:cs="Times New Roman"/>
                      <w:color w:val="auto"/>
                      <w:kern w:val="0"/>
                      <w:szCs w:val="21"/>
                    </w:rPr>
                  </w:pPr>
                  <w:r>
                    <w:rPr>
                      <w:rFonts w:hint="eastAsia" w:cs="Times New Roman"/>
                      <w:color w:val="auto"/>
                      <w:kern w:val="0"/>
                      <w:szCs w:val="21"/>
                      <w:lang w:val="en-US" w:eastAsia="zh-CN"/>
                    </w:rPr>
                    <w:t>预处理池</w:t>
                  </w:r>
                  <w:r>
                    <w:rPr>
                      <w:rFonts w:ascii="Times New Roman" w:hAnsi="Times New Roman" w:cs="Times New Roman"/>
                      <w:color w:val="auto"/>
                      <w:kern w:val="0"/>
                      <w:szCs w:val="21"/>
                    </w:rPr>
                    <w:t>排口</w:t>
                  </w:r>
                </w:p>
              </w:tc>
              <w:tc>
                <w:tcPr>
                  <w:tcW w:w="3706" w:type="dxa"/>
                  <w:tcBorders>
                    <w:tl2br w:val="nil"/>
                    <w:tr2bl w:val="nil"/>
                  </w:tcBorders>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pH、COD、BOD</w:t>
                  </w:r>
                  <w:r>
                    <w:rPr>
                      <w:rFonts w:ascii="Times New Roman" w:hAnsi="Times New Roman" w:cs="Times New Roman"/>
                      <w:color w:val="auto"/>
                      <w:kern w:val="0"/>
                      <w:szCs w:val="21"/>
                      <w:vertAlign w:val="subscript"/>
                    </w:rPr>
                    <w:t>5</w:t>
                  </w:r>
                  <w:r>
                    <w:rPr>
                      <w:rFonts w:ascii="Times New Roman" w:hAnsi="Times New Roman" w:cs="Times New Roman"/>
                      <w:color w:val="auto"/>
                      <w:kern w:val="0"/>
                      <w:szCs w:val="21"/>
                    </w:rPr>
                    <w:t>、SS、NH</w:t>
                  </w:r>
                  <w:r>
                    <w:rPr>
                      <w:rFonts w:ascii="Times New Roman" w:hAnsi="Times New Roman" w:cs="Times New Roman"/>
                      <w:color w:val="auto"/>
                      <w:kern w:val="0"/>
                      <w:szCs w:val="21"/>
                      <w:vertAlign w:val="subscript"/>
                    </w:rPr>
                    <w:t>3</w:t>
                  </w:r>
                  <w:r>
                    <w:rPr>
                      <w:rFonts w:ascii="Times New Roman" w:hAnsi="Times New Roman" w:cs="Times New Roman"/>
                      <w:color w:val="auto"/>
                      <w:kern w:val="0"/>
                      <w:szCs w:val="21"/>
                    </w:rPr>
                    <w:t>-N、TP、LAS、石油类、溶解性总固体（全盐量）</w:t>
                  </w:r>
                </w:p>
              </w:tc>
              <w:tc>
                <w:tcPr>
                  <w:tcW w:w="1832" w:type="dxa"/>
                  <w:tcBorders>
                    <w:tl2br w:val="nil"/>
                    <w:tr2bl w:val="nil"/>
                  </w:tcBorders>
                  <w:vAlign w:val="center"/>
                </w:tcPr>
                <w:p>
                  <w:pPr>
                    <w:widowControl/>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1季度/年</w:t>
                  </w:r>
                </w:p>
              </w:tc>
            </w:tr>
          </w:tbl>
          <w:p>
            <w:pPr>
              <w:adjustRightInd w:val="0"/>
              <w:snapToGrid w:val="0"/>
              <w:spacing w:before="120" w:beforeLines="50" w:line="360" w:lineRule="auto"/>
              <w:ind w:firstLine="482" w:firstLineChars="200"/>
              <w:rPr>
                <w:rFonts w:ascii="Times New Roman" w:hAnsi="Times New Roman" w:cs="Times New Roman"/>
                <w:b/>
                <w:color w:val="auto"/>
                <w:sz w:val="24"/>
                <w:szCs w:val="28"/>
              </w:rPr>
            </w:pPr>
            <w:r>
              <w:rPr>
                <w:rFonts w:ascii="Times New Roman" w:hAnsi="Times New Roman" w:cs="Times New Roman"/>
                <w:b/>
                <w:color w:val="auto"/>
                <w:sz w:val="24"/>
                <w:szCs w:val="28"/>
              </w:rPr>
              <w:t>1.3</w:t>
            </w:r>
            <w:r>
              <w:rPr>
                <w:rFonts w:ascii="Times New Roman" w:hAnsi="Times New Roman" w:cs="Times New Roman"/>
                <w:b/>
                <w:color w:val="auto"/>
                <w:sz w:val="24"/>
              </w:rPr>
              <w:t>营运</w:t>
            </w:r>
            <w:r>
              <w:rPr>
                <w:rFonts w:ascii="Times New Roman" w:hAnsi="Times New Roman" w:cs="Times New Roman"/>
                <w:b/>
                <w:color w:val="auto"/>
                <w:sz w:val="24"/>
                <w:szCs w:val="28"/>
              </w:rPr>
              <w:t>期噪声影响分析</w:t>
            </w:r>
          </w:p>
          <w:p>
            <w:pPr>
              <w:pStyle w:val="2"/>
              <w:adjustRightInd w:val="0"/>
              <w:snapToGrid w:val="0"/>
              <w:spacing w:before="0" w:after="0" w:line="360" w:lineRule="auto"/>
              <w:ind w:left="420" w:leftChars="200" w:right="0"/>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lang w:val="en-US" w:eastAsia="zh-CN"/>
              </w:rPr>
              <w:t>1</w:t>
            </w:r>
            <w:r>
              <w:rPr>
                <w:rFonts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rPr>
              <w:t xml:space="preserve">噪声源强 </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ascii="Times New Roman" w:hAnsi="Times New Roman" w:cs="Times New Roman"/>
                <w:color w:val="auto"/>
                <w:kern w:val="2"/>
                <w:sz w:val="24"/>
              </w:rPr>
              <w:t>本项目噪声主要来源为锅炉、水泵、燃烧风机等设备运转产生的噪声。根据类比分析，项目噪声声源强度范围为78~90dB</w:t>
            </w:r>
            <w:r>
              <w:rPr>
                <w:rFonts w:hint="eastAsia" w:cs="Times New Roman"/>
                <w:color w:val="auto"/>
                <w:kern w:val="2"/>
                <w:sz w:val="24"/>
                <w:lang w:eastAsia="zh-CN"/>
              </w:rPr>
              <w:t>（</w:t>
            </w:r>
            <w:r>
              <w:rPr>
                <w:rFonts w:ascii="Times New Roman" w:hAnsi="Times New Roman" w:cs="Times New Roman"/>
                <w:color w:val="auto"/>
                <w:kern w:val="2"/>
                <w:sz w:val="24"/>
              </w:rPr>
              <w:t>A</w:t>
            </w:r>
            <w:r>
              <w:rPr>
                <w:rFonts w:hint="eastAsia" w:cs="Times New Roman"/>
                <w:color w:val="auto"/>
                <w:kern w:val="2"/>
                <w:sz w:val="24"/>
                <w:lang w:eastAsia="zh-CN"/>
              </w:rPr>
              <w:t>）</w:t>
            </w:r>
            <w:r>
              <w:rPr>
                <w:rFonts w:ascii="Times New Roman" w:hAnsi="Times New Roman" w:eastAsia="宋体" w:cs="Times New Roman"/>
                <w:color w:val="auto"/>
                <w:sz w:val="24"/>
                <w:szCs w:val="24"/>
              </w:rPr>
              <w:t>，项目噪声设备分布及源强统计见下表4-</w:t>
            </w:r>
            <w:r>
              <w:rPr>
                <w:rFonts w:hint="eastAsia" w:cs="Times New Roman"/>
                <w:color w:val="auto"/>
                <w:sz w:val="24"/>
                <w:szCs w:val="24"/>
                <w:lang w:val="en-US" w:eastAsia="zh-CN"/>
              </w:rPr>
              <w:t>5</w:t>
            </w:r>
          </w:p>
          <w:p>
            <w:pPr>
              <w:keepNext w:val="0"/>
              <w:keepLines w:val="0"/>
              <w:pageBreakBefore w:val="0"/>
              <w:widowControl w:val="0"/>
              <w:kinsoku/>
              <w:wordWrap/>
              <w:overflowPunct/>
              <w:topLinePunct w:val="0"/>
              <w:autoSpaceDE/>
              <w:autoSpaceDN/>
              <w:bidi w:val="0"/>
              <w:adjustRightInd/>
              <w:ind w:left="0" w:right="0" w:firstLine="0"/>
              <w:jc w:val="center"/>
              <w:rPr>
                <w:rFonts w:ascii="Times New Roman" w:hAnsi="Times New Roman" w:eastAsia="宋体" w:cs="Times New Roman"/>
                <w:b/>
                <w:bCs w:val="0"/>
                <w:color w:val="auto"/>
                <w:sz w:val="21"/>
                <w:szCs w:val="21"/>
                <w:highlight w:val="none"/>
                <w:u w:val="none"/>
              </w:rPr>
            </w:pPr>
            <w:r>
              <w:rPr>
                <w:rFonts w:ascii="Times New Roman" w:hAnsi="Times New Roman" w:eastAsia="宋体" w:cs="Times New Roman"/>
                <w:b/>
                <w:bCs w:val="0"/>
                <w:color w:val="auto"/>
                <w:sz w:val="21"/>
                <w:szCs w:val="21"/>
                <w:highlight w:val="none"/>
                <w:u w:val="none"/>
              </w:rPr>
              <w:t>表4-</w:t>
            </w:r>
            <w:r>
              <w:rPr>
                <w:rFonts w:hint="eastAsia" w:cs="Times New Roman"/>
                <w:b/>
                <w:bCs w:val="0"/>
                <w:color w:val="auto"/>
                <w:sz w:val="21"/>
                <w:szCs w:val="21"/>
                <w:highlight w:val="none"/>
                <w:u w:val="none"/>
                <w:lang w:val="en-US" w:eastAsia="zh-CN"/>
              </w:rPr>
              <w:t>5</w:t>
            </w:r>
            <w:r>
              <w:rPr>
                <w:rFonts w:ascii="Times New Roman" w:hAnsi="Times New Roman" w:eastAsia="宋体" w:cs="Times New Roman"/>
                <w:b/>
                <w:bCs w:val="0"/>
                <w:color w:val="auto"/>
                <w:sz w:val="21"/>
                <w:szCs w:val="21"/>
                <w:highlight w:val="none"/>
                <w:u w:val="none"/>
              </w:rPr>
              <w:t>工业企业噪声源强调查清单（室内声源）</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625"/>
              <w:gridCol w:w="878"/>
              <w:gridCol w:w="421"/>
              <w:gridCol w:w="771"/>
              <w:gridCol w:w="958"/>
              <w:gridCol w:w="415"/>
              <w:gridCol w:w="415"/>
              <w:gridCol w:w="336"/>
              <w:gridCol w:w="840"/>
              <w:gridCol w:w="843"/>
              <w:gridCol w:w="577"/>
              <w:gridCol w:w="4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序号</w:t>
                  </w:r>
                </w:p>
              </w:tc>
              <w:tc>
                <w:tcPr>
                  <w:tcW w:w="392"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建筑物名称</w:t>
                  </w:r>
                </w:p>
              </w:tc>
              <w:tc>
                <w:tcPr>
                  <w:tcW w:w="551"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声源名称</w:t>
                  </w:r>
                </w:p>
              </w:tc>
              <w:tc>
                <w:tcPr>
                  <w:tcW w:w="264"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型号</w:t>
                  </w:r>
                </w:p>
              </w:tc>
              <w:tc>
                <w:tcPr>
                  <w:tcW w:w="484"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声功率级</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dB（A）</w:t>
                  </w:r>
                </w:p>
              </w:tc>
              <w:tc>
                <w:tcPr>
                  <w:tcW w:w="601"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声源控制措施</w:t>
                  </w:r>
                </w:p>
              </w:tc>
              <w:tc>
                <w:tcPr>
                  <w:tcW w:w="731" w:type="pct"/>
                  <w:gridSpan w:val="3"/>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空间相对位置</w:t>
                  </w:r>
                </w:p>
              </w:tc>
              <w:tc>
                <w:tcPr>
                  <w:tcW w:w="527"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室内边界声级/dB（A）</w:t>
                  </w:r>
                </w:p>
              </w:tc>
              <w:tc>
                <w:tcPr>
                  <w:tcW w:w="529"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建筑插入损失/ dB（A）</w:t>
                  </w:r>
                </w:p>
              </w:tc>
              <w:tc>
                <w:tcPr>
                  <w:tcW w:w="655" w:type="pct"/>
                  <w:gridSpan w:val="2"/>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262" w:type="pct"/>
                  <w:vMerge w:val="continue"/>
                  <w:tcBorders>
                    <w:tl2br w:val="nil"/>
                    <w:tr2bl w:val="nil"/>
                  </w:tcBorders>
                  <w:noWrap/>
                  <w:vAlign w:val="center"/>
                </w:tcPr>
                <w:p/>
              </w:tc>
              <w:tc>
                <w:tcPr>
                  <w:tcW w:w="392" w:type="pct"/>
                  <w:vMerge w:val="continue"/>
                  <w:tcBorders>
                    <w:tl2br w:val="nil"/>
                    <w:tr2bl w:val="nil"/>
                  </w:tcBorders>
                  <w:noWrap/>
                  <w:vAlign w:val="center"/>
                </w:tcPr>
                <w:p/>
              </w:tc>
              <w:tc>
                <w:tcPr>
                  <w:tcW w:w="551" w:type="pct"/>
                  <w:vMerge w:val="continue"/>
                  <w:tcBorders>
                    <w:tl2br w:val="nil"/>
                    <w:tr2bl w:val="nil"/>
                  </w:tcBorders>
                  <w:noWrap/>
                  <w:vAlign w:val="center"/>
                </w:tcPr>
                <w:p/>
              </w:tc>
              <w:tc>
                <w:tcPr>
                  <w:tcW w:w="264" w:type="pct"/>
                  <w:vMerge w:val="continue"/>
                  <w:tcBorders>
                    <w:tl2br w:val="nil"/>
                    <w:tr2bl w:val="nil"/>
                  </w:tcBorders>
                  <w:noWrap/>
                  <w:vAlign w:val="center"/>
                </w:tcPr>
                <w:p/>
              </w:tc>
              <w:tc>
                <w:tcPr>
                  <w:tcW w:w="484" w:type="pct"/>
                  <w:vMerge w:val="continue"/>
                  <w:tcBorders>
                    <w:tl2br w:val="nil"/>
                    <w:tr2bl w:val="nil"/>
                  </w:tcBorders>
                  <w:noWrap/>
                  <w:vAlign w:val="center"/>
                </w:tcPr>
                <w:p/>
              </w:tc>
              <w:tc>
                <w:tcPr>
                  <w:tcW w:w="601" w:type="pct"/>
                  <w:vMerge w:val="continue"/>
                  <w:tcBorders>
                    <w:tl2br w:val="nil"/>
                    <w:tr2bl w:val="nil"/>
                  </w:tcBorders>
                  <w:noWrap/>
                  <w:vAlign w:val="center"/>
                </w:tcP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X</w:t>
                  </w: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Y</w:t>
                  </w:r>
                </w:p>
              </w:tc>
              <w:tc>
                <w:tcPr>
                  <w:tcW w:w="211"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Z</w:t>
                  </w:r>
                </w:p>
              </w:tc>
              <w:tc>
                <w:tcPr>
                  <w:tcW w:w="527" w:type="pct"/>
                  <w:vMerge w:val="continue"/>
                  <w:tcBorders>
                    <w:tl2br w:val="nil"/>
                    <w:tr2bl w:val="nil"/>
                  </w:tcBorders>
                  <w:noWrap/>
                  <w:vAlign w:val="center"/>
                </w:tcPr>
                <w:p/>
              </w:tc>
              <w:tc>
                <w:tcPr>
                  <w:tcW w:w="529" w:type="pct"/>
                  <w:vMerge w:val="continue"/>
                  <w:tcBorders>
                    <w:tl2br w:val="nil"/>
                    <w:tr2bl w:val="nil"/>
                  </w:tcBorders>
                  <w:noWrap/>
                  <w:vAlign w:val="center"/>
                </w:tcPr>
                <w:p/>
              </w:tc>
              <w:tc>
                <w:tcPr>
                  <w:tcW w:w="362"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声压级</w:t>
                  </w:r>
                </w:p>
              </w:tc>
              <w:tc>
                <w:tcPr>
                  <w:tcW w:w="293"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tcBorders>
                    <w:tl2br w:val="nil"/>
                    <w:tr2bl w:val="nil"/>
                  </w:tcBorders>
                  <w:noWrap/>
                  <w:vAlign w:val="center"/>
                </w:tcPr>
                <w:p>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p>
              </w:tc>
              <w:tc>
                <w:tcPr>
                  <w:tcW w:w="392"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锅炉房</w:t>
                  </w:r>
                </w:p>
              </w:tc>
              <w:tc>
                <w:tcPr>
                  <w:tcW w:w="551" w:type="pct"/>
                  <w:tcBorders>
                    <w:tl2br w:val="nil"/>
                    <w:tr2bl w:val="nil"/>
                  </w:tcBorders>
                  <w:noWrap/>
                  <w:vAlign w:val="center"/>
                </w:tcPr>
                <w:p>
                  <w:pPr>
                    <w:widowControl/>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Cs w:val="21"/>
                    </w:rPr>
                    <w:t>锅炉</w:t>
                  </w:r>
                </w:p>
              </w:tc>
              <w:tc>
                <w:tcPr>
                  <w:tcW w:w="264"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84"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75</w:t>
                  </w:r>
                </w:p>
              </w:tc>
              <w:tc>
                <w:tcPr>
                  <w:tcW w:w="601" w:type="pct"/>
                  <w:vMerge w:val="restar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eastAsia="zh-CN"/>
                    </w:rPr>
                  </w:pPr>
                  <w:r>
                    <w:rPr>
                      <w:rFonts w:ascii="Times New Roman" w:hAnsi="Times New Roman" w:eastAsia="宋体" w:cs="Times New Roman"/>
                      <w:color w:val="auto"/>
                      <w:sz w:val="21"/>
                      <w:szCs w:val="21"/>
                      <w:highlight w:val="none"/>
                      <w:u w:val="none"/>
                    </w:rPr>
                    <w:t>厂房隔声、、合理布置、距离衰减</w:t>
                  </w:r>
                  <w:r>
                    <w:rPr>
                      <w:rFonts w:ascii="Times New Roman" w:hAnsi="Times New Roman" w:eastAsia="宋体" w:cs="Times New Roman"/>
                      <w:color w:val="auto"/>
                      <w:sz w:val="21"/>
                      <w:szCs w:val="21"/>
                      <w:highlight w:val="none"/>
                      <w:u w:val="none"/>
                      <w:lang w:eastAsia="zh-CN"/>
                    </w:rPr>
                    <w:t>、</w:t>
                  </w:r>
                  <w:r>
                    <w:rPr>
                      <w:rFonts w:ascii="Times New Roman" w:hAnsi="Times New Roman" w:eastAsia="宋体" w:cs="Times New Roman"/>
                      <w:color w:val="auto"/>
                      <w:sz w:val="21"/>
                      <w:szCs w:val="21"/>
                      <w:highlight w:val="none"/>
                      <w:u w:val="none"/>
                      <w:lang w:val="en-US" w:eastAsia="zh-CN"/>
                    </w:rPr>
                    <w:t>风机</w:t>
                  </w:r>
                  <w:r>
                    <w:rPr>
                      <w:rFonts w:ascii="Times New Roman" w:hAnsi="Times New Roman" w:eastAsia="宋体" w:cs="Times New Roman"/>
                      <w:color w:val="auto"/>
                      <w:sz w:val="21"/>
                      <w:szCs w:val="21"/>
                      <w:highlight w:val="none"/>
                      <w:u w:val="none"/>
                      <w:lang w:eastAsia="zh-CN"/>
                    </w:rPr>
                    <w:t>进风口设消声器，通过距离衰减距离衰减隔声降噪</w:t>
                  </w: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63</w:t>
                  </w: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35</w:t>
                  </w:r>
                </w:p>
              </w:tc>
              <w:tc>
                <w:tcPr>
                  <w:tcW w:w="2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1</w:t>
                  </w:r>
                </w:p>
              </w:tc>
              <w:tc>
                <w:tcPr>
                  <w:tcW w:w="527"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63.0</w:t>
                  </w:r>
                </w:p>
              </w:tc>
              <w:tc>
                <w:tcPr>
                  <w:tcW w:w="529"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36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i w:val="0"/>
                      <w:iCs w:val="0"/>
                      <w:color w:val="auto"/>
                      <w:kern w:val="0"/>
                      <w:sz w:val="21"/>
                      <w:szCs w:val="21"/>
                      <w:highlight w:val="none"/>
                      <w:u w:val="none"/>
                      <w:lang w:val="en-US" w:eastAsia="zh-CN"/>
                    </w:rPr>
                    <w:t>57</w:t>
                  </w:r>
                </w:p>
              </w:tc>
              <w:tc>
                <w:tcPr>
                  <w:tcW w:w="29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eastAsia="zh-CN"/>
                    </w:rPr>
                  </w:pPr>
                  <w:r>
                    <w:rPr>
                      <w:rFonts w:ascii="Times New Roman" w:hAnsi="Times New Roman" w:eastAsia="宋体" w:cs="Times New Roman"/>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tcBorders>
                    <w:tl2br w:val="nil"/>
                    <w:tr2bl w:val="nil"/>
                  </w:tcBorders>
                  <w:noWrap/>
                  <w:vAlign w:val="center"/>
                </w:tcPr>
                <w:p>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p>
              </w:tc>
              <w:tc>
                <w:tcPr>
                  <w:tcW w:w="392" w:type="pct"/>
                  <w:vMerge w:val="continue"/>
                  <w:tcBorders>
                    <w:tl2br w:val="nil"/>
                    <w:tr2bl w:val="nil"/>
                  </w:tcBorders>
                  <w:noWrap/>
                  <w:vAlign w:val="center"/>
                </w:tcPr>
                <w:p/>
              </w:tc>
              <w:tc>
                <w:tcPr>
                  <w:tcW w:w="551" w:type="pct"/>
                  <w:tcBorders>
                    <w:tl2br w:val="nil"/>
                    <w:tr2bl w:val="nil"/>
                  </w:tcBorders>
                  <w:noWrap/>
                  <w:vAlign w:val="center"/>
                </w:tcPr>
                <w:p>
                  <w:pPr>
                    <w:widowControl/>
                    <w:jc w:val="center"/>
                    <w:textAlignment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kern w:val="0"/>
                      <w:szCs w:val="21"/>
                    </w:rPr>
                    <w:t>水泵</w:t>
                  </w:r>
                </w:p>
              </w:tc>
              <w:tc>
                <w:tcPr>
                  <w:tcW w:w="264"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8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lang w:val="en-US" w:eastAsia="zh-CN"/>
                    </w:rPr>
                    <w:t>75</w:t>
                  </w:r>
                </w:p>
              </w:tc>
              <w:tc>
                <w:tcPr>
                  <w:tcW w:w="601" w:type="pct"/>
                  <w:vMerge w:val="continue"/>
                  <w:tcBorders>
                    <w:tl2br w:val="nil"/>
                    <w:tr2bl w:val="nil"/>
                  </w:tcBorders>
                  <w:noWrap/>
                  <w:vAlign w:val="center"/>
                </w:tcP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65</w:t>
                  </w: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28</w:t>
                  </w:r>
                </w:p>
              </w:tc>
              <w:tc>
                <w:tcPr>
                  <w:tcW w:w="2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1</w:t>
                  </w:r>
                </w:p>
              </w:tc>
              <w:tc>
                <w:tcPr>
                  <w:tcW w:w="527"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63.0</w:t>
                  </w:r>
                </w:p>
              </w:tc>
              <w:tc>
                <w:tcPr>
                  <w:tcW w:w="529"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36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i w:val="0"/>
                      <w:iCs w:val="0"/>
                      <w:color w:val="auto"/>
                      <w:kern w:val="0"/>
                      <w:sz w:val="21"/>
                      <w:szCs w:val="21"/>
                      <w:highlight w:val="none"/>
                      <w:u w:val="none"/>
                      <w:lang w:val="en-US" w:eastAsia="zh-CN"/>
                    </w:rPr>
                    <w:t>57</w:t>
                  </w:r>
                </w:p>
              </w:tc>
              <w:tc>
                <w:tcPr>
                  <w:tcW w:w="29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tcBorders>
                    <w:tl2br w:val="nil"/>
                    <w:tr2bl w:val="nil"/>
                  </w:tcBorders>
                  <w:noWrap/>
                  <w:vAlign w:val="center"/>
                </w:tcPr>
                <w:p>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p>
              </w:tc>
              <w:tc>
                <w:tcPr>
                  <w:tcW w:w="392" w:type="pct"/>
                  <w:vMerge w:val="continue"/>
                  <w:tcBorders>
                    <w:tl2br w:val="nil"/>
                    <w:tr2bl w:val="nil"/>
                  </w:tcBorders>
                  <w:noWrap/>
                  <w:vAlign w:val="center"/>
                </w:tcPr>
                <w:p/>
              </w:tc>
              <w:tc>
                <w:tcPr>
                  <w:tcW w:w="551" w:type="pct"/>
                  <w:tcBorders>
                    <w:tl2br w:val="nil"/>
                    <w:tr2bl w:val="nil"/>
                  </w:tcBorders>
                  <w:noWrap/>
                  <w:vAlign w:val="center"/>
                </w:tcPr>
                <w:p>
                  <w:pPr>
                    <w:widowControl/>
                    <w:jc w:val="center"/>
                    <w:textAlignment w:val="center"/>
                    <w:rPr>
                      <w:rFonts w:ascii="Times New Roman" w:hAnsi="Times New Roman" w:eastAsia="宋体" w:cs="Times New Roman"/>
                      <w:color w:val="auto"/>
                      <w:kern w:val="0"/>
                      <w:szCs w:val="21"/>
                      <w:lang w:val="en-US" w:eastAsia="zh-CN"/>
                    </w:rPr>
                  </w:pPr>
                  <w:r>
                    <w:rPr>
                      <w:rFonts w:ascii="Times New Roman" w:hAnsi="Times New Roman" w:cs="Times New Roman"/>
                      <w:color w:val="auto"/>
                      <w:kern w:val="0"/>
                      <w:szCs w:val="21"/>
                      <w:lang w:val="en-US" w:eastAsia="zh-CN"/>
                    </w:rPr>
                    <w:t>汽化炉</w:t>
                  </w:r>
                </w:p>
              </w:tc>
              <w:tc>
                <w:tcPr>
                  <w:tcW w:w="264"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p>
              </w:tc>
              <w:tc>
                <w:tcPr>
                  <w:tcW w:w="48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75</w:t>
                  </w:r>
                </w:p>
              </w:tc>
              <w:tc>
                <w:tcPr>
                  <w:tcW w:w="601" w:type="pct"/>
                  <w:vMerge w:val="continue"/>
                  <w:tcBorders>
                    <w:tl2br w:val="nil"/>
                    <w:tr2bl w:val="nil"/>
                  </w:tcBorders>
                  <w:noWrap/>
                  <w:vAlign w:val="center"/>
                </w:tcP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kern w:val="0"/>
                      <w:sz w:val="21"/>
                      <w:szCs w:val="21"/>
                      <w:highlight w:val="none"/>
                      <w:u w:val="none"/>
                      <w:lang w:val="en-US" w:eastAsia="zh-CN" w:bidi="ar-SA"/>
                    </w:rPr>
                  </w:pPr>
                  <w:r>
                    <w:rPr>
                      <w:rFonts w:ascii="Times New Roman" w:hAnsi="Times New Roman" w:cs="Times New Roman"/>
                      <w:color w:val="auto"/>
                      <w:kern w:val="0"/>
                      <w:sz w:val="21"/>
                      <w:szCs w:val="21"/>
                      <w:highlight w:val="none"/>
                      <w:u w:val="none"/>
                      <w:lang w:val="en-US" w:eastAsia="zh-CN" w:bidi="ar-SA"/>
                    </w:rPr>
                    <w:t>30</w:t>
                  </w: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kern w:val="0"/>
                      <w:sz w:val="21"/>
                      <w:szCs w:val="21"/>
                      <w:highlight w:val="none"/>
                      <w:u w:val="none"/>
                      <w:lang w:val="en-US" w:eastAsia="zh-CN" w:bidi="ar-SA"/>
                    </w:rPr>
                  </w:pPr>
                  <w:r>
                    <w:rPr>
                      <w:rFonts w:ascii="Times New Roman" w:hAnsi="Times New Roman" w:cs="Times New Roman"/>
                      <w:color w:val="auto"/>
                      <w:kern w:val="0"/>
                      <w:sz w:val="21"/>
                      <w:szCs w:val="21"/>
                      <w:highlight w:val="none"/>
                      <w:u w:val="none"/>
                      <w:lang w:val="en-US" w:eastAsia="zh-CN" w:bidi="ar-SA"/>
                    </w:rPr>
                    <w:t>33</w:t>
                  </w:r>
                </w:p>
              </w:tc>
              <w:tc>
                <w:tcPr>
                  <w:tcW w:w="2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1</w:t>
                  </w:r>
                </w:p>
              </w:tc>
              <w:tc>
                <w:tcPr>
                  <w:tcW w:w="527"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63.0</w:t>
                  </w:r>
                </w:p>
              </w:tc>
              <w:tc>
                <w:tcPr>
                  <w:tcW w:w="529"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6</w:t>
                  </w:r>
                </w:p>
              </w:tc>
              <w:tc>
                <w:tcPr>
                  <w:tcW w:w="36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eastAsia="宋体" w:cs="Times New Roman"/>
                      <w:i w:val="0"/>
                      <w:iCs w:val="0"/>
                      <w:color w:val="auto"/>
                      <w:kern w:val="0"/>
                      <w:sz w:val="21"/>
                      <w:szCs w:val="21"/>
                      <w:highlight w:val="none"/>
                      <w:u w:val="none"/>
                      <w:lang w:val="en-US" w:eastAsia="zh-CN"/>
                    </w:rPr>
                  </w:pPr>
                  <w:r>
                    <w:rPr>
                      <w:rFonts w:ascii="Times New Roman" w:hAnsi="Times New Roman" w:eastAsia="宋体" w:cs="Times New Roman"/>
                      <w:i w:val="0"/>
                      <w:iCs w:val="0"/>
                      <w:color w:val="auto"/>
                      <w:kern w:val="0"/>
                      <w:sz w:val="21"/>
                      <w:szCs w:val="21"/>
                      <w:highlight w:val="none"/>
                      <w:u w:val="none"/>
                      <w:lang w:val="en-US" w:eastAsia="zh-CN"/>
                    </w:rPr>
                    <w:t>57</w:t>
                  </w:r>
                </w:p>
              </w:tc>
              <w:tc>
                <w:tcPr>
                  <w:tcW w:w="29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2" w:type="pct"/>
                  <w:tcBorders>
                    <w:tl2br w:val="nil"/>
                    <w:tr2bl w:val="nil"/>
                  </w:tcBorders>
                  <w:noWrap/>
                  <w:vAlign w:val="center"/>
                </w:tcPr>
                <w:p>
                  <w:pPr>
                    <w:pStyle w:val="2"/>
                    <w:keepNext w:val="0"/>
                    <w:keepLines w:val="0"/>
                    <w:pageBreakBefore w:val="0"/>
                    <w:widowControl/>
                    <w:numPr>
                      <w:ilvl w:val="0"/>
                      <w:numId w:val="5"/>
                    </w:numPr>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p>
              </w:tc>
              <w:tc>
                <w:tcPr>
                  <w:tcW w:w="392" w:type="pct"/>
                  <w:vMerge w:val="continue"/>
                  <w:tcBorders>
                    <w:tl2br w:val="nil"/>
                    <w:tr2bl w:val="nil"/>
                  </w:tcBorders>
                  <w:noWrap/>
                  <w:vAlign w:val="center"/>
                </w:tcPr>
                <w:p/>
              </w:tc>
              <w:tc>
                <w:tcPr>
                  <w:tcW w:w="551" w:type="pct"/>
                  <w:tcBorders>
                    <w:tl2br w:val="nil"/>
                    <w:tr2bl w:val="nil"/>
                  </w:tcBorders>
                  <w:noWrap/>
                  <w:vAlign w:val="center"/>
                </w:tcPr>
                <w:p>
                  <w:pPr>
                    <w:widowControl/>
                    <w:jc w:val="center"/>
                    <w:textAlignment w:val="center"/>
                    <w:rPr>
                      <w:rFonts w:ascii="Times New Roman" w:hAnsi="Times New Roman" w:eastAsia="宋体" w:cs="Times New Roman"/>
                      <w:color w:val="auto"/>
                      <w:sz w:val="21"/>
                      <w:szCs w:val="21"/>
                      <w:highlight w:val="none"/>
                      <w:u w:val="none"/>
                      <w:lang w:eastAsia="zh-CN"/>
                    </w:rPr>
                  </w:pPr>
                  <w:r>
                    <w:rPr>
                      <w:rFonts w:ascii="Times New Roman" w:hAnsi="Times New Roman" w:cs="Times New Roman"/>
                      <w:color w:val="auto"/>
                      <w:kern w:val="0"/>
                      <w:szCs w:val="21"/>
                    </w:rPr>
                    <w:t>燃烧风机</w:t>
                  </w:r>
                </w:p>
              </w:tc>
              <w:tc>
                <w:tcPr>
                  <w:tcW w:w="264"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c>
                <w:tcPr>
                  <w:tcW w:w="484"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lang w:val="en-US"/>
                    </w:rPr>
                  </w:pPr>
                  <w:r>
                    <w:rPr>
                      <w:rFonts w:ascii="Times New Roman" w:hAnsi="Times New Roman" w:eastAsia="宋体" w:cs="Times New Roman"/>
                      <w:color w:val="auto"/>
                      <w:sz w:val="21"/>
                      <w:szCs w:val="21"/>
                      <w:highlight w:val="none"/>
                      <w:u w:val="none"/>
                      <w:lang w:val="en-US" w:eastAsia="zh-CN"/>
                    </w:rPr>
                    <w:t>80</w:t>
                  </w:r>
                </w:p>
              </w:tc>
              <w:tc>
                <w:tcPr>
                  <w:tcW w:w="601" w:type="pct"/>
                  <w:vMerge w:val="continue"/>
                  <w:tcBorders>
                    <w:tl2br w:val="nil"/>
                    <w:tr2bl w:val="nil"/>
                  </w:tcBorders>
                  <w:noWrap/>
                  <w:vAlign w:val="center"/>
                </w:tcP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42</w:t>
                  </w:r>
                </w:p>
              </w:tc>
              <w:tc>
                <w:tcPr>
                  <w:tcW w:w="260"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w:t>
                  </w:r>
                  <w:r>
                    <w:rPr>
                      <w:rFonts w:ascii="Times New Roman" w:hAnsi="Times New Roman" w:eastAsia="宋体" w:cs="Times New Roman"/>
                      <w:color w:val="auto"/>
                      <w:sz w:val="21"/>
                      <w:szCs w:val="21"/>
                      <w:highlight w:val="none"/>
                      <w:u w:val="none"/>
                      <w:lang w:val="en-US" w:eastAsia="zh-CN"/>
                    </w:rPr>
                    <w:t>0</w:t>
                  </w:r>
                </w:p>
              </w:tc>
              <w:tc>
                <w:tcPr>
                  <w:tcW w:w="211"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lang w:val="en-US" w:eastAsia="zh-CN"/>
                    </w:rPr>
                    <w:t>1</w:t>
                  </w:r>
                </w:p>
              </w:tc>
              <w:tc>
                <w:tcPr>
                  <w:tcW w:w="527"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lang w:val="en-US"/>
                    </w:rPr>
                  </w:pPr>
                  <w:r>
                    <w:rPr>
                      <w:rFonts w:ascii="Times New Roman" w:hAnsi="Times New Roman" w:eastAsia="宋体" w:cs="Times New Roman"/>
                      <w:color w:val="auto"/>
                      <w:sz w:val="21"/>
                      <w:szCs w:val="21"/>
                      <w:highlight w:val="none"/>
                      <w:u w:val="none"/>
                      <w:lang w:val="en-US" w:eastAsia="zh-CN"/>
                    </w:rPr>
                    <w:t>61.9</w:t>
                  </w:r>
                </w:p>
              </w:tc>
              <w:tc>
                <w:tcPr>
                  <w:tcW w:w="529" w:type="pct"/>
                  <w:tcBorders>
                    <w:tl2br w:val="nil"/>
                    <w:tr2bl w:val="nil"/>
                  </w:tcBorders>
                  <w:noWrap/>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362"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i w:val="0"/>
                      <w:iCs w:val="0"/>
                      <w:color w:val="auto"/>
                      <w:kern w:val="0"/>
                      <w:sz w:val="21"/>
                      <w:szCs w:val="21"/>
                      <w:highlight w:val="none"/>
                      <w:u w:val="none"/>
                      <w:lang w:val="en-US" w:eastAsia="zh-CN"/>
                    </w:rPr>
                    <w:t>55.9</w:t>
                  </w:r>
                </w:p>
              </w:tc>
              <w:tc>
                <w:tcPr>
                  <w:tcW w:w="293"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pacing w:line="240" w:lineRule="auto"/>
                    <w:ind w:left="0" w:right="0" w:firstLine="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lang w:val="en-US" w:eastAsia="zh-CN"/>
                    </w:rPr>
                    <w:t>1</w:t>
                  </w:r>
                </w:p>
              </w:tc>
            </w:tr>
          </w:tbl>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项目拟采取以下措施进行噪声治理：</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1）规划防治对策</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合理进行总平布置，所有产噪设备均布置在厂房内，利用建筑物进行隔声。项目在进行工艺布局时，尽量将高噪声设备集中摆放，布设位置远离厂界，以有效利用距离衰减。</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2）技术防治措施</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锅炉设置专门的锅炉房隔声，同时在厂区四周种植绿植吸声，加强布局，风机进风口设消声器，通过距离衰减距离衰减隔声降噪</w:t>
            </w:r>
            <w:r>
              <w:rPr>
                <w:rFonts w:ascii="Times New Roman" w:hAnsi="Times New Roman" w:eastAsia="宋体" w:cs="Times New Roman"/>
                <w:color w:val="auto"/>
                <w:sz w:val="24"/>
                <w:szCs w:val="24"/>
                <w:highlight w:val="none"/>
                <w:u w:val="none"/>
                <w:lang w:eastAsia="zh-CN"/>
              </w:rPr>
              <w:t>，</w:t>
            </w:r>
            <w:r>
              <w:rPr>
                <w:rFonts w:ascii="Times New Roman" w:hAnsi="Times New Roman" w:eastAsia="宋体" w:cs="Times New Roman"/>
                <w:color w:val="auto"/>
                <w:sz w:val="24"/>
                <w:szCs w:val="24"/>
                <w:highlight w:val="none"/>
                <w:u w:val="none"/>
              </w:rPr>
              <w:t>设备定期进行维护和调试。</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从噪声传播途径上采取的降噪措施隔声削减，充分利用厂房进行隔声，本项目车间为采用</w:t>
            </w:r>
            <w:r>
              <w:rPr>
                <w:rFonts w:ascii="Times New Roman" w:hAnsi="Times New Roman" w:eastAsia="宋体" w:cs="Times New Roman"/>
                <w:color w:val="auto"/>
                <w:sz w:val="24"/>
                <w:szCs w:val="24"/>
                <w:highlight w:val="none"/>
                <w:u w:val="none"/>
                <w:lang w:val="en-US" w:eastAsia="zh-CN"/>
              </w:rPr>
              <w:t>砖混</w:t>
            </w:r>
            <w:r>
              <w:rPr>
                <w:rFonts w:ascii="Times New Roman" w:hAnsi="Times New Roman" w:eastAsia="宋体" w:cs="Times New Roman"/>
                <w:color w:val="auto"/>
                <w:sz w:val="24"/>
                <w:szCs w:val="24"/>
                <w:highlight w:val="none"/>
                <w:u w:val="none"/>
              </w:rPr>
              <w:t>结构，隔声量大于</w:t>
            </w:r>
            <w:r>
              <w:rPr>
                <w:rFonts w:ascii="Times New Roman" w:hAnsi="Times New Roman" w:eastAsia="宋体" w:cs="Times New Roman"/>
                <w:color w:val="auto"/>
                <w:sz w:val="24"/>
                <w:szCs w:val="24"/>
                <w:highlight w:val="none"/>
                <w:u w:val="none"/>
                <w:lang w:val="en-US" w:eastAsia="zh-CN"/>
              </w:rPr>
              <w:t>6</w:t>
            </w:r>
            <w:r>
              <w:rPr>
                <w:rFonts w:ascii="Times New Roman" w:hAnsi="Times New Roman" w:eastAsia="宋体" w:cs="Times New Roman"/>
                <w:color w:val="auto"/>
                <w:sz w:val="24"/>
                <w:szCs w:val="24"/>
                <w:highlight w:val="none"/>
                <w:u w:val="none"/>
              </w:rPr>
              <w:t>dB（A）。</w:t>
            </w:r>
          </w:p>
          <w:p>
            <w:pPr>
              <w:spacing w:line="360" w:lineRule="auto"/>
              <w:ind w:firstLine="482"/>
              <w:rPr>
                <w:rFonts w:ascii="Times New Roman" w:hAnsi="Times New Roman" w:eastAsia="宋体" w:cs="Times New Roman"/>
                <w:b/>
                <w:bCs/>
                <w:color w:val="auto"/>
                <w:sz w:val="24"/>
                <w:szCs w:val="24"/>
                <w:highlight w:val="none"/>
                <w:u w:val="none"/>
              </w:rPr>
            </w:pPr>
            <w:r>
              <w:rPr>
                <w:rFonts w:ascii="Times New Roman" w:hAnsi="Times New Roman" w:eastAsia="宋体" w:cs="Times New Roman"/>
                <w:b/>
                <w:bCs/>
                <w:color w:val="auto"/>
                <w:sz w:val="24"/>
                <w:szCs w:val="24"/>
                <w:highlight w:val="none"/>
                <w:u w:val="none"/>
                <w:lang w:eastAsia="zh-CN"/>
              </w:rPr>
              <w:t>（</w:t>
            </w:r>
            <w:r>
              <w:rPr>
                <w:rFonts w:ascii="Times New Roman" w:hAnsi="Times New Roman" w:eastAsia="宋体" w:cs="Times New Roman"/>
                <w:b/>
                <w:bCs/>
                <w:color w:val="auto"/>
                <w:sz w:val="24"/>
                <w:szCs w:val="24"/>
                <w:highlight w:val="none"/>
                <w:u w:val="none"/>
                <w:lang w:val="en-US" w:eastAsia="zh-CN"/>
              </w:rPr>
              <w:t>2</w:t>
            </w:r>
            <w:r>
              <w:rPr>
                <w:rFonts w:ascii="Times New Roman" w:hAnsi="Times New Roman" w:eastAsia="宋体" w:cs="Times New Roman"/>
                <w:b/>
                <w:bCs/>
                <w:color w:val="auto"/>
                <w:sz w:val="24"/>
                <w:szCs w:val="24"/>
                <w:highlight w:val="none"/>
                <w:u w:val="none"/>
                <w:lang w:eastAsia="zh-CN"/>
              </w:rPr>
              <w:t>）</w:t>
            </w:r>
            <w:r>
              <w:rPr>
                <w:rFonts w:ascii="Times New Roman" w:hAnsi="Times New Roman" w:eastAsia="宋体" w:cs="Times New Roman"/>
                <w:b/>
                <w:bCs/>
                <w:color w:val="auto"/>
                <w:sz w:val="24"/>
                <w:szCs w:val="24"/>
                <w:highlight w:val="none"/>
                <w:u w:val="none"/>
              </w:rPr>
              <w:t>噪声预测和评价</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本评价采用噪声距离衰减、叠加模式计算场界的噪声值。多个噪声源对评价点噪声的贡献值。本项目噪声值均以厂界（指</w:t>
            </w:r>
            <w:r>
              <w:rPr>
                <w:rFonts w:hint="eastAsia" w:cs="Times New Roman"/>
                <w:color w:val="auto"/>
                <w:sz w:val="24"/>
                <w:szCs w:val="24"/>
                <w:highlight w:val="none"/>
                <w:u w:val="none"/>
                <w:lang w:val="en-US" w:eastAsia="zh-CN"/>
              </w:rPr>
              <w:t>本项目锅炉房用地红线</w:t>
            </w:r>
            <w:r>
              <w:rPr>
                <w:rFonts w:ascii="Times New Roman" w:hAnsi="Times New Roman" w:eastAsia="宋体" w:cs="Times New Roman"/>
                <w:color w:val="auto"/>
                <w:sz w:val="24"/>
                <w:szCs w:val="24"/>
                <w:highlight w:val="none"/>
                <w:u w:val="none"/>
              </w:rPr>
              <w:t>，见总平面布置图）噪声计算。具体计算模式如下：</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拟建工程声源对预测点产生的贡献值（Leqg）：</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position w:val="-52"/>
                <w:sz w:val="24"/>
                <w:szCs w:val="24"/>
                <w:highlight w:val="none"/>
                <w:u w:val="none"/>
              </w:rPr>
              <w:object>
                <v:shape id="_x0000_i1025" o:spt="75" type="#_x0000_t75" style="height:57pt;width:198.6pt;" o:ole="t" filled="f" o:preferrelative="t" stroked="f" coordsize="21600,21600">
                  <v:path/>
                  <v:fill on="f" focussize="0,0"/>
                  <v:stroke on="f" color="#000000"/>
                  <v:imagedata r:id="rId17" o:title="image10"/>
                  <o:lock v:ext="edit" aspectratio="t"/>
                  <w10:wrap type="none"/>
                  <w10:anchorlock/>
                </v:shape>
                <o:OLEObject Type="Embed" ProgID="Package" ShapeID="_x0000_i1025" DrawAspect="Content" ObjectID="_1468075725" r:id="rId16">
                  <o:LockedField>false</o:LockedField>
                </o:OLEObject>
              </w:objec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式中：Leqg——建设项目声源在预测点产生的噪声贡献值，dB；</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T——用于计算等效声级的时间，s；</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N——室外声源个数；</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ti——在T时间内i声源工作时间。</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M——等效室外声源个数。</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tj——在T时间内j声源工作时间。</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对于任何一个预测点，其噪声效应是多个叠加声级（即各声源分别在该点的贡献值L2和本底噪声值）的能量总和，其计算式如下：</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position w:val="-30"/>
                <w:sz w:val="24"/>
                <w:szCs w:val="24"/>
                <w:highlight w:val="none"/>
                <w:u w:val="none"/>
              </w:rPr>
              <w:object>
                <v:shape id="_x0000_i1026" o:spt="75" type="#_x0000_t75" style="height:36pt;width:119.4pt;" o:ole="t" filled="f" o:preferrelative="t" stroked="f" coordsize="21600,21600">
                  <v:path/>
                  <v:fill on="f" focussize="0,0"/>
                  <v:stroke on="f" color="#000000"/>
                  <v:imagedata r:id="rId19" o:title="image11"/>
                  <o:lock v:ext="edit" aspectratio="t"/>
                  <w10:wrap type="none"/>
                  <w10:anchorlock/>
                </v:shape>
                <o:OLEObject Type="Embed" ProgID="Package" ShapeID="_x0000_i1026" DrawAspect="Content" ObjectID="_1468075726" r:id="rId18">
                  <o:LockedField>false</o:LockedField>
                </o:OLEObject>
              </w:objec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式中：L——某点噪声贡献值，dB；</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T——用于计算等效声级的时间，s；</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ti——在T时间内i声源工作时间；</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LAi——i声源在预测点产生的等效连续A声级，dB。</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噪声预测值：预测点的贡献值和背景值按能量叠加方法计算得到的声级。噪声预测值（ Leq ）计算公式为：</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position w:val="-14"/>
                <w:sz w:val="24"/>
                <w:szCs w:val="24"/>
                <w:highlight w:val="none"/>
                <w:u w:val="none"/>
              </w:rPr>
              <w:object>
                <v:shape id="_x0000_i1027" o:spt="75" type="#_x0000_t75" style="height:21pt;width:139.2pt;" o:ole="t" filled="f" o:preferrelative="t" stroked="f" coordsize="21600,21600">
                  <v:path/>
                  <v:fill on="f" focussize="0,0"/>
                  <v:stroke on="f" color="#000000"/>
                  <v:imagedata r:id="rId21" o:title="image12"/>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式中： Leq ——预测点的噪声预测值，dB；</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Leqg ——建设项目声源在预测点产生的噪声贡献值，dB；</w:t>
            </w:r>
          </w:p>
          <w:p>
            <w:pPr>
              <w:spacing w:line="360" w:lineRule="auto"/>
              <w:ind w:firstLine="48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Leqb ——预测点的背景噪声值，dB。</w:t>
            </w:r>
          </w:p>
          <w:p>
            <w:pPr>
              <w:spacing w:line="360" w:lineRule="auto"/>
              <w:ind w:firstLine="480"/>
              <w:rPr>
                <w:rFonts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val="en-US" w:eastAsia="zh-CN"/>
              </w:rPr>
              <w:t>对于</w:t>
            </w:r>
            <w:r>
              <w:rPr>
                <w:rFonts w:ascii="Times New Roman" w:hAnsi="Times New Roman" w:eastAsia="宋体" w:cs="Times New Roman"/>
                <w:color w:val="auto"/>
                <w:sz w:val="24"/>
                <w:szCs w:val="24"/>
                <w:highlight w:val="none"/>
              </w:rPr>
              <w:t>室内声源等效室外声源声功率级方法</w:t>
            </w:r>
            <w:r>
              <w:rPr>
                <w:rFonts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lang w:val="en-US" w:eastAsia="zh-CN"/>
              </w:rPr>
              <w:t>计算公式如下：</w:t>
            </w:r>
          </w:p>
          <w:p>
            <w:pPr>
              <w:spacing w:line="360" w:lineRule="auto"/>
              <w:ind w:firstLine="480"/>
              <w:rPr>
                <w:rFonts w:ascii="Times New Roman" w:hAnsi="Times New Roman" w:eastAsia="宋体" w:cs="Times New Roman"/>
                <w:color w:val="auto"/>
                <w:position w:val="-14"/>
                <w:sz w:val="24"/>
                <w:szCs w:val="24"/>
                <w:highlight w:val="none"/>
                <w:u w:val="none"/>
              </w:rPr>
            </w:pPr>
            <w:r>
              <w:rPr>
                <w:rFonts w:ascii="Times New Roman" w:hAnsi="Times New Roman" w:eastAsia="宋体" w:cs="Times New Roman"/>
                <w:color w:val="auto"/>
                <w:position w:val="-14"/>
                <w:sz w:val="24"/>
                <w:szCs w:val="24"/>
                <w:highlight w:val="none"/>
                <w:u w:val="none"/>
              </w:rPr>
              <w:object>
                <v:shape id="_x0000_i1028" o:spt="75" type="#_x0000_t75" style="height:19pt;width:96.15pt;" o:ole="t" filled="f" o:preferrelative="t" stroked="f" coordsize="21600,21600">
                  <v:path/>
                  <v:fill on="f" focussize="0,0"/>
                  <v:stroke on="f" color="#000000"/>
                  <v:imagedata r:id="rId23" o:title="image13"/>
                  <o:lock v:ext="edit" aspectratio="t"/>
                  <w10:wrap type="none"/>
                  <w10:anchorlock/>
                </v:shape>
                <o:OLEObject Type="Embed" ProgID="Package" ShapeID="_x0000_i1028" DrawAspect="Content" ObjectID="_1468075728" r:id="rId22">
                  <o:LockedField>false</o:LockedField>
                </o:OLEObject>
              </w:object>
            </w:r>
          </w:p>
          <w:p>
            <w:pPr>
              <w:spacing w:line="360" w:lineRule="auto"/>
              <w:ind w:firstLine="480"/>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u w:val="none"/>
                <w:lang w:val="en-US" w:eastAsia="zh-CN"/>
              </w:rPr>
              <w:t>式中：L</w:t>
            </w:r>
            <w:r>
              <w:rPr>
                <w:rFonts w:ascii="Times New Roman" w:hAnsi="Times New Roman" w:eastAsia="宋体" w:cs="Times New Roman"/>
                <w:color w:val="auto"/>
                <w:sz w:val="24"/>
                <w:szCs w:val="24"/>
                <w:highlight w:val="none"/>
                <w:u w:val="none"/>
                <w:vertAlign w:val="subscript"/>
                <w:lang w:val="en-US" w:eastAsia="zh-CN"/>
              </w:rPr>
              <w:t>p1</w:t>
            </w:r>
            <w:r>
              <w:rPr>
                <w:rFonts w:ascii="Times New Roman" w:hAnsi="Times New Roman" w:eastAsia="宋体" w:cs="Times New Roman"/>
                <w:color w:val="auto"/>
                <w:sz w:val="24"/>
                <w:szCs w:val="24"/>
                <w:highlight w:val="none"/>
                <w:u w:val="none"/>
                <w:vertAlign w:val="baseline"/>
                <w:lang w:val="en-US" w:eastAsia="zh-CN"/>
              </w:rPr>
              <w:t>——</w:t>
            </w:r>
            <w:r>
              <w:rPr>
                <w:rFonts w:ascii="Times New Roman" w:hAnsi="Times New Roman" w:eastAsia="宋体" w:cs="Times New Roman"/>
                <w:color w:val="auto"/>
                <w:sz w:val="24"/>
                <w:szCs w:val="24"/>
                <w:highlight w:val="none"/>
              </w:rPr>
              <w:t>靠近开口处（或窗户）室内某倍频带的声压级或 A 声级， dB</w:t>
            </w:r>
            <w:r>
              <w:rPr>
                <w:rFonts w:ascii="Times New Roman" w:hAnsi="Times New Roman" w:eastAsia="宋体" w:cs="Times New Roman"/>
                <w:color w:val="auto"/>
                <w:sz w:val="24"/>
                <w:szCs w:val="24"/>
                <w:highlight w:val="none"/>
                <w:lang w:eastAsia="zh-CN"/>
              </w:rPr>
              <w:t>。</w:t>
            </w:r>
          </w:p>
          <w:p>
            <w:pPr>
              <w:spacing w:line="360" w:lineRule="auto"/>
              <w:ind w:firstLine="480"/>
              <w:rPr>
                <w:rFonts w:ascii="Times New Roman" w:hAnsi="Times New Roman" w:eastAsia="宋体" w:cs="Times New Roman"/>
                <w:color w:val="auto"/>
                <w:sz w:val="24"/>
                <w:szCs w:val="24"/>
                <w:highlight w:val="none"/>
                <w:u w:val="none"/>
                <w:lang w:eastAsia="zh-CN"/>
              </w:rPr>
            </w:pPr>
            <w:r>
              <w:rPr>
                <w:rFonts w:ascii="Times New Roman" w:hAnsi="Times New Roman" w:eastAsia="宋体" w:cs="Times New Roman"/>
                <w:color w:val="auto"/>
                <w:sz w:val="24"/>
                <w:szCs w:val="24"/>
                <w:highlight w:val="none"/>
                <w:u w:val="none"/>
                <w:lang w:val="en-US" w:eastAsia="zh-CN"/>
              </w:rPr>
              <w:t>L</w:t>
            </w:r>
            <w:r>
              <w:rPr>
                <w:rFonts w:ascii="Times New Roman" w:hAnsi="Times New Roman" w:eastAsia="宋体" w:cs="Times New Roman"/>
                <w:color w:val="auto"/>
                <w:sz w:val="24"/>
                <w:szCs w:val="24"/>
                <w:highlight w:val="none"/>
                <w:u w:val="none"/>
                <w:vertAlign w:val="subscript"/>
                <w:lang w:val="en-US" w:eastAsia="zh-CN"/>
              </w:rPr>
              <w:t>p2</w:t>
            </w:r>
            <w:r>
              <w:rPr>
                <w:rFonts w:ascii="Times New Roman" w:hAnsi="Times New Roman" w:eastAsia="宋体" w:cs="Times New Roman"/>
                <w:color w:val="auto"/>
                <w:sz w:val="24"/>
                <w:szCs w:val="24"/>
                <w:highlight w:val="none"/>
                <w:u w:val="none"/>
                <w:vertAlign w:val="baseline"/>
                <w:lang w:val="en-US" w:eastAsia="zh-CN"/>
              </w:rPr>
              <w:t>——</w:t>
            </w:r>
            <w:r>
              <w:rPr>
                <w:rFonts w:ascii="Times New Roman" w:hAnsi="Times New Roman" w:eastAsia="宋体" w:cs="Times New Roman"/>
                <w:color w:val="auto"/>
                <w:sz w:val="24"/>
                <w:szCs w:val="24"/>
                <w:highlight w:val="none"/>
                <w:u w:val="none"/>
              </w:rPr>
              <w:t>靠近开口处（或窗户）室</w:t>
            </w:r>
            <w:r>
              <w:rPr>
                <w:rFonts w:ascii="Times New Roman" w:hAnsi="Times New Roman" w:eastAsia="宋体" w:cs="Times New Roman"/>
                <w:color w:val="auto"/>
                <w:sz w:val="24"/>
                <w:szCs w:val="24"/>
                <w:highlight w:val="none"/>
                <w:u w:val="none"/>
                <w:lang w:val="en-US" w:eastAsia="zh-CN"/>
              </w:rPr>
              <w:t>外</w:t>
            </w:r>
            <w:r>
              <w:rPr>
                <w:rFonts w:ascii="Times New Roman" w:hAnsi="Times New Roman" w:eastAsia="宋体" w:cs="Times New Roman"/>
                <w:color w:val="auto"/>
                <w:sz w:val="24"/>
                <w:szCs w:val="24"/>
                <w:highlight w:val="none"/>
                <w:u w:val="none"/>
              </w:rPr>
              <w:t>某倍频带的声压级或 A 声级， dB</w:t>
            </w:r>
            <w:r>
              <w:rPr>
                <w:rFonts w:ascii="Times New Roman" w:hAnsi="Times New Roman" w:eastAsia="宋体" w:cs="Times New Roman"/>
                <w:color w:val="auto"/>
                <w:sz w:val="24"/>
                <w:szCs w:val="24"/>
                <w:highlight w:val="none"/>
                <w:u w:val="none"/>
                <w:lang w:eastAsia="zh-CN"/>
              </w:rPr>
              <w:t>。</w:t>
            </w:r>
          </w:p>
          <w:p>
            <w:pPr>
              <w:spacing w:line="360" w:lineRule="auto"/>
              <w:ind w:firstLine="480"/>
              <w:rPr>
                <w:rFonts w:ascii="Times New Roman" w:hAnsi="Times New Roman" w:eastAsia="宋体" w:cs="Times New Roman"/>
                <w:color w:val="auto"/>
                <w:sz w:val="24"/>
                <w:szCs w:val="24"/>
                <w:highlight w:val="none"/>
                <w:u w:val="none"/>
                <w:vertAlign w:val="baseline"/>
                <w:lang w:eastAsia="zh-CN"/>
              </w:rPr>
            </w:pPr>
            <w:r>
              <w:rPr>
                <w:rFonts w:ascii="Times New Roman" w:hAnsi="Times New Roman" w:eastAsia="宋体" w:cs="Times New Roman"/>
                <w:color w:val="auto"/>
                <w:sz w:val="24"/>
                <w:szCs w:val="24"/>
                <w:highlight w:val="none"/>
                <w:u w:val="none"/>
                <w:lang w:val="en-US" w:eastAsia="zh-CN"/>
              </w:rPr>
              <w:t>TL——</w:t>
            </w:r>
            <w:r>
              <w:rPr>
                <w:rFonts w:ascii="Times New Roman" w:hAnsi="Times New Roman" w:eastAsia="宋体" w:cs="Times New Roman"/>
                <w:color w:val="auto"/>
                <w:sz w:val="24"/>
                <w:szCs w:val="24"/>
                <w:highlight w:val="none"/>
              </w:rPr>
              <w:t>隔墙（或窗户）倍频带或 A 声级的隔声量， dB</w:t>
            </w:r>
            <w:r>
              <w:rPr>
                <w:rFonts w:ascii="Times New Roman" w:hAnsi="Times New Roman" w:eastAsia="宋体" w:cs="Times New Roman"/>
                <w:color w:val="auto"/>
                <w:sz w:val="24"/>
                <w:szCs w:val="24"/>
                <w:highlight w:val="none"/>
                <w:lang w:eastAsia="zh-CN"/>
              </w:rPr>
              <w:t>。</w:t>
            </w:r>
          </w:p>
          <w:p>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表4-</w:t>
            </w:r>
            <w:r>
              <w:rPr>
                <w:rFonts w:hint="eastAsia" w:cs="Times New Roman"/>
                <w:color w:val="auto"/>
                <w:sz w:val="21"/>
                <w:szCs w:val="21"/>
                <w:highlight w:val="none"/>
                <w:u w:val="none"/>
                <w:lang w:val="en-US" w:eastAsia="zh-CN"/>
              </w:rPr>
              <w:t>6</w:t>
            </w:r>
            <w:r>
              <w:rPr>
                <w:rFonts w:ascii="Times New Roman" w:hAnsi="Times New Roman" w:eastAsia="宋体" w:cs="Times New Roman"/>
                <w:color w:val="auto"/>
                <w:sz w:val="21"/>
                <w:szCs w:val="21"/>
                <w:highlight w:val="none"/>
                <w:u w:val="none"/>
              </w:rPr>
              <w:t xml:space="preserve">  项目噪声预测结果表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
              <w:gridCol w:w="994"/>
              <w:gridCol w:w="697"/>
              <w:gridCol w:w="946"/>
              <w:gridCol w:w="697"/>
              <w:gridCol w:w="946"/>
              <w:gridCol w:w="697"/>
              <w:gridCol w:w="946"/>
              <w:gridCol w:w="697"/>
              <w:gridCol w:w="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设备名称</w:t>
                  </w:r>
                </w:p>
              </w:tc>
              <w:tc>
                <w:tcPr>
                  <w:tcW w:w="624" w:type="pct"/>
                  <w:vMerge w:val="restart"/>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adjustRightInd w:val="0"/>
                    <w:snapToGrid w:val="0"/>
                    <w:spacing w:before="10" w:beforeLines="0" w:after="0" w:afterLines="0" w:line="240" w:lineRule="auto"/>
                    <w:ind w:left="0" w:firstLine="0" w:firstLineChars="0"/>
                    <w:jc w:val="center"/>
                    <w:textAlignment w:val="auto"/>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降噪后的声压级dB（A）</w:t>
                  </w:r>
                </w:p>
              </w:tc>
              <w:tc>
                <w:tcPr>
                  <w:tcW w:w="1031" w:type="pct"/>
                  <w:gridSpan w:val="2"/>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kern w:val="0"/>
                      <w:sz w:val="21"/>
                      <w:szCs w:val="21"/>
                      <w:highlight w:val="none"/>
                      <w:u w:val="none"/>
                      <w:lang w:val="en-US" w:eastAsia="zh-CN" w:bidi="ar-SA"/>
                    </w:rPr>
                  </w:pPr>
                  <w:r>
                    <w:rPr>
                      <w:rFonts w:ascii="Times New Roman" w:hAnsi="Times New Roman" w:eastAsia="宋体" w:cs="Times New Roman"/>
                      <w:color w:val="auto"/>
                      <w:sz w:val="21"/>
                      <w:szCs w:val="21"/>
                      <w:highlight w:val="none"/>
                      <w:u w:val="none"/>
                    </w:rPr>
                    <w:t>东厂界</w:t>
                  </w:r>
                </w:p>
              </w:tc>
              <w:tc>
                <w:tcPr>
                  <w:tcW w:w="1031" w:type="pct"/>
                  <w:gridSpan w:val="2"/>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kern w:val="0"/>
                      <w:sz w:val="21"/>
                      <w:szCs w:val="21"/>
                      <w:highlight w:val="none"/>
                      <w:u w:val="none"/>
                      <w:lang w:val="en-US" w:eastAsia="zh-CN" w:bidi="ar-SA"/>
                    </w:rPr>
                  </w:pPr>
                  <w:r>
                    <w:rPr>
                      <w:rFonts w:ascii="Times New Roman" w:hAnsi="Times New Roman" w:eastAsia="宋体" w:cs="Times New Roman"/>
                      <w:color w:val="auto"/>
                      <w:sz w:val="21"/>
                      <w:szCs w:val="21"/>
                      <w:highlight w:val="none"/>
                      <w:u w:val="none"/>
                    </w:rPr>
                    <w:t>南厂界</w:t>
                  </w:r>
                </w:p>
              </w:tc>
              <w:tc>
                <w:tcPr>
                  <w:tcW w:w="1031" w:type="pct"/>
                  <w:gridSpan w:val="2"/>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kern w:val="0"/>
                      <w:sz w:val="21"/>
                      <w:szCs w:val="21"/>
                      <w:highlight w:val="none"/>
                      <w:u w:val="none"/>
                      <w:lang w:val="en-US" w:eastAsia="zh-CN" w:bidi="ar-SA"/>
                    </w:rPr>
                  </w:pPr>
                  <w:r>
                    <w:rPr>
                      <w:rFonts w:ascii="Times New Roman" w:hAnsi="Times New Roman" w:eastAsia="宋体" w:cs="Times New Roman"/>
                      <w:color w:val="auto"/>
                      <w:sz w:val="21"/>
                      <w:szCs w:val="21"/>
                      <w:highlight w:val="none"/>
                      <w:u w:val="none"/>
                    </w:rPr>
                    <w:t>西厂界</w:t>
                  </w:r>
                </w:p>
              </w:tc>
              <w:tc>
                <w:tcPr>
                  <w:tcW w:w="1033" w:type="pct"/>
                  <w:gridSpan w:val="2"/>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kern w:val="0"/>
                      <w:sz w:val="21"/>
                      <w:szCs w:val="21"/>
                      <w:highlight w:val="none"/>
                      <w:u w:val="none"/>
                      <w:lang w:val="en-US" w:eastAsia="zh-CN" w:bidi="ar-SA"/>
                    </w:rPr>
                  </w:pPr>
                  <w:r>
                    <w:rPr>
                      <w:rFonts w:ascii="Times New Roman" w:hAnsi="Times New Roman" w:eastAsia="宋体" w:cs="Times New Roman"/>
                      <w:color w:val="auto"/>
                      <w:sz w:val="21"/>
                      <w:szCs w:val="21"/>
                      <w:highlight w:val="none"/>
                      <w:u w:val="none"/>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op w:val="single" w:color="auto" w:sz="4" w:space="0"/>
                    <w:right w:val="single" w:color="auto" w:sz="4" w:space="0"/>
                  </w:tcBorders>
                  <w:noWrap/>
                  <w:tcMar>
                    <w:left w:w="28" w:type="dxa"/>
                    <w:right w:w="28" w:type="dxa"/>
                  </w:tcMar>
                  <w:vAlign w:val="center"/>
                </w:tcPr>
                <w:p/>
              </w:tc>
              <w:tc>
                <w:tcPr>
                  <w:tcW w:w="624" w:type="pct"/>
                  <w:vMerge w:val="continue"/>
                  <w:tcBorders>
                    <w:top w:val="single" w:color="auto" w:sz="4" w:space="0"/>
                    <w:left w:val="single" w:color="auto" w:sz="4" w:space="0"/>
                    <w:right w:val="single" w:color="auto" w:sz="4" w:space="0"/>
                  </w:tcBorders>
                  <w:noWrap/>
                  <w:tcMar>
                    <w:left w:w="28" w:type="dxa"/>
                    <w:right w:w="28" w:type="dxa"/>
                  </w:tcMar>
                  <w:vAlign w:val="center"/>
                </w:tcP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距离（m）</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衰减后</w:t>
                  </w:r>
                  <w:r>
                    <w:rPr>
                      <w:rFonts w:ascii="Times New Roman" w:hAnsi="Times New Roman" w:eastAsia="宋体" w:cs="Times New Roman"/>
                      <w:color w:val="auto"/>
                      <w:sz w:val="21"/>
                      <w:szCs w:val="21"/>
                      <w:highlight w:val="none"/>
                      <w:u w:val="none"/>
                    </w:rPr>
                    <w:t>噪声值dB（A）</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距离（m）</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衰减后</w:t>
                  </w:r>
                  <w:r>
                    <w:rPr>
                      <w:rFonts w:ascii="Times New Roman" w:hAnsi="Times New Roman" w:eastAsia="宋体" w:cs="Times New Roman"/>
                      <w:color w:val="auto"/>
                      <w:sz w:val="21"/>
                      <w:szCs w:val="21"/>
                      <w:highlight w:val="none"/>
                      <w:u w:val="none"/>
                    </w:rPr>
                    <w:t>噪声值dB（A）</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距离（m）</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衰减后</w:t>
                  </w:r>
                  <w:r>
                    <w:rPr>
                      <w:rFonts w:ascii="Times New Roman" w:hAnsi="Times New Roman" w:eastAsia="宋体" w:cs="Times New Roman"/>
                      <w:color w:val="auto"/>
                      <w:sz w:val="21"/>
                      <w:szCs w:val="21"/>
                      <w:highlight w:val="none"/>
                      <w:u w:val="none"/>
                    </w:rPr>
                    <w:t>噪声值dB（A）</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距离（m）</w:t>
                  </w:r>
                </w:p>
              </w:tc>
              <w:tc>
                <w:tcPr>
                  <w:tcW w:w="595" w:type="pct"/>
                  <w:tcBorders>
                    <w:top w:val="single" w:color="auto" w:sz="4" w:space="0"/>
                    <w:lef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sz w:val="21"/>
                      <w:szCs w:val="21"/>
                      <w:highlight w:val="none"/>
                      <w:u w:val="none"/>
                      <w:lang w:val="en-US" w:eastAsia="zh-CN"/>
                    </w:rPr>
                    <w:t>衰减后</w:t>
                  </w:r>
                  <w:r>
                    <w:rPr>
                      <w:rFonts w:ascii="Times New Roman" w:hAnsi="Times New Roman" w:eastAsia="宋体" w:cs="Times New Roman"/>
                      <w:color w:val="auto"/>
                      <w:sz w:val="21"/>
                      <w:szCs w:val="21"/>
                      <w:highlight w:val="none"/>
                      <w:u w:val="none"/>
                    </w:rPr>
                    <w:t>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op w:val="single" w:color="auto" w:sz="4" w:space="0"/>
                    <w:right w:val="single" w:color="auto" w:sz="4" w:space="0"/>
                  </w:tcBorders>
                  <w:noWrap/>
                  <w:tcMar>
                    <w:left w:w="28" w:type="dxa"/>
                    <w:right w:w="28" w:type="dxa"/>
                  </w:tcMar>
                  <w:vAlign w:val="center"/>
                </w:tcPr>
                <w:p>
                  <w:pPr>
                    <w:keepNext w:val="0"/>
                    <w:keepLines w:val="0"/>
                    <w:pageBreakBefore w:val="0"/>
                    <w:widowControl/>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eastAsia="zh-CN"/>
                    </w:rPr>
                  </w:pPr>
                  <w:r>
                    <w:rPr>
                      <w:rFonts w:ascii="Times New Roman" w:hAnsi="Times New Roman" w:cs="Times New Roman"/>
                      <w:color w:val="auto"/>
                      <w:szCs w:val="21"/>
                    </w:rPr>
                    <w:t>锅炉</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i w:val="0"/>
                      <w:iCs w:val="0"/>
                      <w:color w:val="auto"/>
                      <w:kern w:val="0"/>
                      <w:sz w:val="21"/>
                      <w:szCs w:val="21"/>
                      <w:highlight w:val="none"/>
                      <w:u w:val="none"/>
                      <w:lang w:val="en-US" w:eastAsia="zh-CN"/>
                    </w:rPr>
                    <w:t>57</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20</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30.9</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50</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22.8</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26</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28.7</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20.6</w:t>
                  </w:r>
                </w:p>
              </w:tc>
              <w:tc>
                <w:tcPr>
                  <w:tcW w:w="595" w:type="pct"/>
                  <w:tcBorders>
                    <w:top w:val="single" w:color="auto" w:sz="4" w:space="0"/>
                    <w:lef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op w:val="single" w:color="auto" w:sz="4" w:space="0"/>
                    <w:right w:val="single" w:color="auto" w:sz="4" w:space="0"/>
                  </w:tcBorders>
                  <w:noWrap/>
                  <w:tcMar>
                    <w:left w:w="28" w:type="dxa"/>
                    <w:right w:w="28" w:type="dxa"/>
                  </w:tcMar>
                  <w:vAlign w:val="center"/>
                </w:tcPr>
                <w:p>
                  <w:pPr>
                    <w:keepNext w:val="0"/>
                    <w:keepLines w:val="0"/>
                    <w:pageBreakBefore w:val="0"/>
                    <w:widowControl/>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eastAsia="zh-CN"/>
                    </w:rPr>
                  </w:pPr>
                  <w:r>
                    <w:rPr>
                      <w:rFonts w:ascii="Times New Roman" w:hAnsi="Times New Roman" w:cs="Times New Roman"/>
                      <w:color w:val="auto"/>
                      <w:kern w:val="0"/>
                      <w:szCs w:val="21"/>
                    </w:rPr>
                    <w:t>水泵</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i w:val="0"/>
                      <w:iCs w:val="0"/>
                      <w:color w:val="auto"/>
                      <w:kern w:val="0"/>
                      <w:sz w:val="21"/>
                      <w:szCs w:val="21"/>
                      <w:highlight w:val="none"/>
                      <w:u w:val="none"/>
                      <w:lang w:val="en-US" w:eastAsia="zh-CN"/>
                    </w:rPr>
                    <w:t>57</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22</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30.1</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43</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24.3</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24</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29.4</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28</w:t>
                  </w:r>
                </w:p>
              </w:tc>
              <w:tc>
                <w:tcPr>
                  <w:tcW w:w="595" w:type="pct"/>
                  <w:tcBorders>
                    <w:top w:val="single" w:color="auto" w:sz="4" w:space="0"/>
                    <w:lef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op w:val="single" w:color="auto" w:sz="4" w:space="0"/>
                    <w:right w:val="single" w:color="auto" w:sz="4" w:space="0"/>
                  </w:tcBorders>
                  <w:noWrap/>
                  <w:tcMar>
                    <w:left w:w="28" w:type="dxa"/>
                    <w:right w:w="28" w:type="dxa"/>
                  </w:tcMar>
                  <w:vAlign w:val="center"/>
                </w:tcPr>
                <w:p>
                  <w:pPr>
                    <w:keepNext w:val="0"/>
                    <w:keepLines w:val="0"/>
                    <w:pageBreakBefore w:val="0"/>
                    <w:widowControl/>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rPr>
                  </w:pPr>
                  <w:r>
                    <w:rPr>
                      <w:rFonts w:ascii="Times New Roman" w:hAnsi="Times New Roman" w:cs="Times New Roman"/>
                      <w:color w:val="auto"/>
                      <w:kern w:val="0"/>
                      <w:szCs w:val="21"/>
                      <w:lang w:val="en-US" w:eastAsia="zh-CN"/>
                    </w:rPr>
                    <w:t>汽化炉</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i w:val="0"/>
                      <w:iCs w:val="0"/>
                      <w:color w:val="auto"/>
                      <w:kern w:val="0"/>
                      <w:sz w:val="21"/>
                      <w:szCs w:val="21"/>
                      <w:highlight w:val="none"/>
                      <w:u w:val="none"/>
                      <w:lang w:val="en-US" w:eastAsia="zh-CN"/>
                    </w:rPr>
                    <w:t>57</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42</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24.5</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40</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25.0</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20</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31.0</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66</w:t>
                  </w:r>
                </w:p>
              </w:tc>
              <w:tc>
                <w:tcPr>
                  <w:tcW w:w="595" w:type="pct"/>
                  <w:tcBorders>
                    <w:top w:val="single" w:color="auto" w:sz="4" w:space="0"/>
                    <w:lef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op w:val="single" w:color="auto" w:sz="4" w:space="0"/>
                    <w:right w:val="single" w:color="auto" w:sz="4" w:space="0"/>
                  </w:tcBorders>
                  <w:noWrap/>
                  <w:tcMar>
                    <w:left w:w="28" w:type="dxa"/>
                    <w:right w:w="28" w:type="dxa"/>
                  </w:tcMar>
                  <w:vAlign w:val="center"/>
                </w:tcPr>
                <w:p>
                  <w:pPr>
                    <w:keepNext w:val="0"/>
                    <w:keepLines w:val="0"/>
                    <w:pageBreakBefore w:val="0"/>
                    <w:widowControl/>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kern w:val="0"/>
                      <w:szCs w:val="21"/>
                    </w:rPr>
                    <w:t>燃烧风机</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ascii="Times New Roman" w:hAnsi="Times New Roman" w:eastAsia="宋体" w:cs="Times New Roman"/>
                      <w:i w:val="0"/>
                      <w:iCs w:val="0"/>
                      <w:color w:val="auto"/>
                      <w:kern w:val="0"/>
                      <w:sz w:val="21"/>
                      <w:szCs w:val="21"/>
                      <w:highlight w:val="none"/>
                      <w:u w:val="none"/>
                      <w:lang w:val="en-US" w:eastAsia="zh-CN"/>
                    </w:rPr>
                  </w:pPr>
                  <w:r>
                    <w:rPr>
                      <w:rFonts w:ascii="Times New Roman" w:hAnsi="Times New Roman" w:eastAsia="宋体" w:cs="Times New Roman"/>
                      <w:i w:val="0"/>
                      <w:iCs w:val="0"/>
                      <w:color w:val="auto"/>
                      <w:kern w:val="0"/>
                      <w:sz w:val="21"/>
                      <w:szCs w:val="21"/>
                      <w:highlight w:val="none"/>
                      <w:u w:val="none"/>
                      <w:lang w:val="en-US" w:eastAsia="zh-CN"/>
                    </w:rPr>
                    <w:t>55.9</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37</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24.5</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50</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21.9</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22</w:t>
                  </w:r>
                </w:p>
              </w:tc>
              <w:tc>
                <w:tcPr>
                  <w:tcW w:w="594"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29.0</w:t>
                  </w:r>
                </w:p>
              </w:tc>
              <w:tc>
                <w:tcPr>
                  <w:tcW w:w="437" w:type="pct"/>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52</w:t>
                  </w:r>
                </w:p>
              </w:tc>
              <w:tc>
                <w:tcPr>
                  <w:tcW w:w="595" w:type="pct"/>
                  <w:tcBorders>
                    <w:top w:val="single" w:color="auto" w:sz="4" w:space="0"/>
                    <w:lef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ind w:left="0" w:firstLine="0"/>
                    <w:jc w:val="center"/>
                    <w:textAlignment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op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预测值</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firstLine="0"/>
                    <w:jc w:val="center"/>
                    <w:textAlignment w:val="center"/>
                    <w:rPr>
                      <w:rFonts w:ascii="Times New Roman" w:hAnsi="Times New Roman" w:eastAsia="宋体" w:cs="Times New Roman"/>
                      <w:b/>
                      <w:bCs/>
                      <w:color w:val="auto"/>
                      <w:sz w:val="21"/>
                      <w:szCs w:val="21"/>
                      <w:highlight w:val="none"/>
                      <w:u w:val="none"/>
                      <w:lang w:val="en-US" w:eastAsia="zh-CN"/>
                    </w:rPr>
                  </w:pPr>
                  <w:r>
                    <w:rPr>
                      <w:rFonts w:ascii="Times New Roman" w:hAnsi="Times New Roman" w:cs="Times New Roman"/>
                      <w:b/>
                      <w:bCs/>
                      <w:color w:val="auto"/>
                      <w:sz w:val="21"/>
                      <w:szCs w:val="21"/>
                      <w:highlight w:val="none"/>
                      <w:u w:val="none"/>
                      <w:lang w:val="en-US" w:eastAsia="zh-CN"/>
                    </w:rPr>
                    <w:t>34.5</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firstLine="0"/>
                    <w:jc w:val="center"/>
                    <w:textAlignment w:val="center"/>
                    <w:rPr>
                      <w:rFonts w:ascii="Times New Roman" w:hAnsi="Times New Roman" w:eastAsia="宋体" w:cs="Times New Roman"/>
                      <w:b/>
                      <w:bCs/>
                      <w:color w:val="auto"/>
                      <w:sz w:val="21"/>
                      <w:szCs w:val="21"/>
                      <w:highlight w:val="none"/>
                      <w:u w:val="none"/>
                      <w:lang w:val="en-US" w:eastAsia="zh-CN"/>
                    </w:rPr>
                  </w:pPr>
                  <w:r>
                    <w:rPr>
                      <w:rFonts w:ascii="Times New Roman" w:hAnsi="Times New Roman" w:cs="Times New Roman"/>
                      <w:b/>
                      <w:bCs/>
                      <w:color w:val="auto"/>
                      <w:sz w:val="21"/>
                      <w:szCs w:val="21"/>
                      <w:highlight w:val="none"/>
                      <w:u w:val="none"/>
                      <w:lang w:val="en-US" w:eastAsia="zh-CN"/>
                    </w:rPr>
                    <w:t>29.69</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firstLine="0"/>
                    <w:jc w:val="center"/>
                    <w:textAlignment w:val="center"/>
                    <w:rPr>
                      <w:rFonts w:ascii="Times New Roman" w:hAnsi="Times New Roman" w:eastAsia="宋体" w:cs="Times New Roman"/>
                      <w:b/>
                      <w:bCs/>
                      <w:color w:val="auto"/>
                      <w:sz w:val="21"/>
                      <w:szCs w:val="21"/>
                      <w:highlight w:val="none"/>
                      <w:u w:val="none"/>
                      <w:lang w:val="en-US" w:eastAsia="zh-CN"/>
                    </w:rPr>
                  </w:pPr>
                  <w:r>
                    <w:rPr>
                      <w:rFonts w:ascii="Times New Roman" w:hAnsi="Times New Roman" w:cs="Times New Roman"/>
                      <w:b/>
                      <w:bCs/>
                      <w:color w:val="auto"/>
                      <w:sz w:val="21"/>
                      <w:szCs w:val="21"/>
                      <w:highlight w:val="none"/>
                      <w:u w:val="none"/>
                      <w:lang w:val="en-US" w:eastAsia="zh-CN"/>
                    </w:rPr>
                    <w:t>35.64</w:t>
                  </w:r>
                </w:p>
              </w:tc>
              <w:tc>
                <w:tcPr>
                  <w:tcW w:w="1033" w:type="pct"/>
                  <w:gridSpan w:val="2"/>
                  <w:tcBorders>
                    <w:top w:val="single" w:color="auto" w:sz="4" w:space="0"/>
                    <w:left w:val="single" w:color="auto" w:sz="4" w:space="0"/>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spacing w:line="240" w:lineRule="auto"/>
                    <w:ind w:left="0" w:firstLine="0"/>
                    <w:jc w:val="center"/>
                    <w:textAlignment w:val="center"/>
                    <w:rPr>
                      <w:rFonts w:ascii="Times New Roman" w:hAnsi="Times New Roman" w:eastAsia="宋体" w:cs="Times New Roman"/>
                      <w:b/>
                      <w:bCs/>
                      <w:color w:val="auto"/>
                      <w:sz w:val="21"/>
                      <w:szCs w:val="21"/>
                      <w:highlight w:val="none"/>
                      <w:u w:val="none"/>
                      <w:lang w:val="en-US" w:eastAsia="zh-CN"/>
                    </w:rPr>
                  </w:pPr>
                  <w:r>
                    <w:rPr>
                      <w:rFonts w:ascii="Times New Roman" w:hAnsi="Times New Roman" w:cs="Times New Roman"/>
                      <w:b/>
                      <w:bCs/>
                      <w:color w:val="auto"/>
                      <w:sz w:val="21"/>
                      <w:szCs w:val="21"/>
                      <w:highlight w:val="none"/>
                      <w:u w:val="none"/>
                      <w:lang w:val="en-US" w:eastAsia="zh-CN"/>
                    </w:rPr>
                    <w:t>33.15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47" w:type="pct"/>
                  <w:vMerge w:val="restart"/>
                  <w:tcBorders>
                    <w:top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达标值</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昼间</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rPr>
                    <w:t>6</w:t>
                  </w:r>
                  <w:r>
                    <w:rPr>
                      <w:rFonts w:ascii="Times New Roman" w:hAnsi="Times New Roman" w:eastAsia="宋体" w:cs="Times New Roman"/>
                      <w:color w:val="auto"/>
                      <w:sz w:val="21"/>
                      <w:szCs w:val="21"/>
                      <w:highlight w:val="none"/>
                      <w:u w:val="none"/>
                      <w:lang w:val="en-US" w:eastAsia="zh-CN"/>
                    </w:rPr>
                    <w:t>5</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rPr>
                    <w:t>6</w:t>
                  </w:r>
                  <w:r>
                    <w:rPr>
                      <w:rFonts w:ascii="Times New Roman" w:hAnsi="Times New Roman" w:eastAsia="宋体" w:cs="Times New Roman"/>
                      <w:color w:val="auto"/>
                      <w:sz w:val="21"/>
                      <w:szCs w:val="21"/>
                      <w:highlight w:val="none"/>
                      <w:u w:val="none"/>
                      <w:lang w:val="en-US" w:eastAsia="zh-CN"/>
                    </w:rPr>
                    <w:t>5</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rPr>
                    <w:t>6</w:t>
                  </w:r>
                  <w:r>
                    <w:rPr>
                      <w:rFonts w:ascii="Times New Roman" w:hAnsi="Times New Roman" w:eastAsia="宋体" w:cs="Times New Roman"/>
                      <w:color w:val="auto"/>
                      <w:sz w:val="21"/>
                      <w:szCs w:val="21"/>
                      <w:highlight w:val="none"/>
                      <w:u w:val="none"/>
                      <w:lang w:val="en-US" w:eastAsia="zh-CN"/>
                    </w:rPr>
                    <w:t>5</w:t>
                  </w:r>
                </w:p>
              </w:tc>
              <w:tc>
                <w:tcPr>
                  <w:tcW w:w="1033" w:type="pct"/>
                  <w:gridSpan w:val="2"/>
                  <w:tcBorders>
                    <w:top w:val="single" w:color="auto" w:sz="4" w:space="0"/>
                    <w:lef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eastAsia="宋体" w:cs="Times New Roman"/>
                      <w:color w:val="auto"/>
                      <w:sz w:val="21"/>
                      <w:szCs w:val="21"/>
                      <w:highlight w:val="none"/>
                      <w:u w:val="none"/>
                    </w:rPr>
                    <w:t>6</w:t>
                  </w:r>
                  <w:r>
                    <w:rPr>
                      <w:rFonts w:ascii="Times New Roman" w:hAnsi="Times New Roman" w:eastAsia="宋体" w:cs="Times New Roman"/>
                      <w:color w:val="auto"/>
                      <w:sz w:val="21"/>
                      <w:szCs w:val="21"/>
                      <w:highlight w:val="none"/>
                      <w:u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47" w:type="pct"/>
                  <w:vMerge w:val="continue"/>
                  <w:tcBorders>
                    <w:top w:val="single" w:color="auto" w:sz="4" w:space="0"/>
                    <w:right w:val="single" w:color="auto" w:sz="4" w:space="0"/>
                  </w:tcBorders>
                  <w:noWrap/>
                  <w:tcMar>
                    <w:left w:w="28" w:type="dxa"/>
                    <w:right w:w="28" w:type="dxa"/>
                  </w:tcMar>
                  <w:vAlign w:val="center"/>
                </w:tcP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夜间</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55</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55</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55</w:t>
                  </w:r>
                </w:p>
              </w:tc>
              <w:tc>
                <w:tcPr>
                  <w:tcW w:w="1033" w:type="pct"/>
                  <w:gridSpan w:val="2"/>
                  <w:tcBorders>
                    <w:top w:val="single" w:color="auto" w:sz="4" w:space="0"/>
                    <w:lef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op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达标情况</w:t>
                  </w:r>
                </w:p>
              </w:tc>
              <w:tc>
                <w:tcPr>
                  <w:tcW w:w="624" w:type="pct"/>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w:t>
                  </w:r>
                </w:p>
              </w:tc>
              <w:tc>
                <w:tcPr>
                  <w:tcW w:w="1031" w:type="pct"/>
                  <w:gridSpan w:val="2"/>
                  <w:tcBorders>
                    <w:top w:val="single" w:color="auto" w:sz="4" w:space="0"/>
                    <w:left w:val="single" w:color="auto" w:sz="4" w:space="0"/>
                    <w:righ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w:t>
                  </w:r>
                </w:p>
              </w:tc>
              <w:tc>
                <w:tcPr>
                  <w:tcW w:w="1033" w:type="pct"/>
                  <w:gridSpan w:val="2"/>
                  <w:tcBorders>
                    <w:top w:val="single" w:color="auto" w:sz="4" w:space="0"/>
                    <w:left w:val="single" w:color="auto" w:sz="4" w:space="0"/>
                  </w:tcBorders>
                  <w:noWrap/>
                  <w:tcMar>
                    <w:left w:w="28" w:type="dxa"/>
                    <w:right w:w="28" w:type="dxa"/>
                  </w:tcMar>
                  <w:vAlign w:val="center"/>
                </w:tcPr>
                <w:p>
                  <w:pPr>
                    <w:pStyle w:val="33"/>
                    <w:keepNext w:val="0"/>
                    <w:keepLines w:val="0"/>
                    <w:pageBreakBefore w:val="0"/>
                    <w:widowControl w:val="0"/>
                    <w:kinsoku/>
                    <w:wordWrap/>
                    <w:overflowPunct/>
                    <w:topLinePunct w:val="0"/>
                    <w:autoSpaceDE/>
                    <w:autoSpaceDN/>
                    <w:bidi w:val="0"/>
                    <w:spacing w:before="10" w:beforeLines="0" w:after="0" w:afterLines="0" w:line="240" w:lineRule="auto"/>
                    <w:ind w:left="0"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由表4-9预测结果可见，采取治理措施后，项目机械设备噪声对场界各侧场界的贡献值较小，其噪声源对厂界的贡献值及各点厂界噪声都能达到《工业企业厂界环境噪声排放标准》（GB12348-2008）中的</w:t>
            </w:r>
            <w:r>
              <w:rPr>
                <w:rFonts w:ascii="Times New Roman" w:hAnsi="Times New Roman" w:eastAsia="宋体" w:cs="Times New Roman"/>
                <w:color w:val="auto"/>
                <w:sz w:val="24"/>
                <w:szCs w:val="24"/>
                <w:highlight w:val="none"/>
                <w:u w:val="none"/>
                <w:lang w:val="en-US" w:eastAsia="zh-CN"/>
              </w:rPr>
              <w:t>3</w:t>
            </w:r>
            <w:r>
              <w:rPr>
                <w:rFonts w:ascii="Times New Roman" w:hAnsi="Times New Roman" w:eastAsia="宋体" w:cs="Times New Roman"/>
                <w:color w:val="auto"/>
                <w:sz w:val="24"/>
                <w:szCs w:val="24"/>
                <w:highlight w:val="none"/>
                <w:u w:val="none"/>
              </w:rPr>
              <w:t>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bCs/>
                <w:color w:val="auto"/>
                <w:sz w:val="24"/>
              </w:rPr>
            </w:pPr>
            <w:r>
              <w:rPr>
                <w:rFonts w:ascii="Times New Roman" w:hAnsi="Times New Roman" w:cs="Times New Roman"/>
                <w:color w:val="auto"/>
                <w:sz w:val="24"/>
                <w:szCs w:val="24"/>
                <w:highlight w:val="none"/>
              </w:rPr>
              <w:t>综上，在采取上述噪声治理措施后，经过建筑隔音和距离衰减，本项目厂界</w:t>
            </w:r>
            <w:r>
              <w:rPr>
                <w:rFonts w:ascii="Times New Roman" w:hAnsi="Times New Roman" w:cs="Times New Roman"/>
                <w:color w:val="auto"/>
                <w:sz w:val="24"/>
                <w:szCs w:val="24"/>
                <w:highlight w:val="none"/>
                <w:lang w:val="en-US" w:eastAsia="zh-CN"/>
              </w:rPr>
              <w:t>昼间</w:t>
            </w:r>
            <w:r>
              <w:rPr>
                <w:rFonts w:ascii="Times New Roman" w:hAnsi="Times New Roman" w:cs="Times New Roman"/>
                <w:color w:val="auto"/>
                <w:sz w:val="24"/>
                <w:szCs w:val="24"/>
                <w:highlight w:val="none"/>
              </w:rPr>
              <w:t>噪声</w:t>
            </w:r>
            <w:r>
              <w:rPr>
                <w:rFonts w:ascii="Times New Roman" w:hAnsi="Times New Roman" w:cs="Times New Roman"/>
                <w:color w:val="auto"/>
                <w:sz w:val="24"/>
                <w:szCs w:val="24"/>
                <w:highlight w:val="none"/>
                <w:lang w:val="en-US" w:eastAsia="zh-CN"/>
              </w:rPr>
              <w:t>排放值</w:t>
            </w:r>
            <w:r>
              <w:rPr>
                <w:rFonts w:ascii="Times New Roman" w:hAnsi="Times New Roman" w:cs="Times New Roman"/>
                <w:color w:val="auto"/>
                <w:sz w:val="24"/>
                <w:szCs w:val="24"/>
                <w:highlight w:val="none"/>
              </w:rPr>
              <w:t>满足《工业企业厂界环境噪声排放标准》（GB12348-2008</w:t>
            </w:r>
            <w:r>
              <w:rPr>
                <w:rFonts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rPr>
              <w:t>类标准限值要求，本项目噪声治理措施有效、可行</w:t>
            </w:r>
            <w:r>
              <w:rPr>
                <w:rFonts w:ascii="Times New Roman" w:hAnsi="Times New Roman" w:cs="Times New Roman"/>
                <w:bCs/>
                <w:color w:val="auto"/>
                <w:sz w:val="24"/>
              </w:rPr>
              <w:t>。</w:t>
            </w:r>
          </w:p>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jc w:val="both"/>
              <w:textAlignment w:val="auto"/>
              <w:rPr>
                <w:rFonts w:ascii="Times New Roman" w:hAnsi="Times New Roman" w:cs="Times New Roman"/>
                <w:b/>
                <w:color w:val="auto"/>
              </w:rPr>
            </w:pPr>
            <w:r>
              <w:rPr>
                <w:rFonts w:ascii="Times New Roman" w:hAnsi="Times New Roman" w:cs="Times New Roman"/>
                <w:b/>
                <w:color w:val="auto"/>
              </w:rPr>
              <w:t>（</w:t>
            </w:r>
            <w:r>
              <w:rPr>
                <w:rFonts w:ascii="Times New Roman" w:hAnsi="Times New Roman" w:cs="Times New Roman"/>
                <w:b/>
                <w:color w:val="auto"/>
                <w:lang w:val="en-US" w:eastAsia="zh-CN"/>
              </w:rPr>
              <w:t>3</w:t>
            </w:r>
            <w:r>
              <w:rPr>
                <w:rFonts w:ascii="Times New Roman" w:hAnsi="Times New Roman" w:cs="Times New Roman"/>
                <w:b/>
                <w:color w:val="auto"/>
              </w:rPr>
              <w:t>）监测计划</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420" w:leftChars="200" w:right="0"/>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本项目噪声监测计划如下表所示。</w:t>
            </w:r>
          </w:p>
          <w:p>
            <w:pPr>
              <w:pStyle w:val="2"/>
              <w:adjustRightInd w:val="0"/>
              <w:snapToGrid w:val="0"/>
              <w:spacing w:before="0" w:after="0" w:line="240" w:lineRule="auto"/>
              <w:ind w:left="420" w:leftChars="200" w:right="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eastAsia" w:cs="Times New Roman"/>
                <w:b/>
                <w:bCs/>
                <w:color w:val="auto"/>
                <w:sz w:val="21"/>
                <w:szCs w:val="21"/>
                <w:lang w:val="en-US" w:eastAsia="zh-CN"/>
              </w:rPr>
              <w:t>7</w:t>
            </w:r>
            <w:r>
              <w:rPr>
                <w:rFonts w:ascii="Times New Roman" w:hAnsi="Times New Roman" w:cs="Times New Roman"/>
                <w:b/>
                <w:bCs/>
                <w:color w:val="auto"/>
                <w:sz w:val="21"/>
                <w:szCs w:val="21"/>
              </w:rPr>
              <w:t xml:space="preserve"> 噪声环境监测计划</w:t>
            </w:r>
          </w:p>
          <w:tbl>
            <w:tblPr>
              <w:tblStyle w:val="2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529"/>
              <w:gridCol w:w="1185"/>
              <w:gridCol w:w="3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类别</w:t>
                  </w:r>
                </w:p>
              </w:tc>
              <w:tc>
                <w:tcPr>
                  <w:tcW w:w="1529"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监测位置</w:t>
                  </w:r>
                </w:p>
              </w:tc>
              <w:tc>
                <w:tcPr>
                  <w:tcW w:w="1185"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监测项目</w:t>
                  </w:r>
                </w:p>
              </w:tc>
              <w:tc>
                <w:tcPr>
                  <w:tcW w:w="3767"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2" w:type="dxa"/>
                  <w:tcBorders>
                    <w:tl2br w:val="nil"/>
                    <w:tr2bl w:val="nil"/>
                  </w:tcBorders>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噪声</w:t>
                  </w:r>
                </w:p>
              </w:tc>
              <w:tc>
                <w:tcPr>
                  <w:tcW w:w="1529" w:type="dxa"/>
                  <w:tcBorders>
                    <w:tl2br w:val="nil"/>
                    <w:tr2bl w:val="nil"/>
                  </w:tcBorders>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厂界4周</w:t>
                  </w:r>
                </w:p>
              </w:tc>
              <w:tc>
                <w:tcPr>
                  <w:tcW w:w="1185" w:type="dxa"/>
                  <w:tcBorders>
                    <w:tl2br w:val="nil"/>
                    <w:tr2bl w:val="nil"/>
                  </w:tcBorders>
                  <w:vAlign w:val="center"/>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厂界噪声</w:t>
                  </w:r>
                </w:p>
              </w:tc>
              <w:tc>
                <w:tcPr>
                  <w:tcW w:w="3767" w:type="dxa"/>
                  <w:tcBorders>
                    <w:tl2br w:val="nil"/>
                    <w:tr2bl w:val="nil"/>
                  </w:tcBorders>
                </w:tcPr>
                <w:p>
                  <w:pPr>
                    <w:widowControl/>
                    <w:jc w:val="center"/>
                    <w:textAlignment w:val="center"/>
                    <w:rPr>
                      <w:rFonts w:ascii="Times New Roman" w:hAnsi="Times New Roman" w:cs="Times New Roman"/>
                      <w:color w:val="auto"/>
                      <w:kern w:val="0"/>
                      <w:szCs w:val="21"/>
                    </w:rPr>
                  </w:pPr>
                  <w:r>
                    <w:rPr>
                      <w:rFonts w:ascii="Times New Roman" w:hAnsi="Times New Roman" w:cs="Times New Roman"/>
                      <w:color w:val="auto"/>
                      <w:kern w:val="0"/>
                      <w:szCs w:val="21"/>
                    </w:rPr>
                    <w:t>4次/年，每次1天，每天昼、夜各1次</w:t>
                  </w:r>
                </w:p>
              </w:tc>
            </w:tr>
          </w:tbl>
          <w:p>
            <w:pPr>
              <w:adjustRightInd w:val="0"/>
              <w:snapToGrid w:val="0"/>
              <w:spacing w:before="120" w:beforeLines="50" w:line="360" w:lineRule="auto"/>
              <w:ind w:firstLine="482" w:firstLineChars="200"/>
              <w:rPr>
                <w:rFonts w:ascii="Times New Roman" w:hAnsi="Times New Roman" w:cs="Times New Roman"/>
                <w:b/>
                <w:color w:val="auto"/>
                <w:sz w:val="24"/>
                <w:szCs w:val="28"/>
              </w:rPr>
            </w:pPr>
            <w:r>
              <w:rPr>
                <w:rFonts w:ascii="Times New Roman" w:hAnsi="Times New Roman" w:cs="Times New Roman"/>
                <w:b/>
                <w:color w:val="auto"/>
                <w:sz w:val="24"/>
                <w:szCs w:val="28"/>
              </w:rPr>
              <w:t>1.4</w:t>
            </w:r>
            <w:r>
              <w:rPr>
                <w:rFonts w:ascii="Times New Roman" w:hAnsi="Times New Roman" w:cs="Times New Roman"/>
                <w:b/>
                <w:color w:val="auto"/>
                <w:sz w:val="24"/>
              </w:rPr>
              <w:t>营运</w:t>
            </w:r>
            <w:r>
              <w:rPr>
                <w:rFonts w:ascii="Times New Roman" w:hAnsi="Times New Roman" w:cs="Times New Roman"/>
                <w:b/>
                <w:color w:val="auto"/>
                <w:sz w:val="24"/>
                <w:szCs w:val="28"/>
              </w:rPr>
              <w:t>期固废影响分析</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本项目运营期产生的固体废物主要为一般固体废物、危险废物。</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一般固废主要为生活垃圾</w:t>
            </w:r>
            <w:r>
              <w:rPr>
                <w:rFonts w:hint="eastAsia" w:cs="Times New Roman"/>
                <w:color w:val="auto"/>
                <w:sz w:val="24"/>
                <w:lang w:eastAsia="zh-CN"/>
              </w:rPr>
              <w:t>，</w:t>
            </w:r>
            <w:r>
              <w:rPr>
                <w:rFonts w:hint="eastAsia" w:cs="Times New Roman"/>
                <w:color w:val="auto"/>
                <w:sz w:val="24"/>
                <w:lang w:val="en-US" w:eastAsia="zh-CN"/>
              </w:rPr>
              <w:t>炉渣、除尘器收尘</w:t>
            </w:r>
            <w:r>
              <w:rPr>
                <w:rFonts w:ascii="Times New Roman" w:hAnsi="Times New Roman" w:cs="Times New Roman"/>
                <w:color w:val="auto"/>
                <w:sz w:val="24"/>
              </w:rPr>
              <w:t>；</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危险废物包括：废机油及桶</w:t>
            </w:r>
            <w:r>
              <w:rPr>
                <w:rFonts w:hint="eastAsia" w:cs="Times New Roman"/>
                <w:color w:val="auto"/>
                <w:sz w:val="24"/>
                <w:lang w:eastAsia="zh-CN"/>
              </w:rPr>
              <w:t>、</w:t>
            </w:r>
            <w:r>
              <w:rPr>
                <w:rFonts w:ascii="Times New Roman" w:hAnsi="Times New Roman" w:cs="Times New Roman"/>
                <w:color w:val="auto"/>
                <w:sz w:val="24"/>
              </w:rPr>
              <w:t>废含油手套抹布</w:t>
            </w:r>
            <w:r>
              <w:rPr>
                <w:rFonts w:hint="eastAsia" w:cs="Times New Roman"/>
                <w:color w:val="auto"/>
                <w:sz w:val="24"/>
                <w:lang w:eastAsia="zh-CN"/>
              </w:rPr>
              <w:t>、</w:t>
            </w:r>
            <w:r>
              <w:rPr>
                <w:rFonts w:ascii="Times New Roman" w:hAnsi="Times New Roman" w:cs="Times New Roman"/>
                <w:color w:val="auto"/>
                <w:sz w:val="24"/>
              </w:rPr>
              <w:t>废离子交换树脂</w:t>
            </w:r>
            <w:r>
              <w:rPr>
                <w:rFonts w:hint="eastAsia" w:cs="Times New Roman"/>
                <w:color w:val="auto"/>
                <w:sz w:val="24"/>
                <w:lang w:eastAsia="zh-CN"/>
              </w:rPr>
              <w:t>、</w:t>
            </w:r>
            <w:r>
              <w:rPr>
                <w:rFonts w:ascii="Times New Roman" w:hAnsi="Times New Roman" w:cs="Times New Roman"/>
                <w:color w:val="auto"/>
                <w:sz w:val="24"/>
              </w:rPr>
              <w:t>废催化剂。</w:t>
            </w:r>
          </w:p>
          <w:p>
            <w:pPr>
              <w:pStyle w:val="2"/>
              <w:numPr>
                <w:ilvl w:val="0"/>
                <w:numId w:val="6"/>
              </w:numPr>
              <w:adjustRightInd w:val="0"/>
              <w:snapToGrid w:val="0"/>
              <w:spacing w:before="0" w:after="0" w:line="360" w:lineRule="auto"/>
              <w:ind w:left="148" w:right="0" w:firstLine="482"/>
              <w:rPr>
                <w:rFonts w:ascii="Times New Roman" w:hAnsi="Times New Roman" w:cs="Times New Roman"/>
                <w:b/>
                <w:bCs/>
                <w:color w:val="auto"/>
                <w:sz w:val="24"/>
                <w:szCs w:val="24"/>
              </w:rPr>
            </w:pPr>
            <w:r>
              <w:rPr>
                <w:rFonts w:ascii="Times New Roman" w:hAnsi="Times New Roman" w:cs="Times New Roman"/>
                <w:b/>
                <w:bCs/>
                <w:color w:val="auto"/>
                <w:sz w:val="24"/>
                <w:szCs w:val="24"/>
              </w:rPr>
              <w:t>一般固废</w:t>
            </w:r>
          </w:p>
          <w:p>
            <w:pPr>
              <w:pStyle w:val="2"/>
              <w:adjustRightInd w:val="0"/>
              <w:snapToGrid w:val="0"/>
              <w:spacing w:before="0" w:after="0" w:line="360" w:lineRule="auto"/>
              <w:ind w:right="0" w:firstLine="482" w:firstLineChars="200"/>
              <w:rPr>
                <w:rFonts w:ascii="Times New Roman" w:hAnsi="Times New Roman" w:cs="Times New Roman"/>
                <w:color w:val="auto"/>
                <w:sz w:val="24"/>
                <w:szCs w:val="24"/>
              </w:rPr>
            </w:pPr>
            <w:r>
              <w:rPr>
                <w:rFonts w:ascii="Times New Roman" w:hAnsi="Times New Roman" w:cs="Times New Roman"/>
                <w:b/>
                <w:bCs/>
                <w:color w:val="auto"/>
                <w:sz w:val="24"/>
                <w:szCs w:val="24"/>
              </w:rPr>
              <w:t>生活垃圾：</w:t>
            </w:r>
            <w:r>
              <w:rPr>
                <w:rFonts w:ascii="Times New Roman" w:hAnsi="Times New Roman" w:cs="Times New Roman"/>
                <w:color w:val="auto"/>
                <w:sz w:val="24"/>
                <w:szCs w:val="24"/>
              </w:rPr>
              <w:t>本项目定员10人，生活垃圾产生量按0.5kg/人·d计，则生活垃圾产生量为5kg/d，1.</w:t>
            </w:r>
            <w:r>
              <w:rPr>
                <w:rFonts w:hint="eastAsia" w:cs="Times New Roman"/>
                <w:color w:val="auto"/>
                <w:sz w:val="24"/>
                <w:szCs w:val="24"/>
                <w:lang w:val="en-US" w:eastAsia="zh-CN"/>
              </w:rPr>
              <w:t>6</w:t>
            </w:r>
            <w:r>
              <w:rPr>
                <w:rFonts w:ascii="Times New Roman" w:hAnsi="Times New Roman" w:cs="Times New Roman"/>
                <w:color w:val="auto"/>
                <w:sz w:val="24"/>
                <w:szCs w:val="24"/>
              </w:rPr>
              <w:t>5t/a。生活垃圾由环卫部门统一收集处理。</w:t>
            </w:r>
          </w:p>
          <w:p>
            <w:pPr>
              <w:pStyle w:val="2"/>
              <w:adjustRightInd w:val="0"/>
              <w:snapToGrid w:val="0"/>
              <w:spacing w:before="0" w:after="0" w:line="360" w:lineRule="auto"/>
              <w:ind w:right="0" w:firstLine="482" w:firstLineChars="200"/>
              <w:rPr>
                <w:rFonts w:hint="eastAsia" w:cs="Times New Roman"/>
                <w:color w:val="auto"/>
                <w:sz w:val="24"/>
                <w:szCs w:val="24"/>
                <w:lang w:eastAsia="zh-CN"/>
              </w:rPr>
            </w:pPr>
            <w:r>
              <w:rPr>
                <w:rFonts w:hint="eastAsia" w:cs="Times New Roman"/>
                <w:b/>
                <w:bCs/>
                <w:color w:val="auto"/>
                <w:sz w:val="24"/>
                <w:szCs w:val="24"/>
                <w:lang w:eastAsia="zh-CN"/>
              </w:rPr>
              <w:t>气化炉灰渣：</w:t>
            </w:r>
            <w:r>
              <w:rPr>
                <w:rFonts w:hint="eastAsia" w:cs="Times New Roman"/>
                <w:color w:val="auto"/>
                <w:sz w:val="24"/>
                <w:szCs w:val="24"/>
                <w:lang w:eastAsia="zh-CN"/>
              </w:rPr>
              <w:t>生物质经气化炉气化后生成碳化物，属于一般固废。根据气化炉工程单位介绍，生物质气化过程中的产碳率约为7~8%，</w:t>
            </w:r>
            <w:r>
              <w:rPr>
                <w:rFonts w:hint="eastAsia" w:cs="Times New Roman"/>
                <w:color w:val="auto"/>
                <w:sz w:val="24"/>
                <w:szCs w:val="24"/>
                <w:lang w:val="en-US" w:eastAsia="zh-CN"/>
              </w:rPr>
              <w:t>本</w:t>
            </w:r>
            <w:r>
              <w:rPr>
                <w:rFonts w:hint="eastAsia" w:cs="Times New Roman"/>
                <w:color w:val="auto"/>
                <w:sz w:val="24"/>
                <w:szCs w:val="24"/>
                <w:lang w:eastAsia="zh-CN"/>
              </w:rPr>
              <w:t>取最大值8%计，则</w:t>
            </w:r>
            <w:r>
              <w:rPr>
                <w:rFonts w:hint="eastAsia" w:cs="Times New Roman"/>
                <w:color w:val="auto"/>
                <w:sz w:val="24"/>
                <w:szCs w:val="24"/>
                <w:lang w:val="en-US" w:eastAsia="zh-CN"/>
              </w:rPr>
              <w:t>灰渣</w:t>
            </w:r>
            <w:r>
              <w:rPr>
                <w:rFonts w:hint="eastAsia" w:cs="Times New Roman"/>
                <w:color w:val="auto"/>
                <w:sz w:val="24"/>
                <w:szCs w:val="24"/>
                <w:lang w:eastAsia="zh-CN"/>
              </w:rPr>
              <w:t>产量为</w:t>
            </w:r>
            <w:r>
              <w:rPr>
                <w:rFonts w:hint="eastAsia" w:cs="Times New Roman"/>
                <w:color w:val="auto"/>
                <w:sz w:val="24"/>
                <w:szCs w:val="24"/>
                <w:lang w:val="en-US" w:eastAsia="zh-CN"/>
              </w:rPr>
              <w:t>1638.08</w:t>
            </w:r>
            <w:r>
              <w:rPr>
                <w:rFonts w:hint="eastAsia" w:cs="Times New Roman"/>
                <w:color w:val="auto"/>
                <w:sz w:val="24"/>
                <w:szCs w:val="24"/>
                <w:lang w:eastAsia="zh-CN"/>
              </w:rPr>
              <w:t>t/a，</w:t>
            </w:r>
            <w:r>
              <w:rPr>
                <w:rFonts w:hint="eastAsia" w:cs="Times New Roman"/>
                <w:color w:val="auto"/>
                <w:sz w:val="24"/>
                <w:szCs w:val="24"/>
                <w:lang w:val="en-US" w:eastAsia="zh-CN"/>
              </w:rPr>
              <w:t>灰渣</w:t>
            </w:r>
            <w:r>
              <w:rPr>
                <w:rFonts w:hint="eastAsia" w:cs="Times New Roman"/>
                <w:color w:val="auto"/>
                <w:sz w:val="24"/>
                <w:szCs w:val="24"/>
                <w:lang w:eastAsia="zh-CN"/>
              </w:rPr>
              <w:t>收集后作为下游企业的原料，外售处理。</w:t>
            </w:r>
          </w:p>
          <w:p>
            <w:pPr>
              <w:pStyle w:val="2"/>
              <w:adjustRightInd w:val="0"/>
              <w:snapToGrid w:val="0"/>
              <w:spacing w:before="0" w:after="0" w:line="360" w:lineRule="auto"/>
              <w:ind w:right="0" w:firstLine="482" w:firstLineChars="200"/>
              <w:rPr>
                <w:rFonts w:hint="eastAsia" w:ascii="Times New Roman" w:hAnsi="Times New Roman" w:eastAsia="宋体" w:cs="Times New Roman"/>
                <w:color w:val="auto"/>
                <w:sz w:val="24"/>
                <w:szCs w:val="24"/>
                <w:lang w:eastAsia="zh-CN"/>
              </w:rPr>
            </w:pPr>
            <w:r>
              <w:rPr>
                <w:rFonts w:hint="eastAsia" w:cs="Times New Roman"/>
                <w:b/>
                <w:bCs/>
                <w:color w:val="auto"/>
                <w:sz w:val="24"/>
                <w:szCs w:val="24"/>
                <w:lang w:eastAsia="zh-CN"/>
              </w:rPr>
              <w:t>除尘器</w:t>
            </w:r>
            <w:r>
              <w:rPr>
                <w:rFonts w:hint="eastAsia" w:cs="Times New Roman"/>
                <w:b/>
                <w:bCs/>
                <w:color w:val="auto"/>
                <w:sz w:val="24"/>
                <w:szCs w:val="24"/>
                <w:lang w:val="en-US" w:eastAsia="zh-CN"/>
              </w:rPr>
              <w:t>收尘</w:t>
            </w:r>
            <w:r>
              <w:rPr>
                <w:rFonts w:hint="eastAsia" w:cs="Times New Roman"/>
                <w:b/>
                <w:bCs/>
                <w:color w:val="auto"/>
                <w:sz w:val="24"/>
                <w:szCs w:val="24"/>
                <w:lang w:eastAsia="zh-CN"/>
              </w:rPr>
              <w:t>：</w:t>
            </w:r>
            <w:r>
              <w:rPr>
                <w:rFonts w:hint="eastAsia" w:cs="Times New Roman"/>
                <w:color w:val="auto"/>
                <w:sz w:val="24"/>
                <w:szCs w:val="24"/>
                <w:lang w:eastAsia="zh-CN"/>
              </w:rPr>
              <w:t>项目粉尘渣主要来源于气化净化装置（旋风除尘）净化生物质气化燃气过程产生的粉尘渣、锅炉烟气处理装置中旋风除尘器</w:t>
            </w:r>
            <w:r>
              <w:rPr>
                <w:rFonts w:hint="eastAsia" w:cs="Times New Roman"/>
                <w:color w:val="auto"/>
                <w:sz w:val="24"/>
                <w:szCs w:val="24"/>
                <w:lang w:val="en-US" w:eastAsia="zh-CN"/>
              </w:rPr>
              <w:t>收集</w:t>
            </w:r>
            <w:r>
              <w:rPr>
                <w:rFonts w:hint="eastAsia" w:cs="Times New Roman"/>
                <w:color w:val="auto"/>
                <w:sz w:val="24"/>
                <w:szCs w:val="24"/>
                <w:lang w:eastAsia="zh-CN"/>
              </w:rPr>
              <w:t>的粉尘渣及无组织沉降的粉尘渣，属于一般固废。根据上文分析，气化过程中烟尘产生量为</w:t>
            </w:r>
            <w:r>
              <w:rPr>
                <w:rFonts w:hint="eastAsia" w:cs="Times New Roman"/>
                <w:color w:val="auto"/>
                <w:sz w:val="24"/>
                <w:szCs w:val="24"/>
                <w:lang w:val="en-US" w:eastAsia="zh-CN"/>
              </w:rPr>
              <w:t>10.035t</w:t>
            </w:r>
            <w:r>
              <w:rPr>
                <w:rFonts w:hint="eastAsia" w:cs="Times New Roman"/>
                <w:color w:val="auto"/>
                <w:sz w:val="24"/>
                <w:szCs w:val="24"/>
                <w:lang w:eastAsia="zh-CN"/>
              </w:rPr>
              <w:t>/a。由环卫部门统一收集处理。</w:t>
            </w:r>
          </w:p>
          <w:p>
            <w:pPr>
              <w:widowControl/>
              <w:jc w:val="center"/>
              <w:rPr>
                <w:b/>
                <w:bCs/>
                <w:color w:val="auto"/>
                <w:sz w:val="21"/>
                <w:szCs w:val="21"/>
              </w:rPr>
            </w:pPr>
            <w:r>
              <w:rPr>
                <w:b/>
                <w:bCs/>
                <w:color w:val="auto"/>
                <w:sz w:val="21"/>
                <w:szCs w:val="21"/>
              </w:rPr>
              <w:t>表4-</w:t>
            </w:r>
            <w:r>
              <w:rPr>
                <w:rFonts w:hint="eastAsia"/>
                <w:b/>
                <w:bCs/>
                <w:color w:val="auto"/>
                <w:sz w:val="21"/>
                <w:szCs w:val="21"/>
                <w:lang w:val="en-US" w:eastAsia="zh-CN"/>
              </w:rPr>
              <w:t>8</w:t>
            </w:r>
            <w:r>
              <w:rPr>
                <w:b/>
                <w:bCs/>
                <w:color w:val="auto"/>
                <w:sz w:val="21"/>
                <w:szCs w:val="21"/>
              </w:rPr>
              <w:t xml:space="preserve"> 建设项目一般固体废物产生及处置统计表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93"/>
              <w:gridCol w:w="638"/>
              <w:gridCol w:w="732"/>
              <w:gridCol w:w="1281"/>
              <w:gridCol w:w="727"/>
              <w:gridCol w:w="902"/>
              <w:gridCol w:w="552"/>
              <w:gridCol w:w="706"/>
              <w:gridCol w:w="881"/>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4" w:type="pct"/>
                  <w:tcBorders>
                    <w:top w:val="single" w:color="auto" w:sz="4" w:space="0"/>
                    <w:left w:val="single" w:color="auto" w:sz="4" w:space="0"/>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序号</w:t>
                  </w:r>
                </w:p>
              </w:tc>
              <w:tc>
                <w:tcPr>
                  <w:tcW w:w="401"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固废属性</w:t>
                  </w:r>
                </w:p>
              </w:tc>
              <w:tc>
                <w:tcPr>
                  <w:tcW w:w="460"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固废名称</w:t>
                  </w:r>
                </w:p>
              </w:tc>
              <w:tc>
                <w:tcPr>
                  <w:tcW w:w="805"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固废代码</w:t>
                  </w:r>
                </w:p>
              </w:tc>
              <w:tc>
                <w:tcPr>
                  <w:tcW w:w="457"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产生量（t/a）</w:t>
                  </w:r>
                </w:p>
              </w:tc>
              <w:tc>
                <w:tcPr>
                  <w:tcW w:w="567"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产生工序及装置</w:t>
                  </w:r>
                </w:p>
              </w:tc>
              <w:tc>
                <w:tcPr>
                  <w:tcW w:w="347"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形态</w:t>
                  </w:r>
                </w:p>
              </w:tc>
              <w:tc>
                <w:tcPr>
                  <w:tcW w:w="444"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产废周期</w:t>
                  </w:r>
                </w:p>
              </w:tc>
              <w:tc>
                <w:tcPr>
                  <w:tcW w:w="554"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贮存场所</w:t>
                  </w:r>
                </w:p>
              </w:tc>
              <w:tc>
                <w:tcPr>
                  <w:tcW w:w="777" w:type="pct"/>
                  <w:tcBorders>
                    <w:top w:val="single" w:color="auto" w:sz="4" w:space="0"/>
                    <w:left w:val="nil"/>
                    <w:bottom w:val="single" w:color="auto" w:sz="4" w:space="0"/>
                    <w:right w:val="single" w:color="auto" w:sz="4" w:space="0"/>
                  </w:tcBorders>
                  <w:noWrap/>
                  <w:vAlign w:val="center"/>
                </w:tcPr>
                <w:p>
                  <w:pPr>
                    <w:widowControl/>
                    <w:jc w:val="center"/>
                    <w:rPr>
                      <w:b/>
                      <w:color w:val="auto"/>
                      <w:kern w:val="0"/>
                      <w:szCs w:val="21"/>
                    </w:rPr>
                  </w:pPr>
                  <w:r>
                    <w:rPr>
                      <w:b/>
                      <w:color w:val="auto"/>
                      <w:kern w:val="0"/>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4" w:type="pct"/>
                  <w:tcBorders>
                    <w:top w:val="single" w:color="auto" w:sz="4" w:space="0"/>
                    <w:left w:val="single" w:color="auto" w:sz="4" w:space="0"/>
                    <w:bottom w:val="single" w:color="auto" w:sz="4" w:space="0"/>
                    <w:right w:val="single" w:color="auto" w:sz="4" w:space="0"/>
                  </w:tcBorders>
                  <w:noWrap/>
                  <w:vAlign w:val="center"/>
                </w:tcPr>
                <w:p>
                  <w:pPr>
                    <w:widowControl/>
                    <w:jc w:val="center"/>
                    <w:rPr>
                      <w:bCs/>
                      <w:color w:val="auto"/>
                      <w:kern w:val="0"/>
                      <w:szCs w:val="21"/>
                    </w:rPr>
                  </w:pPr>
                  <w:r>
                    <w:rPr>
                      <w:bCs/>
                      <w:color w:val="auto"/>
                      <w:kern w:val="0"/>
                      <w:szCs w:val="21"/>
                    </w:rPr>
                    <w:t>1</w:t>
                  </w:r>
                </w:p>
              </w:tc>
              <w:tc>
                <w:tcPr>
                  <w:tcW w:w="401"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rPr>
                  </w:pPr>
                  <w:r>
                    <w:rPr>
                      <w:color w:val="auto"/>
                      <w:kern w:val="0"/>
                      <w:szCs w:val="21"/>
                    </w:rPr>
                    <w:t>生活垃圾</w:t>
                  </w:r>
                </w:p>
              </w:tc>
              <w:tc>
                <w:tcPr>
                  <w:tcW w:w="460"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rPr>
                  </w:pPr>
                  <w:r>
                    <w:rPr>
                      <w:color w:val="auto"/>
                      <w:kern w:val="0"/>
                      <w:szCs w:val="21"/>
                    </w:rPr>
                    <w:t>生活垃圾</w:t>
                  </w:r>
                </w:p>
              </w:tc>
              <w:tc>
                <w:tcPr>
                  <w:tcW w:w="805"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rPr>
                  </w:pPr>
                  <w:r>
                    <w:rPr>
                      <w:color w:val="auto"/>
                      <w:kern w:val="0"/>
                      <w:szCs w:val="21"/>
                    </w:rPr>
                    <w:t>SW64其他垃圾900-099-S64</w:t>
                  </w:r>
                </w:p>
              </w:tc>
              <w:tc>
                <w:tcPr>
                  <w:tcW w:w="457" w:type="pct"/>
                  <w:tcBorders>
                    <w:top w:val="single" w:color="auto" w:sz="4" w:space="0"/>
                    <w:left w:val="nil"/>
                    <w:bottom w:val="single" w:color="auto" w:sz="4" w:space="0"/>
                    <w:right w:val="single" w:color="auto" w:sz="4" w:space="0"/>
                  </w:tcBorders>
                  <w:noWrap/>
                  <w:vAlign w:val="center"/>
                </w:tcPr>
                <w:p>
                  <w:pPr>
                    <w:snapToGrid w:val="0"/>
                    <w:jc w:val="center"/>
                    <w:rPr>
                      <w:rFonts w:eastAsia="宋体"/>
                      <w:color w:val="auto"/>
                      <w:kern w:val="0"/>
                      <w:szCs w:val="21"/>
                      <w:lang w:val="en-US" w:eastAsia="zh-CN"/>
                    </w:rPr>
                  </w:pPr>
                  <w:r>
                    <w:rPr>
                      <w:rFonts w:hint="eastAsia"/>
                      <w:color w:val="auto"/>
                      <w:kern w:val="0"/>
                      <w:szCs w:val="21"/>
                      <w:lang w:val="en-US" w:eastAsia="zh-CN"/>
                    </w:rPr>
                    <w:t>1.65</w:t>
                  </w:r>
                </w:p>
              </w:tc>
              <w:tc>
                <w:tcPr>
                  <w:tcW w:w="567"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rPr>
                  </w:pPr>
                  <w:r>
                    <w:rPr>
                      <w:color w:val="auto"/>
                      <w:kern w:val="0"/>
                      <w:szCs w:val="21"/>
                    </w:rPr>
                    <w:t>生活办公</w:t>
                  </w:r>
                </w:p>
              </w:tc>
              <w:tc>
                <w:tcPr>
                  <w:tcW w:w="347" w:type="pct"/>
                  <w:tcBorders>
                    <w:top w:val="single" w:color="auto" w:sz="4" w:space="0"/>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固态</w:t>
                  </w:r>
                </w:p>
              </w:tc>
              <w:tc>
                <w:tcPr>
                  <w:tcW w:w="444" w:type="pct"/>
                  <w:tcBorders>
                    <w:top w:val="single" w:color="auto" w:sz="4" w:space="0"/>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每天</w:t>
                  </w:r>
                </w:p>
              </w:tc>
              <w:tc>
                <w:tcPr>
                  <w:tcW w:w="554" w:type="pct"/>
                  <w:tcBorders>
                    <w:top w:val="single" w:color="auto" w:sz="4" w:space="0"/>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生活垃圾桶</w:t>
                  </w:r>
                </w:p>
              </w:tc>
              <w:tc>
                <w:tcPr>
                  <w:tcW w:w="777" w:type="pct"/>
                  <w:tcBorders>
                    <w:top w:val="single" w:color="auto" w:sz="4" w:space="0"/>
                    <w:left w:val="nil"/>
                    <w:bottom w:val="single" w:color="auto" w:sz="4" w:space="0"/>
                    <w:right w:val="single" w:color="auto" w:sz="4" w:space="0"/>
                  </w:tcBorders>
                  <w:noWrap/>
                  <w:vAlign w:val="center"/>
                </w:tcPr>
                <w:p>
                  <w:pPr>
                    <w:jc w:val="center"/>
                    <w:rPr>
                      <w:color w:val="auto"/>
                      <w:kern w:val="0"/>
                      <w:szCs w:val="21"/>
                    </w:rPr>
                  </w:pPr>
                  <w:r>
                    <w:rPr>
                      <w:rFonts w:hint="eastAsia"/>
                      <w:color w:val="auto"/>
                      <w:kern w:val="0"/>
                      <w:szCs w:val="21"/>
                    </w:rPr>
                    <w:t>由环卫部门统一收集处理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eastAsia="宋体"/>
                      <w:bCs/>
                      <w:color w:val="auto"/>
                      <w:kern w:val="0"/>
                      <w:szCs w:val="21"/>
                      <w:lang w:val="en-US" w:eastAsia="zh-CN"/>
                    </w:rPr>
                  </w:pPr>
                  <w:r>
                    <w:rPr>
                      <w:rFonts w:hint="eastAsia"/>
                      <w:bCs/>
                      <w:color w:val="auto"/>
                      <w:kern w:val="0"/>
                      <w:szCs w:val="21"/>
                      <w:lang w:val="en-US" w:eastAsia="zh-CN"/>
                    </w:rPr>
                    <w:t>2</w:t>
                  </w:r>
                </w:p>
              </w:tc>
              <w:tc>
                <w:tcPr>
                  <w:tcW w:w="401" w:type="pct"/>
                  <w:tcBorders>
                    <w:top w:val="single" w:color="auto" w:sz="4" w:space="0"/>
                    <w:left w:val="nil"/>
                    <w:bottom w:val="single" w:color="auto" w:sz="4" w:space="0"/>
                    <w:right w:val="single" w:color="auto" w:sz="4" w:space="0"/>
                  </w:tcBorders>
                  <w:noWrap/>
                  <w:vAlign w:val="center"/>
                </w:tcPr>
                <w:p>
                  <w:pPr>
                    <w:snapToGrid w:val="0"/>
                    <w:jc w:val="center"/>
                    <w:rPr>
                      <w:rFonts w:hint="eastAsia" w:eastAsia="宋体"/>
                      <w:color w:val="auto"/>
                      <w:kern w:val="0"/>
                      <w:szCs w:val="21"/>
                      <w:lang w:val="en-US" w:eastAsia="zh-CN"/>
                    </w:rPr>
                  </w:pPr>
                  <w:r>
                    <w:rPr>
                      <w:rFonts w:hint="eastAsia"/>
                      <w:color w:val="auto"/>
                      <w:kern w:val="0"/>
                      <w:szCs w:val="21"/>
                      <w:lang w:val="en-US" w:eastAsia="zh-CN"/>
                    </w:rPr>
                    <w:t>灰渣</w:t>
                  </w:r>
                </w:p>
              </w:tc>
              <w:tc>
                <w:tcPr>
                  <w:tcW w:w="460"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rPr>
                  </w:pPr>
                  <w:r>
                    <w:rPr>
                      <w:rFonts w:hint="eastAsia"/>
                      <w:color w:val="auto"/>
                      <w:kern w:val="0"/>
                      <w:szCs w:val="21"/>
                    </w:rPr>
                    <w:t>气化炉灰渣</w:t>
                  </w:r>
                </w:p>
              </w:tc>
              <w:tc>
                <w:tcPr>
                  <w:tcW w:w="805" w:type="pct"/>
                  <w:tcBorders>
                    <w:top w:val="single" w:color="auto" w:sz="4" w:space="0"/>
                    <w:left w:val="nil"/>
                    <w:bottom w:val="single" w:color="auto" w:sz="4" w:space="0"/>
                    <w:right w:val="single" w:color="auto" w:sz="4" w:space="0"/>
                  </w:tcBorders>
                  <w:noWrap/>
                  <w:vAlign w:val="center"/>
                </w:tcPr>
                <w:p>
                  <w:pPr>
                    <w:snapToGrid w:val="0"/>
                    <w:jc w:val="center"/>
                    <w:rPr>
                      <w:rFonts w:eastAsia="宋体"/>
                      <w:color w:val="auto"/>
                      <w:kern w:val="0"/>
                      <w:szCs w:val="21"/>
                      <w:lang w:val="en-US" w:eastAsia="zh-CN"/>
                    </w:rPr>
                  </w:pPr>
                  <w:r>
                    <w:rPr>
                      <w:rFonts w:hint="eastAsia"/>
                      <w:color w:val="auto"/>
                      <w:kern w:val="0"/>
                      <w:szCs w:val="21"/>
                      <w:lang w:val="en-US" w:eastAsia="zh-CN"/>
                    </w:rPr>
                    <w:t>SW17可再生类废物900</w:t>
                  </w:r>
                  <w:r>
                    <w:rPr>
                      <w:rFonts w:hint="eastAsia"/>
                      <w:color w:val="auto"/>
                      <w:kern w:val="0"/>
                      <w:szCs w:val="21"/>
                    </w:rPr>
                    <w:t>-</w:t>
                  </w:r>
                  <w:r>
                    <w:rPr>
                      <w:rFonts w:hint="eastAsia"/>
                      <w:color w:val="auto"/>
                      <w:kern w:val="0"/>
                      <w:szCs w:val="21"/>
                      <w:lang w:val="en-US" w:eastAsia="zh-CN"/>
                    </w:rPr>
                    <w:t>0</w:t>
                  </w:r>
                  <w:r>
                    <w:rPr>
                      <w:rFonts w:hint="eastAsia"/>
                      <w:color w:val="auto"/>
                      <w:kern w:val="0"/>
                      <w:szCs w:val="21"/>
                    </w:rPr>
                    <w:t>99-</w:t>
                  </w:r>
                  <w:r>
                    <w:rPr>
                      <w:rFonts w:hint="eastAsia"/>
                      <w:color w:val="auto"/>
                      <w:kern w:val="0"/>
                      <w:szCs w:val="21"/>
                      <w:lang w:val="en-US" w:eastAsia="zh-CN"/>
                    </w:rPr>
                    <w:t>S17</w:t>
                  </w:r>
                </w:p>
              </w:tc>
              <w:tc>
                <w:tcPr>
                  <w:tcW w:w="457"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lang w:val="en-US" w:eastAsia="zh-CN"/>
                    </w:rPr>
                  </w:pPr>
                  <w:r>
                    <w:rPr>
                      <w:rFonts w:hint="eastAsia"/>
                      <w:color w:val="auto"/>
                      <w:kern w:val="0"/>
                      <w:szCs w:val="21"/>
                      <w:lang w:val="en-US" w:eastAsia="zh-CN"/>
                    </w:rPr>
                    <w:t>1638.08</w:t>
                  </w:r>
                </w:p>
              </w:tc>
              <w:tc>
                <w:tcPr>
                  <w:tcW w:w="567" w:type="pct"/>
                  <w:tcBorders>
                    <w:top w:val="single" w:color="auto" w:sz="4" w:space="0"/>
                    <w:left w:val="nil"/>
                    <w:bottom w:val="single" w:color="auto" w:sz="4" w:space="0"/>
                    <w:right w:val="single" w:color="auto" w:sz="4" w:space="0"/>
                  </w:tcBorders>
                  <w:noWrap/>
                  <w:vAlign w:val="center"/>
                </w:tcPr>
                <w:p>
                  <w:pPr>
                    <w:snapToGrid w:val="0"/>
                    <w:jc w:val="center"/>
                    <w:rPr>
                      <w:rFonts w:eastAsia="宋体"/>
                      <w:color w:val="auto"/>
                      <w:kern w:val="0"/>
                      <w:szCs w:val="21"/>
                      <w:lang w:val="en-US" w:eastAsia="zh-CN"/>
                    </w:rPr>
                  </w:pPr>
                  <w:r>
                    <w:rPr>
                      <w:rFonts w:hint="eastAsia"/>
                      <w:color w:val="auto"/>
                      <w:kern w:val="0"/>
                      <w:szCs w:val="21"/>
                      <w:lang w:val="en-US" w:eastAsia="zh-CN"/>
                    </w:rPr>
                    <w:t>气化</w:t>
                  </w:r>
                </w:p>
              </w:tc>
              <w:tc>
                <w:tcPr>
                  <w:tcW w:w="1380" w:type="pct"/>
                  <w:tcBorders>
                    <w:top w:val="single" w:color="auto" w:sz="4" w:space="0"/>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固态</w:t>
                  </w:r>
                </w:p>
              </w:tc>
              <w:tc>
                <w:tcPr>
                  <w:tcW w:w="1765" w:type="pct"/>
                  <w:tcBorders>
                    <w:top w:val="single" w:color="auto" w:sz="4" w:space="0"/>
                    <w:left w:val="nil"/>
                    <w:bottom w:val="single" w:color="auto" w:sz="4" w:space="0"/>
                    <w:right w:val="single" w:color="auto" w:sz="4" w:space="0"/>
                  </w:tcBorders>
                  <w:noWrap/>
                  <w:vAlign w:val="center"/>
                </w:tcPr>
                <w:p>
                  <w:pPr>
                    <w:widowControl/>
                    <w:jc w:val="center"/>
                    <w:rPr>
                      <w:color w:val="auto"/>
                      <w:kern w:val="0"/>
                      <w:szCs w:val="21"/>
                    </w:rPr>
                  </w:pPr>
                  <w:r>
                    <w:rPr>
                      <w:color w:val="auto"/>
                      <w:kern w:val="0"/>
                      <w:szCs w:val="21"/>
                    </w:rPr>
                    <w:t>每天</w:t>
                  </w:r>
                </w:p>
              </w:tc>
              <w:tc>
                <w:tcPr>
                  <w:tcW w:w="554" w:type="pct"/>
                  <w:tcBorders>
                    <w:top w:val="single" w:color="auto" w:sz="4" w:space="0"/>
                    <w:left w:val="nil"/>
                    <w:bottom w:val="single" w:color="auto" w:sz="4" w:space="0"/>
                    <w:right w:val="single" w:color="auto" w:sz="4" w:space="0"/>
                  </w:tcBorders>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渣场</w:t>
                  </w:r>
                </w:p>
              </w:tc>
              <w:tc>
                <w:tcPr>
                  <w:tcW w:w="777" w:type="pct"/>
                  <w:tcBorders>
                    <w:top w:val="single" w:color="auto" w:sz="4" w:space="0"/>
                    <w:left w:val="nil"/>
                    <w:bottom w:val="single" w:color="auto" w:sz="4" w:space="0"/>
                    <w:right w:val="single" w:color="auto" w:sz="4" w:space="0"/>
                  </w:tcBorders>
                  <w:noWrap/>
                  <w:vAlign w:val="center"/>
                </w:tcPr>
                <w:p>
                  <w:pPr>
                    <w:jc w:val="center"/>
                    <w:rPr>
                      <w:rFonts w:eastAsia="宋体"/>
                      <w:color w:val="auto"/>
                      <w:kern w:val="0"/>
                      <w:szCs w:val="21"/>
                      <w:lang w:val="en-US" w:eastAsia="zh-CN"/>
                    </w:rPr>
                  </w:pPr>
                  <w:r>
                    <w:rPr>
                      <w:rFonts w:hint="eastAsia"/>
                      <w:color w:val="auto"/>
                      <w:kern w:val="0"/>
                      <w:szCs w:val="21"/>
                      <w:lang w:val="en-US" w:eastAsia="zh-CN"/>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eastAsia="宋体"/>
                      <w:bCs/>
                      <w:color w:val="auto"/>
                      <w:kern w:val="0"/>
                      <w:szCs w:val="21"/>
                      <w:lang w:val="en-US" w:eastAsia="zh-CN"/>
                    </w:rPr>
                  </w:pPr>
                  <w:r>
                    <w:rPr>
                      <w:rFonts w:hint="eastAsia"/>
                      <w:bCs/>
                      <w:color w:val="auto"/>
                      <w:kern w:val="0"/>
                      <w:szCs w:val="21"/>
                      <w:lang w:val="en-US" w:eastAsia="zh-CN"/>
                    </w:rPr>
                    <w:t>3</w:t>
                  </w:r>
                </w:p>
              </w:tc>
              <w:tc>
                <w:tcPr>
                  <w:tcW w:w="401" w:type="pct"/>
                  <w:tcBorders>
                    <w:top w:val="single" w:color="auto" w:sz="4" w:space="0"/>
                    <w:left w:val="nil"/>
                    <w:bottom w:val="single" w:color="auto" w:sz="4" w:space="0"/>
                    <w:right w:val="single" w:color="auto" w:sz="4" w:space="0"/>
                  </w:tcBorders>
                  <w:noWrap/>
                  <w:vAlign w:val="center"/>
                </w:tcPr>
                <w:p>
                  <w:pPr>
                    <w:snapToGrid w:val="0"/>
                    <w:jc w:val="center"/>
                    <w:rPr>
                      <w:rFonts w:hint="eastAsia" w:eastAsia="宋体"/>
                      <w:color w:val="auto"/>
                      <w:kern w:val="0"/>
                      <w:szCs w:val="21"/>
                      <w:lang w:val="en-US" w:eastAsia="zh-CN"/>
                    </w:rPr>
                  </w:pPr>
                  <w:r>
                    <w:rPr>
                      <w:rFonts w:hint="eastAsia"/>
                      <w:color w:val="auto"/>
                      <w:kern w:val="0"/>
                      <w:szCs w:val="21"/>
                      <w:lang w:val="en-US" w:eastAsia="zh-CN"/>
                    </w:rPr>
                    <w:t>粉尘</w:t>
                  </w:r>
                </w:p>
              </w:tc>
              <w:tc>
                <w:tcPr>
                  <w:tcW w:w="460"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rPr>
                  </w:pPr>
                  <w:r>
                    <w:rPr>
                      <w:rFonts w:hint="eastAsia"/>
                      <w:color w:val="auto"/>
                      <w:kern w:val="0"/>
                      <w:szCs w:val="21"/>
                    </w:rPr>
                    <w:t>除尘器收尘</w:t>
                  </w:r>
                </w:p>
              </w:tc>
              <w:tc>
                <w:tcPr>
                  <w:tcW w:w="805" w:type="pct"/>
                  <w:tcBorders>
                    <w:top w:val="single" w:color="auto" w:sz="4" w:space="0"/>
                    <w:left w:val="nil"/>
                    <w:bottom w:val="single" w:color="auto" w:sz="4" w:space="0"/>
                    <w:right w:val="single" w:color="auto" w:sz="4" w:space="0"/>
                  </w:tcBorders>
                  <w:noWrap/>
                  <w:vAlign w:val="center"/>
                </w:tcPr>
                <w:p>
                  <w:pPr>
                    <w:snapToGrid w:val="0"/>
                    <w:jc w:val="center"/>
                    <w:rPr>
                      <w:rFonts w:eastAsia="宋体"/>
                      <w:color w:val="auto"/>
                      <w:kern w:val="0"/>
                      <w:szCs w:val="21"/>
                      <w:lang w:val="en-US" w:eastAsia="zh-CN"/>
                    </w:rPr>
                  </w:pPr>
                  <w:r>
                    <w:rPr>
                      <w:color w:val="auto"/>
                      <w:kern w:val="0"/>
                      <w:szCs w:val="21"/>
                    </w:rPr>
                    <w:t>SW</w:t>
                  </w:r>
                  <w:r>
                    <w:rPr>
                      <w:rFonts w:hint="eastAsia"/>
                      <w:color w:val="auto"/>
                      <w:kern w:val="0"/>
                      <w:szCs w:val="21"/>
                      <w:lang w:val="en-US" w:eastAsia="zh-CN"/>
                    </w:rPr>
                    <w:t>59其他工业固态废物</w:t>
                  </w:r>
                  <w:r>
                    <w:rPr>
                      <w:color w:val="auto"/>
                      <w:kern w:val="0"/>
                      <w:szCs w:val="21"/>
                    </w:rPr>
                    <w:t>900-099-S</w:t>
                  </w:r>
                  <w:r>
                    <w:rPr>
                      <w:rFonts w:hint="eastAsia"/>
                      <w:color w:val="auto"/>
                      <w:kern w:val="0"/>
                      <w:szCs w:val="21"/>
                      <w:lang w:val="en-US" w:eastAsia="zh-CN"/>
                    </w:rPr>
                    <w:t>59</w:t>
                  </w:r>
                </w:p>
              </w:tc>
              <w:tc>
                <w:tcPr>
                  <w:tcW w:w="457" w:type="pct"/>
                  <w:tcBorders>
                    <w:top w:val="single" w:color="auto" w:sz="4" w:space="0"/>
                    <w:left w:val="nil"/>
                    <w:bottom w:val="single" w:color="auto" w:sz="4" w:space="0"/>
                    <w:right w:val="single" w:color="auto" w:sz="4" w:space="0"/>
                  </w:tcBorders>
                  <w:noWrap/>
                  <w:vAlign w:val="center"/>
                </w:tcPr>
                <w:p>
                  <w:pPr>
                    <w:snapToGrid w:val="0"/>
                    <w:jc w:val="center"/>
                    <w:rPr>
                      <w:color w:val="auto"/>
                      <w:kern w:val="0"/>
                      <w:szCs w:val="21"/>
                      <w:lang w:val="en-US" w:eastAsia="zh-CN"/>
                    </w:rPr>
                  </w:pPr>
                  <w:r>
                    <w:rPr>
                      <w:rFonts w:hint="eastAsia"/>
                      <w:color w:val="auto"/>
                      <w:kern w:val="0"/>
                      <w:szCs w:val="21"/>
                      <w:lang w:val="en-US" w:eastAsia="zh-CN"/>
                    </w:rPr>
                    <w:t>10.035</w:t>
                  </w:r>
                </w:p>
              </w:tc>
              <w:tc>
                <w:tcPr>
                  <w:tcW w:w="567" w:type="pct"/>
                  <w:tcBorders>
                    <w:top w:val="single" w:color="auto" w:sz="4" w:space="0"/>
                    <w:left w:val="nil"/>
                    <w:bottom w:val="single" w:color="auto" w:sz="4" w:space="0"/>
                    <w:right w:val="single" w:color="auto" w:sz="4" w:space="0"/>
                  </w:tcBorders>
                  <w:noWrap/>
                  <w:vAlign w:val="center"/>
                </w:tcPr>
                <w:p>
                  <w:pPr>
                    <w:snapToGrid w:val="0"/>
                    <w:jc w:val="center"/>
                    <w:rPr>
                      <w:rFonts w:hint="eastAsia" w:eastAsia="宋体"/>
                      <w:color w:val="auto"/>
                      <w:kern w:val="0"/>
                      <w:szCs w:val="21"/>
                      <w:lang w:val="en-US" w:eastAsia="zh-CN"/>
                    </w:rPr>
                  </w:pPr>
                  <w:r>
                    <w:rPr>
                      <w:rFonts w:hint="eastAsia"/>
                      <w:color w:val="auto"/>
                      <w:kern w:val="0"/>
                      <w:szCs w:val="21"/>
                      <w:lang w:val="en-US" w:eastAsia="zh-CN"/>
                    </w:rPr>
                    <w:t>气化</w:t>
                  </w:r>
                </w:p>
              </w:tc>
              <w:tc>
                <w:tcPr>
                  <w:tcW w:w="347" w:type="pct"/>
                  <w:tcBorders>
                    <w:top w:val="single" w:color="auto" w:sz="4" w:space="0"/>
                    <w:left w:val="nil"/>
                    <w:bottom w:val="single" w:color="auto" w:sz="4" w:space="0"/>
                    <w:right w:val="single" w:color="auto" w:sz="4" w:space="0"/>
                  </w:tcBorders>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固态</w:t>
                  </w:r>
                </w:p>
              </w:tc>
              <w:tc>
                <w:tcPr>
                  <w:tcW w:w="444"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szCs w:val="21"/>
                      <w:lang w:val="en-US" w:eastAsia="zh-CN"/>
                    </w:rPr>
                  </w:pPr>
                  <w:r>
                    <w:rPr>
                      <w:rFonts w:hint="eastAsia"/>
                      <w:color w:val="auto"/>
                      <w:kern w:val="0"/>
                      <w:szCs w:val="21"/>
                      <w:lang w:val="en-US" w:eastAsia="zh-CN"/>
                    </w:rPr>
                    <w:t>每月</w:t>
                  </w:r>
                </w:p>
              </w:tc>
              <w:tc>
                <w:tcPr>
                  <w:tcW w:w="554" w:type="pct"/>
                  <w:tcBorders>
                    <w:top w:val="single" w:color="auto" w:sz="4" w:space="0"/>
                    <w:left w:val="nil"/>
                    <w:bottom w:val="single" w:color="auto" w:sz="4" w:space="0"/>
                    <w:right w:val="single" w:color="auto" w:sz="4" w:space="0"/>
                  </w:tcBorders>
                  <w:noWrap/>
                  <w:vAlign w:val="center"/>
                </w:tcPr>
                <w:p>
                  <w:pPr>
                    <w:widowControl/>
                    <w:jc w:val="center"/>
                    <w:rPr>
                      <w:rFonts w:eastAsia="宋体"/>
                      <w:color w:val="auto"/>
                      <w:kern w:val="0"/>
                      <w:szCs w:val="21"/>
                      <w:lang w:val="en-US" w:eastAsia="zh-CN"/>
                    </w:rPr>
                  </w:pPr>
                  <w:r>
                    <w:rPr>
                      <w:rFonts w:hint="eastAsia"/>
                      <w:color w:val="auto"/>
                      <w:kern w:val="0"/>
                      <w:szCs w:val="21"/>
                      <w:lang w:val="en-US" w:eastAsia="zh-CN"/>
                    </w:rPr>
                    <w:t>粉尘仓内</w:t>
                  </w:r>
                </w:p>
              </w:tc>
              <w:tc>
                <w:tcPr>
                  <w:tcW w:w="777" w:type="pct"/>
                  <w:tcBorders>
                    <w:top w:val="single" w:color="auto" w:sz="4" w:space="0"/>
                    <w:left w:val="nil"/>
                    <w:bottom w:val="single" w:color="auto" w:sz="4" w:space="0"/>
                    <w:right w:val="single" w:color="auto" w:sz="4" w:space="0"/>
                  </w:tcBorders>
                  <w:noWrap/>
                  <w:vAlign w:val="center"/>
                </w:tcPr>
                <w:p>
                  <w:pPr>
                    <w:jc w:val="center"/>
                    <w:rPr>
                      <w:rFonts w:hint="eastAsia"/>
                      <w:color w:val="auto"/>
                      <w:kern w:val="0"/>
                      <w:szCs w:val="21"/>
                    </w:rPr>
                  </w:pPr>
                  <w:r>
                    <w:rPr>
                      <w:rFonts w:hint="eastAsia"/>
                      <w:color w:val="auto"/>
                      <w:kern w:val="0"/>
                      <w:szCs w:val="21"/>
                    </w:rPr>
                    <w:t>由环卫部门统一收集处理</w:t>
                  </w:r>
                </w:p>
              </w:tc>
            </w:tr>
          </w:tbl>
          <w:p>
            <w:pPr>
              <w:adjustRightInd w:val="0"/>
              <w:snapToGri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（2）危险废物</w:t>
            </w:r>
          </w:p>
          <w:p>
            <w:pPr>
              <w:adjustRightInd w:val="0"/>
              <w:snapToGrid w:val="0"/>
              <w:spacing w:line="360" w:lineRule="auto"/>
              <w:ind w:firstLine="482" w:firstLineChars="200"/>
              <w:rPr>
                <w:rFonts w:ascii="Times New Roman" w:hAnsi="Times New Roman" w:cs="Times New Roman"/>
                <w:color w:val="auto"/>
                <w:kern w:val="0"/>
                <w:sz w:val="24"/>
              </w:rPr>
            </w:pPr>
            <w:r>
              <w:rPr>
                <w:rFonts w:ascii="Times New Roman" w:hAnsi="Times New Roman" w:cs="Times New Roman"/>
                <w:b/>
                <w:bCs/>
                <w:color w:val="auto"/>
                <w:kern w:val="0"/>
                <w:sz w:val="24"/>
              </w:rPr>
              <w:t>废机油及桶</w:t>
            </w:r>
            <w:r>
              <w:rPr>
                <w:rFonts w:ascii="Times New Roman" w:hAnsi="Times New Roman" w:cs="Times New Roman"/>
                <w:color w:val="auto"/>
                <w:kern w:val="0"/>
                <w:sz w:val="24"/>
              </w:rPr>
              <w:t>：主要包括设备保养维护、设备检修过程产生的废机油。根据《国家危险废物名录》，废油属于危险固废（HW08）。根据建设单位提供信息，废油年产生量为0.01t/a。收集后采用原始桶盛装暂存于危废暂存间，定期交由资质单位处理。</w:t>
            </w:r>
          </w:p>
          <w:p>
            <w:pPr>
              <w:adjustRightInd w:val="0"/>
              <w:snapToGrid w:val="0"/>
              <w:spacing w:line="360" w:lineRule="auto"/>
              <w:ind w:firstLine="482" w:firstLineChars="200"/>
              <w:rPr>
                <w:rFonts w:ascii="Times New Roman" w:hAnsi="Times New Roman" w:eastAsia="宋体" w:cs="Times New Roman"/>
                <w:b/>
                <w:bCs/>
                <w:color w:val="auto"/>
                <w:kern w:val="0"/>
                <w:sz w:val="24"/>
                <w:lang w:val="en-US" w:eastAsia="zh-CN"/>
              </w:rPr>
            </w:pPr>
            <w:r>
              <w:rPr>
                <w:b/>
                <w:color w:val="auto"/>
                <w:sz w:val="24"/>
              </w:rPr>
              <w:t>废</w:t>
            </w:r>
            <w:r>
              <w:rPr>
                <w:rFonts w:hint="eastAsia"/>
                <w:b/>
                <w:color w:val="auto"/>
                <w:sz w:val="24"/>
                <w:lang w:val="en-US" w:eastAsia="zh-CN"/>
              </w:rPr>
              <w:t>离子交换树脂</w:t>
            </w:r>
            <w:r>
              <w:rPr>
                <w:b/>
                <w:color w:val="auto"/>
                <w:sz w:val="24"/>
              </w:rPr>
              <w:t>：</w:t>
            </w:r>
            <w:r>
              <w:rPr>
                <w:rFonts w:hint="eastAsia"/>
                <w:bCs/>
                <w:color w:val="auto"/>
                <w:sz w:val="24"/>
                <w:lang w:val="en-US" w:eastAsia="zh-CN"/>
              </w:rPr>
              <w:t>项目软水处理时会产生废离子交换树脂</w:t>
            </w:r>
            <w:r>
              <w:rPr>
                <w:color w:val="auto"/>
                <w:kern w:val="0"/>
                <w:sz w:val="24"/>
                <w:szCs w:val="20"/>
              </w:rPr>
              <w:t>，危废代码HW49/900-039-49</w:t>
            </w:r>
            <w:r>
              <w:rPr>
                <w:rFonts w:hint="eastAsia"/>
                <w:color w:val="auto"/>
                <w:kern w:val="0"/>
                <w:sz w:val="24"/>
                <w:szCs w:val="20"/>
                <w:lang w:eastAsia="zh-CN"/>
              </w:rPr>
              <w:t>，</w:t>
            </w:r>
            <w:r>
              <w:rPr>
                <w:rFonts w:hint="eastAsia"/>
                <w:color w:val="auto"/>
                <w:kern w:val="0"/>
                <w:sz w:val="24"/>
                <w:szCs w:val="20"/>
                <w:lang w:val="en-US" w:eastAsia="zh-CN"/>
              </w:rPr>
              <w:t>根据业主提供资料，离子交换树脂的产生量约为0.1t，</w:t>
            </w:r>
            <w:r>
              <w:rPr>
                <w:rFonts w:ascii="Times New Roman" w:hAnsi="Times New Roman" w:cs="Times New Roman"/>
                <w:color w:val="auto"/>
                <w:kern w:val="0"/>
                <w:sz w:val="24"/>
              </w:rPr>
              <w:t>属于危险废物，</w:t>
            </w:r>
            <w:r>
              <w:rPr>
                <w:rFonts w:hint="eastAsia"/>
                <w:color w:val="auto"/>
                <w:kern w:val="0"/>
                <w:sz w:val="24"/>
                <w:szCs w:val="20"/>
                <w:lang w:val="en-US" w:eastAsia="zh-CN"/>
              </w:rPr>
              <w:t>离子交换树脂每三年更换一次，</w:t>
            </w:r>
            <w:r>
              <w:rPr>
                <w:rFonts w:hint="eastAsia" w:ascii="Times New Roman" w:hAnsi="Times New Roman" w:cs="Times New Roman"/>
                <w:color w:val="auto"/>
                <w:kern w:val="0"/>
                <w:sz w:val="24"/>
                <w:lang w:val="en-US" w:eastAsia="zh-CN"/>
              </w:rPr>
              <w:t>更换</w:t>
            </w:r>
            <w:r>
              <w:rPr>
                <w:rFonts w:hint="eastAsia" w:cs="Times New Roman"/>
                <w:color w:val="auto"/>
                <w:kern w:val="0"/>
                <w:sz w:val="24"/>
                <w:lang w:val="en-US" w:eastAsia="zh-CN"/>
              </w:rPr>
              <w:t>后由更换</w:t>
            </w:r>
            <w:r>
              <w:rPr>
                <w:rFonts w:hint="eastAsia" w:ascii="Times New Roman" w:hAnsi="Times New Roman" w:cs="Times New Roman"/>
                <w:color w:val="auto"/>
                <w:kern w:val="0"/>
                <w:sz w:val="24"/>
                <w:lang w:val="en-US" w:eastAsia="zh-CN"/>
              </w:rPr>
              <w:t>单位带走</w:t>
            </w:r>
            <w:r>
              <w:rPr>
                <w:rFonts w:hint="eastAsia" w:cs="Times New Roman"/>
                <w:color w:val="auto"/>
                <w:kern w:val="0"/>
                <w:sz w:val="24"/>
                <w:lang w:val="en-US" w:eastAsia="zh-CN"/>
              </w:rPr>
              <w:t>处理</w:t>
            </w:r>
            <w:r>
              <w:rPr>
                <w:rFonts w:ascii="Times New Roman" w:hAnsi="Times New Roman" w:cs="Times New Roman"/>
                <w:color w:val="auto"/>
                <w:kern w:val="0"/>
                <w:sz w:val="24"/>
              </w:rPr>
              <w:t>。</w:t>
            </w:r>
          </w:p>
          <w:p>
            <w:pPr>
              <w:adjustRightInd w:val="0"/>
              <w:snapToGrid w:val="0"/>
              <w:spacing w:line="360" w:lineRule="auto"/>
              <w:ind w:firstLine="482" w:firstLineChars="200"/>
              <w:rPr>
                <w:rFonts w:ascii="Times New Roman" w:hAnsi="Times New Roman" w:cs="Times New Roman"/>
                <w:b/>
                <w:bCs/>
                <w:color w:val="auto"/>
                <w:kern w:val="0"/>
                <w:sz w:val="24"/>
              </w:rPr>
            </w:pPr>
            <w:r>
              <w:rPr>
                <w:rFonts w:ascii="Times New Roman" w:hAnsi="Times New Roman" w:cs="Times New Roman"/>
                <w:b/>
                <w:bCs/>
                <w:color w:val="auto"/>
                <w:kern w:val="0"/>
                <w:sz w:val="24"/>
              </w:rPr>
              <w:t>废</w:t>
            </w:r>
            <w:r>
              <w:rPr>
                <w:rFonts w:hint="eastAsia" w:cs="Times New Roman"/>
                <w:b/>
                <w:bCs/>
                <w:color w:val="auto"/>
                <w:kern w:val="0"/>
                <w:sz w:val="24"/>
                <w:lang w:val="en-US" w:eastAsia="zh-CN"/>
              </w:rPr>
              <w:t>催化剂</w:t>
            </w:r>
            <w:r>
              <w:rPr>
                <w:rFonts w:ascii="Times New Roman" w:hAnsi="Times New Roman" w:cs="Times New Roman"/>
                <w:b/>
                <w:bCs/>
                <w:color w:val="auto"/>
                <w:kern w:val="0"/>
                <w:sz w:val="24"/>
              </w:rPr>
              <w:t>：</w:t>
            </w:r>
            <w:r>
              <w:rPr>
                <w:rFonts w:ascii="Times New Roman" w:hAnsi="Times New Roman" w:cs="Times New Roman"/>
                <w:color w:val="auto"/>
                <w:kern w:val="0"/>
                <w:sz w:val="24"/>
              </w:rPr>
              <w:t>本项目</w:t>
            </w:r>
            <w:r>
              <w:rPr>
                <w:rFonts w:hint="eastAsia" w:cs="Times New Roman"/>
                <w:color w:val="auto"/>
                <w:kern w:val="0"/>
                <w:sz w:val="24"/>
                <w:lang w:val="en-US" w:eastAsia="zh-CN"/>
              </w:rPr>
              <w:t>SCR处理氮氧化物的过程中，会产生废催化剂，</w:t>
            </w:r>
            <w:r>
              <w:rPr>
                <w:color w:val="auto"/>
                <w:kern w:val="0"/>
                <w:sz w:val="24"/>
                <w:szCs w:val="20"/>
              </w:rPr>
              <w:t>危废代码HW</w:t>
            </w:r>
            <w:r>
              <w:rPr>
                <w:rFonts w:hint="eastAsia"/>
                <w:color w:val="auto"/>
                <w:kern w:val="0"/>
                <w:sz w:val="24"/>
                <w:szCs w:val="20"/>
                <w:lang w:val="en-US" w:eastAsia="zh-CN"/>
              </w:rPr>
              <w:t>50/772</w:t>
            </w:r>
            <w:r>
              <w:rPr>
                <w:color w:val="auto"/>
                <w:kern w:val="0"/>
                <w:sz w:val="24"/>
                <w:szCs w:val="20"/>
              </w:rPr>
              <w:t>-0</w:t>
            </w:r>
            <w:r>
              <w:rPr>
                <w:rFonts w:hint="eastAsia"/>
                <w:color w:val="auto"/>
                <w:kern w:val="0"/>
                <w:sz w:val="24"/>
                <w:szCs w:val="20"/>
                <w:lang w:val="en-US" w:eastAsia="zh-CN"/>
              </w:rPr>
              <w:t>07</w:t>
            </w:r>
            <w:r>
              <w:rPr>
                <w:color w:val="auto"/>
                <w:kern w:val="0"/>
                <w:sz w:val="24"/>
                <w:szCs w:val="20"/>
              </w:rPr>
              <w:t>-</w:t>
            </w:r>
            <w:r>
              <w:rPr>
                <w:rFonts w:hint="eastAsia"/>
                <w:color w:val="auto"/>
                <w:kern w:val="0"/>
                <w:sz w:val="24"/>
                <w:szCs w:val="20"/>
                <w:lang w:val="en-US" w:eastAsia="zh-CN"/>
              </w:rPr>
              <w:t>50</w:t>
            </w:r>
            <w:r>
              <w:rPr>
                <w:rFonts w:hint="eastAsia"/>
                <w:color w:val="auto"/>
                <w:kern w:val="0"/>
                <w:sz w:val="24"/>
                <w:szCs w:val="20"/>
                <w:lang w:eastAsia="zh-CN"/>
              </w:rPr>
              <w:t>，</w:t>
            </w:r>
            <w:r>
              <w:rPr>
                <w:rFonts w:hint="eastAsia"/>
                <w:color w:val="auto"/>
                <w:kern w:val="0"/>
                <w:sz w:val="24"/>
                <w:szCs w:val="20"/>
                <w:lang w:val="en-US" w:eastAsia="zh-CN"/>
              </w:rPr>
              <w:t>每两年更换一次，每次更换量约为2t，</w:t>
            </w:r>
            <w:r>
              <w:rPr>
                <w:rFonts w:hint="eastAsia" w:ascii="Times New Roman" w:hAnsi="Times New Roman" w:cs="Times New Roman"/>
                <w:color w:val="auto"/>
                <w:kern w:val="0"/>
                <w:sz w:val="24"/>
                <w:lang w:val="en-US" w:eastAsia="zh-CN"/>
              </w:rPr>
              <w:t>更换</w:t>
            </w:r>
            <w:r>
              <w:rPr>
                <w:rFonts w:hint="eastAsia" w:cs="Times New Roman"/>
                <w:color w:val="auto"/>
                <w:kern w:val="0"/>
                <w:sz w:val="24"/>
                <w:lang w:val="en-US" w:eastAsia="zh-CN"/>
              </w:rPr>
              <w:t>后由更换</w:t>
            </w:r>
            <w:r>
              <w:rPr>
                <w:rFonts w:hint="eastAsia" w:ascii="Times New Roman" w:hAnsi="Times New Roman" w:cs="Times New Roman"/>
                <w:color w:val="auto"/>
                <w:kern w:val="0"/>
                <w:sz w:val="24"/>
                <w:lang w:val="en-US" w:eastAsia="zh-CN"/>
              </w:rPr>
              <w:t>单位带走</w:t>
            </w:r>
            <w:r>
              <w:rPr>
                <w:rFonts w:hint="eastAsia" w:cs="Times New Roman"/>
                <w:color w:val="auto"/>
                <w:kern w:val="0"/>
                <w:sz w:val="24"/>
                <w:lang w:val="en-US" w:eastAsia="zh-CN"/>
              </w:rPr>
              <w:t>处理</w:t>
            </w:r>
            <w:r>
              <w:rPr>
                <w:rFonts w:ascii="Times New Roman" w:hAnsi="Times New Roman" w:cs="Times New Roman"/>
                <w:color w:val="auto"/>
                <w:kern w:val="0"/>
                <w:sz w:val="24"/>
              </w:rPr>
              <w:t>。</w:t>
            </w:r>
          </w:p>
          <w:p>
            <w:pPr>
              <w:adjustRightInd w:val="0"/>
              <w:snapToGrid w:val="0"/>
              <w:spacing w:line="360" w:lineRule="auto"/>
              <w:ind w:firstLine="482" w:firstLineChars="200"/>
              <w:rPr>
                <w:rFonts w:ascii="Times New Roman" w:hAnsi="Times New Roman" w:cs="Times New Roman"/>
                <w:color w:val="auto"/>
                <w:kern w:val="0"/>
                <w:sz w:val="24"/>
              </w:rPr>
            </w:pPr>
            <w:r>
              <w:rPr>
                <w:rFonts w:ascii="Times New Roman" w:hAnsi="Times New Roman" w:cs="Times New Roman"/>
                <w:b/>
                <w:bCs/>
                <w:color w:val="auto"/>
                <w:kern w:val="0"/>
                <w:sz w:val="24"/>
              </w:rPr>
              <w:t>废含油手套及棉纱：</w:t>
            </w:r>
            <w:r>
              <w:rPr>
                <w:rFonts w:ascii="Times New Roman" w:hAnsi="Times New Roman" w:cs="Times New Roman"/>
                <w:color w:val="auto"/>
                <w:kern w:val="0"/>
                <w:sz w:val="24"/>
              </w:rPr>
              <w:t>本项目机械维修过程中会产生少量的含油手套和抹布，产生量约0.01t/a，根据《国家危险废物名录》（2016年8月1日），属于危险废物，收集后暂存，定期交由资质单位处理。</w:t>
            </w:r>
          </w:p>
          <w:p>
            <w:pPr>
              <w:adjustRightInd w:val="0"/>
              <w:snapToGrid w:val="0"/>
              <w:spacing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kern w:val="0"/>
                <w:sz w:val="24"/>
              </w:rPr>
              <w:t>本项目固废排放情况及处置措施见下表。</w:t>
            </w:r>
          </w:p>
          <w:p>
            <w:pPr>
              <w:widowControl/>
              <w:jc w:val="center"/>
              <w:rPr>
                <w:rFonts w:ascii="Times New Roman" w:hAnsi="Times New Roman" w:eastAsia="宋体" w:cs="Times New Roman"/>
                <w:color w:val="auto"/>
                <w:szCs w:val="21"/>
              </w:rPr>
            </w:pPr>
            <w:r>
              <w:rPr>
                <w:rFonts w:ascii="Times New Roman" w:hAnsi="Times New Roman" w:eastAsia="宋体" w:cs="Times New Roman"/>
                <w:b/>
                <w:bCs/>
                <w:color w:val="auto"/>
                <w:kern w:val="0"/>
                <w:szCs w:val="21"/>
              </w:rPr>
              <w:t>表4-</w:t>
            </w:r>
            <w:r>
              <w:rPr>
                <w:rFonts w:hint="eastAsia" w:eastAsia="宋体" w:cs="Times New Roman"/>
                <w:b/>
                <w:bCs/>
                <w:color w:val="auto"/>
                <w:kern w:val="0"/>
                <w:szCs w:val="21"/>
                <w:lang w:val="en-US" w:eastAsia="zh-CN"/>
              </w:rPr>
              <w:t>9</w:t>
            </w:r>
            <w:r>
              <w:rPr>
                <w:rFonts w:ascii="Times New Roman" w:hAnsi="Times New Roman" w:eastAsia="宋体" w:cs="Times New Roman"/>
                <w:b/>
                <w:bCs/>
                <w:color w:val="auto"/>
                <w:kern w:val="0"/>
                <w:szCs w:val="21"/>
              </w:rPr>
              <w:t xml:space="preserve">  固废产生及处置措施一览表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685"/>
              <w:gridCol w:w="2920"/>
              <w:gridCol w:w="1441"/>
              <w:gridCol w:w="2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48" w:type="pct"/>
                  <w:vAlign w:val="center"/>
                </w:tcPr>
                <w:p>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序号</w:t>
                  </w:r>
                </w:p>
              </w:tc>
              <w:tc>
                <w:tcPr>
                  <w:tcW w:w="430" w:type="pct"/>
                  <w:vAlign w:val="center"/>
                </w:tcPr>
                <w:p>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类型</w:t>
                  </w:r>
                </w:p>
              </w:tc>
              <w:tc>
                <w:tcPr>
                  <w:tcW w:w="1833" w:type="pct"/>
                  <w:vAlign w:val="center"/>
                </w:tcPr>
                <w:p>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污染物</w:t>
                  </w:r>
                </w:p>
              </w:tc>
              <w:tc>
                <w:tcPr>
                  <w:tcW w:w="904" w:type="pct"/>
                  <w:vAlign w:val="center"/>
                </w:tcPr>
                <w:p>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排放量（t/a）</w:t>
                  </w:r>
                </w:p>
              </w:tc>
              <w:tc>
                <w:tcPr>
                  <w:tcW w:w="1383" w:type="pct"/>
                  <w:vAlign w:val="center"/>
                </w:tcPr>
                <w:p>
                  <w:pPr>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8" w:type="pct"/>
                  <w:tcBorders>
                    <w:top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w:t>
                  </w:r>
                </w:p>
              </w:tc>
              <w:tc>
                <w:tcPr>
                  <w:tcW w:w="4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一般废物</w:t>
                  </w:r>
                </w:p>
              </w:tc>
              <w:tc>
                <w:tcPr>
                  <w:tcW w:w="1833"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生活垃圾</w:t>
                  </w:r>
                </w:p>
              </w:tc>
              <w:tc>
                <w:tcPr>
                  <w:tcW w:w="904" w:type="pc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rPr>
                    <w:t>1.</w:t>
                  </w:r>
                  <w:r>
                    <w:rPr>
                      <w:rFonts w:hint="eastAsia" w:cs="Times New Roman"/>
                      <w:color w:val="auto"/>
                      <w:szCs w:val="21"/>
                      <w:lang w:val="en-US" w:eastAsia="zh-CN"/>
                    </w:rPr>
                    <w:t>65</w:t>
                  </w:r>
                </w:p>
              </w:tc>
              <w:tc>
                <w:tcPr>
                  <w:tcW w:w="1383" w:type="pct"/>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8" w:type="pct"/>
                  <w:tcBorders>
                    <w:top w:val="single" w:color="auto" w:sz="4" w:space="0"/>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w:t>
                  </w:r>
                </w:p>
              </w:tc>
              <w:tc>
                <w:tcPr>
                  <w:tcW w:w="430" w:type="pct"/>
                  <w:vMerge w:val="continue"/>
                  <w:tcBorders>
                    <w:top w:val="single" w:color="auto" w:sz="4" w:space="0"/>
                    <w:left w:val="single" w:color="auto" w:sz="4" w:space="0"/>
                    <w:right w:val="single" w:color="auto" w:sz="4" w:space="0"/>
                  </w:tcBorders>
                  <w:vAlign w:val="center"/>
                </w:tcPr>
                <w:p/>
              </w:tc>
              <w:tc>
                <w:tcPr>
                  <w:tcW w:w="1833" w:type="pct"/>
                  <w:tcBorders>
                    <w:top w:val="single" w:color="auto" w:sz="4" w:space="0"/>
                    <w:left w:val="single" w:color="auto" w:sz="4" w:space="0"/>
                    <w:right w:val="single" w:color="auto" w:sz="4" w:space="0"/>
                  </w:tcBorders>
                  <w:vAlign w:val="center"/>
                </w:tcPr>
                <w:p>
                  <w:pPr>
                    <w:snapToGrid w:val="0"/>
                    <w:jc w:val="center"/>
                    <w:rPr>
                      <w:rFonts w:ascii="Times New Roman" w:hAnsi="Times New Roman" w:cs="Times New Roman"/>
                      <w:color w:val="auto"/>
                      <w:szCs w:val="21"/>
                    </w:rPr>
                  </w:pPr>
                  <w:r>
                    <w:rPr>
                      <w:rFonts w:hint="eastAsia"/>
                      <w:color w:val="auto"/>
                      <w:kern w:val="0"/>
                      <w:szCs w:val="21"/>
                    </w:rPr>
                    <w:t>气化炉灰渣</w:t>
                  </w:r>
                </w:p>
              </w:tc>
              <w:tc>
                <w:tcPr>
                  <w:tcW w:w="904"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snapToGrid w:val="0"/>
                      <w:color w:val="auto"/>
                      <w:kern w:val="21"/>
                      <w:szCs w:val="21"/>
                      <w:lang w:val="en-US" w:eastAsia="zh-CN"/>
                    </w:rPr>
                    <w:t>1638.08</w:t>
                  </w:r>
                </w:p>
              </w:tc>
              <w:tc>
                <w:tcPr>
                  <w:tcW w:w="1383" w:type="pct"/>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hint="eastAsia"/>
                      <w:color w:val="auto"/>
                      <w:kern w:val="0"/>
                      <w:szCs w:val="21"/>
                      <w:lang w:val="en-US" w:eastAsia="zh-CN"/>
                    </w:rPr>
                    <w:t>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8" w:type="pct"/>
                  <w:tcBorders>
                    <w:top w:val="single" w:color="auto" w:sz="4" w:space="0"/>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lang w:val="en-US" w:eastAsia="zh-CN"/>
                    </w:rPr>
                    <w:t>3</w:t>
                  </w:r>
                </w:p>
              </w:tc>
              <w:tc>
                <w:tcPr>
                  <w:tcW w:w="430" w:type="pct"/>
                  <w:vMerge w:val="continue"/>
                  <w:tcBorders>
                    <w:top w:val="single" w:color="auto" w:sz="4" w:space="0"/>
                    <w:left w:val="single" w:color="auto" w:sz="4" w:space="0"/>
                    <w:right w:val="single" w:color="auto" w:sz="4" w:space="0"/>
                  </w:tcBorders>
                  <w:vAlign w:val="center"/>
                </w:tcPr>
                <w:p/>
              </w:tc>
              <w:tc>
                <w:tcPr>
                  <w:tcW w:w="1833" w:type="pct"/>
                  <w:tcBorders>
                    <w:top w:val="single" w:color="auto" w:sz="4" w:space="0"/>
                    <w:left w:val="single" w:color="auto" w:sz="4" w:space="0"/>
                    <w:right w:val="single" w:color="auto" w:sz="4" w:space="0"/>
                  </w:tcBorders>
                  <w:vAlign w:val="center"/>
                </w:tcPr>
                <w:p>
                  <w:pPr>
                    <w:snapToGrid w:val="0"/>
                    <w:jc w:val="center"/>
                    <w:rPr>
                      <w:rFonts w:ascii="Times New Roman" w:hAnsi="Times New Roman" w:cs="Times New Roman"/>
                      <w:color w:val="auto"/>
                      <w:szCs w:val="21"/>
                    </w:rPr>
                  </w:pPr>
                  <w:r>
                    <w:rPr>
                      <w:rFonts w:hint="eastAsia"/>
                      <w:color w:val="auto"/>
                      <w:kern w:val="0"/>
                      <w:szCs w:val="21"/>
                    </w:rPr>
                    <w:t>除尘器收尘</w:t>
                  </w:r>
                </w:p>
              </w:tc>
              <w:tc>
                <w:tcPr>
                  <w:tcW w:w="904"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snapToGrid w:val="0"/>
                      <w:color w:val="auto"/>
                      <w:kern w:val="21"/>
                      <w:szCs w:val="21"/>
                      <w:lang w:val="en-US" w:eastAsia="zh-CN"/>
                    </w:rPr>
                    <w:t>10.035</w:t>
                  </w:r>
                </w:p>
              </w:tc>
              <w:tc>
                <w:tcPr>
                  <w:tcW w:w="1383" w:type="pct"/>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hint="eastAsia"/>
                      <w:color w:val="auto"/>
                      <w:kern w:val="0"/>
                      <w:szCs w:val="21"/>
                    </w:rPr>
                    <w:t>由环卫部门统一收集处理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8" w:type="pct"/>
                  <w:tcBorders>
                    <w:top w:val="single" w:color="auto" w:sz="4" w:space="0"/>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p>
              </w:tc>
              <w:tc>
                <w:tcPr>
                  <w:tcW w:w="430"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危废废物</w:t>
                  </w:r>
                </w:p>
              </w:tc>
              <w:tc>
                <w:tcPr>
                  <w:tcW w:w="1833"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废机油及桶</w:t>
                  </w:r>
                </w:p>
              </w:tc>
              <w:tc>
                <w:tcPr>
                  <w:tcW w:w="904" w:type="pct"/>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0.0</w:t>
                  </w:r>
                  <w:r>
                    <w:rPr>
                      <w:rFonts w:hint="eastAsia" w:cs="Times New Roman"/>
                      <w:color w:val="auto"/>
                      <w:szCs w:val="21"/>
                      <w:lang w:val="en-US" w:eastAsia="zh-CN"/>
                    </w:rPr>
                    <w:t>1</w:t>
                  </w:r>
                </w:p>
              </w:tc>
              <w:tc>
                <w:tcPr>
                  <w:tcW w:w="1383" w:type="pct"/>
                  <w:vMerge w:val="restart"/>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交资质单位处置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48" w:type="pct"/>
                  <w:tcBorders>
                    <w:top w:val="single" w:color="auto" w:sz="4" w:space="0"/>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w:t>
                  </w:r>
                </w:p>
              </w:tc>
              <w:tc>
                <w:tcPr>
                  <w:tcW w:w="430" w:type="pct"/>
                  <w:vMerge w:val="continue"/>
                  <w:tcBorders>
                    <w:top w:val="single" w:color="auto" w:sz="4" w:space="0"/>
                    <w:left w:val="single" w:color="auto" w:sz="4" w:space="0"/>
                    <w:right w:val="single" w:color="auto" w:sz="4" w:space="0"/>
                  </w:tcBorders>
                  <w:vAlign w:val="center"/>
                </w:tcPr>
                <w:p/>
              </w:tc>
              <w:tc>
                <w:tcPr>
                  <w:tcW w:w="1833"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废含油手套抹布</w:t>
                  </w:r>
                </w:p>
              </w:tc>
              <w:tc>
                <w:tcPr>
                  <w:tcW w:w="904"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0.01</w:t>
                  </w:r>
                </w:p>
              </w:tc>
              <w:tc>
                <w:tcPr>
                  <w:tcW w:w="1383" w:type="pct"/>
                  <w:vMerge w:val="continue"/>
                  <w:tcBorders>
                    <w:top w:val="single" w:color="auto" w:sz="4" w:space="0"/>
                    <w:left w:val="single" w:color="auto" w:sz="4" w:space="0"/>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48" w:type="pct"/>
                  <w:tcBorders>
                    <w:top w:val="single" w:color="auto" w:sz="4" w:space="0"/>
                    <w:right w:val="single" w:color="auto" w:sz="4" w:space="0"/>
                  </w:tcBorders>
                  <w:vAlign w:val="center"/>
                </w:tcPr>
                <w:p>
                  <w:pPr>
                    <w:jc w:val="center"/>
                    <w:rPr>
                      <w:rFonts w:ascii="Times New Roman" w:hAnsi="Times New Roman" w:cs="Times New Roman"/>
                      <w:color w:val="auto"/>
                      <w:szCs w:val="21"/>
                      <w:lang w:val="en-US" w:eastAsia="zh-CN"/>
                    </w:rPr>
                  </w:pPr>
                  <w:r>
                    <w:rPr>
                      <w:rFonts w:hint="eastAsia" w:cs="Times New Roman"/>
                      <w:color w:val="auto"/>
                      <w:szCs w:val="21"/>
                      <w:lang w:val="en-US" w:eastAsia="zh-CN"/>
                    </w:rPr>
                    <w:t>6</w:t>
                  </w:r>
                </w:p>
              </w:tc>
              <w:tc>
                <w:tcPr>
                  <w:tcW w:w="430" w:type="pct"/>
                  <w:vMerge w:val="continue"/>
                  <w:tcBorders>
                    <w:top w:val="single" w:color="auto" w:sz="4" w:space="0"/>
                    <w:left w:val="single" w:color="auto" w:sz="4" w:space="0"/>
                    <w:right w:val="single" w:color="auto" w:sz="4" w:space="0"/>
                  </w:tcBorders>
                  <w:vAlign w:val="center"/>
                </w:tcPr>
                <w:p/>
              </w:tc>
              <w:tc>
                <w:tcPr>
                  <w:tcW w:w="1833" w:type="pc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废离子交换树脂</w:t>
                  </w:r>
                </w:p>
              </w:tc>
              <w:tc>
                <w:tcPr>
                  <w:tcW w:w="904" w:type="pc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0.1t/3a</w:t>
                  </w:r>
                </w:p>
              </w:tc>
              <w:tc>
                <w:tcPr>
                  <w:tcW w:w="1383" w:type="pct"/>
                  <w:tcBorders>
                    <w:top w:val="single" w:color="auto" w:sz="4" w:space="0"/>
                    <w:left w:val="single" w:color="auto" w:sz="4" w:space="0"/>
                  </w:tcBorders>
                  <w:vAlign w:val="center"/>
                </w:tcPr>
                <w:p>
                  <w:pPr>
                    <w:jc w:val="center"/>
                    <w:rPr>
                      <w:rFonts w:ascii="Times New Roman" w:hAnsi="Times New Roman" w:cs="Times New Roman"/>
                      <w:bCs/>
                      <w:color w:val="auto"/>
                      <w:spacing w:val="-2"/>
                      <w:szCs w:val="21"/>
                    </w:rPr>
                  </w:pPr>
                  <w:r>
                    <w:rPr>
                      <w:rFonts w:hint="eastAsia" w:ascii="Times New Roman" w:hAnsi="Times New Roman" w:cs="Times New Roman"/>
                      <w:color w:val="auto"/>
                      <w:kern w:val="0"/>
                      <w:sz w:val="21"/>
                      <w:szCs w:val="21"/>
                      <w:lang w:val="en-US" w:eastAsia="zh-CN"/>
                    </w:rPr>
                    <w:t>更换单位带走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48" w:type="pct"/>
                  <w:tcBorders>
                    <w:top w:val="single" w:color="auto" w:sz="4" w:space="0"/>
                    <w:right w:val="single" w:color="auto" w:sz="4" w:space="0"/>
                  </w:tcBorders>
                  <w:vAlign w:val="center"/>
                </w:tcPr>
                <w:p>
                  <w:pPr>
                    <w:jc w:val="center"/>
                    <w:rPr>
                      <w:rFonts w:cs="Times New Roman"/>
                      <w:color w:val="auto"/>
                      <w:szCs w:val="21"/>
                      <w:lang w:val="en-US" w:eastAsia="zh-CN"/>
                    </w:rPr>
                  </w:pPr>
                  <w:r>
                    <w:rPr>
                      <w:rFonts w:hint="eastAsia" w:cs="Times New Roman"/>
                      <w:color w:val="auto"/>
                      <w:szCs w:val="21"/>
                      <w:lang w:val="en-US" w:eastAsia="zh-CN"/>
                    </w:rPr>
                    <w:t>7</w:t>
                  </w:r>
                </w:p>
              </w:tc>
              <w:tc>
                <w:tcPr>
                  <w:tcW w:w="430" w:type="pct"/>
                  <w:vMerge w:val="continue"/>
                  <w:tcBorders>
                    <w:top w:val="single" w:color="auto" w:sz="4" w:space="0"/>
                    <w:left w:val="single" w:color="auto" w:sz="4" w:space="0"/>
                    <w:right w:val="single" w:color="auto" w:sz="4" w:space="0"/>
                  </w:tcBorders>
                  <w:vAlign w:val="center"/>
                </w:tcPr>
                <w:p/>
              </w:tc>
              <w:tc>
                <w:tcPr>
                  <w:tcW w:w="1833" w:type="pc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废催化剂</w:t>
                  </w:r>
                </w:p>
              </w:tc>
              <w:tc>
                <w:tcPr>
                  <w:tcW w:w="904" w:type="pct"/>
                  <w:tcBorders>
                    <w:top w:val="single" w:color="auto" w:sz="4" w:space="0"/>
                    <w:left w:val="single" w:color="auto" w:sz="4" w:space="0"/>
                    <w:right w:val="single" w:color="auto" w:sz="4" w:space="0"/>
                  </w:tcBorders>
                  <w:vAlign w:val="center"/>
                </w:tcPr>
                <w:p>
                  <w:pPr>
                    <w:jc w:val="center"/>
                    <w:rPr>
                      <w:rFonts w:cs="Times New Roman"/>
                      <w:color w:val="auto"/>
                      <w:szCs w:val="21"/>
                      <w:lang w:val="en-US" w:eastAsia="zh-CN"/>
                    </w:rPr>
                  </w:pPr>
                  <w:r>
                    <w:rPr>
                      <w:rFonts w:hint="eastAsia" w:cs="Times New Roman"/>
                      <w:color w:val="auto"/>
                      <w:szCs w:val="21"/>
                      <w:lang w:val="en-US" w:eastAsia="zh-CN"/>
                    </w:rPr>
                    <w:t>2t/2a</w:t>
                  </w:r>
                </w:p>
              </w:tc>
              <w:tc>
                <w:tcPr>
                  <w:tcW w:w="1383" w:type="pct"/>
                  <w:tcBorders>
                    <w:top w:val="single" w:color="auto" w:sz="4" w:space="0"/>
                    <w:left w:val="single" w:color="auto" w:sz="4" w:space="0"/>
                  </w:tcBorders>
                  <w:vAlign w:val="center"/>
                </w:tcPr>
                <w:p>
                  <w:pPr>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更换单位带走</w:t>
                  </w:r>
                </w:p>
              </w:tc>
            </w:tr>
          </w:tbl>
          <w:p>
            <w:pPr>
              <w:adjustRightInd w:val="0"/>
              <w:snapToGrid w:val="0"/>
              <w:spacing w:before="120" w:beforeLines="50" w:line="360" w:lineRule="auto"/>
              <w:ind w:firstLine="480" w:firstLineChars="200"/>
              <w:rPr>
                <w:rStyle w:val="72"/>
                <w:rFonts w:ascii="Times New Roman" w:hAnsi="Times New Roman" w:eastAsia="宋体" w:cs="Times New Roman"/>
                <w:color w:val="auto"/>
                <w:szCs w:val="21"/>
              </w:rPr>
            </w:pPr>
            <w:r>
              <w:rPr>
                <w:rStyle w:val="72"/>
                <w:rFonts w:ascii="Times New Roman" w:hAnsi="Times New Roman" w:eastAsia="宋体" w:cs="Times New Roman"/>
                <w:color w:val="auto"/>
              </w:rPr>
              <w:t>其中危险废物按照《建设项目危险废物环境影响评价指南》（环保部公告2017年第43号）要求，其产生、处理汇总情况及贮存场所（设施）基本情况见下表：</w:t>
            </w:r>
          </w:p>
          <w:p>
            <w:pPr>
              <w:pStyle w:val="73"/>
              <w:ind w:firstLine="440"/>
              <w:rPr>
                <w:rStyle w:val="72"/>
                <w:rFonts w:ascii="Times New Roman" w:hAnsi="Times New Roman" w:eastAsia="宋体" w:cs="Times New Roman"/>
                <w:bCs w:val="0"/>
                <w:color w:val="auto"/>
                <w:sz w:val="21"/>
                <w:szCs w:val="21"/>
              </w:rPr>
            </w:pPr>
            <w:r>
              <w:rPr>
                <w:rStyle w:val="72"/>
                <w:rFonts w:ascii="Times New Roman" w:hAnsi="Times New Roman" w:eastAsia="宋体" w:cs="Times New Roman"/>
                <w:bCs w:val="0"/>
                <w:color w:val="auto"/>
                <w:sz w:val="21"/>
                <w:szCs w:val="21"/>
              </w:rPr>
              <w:t>表4-</w:t>
            </w:r>
            <w:r>
              <w:rPr>
                <w:rStyle w:val="72"/>
                <w:rFonts w:hint="eastAsia" w:ascii="Times New Roman" w:hAnsi="Times New Roman" w:cs="Times New Roman"/>
                <w:bCs w:val="0"/>
                <w:color w:val="auto"/>
                <w:sz w:val="21"/>
                <w:szCs w:val="21"/>
                <w:lang w:val="en-US" w:eastAsia="zh-CN"/>
              </w:rPr>
              <w:t>10</w:t>
            </w:r>
            <w:r>
              <w:rPr>
                <w:rStyle w:val="72"/>
                <w:rFonts w:ascii="Times New Roman" w:hAnsi="Times New Roman" w:eastAsia="宋体" w:cs="Times New Roman"/>
                <w:bCs w:val="0"/>
                <w:color w:val="auto"/>
                <w:sz w:val="21"/>
                <w:szCs w:val="21"/>
              </w:rPr>
              <w:t xml:space="preserve">  危险废物汇总表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8"/>
              <w:gridCol w:w="1091"/>
              <w:gridCol w:w="785"/>
              <w:gridCol w:w="1114"/>
              <w:gridCol w:w="884"/>
              <w:gridCol w:w="858"/>
              <w:gridCol w:w="663"/>
              <w:gridCol w:w="800"/>
              <w:gridCol w:w="709"/>
              <w:gridCol w:w="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88"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序号</w:t>
                  </w:r>
                </w:p>
              </w:tc>
              <w:tc>
                <w:tcPr>
                  <w:tcW w:w="1091"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危险废物名称</w:t>
                  </w:r>
                </w:p>
              </w:tc>
              <w:tc>
                <w:tcPr>
                  <w:tcW w:w="785"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危险废</w:t>
                  </w:r>
                </w:p>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物类别</w:t>
                  </w:r>
                </w:p>
              </w:tc>
              <w:tc>
                <w:tcPr>
                  <w:tcW w:w="1114"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危险废物代码</w:t>
                  </w:r>
                </w:p>
              </w:tc>
              <w:tc>
                <w:tcPr>
                  <w:tcW w:w="884"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产生量（吨/年）</w:t>
                  </w:r>
                </w:p>
              </w:tc>
              <w:tc>
                <w:tcPr>
                  <w:tcW w:w="858"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产生工序及装置</w:t>
                  </w:r>
                </w:p>
              </w:tc>
              <w:tc>
                <w:tcPr>
                  <w:tcW w:w="663"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形态</w:t>
                  </w:r>
                </w:p>
              </w:tc>
              <w:tc>
                <w:tcPr>
                  <w:tcW w:w="800"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产废周期</w:t>
                  </w:r>
                </w:p>
              </w:tc>
              <w:tc>
                <w:tcPr>
                  <w:tcW w:w="709"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w:t>
                  </w:r>
                </w:p>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特性</w:t>
                  </w:r>
                </w:p>
              </w:tc>
              <w:tc>
                <w:tcPr>
                  <w:tcW w:w="671" w:type="dxa"/>
                  <w:tcBorders>
                    <w:tl2br w:val="nil"/>
                    <w:tr2bl w:val="nil"/>
                  </w:tcBorders>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污染防</w:t>
                  </w:r>
                </w:p>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88"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1091"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废机油及桶</w:t>
                  </w:r>
                </w:p>
              </w:tc>
              <w:tc>
                <w:tcPr>
                  <w:tcW w:w="785"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HW08</w:t>
                  </w:r>
                </w:p>
              </w:tc>
              <w:tc>
                <w:tcPr>
                  <w:tcW w:w="1114"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900-249-08</w:t>
                  </w:r>
                </w:p>
              </w:tc>
              <w:tc>
                <w:tcPr>
                  <w:tcW w:w="884" w:type="dxa"/>
                  <w:tcBorders>
                    <w:tl2br w:val="nil"/>
                    <w:tr2bl w:val="nil"/>
                  </w:tcBorders>
                  <w:vAlign w:val="center"/>
                </w:tcPr>
                <w:p>
                  <w:pPr>
                    <w:jc w:val="center"/>
                    <w:rPr>
                      <w:rFonts w:ascii="Times New Roman" w:hAnsi="Times New Roman" w:cs="Times New Roman"/>
                      <w:color w:val="auto"/>
                      <w:kern w:val="0"/>
                      <w:szCs w:val="21"/>
                    </w:rPr>
                  </w:pPr>
                  <w:r>
                    <w:rPr>
                      <w:rFonts w:ascii="Times New Roman" w:hAnsi="Times New Roman" w:cs="Times New Roman"/>
                      <w:color w:val="auto"/>
                      <w:szCs w:val="21"/>
                    </w:rPr>
                    <w:t>0.01</w:t>
                  </w:r>
                </w:p>
              </w:tc>
              <w:tc>
                <w:tcPr>
                  <w:tcW w:w="858"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生产</w:t>
                  </w:r>
                </w:p>
              </w:tc>
              <w:tc>
                <w:tcPr>
                  <w:tcW w:w="663"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液态</w:t>
                  </w:r>
                </w:p>
              </w:tc>
              <w:tc>
                <w:tcPr>
                  <w:tcW w:w="800"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1个月</w:t>
                  </w:r>
                </w:p>
              </w:tc>
              <w:tc>
                <w:tcPr>
                  <w:tcW w:w="709"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T/I</w:t>
                  </w:r>
                </w:p>
              </w:tc>
              <w:tc>
                <w:tcPr>
                  <w:tcW w:w="671" w:type="dxa"/>
                  <w:vMerge w:val="restart"/>
                  <w:tcBorders>
                    <w:tl2br w:val="nil"/>
                    <w:tr2bl w:val="nil"/>
                  </w:tcBorders>
                  <w:vAlign w:val="center"/>
                </w:tcPr>
                <w:p>
                  <w:pPr>
                    <w:jc w:val="center"/>
                    <w:rPr>
                      <w:rFonts w:ascii="Times New Roman" w:hAnsi="Times New Roman" w:cs="Times New Roman"/>
                      <w:color w:val="auto"/>
                      <w:kern w:val="0"/>
                      <w:szCs w:val="21"/>
                    </w:rPr>
                  </w:pPr>
                  <w:r>
                    <w:rPr>
                      <w:rFonts w:ascii="Times New Roman" w:hAnsi="Times New Roman" w:cs="Times New Roman"/>
                      <w:color w:val="auto"/>
                      <w:kern w:val="0"/>
                      <w:szCs w:val="21"/>
                    </w:rPr>
                    <w:t>交资质单位处置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88"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2</w:t>
                  </w:r>
                </w:p>
              </w:tc>
              <w:tc>
                <w:tcPr>
                  <w:tcW w:w="1091" w:type="dxa"/>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废含油手套抹布</w:t>
                  </w:r>
                </w:p>
              </w:tc>
              <w:tc>
                <w:tcPr>
                  <w:tcW w:w="785"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HW49</w:t>
                  </w:r>
                </w:p>
              </w:tc>
              <w:tc>
                <w:tcPr>
                  <w:tcW w:w="1114"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900-041-49</w:t>
                  </w:r>
                </w:p>
              </w:tc>
              <w:tc>
                <w:tcPr>
                  <w:tcW w:w="884" w:type="dxa"/>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0.01</w:t>
                  </w:r>
                </w:p>
              </w:tc>
              <w:tc>
                <w:tcPr>
                  <w:tcW w:w="858"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生产</w:t>
                  </w:r>
                </w:p>
              </w:tc>
              <w:tc>
                <w:tcPr>
                  <w:tcW w:w="663"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固态</w:t>
                  </w:r>
                </w:p>
              </w:tc>
              <w:tc>
                <w:tcPr>
                  <w:tcW w:w="800"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lang w:val="en-US" w:eastAsia="zh-CN" w:bidi="ar-SA"/>
                    </w:rPr>
                    <w:t>1个月</w:t>
                  </w:r>
                </w:p>
              </w:tc>
              <w:tc>
                <w:tcPr>
                  <w:tcW w:w="709"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I</w:t>
                  </w:r>
                </w:p>
              </w:tc>
              <w:tc>
                <w:tcPr>
                  <w:tcW w:w="671" w:type="dxa"/>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88" w:type="dxa"/>
                  <w:tcBorders>
                    <w:tl2br w:val="nil"/>
                    <w:tr2bl w:val="nil"/>
                  </w:tcBorders>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091"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废离子交换树脂</w:t>
                  </w:r>
                </w:p>
              </w:tc>
              <w:tc>
                <w:tcPr>
                  <w:tcW w:w="785"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HW49</w:t>
                  </w:r>
                </w:p>
              </w:tc>
              <w:tc>
                <w:tcPr>
                  <w:tcW w:w="1114"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900-041-49</w:t>
                  </w:r>
                </w:p>
              </w:tc>
              <w:tc>
                <w:tcPr>
                  <w:tcW w:w="884" w:type="dxa"/>
                  <w:tcBorders>
                    <w:tl2br w:val="nil"/>
                    <w:tr2bl w:val="nil"/>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0.1t/3年</w:t>
                  </w:r>
                </w:p>
              </w:tc>
              <w:tc>
                <w:tcPr>
                  <w:tcW w:w="858"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生产</w:t>
                  </w:r>
                </w:p>
              </w:tc>
              <w:tc>
                <w:tcPr>
                  <w:tcW w:w="663"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固态</w:t>
                  </w:r>
                </w:p>
              </w:tc>
              <w:tc>
                <w:tcPr>
                  <w:tcW w:w="800"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Cs w:val="21"/>
                      <w:lang w:val="en-US" w:eastAsia="zh-CN"/>
                    </w:rPr>
                    <w:t>3年</w:t>
                  </w:r>
                </w:p>
              </w:tc>
              <w:tc>
                <w:tcPr>
                  <w:tcW w:w="709"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I</w:t>
                  </w:r>
                </w:p>
              </w:tc>
              <w:tc>
                <w:tcPr>
                  <w:tcW w:w="671" w:type="dxa"/>
                  <w:tcBorders>
                    <w:tl2br w:val="nil"/>
                    <w:tr2bl w:val="nil"/>
                  </w:tcBorders>
                  <w:vAlign w:val="center"/>
                </w:tcPr>
                <w:p>
                  <w:pPr>
                    <w:jc w:val="center"/>
                    <w:rPr>
                      <w:rFonts w:ascii="Times New Roman" w:hAnsi="Times New Roman" w:cs="Times New Roman"/>
                      <w:color w:val="auto"/>
                      <w:kern w:val="0"/>
                      <w:szCs w:val="21"/>
                    </w:rPr>
                  </w:pPr>
                  <w:r>
                    <w:rPr>
                      <w:rFonts w:hint="eastAsia" w:ascii="Times New Roman" w:hAnsi="Times New Roman" w:cs="Times New Roman"/>
                      <w:color w:val="auto"/>
                      <w:kern w:val="0"/>
                      <w:sz w:val="21"/>
                      <w:szCs w:val="21"/>
                      <w:lang w:val="en-US" w:eastAsia="zh-CN"/>
                    </w:rPr>
                    <w:t>更换单位带走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388" w:type="dxa"/>
                  <w:tcBorders>
                    <w:tl2br w:val="nil"/>
                    <w:tr2bl w:val="nil"/>
                  </w:tcBorders>
                  <w:vAlign w:val="center"/>
                </w:tcPr>
                <w:p>
                  <w:pPr>
                    <w:widowControl/>
                    <w:jc w:val="center"/>
                    <w:rPr>
                      <w:rFonts w:cs="Times New Roman"/>
                      <w:color w:val="auto"/>
                      <w:kern w:val="0"/>
                      <w:szCs w:val="21"/>
                      <w:lang w:val="en-US" w:eastAsia="zh-CN"/>
                    </w:rPr>
                  </w:pPr>
                  <w:r>
                    <w:rPr>
                      <w:rFonts w:hint="eastAsia" w:cs="Times New Roman"/>
                      <w:color w:val="auto"/>
                      <w:kern w:val="0"/>
                      <w:szCs w:val="21"/>
                      <w:lang w:val="en-US" w:eastAsia="zh-CN"/>
                    </w:rPr>
                    <w:t>4</w:t>
                  </w:r>
                </w:p>
              </w:tc>
              <w:tc>
                <w:tcPr>
                  <w:tcW w:w="1091"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废</w:t>
                  </w:r>
                  <w:r>
                    <w:rPr>
                      <w:rFonts w:hint="eastAsia" w:cs="Times New Roman"/>
                      <w:color w:val="auto"/>
                      <w:szCs w:val="21"/>
                      <w:lang w:val="en-US" w:eastAsia="zh-CN"/>
                    </w:rPr>
                    <w:t>催化剂</w:t>
                  </w:r>
                </w:p>
              </w:tc>
              <w:tc>
                <w:tcPr>
                  <w:tcW w:w="785"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HW</w:t>
                  </w:r>
                  <w:r>
                    <w:rPr>
                      <w:rFonts w:hint="eastAsia" w:cs="Times New Roman"/>
                      <w:color w:val="auto"/>
                      <w:kern w:val="0"/>
                      <w:szCs w:val="21"/>
                      <w:lang w:val="en-US" w:eastAsia="zh-CN"/>
                    </w:rPr>
                    <w:t>50</w:t>
                  </w:r>
                </w:p>
              </w:tc>
              <w:tc>
                <w:tcPr>
                  <w:tcW w:w="1114"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772</w:t>
                  </w:r>
                  <w:r>
                    <w:rPr>
                      <w:rFonts w:ascii="Times New Roman" w:hAnsi="Times New Roman" w:cs="Times New Roman"/>
                      <w:color w:val="auto"/>
                      <w:kern w:val="0"/>
                      <w:szCs w:val="21"/>
                    </w:rPr>
                    <w:t>-0</w:t>
                  </w:r>
                  <w:r>
                    <w:rPr>
                      <w:rFonts w:hint="eastAsia" w:cs="Times New Roman"/>
                      <w:color w:val="auto"/>
                      <w:kern w:val="0"/>
                      <w:szCs w:val="21"/>
                      <w:lang w:val="en-US" w:eastAsia="zh-CN"/>
                    </w:rPr>
                    <w:t>07</w:t>
                  </w:r>
                  <w:r>
                    <w:rPr>
                      <w:rFonts w:ascii="Times New Roman" w:hAnsi="Times New Roman" w:cs="Times New Roman"/>
                      <w:color w:val="auto"/>
                      <w:kern w:val="0"/>
                      <w:szCs w:val="21"/>
                    </w:rPr>
                    <w:t>-</w:t>
                  </w:r>
                  <w:r>
                    <w:rPr>
                      <w:rFonts w:hint="eastAsia" w:cs="Times New Roman"/>
                      <w:color w:val="auto"/>
                      <w:kern w:val="0"/>
                      <w:szCs w:val="21"/>
                      <w:lang w:val="en-US" w:eastAsia="zh-CN"/>
                    </w:rPr>
                    <w:t>50</w:t>
                  </w:r>
                </w:p>
              </w:tc>
              <w:tc>
                <w:tcPr>
                  <w:tcW w:w="884" w:type="dxa"/>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2t/2a年</w:t>
                  </w:r>
                </w:p>
              </w:tc>
              <w:tc>
                <w:tcPr>
                  <w:tcW w:w="858"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生产</w:t>
                  </w:r>
                </w:p>
              </w:tc>
              <w:tc>
                <w:tcPr>
                  <w:tcW w:w="663" w:type="dxa"/>
                  <w:tcBorders>
                    <w:tl2br w:val="nil"/>
                    <w:tr2bl w:val="nil"/>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固态</w:t>
                  </w:r>
                </w:p>
              </w:tc>
              <w:tc>
                <w:tcPr>
                  <w:tcW w:w="800" w:type="dxa"/>
                  <w:tcBorders>
                    <w:tl2br w:val="nil"/>
                    <w:tr2bl w:val="nil"/>
                  </w:tcBorders>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2</w:t>
                  </w:r>
                  <w:r>
                    <w:rPr>
                      <w:rFonts w:hint="eastAsia" w:ascii="Times New Roman" w:hAnsi="Times New Roman" w:cs="Times New Roman"/>
                      <w:color w:val="auto"/>
                      <w:kern w:val="0"/>
                      <w:szCs w:val="21"/>
                      <w:lang w:val="en-US" w:eastAsia="zh-CN"/>
                    </w:rPr>
                    <w:t>年</w:t>
                  </w:r>
                </w:p>
              </w:tc>
              <w:tc>
                <w:tcPr>
                  <w:tcW w:w="709" w:type="dxa"/>
                  <w:tcBorders>
                    <w:tl2br w:val="nil"/>
                    <w:tr2bl w:val="nil"/>
                  </w:tcBorders>
                  <w:vAlign w:val="center"/>
                </w:tcPr>
                <w:p>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T</w:t>
                  </w:r>
                </w:p>
              </w:tc>
              <w:tc>
                <w:tcPr>
                  <w:tcW w:w="671" w:type="dxa"/>
                  <w:tcBorders>
                    <w:tl2br w:val="nil"/>
                    <w:tr2bl w:val="nil"/>
                  </w:tcBorders>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更换单位带走</w:t>
                  </w:r>
                </w:p>
              </w:tc>
            </w:tr>
          </w:tbl>
          <w:p>
            <w:pPr>
              <w:pStyle w:val="73"/>
              <w:ind w:firstLine="440"/>
              <w:rPr>
                <w:rStyle w:val="72"/>
                <w:rFonts w:ascii="Times New Roman" w:hAnsi="Times New Roman" w:eastAsia="宋体" w:cs="Times New Roman"/>
                <w:bCs w:val="0"/>
                <w:color w:val="auto"/>
                <w:sz w:val="21"/>
                <w:szCs w:val="21"/>
              </w:rPr>
            </w:pPr>
            <w:r>
              <w:rPr>
                <w:rStyle w:val="72"/>
                <w:rFonts w:ascii="Times New Roman" w:hAnsi="Times New Roman" w:eastAsia="宋体" w:cs="Times New Roman"/>
                <w:bCs w:val="0"/>
                <w:color w:val="auto"/>
                <w:sz w:val="21"/>
                <w:szCs w:val="21"/>
              </w:rPr>
              <w:t>表4-1</w:t>
            </w:r>
            <w:r>
              <w:rPr>
                <w:rStyle w:val="72"/>
                <w:rFonts w:hint="eastAsia" w:ascii="Times New Roman" w:hAnsi="Times New Roman" w:cs="Times New Roman"/>
                <w:bCs w:val="0"/>
                <w:color w:val="auto"/>
                <w:sz w:val="21"/>
                <w:szCs w:val="21"/>
                <w:lang w:val="en-US" w:eastAsia="zh-CN"/>
              </w:rPr>
              <w:t>1</w:t>
            </w:r>
            <w:r>
              <w:rPr>
                <w:rStyle w:val="72"/>
                <w:rFonts w:ascii="Times New Roman" w:hAnsi="Times New Roman" w:eastAsia="宋体" w:cs="Times New Roman"/>
                <w:bCs w:val="0"/>
                <w:color w:val="auto"/>
                <w:sz w:val="21"/>
                <w:szCs w:val="21"/>
              </w:rPr>
              <w:t>危险废物贮存场所（设施）基本情况表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9"/>
              <w:gridCol w:w="743"/>
              <w:gridCol w:w="1370"/>
              <w:gridCol w:w="1541"/>
              <w:gridCol w:w="1031"/>
              <w:gridCol w:w="643"/>
              <w:gridCol w:w="483"/>
              <w:gridCol w:w="483"/>
              <w:gridCol w:w="554"/>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49"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序号</w:t>
                  </w:r>
                </w:p>
              </w:tc>
              <w:tc>
                <w:tcPr>
                  <w:tcW w:w="743"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贮存场所（设施）名称</w:t>
                  </w:r>
                </w:p>
              </w:tc>
              <w:tc>
                <w:tcPr>
                  <w:tcW w:w="1370"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危险废物名称</w:t>
                  </w:r>
                </w:p>
              </w:tc>
              <w:tc>
                <w:tcPr>
                  <w:tcW w:w="1541"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危险废物类别</w:t>
                  </w:r>
                </w:p>
              </w:tc>
              <w:tc>
                <w:tcPr>
                  <w:tcW w:w="1031"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危险废物代码</w:t>
                  </w:r>
                </w:p>
              </w:tc>
              <w:tc>
                <w:tcPr>
                  <w:tcW w:w="643"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位置</w:t>
                  </w:r>
                </w:p>
              </w:tc>
              <w:tc>
                <w:tcPr>
                  <w:tcW w:w="483"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占地面积</w:t>
                  </w:r>
                </w:p>
              </w:tc>
              <w:tc>
                <w:tcPr>
                  <w:tcW w:w="483"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贮存方式</w:t>
                  </w:r>
                </w:p>
              </w:tc>
              <w:tc>
                <w:tcPr>
                  <w:tcW w:w="554"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贮存能力</w:t>
                  </w:r>
                </w:p>
              </w:tc>
              <w:tc>
                <w:tcPr>
                  <w:tcW w:w="556" w:type="dxa"/>
                  <w:vAlign w:val="center"/>
                </w:tcPr>
                <w:p>
                  <w:pPr>
                    <w:widowControl/>
                    <w:jc w:val="center"/>
                    <w:rPr>
                      <w:rFonts w:ascii="Times New Roman" w:hAnsi="Times New Roman" w:cs="Times New Roman"/>
                      <w:b/>
                      <w:color w:val="auto"/>
                      <w:kern w:val="0"/>
                      <w:szCs w:val="21"/>
                    </w:rPr>
                  </w:pPr>
                  <w:r>
                    <w:rPr>
                      <w:rFonts w:ascii="Times New Roman" w:hAnsi="Times New Roman" w:cs="Times New Roman"/>
                      <w:b/>
                      <w:color w:val="auto"/>
                      <w:kern w:val="0"/>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49"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743"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危废暂存间</w:t>
                  </w:r>
                </w:p>
              </w:tc>
              <w:tc>
                <w:tcPr>
                  <w:tcW w:w="137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szCs w:val="21"/>
                    </w:rPr>
                    <w:t>废机油及桶</w:t>
                  </w:r>
                </w:p>
              </w:tc>
              <w:tc>
                <w:tcPr>
                  <w:tcW w:w="1541"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HW08废矿物油与含矿物油废物</w:t>
                  </w:r>
                </w:p>
              </w:tc>
              <w:tc>
                <w:tcPr>
                  <w:tcW w:w="1031"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900-249-08</w:t>
                  </w:r>
                </w:p>
              </w:tc>
              <w:tc>
                <w:tcPr>
                  <w:tcW w:w="643"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东南侧</w:t>
                  </w:r>
                </w:p>
              </w:tc>
              <w:tc>
                <w:tcPr>
                  <w:tcW w:w="483"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szCs w:val="21"/>
                    </w:rPr>
                  </w:pPr>
                  <w:r>
                    <w:rPr>
                      <w:rFonts w:ascii="Times New Roman" w:hAnsi="Times New Roman" w:cs="Times New Roman"/>
                      <w:color w:val="auto"/>
                      <w:kern w:val="0"/>
                      <w:sz w:val="24"/>
                    </w:rPr>
                    <w:t>5</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483"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密封</w:t>
                  </w:r>
                </w:p>
              </w:tc>
              <w:tc>
                <w:tcPr>
                  <w:tcW w:w="554"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hint="eastAsia" w:cs="Times New Roman"/>
                      <w:color w:val="auto"/>
                      <w:szCs w:val="21"/>
                      <w:lang w:val="en-US" w:eastAsia="zh-CN"/>
                    </w:rPr>
                    <w:t>5</w:t>
                  </w:r>
                  <w:r>
                    <w:rPr>
                      <w:rFonts w:ascii="Times New Roman" w:hAnsi="Times New Roman" w:cs="Times New Roman"/>
                      <w:color w:val="auto"/>
                      <w:szCs w:val="21"/>
                    </w:rPr>
                    <w:t>m</w:t>
                  </w:r>
                  <w:r>
                    <w:rPr>
                      <w:rFonts w:ascii="Times New Roman" w:hAnsi="Times New Roman" w:cs="Times New Roman"/>
                      <w:color w:val="auto"/>
                      <w:szCs w:val="21"/>
                      <w:vertAlign w:val="superscript"/>
                    </w:rPr>
                    <w:t>2</w:t>
                  </w:r>
                </w:p>
              </w:tc>
              <w:tc>
                <w:tcPr>
                  <w:tcW w:w="556"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49" w:type="dxa"/>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cs="Times New Roman"/>
                      <w:color w:val="auto"/>
                      <w:kern w:val="0"/>
                      <w:szCs w:val="21"/>
                      <w:lang w:val="en-US" w:eastAsia="zh-CN"/>
                    </w:rPr>
                  </w:pPr>
                  <w:r>
                    <w:rPr>
                      <w:rFonts w:ascii="Times New Roman" w:hAnsi="Times New Roman" w:cs="Times New Roman"/>
                      <w:color w:val="auto"/>
                      <w:kern w:val="0"/>
                      <w:szCs w:val="21"/>
                      <w:lang w:val="en-US" w:eastAsia="zh-CN"/>
                    </w:rPr>
                    <w:t>2</w:t>
                  </w:r>
                </w:p>
              </w:tc>
              <w:tc>
                <w:tcPr>
                  <w:tcW w:w="743" w:type="dxa"/>
                  <w:vMerge w:val="continue"/>
                  <w:tcBorders>
                    <w:top w:val="single" w:color="auto" w:sz="4" w:space="0"/>
                    <w:left w:val="single" w:color="auto" w:sz="4" w:space="0"/>
                    <w:right w:val="single" w:color="auto" w:sz="4" w:space="0"/>
                  </w:tcBorders>
                  <w:vAlign w:val="center"/>
                </w:tcPr>
                <w:p/>
              </w:tc>
              <w:tc>
                <w:tcPr>
                  <w:tcW w:w="137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kern w:val="2"/>
                      <w:sz w:val="21"/>
                      <w:szCs w:val="24"/>
                      <w:lang w:val="en-US" w:eastAsia="zh-CN" w:bidi="ar-SA"/>
                    </w:rPr>
                  </w:pPr>
                  <w:r>
                    <w:rPr>
                      <w:rFonts w:ascii="Times New Roman" w:hAnsi="Times New Roman" w:cs="Times New Roman"/>
                      <w:color w:val="auto"/>
                      <w:szCs w:val="21"/>
                    </w:rPr>
                    <w:t>废含油手套抹布</w:t>
                  </w:r>
                </w:p>
              </w:tc>
              <w:tc>
                <w:tcPr>
                  <w:tcW w:w="1541" w:type="dxa"/>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szCs w:val="21"/>
                    </w:rPr>
                    <w:t>HW49其他废物</w:t>
                  </w:r>
                </w:p>
              </w:tc>
              <w:tc>
                <w:tcPr>
                  <w:tcW w:w="1031" w:type="dxa"/>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900-041-49</w:t>
                  </w:r>
                </w:p>
              </w:tc>
              <w:tc>
                <w:tcPr>
                  <w:tcW w:w="643" w:type="dxa"/>
                  <w:vMerge w:val="continue"/>
                  <w:tcBorders>
                    <w:top w:val="single" w:color="auto" w:sz="4" w:space="0"/>
                    <w:left w:val="single" w:color="auto" w:sz="4" w:space="0"/>
                    <w:right w:val="single" w:color="auto" w:sz="4" w:space="0"/>
                  </w:tcBorders>
                  <w:vAlign w:val="center"/>
                </w:tcPr>
                <w:p/>
              </w:tc>
              <w:tc>
                <w:tcPr>
                  <w:tcW w:w="483" w:type="dxa"/>
                  <w:vMerge w:val="continue"/>
                  <w:tcBorders>
                    <w:top w:val="single" w:color="auto" w:sz="4" w:space="0"/>
                    <w:left w:val="single" w:color="auto" w:sz="4" w:space="0"/>
                    <w:right w:val="single" w:color="auto" w:sz="4" w:space="0"/>
                  </w:tcBorders>
                  <w:vAlign w:val="center"/>
                </w:tcPr>
                <w:p/>
              </w:tc>
              <w:tc>
                <w:tcPr>
                  <w:tcW w:w="483"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密封</w:t>
                  </w:r>
                </w:p>
              </w:tc>
              <w:tc>
                <w:tcPr>
                  <w:tcW w:w="554" w:type="dxa"/>
                  <w:vMerge w:val="continue"/>
                  <w:tcBorders>
                    <w:top w:val="single" w:color="auto" w:sz="4" w:space="0"/>
                    <w:left w:val="single" w:color="auto" w:sz="4" w:space="0"/>
                    <w:right w:val="single" w:color="auto" w:sz="4" w:space="0"/>
                  </w:tcBorders>
                  <w:vAlign w:val="center"/>
                </w:tcPr>
                <w:p/>
              </w:tc>
              <w:tc>
                <w:tcPr>
                  <w:tcW w:w="556" w:type="dxa"/>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1周</w:t>
                  </w:r>
                </w:p>
              </w:tc>
            </w:tr>
          </w:tbl>
          <w:p>
            <w:pPr>
              <w:widowControl/>
              <w:adjustRightInd w:val="0"/>
              <w:snapToGrid w:val="0"/>
              <w:spacing w:line="360" w:lineRule="auto"/>
              <w:ind w:firstLine="482" w:firstLineChars="200"/>
              <w:jc w:val="left"/>
              <w:rPr>
                <w:rFonts w:ascii="Times New Roman" w:hAnsi="Times New Roman" w:cs="Times New Roman"/>
                <w:color w:val="auto"/>
              </w:rPr>
            </w:pPr>
            <w:r>
              <w:rPr>
                <w:rFonts w:ascii="Times New Roman" w:hAnsi="Times New Roman" w:cs="Times New Roman"/>
                <w:b/>
                <w:color w:val="auto"/>
                <w:kern w:val="0"/>
                <w:sz w:val="24"/>
              </w:rPr>
              <w:t>危废暂存间的建设要求：</w:t>
            </w:r>
          </w:p>
          <w:p>
            <w:pPr>
              <w:widowControl/>
              <w:adjustRightInd w:val="0"/>
              <w:snapToGrid w:val="0"/>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本项目在厂房东南</w:t>
            </w:r>
            <w:r>
              <w:rPr>
                <w:rFonts w:hint="eastAsia" w:cs="Times New Roman"/>
                <w:color w:val="auto"/>
                <w:kern w:val="0"/>
                <w:sz w:val="24"/>
                <w:lang w:val="en-US" w:eastAsia="zh-CN"/>
              </w:rPr>
              <w:t>已经</w:t>
            </w:r>
            <w:r>
              <w:rPr>
                <w:rFonts w:ascii="Times New Roman" w:hAnsi="Times New Roman" w:cs="Times New Roman"/>
                <w:color w:val="auto"/>
                <w:kern w:val="0"/>
                <w:sz w:val="24"/>
              </w:rPr>
              <w:t>设置一间危废暂存间，面积5</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kern w:val="0"/>
                <w:sz w:val="24"/>
              </w:rPr>
              <w:t>，危险暂存间内分区设置，分别设置液态废弃物暂存区和固态废弃物暂存区。</w:t>
            </w:r>
          </w:p>
          <w:p>
            <w:pPr>
              <w:spacing w:line="360" w:lineRule="auto"/>
              <w:ind w:firstLine="480" w:firstLineChars="200"/>
              <w:rPr>
                <w:bCs/>
                <w:color w:val="auto"/>
                <w:sz w:val="24"/>
              </w:rPr>
            </w:pPr>
            <w:r>
              <w:rPr>
                <w:rFonts w:ascii="Times New Roman" w:hAnsi="Times New Roman" w:cs="Times New Roman"/>
                <w:color w:val="auto"/>
                <w:kern w:val="0"/>
                <w:sz w:val="24"/>
              </w:rPr>
              <w:t>危</w:t>
            </w:r>
            <w:r>
              <w:rPr>
                <w:bCs/>
                <w:color w:val="auto"/>
                <w:sz w:val="24"/>
              </w:rPr>
              <w:t>危废暂存间设置的要求：</w:t>
            </w:r>
          </w:p>
          <w:p>
            <w:pPr>
              <w:numPr>
                <w:ilvl w:val="0"/>
                <w:numId w:val="7"/>
              </w:numPr>
              <w:spacing w:line="360" w:lineRule="auto"/>
              <w:ind w:left="0" w:firstLine="480" w:firstLineChars="200"/>
              <w:rPr>
                <w:bCs/>
                <w:color w:val="auto"/>
                <w:sz w:val="24"/>
              </w:rPr>
            </w:pPr>
            <w:r>
              <w:rPr>
                <w:bCs/>
                <w:color w:val="auto"/>
                <w:sz w:val="24"/>
              </w:rPr>
              <w:t>贮存设施应根据危险废物的形态、物理化学性质、包装形式和污染物迁移途径，采取必要的防风、防晒、防雨、防漏、防渗、防腐以及其他环境污染防治措施，不应露天堆放危险废物。</w:t>
            </w:r>
          </w:p>
          <w:p>
            <w:pPr>
              <w:numPr>
                <w:ilvl w:val="0"/>
                <w:numId w:val="7"/>
              </w:numPr>
              <w:spacing w:line="360" w:lineRule="auto"/>
              <w:ind w:left="0" w:firstLine="480" w:firstLineChars="200"/>
              <w:rPr>
                <w:bCs/>
                <w:color w:val="auto"/>
                <w:sz w:val="24"/>
              </w:rPr>
            </w:pPr>
            <w:r>
              <w:rPr>
                <w:bCs/>
                <w:color w:val="auto"/>
                <w:sz w:val="24"/>
              </w:rPr>
              <w:t>贮存设施应根据危险废物的类别、数量、形态、物理化学性质和污染防治等要求设置必要的贮存分区，避免不相容的危险废物接触、混合。</w:t>
            </w:r>
          </w:p>
          <w:p>
            <w:pPr>
              <w:numPr>
                <w:ilvl w:val="0"/>
                <w:numId w:val="7"/>
              </w:numPr>
              <w:spacing w:line="360" w:lineRule="auto"/>
              <w:ind w:left="0" w:firstLine="480" w:firstLineChars="200"/>
              <w:rPr>
                <w:bCs/>
                <w:color w:val="auto"/>
                <w:sz w:val="24"/>
              </w:rPr>
            </w:pPr>
            <w:r>
              <w:rPr>
                <w:bCs/>
                <w:color w:val="auto"/>
                <w:sz w:val="24"/>
              </w:rPr>
              <w:t>贮存设施或贮存分区内地面、墙面裙脚、堵截泄漏的围堰、接触危险废物的隔板和墙体等应采用坚固的材料建造，表面无裂缝。</w:t>
            </w:r>
          </w:p>
          <w:p>
            <w:pPr>
              <w:numPr>
                <w:ilvl w:val="0"/>
                <w:numId w:val="7"/>
              </w:numPr>
              <w:spacing w:line="360" w:lineRule="auto"/>
              <w:ind w:left="0" w:firstLine="480" w:firstLineChars="200"/>
              <w:rPr>
                <w:bCs/>
                <w:color w:val="auto"/>
                <w:sz w:val="24"/>
              </w:rPr>
            </w:pPr>
            <w:r>
              <w:rPr>
                <w:bCs/>
                <w:color w:val="auto"/>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bCs/>
                <w:color w:val="auto"/>
                <w:sz w:val="24"/>
                <w:vertAlign w:val="superscript"/>
              </w:rPr>
              <w:t>-7</w:t>
            </w:r>
            <w:r>
              <w:rPr>
                <w:bCs/>
                <w:color w:val="auto"/>
                <w:sz w:val="24"/>
              </w:rPr>
              <w:t>cm/s），或至少2mm厚高密度聚乙烯膜等人工防渗材料（渗透系数不大于10</w:t>
            </w:r>
            <w:r>
              <w:rPr>
                <w:bCs/>
                <w:color w:val="auto"/>
                <w:sz w:val="24"/>
                <w:vertAlign w:val="superscript"/>
              </w:rPr>
              <w:t>-10</w:t>
            </w:r>
            <w:r>
              <w:rPr>
                <w:bCs/>
                <w:color w:val="auto"/>
                <w:sz w:val="24"/>
              </w:rPr>
              <w:t>cm/s），或其他防渗性能等效的材料。</w:t>
            </w:r>
          </w:p>
          <w:p>
            <w:pPr>
              <w:numPr>
                <w:ilvl w:val="0"/>
                <w:numId w:val="7"/>
              </w:numPr>
              <w:spacing w:line="360" w:lineRule="auto"/>
              <w:ind w:left="0" w:firstLine="480" w:firstLineChars="200"/>
              <w:rPr>
                <w:bCs/>
                <w:color w:val="auto"/>
                <w:sz w:val="24"/>
              </w:rPr>
            </w:pPr>
            <w:r>
              <w:rPr>
                <w:bCs/>
                <w:color w:val="auto"/>
                <w:sz w:val="24"/>
              </w:rPr>
              <w:t>同一贮存设施宜采用相同的防渗、防腐工艺（包括防渗、防腐结构或材料），防渗、防腐材料应覆盖所有可能与废物及其渗滤液、渗漏液等接触的构筑物表面；采用不同防渗、防腐工艺应分别建设贮存分区。</w:t>
            </w:r>
          </w:p>
          <w:p>
            <w:pPr>
              <w:numPr>
                <w:ilvl w:val="0"/>
                <w:numId w:val="7"/>
              </w:numPr>
              <w:spacing w:line="360" w:lineRule="auto"/>
              <w:ind w:left="0" w:firstLine="480" w:firstLineChars="200"/>
              <w:rPr>
                <w:bCs/>
                <w:color w:val="auto"/>
                <w:sz w:val="24"/>
              </w:rPr>
            </w:pPr>
            <w:r>
              <w:rPr>
                <w:bCs/>
                <w:color w:val="auto"/>
                <w:sz w:val="24"/>
              </w:rPr>
              <w:t>贮存设施应采取技术和管理措施防止无关人员进入。</w:t>
            </w:r>
          </w:p>
          <w:p>
            <w:pPr>
              <w:spacing w:line="360" w:lineRule="auto"/>
              <w:ind w:firstLine="482" w:firstLineChars="200"/>
              <w:rPr>
                <w:b/>
                <w:color w:val="auto"/>
                <w:sz w:val="24"/>
                <w:u w:val="none"/>
              </w:rPr>
            </w:pPr>
            <w:r>
              <w:rPr>
                <w:rFonts w:hint="eastAsia" w:ascii="宋体" w:cs="宋体"/>
                <w:b/>
                <w:color w:val="auto"/>
                <w:sz w:val="24"/>
                <w:u w:val="none"/>
              </w:rPr>
              <w:t>②</w:t>
            </w:r>
            <w:r>
              <w:rPr>
                <w:b/>
                <w:color w:val="auto"/>
                <w:sz w:val="24"/>
                <w:u w:val="none"/>
              </w:rPr>
              <w:t>危废暂存管理要求</w:t>
            </w:r>
          </w:p>
          <w:p>
            <w:pPr>
              <w:numPr>
                <w:ilvl w:val="0"/>
                <w:numId w:val="8"/>
              </w:numPr>
              <w:spacing w:line="360" w:lineRule="auto"/>
              <w:ind w:left="0" w:firstLine="480" w:firstLineChars="200"/>
              <w:rPr>
                <w:bCs/>
                <w:color w:val="auto"/>
                <w:sz w:val="24"/>
                <w:u w:val="none"/>
              </w:rPr>
            </w:pPr>
            <w:r>
              <w:rPr>
                <w:bCs/>
                <w:color w:val="auto"/>
                <w:sz w:val="24"/>
                <w:u w:val="none"/>
              </w:rPr>
              <w:t>贮存点应具有固定的区域边界，并应采取与其他区域进行隔离的措施。</w:t>
            </w:r>
          </w:p>
          <w:p>
            <w:pPr>
              <w:numPr>
                <w:ilvl w:val="0"/>
                <w:numId w:val="8"/>
              </w:numPr>
              <w:spacing w:line="360" w:lineRule="auto"/>
              <w:ind w:left="0" w:firstLine="480" w:firstLineChars="200"/>
              <w:rPr>
                <w:bCs/>
                <w:color w:val="auto"/>
                <w:sz w:val="24"/>
                <w:u w:val="none"/>
              </w:rPr>
            </w:pPr>
            <w:r>
              <w:rPr>
                <w:bCs/>
                <w:color w:val="auto"/>
                <w:sz w:val="24"/>
                <w:u w:val="none"/>
              </w:rPr>
              <w:t>贮存点应采取防风、防雨、防晒和防止危险废物流失、扬散等措施。</w:t>
            </w:r>
          </w:p>
          <w:p>
            <w:pPr>
              <w:numPr>
                <w:ilvl w:val="0"/>
                <w:numId w:val="8"/>
              </w:numPr>
              <w:spacing w:line="360" w:lineRule="auto"/>
              <w:ind w:left="0" w:firstLine="480" w:firstLineChars="200"/>
              <w:rPr>
                <w:bCs/>
                <w:color w:val="auto"/>
                <w:sz w:val="24"/>
                <w:u w:val="none"/>
              </w:rPr>
            </w:pPr>
            <w:r>
              <w:rPr>
                <w:bCs/>
                <w:color w:val="auto"/>
                <w:sz w:val="24"/>
                <w:u w:val="none"/>
              </w:rPr>
              <w:t>贮存点贮存的危险废物应置于容器或包装物中，不应直接散堆。</w:t>
            </w:r>
          </w:p>
          <w:p>
            <w:pPr>
              <w:numPr>
                <w:ilvl w:val="0"/>
                <w:numId w:val="8"/>
              </w:numPr>
              <w:spacing w:line="360" w:lineRule="auto"/>
              <w:ind w:left="0" w:firstLine="480" w:firstLineChars="200"/>
              <w:rPr>
                <w:bCs/>
                <w:color w:val="auto"/>
                <w:sz w:val="24"/>
                <w:u w:val="none"/>
              </w:rPr>
            </w:pPr>
            <w:r>
              <w:rPr>
                <w:bCs/>
                <w:color w:val="auto"/>
                <w:sz w:val="24"/>
                <w:u w:val="none"/>
              </w:rPr>
              <w:t>贮存点应根据危险废物的形态、物理化学性质、包装形式等，采取防渗、防漏等污染防治措施或采用具有相应功能的装置。</w:t>
            </w:r>
          </w:p>
          <w:p>
            <w:pPr>
              <w:spacing w:line="360" w:lineRule="auto"/>
              <w:ind w:firstLine="482" w:firstLineChars="200"/>
              <w:rPr>
                <w:bCs/>
                <w:color w:val="auto"/>
                <w:sz w:val="24"/>
                <w:u w:val="none"/>
              </w:rPr>
            </w:pPr>
            <w:r>
              <w:rPr>
                <w:rFonts w:hint="eastAsia" w:ascii="宋体" w:cs="宋体"/>
                <w:b/>
                <w:color w:val="auto"/>
                <w:sz w:val="24"/>
                <w:u w:val="none"/>
              </w:rPr>
              <w:t>③</w:t>
            </w:r>
            <w:r>
              <w:rPr>
                <w:b/>
                <w:color w:val="auto"/>
                <w:sz w:val="24"/>
                <w:u w:val="none"/>
              </w:rPr>
              <w:t>危废的收集和管理</w:t>
            </w:r>
          </w:p>
          <w:p>
            <w:pPr>
              <w:numPr>
                <w:ilvl w:val="0"/>
                <w:numId w:val="9"/>
              </w:numPr>
              <w:spacing w:line="360" w:lineRule="auto"/>
              <w:ind w:left="0" w:firstLine="480" w:firstLineChars="200"/>
              <w:rPr>
                <w:bCs/>
                <w:color w:val="auto"/>
                <w:sz w:val="24"/>
                <w:u w:val="none"/>
              </w:rPr>
            </w:pPr>
            <w:r>
              <w:rPr>
                <w:bCs/>
                <w:color w:val="auto"/>
                <w:sz w:val="24"/>
                <w:u w:val="none"/>
              </w:rPr>
              <w:t>危险废物存入贮存设施前应对危险废物类别和特性与危险废物标签等危险废物识别标志的一致性进行核验，不一致的或类别、特性不明的不应存入。</w:t>
            </w:r>
          </w:p>
          <w:p>
            <w:pPr>
              <w:numPr>
                <w:ilvl w:val="0"/>
                <w:numId w:val="9"/>
              </w:numPr>
              <w:spacing w:line="360" w:lineRule="auto"/>
              <w:ind w:left="0" w:firstLine="480" w:firstLineChars="200"/>
              <w:rPr>
                <w:bCs/>
                <w:color w:val="auto"/>
                <w:sz w:val="24"/>
                <w:u w:val="none"/>
              </w:rPr>
            </w:pPr>
            <w:r>
              <w:rPr>
                <w:bCs/>
                <w:color w:val="auto"/>
                <w:sz w:val="24"/>
                <w:u w:val="none"/>
              </w:rPr>
              <w:t>应定期检查危险废物的贮存状况，及时清理贮存设施地面，更换破损泄漏的危险废物贮存容器和包装物，保证堆存危险废物的防雨、防风、防扬尘等设施功能完好。</w:t>
            </w:r>
          </w:p>
          <w:p>
            <w:pPr>
              <w:numPr>
                <w:ilvl w:val="0"/>
                <w:numId w:val="9"/>
              </w:numPr>
              <w:spacing w:line="360" w:lineRule="auto"/>
              <w:ind w:left="0" w:firstLine="480" w:firstLineChars="200"/>
              <w:rPr>
                <w:bCs/>
                <w:color w:val="auto"/>
                <w:sz w:val="24"/>
                <w:u w:val="none"/>
              </w:rPr>
            </w:pPr>
            <w:r>
              <w:rPr>
                <w:bCs/>
                <w:color w:val="auto"/>
                <w:sz w:val="24"/>
                <w:u w:val="none"/>
              </w:rPr>
              <w:t>作业设备及车辆等结束作业离开贮存设施时，应对其残留的危险废物进行清理，清理的废物或清洗废水应收集处理。</w:t>
            </w:r>
          </w:p>
          <w:p>
            <w:pPr>
              <w:numPr>
                <w:ilvl w:val="0"/>
                <w:numId w:val="9"/>
              </w:numPr>
              <w:spacing w:line="360" w:lineRule="auto"/>
              <w:ind w:left="0" w:firstLine="480" w:firstLineChars="200"/>
              <w:rPr>
                <w:bCs/>
                <w:color w:val="auto"/>
                <w:sz w:val="24"/>
                <w:u w:val="none"/>
              </w:rPr>
            </w:pPr>
            <w:r>
              <w:rPr>
                <w:bCs/>
                <w:color w:val="auto"/>
                <w:sz w:val="24"/>
                <w:u w:val="none"/>
              </w:rPr>
              <w:t>贮存设施运营期间，应按国家有关标准和规定建立危险废物管理台账并保存。</w:t>
            </w:r>
          </w:p>
          <w:p>
            <w:pPr>
              <w:numPr>
                <w:ilvl w:val="0"/>
                <w:numId w:val="9"/>
              </w:numPr>
              <w:spacing w:line="360" w:lineRule="auto"/>
              <w:ind w:left="0" w:firstLine="480" w:firstLineChars="200"/>
              <w:rPr>
                <w:bCs/>
                <w:color w:val="auto"/>
                <w:sz w:val="24"/>
                <w:u w:val="none"/>
              </w:rPr>
            </w:pPr>
            <w:r>
              <w:rPr>
                <w:bCs/>
                <w:color w:val="auto"/>
                <w:sz w:val="24"/>
                <w:u w:val="none"/>
              </w:rPr>
              <w:t>贮存设施所有者或运营者应建立贮存设施环境管理制度、管理人员岗位职责制度、设施运行操作制度、人员岗位培训制度等。</w:t>
            </w:r>
          </w:p>
          <w:p>
            <w:pPr>
              <w:numPr>
                <w:ilvl w:val="0"/>
                <w:numId w:val="9"/>
              </w:numPr>
              <w:spacing w:line="360" w:lineRule="auto"/>
              <w:ind w:left="0" w:firstLine="480" w:firstLineChars="200"/>
              <w:rPr>
                <w:bCs/>
                <w:color w:val="auto"/>
                <w:sz w:val="24"/>
                <w:u w:val="none"/>
              </w:rPr>
            </w:pPr>
            <w:r>
              <w:rPr>
                <w:bCs/>
                <w:color w:val="auto"/>
                <w:sz w:val="24"/>
                <w:u w:val="none"/>
              </w:rPr>
              <w:t>贮存设施所有者或运营者应建立贮存设施全部档案，包括设计、施工、验收、运行、监测和环境应急等，应按国家有关档案管理的法律法规进行整理和归档。</w:t>
            </w:r>
          </w:p>
          <w:p>
            <w:pPr>
              <w:spacing w:line="360" w:lineRule="auto"/>
              <w:ind w:firstLine="482" w:firstLineChars="200"/>
              <w:rPr>
                <w:b/>
                <w:color w:val="auto"/>
                <w:sz w:val="24"/>
              </w:rPr>
            </w:pPr>
            <w:r>
              <w:rPr>
                <w:rFonts w:hint="eastAsia" w:ascii="宋体" w:cs="宋体"/>
                <w:b/>
                <w:color w:val="auto"/>
                <w:sz w:val="24"/>
              </w:rPr>
              <w:t>④</w:t>
            </w:r>
            <w:r>
              <w:rPr>
                <w:b/>
                <w:color w:val="auto"/>
                <w:sz w:val="24"/>
              </w:rPr>
              <w:t>危险废物识别标志设置</w:t>
            </w:r>
          </w:p>
          <w:p>
            <w:pPr>
              <w:spacing w:line="360" w:lineRule="auto"/>
              <w:ind w:firstLine="480" w:firstLineChars="200"/>
              <w:rPr>
                <w:bCs/>
                <w:color w:val="auto"/>
                <w:sz w:val="24"/>
              </w:rPr>
            </w:pPr>
            <w:r>
              <w:rPr>
                <w:bCs/>
                <w:color w:val="auto"/>
                <w:sz w:val="24"/>
              </w:rPr>
              <w:t>贮存设施或场所、容器和包装物应按《危险废物识别标志设置技术规范》（HJ1276-2022）要求设置危险废物贮存设施或场所标志、危险废物贮存分区标志和危险废物标签等危险废物识别标志。</w:t>
            </w:r>
          </w:p>
          <w:p>
            <w:pPr>
              <w:numPr>
                <w:ilvl w:val="0"/>
                <w:numId w:val="10"/>
              </w:numPr>
              <w:spacing w:line="360" w:lineRule="auto"/>
              <w:ind w:left="0" w:firstLine="480" w:firstLineChars="200"/>
              <w:rPr>
                <w:bCs/>
                <w:color w:val="auto"/>
                <w:sz w:val="24"/>
              </w:rPr>
            </w:pPr>
            <w:r>
              <w:rPr>
                <w:bCs/>
                <w:color w:val="auto"/>
                <w:sz w:val="24"/>
              </w:rPr>
              <w:t>危险废物贮存设施或场所标志：设置位置应明显可见且易读，不应被容器包装物自身的任何部分或其他标签遮挡。危险废物标签在各种包装上的粘贴位置分别为：袋类包装位于包装明显处；桶类包装位于桶身或桶盖；其他包装：位于明显处。</w:t>
            </w:r>
          </w:p>
          <w:p>
            <w:pPr>
              <w:numPr>
                <w:ilvl w:val="0"/>
                <w:numId w:val="10"/>
              </w:numPr>
              <w:spacing w:line="360" w:lineRule="auto"/>
              <w:ind w:left="0" w:firstLine="480" w:firstLineChars="200"/>
              <w:rPr>
                <w:bCs/>
                <w:color w:val="auto"/>
                <w:sz w:val="24"/>
              </w:rPr>
            </w:pPr>
            <w:r>
              <w:rPr>
                <w:bCs/>
                <w:color w:val="auto"/>
                <w:sz w:val="24"/>
              </w:rPr>
              <w:t>危险废物贮存分区标志：宜在危险废物贮存设施内的每一个贮存分区处设置危险废物贮存分区标志。分区标志宜设置在该贮存分区前的通道位置或墙壁、栏杆等易于观察的位置。</w:t>
            </w:r>
          </w:p>
          <w:p>
            <w:pPr>
              <w:numPr>
                <w:ilvl w:val="0"/>
                <w:numId w:val="10"/>
              </w:numPr>
              <w:spacing w:line="360" w:lineRule="auto"/>
              <w:ind w:left="0" w:firstLine="480" w:firstLineChars="200"/>
              <w:rPr>
                <w:bCs/>
                <w:color w:val="auto"/>
                <w:sz w:val="24"/>
              </w:rPr>
            </w:pPr>
            <w:r>
              <w:rPr>
                <w:bCs/>
                <w:color w:val="auto"/>
                <w:sz w:val="24"/>
              </w:rPr>
              <w:t>危险废物标签：可采用横版或竖版的形式。有独立场所的设施，场所外入口处的墙壁或栏杆显著位置设置，或位于建筑物内的，应在其区域边界或入口处显著位置设置。</w:t>
            </w:r>
          </w:p>
          <w:p>
            <w:pPr>
              <w:spacing w:line="360" w:lineRule="auto"/>
              <w:ind w:left="420" w:leftChars="200"/>
              <w:rPr>
                <w:bCs/>
                <w:color w:val="auto"/>
                <w:sz w:val="24"/>
              </w:rPr>
            </w:pPr>
          </w:p>
          <w:p>
            <w:pPr>
              <w:spacing w:line="360" w:lineRule="auto"/>
              <w:ind w:left="420" w:leftChars="200"/>
              <w:rPr>
                <w:bCs/>
                <w:color w:val="auto"/>
                <w:sz w:val="24"/>
              </w:rPr>
            </w:pPr>
          </w:p>
          <w:tbl>
            <w:tblPr>
              <w:tblStyle w:val="2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1"/>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color w:val="auto"/>
                      <w:szCs w:val="21"/>
                    </w:rPr>
                    <w:drawing>
                      <wp:inline distT="0" distB="0" distL="114300" distR="114300">
                        <wp:extent cx="2495550" cy="1943100"/>
                        <wp:effectExtent l="0" t="0" r="38" b="30"/>
                        <wp:docPr id="140" name="图片 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descr="IMG_263"/>
                                <pic:cNvPicPr>
                                  <a:picLocks noChangeAspect="1"/>
                                </pic:cNvPicPr>
                              </pic:nvPicPr>
                              <pic:blipFill>
                                <a:blip r:embed="rId24"/>
                                <a:stretch>
                                  <a:fillRect/>
                                </a:stretch>
                              </pic:blipFill>
                              <pic:spPr>
                                <a:xfrm>
                                  <a:off x="0" y="0"/>
                                  <a:ext cx="2495550" cy="1943100"/>
                                </a:xfrm>
                                <a:prstGeom prst="rect">
                                  <a:avLst/>
                                </a:prstGeom>
                                <a:noFill/>
                                <a:ln w="9525" cap="flat" cmpd="sng">
                                  <a:noFill/>
                                  <a:prstDash val="solid"/>
                                  <a:round/>
                                </a:ln>
                              </pic:spPr>
                            </pic:pic>
                          </a:graphicData>
                        </a:graphic>
                      </wp:inline>
                    </w:drawing>
                  </w:r>
                </w:p>
              </w:tc>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bCs/>
                      <w:color w:val="auto"/>
                      <w:sz w:val="24"/>
                    </w:rPr>
                    <w:drawing>
                      <wp:inline distT="0" distB="0" distL="114300" distR="114300">
                        <wp:extent cx="2343150" cy="3799840"/>
                        <wp:effectExtent l="0" t="0" r="36" b="38"/>
                        <wp:docPr id="143" name="图片 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 descr="IMG_264"/>
                                <pic:cNvPicPr>
                                  <a:picLocks noChangeAspect="1"/>
                                </pic:cNvPicPr>
                              </pic:nvPicPr>
                              <pic:blipFill>
                                <a:blip r:embed="rId25"/>
                                <a:stretch>
                                  <a:fillRect/>
                                </a:stretch>
                              </pic:blipFill>
                              <pic:spPr>
                                <a:xfrm>
                                  <a:off x="0" y="0"/>
                                  <a:ext cx="2343150" cy="3800474"/>
                                </a:xfrm>
                                <a:prstGeom prst="rect">
                                  <a:avLst/>
                                </a:prstGeom>
                                <a:noFill/>
                                <a:ln w="9525" cap="flat" cmpd="sng">
                                  <a:noFill/>
                                  <a:prstDash val="solid"/>
                                  <a:rou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bCs/>
                      <w:color w:val="auto"/>
                      <w:sz w:val="24"/>
                    </w:rPr>
                    <w:t>危险废物贮存设施或场所标志</w:t>
                  </w:r>
                </w:p>
              </w:tc>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bCs/>
                      <w:color w:val="auto"/>
                      <w:sz w:val="24"/>
                    </w:rPr>
                    <w:t>危险废物贮存设施或场所标志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color w:val="auto"/>
                      <w:szCs w:val="21"/>
                    </w:rPr>
                    <w:drawing>
                      <wp:inline distT="0" distB="0" distL="114300" distR="114300">
                        <wp:extent cx="2495550" cy="2105025"/>
                        <wp:effectExtent l="0" t="0" r="38" b="32"/>
                        <wp:docPr id="146" name="图片 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descr="IMG_265"/>
                                <pic:cNvPicPr>
                                  <a:picLocks noChangeAspect="1"/>
                                </pic:cNvPicPr>
                              </pic:nvPicPr>
                              <pic:blipFill>
                                <a:blip r:embed="rId26"/>
                                <a:stretch>
                                  <a:fillRect/>
                                </a:stretch>
                              </pic:blipFill>
                              <pic:spPr>
                                <a:xfrm>
                                  <a:off x="0" y="0"/>
                                  <a:ext cx="2495550" cy="2105025"/>
                                </a:xfrm>
                                <a:prstGeom prst="rect">
                                  <a:avLst/>
                                </a:prstGeom>
                                <a:noFill/>
                                <a:ln w="9525" cap="flat" cmpd="sng">
                                  <a:noFill/>
                                  <a:prstDash val="solid"/>
                                  <a:round/>
                                </a:ln>
                              </pic:spPr>
                            </pic:pic>
                          </a:graphicData>
                        </a:graphic>
                      </wp:inline>
                    </w:drawing>
                  </w:r>
                </w:p>
              </w:tc>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color w:val="auto"/>
                      <w:szCs w:val="21"/>
                    </w:rPr>
                    <w:drawing>
                      <wp:inline distT="0" distB="0" distL="114300" distR="114300">
                        <wp:extent cx="2419350" cy="2057400"/>
                        <wp:effectExtent l="0" t="0" r="37" b="32"/>
                        <wp:docPr id="149" name="图片 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 descr="IMG_266"/>
                                <pic:cNvPicPr>
                                  <a:picLocks noChangeAspect="1"/>
                                </pic:cNvPicPr>
                              </pic:nvPicPr>
                              <pic:blipFill>
                                <a:blip r:embed="rId27"/>
                                <a:stretch>
                                  <a:fillRect/>
                                </a:stretch>
                              </pic:blipFill>
                              <pic:spPr>
                                <a:xfrm>
                                  <a:off x="0" y="0"/>
                                  <a:ext cx="2419350" cy="2057400"/>
                                </a:xfrm>
                                <a:prstGeom prst="rect">
                                  <a:avLst/>
                                </a:prstGeom>
                                <a:noFill/>
                                <a:ln w="9525" cap="flat" cmpd="sng">
                                  <a:noFill/>
                                  <a:prstDash val="solid"/>
                                  <a:rou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1" w:type="dxa"/>
                  <w:tcBorders>
                    <w:top w:val="single" w:color="auto" w:sz="4" w:space="0"/>
                    <w:left w:val="single" w:color="auto" w:sz="4" w:space="0"/>
                    <w:bottom w:val="single" w:color="auto" w:sz="4" w:space="0"/>
                    <w:right w:val="single" w:color="auto" w:sz="4" w:space="0"/>
                  </w:tcBorders>
                  <w:noWrap/>
                </w:tcPr>
                <w:p>
                  <w:pPr>
                    <w:jc w:val="center"/>
                    <w:rPr>
                      <w:bCs/>
                      <w:color w:val="auto"/>
                      <w:sz w:val="24"/>
                    </w:rPr>
                  </w:pPr>
                  <w:r>
                    <w:rPr>
                      <w:bCs/>
                      <w:color w:val="auto"/>
                      <w:sz w:val="24"/>
                    </w:rPr>
                    <w:t>危险废物贮存分区标志</w:t>
                  </w:r>
                </w:p>
              </w:tc>
              <w:tc>
                <w:tcPr>
                  <w:tcW w:w="4151" w:type="dxa"/>
                  <w:tcBorders>
                    <w:top w:val="single" w:color="auto" w:sz="4" w:space="0"/>
                    <w:left w:val="single" w:color="auto" w:sz="4" w:space="0"/>
                    <w:bottom w:val="single" w:color="auto" w:sz="4" w:space="0"/>
                    <w:right w:val="single" w:color="auto" w:sz="4" w:space="0"/>
                  </w:tcBorders>
                  <w:noWrap/>
                </w:tcPr>
                <w:p>
                  <w:pPr>
                    <w:jc w:val="center"/>
                    <w:rPr>
                      <w:b/>
                      <w:color w:val="auto"/>
                      <w:sz w:val="24"/>
                    </w:rPr>
                  </w:pPr>
                  <w:r>
                    <w:rPr>
                      <w:bCs/>
                      <w:color w:val="auto"/>
                      <w:sz w:val="24"/>
                    </w:rPr>
                    <w:t>危险废物标签</w:t>
                  </w:r>
                </w:p>
              </w:tc>
            </w:tr>
          </w:tbl>
          <w:p>
            <w:pPr>
              <w:spacing w:line="360" w:lineRule="auto"/>
              <w:ind w:firstLine="482" w:firstLineChars="200"/>
              <w:rPr>
                <w:bCs/>
                <w:color w:val="auto"/>
                <w:sz w:val="24"/>
              </w:rPr>
            </w:pPr>
            <w:r>
              <w:rPr>
                <w:rFonts w:hint="eastAsia" w:ascii="宋体" w:cs="宋体"/>
                <w:b/>
                <w:color w:val="auto"/>
                <w:sz w:val="24"/>
              </w:rPr>
              <w:t>⑤</w:t>
            </w:r>
            <w:r>
              <w:rPr>
                <w:b/>
                <w:color w:val="auto"/>
                <w:sz w:val="24"/>
              </w:rPr>
              <w:t>危废的转运管理</w:t>
            </w:r>
          </w:p>
          <w:p>
            <w:pPr>
              <w:numPr>
                <w:ilvl w:val="0"/>
                <w:numId w:val="11"/>
              </w:numPr>
              <w:spacing w:line="360" w:lineRule="auto"/>
              <w:ind w:left="0" w:firstLine="480" w:firstLineChars="200"/>
              <w:rPr>
                <w:color w:val="auto"/>
                <w:sz w:val="24"/>
              </w:rPr>
            </w:pPr>
            <w:r>
              <w:rPr>
                <w:color w:val="auto"/>
                <w:sz w:val="24"/>
              </w:rPr>
              <w:t>做好每次外运处置废物的运输登记，认真填写危险废物转移联单（每种废物填写一份联单），并加盖公司公章，经运输单位核实验收签字后，将联单第一联副联自留存档，将联单第二联交移出地生态环境主管部门，第三联及其余各联交付运输单位，随危险废物转移运行。第四联交接受单位，第五联交接受地生态环境主管部门。</w:t>
            </w:r>
          </w:p>
          <w:p>
            <w:pPr>
              <w:numPr>
                <w:ilvl w:val="0"/>
                <w:numId w:val="11"/>
              </w:numPr>
              <w:spacing w:line="360" w:lineRule="auto"/>
              <w:ind w:left="0" w:firstLine="480" w:firstLineChars="200"/>
              <w:rPr>
                <w:color w:val="auto"/>
                <w:sz w:val="24"/>
              </w:rPr>
            </w:pPr>
            <w:r>
              <w:rPr>
                <w:color w:val="auto"/>
                <w:sz w:val="24"/>
              </w:rPr>
              <w:t>废物处置单位的运输人员必须掌握危险化学品运输的安全知识，了解所运载危险化学品的性质、危害特性、包装容器的使用特性和发生意外时的应急措施。运输车辆必须具有车辆危险货物运输许可证。驾驶人员必须由取得驾驶执照的熟练人员担任。</w:t>
            </w:r>
          </w:p>
          <w:p>
            <w:pPr>
              <w:numPr>
                <w:ilvl w:val="0"/>
                <w:numId w:val="11"/>
              </w:numPr>
              <w:spacing w:line="360" w:lineRule="auto"/>
              <w:ind w:left="0" w:firstLine="480" w:firstLineChars="200"/>
              <w:rPr>
                <w:color w:val="auto"/>
                <w:sz w:val="24"/>
              </w:rPr>
            </w:pPr>
            <w:r>
              <w:rPr>
                <w:color w:val="auto"/>
                <w:sz w:val="24"/>
              </w:rPr>
              <w:t>处置单位在运输危险废物时必须配备押运人员，并随时处于押运人员的监管之下，不得超装、超载，严格按照所在城市规定的行车时间和行车路线行驶，不得进入危险化学品运输车辆禁止通行的区域。</w:t>
            </w:r>
          </w:p>
          <w:p>
            <w:pPr>
              <w:numPr>
                <w:ilvl w:val="0"/>
                <w:numId w:val="11"/>
              </w:numPr>
              <w:spacing w:line="360" w:lineRule="auto"/>
              <w:ind w:left="0" w:firstLine="480" w:firstLineChars="200"/>
              <w:rPr>
                <w:color w:val="auto"/>
                <w:sz w:val="24"/>
              </w:rPr>
            </w:pPr>
            <w:r>
              <w:rPr>
                <w:color w:val="auto"/>
                <w:sz w:val="24"/>
              </w:rPr>
              <w:t>危险废物在运输途中若发生被盗、丢失、流散、泄漏等情况时，公司及押运人员必须立即向当地公安部门报告，并采取一切可能的警示措施。</w:t>
            </w:r>
          </w:p>
          <w:p>
            <w:pPr>
              <w:spacing w:line="360" w:lineRule="auto"/>
              <w:ind w:firstLine="480" w:firstLineChars="200"/>
              <w:rPr>
                <w:color w:val="auto"/>
                <w:sz w:val="24"/>
              </w:rPr>
            </w:pPr>
            <w:r>
              <w:rPr>
                <w:color w:val="auto"/>
                <w:sz w:val="24"/>
              </w:rPr>
              <w:t>一旦发生废物泄漏事故，公司和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spacing w:line="360" w:lineRule="auto"/>
              <w:ind w:firstLine="482" w:firstLineChars="200"/>
              <w:rPr>
                <w:b/>
                <w:bCs/>
                <w:color w:val="auto"/>
                <w:sz w:val="24"/>
              </w:rPr>
            </w:pPr>
            <w:r>
              <w:rPr>
                <w:b/>
                <w:bCs/>
                <w:color w:val="auto"/>
                <w:sz w:val="24"/>
              </w:rPr>
              <w:t>台账管理要求：</w:t>
            </w:r>
          </w:p>
          <w:p>
            <w:pPr>
              <w:spacing w:line="360" w:lineRule="auto"/>
              <w:ind w:firstLine="480" w:firstLineChars="200"/>
              <w:rPr>
                <w:color w:val="auto"/>
                <w:sz w:val="24"/>
              </w:rPr>
            </w:pPr>
            <w:r>
              <w:rPr>
                <w:color w:val="auto"/>
                <w:sz w:val="24"/>
              </w:rPr>
              <w:t>（1）一般固体废物</w:t>
            </w:r>
          </w:p>
          <w:p>
            <w:pPr>
              <w:spacing w:line="360" w:lineRule="auto"/>
              <w:ind w:firstLine="480" w:firstLineChars="200"/>
              <w:rPr>
                <w:color w:val="auto"/>
                <w:sz w:val="24"/>
              </w:rPr>
            </w:pPr>
            <w:r>
              <w:rPr>
                <w:rFonts w:hint="eastAsia"/>
                <w:color w:val="auto"/>
                <w:sz w:val="24"/>
                <w:lang w:val="en-US" w:eastAsia="zh-CN"/>
              </w:rPr>
              <w:t>项目</w:t>
            </w:r>
            <w:r>
              <w:rPr>
                <w:color w:val="auto"/>
                <w:sz w:val="24"/>
              </w:rPr>
              <w:t>在厂区西侧</w:t>
            </w:r>
            <w:r>
              <w:rPr>
                <w:rFonts w:hint="eastAsia"/>
                <w:color w:val="auto"/>
                <w:sz w:val="24"/>
                <w:lang w:val="en-US" w:eastAsia="zh-CN"/>
              </w:rPr>
              <w:t>已经</w:t>
            </w:r>
            <w:r>
              <w:rPr>
                <w:color w:val="auto"/>
                <w:sz w:val="24"/>
              </w:rPr>
              <w:t>设置一间一般固体废物暂存间（占地面积20m</w:t>
            </w:r>
            <w:r>
              <w:rPr>
                <w:color w:val="auto"/>
                <w:sz w:val="24"/>
                <w:vertAlign w:val="superscript"/>
              </w:rPr>
              <w:t>2</w:t>
            </w:r>
            <w:r>
              <w:rPr>
                <w:color w:val="auto"/>
                <w:sz w:val="24"/>
              </w:rPr>
              <w:t>）</w:t>
            </w:r>
            <w:r>
              <w:rPr>
                <w:rFonts w:hint="eastAsia"/>
                <w:color w:val="auto"/>
                <w:sz w:val="24"/>
              </w:rPr>
              <w:t>，</w:t>
            </w:r>
            <w:r>
              <w:rPr>
                <w:color w:val="auto"/>
                <w:sz w:val="24"/>
              </w:rPr>
              <w:t>根据《关于发布&lt;一般工业固体废物管理台账制定指南（试行）&gt;的公告》（生态环境部公告2021年第82号），产生工业固体废物的单位应建立工业固体废物管理台账，如实记录工业固体废物的种类、数量、流向、贮存、利用、处置等信息。各类台账记录表见该文件附表。应当设立专人负责台账的管理与归档，一般工业固体废物管理台账保存期限不少于5年；</w:t>
            </w:r>
          </w:p>
          <w:p>
            <w:pPr>
              <w:spacing w:line="360" w:lineRule="auto"/>
              <w:ind w:firstLine="480" w:firstLineChars="200"/>
              <w:rPr>
                <w:color w:val="auto"/>
                <w:sz w:val="24"/>
              </w:rPr>
            </w:pPr>
            <w:r>
              <w:rPr>
                <w:color w:val="auto"/>
                <w:sz w:val="24"/>
              </w:rPr>
              <w:t>（2）危险废物</w:t>
            </w:r>
          </w:p>
          <w:p>
            <w:pPr>
              <w:spacing w:line="360" w:lineRule="auto"/>
              <w:ind w:firstLine="480" w:firstLineChars="200"/>
              <w:rPr>
                <w:color w:val="auto"/>
                <w:sz w:val="24"/>
              </w:rPr>
            </w:pPr>
            <w:r>
              <w:rPr>
                <w:color w:val="auto"/>
                <w:sz w:val="24"/>
              </w:rPr>
              <w:t>根据《</w:t>
            </w:r>
            <w:r>
              <w:rPr>
                <w:color w:val="auto"/>
                <w:sz w:val="24"/>
              </w:rPr>
              <w:fldChar w:fldCharType="begin"/>
            </w:r>
            <w:r>
              <w:instrText xml:space="preserve">HYPERLINK "https://www.mee.gov.cn/ywgz/fgbz/bz/bzwb/gthw/qtxgbz/202206/W020220630455255137316.pdf"</w:instrText>
            </w:r>
            <w:r>
              <w:rPr>
                <w:color w:val="auto"/>
                <w:sz w:val="24"/>
              </w:rPr>
              <w:fldChar w:fldCharType="separate"/>
            </w:r>
            <w:r>
              <w:rPr>
                <w:color w:val="auto"/>
                <w:sz w:val="24"/>
              </w:rPr>
              <w:t>危险废物管理计划和管理台账制定技术导则</w:t>
            </w:r>
            <w:r>
              <w:rPr>
                <w:color w:val="auto"/>
                <w:sz w:val="24"/>
              </w:rPr>
              <w:fldChar w:fldCharType="end"/>
            </w:r>
            <w:r>
              <w:rPr>
                <w:color w:val="auto"/>
                <w:sz w:val="24"/>
              </w:rPr>
              <w:t>》（HJ1259—2022）：</w:t>
            </w:r>
          </w:p>
          <w:p>
            <w:pPr>
              <w:numPr>
                <w:ilvl w:val="0"/>
                <w:numId w:val="12"/>
              </w:numPr>
              <w:spacing w:line="360" w:lineRule="auto"/>
              <w:ind w:left="0" w:firstLine="480" w:firstLineChars="200"/>
              <w:rPr>
                <w:color w:val="auto"/>
                <w:sz w:val="24"/>
              </w:rPr>
            </w:pPr>
            <w:r>
              <w:rPr>
                <w:color w:val="auto"/>
                <w:sz w:val="24"/>
              </w:rPr>
              <w:t>产生危险废物的单位应建立危险废物管理台账，落实危险废物管理台账记录的责任人，明确工作职责，并对危险废物管理台账的真实性、准确性和完整性负法律责任。</w:t>
            </w:r>
          </w:p>
          <w:p>
            <w:pPr>
              <w:numPr>
                <w:ilvl w:val="0"/>
                <w:numId w:val="12"/>
              </w:numPr>
              <w:spacing w:line="360" w:lineRule="auto"/>
              <w:ind w:left="0" w:firstLine="480" w:firstLineChars="200"/>
              <w:rPr>
                <w:color w:val="auto"/>
                <w:sz w:val="24"/>
              </w:rPr>
            </w:pPr>
            <w:r>
              <w:rPr>
                <w:color w:val="auto"/>
                <w:sz w:val="24"/>
              </w:rPr>
              <w:t>产生危险废物的单位应根据危险废物产生、贮存、利用、处置等环节的动态流向，如实建立各环节的危险废物管理台账，记录内容参见附录B。</w:t>
            </w:r>
          </w:p>
          <w:p>
            <w:pPr>
              <w:numPr>
                <w:ilvl w:val="0"/>
                <w:numId w:val="12"/>
              </w:numPr>
              <w:spacing w:line="360" w:lineRule="auto"/>
              <w:ind w:left="0" w:firstLine="480" w:firstLineChars="200"/>
              <w:rPr>
                <w:color w:val="auto"/>
                <w:sz w:val="24"/>
              </w:rPr>
            </w:pPr>
            <w:r>
              <w:rPr>
                <w:color w:val="auto"/>
                <w:sz w:val="24"/>
              </w:rPr>
              <w:t>危险废物管理台账分为电子管理台账和纸质管理台账两种形式。产生危险废物的单位可通过国家危险废物信息管理系统、企业自建信息管理系统或第三方平台等方式记录电子管理台账。</w:t>
            </w:r>
          </w:p>
          <w:p>
            <w:pPr>
              <w:numPr>
                <w:ilvl w:val="0"/>
                <w:numId w:val="12"/>
              </w:numPr>
              <w:spacing w:line="360" w:lineRule="auto"/>
              <w:ind w:left="0" w:firstLine="480" w:firstLineChars="200"/>
              <w:rPr>
                <w:color w:val="auto"/>
                <w:sz w:val="24"/>
              </w:rPr>
            </w:pPr>
            <w:r>
              <w:rPr>
                <w:color w:val="auto"/>
                <w:sz w:val="24"/>
              </w:rPr>
              <w:t>频次要求：产生后盛放至容器和包装物的，应按每个容器和包装物进行记录；产生后采用管道等方式输送至贮存场所的，按日记录；其他特殊情形的，根据危险废物产生规律确定记录频次。</w:t>
            </w:r>
          </w:p>
          <w:p>
            <w:pPr>
              <w:numPr>
                <w:ilvl w:val="0"/>
                <w:numId w:val="12"/>
              </w:numPr>
              <w:spacing w:line="360" w:lineRule="auto"/>
              <w:ind w:left="0" w:firstLine="480" w:firstLineChars="200"/>
              <w:rPr>
                <w:color w:val="auto"/>
                <w:sz w:val="24"/>
              </w:rPr>
            </w:pPr>
            <w:r>
              <w:rPr>
                <w:color w:val="auto"/>
                <w:sz w:val="24"/>
              </w:rPr>
              <w:t>记录保存：保存时间原则上应存档5年以上。</w:t>
            </w:r>
          </w:p>
          <w:p>
            <w:pPr>
              <w:widowControl/>
              <w:adjustRightInd w:val="0"/>
              <w:snapToGrid w:val="0"/>
              <w:spacing w:line="360" w:lineRule="auto"/>
              <w:ind w:firstLine="480" w:firstLineChars="200"/>
              <w:jc w:val="left"/>
              <w:rPr>
                <w:color w:val="auto"/>
                <w:sz w:val="24"/>
              </w:rPr>
            </w:pPr>
            <w:r>
              <w:rPr>
                <w:color w:val="auto"/>
                <w:sz w:val="24"/>
              </w:rPr>
              <w:t>综上，建设项目采取相应措施后，一般固废得到有效处置，去向明确；危险废物处置满足《危险废物贮存污染控制标准》（GB18597—2023），不会对周围环境造成不利影响。</w:t>
            </w:r>
          </w:p>
          <w:p>
            <w:pPr>
              <w:adjustRightInd w:val="0"/>
              <w:snapToGrid w:val="0"/>
              <w:spacing w:line="360" w:lineRule="auto"/>
              <w:ind w:firstLine="482" w:firstLineChars="200"/>
              <w:rPr>
                <w:rFonts w:ascii="Times New Roman" w:hAnsi="Times New Roman" w:cs="Times New Roman"/>
                <w:color w:val="auto"/>
                <w:kern w:val="0"/>
                <w:sz w:val="24"/>
              </w:rPr>
            </w:pPr>
            <w:r>
              <w:rPr>
                <w:rFonts w:ascii="Times New Roman" w:hAnsi="Times New Roman" w:cs="Times New Roman"/>
                <w:b/>
                <w:color w:val="auto"/>
                <w:sz w:val="24"/>
                <w:szCs w:val="28"/>
              </w:rPr>
              <w:t>1.4</w:t>
            </w:r>
            <w:r>
              <w:rPr>
                <w:rFonts w:ascii="Times New Roman" w:hAnsi="Times New Roman" w:cs="Times New Roman"/>
                <w:b/>
                <w:color w:val="auto"/>
                <w:sz w:val="24"/>
              </w:rPr>
              <w:t>营运</w:t>
            </w:r>
            <w:r>
              <w:rPr>
                <w:rFonts w:ascii="Times New Roman" w:hAnsi="Times New Roman" w:cs="Times New Roman"/>
                <w:b/>
                <w:color w:val="auto"/>
                <w:sz w:val="24"/>
                <w:szCs w:val="28"/>
              </w:rPr>
              <w:t>期</w:t>
            </w:r>
            <w:r>
              <w:rPr>
                <w:rFonts w:ascii="Times New Roman" w:hAnsi="Times New Roman" w:cs="Times New Roman"/>
                <w:b/>
                <w:color w:val="auto"/>
                <w:sz w:val="24"/>
              </w:rPr>
              <w:t>地下水、土壤污染防治措施</w:t>
            </w:r>
          </w:p>
          <w:p>
            <w:pPr>
              <w:adjustRightInd w:val="0"/>
              <w:snapToGrid w:val="0"/>
              <w:spacing w:line="360" w:lineRule="auto"/>
              <w:ind w:left="420"/>
              <w:rPr>
                <w:rFonts w:ascii="Times New Roman" w:hAnsi="Times New Roman" w:cs="Times New Roman"/>
                <w:b/>
                <w:bCs/>
                <w:color w:val="auto"/>
                <w:sz w:val="24"/>
              </w:rPr>
            </w:pPr>
            <w:r>
              <w:rPr>
                <w:rFonts w:ascii="Times New Roman" w:hAnsi="Times New Roman" w:cs="Times New Roman"/>
                <w:b/>
                <w:bCs/>
                <w:color w:val="auto"/>
                <w:sz w:val="24"/>
              </w:rPr>
              <w:t>1、土壤环境影响防治措施</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本项目生活用水由厂区已布设的市政给水管网供给，生产用水通过管道由都鼎泰新材料有限责任公司供给，污水通过污水处理设施处理后，最终排入</w:t>
            </w:r>
            <w:r>
              <w:rPr>
                <w:rFonts w:ascii="Times New Roman" w:hAnsi="Times New Roman" w:cs="Times New Roman"/>
                <w:color w:val="auto"/>
                <w:sz w:val="24"/>
                <w:lang w:eastAsia="zh-CN"/>
              </w:rPr>
              <w:t>郪江</w:t>
            </w:r>
            <w:r>
              <w:rPr>
                <w:rFonts w:ascii="Times New Roman" w:hAnsi="Times New Roman" w:cs="Times New Roman"/>
                <w:color w:val="auto"/>
                <w:sz w:val="24"/>
              </w:rPr>
              <w:t>。通过分析可知，本项目给、排水均不会与地下水直接发生联系，故本项目的建设基本不会对地下水水位造成明显影响。</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污染物进入地下水的途径主要是降雨或废水排放等通过垂直渗透进入包气带，进入包气带的污染物在物理、化学和生物作用下经吸附、转化、迁移和分解后输入地下水。通过分析可知，本项目给、排水均不会与地下水直接发生联系，故本项目的建设基本不会对地下水水位造成明显影响。</w:t>
            </w:r>
          </w:p>
          <w:p>
            <w:pPr>
              <w:widowControl/>
              <w:adjustRightInd w:val="0"/>
              <w:snapToGrid w:val="0"/>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sz w:val="24"/>
              </w:rPr>
              <w:t>根据工程所处区域的地质情况，本项目可能对地下水造成污染的途径主要有：危废暂存间、设备机油、</w:t>
            </w:r>
            <w:r>
              <w:rPr>
                <w:rFonts w:hint="eastAsia" w:cs="Times New Roman"/>
                <w:color w:val="auto"/>
                <w:sz w:val="24"/>
                <w:lang w:eastAsia="zh-CN"/>
              </w:rPr>
              <w:t>柴油泄漏</w:t>
            </w:r>
            <w:r>
              <w:rPr>
                <w:rFonts w:ascii="Times New Roman" w:hAnsi="Times New Roman" w:cs="Times New Roman"/>
                <w:color w:val="auto"/>
                <w:sz w:val="24"/>
              </w:rPr>
              <w:t>下渗对地下水造成的污染</w:t>
            </w:r>
            <w:r>
              <w:rPr>
                <w:rFonts w:ascii="Times New Roman" w:hAnsi="Times New Roman" w:cs="Times New Roman"/>
                <w:color w:val="auto"/>
                <w:kern w:val="0"/>
                <w:sz w:val="24"/>
              </w:rPr>
              <w:t>。</w:t>
            </w:r>
          </w:p>
          <w:p>
            <w:pPr>
              <w:widowControl/>
              <w:adjustRightInd w:val="0"/>
              <w:snapToGrid w:val="0"/>
              <w:spacing w:line="360" w:lineRule="auto"/>
              <w:ind w:firstLine="482" w:firstLineChars="200"/>
              <w:jc w:val="left"/>
              <w:rPr>
                <w:rFonts w:ascii="Times New Roman" w:hAnsi="Times New Roman" w:cs="Times New Roman"/>
                <w:color w:val="auto"/>
              </w:rPr>
            </w:pPr>
            <w:r>
              <w:rPr>
                <w:rFonts w:ascii="Times New Roman" w:hAnsi="Times New Roman" w:cs="Times New Roman"/>
                <w:b/>
                <w:color w:val="auto"/>
                <w:kern w:val="0"/>
                <w:sz w:val="24"/>
              </w:rPr>
              <w:t xml:space="preserve">（1）污染源控制 </w:t>
            </w:r>
          </w:p>
          <w:p>
            <w:pPr>
              <w:widowControl/>
              <w:adjustRightInd w:val="0"/>
              <w:snapToGrid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kern w:val="0"/>
                <w:sz w:val="24"/>
              </w:rPr>
              <w:t>本项目污染源头控制主要包括实施清洁生产及各类废物循环利用，减少污染物的排放量；在各车间、辅助生产构筑物等采取相应工程防范措施及环境管理巡检，尤其是加强各车间等的日常维护和检查，防止和降低污染物跑、冒、滴、漏。</w:t>
            </w:r>
          </w:p>
          <w:p>
            <w:pPr>
              <w:widowControl/>
              <w:adjustRightInd w:val="0"/>
              <w:snapToGrid w:val="0"/>
              <w:spacing w:line="360" w:lineRule="auto"/>
              <w:ind w:firstLine="482" w:firstLineChars="200"/>
              <w:jc w:val="left"/>
              <w:rPr>
                <w:rFonts w:ascii="Times New Roman" w:hAnsi="Times New Roman" w:cs="Times New Roman"/>
                <w:color w:val="auto"/>
              </w:rPr>
            </w:pPr>
            <w:r>
              <w:rPr>
                <w:rFonts w:ascii="Times New Roman" w:hAnsi="Times New Roman" w:cs="Times New Roman"/>
                <w:b/>
                <w:color w:val="auto"/>
                <w:kern w:val="0"/>
                <w:sz w:val="24"/>
              </w:rPr>
              <w:t xml:space="preserve">（2）污染防治区划分及防渗措施 </w:t>
            </w:r>
          </w:p>
          <w:p>
            <w:pPr>
              <w:widowControl/>
              <w:adjustRightInd w:val="0"/>
              <w:snapToGrid w:val="0"/>
              <w:spacing w:line="360" w:lineRule="auto"/>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根据厂区各功能单元是否可能对地下水造成污染及其风险程度，将厂区划分为重点防渗区、一般防渗区和简单防渗区。</w:t>
            </w:r>
          </w:p>
          <w:p>
            <w:pPr>
              <w:spacing w:line="360" w:lineRule="auto"/>
              <w:jc w:val="center"/>
              <w:rPr>
                <w:rFonts w:ascii="Times New Roman" w:hAnsi="Times New Roman" w:cs="Times New Roman"/>
                <w:b/>
                <w:bCs/>
                <w:color w:val="auto"/>
              </w:rPr>
            </w:pPr>
            <w:r>
              <w:rPr>
                <w:rFonts w:ascii="Times New Roman" w:hAnsi="Times New Roman" w:cs="Times New Roman"/>
                <w:b/>
                <w:bCs/>
                <w:color w:val="auto"/>
              </w:rPr>
              <w:t>表4-1</w:t>
            </w:r>
            <w:r>
              <w:rPr>
                <w:rFonts w:hint="eastAsia" w:cs="Times New Roman"/>
                <w:b/>
                <w:bCs/>
                <w:color w:val="auto"/>
                <w:lang w:val="en-US" w:eastAsia="zh-CN"/>
              </w:rPr>
              <w:t>2</w:t>
            </w:r>
            <w:r>
              <w:rPr>
                <w:rFonts w:ascii="Times New Roman" w:hAnsi="Times New Roman" w:cs="Times New Roman"/>
                <w:b/>
                <w:bCs/>
                <w:color w:val="auto"/>
              </w:rPr>
              <w:t xml:space="preserve">  地下水污染防渗分区参照表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475"/>
              <w:gridCol w:w="1238"/>
              <w:gridCol w:w="1453"/>
              <w:gridCol w:w="2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防渗分区</w:t>
                  </w: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天然包气带防污性能</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污染控制难易度</w:t>
                  </w:r>
                </w:p>
              </w:tc>
              <w:tc>
                <w:tcPr>
                  <w:tcW w:w="912"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污染物类型</w:t>
                  </w:r>
                </w:p>
              </w:tc>
              <w:tc>
                <w:tcPr>
                  <w:tcW w:w="159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86" w:type="pct"/>
                  <w:vMerge w:val="restar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重点防渗区</w:t>
                  </w: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弱</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难</w:t>
                  </w:r>
                </w:p>
              </w:tc>
              <w:tc>
                <w:tcPr>
                  <w:tcW w:w="912" w:type="pct"/>
                  <w:vMerge w:val="restar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重金属、持久性有机物污染物</w:t>
                  </w:r>
                </w:p>
              </w:tc>
              <w:tc>
                <w:tcPr>
                  <w:tcW w:w="1597" w:type="pct"/>
                  <w:vMerge w:val="restar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等效黏土防渗层Mb≥6.0m，K≤</w:t>
                  </w:r>
                  <w:r>
                    <w:rPr>
                      <w:rFonts w:ascii="Times New Roman" w:hAnsi="Times New Roman" w:cs="Times New Roman"/>
                      <w:color w:val="auto"/>
                    </w:rPr>
                    <w:t>1.0×10</w:t>
                  </w:r>
                  <w:r>
                    <w:rPr>
                      <w:rFonts w:ascii="Times New Roman" w:hAnsi="Times New Roman" w:cs="Times New Roman"/>
                      <w:color w:val="auto"/>
                      <w:vertAlign w:val="superscript"/>
                    </w:rPr>
                    <w:t>-7</w:t>
                  </w:r>
                  <w:r>
                    <w:rPr>
                      <w:rFonts w:ascii="Times New Roman" w:hAnsi="Times New Roman" w:cs="Times New Roman"/>
                      <w:color w:val="auto"/>
                    </w:rPr>
                    <w:t>cm/s；或参照执行GB18598执行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86" w:type="pct"/>
                  <w:vMerge w:val="continue"/>
                  <w:tcBorders>
                    <w:tl2br w:val="nil"/>
                    <w:tr2bl w:val="nil"/>
                  </w:tcBorders>
                  <w:vAlign w:val="center"/>
                </w:tcP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中-强</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难</w:t>
                  </w:r>
                </w:p>
              </w:tc>
              <w:tc>
                <w:tcPr>
                  <w:tcW w:w="912" w:type="pct"/>
                  <w:vMerge w:val="continue"/>
                  <w:tcBorders>
                    <w:tl2br w:val="nil"/>
                    <w:tr2bl w:val="nil"/>
                  </w:tcBorders>
                  <w:vAlign w:val="center"/>
                </w:tcPr>
                <w:p/>
              </w:tc>
              <w:tc>
                <w:tcPr>
                  <w:tcW w:w="1597" w:type="pct"/>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86" w:type="pct"/>
                  <w:vMerge w:val="continue"/>
                  <w:tcBorders>
                    <w:tl2br w:val="nil"/>
                    <w:tr2bl w:val="nil"/>
                  </w:tcBorders>
                  <w:vAlign w:val="center"/>
                </w:tcP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弱</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易</w:t>
                  </w:r>
                </w:p>
              </w:tc>
              <w:tc>
                <w:tcPr>
                  <w:tcW w:w="912" w:type="pct"/>
                  <w:vMerge w:val="continue"/>
                  <w:tcBorders>
                    <w:tl2br w:val="nil"/>
                    <w:tr2bl w:val="nil"/>
                  </w:tcBorders>
                  <w:vAlign w:val="center"/>
                </w:tcPr>
                <w:p/>
              </w:tc>
              <w:tc>
                <w:tcPr>
                  <w:tcW w:w="1597" w:type="pct"/>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6" w:type="pct"/>
                  <w:vMerge w:val="restar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一般防渗区</w:t>
                  </w: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弱</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易-难</w:t>
                  </w:r>
                </w:p>
              </w:tc>
              <w:tc>
                <w:tcPr>
                  <w:tcW w:w="912" w:type="pct"/>
                  <w:vMerge w:val="restar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其他类型</w:t>
                  </w:r>
                </w:p>
              </w:tc>
              <w:tc>
                <w:tcPr>
                  <w:tcW w:w="1597" w:type="pct"/>
                  <w:vMerge w:val="restart"/>
                  <w:tcBorders>
                    <w:tl2br w:val="nil"/>
                    <w:tr2bl w:val="nil"/>
                  </w:tcBorders>
                  <w:vAlign w:val="center"/>
                </w:tcPr>
                <w:p>
                  <w:pPr>
                    <w:jc w:val="center"/>
                    <w:rPr>
                      <w:rFonts w:ascii="Times New Roman" w:hAnsi="Times New Roman" w:cs="Times New Roman"/>
                      <w:color w:val="auto"/>
                      <w:kern w:val="0"/>
                    </w:rPr>
                  </w:pPr>
                  <w:r>
                    <w:rPr>
                      <w:rFonts w:ascii="Times New Roman" w:hAnsi="Times New Roman" w:cs="Times New Roman"/>
                      <w:color w:val="auto"/>
                      <w:kern w:val="0"/>
                    </w:rPr>
                    <w:t>等效黏土防渗层Mb≥1.5m，K≤</w:t>
                  </w:r>
                  <w:r>
                    <w:rPr>
                      <w:rFonts w:ascii="Times New Roman" w:hAnsi="Times New Roman" w:cs="Times New Roman"/>
                      <w:color w:val="auto"/>
                    </w:rPr>
                    <w:t>1.0×10</w:t>
                  </w:r>
                  <w:r>
                    <w:rPr>
                      <w:rFonts w:ascii="Times New Roman" w:hAnsi="Times New Roman" w:cs="Times New Roman"/>
                      <w:color w:val="auto"/>
                      <w:vertAlign w:val="superscript"/>
                    </w:rPr>
                    <w:t>-7</w:t>
                  </w:r>
                  <w:r>
                    <w:rPr>
                      <w:rFonts w:ascii="Times New Roman" w:hAnsi="Times New Roman" w:cs="Times New Roman"/>
                      <w:color w:val="auto"/>
                    </w:rPr>
                    <w:t>cm/s；或参照执</w:t>
                  </w:r>
                </w:p>
                <w:p>
                  <w:pPr>
                    <w:jc w:val="center"/>
                    <w:rPr>
                      <w:rFonts w:ascii="Times New Roman" w:hAnsi="Times New Roman" w:cs="Times New Roman"/>
                      <w:color w:val="auto"/>
                      <w:kern w:val="0"/>
                    </w:rPr>
                  </w:pPr>
                  <w:r>
                    <w:rPr>
                      <w:rFonts w:ascii="Times New Roman" w:hAnsi="Times New Roman" w:cs="Times New Roman"/>
                      <w:color w:val="auto"/>
                    </w:rPr>
                    <w:t>行GB18598执行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86" w:type="pct"/>
                  <w:vMerge w:val="continue"/>
                  <w:tcBorders>
                    <w:tl2br w:val="nil"/>
                    <w:tr2bl w:val="nil"/>
                  </w:tcBorders>
                  <w:vAlign w:val="center"/>
                </w:tcP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中-强</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难</w:t>
                  </w:r>
                </w:p>
              </w:tc>
              <w:tc>
                <w:tcPr>
                  <w:tcW w:w="912" w:type="pct"/>
                  <w:vMerge w:val="continue"/>
                  <w:tcBorders>
                    <w:tl2br w:val="nil"/>
                    <w:tr2bl w:val="nil"/>
                  </w:tcBorders>
                  <w:vAlign w:val="center"/>
                </w:tcPr>
                <w:p/>
              </w:tc>
              <w:tc>
                <w:tcPr>
                  <w:tcW w:w="1597" w:type="pct"/>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86" w:type="pct"/>
                  <w:vMerge w:val="continue"/>
                  <w:tcBorders>
                    <w:tl2br w:val="nil"/>
                    <w:tr2bl w:val="nil"/>
                  </w:tcBorders>
                  <w:vAlign w:val="center"/>
                </w:tcP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中</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易</w:t>
                  </w:r>
                </w:p>
              </w:tc>
              <w:tc>
                <w:tcPr>
                  <w:tcW w:w="912" w:type="pct"/>
                  <w:vMerge w:val="restart"/>
                  <w:tcBorders>
                    <w:tl2br w:val="nil"/>
                    <w:tr2bl w:val="nil"/>
                  </w:tcBorders>
                  <w:vAlign w:val="center"/>
                </w:tcPr>
                <w:p>
                  <w:pPr>
                    <w:jc w:val="center"/>
                    <w:rPr>
                      <w:rFonts w:ascii="Times New Roman" w:hAnsi="Times New Roman" w:cs="Times New Roman"/>
                      <w:color w:val="auto"/>
                      <w:kern w:val="0"/>
                    </w:rPr>
                  </w:pPr>
                  <w:r>
                    <w:rPr>
                      <w:rFonts w:ascii="Times New Roman" w:hAnsi="Times New Roman" w:cs="Times New Roman"/>
                      <w:color w:val="auto"/>
                      <w:kern w:val="0"/>
                    </w:rPr>
                    <w:t>重金属、持久性有机物污染物</w:t>
                  </w:r>
                </w:p>
              </w:tc>
              <w:tc>
                <w:tcPr>
                  <w:tcW w:w="1597" w:type="pct"/>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86" w:type="pct"/>
                  <w:vMerge w:val="continue"/>
                  <w:tcBorders>
                    <w:tl2br w:val="nil"/>
                    <w:tr2bl w:val="nil"/>
                  </w:tcBorders>
                  <w:vAlign w:val="center"/>
                </w:tcP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强</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易</w:t>
                  </w:r>
                </w:p>
              </w:tc>
              <w:tc>
                <w:tcPr>
                  <w:tcW w:w="912" w:type="pct"/>
                  <w:vMerge w:val="continue"/>
                  <w:tcBorders>
                    <w:tl2br w:val="nil"/>
                    <w:tr2bl w:val="nil"/>
                  </w:tcBorders>
                  <w:vAlign w:val="center"/>
                </w:tcPr>
                <w:p/>
              </w:tc>
              <w:tc>
                <w:tcPr>
                  <w:tcW w:w="1597" w:type="pct"/>
                  <w:vMerge w:val="continue"/>
                  <w:tcBorders>
                    <w:tl2br w:val="nil"/>
                    <w:tr2bl w:val="nil"/>
                  </w:tcBorders>
                  <w:vAlign w:val="center"/>
                </w:tc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8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简单防渗区</w:t>
                  </w:r>
                </w:p>
              </w:tc>
              <w:tc>
                <w:tcPr>
                  <w:tcW w:w="926"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中-强</w:t>
                  </w:r>
                </w:p>
              </w:tc>
              <w:tc>
                <w:tcPr>
                  <w:tcW w:w="77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易</w:t>
                  </w:r>
                </w:p>
              </w:tc>
              <w:tc>
                <w:tcPr>
                  <w:tcW w:w="912"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其他类型</w:t>
                  </w:r>
                </w:p>
              </w:tc>
              <w:tc>
                <w:tcPr>
                  <w:tcW w:w="1597" w:type="pct"/>
                  <w:tcBorders>
                    <w:tl2br w:val="nil"/>
                    <w:tr2bl w:val="nil"/>
                  </w:tcBorders>
                  <w:vAlign w:val="center"/>
                </w:tcPr>
                <w:p>
                  <w:pPr>
                    <w:widowControl/>
                    <w:jc w:val="center"/>
                    <w:rPr>
                      <w:rFonts w:ascii="Times New Roman" w:hAnsi="Times New Roman" w:cs="Times New Roman"/>
                      <w:color w:val="auto"/>
                      <w:kern w:val="0"/>
                    </w:rPr>
                  </w:pPr>
                  <w:r>
                    <w:rPr>
                      <w:rFonts w:ascii="Times New Roman" w:hAnsi="Times New Roman" w:cs="Times New Roman"/>
                      <w:color w:val="auto"/>
                      <w:kern w:val="0"/>
                    </w:rPr>
                    <w:t>一般地面硬化</w:t>
                  </w:r>
                </w:p>
              </w:tc>
            </w:tr>
          </w:tbl>
          <w:p>
            <w:pPr>
              <w:pStyle w:val="8"/>
              <w:adjustRightInd w:val="0"/>
              <w:snapToGrid w:val="0"/>
              <w:spacing w:line="360" w:lineRule="auto"/>
              <w:ind w:firstLine="482" w:firstLineChars="200"/>
              <w:rPr>
                <w:rFonts w:ascii="Times New Roman" w:hAnsi="Times New Roman" w:cs="Times New Roman"/>
                <w:color w:val="auto"/>
              </w:rPr>
            </w:pPr>
            <w:r>
              <w:rPr>
                <w:rFonts w:ascii="Times New Roman" w:hAnsi="Times New Roman" w:cs="Times New Roman"/>
                <w:b/>
                <w:color w:val="auto"/>
              </w:rPr>
              <w:t>重点防渗区防渗措施为：</w:t>
            </w:r>
            <w:bookmarkStart w:id="9" w:name="_Hlk87824645"/>
            <w:r>
              <w:rPr>
                <w:rFonts w:ascii="Times New Roman" w:hAnsi="Times New Roman" w:cs="Times New Roman"/>
                <w:bCs/>
                <w:color w:val="auto"/>
              </w:rPr>
              <w:t>危废暂存间、柴油发电机房、储油间</w:t>
            </w:r>
            <w:bookmarkEnd w:id="9"/>
            <w:r>
              <w:rPr>
                <w:rFonts w:ascii="Times New Roman" w:hAnsi="Times New Roman" w:cs="Times New Roman"/>
                <w:bCs/>
                <w:color w:val="auto"/>
              </w:rPr>
              <w:t>，</w:t>
            </w:r>
            <w:r>
              <w:rPr>
                <w:rFonts w:ascii="Times New Roman" w:hAnsi="Times New Roman" w:cs="Times New Roman"/>
                <w:color w:val="auto"/>
                <w:kern w:val="0"/>
                <w:szCs w:val="21"/>
                <w:lang w:val="en-US" w:eastAsia="zh-CN"/>
              </w:rPr>
              <w:t>铺设</w:t>
            </w:r>
            <w:r>
              <w:rPr>
                <w:rFonts w:ascii="Times New Roman" w:hAnsi="Times New Roman" w:cs="Times New Roman"/>
                <w:color w:val="auto"/>
                <w:szCs w:val="21"/>
              </w:rPr>
              <w:t>20cm厚的P4抗渗透混凝土</w:t>
            </w:r>
            <w:r>
              <w:rPr>
                <w:rFonts w:ascii="Times New Roman" w:hAnsi="Times New Roman" w:cs="Times New Roman"/>
                <w:color w:val="auto"/>
                <w:szCs w:val="21"/>
                <w:lang w:val="en-US" w:eastAsia="zh-CN"/>
              </w:rPr>
              <w:t>+</w:t>
            </w:r>
            <w:r>
              <w:rPr>
                <w:rFonts w:ascii="Times New Roman" w:hAnsi="Times New Roman" w:eastAsia="TimesNewRomanPSMT" w:cs="Times New Roman"/>
                <w:color w:val="auto"/>
                <w:kern w:val="0"/>
                <w:szCs w:val="21"/>
              </w:rPr>
              <w:t>2mm</w:t>
            </w:r>
            <w:r>
              <w:rPr>
                <w:rFonts w:ascii="Times New Roman" w:hAnsi="Times New Roman" w:cs="Times New Roman"/>
                <w:color w:val="auto"/>
                <w:kern w:val="0"/>
                <w:szCs w:val="21"/>
              </w:rPr>
              <w:t>环氧树脂膜进行防渗处理，同时危废间铺设钢制托盘接漏防渗，</w:t>
            </w:r>
            <w:r>
              <w:rPr>
                <w:rFonts w:ascii="Times New Roman" w:hAnsi="Times New Roman" w:cs="Times New Roman"/>
                <w:bCs/>
                <w:color w:val="auto"/>
              </w:rPr>
              <w:t>以确保等效黏土防渗层Mb≥6.0m、渗透系数K≤10</w:t>
            </w:r>
            <w:r>
              <w:rPr>
                <w:rFonts w:ascii="Times New Roman" w:hAnsi="Times New Roman" w:cs="Times New Roman"/>
                <w:bCs/>
                <w:color w:val="auto"/>
                <w:vertAlign w:val="superscript"/>
              </w:rPr>
              <w:t>-7</w:t>
            </w:r>
            <w:r>
              <w:rPr>
                <w:rFonts w:ascii="Times New Roman" w:hAnsi="Times New Roman" w:cs="Times New Roman"/>
                <w:bCs/>
                <w:color w:val="auto"/>
              </w:rPr>
              <w:t>cm/s的要求。</w:t>
            </w:r>
            <w:r>
              <w:rPr>
                <w:rFonts w:ascii="Times New Roman" w:hAnsi="Times New Roman" w:cs="Times New Roman"/>
                <w:color w:val="auto"/>
              </w:rPr>
              <w:t xml:space="preserve"> </w:t>
            </w:r>
          </w:p>
          <w:p>
            <w:pPr>
              <w:widowControl/>
              <w:adjustRightInd w:val="0"/>
              <w:snapToGrid w:val="0"/>
              <w:spacing w:line="360" w:lineRule="auto"/>
              <w:ind w:firstLine="482" w:firstLineChars="200"/>
              <w:jc w:val="left"/>
              <w:rPr>
                <w:rFonts w:ascii="Times New Roman" w:hAnsi="Times New Roman" w:cs="Times New Roman"/>
                <w:bCs/>
                <w:color w:val="auto"/>
              </w:rPr>
            </w:pPr>
            <w:r>
              <w:rPr>
                <w:rFonts w:ascii="Times New Roman" w:hAnsi="Times New Roman" w:cs="Times New Roman"/>
                <w:b/>
                <w:color w:val="auto"/>
                <w:kern w:val="0"/>
                <w:sz w:val="24"/>
              </w:rPr>
              <w:t>一般防渗区防渗措施为：</w:t>
            </w:r>
            <w:bookmarkStart w:id="10" w:name="_Hlk79490514"/>
            <w:r>
              <w:rPr>
                <w:rFonts w:ascii="Times New Roman" w:hAnsi="Times New Roman" w:cs="Times New Roman"/>
                <w:color w:val="auto"/>
                <w:sz w:val="24"/>
              </w:rPr>
              <w:t>厂区除重点防渗区的其他</w:t>
            </w:r>
            <w:bookmarkEnd w:id="10"/>
            <w:r>
              <w:rPr>
                <w:rFonts w:ascii="Times New Roman" w:hAnsi="Times New Roman" w:cs="Times New Roman"/>
                <w:color w:val="auto"/>
                <w:sz w:val="24"/>
              </w:rPr>
              <w:t>地方</w:t>
            </w:r>
            <w:r>
              <w:rPr>
                <w:rFonts w:ascii="Times New Roman" w:hAnsi="Times New Roman" w:cs="Times New Roman"/>
                <w:bCs/>
                <w:color w:val="auto"/>
                <w:kern w:val="0"/>
                <w:sz w:val="24"/>
              </w:rPr>
              <w:t>，铺设20cm厚的P4抗渗透混凝土。</w:t>
            </w:r>
            <w:r>
              <w:rPr>
                <w:rFonts w:ascii="Times New Roman" w:hAnsi="Times New Roman" w:cs="Times New Roman"/>
                <w:bCs/>
                <w:color w:val="auto"/>
                <w:kern w:val="0"/>
                <w:sz w:val="24"/>
                <w:lang w:val="en-US" w:eastAsia="zh-CN"/>
              </w:rPr>
              <w:t>确保</w:t>
            </w:r>
            <w:r>
              <w:rPr>
                <w:rFonts w:ascii="Times New Roman" w:hAnsi="Times New Roman" w:cs="Times New Roman"/>
                <w:bCs/>
                <w:color w:val="auto"/>
                <w:kern w:val="0"/>
                <w:sz w:val="24"/>
              </w:rPr>
              <w:t>能达到等效黏土防渗层Mb≥1.5m、渗透系数K≤10</w:t>
            </w:r>
            <w:r>
              <w:rPr>
                <w:rFonts w:ascii="Times New Roman" w:hAnsi="Times New Roman" w:cs="Times New Roman"/>
                <w:bCs/>
                <w:color w:val="auto"/>
                <w:kern w:val="0"/>
                <w:sz w:val="24"/>
                <w:vertAlign w:val="superscript"/>
              </w:rPr>
              <w:t>-7</w:t>
            </w:r>
            <w:r>
              <w:rPr>
                <w:rFonts w:ascii="Times New Roman" w:hAnsi="Times New Roman" w:cs="Times New Roman"/>
                <w:bCs/>
                <w:color w:val="auto"/>
                <w:kern w:val="0"/>
                <w:sz w:val="24"/>
              </w:rPr>
              <w:t>cm/s的要求。</w:t>
            </w:r>
          </w:p>
          <w:p>
            <w:pPr>
              <w:widowControl/>
              <w:adjustRightInd w:val="0"/>
              <w:snapToGrid w:val="0"/>
              <w:spacing w:line="360" w:lineRule="auto"/>
              <w:ind w:firstLine="482" w:firstLineChars="200"/>
              <w:jc w:val="left"/>
              <w:rPr>
                <w:rFonts w:ascii="Times New Roman" w:hAnsi="Times New Roman" w:cs="Times New Roman"/>
                <w:bCs/>
                <w:color w:val="auto"/>
              </w:rPr>
            </w:pPr>
            <w:r>
              <w:rPr>
                <w:rFonts w:ascii="Times New Roman" w:hAnsi="Times New Roman" w:cs="Times New Roman"/>
                <w:b/>
                <w:color w:val="auto"/>
                <w:kern w:val="0"/>
                <w:sz w:val="24"/>
              </w:rPr>
              <w:t>简单防渗区防渗措施为：</w:t>
            </w:r>
            <w:r>
              <w:rPr>
                <w:rFonts w:ascii="Times New Roman" w:hAnsi="Times New Roman" w:cs="Times New Roman"/>
                <w:bCs/>
                <w:color w:val="auto"/>
                <w:kern w:val="0"/>
                <w:sz w:val="24"/>
                <w:lang w:val="en-US" w:eastAsia="zh-CN"/>
              </w:rPr>
              <w:t>依托的</w:t>
            </w:r>
            <w:r>
              <w:rPr>
                <w:rFonts w:ascii="Times New Roman" w:hAnsi="Times New Roman" w:cs="Times New Roman"/>
                <w:bCs/>
                <w:color w:val="auto"/>
                <w:kern w:val="0"/>
                <w:sz w:val="24"/>
              </w:rPr>
              <w:t>休息室</w:t>
            </w:r>
            <w:r>
              <w:rPr>
                <w:rFonts w:ascii="Times New Roman" w:hAnsi="Times New Roman" w:cs="Times New Roman"/>
                <w:bCs/>
                <w:color w:val="auto"/>
                <w:kern w:val="0"/>
                <w:sz w:val="24"/>
                <w:lang w:eastAsia="zh-CN"/>
              </w:rPr>
              <w:t>、更衣室、办公楼</w:t>
            </w:r>
            <w:r>
              <w:rPr>
                <w:rFonts w:ascii="Times New Roman" w:hAnsi="Times New Roman" w:cs="Times New Roman"/>
                <w:bCs/>
                <w:color w:val="auto"/>
                <w:sz w:val="24"/>
              </w:rPr>
              <w:t>，</w:t>
            </w:r>
            <w:r>
              <w:rPr>
                <w:rFonts w:ascii="Times New Roman" w:hAnsi="Times New Roman" w:cs="Times New Roman"/>
                <w:bCs/>
                <w:color w:val="auto"/>
                <w:kern w:val="0"/>
                <w:sz w:val="24"/>
              </w:rPr>
              <w:t>铺设20cm厚的P4抗渗透混凝土。</w:t>
            </w:r>
          </w:p>
          <w:p>
            <w:pPr>
              <w:pStyle w:val="2"/>
              <w:adjustRightInd w:val="0"/>
              <w:snapToGrid w:val="0"/>
              <w:spacing w:before="0" w:after="0" w:line="360" w:lineRule="auto"/>
              <w:ind w:right="0" w:firstLine="480" w:firstLineChars="200"/>
              <w:rPr>
                <w:rFonts w:ascii="Times New Roman" w:hAnsi="Times New Roman" w:cs="Times New Roman"/>
                <w:color w:val="auto"/>
                <w:sz w:val="24"/>
              </w:rPr>
            </w:pPr>
            <w:r>
              <w:rPr>
                <w:rFonts w:ascii="Times New Roman" w:hAnsi="Times New Roman" w:cs="Times New Roman"/>
                <w:color w:val="auto"/>
                <w:sz w:val="24"/>
              </w:rPr>
              <w:t>分区防渗表如下表：</w:t>
            </w:r>
          </w:p>
          <w:p>
            <w:pPr>
              <w:pStyle w:val="2"/>
              <w:adjustRightInd w:val="0"/>
              <w:snapToGrid w:val="0"/>
              <w:spacing w:before="0" w:after="0" w:line="360" w:lineRule="auto"/>
              <w:ind w:right="0"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表4-1</w:t>
            </w:r>
            <w:r>
              <w:rPr>
                <w:rFonts w:hint="eastAsia" w:cs="Times New Roman"/>
                <w:b/>
                <w:bCs/>
                <w:color w:val="auto"/>
                <w:sz w:val="21"/>
                <w:szCs w:val="21"/>
                <w:lang w:val="en-US" w:eastAsia="zh-CN"/>
              </w:rPr>
              <w:t>3</w:t>
            </w:r>
            <w:r>
              <w:rPr>
                <w:rFonts w:ascii="Times New Roman" w:hAnsi="Times New Roman" w:cs="Times New Roman"/>
                <w:b/>
                <w:bCs/>
                <w:color w:val="auto"/>
                <w:sz w:val="21"/>
                <w:szCs w:val="21"/>
              </w:rPr>
              <w:t xml:space="preserve"> 本项目分区防渗情况一览表</w:t>
            </w:r>
          </w:p>
          <w:tbl>
            <w:tblPr>
              <w:tblStyle w:val="25"/>
              <w:tblW w:w="5000"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753"/>
              <w:gridCol w:w="2943"/>
              <w:gridCol w:w="1438"/>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26" w:type="dxa"/>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区域名称</w:t>
                  </w:r>
                </w:p>
              </w:tc>
              <w:tc>
                <w:tcPr>
                  <w:tcW w:w="793" w:type="dxa"/>
                  <w:vAlign w:val="center"/>
                </w:tcPr>
                <w:p>
                  <w:pPr>
                    <w:pStyle w:val="4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auto"/>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分区</w:t>
                  </w:r>
                </w:p>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类别</w:t>
                  </w:r>
                </w:p>
              </w:tc>
              <w:tc>
                <w:tcPr>
                  <w:tcW w:w="3098" w:type="dxa"/>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防渗技术要求</w:t>
                  </w:r>
                </w:p>
              </w:tc>
              <w:tc>
                <w:tcPr>
                  <w:tcW w:w="1514" w:type="dxa"/>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现有厂房已有</w:t>
                  </w:r>
                </w:p>
              </w:tc>
              <w:tc>
                <w:tcPr>
                  <w:tcW w:w="1542" w:type="dxa"/>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本项目拟采取防渗措施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426"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 w:val="21"/>
                      <w:szCs w:val="21"/>
                    </w:rPr>
                  </w:pPr>
                  <w:r>
                    <w:rPr>
                      <w:rFonts w:ascii="Times New Roman" w:hAnsi="Times New Roman" w:cs="Times New Roman"/>
                      <w:color w:val="auto"/>
                      <w:sz w:val="21"/>
                      <w:szCs w:val="21"/>
                    </w:rPr>
                    <w:t>危废暂存间</w:t>
                  </w:r>
                </w:p>
              </w:tc>
              <w:tc>
                <w:tcPr>
                  <w:tcW w:w="793" w:type="dxa"/>
                  <w:vMerge w:val="restart"/>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 w:val="21"/>
                      <w:szCs w:val="21"/>
                    </w:rPr>
                  </w:pPr>
                  <w:r>
                    <w:rPr>
                      <w:rFonts w:ascii="Times New Roman" w:hAnsi="Times New Roman" w:cs="Times New Roman"/>
                      <w:color w:val="auto"/>
                      <w:sz w:val="21"/>
                      <w:szCs w:val="21"/>
                    </w:rPr>
                    <w:t>重点防渗区</w:t>
                  </w:r>
                </w:p>
              </w:tc>
              <w:tc>
                <w:tcPr>
                  <w:tcW w:w="3098"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right="0"/>
                    <w:jc w:val="left"/>
                    <w:textAlignment w:val="auto"/>
                    <w:rPr>
                      <w:rFonts w:ascii="Times New Roman" w:hAnsi="Times New Roman" w:cs="Times New Roman"/>
                      <w:color w:val="auto"/>
                      <w:szCs w:val="21"/>
                    </w:rPr>
                  </w:pPr>
                  <w:r>
                    <w:rPr>
                      <w:rFonts w:ascii="Times New Roman" w:hAnsi="Times New Roman" w:cs="Times New Roman"/>
                      <w:color w:val="auto"/>
                      <w:szCs w:val="21"/>
                    </w:rPr>
                    <w:t>参照《危险废物贮存污染控制标准》要求进行防渗设计，基础必须防渗，防渗层为至少2mm厚高密度聚乙烯，渗透系数≤10</w:t>
                  </w:r>
                  <w:r>
                    <w:rPr>
                      <w:rFonts w:ascii="Times New Roman" w:hAnsi="Times New Roman" w:cs="Times New Roman"/>
                      <w:color w:val="auto"/>
                      <w:szCs w:val="21"/>
                      <w:vertAlign w:val="superscript"/>
                    </w:rPr>
                    <w:t>-10</w:t>
                  </w:r>
                  <w:r>
                    <w:rPr>
                      <w:rFonts w:ascii="Times New Roman" w:hAnsi="Times New Roman" w:cs="Times New Roman"/>
                      <w:color w:val="auto"/>
                      <w:szCs w:val="21"/>
                    </w:rPr>
                    <w:t>cm/s。</w:t>
                  </w:r>
                </w:p>
              </w:tc>
              <w:tc>
                <w:tcPr>
                  <w:tcW w:w="151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right="0"/>
                    <w:jc w:val="center"/>
                    <w:textAlignment w:val="auto"/>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w:t>
                  </w:r>
                </w:p>
              </w:tc>
              <w:tc>
                <w:tcPr>
                  <w:tcW w:w="154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right="0"/>
                    <w:jc w:val="center"/>
                    <w:textAlignment w:val="auto"/>
                    <w:rPr>
                      <w:rFonts w:ascii="Times New Roman" w:hAnsi="Times New Roman" w:cs="Times New Roman"/>
                      <w:color w:val="auto"/>
                      <w:szCs w:val="21"/>
                    </w:rPr>
                  </w:pPr>
                  <w:r>
                    <w:rPr>
                      <w:rFonts w:ascii="Times New Roman" w:hAnsi="Times New Roman" w:cs="Times New Roman"/>
                      <w:color w:val="auto"/>
                      <w:kern w:val="0"/>
                      <w:szCs w:val="21"/>
                      <w:lang w:val="en-US" w:eastAsia="zh-CN"/>
                    </w:rPr>
                    <w:t>铺设</w:t>
                  </w:r>
                  <w:r>
                    <w:rPr>
                      <w:rFonts w:ascii="Times New Roman" w:hAnsi="Times New Roman" w:cs="Times New Roman"/>
                      <w:color w:val="auto"/>
                      <w:szCs w:val="21"/>
                    </w:rPr>
                    <w:t>20cm厚的P4抗渗透混凝土</w:t>
                  </w:r>
                  <w:r>
                    <w:rPr>
                      <w:rFonts w:ascii="Times New Roman" w:hAnsi="Times New Roman" w:cs="Times New Roman"/>
                      <w:color w:val="auto"/>
                      <w:szCs w:val="21"/>
                      <w:lang w:val="en-US" w:eastAsia="zh-CN"/>
                    </w:rPr>
                    <w:t>+</w:t>
                  </w:r>
                  <w:r>
                    <w:rPr>
                      <w:rFonts w:ascii="Times New Roman" w:hAnsi="Times New Roman" w:eastAsia="TimesNewRomanPSMT" w:cs="Times New Roman"/>
                      <w:color w:val="auto"/>
                      <w:kern w:val="0"/>
                      <w:szCs w:val="21"/>
                    </w:rPr>
                    <w:t>2mm</w:t>
                  </w:r>
                  <w:r>
                    <w:rPr>
                      <w:rFonts w:ascii="Times New Roman" w:hAnsi="Times New Roman" w:cs="Times New Roman"/>
                      <w:color w:val="auto"/>
                      <w:kern w:val="0"/>
                      <w:szCs w:val="21"/>
                    </w:rPr>
                    <w:t>环氧树脂膜进行防渗处理，同时危废间铺设钢制托盘接漏防渗，以确保渗透系数≤</w:t>
                  </w:r>
                  <w:r>
                    <w:rPr>
                      <w:rFonts w:ascii="Times New Roman" w:hAnsi="Times New Roman" w:eastAsia="TimesNewRomanPSMT" w:cs="Times New Roman"/>
                      <w:color w:val="auto"/>
                      <w:kern w:val="0"/>
                      <w:szCs w:val="21"/>
                    </w:rPr>
                    <w:t>10</w:t>
                  </w:r>
                  <w:r>
                    <w:rPr>
                      <w:rFonts w:ascii="Times New Roman" w:hAnsi="Times New Roman" w:eastAsia="TimesNewRomanPSMT" w:cs="Times New Roman"/>
                      <w:color w:val="auto"/>
                      <w:kern w:val="0"/>
                      <w:szCs w:val="21"/>
                      <w:vertAlign w:val="superscript"/>
                    </w:rPr>
                    <w:t>-10</w:t>
                  </w:r>
                  <w:r>
                    <w:rPr>
                      <w:rFonts w:ascii="Times New Roman" w:hAnsi="Times New Roman" w:eastAsia="TimesNewRomanPSMT" w:cs="Times New Roman"/>
                      <w:color w:val="auto"/>
                      <w:kern w:val="0"/>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426"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 w:val="21"/>
                      <w:szCs w:val="21"/>
                    </w:rPr>
                  </w:pPr>
                  <w:r>
                    <w:rPr>
                      <w:rFonts w:ascii="Times New Roman" w:hAnsi="Times New Roman" w:cs="Times New Roman"/>
                      <w:color w:val="auto"/>
                      <w:sz w:val="21"/>
                      <w:szCs w:val="21"/>
                    </w:rPr>
                    <w:t>柴油发电机房、储油间</w:t>
                  </w:r>
                </w:p>
              </w:tc>
              <w:tc>
                <w:tcPr>
                  <w:tcW w:w="793" w:type="dxa"/>
                  <w:vMerge w:val="continue"/>
                  <w:tcBorders>
                    <w:top w:val="single" w:color="auto" w:sz="4" w:space="0"/>
                    <w:left w:val="single" w:color="auto" w:sz="4" w:space="0"/>
                    <w:right w:val="single" w:color="auto" w:sz="4" w:space="0"/>
                  </w:tcBorders>
                  <w:vAlign w:val="center"/>
                </w:tcPr>
                <w:p/>
              </w:tc>
              <w:tc>
                <w:tcPr>
                  <w:tcW w:w="3098"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right="0"/>
                    <w:textAlignment w:val="auto"/>
                    <w:rPr>
                      <w:rFonts w:ascii="Times New Roman" w:hAnsi="Times New Roman" w:cs="Times New Roman"/>
                      <w:color w:val="auto"/>
                      <w:szCs w:val="21"/>
                    </w:rPr>
                  </w:pPr>
                  <w:r>
                    <w:rPr>
                      <w:rFonts w:ascii="Times New Roman" w:hAnsi="Times New Roman" w:cs="Times New Roman"/>
                      <w:color w:val="auto"/>
                      <w:szCs w:val="21"/>
                    </w:rPr>
                    <w:t>参照《环境影响评价技术导则·地下水环境》中重点区的要求，等效黏土防渗层Mb≥6.0m，渗透系数K≤10</w:t>
                  </w:r>
                  <w:r>
                    <w:rPr>
                      <w:rFonts w:ascii="Times New Roman" w:hAnsi="Times New Roman" w:cs="Times New Roman"/>
                      <w:color w:val="auto"/>
                      <w:szCs w:val="21"/>
                      <w:vertAlign w:val="superscript"/>
                    </w:rPr>
                    <w:t>-7</w:t>
                  </w:r>
                  <w:r>
                    <w:rPr>
                      <w:rFonts w:ascii="Times New Roman" w:hAnsi="Times New Roman" w:cs="Times New Roman"/>
                      <w:color w:val="auto"/>
                      <w:szCs w:val="21"/>
                    </w:rPr>
                    <w:t xml:space="preserve"> cm/s</w:t>
                  </w:r>
                </w:p>
              </w:tc>
              <w:tc>
                <w:tcPr>
                  <w:tcW w:w="151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right="0"/>
                    <w:jc w:val="center"/>
                    <w:textAlignment w:val="auto"/>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w:t>
                  </w:r>
                </w:p>
              </w:tc>
              <w:tc>
                <w:tcPr>
                  <w:tcW w:w="1542" w:type="dxa"/>
                  <w:vMerge w:val="continue"/>
                  <w:tcBorders>
                    <w:top w:val="single" w:color="auto" w:sz="4" w:space="0"/>
                    <w:left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426"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除重点防渗区、简单防渗区外其他区域</w:t>
                  </w:r>
                </w:p>
              </w:tc>
              <w:tc>
                <w:tcPr>
                  <w:tcW w:w="793"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 w:val="21"/>
                      <w:szCs w:val="21"/>
                    </w:rPr>
                  </w:pPr>
                  <w:r>
                    <w:rPr>
                      <w:rFonts w:ascii="Times New Roman" w:hAnsi="Times New Roman" w:cs="Times New Roman"/>
                      <w:color w:val="auto"/>
                      <w:sz w:val="21"/>
                      <w:szCs w:val="21"/>
                    </w:rPr>
                    <w:t>一般防渗区</w:t>
                  </w:r>
                </w:p>
              </w:tc>
              <w:tc>
                <w:tcPr>
                  <w:tcW w:w="3098"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right="0"/>
                    <w:jc w:val="left"/>
                    <w:textAlignment w:val="auto"/>
                    <w:rPr>
                      <w:rFonts w:ascii="Times New Roman" w:hAnsi="Times New Roman" w:cs="Times New Roman"/>
                      <w:color w:val="auto"/>
                      <w:szCs w:val="21"/>
                    </w:rPr>
                  </w:pPr>
                  <w:r>
                    <w:rPr>
                      <w:rFonts w:ascii="Times New Roman" w:hAnsi="Times New Roman" w:cs="Times New Roman"/>
                      <w:color w:val="auto"/>
                      <w:szCs w:val="21"/>
                    </w:rPr>
                    <w:t>参照《环境影响评价技术导则·地下水环境》中一般防渗区的要求，等效黏土防渗层Mb≥1.5m，渗透系数K≤10</w:t>
                  </w:r>
                  <w:r>
                    <w:rPr>
                      <w:rFonts w:ascii="Times New Roman" w:hAnsi="Times New Roman" w:cs="Times New Roman"/>
                      <w:color w:val="auto"/>
                      <w:szCs w:val="21"/>
                      <w:vertAlign w:val="superscript"/>
                    </w:rPr>
                    <w:t>-7</w:t>
                  </w:r>
                  <w:r>
                    <w:rPr>
                      <w:rFonts w:ascii="Times New Roman" w:hAnsi="Times New Roman" w:cs="Times New Roman"/>
                      <w:color w:val="auto"/>
                      <w:szCs w:val="21"/>
                    </w:rPr>
                    <w:t xml:space="preserve"> cm/s</w:t>
                  </w:r>
                </w:p>
              </w:tc>
              <w:tc>
                <w:tcPr>
                  <w:tcW w:w="151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N w:val="0"/>
                    <w:bidi w:val="0"/>
                    <w:adjustRightInd w:val="0"/>
                    <w:snapToGrid w:val="0"/>
                    <w:spacing w:line="240" w:lineRule="auto"/>
                    <w:ind w:right="0"/>
                    <w:jc w:val="center"/>
                    <w:textAlignment w:val="auto"/>
                    <w:rPr>
                      <w:rFonts w:ascii="Times New Roman" w:hAnsi="Times New Roman" w:eastAsia="宋体" w:cs="Times New Roman"/>
                      <w:color w:val="auto"/>
                      <w:szCs w:val="21"/>
                      <w:lang w:eastAsia="zh-CN"/>
                    </w:rPr>
                  </w:pPr>
                  <w:r>
                    <w:rPr>
                      <w:rFonts w:ascii="Times New Roman" w:hAnsi="Times New Roman" w:cs="Times New Roman"/>
                      <w:color w:val="auto"/>
                      <w:szCs w:val="21"/>
                      <w:lang w:val="en-US" w:eastAsia="zh-CN"/>
                    </w:rPr>
                    <w:t>/</w:t>
                  </w:r>
                </w:p>
              </w:tc>
              <w:tc>
                <w:tcPr>
                  <w:tcW w:w="1542"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4"/>
                    </w:rPr>
                    <w:t>铺设20cm厚的P4抗渗透混凝土。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426"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eastAsia="宋体" w:cs="Times New Roman"/>
                      <w:b/>
                      <w:bCs/>
                      <w:color w:val="auto"/>
                      <w:sz w:val="21"/>
                      <w:szCs w:val="21"/>
                      <w:lang w:eastAsia="zh-CN"/>
                    </w:rPr>
                  </w:pPr>
                  <w:r>
                    <w:rPr>
                      <w:rFonts w:ascii="Times New Roman" w:hAnsi="Times New Roman" w:cs="Times New Roman"/>
                      <w:color w:val="auto"/>
                      <w:sz w:val="21"/>
                      <w:szCs w:val="21"/>
                      <w:lang w:val="en-US" w:eastAsia="zh-CN"/>
                    </w:rPr>
                    <w:t>依托</w:t>
                  </w:r>
                  <w:r>
                    <w:rPr>
                      <w:rFonts w:ascii="Times New Roman" w:hAnsi="Times New Roman" w:cs="Times New Roman"/>
                      <w:color w:val="auto"/>
                      <w:sz w:val="21"/>
                      <w:szCs w:val="21"/>
                    </w:rPr>
                    <w:t>休息室</w:t>
                  </w:r>
                  <w:r>
                    <w:rPr>
                      <w:rFonts w:ascii="Times New Roman" w:hAnsi="Times New Roman" w:cs="Times New Roman"/>
                      <w:color w:val="auto"/>
                      <w:sz w:val="21"/>
                      <w:szCs w:val="21"/>
                      <w:lang w:eastAsia="zh-CN"/>
                    </w:rPr>
                    <w:t>、更衣室、办公楼</w:t>
                  </w:r>
                </w:p>
              </w:tc>
              <w:tc>
                <w:tcPr>
                  <w:tcW w:w="793"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b/>
                      <w:bCs/>
                      <w:color w:val="auto"/>
                      <w:sz w:val="21"/>
                      <w:szCs w:val="21"/>
                    </w:rPr>
                  </w:pPr>
                  <w:r>
                    <w:rPr>
                      <w:rFonts w:ascii="Times New Roman" w:hAnsi="Times New Roman" w:cs="Times New Roman"/>
                      <w:color w:val="auto"/>
                      <w:sz w:val="21"/>
                      <w:szCs w:val="21"/>
                    </w:rPr>
                    <w:t>简单防渗区</w:t>
                  </w:r>
                </w:p>
              </w:tc>
              <w:tc>
                <w:tcPr>
                  <w:tcW w:w="3098"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一般地面硬化</w:t>
                  </w:r>
                </w:p>
              </w:tc>
              <w:tc>
                <w:tcPr>
                  <w:tcW w:w="1514"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20cm厚的P4抗渗透混凝土</w:t>
                  </w:r>
                </w:p>
              </w:tc>
              <w:tc>
                <w:tcPr>
                  <w:tcW w:w="1542" w:type="dxa"/>
                  <w:tcBorders>
                    <w:top w:val="single" w:color="auto" w:sz="4" w:space="0"/>
                    <w:left w:val="single" w:color="auto" w:sz="4" w:space="0"/>
                    <w:right w:val="single" w:color="auto" w:sz="4" w:space="0"/>
                  </w:tcBorders>
                  <w:vAlign w:val="center"/>
                </w:tcPr>
                <w:p>
                  <w:pPr>
                    <w:pStyle w:val="2"/>
                    <w:keepNext w:val="0"/>
                    <w:keepLines w:val="0"/>
                    <w:pageBreakBefore w:val="0"/>
                    <w:widowControl/>
                    <w:kinsoku/>
                    <w:wordWrap/>
                    <w:overflowPunct/>
                    <w:topLinePunct w:val="0"/>
                    <w:bidi w:val="0"/>
                    <w:adjustRightInd w:val="0"/>
                    <w:snapToGrid w:val="0"/>
                    <w:spacing w:before="0" w:after="0" w:line="240" w:lineRule="auto"/>
                    <w:ind w:right="0"/>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依托使用</w:t>
                  </w:r>
                </w:p>
              </w:tc>
            </w:tr>
          </w:tbl>
          <w:p>
            <w:pPr>
              <w:adjustRightInd w:val="0"/>
              <w:snapToGrid w:val="0"/>
              <w:spacing w:line="360" w:lineRule="auto"/>
              <w:ind w:firstLine="480" w:firstLineChars="200"/>
              <w:rPr>
                <w:rFonts w:ascii="Times New Roman" w:hAnsi="Times New Roman" w:cs="Times New Roman"/>
                <w:b/>
                <w:color w:val="auto"/>
              </w:rPr>
            </w:pPr>
            <w:r>
              <w:rPr>
                <w:rFonts w:ascii="Times New Roman" w:hAnsi="Times New Roman" w:cs="Times New Roman"/>
                <w:bCs/>
                <w:color w:val="auto"/>
                <w:sz w:val="24"/>
              </w:rPr>
              <w:t>综上，在采取上述分区防渗处理措施后，并在加强维护和厂区环境管理的前提下，可有效控制项目对区域地下水的污染，项目对地下水基本不会造成明显影响。</w:t>
            </w:r>
          </w:p>
          <w:p>
            <w:pPr>
              <w:adjustRightInd w:val="0"/>
              <w:snapToGrid w:val="0"/>
              <w:spacing w:line="360" w:lineRule="auto"/>
              <w:ind w:left="420"/>
              <w:rPr>
                <w:rFonts w:ascii="Times New Roman" w:hAnsi="Times New Roman" w:cs="Times New Roman"/>
                <w:b/>
                <w:bCs/>
                <w:color w:val="auto"/>
                <w:sz w:val="24"/>
              </w:rPr>
            </w:pPr>
            <w:r>
              <w:rPr>
                <w:rFonts w:ascii="Times New Roman" w:hAnsi="Times New Roman" w:cs="Times New Roman"/>
                <w:b/>
                <w:bCs/>
                <w:color w:val="auto"/>
                <w:sz w:val="24"/>
              </w:rPr>
              <w:t>土壤环境影响防治措施</w:t>
            </w:r>
          </w:p>
          <w:p>
            <w:pPr>
              <w:adjustRightInd w:val="0"/>
              <w:snapToGrid w:val="0"/>
              <w:spacing w:line="360" w:lineRule="auto"/>
              <w:ind w:firstLine="480" w:firstLineChars="200"/>
              <w:rPr>
                <w:rFonts w:ascii="Times New Roman" w:hAnsi="Times New Roman" w:cs="Times New Roman"/>
                <w:bCs/>
                <w:color w:val="auto"/>
                <w:sz w:val="24"/>
              </w:rPr>
            </w:pPr>
            <w:r>
              <w:rPr>
                <w:rFonts w:ascii="Times New Roman" w:hAnsi="Times New Roman" w:cs="Times New Roman"/>
                <w:bCs/>
                <w:color w:val="auto"/>
                <w:sz w:val="24"/>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pPr>
              <w:pStyle w:val="2"/>
              <w:adjustRightInd w:val="0"/>
              <w:snapToGrid w:val="0"/>
              <w:spacing w:before="0" w:after="0" w:line="360" w:lineRule="auto"/>
              <w:ind w:right="0" w:firstLine="480" w:firstLineChars="200"/>
              <w:rPr>
                <w:rFonts w:ascii="Times New Roman" w:hAnsi="Times New Roman" w:cs="Times New Roman"/>
                <w:bCs/>
                <w:color w:val="auto"/>
                <w:kern w:val="2"/>
                <w:sz w:val="24"/>
                <w:szCs w:val="24"/>
              </w:rPr>
            </w:pPr>
            <w:r>
              <w:rPr>
                <w:rFonts w:ascii="Times New Roman" w:hAnsi="Times New Roman" w:cs="Times New Roman"/>
                <w:bCs/>
                <w:color w:val="auto"/>
                <w:kern w:val="2"/>
                <w:sz w:val="24"/>
                <w:szCs w:val="24"/>
              </w:rPr>
              <w:t>本项目污染物质可以通过多种途径进入土壤，主要类型有以下三种：</w:t>
            </w:r>
          </w:p>
          <w:p>
            <w:pPr>
              <w:pStyle w:val="2"/>
              <w:adjustRightInd w:val="0"/>
              <w:snapToGrid w:val="0"/>
              <w:spacing w:before="0" w:after="0" w:line="360" w:lineRule="auto"/>
              <w:ind w:right="0" w:firstLine="480" w:firstLineChars="200"/>
              <w:rPr>
                <w:rFonts w:ascii="Times New Roman" w:hAnsi="Times New Roman" w:cs="Times New Roman"/>
                <w:bCs/>
                <w:color w:val="auto"/>
                <w:kern w:val="2"/>
                <w:sz w:val="24"/>
                <w:szCs w:val="24"/>
              </w:rPr>
            </w:pPr>
            <w:r>
              <w:rPr>
                <w:rFonts w:ascii="Times New Roman" w:hAnsi="Times New Roman" w:cs="Times New Roman"/>
                <w:bCs/>
                <w:color w:val="auto"/>
                <w:kern w:val="2"/>
                <w:sz w:val="24"/>
                <w:szCs w:val="24"/>
              </w:rPr>
              <w:t>（1）大气污染型：污染物质来源于被污染的大气，污染物质主要集中在土壤表层，大气中的颗粒物等降落地面，会造成土壤的多种污染。</w:t>
            </w:r>
          </w:p>
          <w:p>
            <w:pPr>
              <w:pStyle w:val="2"/>
              <w:adjustRightInd w:val="0"/>
              <w:snapToGrid w:val="0"/>
              <w:spacing w:before="0" w:after="0" w:line="360" w:lineRule="auto"/>
              <w:ind w:right="0" w:firstLine="480" w:firstLineChars="200"/>
              <w:rPr>
                <w:rFonts w:ascii="Times New Roman" w:hAnsi="Times New Roman" w:cs="Times New Roman"/>
                <w:bCs/>
                <w:color w:val="auto"/>
                <w:kern w:val="2"/>
                <w:sz w:val="24"/>
                <w:szCs w:val="24"/>
              </w:rPr>
            </w:pPr>
            <w:r>
              <w:rPr>
                <w:rFonts w:ascii="Times New Roman" w:hAnsi="Times New Roman" w:cs="Times New Roman"/>
                <w:bCs/>
                <w:color w:val="auto"/>
                <w:kern w:val="2"/>
                <w:sz w:val="24"/>
                <w:szCs w:val="24"/>
              </w:rPr>
              <w:t>（2）水污染型：废水不能做到达标排放或事故状态下未经处理直接排放，或发生泄漏，致使土壤受到无机盐、有机物的污染。</w:t>
            </w:r>
          </w:p>
          <w:p>
            <w:pPr>
              <w:pStyle w:val="2"/>
              <w:adjustRightInd w:val="0"/>
              <w:snapToGrid w:val="0"/>
              <w:spacing w:before="0" w:after="0" w:line="360" w:lineRule="auto"/>
              <w:ind w:right="0" w:firstLine="480" w:firstLineChars="200"/>
              <w:rPr>
                <w:rFonts w:ascii="Times New Roman" w:hAnsi="Times New Roman" w:cs="Times New Roman"/>
                <w:bCs/>
                <w:color w:val="auto"/>
                <w:kern w:val="2"/>
                <w:sz w:val="24"/>
                <w:szCs w:val="24"/>
              </w:rPr>
            </w:pPr>
            <w:r>
              <w:rPr>
                <w:rFonts w:ascii="Times New Roman" w:hAnsi="Times New Roman" w:cs="Times New Roman"/>
                <w:bCs/>
                <w:color w:val="auto"/>
                <w:kern w:val="2"/>
                <w:sz w:val="24"/>
                <w:szCs w:val="24"/>
              </w:rPr>
              <w:t>（3）固体废物污染型：一般固体废物及各项危险废物等在运输、贮存或堆放过程中通过扩散、降水淋洗等直接或间接地影响土壤。</w:t>
            </w:r>
          </w:p>
          <w:p>
            <w:pPr>
              <w:pStyle w:val="2"/>
              <w:adjustRightInd w:val="0"/>
              <w:snapToGrid w:val="0"/>
              <w:spacing w:before="0" w:after="0" w:line="360" w:lineRule="auto"/>
              <w:ind w:right="0" w:firstLine="480" w:firstLineChars="200"/>
              <w:rPr>
                <w:rFonts w:ascii="Times New Roman" w:hAnsi="Times New Roman" w:cs="Times New Roman"/>
                <w:bCs/>
                <w:color w:val="auto"/>
                <w:kern w:val="2"/>
                <w:sz w:val="24"/>
                <w:szCs w:val="24"/>
              </w:rPr>
            </w:pPr>
            <w:r>
              <w:rPr>
                <w:rFonts w:ascii="Times New Roman" w:hAnsi="Times New Roman" w:cs="Times New Roman"/>
                <w:bCs/>
                <w:color w:val="auto"/>
                <w:kern w:val="2"/>
                <w:sz w:val="24"/>
                <w:szCs w:val="24"/>
              </w:rPr>
              <w:t>本项目废气污染物排放量较小，可经过收集治理后达标排放，不会对周边土壤环境造成明显不利影响；生活污水及生产废水可通过污水管网进入污水处理厂处理后达标排放。同时，各项固体废物均分类收集并进行合理无害化处置。因此，本项目运营对区域土壤环境影响较小。</w:t>
            </w:r>
          </w:p>
          <w:p>
            <w:pPr>
              <w:pStyle w:val="4"/>
              <w:spacing w:before="0" w:after="0" w:line="360" w:lineRule="auto"/>
              <w:rPr>
                <w:rFonts w:ascii="Times New Roman" w:hAnsi="Times New Roman" w:eastAsia="宋体" w:cs="Times New Roman"/>
                <w:bCs w:val="0"/>
                <w:color w:val="auto"/>
                <w:sz w:val="24"/>
                <w:szCs w:val="24"/>
              </w:rPr>
            </w:pPr>
            <w:r>
              <w:rPr>
                <w:rFonts w:ascii="Times New Roman" w:hAnsi="Times New Roman" w:eastAsia="宋体" w:cs="Times New Roman"/>
                <w:bCs w:val="0"/>
                <w:color w:val="auto"/>
                <w:sz w:val="24"/>
                <w:szCs w:val="24"/>
              </w:rPr>
              <w:t>1.</w:t>
            </w:r>
            <w:r>
              <w:rPr>
                <w:rFonts w:hint="eastAsia" w:ascii="Times New Roman" w:hAnsi="Times New Roman" w:eastAsia="宋体" w:cs="Times New Roman"/>
                <w:bCs w:val="0"/>
                <w:color w:val="auto"/>
                <w:sz w:val="24"/>
                <w:szCs w:val="24"/>
                <w:lang w:val="en-US" w:eastAsia="zh-CN"/>
              </w:rPr>
              <w:t>5</w:t>
            </w:r>
            <w:r>
              <w:rPr>
                <w:rFonts w:ascii="Times New Roman" w:hAnsi="Times New Roman" w:eastAsia="宋体" w:cs="Times New Roman"/>
                <w:bCs w:val="0"/>
                <w:color w:val="auto"/>
                <w:sz w:val="24"/>
                <w:szCs w:val="24"/>
              </w:rPr>
              <w:t>生态环境影响防范措施</w:t>
            </w:r>
          </w:p>
          <w:p>
            <w:pPr>
              <w:pStyle w:val="2"/>
              <w:adjustRightInd w:val="0"/>
              <w:snapToGrid w:val="0"/>
              <w:spacing w:before="0" w:after="0" w:line="360" w:lineRule="auto"/>
              <w:ind w:right="0" w:firstLine="480" w:firstLineChars="200"/>
              <w:rPr>
                <w:rFonts w:ascii="Times New Roman" w:hAnsi="Times New Roman" w:cs="Times New Roman"/>
                <w:bCs/>
                <w:color w:val="auto"/>
                <w:kern w:val="2"/>
                <w:sz w:val="24"/>
                <w:szCs w:val="24"/>
              </w:rPr>
            </w:pPr>
            <w:r>
              <w:rPr>
                <w:rFonts w:ascii="Times New Roman" w:hAnsi="Times New Roman" w:cs="Times New Roman"/>
                <w:bCs/>
                <w:color w:val="auto"/>
                <w:kern w:val="2"/>
                <w:sz w:val="24"/>
                <w:szCs w:val="24"/>
              </w:rPr>
              <w:t>本项目位于</w:t>
            </w:r>
            <w:r>
              <w:rPr>
                <w:rFonts w:ascii="Times New Roman" w:hAnsi="Times New Roman" w:cs="Times New Roman"/>
                <w:color w:val="auto"/>
                <w:sz w:val="24"/>
                <w:lang w:eastAsia="zh-CN"/>
              </w:rPr>
              <w:t>四川省遂宁市大英县隆盛镇席家沟村</w:t>
            </w:r>
            <w:r>
              <w:rPr>
                <w:rFonts w:ascii="Times New Roman" w:hAnsi="Times New Roman" w:cs="Times New Roman"/>
                <w:bCs/>
                <w:color w:val="auto"/>
                <w:kern w:val="2"/>
                <w:sz w:val="24"/>
                <w:szCs w:val="24"/>
              </w:rPr>
              <w:t>，项目只进行设备的安装及调试，不直接构成对地表植被的破坏。项目运营生产过程中使用清洁能源电，不使用燃煤。生产过程中产生的各项污染物均采取了有效的防治措施，项目生产不会对当地生态环境造成影响，生态环境质量维持原有水平。</w:t>
            </w:r>
          </w:p>
          <w:p>
            <w:pPr>
              <w:pStyle w:val="4"/>
              <w:spacing w:before="0" w:after="0" w:line="360" w:lineRule="auto"/>
              <w:rPr>
                <w:rFonts w:ascii="Times New Roman" w:hAnsi="Times New Roman" w:eastAsia="宋体" w:cs="Times New Roman"/>
                <w:bCs w:val="0"/>
                <w:color w:val="auto"/>
                <w:sz w:val="24"/>
                <w:szCs w:val="24"/>
              </w:rPr>
            </w:pPr>
            <w:r>
              <w:rPr>
                <w:rFonts w:ascii="Times New Roman" w:hAnsi="Times New Roman" w:eastAsia="宋体" w:cs="Times New Roman"/>
                <w:bCs w:val="0"/>
                <w:color w:val="auto"/>
                <w:sz w:val="24"/>
                <w:szCs w:val="24"/>
              </w:rPr>
              <w:t>1.</w:t>
            </w:r>
            <w:r>
              <w:rPr>
                <w:rFonts w:hint="eastAsia" w:ascii="Times New Roman" w:hAnsi="Times New Roman" w:eastAsia="宋体" w:cs="Times New Roman"/>
                <w:bCs w:val="0"/>
                <w:color w:val="auto"/>
                <w:sz w:val="24"/>
                <w:szCs w:val="24"/>
                <w:lang w:val="en-US" w:eastAsia="zh-CN"/>
              </w:rPr>
              <w:t>6</w:t>
            </w:r>
            <w:r>
              <w:rPr>
                <w:rFonts w:ascii="Times New Roman" w:hAnsi="Times New Roman" w:eastAsia="宋体" w:cs="Times New Roman"/>
                <w:bCs w:val="0"/>
                <w:color w:val="auto"/>
                <w:sz w:val="24"/>
                <w:szCs w:val="24"/>
              </w:rPr>
              <w:t>环境风险防范措施</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次环境风险评价通过分析可能存在的主要物料的危险性和毒性，对环境安全进行分析，包括风险概率及风险影响分析，并分析特征污染物的环境容量，提出风险防范及发生安全事故事件应急处理的综合方案，从而达到降低风险性、降低危害程度、保护环境的目的。</w:t>
            </w:r>
          </w:p>
          <w:p>
            <w:pPr>
              <w:widowControl/>
              <w:adjustRightInd w:val="0"/>
              <w:snapToGrid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kern w:val="0"/>
                <w:sz w:val="24"/>
              </w:rPr>
              <w:t>根据项目营运过程中使用的各种原辅材料情况，并参照《危险化学品重大危险源辨识》（GB18218-2018）中相关规定可知，项目使用的各种原辅材料均未构成重大危险源。根据《建设项目环境风险评价技术导则》（TJ/T169-2018），本项目环境风险评价内容主要是进行风险识别，提出防范、减缓和应急措施。</w:t>
            </w:r>
          </w:p>
          <w:p>
            <w:pPr>
              <w:autoSpaceDE w:val="0"/>
              <w:autoSpaceDN w:val="0"/>
              <w:adjustRightInd w:val="0"/>
              <w:snapToGrid w:val="0"/>
              <w:spacing w:line="360" w:lineRule="auto"/>
              <w:ind w:left="420"/>
              <w:jc w:val="left"/>
              <w:rPr>
                <w:rFonts w:ascii="Times New Roman" w:hAnsi="Times New Roman" w:cs="Times New Roman"/>
                <w:b/>
                <w:bCs/>
                <w:color w:val="auto"/>
                <w:kern w:val="0"/>
                <w:sz w:val="24"/>
                <w:szCs w:val="20"/>
              </w:rPr>
            </w:pPr>
            <w:r>
              <w:rPr>
                <w:rFonts w:ascii="Times New Roman" w:hAnsi="Times New Roman" w:cs="Times New Roman"/>
                <w:b/>
                <w:bCs/>
                <w:color w:val="auto"/>
                <w:kern w:val="0"/>
                <w:sz w:val="24"/>
                <w:szCs w:val="20"/>
              </w:rPr>
              <w:t>1、风险调查</w:t>
            </w:r>
          </w:p>
          <w:p>
            <w:pPr>
              <w:autoSpaceDE w:val="0"/>
              <w:autoSpaceDN w:val="0"/>
              <w:adjustRightInd w:val="0"/>
              <w:spacing w:line="360" w:lineRule="auto"/>
              <w:ind w:firstLine="480" w:firstLineChars="200"/>
              <w:jc w:val="left"/>
              <w:rPr>
                <w:rFonts w:ascii="Times New Roman" w:hAnsi="Times New Roman" w:cs="Times New Roman"/>
                <w:color w:val="auto"/>
                <w:kern w:val="0"/>
                <w:sz w:val="24"/>
                <w:szCs w:val="20"/>
              </w:rPr>
            </w:pPr>
            <w:r>
              <w:rPr>
                <w:rFonts w:ascii="Times New Roman" w:hAnsi="Times New Roman" w:cs="Times New Roman"/>
                <w:color w:val="auto"/>
                <w:kern w:val="0"/>
                <w:sz w:val="24"/>
                <w:szCs w:val="20"/>
              </w:rPr>
              <w:t>（1）风险调查及风险潜势初判</w:t>
            </w:r>
          </w:p>
          <w:p>
            <w:pPr>
              <w:pStyle w:val="21"/>
              <w:autoSpaceDE w:val="0"/>
              <w:autoSpaceDN w:val="0"/>
              <w:adjustRightInd w:val="0"/>
              <w:snapToGrid w:val="0"/>
              <w:spacing w:before="0" w:beforeAutospacing="0" w:after="0" w:afterAutospacing="0" w:line="360" w:lineRule="auto"/>
              <w:ind w:firstLine="480" w:firstLineChars="200"/>
              <w:rPr>
                <w:rFonts w:ascii="Times New Roman" w:hAnsi="Times New Roman" w:eastAsia="宋体" w:cs="Times New Roman"/>
                <w:color w:val="auto"/>
                <w:lang w:eastAsia="zh-CN"/>
              </w:rPr>
            </w:pPr>
            <w:r>
              <w:rPr>
                <w:rFonts w:ascii="Times New Roman" w:hAnsi="Times New Roman" w:cs="Times New Roman"/>
                <w:color w:val="auto"/>
              </w:rPr>
              <w:t>本项目生物质气化得到的生物质气化燃气为混合物，主要成分为氮气、氧化碳、氢气、二氧化碳、甲烷、乙烷、乙烯、硫化氢等，对照《建设项目环境风险评价技术导则》</w:t>
            </w:r>
            <w:r>
              <w:rPr>
                <w:rFonts w:hint="eastAsia" w:ascii="Times New Roman" w:hAnsi="Times New Roman" w:cs="Times New Roman"/>
                <w:color w:val="auto"/>
                <w:lang w:eastAsia="zh-CN"/>
              </w:rPr>
              <w:t>（</w:t>
            </w:r>
            <w:r>
              <w:rPr>
                <w:rFonts w:ascii="Times New Roman" w:hAnsi="Times New Roman" w:cs="Times New Roman"/>
                <w:color w:val="auto"/>
              </w:rPr>
              <w:t>HJ169-2018</w:t>
            </w:r>
            <w:r>
              <w:rPr>
                <w:rFonts w:hint="eastAsia" w:ascii="Times New Roman" w:hAnsi="Times New Roman" w:cs="Times New Roman"/>
                <w:color w:val="auto"/>
                <w:lang w:eastAsia="zh-CN"/>
              </w:rPr>
              <w:t>）</w:t>
            </w:r>
            <w:r>
              <w:rPr>
                <w:rFonts w:ascii="Times New Roman" w:hAnsi="Times New Roman" w:cs="Times New Roman"/>
                <w:color w:val="auto"/>
              </w:rPr>
              <w:t>附录 B，生物质气化燃气成分中氧化碳、甲烷、乙烷、乙烯、</w:t>
            </w:r>
            <w:r>
              <w:rPr>
                <w:rFonts w:ascii="Times New Roman" w:hAnsi="Times New Roman" w:cs="Times New Roman"/>
                <w:color w:val="auto"/>
                <w:lang w:val="en-US" w:eastAsia="zh-CN"/>
              </w:rPr>
              <w:t>丙烷、丙烯、</w:t>
            </w:r>
            <w:r>
              <w:rPr>
                <w:rFonts w:ascii="Times New Roman" w:hAnsi="Times New Roman" w:cs="Times New Roman"/>
                <w:color w:val="auto"/>
              </w:rPr>
              <w:t>硫化氢属于《建设项目环境风险评价技术导则》</w:t>
            </w:r>
            <w:r>
              <w:rPr>
                <w:rFonts w:hint="eastAsia" w:ascii="Times New Roman" w:hAnsi="Times New Roman" w:cs="Times New Roman"/>
                <w:color w:val="auto"/>
                <w:lang w:eastAsia="zh-CN"/>
              </w:rPr>
              <w:t>（</w:t>
            </w:r>
            <w:r>
              <w:rPr>
                <w:rFonts w:ascii="Times New Roman" w:hAnsi="Times New Roman" w:cs="Times New Roman"/>
                <w:color w:val="auto"/>
              </w:rPr>
              <w:t>HJ169-2018</w:t>
            </w:r>
            <w:r>
              <w:rPr>
                <w:rFonts w:hint="eastAsia" w:ascii="Times New Roman" w:hAnsi="Times New Roman" w:cs="Times New Roman"/>
                <w:color w:val="auto"/>
                <w:lang w:eastAsia="zh-CN"/>
              </w:rPr>
              <w:t>）</w:t>
            </w:r>
            <w:r>
              <w:rPr>
                <w:rFonts w:ascii="Times New Roman" w:hAnsi="Times New Roman" w:cs="Times New Roman"/>
                <w:color w:val="auto"/>
              </w:rPr>
              <w:t>附录 B中环境风险物质</w:t>
            </w:r>
            <w:r>
              <w:rPr>
                <w:rFonts w:ascii="Times New Roman" w:hAnsi="Times New Roman" w:cs="Times New Roman"/>
                <w:color w:val="auto"/>
                <w:lang w:eastAsia="zh-CN"/>
              </w:rPr>
              <w:t>，</w:t>
            </w:r>
          </w:p>
          <w:p>
            <w:pPr>
              <w:adjustRightInd w:val="0"/>
              <w:snapToGri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2、风险识别</w:t>
            </w:r>
          </w:p>
          <w:p>
            <w:pPr>
              <w:pStyle w:val="21"/>
              <w:autoSpaceDE w:val="0"/>
              <w:autoSpaceDN w:val="0"/>
              <w:adjustRightInd w:val="0"/>
              <w:snapToGrid w:val="0"/>
              <w:spacing w:before="0" w:beforeAutospacing="0" w:after="0" w:afterAutospacing="0" w:line="360" w:lineRule="auto"/>
              <w:ind w:firstLine="480" w:firstLineChars="200"/>
              <w:rPr>
                <w:rFonts w:ascii="Times New Roman" w:hAnsi="Times New Roman" w:cs="Times New Roman"/>
                <w:color w:val="auto"/>
                <w:kern w:val="0"/>
                <w:sz w:val="24"/>
              </w:rPr>
            </w:pPr>
            <w:r>
              <w:rPr>
                <w:rFonts w:ascii="Times New Roman" w:hAnsi="Times New Roman" w:cs="Times New Roman"/>
                <w:color w:val="auto"/>
                <w:sz w:val="24"/>
              </w:rPr>
              <w:t>项目涉及的风险物质主要为生物质气化燃气</w:t>
            </w:r>
            <w:r>
              <w:rPr>
                <w:rFonts w:ascii="Times New Roman" w:hAnsi="Times New Roman" w:cs="Times New Roman"/>
                <w:color w:val="auto"/>
                <w:sz w:val="24"/>
                <w:lang w:eastAsia="zh-CN"/>
              </w:rPr>
              <w:t>、</w:t>
            </w:r>
            <w:r>
              <w:rPr>
                <w:rFonts w:ascii="Times New Roman" w:hAnsi="Times New Roman" w:cs="Times New Roman"/>
                <w:color w:val="auto"/>
                <w:sz w:val="24"/>
              </w:rPr>
              <w:t>机油、柴油及危废暂存间暂存的危险废物，</w:t>
            </w:r>
            <w:r>
              <w:rPr>
                <w:rFonts w:ascii="Times New Roman" w:hAnsi="Times New Roman" w:cs="Times New Roman"/>
                <w:color w:val="auto"/>
              </w:rPr>
              <w:t>项目不设置贮气柜贮存气体，项目厂内设备管道中存在可燃气体密度约为1.</w:t>
            </w:r>
            <w:r>
              <w:rPr>
                <w:rFonts w:ascii="Times New Roman" w:hAnsi="Times New Roman" w:cs="Times New Roman"/>
                <w:color w:val="auto"/>
                <w:lang w:val="en-US" w:eastAsia="zh-CN"/>
              </w:rPr>
              <w:t>1</w:t>
            </w:r>
            <w:r>
              <w:rPr>
                <w:rFonts w:ascii="Times New Roman" w:hAnsi="Times New Roman" w:cs="Times New Roman"/>
                <w:color w:val="auto"/>
              </w:rPr>
              <w:t>kgNm</w:t>
            </w:r>
            <w:r>
              <w:rPr>
                <w:rFonts w:ascii="Times New Roman" w:hAnsi="Times New Roman" w:cs="Times New Roman"/>
                <w:color w:val="auto"/>
                <w:vertAlign w:val="superscript"/>
                <w:lang w:val="en-US" w:eastAsia="zh-CN"/>
              </w:rPr>
              <w:t>3</w:t>
            </w:r>
            <w:r>
              <w:rPr>
                <w:rFonts w:ascii="Times New Roman" w:hAnsi="Times New Roman" w:cs="Times New Roman"/>
                <w:color w:val="auto"/>
              </w:rPr>
              <w:t>，在管道气体约1.5m</w:t>
            </w:r>
            <w:r>
              <w:rPr>
                <w:rFonts w:ascii="Times New Roman" w:hAnsi="Times New Roman" w:cs="Times New Roman"/>
                <w:color w:val="auto"/>
                <w:vertAlign w:val="superscript"/>
                <w:lang w:val="en-US" w:eastAsia="zh-CN"/>
              </w:rPr>
              <w:t>3</w:t>
            </w:r>
            <w:r>
              <w:rPr>
                <w:rFonts w:ascii="Times New Roman" w:hAnsi="Times New Roman" w:cs="Times New Roman"/>
                <w:color w:val="auto"/>
              </w:rPr>
              <w:t>。</w:t>
            </w:r>
            <w:r>
              <w:rPr>
                <w:rFonts w:ascii="Times New Roman" w:hAnsi="Times New Roman" w:cs="Times New Roman"/>
                <w:color w:val="auto"/>
                <w:sz w:val="24"/>
              </w:rPr>
              <w:t>根据《建设项目环境风险评价技术导则》（HJ169-2018）附录B，项目涉及突发环境事件风险物质及临界量见</w:t>
            </w:r>
            <w:r>
              <w:rPr>
                <w:rFonts w:ascii="Times New Roman" w:hAnsi="Times New Roman" w:cs="Times New Roman"/>
                <w:color w:val="auto"/>
                <w:sz w:val="24"/>
                <w:lang w:val="en-US" w:eastAsia="zh-CN"/>
              </w:rPr>
              <w:t>下</w:t>
            </w:r>
            <w:r>
              <w:rPr>
                <w:rFonts w:ascii="Times New Roman" w:hAnsi="Times New Roman" w:cs="Times New Roman"/>
                <w:color w:val="auto"/>
                <w:sz w:val="24"/>
              </w:rPr>
              <w:t>表</w:t>
            </w:r>
            <w:r>
              <w:rPr>
                <w:rFonts w:ascii="Times New Roman" w:hAnsi="Times New Roman" w:cs="Times New Roman"/>
                <w:color w:val="auto"/>
                <w:kern w:val="0"/>
                <w:sz w:val="24"/>
              </w:rPr>
              <w:t>。</w:t>
            </w:r>
          </w:p>
          <w:p>
            <w:pPr>
              <w:pStyle w:val="21"/>
              <w:autoSpaceDE w:val="0"/>
              <w:autoSpaceDN w:val="0"/>
              <w:adjustRightInd w:val="0"/>
              <w:snapToGrid w:val="0"/>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其数量及其临界量如下表所示。</w:t>
            </w:r>
          </w:p>
          <w:p>
            <w:pPr>
              <w:pStyle w:val="74"/>
              <w:spacing w:after="0" w:line="360" w:lineRule="auto"/>
              <w:ind w:firstLine="422" w:firstLineChars="200"/>
              <w:jc w:val="center"/>
              <w:rPr>
                <w:rFonts w:ascii="Times New Roman" w:hAnsi="Times New Roman" w:cs="Times New Roman"/>
                <w:b/>
                <w:bCs/>
                <w:color w:val="auto"/>
                <w:kern w:val="2"/>
                <w:sz w:val="21"/>
              </w:rPr>
            </w:pPr>
            <w:r>
              <w:rPr>
                <w:rFonts w:ascii="Times New Roman" w:hAnsi="Times New Roman" w:cs="Times New Roman"/>
                <w:b/>
                <w:bCs/>
                <w:color w:val="auto"/>
                <w:kern w:val="2"/>
                <w:sz w:val="21"/>
              </w:rPr>
              <w:t>表4-1</w:t>
            </w:r>
            <w:r>
              <w:rPr>
                <w:rFonts w:hint="eastAsia" w:ascii="Times New Roman" w:hAnsi="Times New Roman" w:cs="Times New Roman"/>
                <w:b/>
                <w:bCs/>
                <w:color w:val="auto"/>
                <w:kern w:val="2"/>
                <w:sz w:val="21"/>
                <w:lang w:val="en-US" w:eastAsia="zh-CN"/>
              </w:rPr>
              <w:t>4</w:t>
            </w:r>
            <w:r>
              <w:rPr>
                <w:rFonts w:ascii="Times New Roman" w:hAnsi="Times New Roman" w:cs="Times New Roman"/>
                <w:b/>
                <w:bCs/>
                <w:color w:val="auto"/>
                <w:kern w:val="2"/>
                <w:sz w:val="21"/>
              </w:rPr>
              <w:t xml:space="preserve">  环境风险物质数量及其临界量</w:t>
            </w:r>
          </w:p>
          <w:tbl>
            <w:tblPr>
              <w:tblStyle w:val="25"/>
              <w:tblW w:w="476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10"/>
              <w:gridCol w:w="1111"/>
              <w:gridCol w:w="1566"/>
              <w:gridCol w:w="1566"/>
              <w:gridCol w:w="1156"/>
              <w:gridCol w:w="1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66" w:type="dxa"/>
                  <w:gridSpan w:val="2"/>
                  <w:tcBorders>
                    <w:tl2br w:val="nil"/>
                    <w:tr2bl w:val="nil"/>
                  </w:tcBorders>
                  <w:vAlign w:val="center"/>
                </w:tcPr>
                <w:p>
                  <w:pPr>
                    <w:pStyle w:val="75"/>
                    <w:widowControl/>
                    <w:spacing w:line="240" w:lineRule="auto"/>
                    <w:ind w:firstLine="0" w:firstLineChars="0"/>
                    <w:jc w:val="center"/>
                    <w:rPr>
                      <w:rFonts w:ascii="Times New Roman" w:hAnsi="Times New Roman" w:cs="Times New Roman"/>
                      <w:b/>
                      <w:bCs/>
                      <w:color w:val="auto"/>
                      <w:szCs w:val="21"/>
                    </w:rPr>
                  </w:pPr>
                  <w:r>
                    <w:rPr>
                      <w:rFonts w:ascii="Times New Roman" w:hAnsi="Times New Roman" w:cs="Times New Roman"/>
                      <w:b/>
                      <w:bCs/>
                      <w:color w:val="auto"/>
                      <w:szCs w:val="21"/>
                    </w:rPr>
                    <w:t>名称</w:t>
                  </w:r>
                </w:p>
              </w:tc>
              <w:tc>
                <w:tcPr>
                  <w:tcW w:w="1669" w:type="dxa"/>
                  <w:tcBorders>
                    <w:tl2br w:val="nil"/>
                    <w:tr2bl w:val="nil"/>
                  </w:tcBorders>
                  <w:vAlign w:val="center"/>
                </w:tcPr>
                <w:p>
                  <w:pPr>
                    <w:pStyle w:val="75"/>
                    <w:widowControl/>
                    <w:spacing w:line="240" w:lineRule="auto"/>
                    <w:ind w:firstLine="0" w:firstLineChars="0"/>
                    <w:jc w:val="center"/>
                    <w:rPr>
                      <w:rFonts w:ascii="Times New Roman" w:hAnsi="Times New Roman" w:eastAsia="宋体" w:cs="Times New Roman"/>
                      <w:b/>
                      <w:bCs/>
                      <w:color w:val="auto"/>
                      <w:szCs w:val="21"/>
                      <w:lang w:val="en-US" w:eastAsia="zh-CN"/>
                    </w:rPr>
                  </w:pPr>
                  <w:r>
                    <w:rPr>
                      <w:rFonts w:ascii="Times New Roman" w:hAnsi="Times New Roman" w:cs="Times New Roman"/>
                      <w:b/>
                      <w:bCs/>
                      <w:color w:val="auto"/>
                      <w:szCs w:val="21"/>
                      <w:lang w:val="en-US" w:eastAsia="zh-CN"/>
                    </w:rPr>
                    <w:t>成分比例（%）</w:t>
                  </w:r>
                </w:p>
              </w:tc>
              <w:tc>
                <w:tcPr>
                  <w:tcW w:w="1669" w:type="dxa"/>
                  <w:tcBorders>
                    <w:tl2br w:val="nil"/>
                    <w:tr2bl w:val="nil"/>
                  </w:tcBorders>
                  <w:vAlign w:val="center"/>
                </w:tcPr>
                <w:p>
                  <w:pPr>
                    <w:pStyle w:val="75"/>
                    <w:widowControl/>
                    <w:spacing w:line="240" w:lineRule="auto"/>
                    <w:ind w:firstLine="0" w:firstLineChars="0"/>
                    <w:jc w:val="center"/>
                    <w:rPr>
                      <w:rFonts w:ascii="Times New Roman" w:hAnsi="Times New Roman" w:cs="Times New Roman"/>
                      <w:b/>
                      <w:bCs/>
                      <w:color w:val="auto"/>
                      <w:szCs w:val="21"/>
                    </w:rPr>
                  </w:pPr>
                  <w:r>
                    <w:rPr>
                      <w:rFonts w:ascii="Times New Roman" w:hAnsi="Times New Roman" w:cs="Times New Roman"/>
                      <w:b/>
                      <w:bCs/>
                      <w:color w:val="auto"/>
                      <w:szCs w:val="21"/>
                    </w:rPr>
                    <w:t>最大存在量（t）</w:t>
                  </w:r>
                </w:p>
              </w:tc>
              <w:tc>
                <w:tcPr>
                  <w:tcW w:w="1232" w:type="dxa"/>
                  <w:tcBorders>
                    <w:tl2br w:val="nil"/>
                    <w:tr2bl w:val="nil"/>
                  </w:tcBorders>
                  <w:vAlign w:val="center"/>
                </w:tcPr>
                <w:p>
                  <w:pPr>
                    <w:pStyle w:val="75"/>
                    <w:widowControl/>
                    <w:spacing w:line="240" w:lineRule="auto"/>
                    <w:ind w:firstLine="0" w:firstLineChars="0"/>
                    <w:jc w:val="center"/>
                    <w:rPr>
                      <w:rFonts w:ascii="Times New Roman" w:hAnsi="Times New Roman" w:cs="Times New Roman"/>
                      <w:b/>
                      <w:bCs/>
                      <w:color w:val="auto"/>
                      <w:szCs w:val="21"/>
                    </w:rPr>
                  </w:pPr>
                  <w:r>
                    <w:rPr>
                      <w:rFonts w:ascii="Times New Roman" w:hAnsi="Times New Roman" w:cs="Times New Roman"/>
                      <w:b/>
                      <w:bCs/>
                      <w:color w:val="auto"/>
                      <w:szCs w:val="21"/>
                    </w:rPr>
                    <w:t>临界量（t）</w:t>
                  </w:r>
                </w:p>
              </w:tc>
              <w:tc>
                <w:tcPr>
                  <w:tcW w:w="1142" w:type="dxa"/>
                  <w:tcBorders>
                    <w:tl2br w:val="nil"/>
                    <w:tr2bl w:val="nil"/>
                  </w:tcBorders>
                  <w:vAlign w:val="center"/>
                </w:tcPr>
                <w:p>
                  <w:pPr>
                    <w:pStyle w:val="75"/>
                    <w:widowControl/>
                    <w:spacing w:line="240" w:lineRule="auto"/>
                    <w:ind w:firstLine="0" w:firstLineChars="0"/>
                    <w:jc w:val="center"/>
                    <w:rPr>
                      <w:rFonts w:ascii="Times New Roman" w:hAnsi="Times New Roman" w:cs="Times New Roman"/>
                      <w:b/>
                      <w:bCs/>
                      <w:color w:val="auto"/>
                      <w:szCs w:val="21"/>
                    </w:rPr>
                  </w:pPr>
                  <w:r>
                    <w:rPr>
                      <w:rFonts w:ascii="Times New Roman" w:hAnsi="Times New Roman" w:cs="Times New Roman"/>
                      <w:b/>
                      <w:bCs/>
                      <w:color w:val="auto"/>
                      <w:szCs w:val="21"/>
                    </w:rPr>
                    <w:t>Q=q/Q</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2366" w:type="dxa"/>
                  <w:gridSpan w:val="2"/>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机油</w:t>
                  </w:r>
                </w:p>
              </w:tc>
              <w:tc>
                <w:tcPr>
                  <w:tcW w:w="1669"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100</w:t>
                  </w:r>
                </w:p>
              </w:tc>
              <w:tc>
                <w:tcPr>
                  <w:tcW w:w="1669" w:type="dxa"/>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0.05</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2500</w:t>
                  </w:r>
                </w:p>
              </w:tc>
              <w:tc>
                <w:tcPr>
                  <w:tcW w:w="1142" w:type="dxa"/>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0.00002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2366" w:type="dxa"/>
                  <w:gridSpan w:val="2"/>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柴油</w:t>
                  </w:r>
                </w:p>
              </w:tc>
              <w:tc>
                <w:tcPr>
                  <w:tcW w:w="1669"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100</w:t>
                  </w:r>
                </w:p>
              </w:tc>
              <w:tc>
                <w:tcPr>
                  <w:tcW w:w="1669" w:type="dxa"/>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0.2</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2500</w:t>
                  </w:r>
                </w:p>
              </w:tc>
              <w:tc>
                <w:tcPr>
                  <w:tcW w:w="1142" w:type="dxa"/>
                  <w:tcBorders>
                    <w:tl2br w:val="nil"/>
                    <w:tr2bl w:val="nil"/>
                  </w:tcBorders>
                  <w:vAlign w:val="center"/>
                </w:tcPr>
                <w:p>
                  <w:pPr>
                    <w:pStyle w:val="75"/>
                    <w:widowControl/>
                    <w:wordWrap/>
                    <w:spacing w:line="240" w:lineRule="auto"/>
                    <w:ind w:firstLine="0" w:firstLineChars="0"/>
                    <w:jc w:val="center"/>
                    <w:rPr>
                      <w:rFonts w:ascii="Times New Roman" w:hAnsi="Times New Roman" w:cs="Times New Roman"/>
                      <w:color w:val="auto"/>
                      <w:szCs w:val="21"/>
                    </w:rPr>
                  </w:pPr>
                  <w:r>
                    <w:rPr>
                      <w:rFonts w:ascii="Times New Roman" w:hAnsi="Times New Roman" w:cs="Times New Roman"/>
                      <w:color w:val="auto"/>
                      <w:szCs w:val="21"/>
                    </w:rPr>
                    <w:t>0.00008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82" w:type="dxa"/>
                  <w:vMerge w:val="restart"/>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eastAsia="zh-CN"/>
                    </w:rPr>
                  </w:pPr>
                  <w:r>
                    <w:rPr>
                      <w:rFonts w:ascii="Times New Roman" w:hAnsi="Times New Roman" w:cs="Times New Roman"/>
                      <w:color w:val="auto"/>
                      <w:szCs w:val="21"/>
                    </w:rPr>
                    <w:t>生物质</w:t>
                  </w:r>
                  <w:r>
                    <w:rPr>
                      <w:rFonts w:ascii="Times New Roman" w:hAnsi="Times New Roman" w:cs="Times New Roman"/>
                      <w:color w:val="auto"/>
                      <w:szCs w:val="21"/>
                      <w:lang w:val="en-US" w:eastAsia="zh-CN"/>
                    </w:rPr>
                    <w:t>气</w:t>
                  </w:r>
                  <w:r>
                    <w:rPr>
                      <w:rFonts w:ascii="Times New Roman" w:hAnsi="Times New Roman" w:cs="Times New Roman"/>
                      <w:color w:val="auto"/>
                      <w:szCs w:val="21"/>
                    </w:rPr>
                    <w:t>化燃气</w:t>
                  </w:r>
                  <w:r>
                    <w:rPr>
                      <w:rFonts w:ascii="Times New Roman" w:hAnsi="Times New Roman" w:cs="Times New Roman"/>
                      <w:color w:val="auto"/>
                      <w:szCs w:val="21"/>
                      <w:lang w:eastAsia="zh-CN"/>
                    </w:rPr>
                    <w:t>（</w:t>
                  </w:r>
                  <w:r>
                    <w:rPr>
                      <w:rFonts w:ascii="Times New Roman" w:hAnsi="Times New Roman" w:cs="Times New Roman"/>
                      <w:color w:val="auto"/>
                      <w:szCs w:val="21"/>
                      <w:lang w:val="en-US" w:eastAsia="zh-CN"/>
                    </w:rPr>
                    <w:t>最大存量为1.6kg</w:t>
                  </w:r>
                  <w:r>
                    <w:rPr>
                      <w:rFonts w:ascii="Times New Roman" w:hAnsi="Times New Roman" w:cs="Times New Roman"/>
                      <w:color w:val="auto"/>
                      <w:szCs w:val="21"/>
                      <w:lang w:eastAsia="zh-CN"/>
                    </w:rPr>
                    <w:t>）</w:t>
                  </w: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rPr>
                  </w:pPr>
                  <w:r>
                    <w:rPr>
                      <w:rFonts w:hint="eastAsia"/>
                      <w:color w:val="auto"/>
                    </w:rPr>
                    <w:t>一氧化碳</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rPr>
                  </w:pPr>
                  <w:r>
                    <w:rPr>
                      <w:rFonts w:hint="eastAsia"/>
                      <w:color w:val="auto"/>
                    </w:rPr>
                    <w:t>22.66</w:t>
                  </w:r>
                </w:p>
              </w:tc>
              <w:tc>
                <w:tcPr>
                  <w:tcW w:w="1669" w:type="dxa"/>
                  <w:tcBorders>
                    <w:tl2br w:val="nil"/>
                    <w:tr2bl w:val="nil"/>
                  </w:tcBorders>
                  <w:vAlign w:val="center"/>
                </w:tcPr>
                <w:p>
                  <w:pPr>
                    <w:widowControl/>
                    <w:wordWrap/>
                    <w:spacing w:line="240" w:lineRule="auto"/>
                    <w:ind w:firstLine="0"/>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4.25</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4</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7.5</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rPr>
                  </w:pPr>
                  <w:r>
                    <w:rPr>
                      <w:rFonts w:ascii="Times New Roman" w:hAnsi="Times New Roman" w:eastAsia="宋体" w:cs="Times New Roman"/>
                      <w:i w:val="0"/>
                      <w:iCs w:val="0"/>
                      <w:color w:val="auto"/>
                      <w:kern w:val="0"/>
                      <w:sz w:val="21"/>
                      <w:szCs w:val="21"/>
                      <w:u w:val="none"/>
                      <w:lang w:val="en-US" w:eastAsia="zh-CN"/>
                    </w:rPr>
                    <w:t>5.</w:t>
                  </w:r>
                  <w:r>
                    <w:rPr>
                      <w:rFonts w:ascii="Times New Roman" w:hAnsi="Times New Roman" w:cs="Times New Roman"/>
                      <w:i w:val="0"/>
                      <w:iCs w:val="0"/>
                      <w:color w:val="auto"/>
                      <w:kern w:val="0"/>
                      <w:sz w:val="21"/>
                      <w:szCs w:val="21"/>
                      <w:u w:val="none"/>
                      <w:lang w:val="en-US" w:eastAsia="zh-CN"/>
                    </w:rPr>
                    <w:t>7</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Cs w:val="21"/>
                      <w:lang w:val="en-US" w:eastAsia="zh-CN"/>
                    </w:rPr>
                  </w:pPr>
                  <w:r>
                    <w:rPr>
                      <w:rFonts w:hint="eastAsia"/>
                      <w:color w:val="auto"/>
                    </w:rPr>
                    <w:t>氢气</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lang w:val="en-US"/>
                    </w:rPr>
                  </w:pPr>
                  <w:r>
                    <w:rPr>
                      <w:rFonts w:hint="eastAsia"/>
                      <w:color w:val="auto"/>
                    </w:rPr>
                    <w:t>16.90</w:t>
                  </w:r>
                </w:p>
              </w:tc>
              <w:tc>
                <w:tcPr>
                  <w:tcW w:w="166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2.28</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5</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10</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rPr>
                  </w:pPr>
                  <w:r>
                    <w:rPr>
                      <w:rFonts w:ascii="Times New Roman" w:hAnsi="Times New Roman" w:eastAsia="宋体" w:cs="Times New Roman"/>
                      <w:i w:val="0"/>
                      <w:iCs w:val="0"/>
                      <w:color w:val="auto"/>
                      <w:kern w:val="0"/>
                      <w:sz w:val="21"/>
                      <w:szCs w:val="21"/>
                      <w:u w:val="none"/>
                      <w:lang w:val="en-US" w:eastAsia="zh-CN"/>
                    </w:rPr>
                    <w:t>2.2</w:t>
                  </w:r>
                  <w:r>
                    <w:rPr>
                      <w:rFonts w:hint="eastAsia" w:ascii="Times New Roman" w:hAnsi="Times New Roman" w:cs="Times New Roman"/>
                      <w:i w:val="0"/>
                      <w:iCs w:val="0"/>
                      <w:color w:val="auto"/>
                      <w:kern w:val="0"/>
                      <w:sz w:val="21"/>
                      <w:szCs w:val="21"/>
                      <w:u w:val="none"/>
                      <w:lang w:val="en-US" w:eastAsia="zh-CN"/>
                    </w:rPr>
                    <w:t>8</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olor w:val="auto"/>
                    </w:rPr>
                    <w:t>甲烷</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2.95</w:t>
                  </w:r>
                </w:p>
              </w:tc>
              <w:tc>
                <w:tcPr>
                  <w:tcW w:w="1669"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1.8</w:t>
                  </w:r>
                  <w:r>
                    <w:rPr>
                      <w:rFonts w:hint="eastAsia" w:ascii="Times New Roman" w:hAnsi="Times New Roman" w:cs="Times New Roman"/>
                      <w:i w:val="0"/>
                      <w:iCs w:val="0"/>
                      <w:color w:val="auto"/>
                      <w:kern w:val="0"/>
                      <w:sz w:val="21"/>
                      <w:szCs w:val="21"/>
                      <w:u w:val="none"/>
                      <w:lang w:val="en-US" w:eastAsia="zh-CN"/>
                    </w:rPr>
                    <w:t>6</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5</w:t>
                  </w:r>
                </w:p>
              </w:tc>
              <w:tc>
                <w:tcPr>
                  <w:tcW w:w="1232" w:type="dxa"/>
                  <w:tcBorders>
                    <w:tl2br w:val="nil"/>
                    <w:tr2bl w:val="nil"/>
                  </w:tcBorders>
                  <w:vAlign w:val="center"/>
                </w:tcPr>
                <w:p>
                  <w:pPr>
                    <w:widowControl/>
                    <w:wordWrap/>
                    <w:spacing w:line="240" w:lineRule="auto"/>
                    <w:ind w:firstLine="0"/>
                    <w:jc w:val="center"/>
                    <w:rPr>
                      <w:rFonts w:ascii="Times New Roman" w:hAnsi="Times New Roman" w:cs="Times New Roman"/>
                      <w:color w:val="auto"/>
                      <w:szCs w:val="21"/>
                      <w:lang w:val="en-US" w:eastAsia="zh-CN"/>
                    </w:rPr>
                  </w:pPr>
                  <w:r>
                    <w:rPr>
                      <w:rFonts w:ascii="Times New Roman" w:hAnsi="Times New Roman" w:cs="Times New Roman"/>
                      <w:color w:val="auto"/>
                      <w:szCs w:val="21"/>
                      <w:lang w:val="en-US" w:eastAsia="zh-CN"/>
                    </w:rPr>
                    <w:t>10</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1.8</w:t>
                  </w:r>
                  <w:r>
                    <w:rPr>
                      <w:rFonts w:hint="eastAsia" w:ascii="Times New Roman" w:hAnsi="Times New Roman" w:cs="Times New Roman"/>
                      <w:i w:val="0"/>
                      <w:iCs w:val="0"/>
                      <w:color w:val="auto"/>
                      <w:kern w:val="0"/>
                      <w:sz w:val="21"/>
                      <w:szCs w:val="21"/>
                      <w:u w:val="none"/>
                      <w:lang w:val="en-US" w:eastAsia="zh-CN"/>
                    </w:rPr>
                    <w:t>6</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olor w:val="auto"/>
                    </w:rPr>
                    <w:t>乙烷</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0.20</w:t>
                  </w:r>
                </w:p>
              </w:tc>
              <w:tc>
                <w:tcPr>
                  <w:tcW w:w="1669"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4</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6</w:t>
                  </w:r>
                </w:p>
              </w:tc>
              <w:tc>
                <w:tcPr>
                  <w:tcW w:w="1232" w:type="dxa"/>
                  <w:tcBorders>
                    <w:tl2br w:val="nil"/>
                    <w:tr2bl w:val="nil"/>
                  </w:tcBorders>
                  <w:vAlign w:val="center"/>
                </w:tcPr>
                <w:p>
                  <w:pPr>
                    <w:widowControl/>
                    <w:wordWrap/>
                    <w:spacing w:line="240" w:lineRule="auto"/>
                    <w:ind w:firstLine="0"/>
                    <w:jc w:val="center"/>
                    <w:rPr>
                      <w:rFonts w:ascii="Times New Roman" w:hAnsi="Times New Roman" w:cs="Times New Roman"/>
                      <w:color w:val="auto"/>
                      <w:szCs w:val="21"/>
                      <w:lang w:val="en-US" w:eastAsia="zh-CN"/>
                    </w:rPr>
                  </w:pPr>
                  <w:r>
                    <w:rPr>
                      <w:rFonts w:ascii="Times New Roman" w:hAnsi="Times New Roman" w:cs="Times New Roman"/>
                      <w:color w:val="auto"/>
                      <w:szCs w:val="21"/>
                      <w:lang w:val="en-US" w:eastAsia="zh-CN"/>
                    </w:rPr>
                    <w:t>10</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4.0</w:t>
                  </w:r>
                  <w:r>
                    <w:rPr>
                      <w:rFonts w:hint="eastAsia" w:ascii="Times New Roman" w:hAnsi="Times New Roman" w:cs="Times New Roman"/>
                      <w:i w:val="0"/>
                      <w:iCs w:val="0"/>
                      <w:color w:val="auto"/>
                      <w:kern w:val="0"/>
                      <w:sz w:val="21"/>
                      <w:szCs w:val="21"/>
                      <w:u w:val="none"/>
                      <w:lang w:val="en-US" w:eastAsia="zh-CN"/>
                    </w:rPr>
                    <w:t>7</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olor w:val="auto"/>
                    </w:rPr>
                    <w:t>乙烯</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0.10</w:t>
                  </w:r>
                </w:p>
              </w:tc>
              <w:tc>
                <w:tcPr>
                  <w:tcW w:w="1669"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1.875</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9</w:t>
                  </w:r>
                </w:p>
              </w:tc>
              <w:tc>
                <w:tcPr>
                  <w:tcW w:w="1232" w:type="dxa"/>
                  <w:tcBorders>
                    <w:tl2br w:val="nil"/>
                    <w:tr2bl w:val="nil"/>
                  </w:tcBorders>
                  <w:vAlign w:val="center"/>
                </w:tcPr>
                <w:p>
                  <w:pPr>
                    <w:widowControl/>
                    <w:wordWrap/>
                    <w:spacing w:line="240" w:lineRule="auto"/>
                    <w:ind w:firstLine="0"/>
                    <w:jc w:val="center"/>
                    <w:rPr>
                      <w:rFonts w:ascii="Times New Roman" w:hAnsi="Times New Roman" w:cs="Times New Roman"/>
                      <w:color w:val="auto"/>
                      <w:szCs w:val="21"/>
                      <w:lang w:val="en-US" w:eastAsia="zh-CN"/>
                    </w:rPr>
                  </w:pPr>
                  <w:r>
                    <w:rPr>
                      <w:rFonts w:ascii="Times New Roman" w:hAnsi="Times New Roman" w:cs="Times New Roman"/>
                      <w:color w:val="auto"/>
                      <w:szCs w:val="21"/>
                      <w:lang w:val="en-US" w:eastAsia="zh-CN"/>
                    </w:rPr>
                    <w:t>10</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rPr>
                    <w:t>1.88</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2"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rPr>
                  </w:pPr>
                  <w:r>
                    <w:rPr>
                      <w:rFonts w:hint="eastAsia"/>
                      <w:color w:val="auto"/>
                    </w:rPr>
                    <w:t>丙烷</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Cs w:val="21"/>
                    </w:rPr>
                  </w:pPr>
                  <w:r>
                    <w:rPr>
                      <w:rFonts w:hint="eastAsia"/>
                      <w:color w:val="auto"/>
                    </w:rPr>
                    <w:t>0.04</w:t>
                  </w:r>
                </w:p>
              </w:tc>
              <w:tc>
                <w:tcPr>
                  <w:tcW w:w="166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1.098</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6</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10</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rPr>
                    <w:t>1.1</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丙烯</w:t>
                  </w:r>
                </w:p>
              </w:tc>
              <w:tc>
                <w:tcPr>
                  <w:tcW w:w="1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auto"/>
                      <w:sz w:val="21"/>
                      <w:szCs w:val="21"/>
                      <w:vertAlign w:val="baseline"/>
                      <w:lang w:val="en-US" w:eastAsia="zh-CN"/>
                    </w:rPr>
                  </w:pPr>
                  <w:r>
                    <w:rPr>
                      <w:rFonts w:hint="eastAsia"/>
                      <w:color w:val="auto"/>
                    </w:rPr>
                    <w:t>0.06</w:t>
                  </w:r>
                </w:p>
              </w:tc>
              <w:tc>
                <w:tcPr>
                  <w:tcW w:w="166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1.72</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6</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1142"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 w:val="21"/>
                      <w:szCs w:val="21"/>
                      <w:lang w:val="en-US" w:eastAsia="zh-CN"/>
                    </w:rPr>
                  </w:pPr>
                  <w:r>
                    <w:rPr>
                      <w:rFonts w:ascii="Times New Roman" w:hAnsi="Times New Roman" w:eastAsia="宋体" w:cs="Times New Roman"/>
                      <w:i w:val="0"/>
                      <w:iCs w:val="0"/>
                      <w:color w:val="auto"/>
                      <w:kern w:val="0"/>
                      <w:sz w:val="21"/>
                      <w:szCs w:val="21"/>
                      <w:u w:val="none"/>
                      <w:lang w:val="en-US" w:eastAsia="zh-CN"/>
                    </w:rPr>
                    <w:t>1.72</w:t>
                  </w:r>
                  <w:r>
                    <w:rPr>
                      <w:rFonts w:ascii="Times New Roman" w:hAnsi="Times New Roman" w:cs="Times New Roman"/>
                      <w:color w:val="auto"/>
                      <w:szCs w:val="21"/>
                      <w:lang w:val="en-US" w:eastAsia="zh-CN"/>
                    </w:rPr>
                    <w:t>×10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1182" w:type="dxa"/>
                  <w:vMerge w:val="continue"/>
                  <w:tcBorders>
                    <w:tl2br w:val="nil"/>
                    <w:tr2bl w:val="nil"/>
                  </w:tcBorders>
                  <w:vAlign w:val="center"/>
                </w:tcPr>
                <w:p/>
              </w:tc>
              <w:tc>
                <w:tcPr>
                  <w:tcW w:w="1184"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硫化氢</w:t>
                  </w:r>
                </w:p>
              </w:tc>
              <w:tc>
                <w:tcPr>
                  <w:tcW w:w="1669"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0.29</w:t>
                  </w:r>
                  <w:r>
                    <w:rPr>
                      <w:rFonts w:ascii="Times New Roman" w:hAnsi="Times New Roman" w:cs="Times New Roman"/>
                      <w:color w:val="auto"/>
                      <w:szCs w:val="21"/>
                      <w:lang w:val="en-US" w:eastAsia="zh-CN"/>
                    </w:rPr>
                    <w:t>（</w:t>
                  </w:r>
                  <w:r>
                    <w:rPr>
                      <w:rFonts w:ascii="Times New Roman" w:hAnsi="Times New Roman" w:cs="Times New Roman"/>
                      <w:color w:val="auto"/>
                      <w:sz w:val="21"/>
                      <w:szCs w:val="21"/>
                      <w:lang w:val="en-US" w:eastAsia="zh-CN"/>
                    </w:rPr>
                    <w:t>mg/m</w:t>
                  </w:r>
                  <w:r>
                    <w:rPr>
                      <w:rFonts w:ascii="Times New Roman" w:hAnsi="Times New Roman" w:cs="Times New Roman"/>
                      <w:color w:val="auto"/>
                      <w:sz w:val="21"/>
                      <w:szCs w:val="21"/>
                      <w:vertAlign w:val="superscript"/>
                      <w:lang w:val="en-US" w:eastAsia="zh-CN"/>
                    </w:rPr>
                    <w:t>3</w:t>
                  </w:r>
                  <w:r>
                    <w:rPr>
                      <w:rFonts w:ascii="Times New Roman" w:hAnsi="Times New Roman" w:cs="Times New Roman"/>
                      <w:color w:val="auto"/>
                      <w:szCs w:val="21"/>
                      <w:lang w:val="en-US" w:eastAsia="zh-CN"/>
                    </w:rPr>
                    <w:t>）</w:t>
                  </w:r>
                </w:p>
              </w:tc>
              <w:tc>
                <w:tcPr>
                  <w:tcW w:w="1669"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vertAlign w:val="superscript"/>
                      <w:lang w:val="en-US" w:eastAsia="zh-CN"/>
                    </w:rPr>
                  </w:pPr>
                  <w:r>
                    <w:rPr>
                      <w:rFonts w:hint="eastAsia" w:cs="Times New Roman"/>
                      <w:color w:val="auto"/>
                      <w:szCs w:val="21"/>
                      <w:lang w:val="en-US" w:eastAsia="zh-CN"/>
                    </w:rPr>
                    <w:t>4.3</w:t>
                  </w:r>
                  <w:r>
                    <w:rPr>
                      <w:rFonts w:ascii="Times New Roman" w:hAnsi="Times New Roman" w:cs="Times New Roman"/>
                      <w:color w:val="auto"/>
                      <w:szCs w:val="21"/>
                      <w:lang w:val="en-US" w:eastAsia="zh-CN"/>
                    </w:rPr>
                    <w:t>5×10</w:t>
                  </w:r>
                  <w:r>
                    <w:rPr>
                      <w:rFonts w:ascii="Times New Roman" w:hAnsi="Times New Roman" w:cs="Times New Roman"/>
                      <w:color w:val="auto"/>
                      <w:szCs w:val="21"/>
                      <w:vertAlign w:val="superscript"/>
                      <w:lang w:val="en-US" w:eastAsia="zh-CN"/>
                    </w:rPr>
                    <w:t>-</w:t>
                  </w:r>
                  <w:r>
                    <w:rPr>
                      <w:rFonts w:hint="eastAsia" w:cs="Times New Roman"/>
                      <w:color w:val="auto"/>
                      <w:szCs w:val="21"/>
                      <w:vertAlign w:val="superscript"/>
                      <w:lang w:val="en-US" w:eastAsia="zh-CN"/>
                    </w:rPr>
                    <w:t>11</w:t>
                  </w:r>
                </w:p>
              </w:tc>
              <w:tc>
                <w:tcPr>
                  <w:tcW w:w="1232"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2.5</w:t>
                  </w:r>
                </w:p>
              </w:tc>
              <w:tc>
                <w:tcPr>
                  <w:tcW w:w="1142" w:type="dxa"/>
                  <w:tcBorders>
                    <w:tl2br w:val="nil"/>
                    <w:tr2bl w:val="nil"/>
                  </w:tcBorders>
                  <w:vAlign w:val="center"/>
                </w:tcPr>
                <w:p>
                  <w:pPr>
                    <w:pStyle w:val="75"/>
                    <w:widowControl/>
                    <w:wordWrap/>
                    <w:spacing w:line="240" w:lineRule="auto"/>
                    <w:ind w:firstLine="0" w:firstLineChars="0"/>
                    <w:jc w:val="center"/>
                    <w:rPr>
                      <w:rFonts w:ascii="Times New Roman" w:hAnsi="Times New Roman" w:eastAsia="宋体" w:cs="Times New Roman"/>
                      <w:color w:val="auto"/>
                      <w:szCs w:val="21"/>
                      <w:lang w:val="en-US" w:eastAsia="zh-CN"/>
                    </w:rPr>
                  </w:pPr>
                  <w:r>
                    <w:rPr>
                      <w:rFonts w:ascii="Times New Roman" w:hAnsi="Times New Roman" w:cs="Times New Roman"/>
                      <w:color w:val="auto"/>
                      <w:szCs w:val="21"/>
                      <w:lang w:val="en-US" w:eastAsia="zh-CN"/>
                    </w:rPr>
                    <w:t>1.74×10</w:t>
                  </w:r>
                  <w:r>
                    <w:rPr>
                      <w:rFonts w:ascii="Times New Roman" w:hAnsi="Times New Roman" w:cs="Times New Roman"/>
                      <w:color w:val="auto"/>
                      <w:szCs w:val="21"/>
                      <w:vertAlign w:val="superscript"/>
                      <w:lang w:val="en-US" w:eastAsia="zh-CN"/>
                    </w:rPr>
                    <w:t>-11</w:t>
                  </w:r>
                </w:p>
              </w:tc>
            </w:tr>
          </w:tbl>
          <w:p>
            <w:pPr>
              <w:autoSpaceDE w:val="0"/>
              <w:autoSpaceDN w:val="0"/>
              <w:adjustRightInd w:val="0"/>
              <w:spacing w:line="360" w:lineRule="auto"/>
              <w:ind w:firstLine="480" w:firstLineChars="200"/>
              <w:jc w:val="left"/>
              <w:rPr>
                <w:rFonts w:ascii="Times New Roman" w:hAnsi="Times New Roman" w:cs="Times New Roman"/>
                <w:color w:val="auto"/>
                <w:kern w:val="0"/>
                <w:sz w:val="24"/>
                <w:szCs w:val="20"/>
              </w:rPr>
            </w:pPr>
            <w:r>
              <w:rPr>
                <w:rFonts w:hint="eastAsia" w:cs="Times New Roman"/>
                <w:color w:val="auto"/>
                <w:kern w:val="0"/>
                <w:sz w:val="24"/>
                <w:szCs w:val="20"/>
                <w:lang w:val="en-US" w:eastAsia="zh-CN"/>
              </w:rPr>
              <w:t>由上表可知，本项目Q值为1.615</w:t>
            </w:r>
            <w:r>
              <w:rPr>
                <w:rFonts w:ascii="Times New Roman" w:hAnsi="Times New Roman" w:cs="Times New Roman"/>
                <w:color w:val="auto"/>
                <w:sz w:val="24"/>
                <w:szCs w:val="24"/>
                <w:lang w:val="en-US" w:eastAsia="zh-CN"/>
              </w:rPr>
              <w:t>×10</w:t>
            </w:r>
            <w:r>
              <w:rPr>
                <w:rFonts w:ascii="Times New Roman" w:hAnsi="Times New Roman" w:cs="Times New Roman"/>
                <w:color w:val="auto"/>
                <w:sz w:val="24"/>
                <w:szCs w:val="24"/>
                <w:vertAlign w:val="superscript"/>
                <w:lang w:val="en-US" w:eastAsia="zh-CN"/>
              </w:rPr>
              <w:t>-</w:t>
            </w:r>
            <w:r>
              <w:rPr>
                <w:rFonts w:hint="eastAsia" w:cs="Times New Roman"/>
                <w:color w:val="auto"/>
                <w:sz w:val="24"/>
                <w:szCs w:val="24"/>
                <w:vertAlign w:val="superscript"/>
                <w:lang w:val="en-US" w:eastAsia="zh-CN"/>
              </w:rPr>
              <w:t>4</w:t>
            </w:r>
            <w:r>
              <w:rPr>
                <w:rFonts w:hint="eastAsia" w:cs="Times New Roman"/>
                <w:color w:val="auto"/>
                <w:sz w:val="24"/>
                <w:szCs w:val="24"/>
                <w:vertAlign w:val="baseline"/>
                <w:lang w:val="en-US" w:eastAsia="zh-CN"/>
              </w:rPr>
              <w:t>，</w:t>
            </w:r>
            <w:r>
              <w:rPr>
                <w:rFonts w:ascii="Times New Roman" w:hAnsi="Times New Roman" w:cs="Times New Roman"/>
                <w:color w:val="auto"/>
                <w:kern w:val="0"/>
                <w:sz w:val="24"/>
                <w:szCs w:val="20"/>
              </w:rPr>
              <w:t>本项目涉及到的风险物质Q≤1，</w:t>
            </w:r>
            <w:r>
              <w:rPr>
                <w:rFonts w:ascii="Times New Roman" w:hAnsi="Times New Roman" w:cs="Times New Roman"/>
                <w:b/>
                <w:bCs/>
                <w:color w:val="auto"/>
                <w:kern w:val="0"/>
                <w:sz w:val="24"/>
                <w:szCs w:val="20"/>
              </w:rPr>
              <w:t>该项目环境风险潜势为Ⅰ。</w:t>
            </w:r>
          </w:p>
          <w:p>
            <w:pPr>
              <w:spacing w:line="360" w:lineRule="auto"/>
              <w:ind w:firstLine="422" w:firstLineChars="200"/>
              <w:rPr>
                <w:rFonts w:ascii="Times New Roman" w:hAnsi="Times New Roman" w:cs="Times New Roman"/>
                <w:b/>
                <w:bCs/>
                <w:color w:val="auto"/>
                <w:sz w:val="24"/>
              </w:rPr>
            </w:pPr>
            <w:r>
              <w:rPr>
                <w:rFonts w:ascii="Times New Roman" w:hAnsi="Times New Roman" w:cs="Times New Roman"/>
                <w:b/>
                <w:bCs/>
                <w:color w:val="auto"/>
              </w:rPr>
              <w:t>3、</w:t>
            </w:r>
            <w:r>
              <w:rPr>
                <w:rFonts w:ascii="Times New Roman" w:hAnsi="Times New Roman" w:cs="Times New Roman"/>
                <w:b/>
                <w:bCs/>
                <w:color w:val="auto"/>
                <w:sz w:val="24"/>
              </w:rPr>
              <w:t>环境风险分析及环境危害后果分析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根据项目性质，主要可能发生的环境风险为泄漏、火灾和爆炸。</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A、气化炉中空气混合不好，或气化中火层控制不好，形成风洞或温度过高造成结焦，可能使炉内产生的燃气中氧气含量过高，在燃气管道中发生爆炸事故；在出现意外停车，燃气倒入空气系统，在开空气风机时发生火灾、爆炸事故。</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B、气化炉系统的动、静密封点损坏，燃气管道膨胀节损坏及管道腐蚀、燃气增压风机在运行过程中可能造成机械密封破坏，管道法兰垫子老化或损坏等，造成燃气泄漏到空间中达到爆炸极限浓度范围，遇点火源发生燃烧或爆炸。</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C、气化炉的水封、切断水封及燃气处理设备的水封有可能因断水或水封桶损坏，造成水封高度不够，燃气冲破水封从而导致燃气泄漏，遇明火发生火灾爆炸。</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D、净化处理过程中，在净化输送工序中，设备、管道出现破裂或因操作失误，会发生燃气外泄或吸入空气，容易形成爆炸性混合物的危险。</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E、燃气的输配过程，燃气管道受腐蚀或意外破裂，导致燃气管道发生泄漏，遇明火发生火灾爆炸。</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lang w:val="en-US" w:eastAsia="zh-CN"/>
              </w:rPr>
              <w:t>F、</w:t>
            </w:r>
            <w:r>
              <w:rPr>
                <w:rFonts w:ascii="Times New Roman" w:hAnsi="Times New Roman" w:cs="Times New Roman"/>
                <w:color w:val="auto"/>
                <w:sz w:val="24"/>
              </w:rPr>
              <w:t>生物质气化燃气在生产、配输过程中因操作不当可能会发生泄漏及火灾爆炸事故，其在泄漏及火灾爆炸事故产生的二次污染物主要为CO、CO</w:t>
            </w:r>
            <w:r>
              <w:rPr>
                <w:rFonts w:ascii="Times New Roman" w:hAnsi="Times New Roman" w:cs="Times New Roman"/>
                <w:color w:val="auto"/>
                <w:sz w:val="24"/>
                <w:vertAlign w:val="subscript"/>
              </w:rPr>
              <w:t>2</w:t>
            </w:r>
            <w:r>
              <w:rPr>
                <w:rFonts w:ascii="Times New Roman" w:hAnsi="Times New Roman" w:cs="Times New Roman"/>
                <w:color w:val="auto"/>
                <w:sz w:val="24"/>
              </w:rPr>
              <w:t>及消防废水。</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lang w:val="en-US" w:eastAsia="zh-CN"/>
              </w:rPr>
              <w:t>G、</w:t>
            </w:r>
            <w:r>
              <w:rPr>
                <w:rFonts w:ascii="Times New Roman" w:hAnsi="Times New Roman" w:cs="Times New Roman"/>
                <w:color w:val="auto"/>
                <w:sz w:val="24"/>
              </w:rPr>
              <w:t>项目危废暂存间以及油品泄漏可能引起地下水及土壤污染，一旦发生火灾爆炸事故时，其燃烧爆炸产生的有害物质在不利风向时，周边的企业及员工、风险范围内的社会关注点等均会受到不同程度的影响。火灾爆炸事故后产生的污染物质会影响周边环境甚至危害人体健康。</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lang w:val="en-US" w:eastAsia="zh-CN"/>
              </w:rPr>
              <w:t>H、</w:t>
            </w:r>
            <w:r>
              <w:rPr>
                <w:rFonts w:ascii="Times New Roman" w:hAnsi="Times New Roman" w:cs="Times New Roman"/>
                <w:color w:val="auto"/>
                <w:sz w:val="24"/>
              </w:rPr>
              <w:t>风险物质如油品在运输、储存、转运和使用过程中发生泄漏、撒漏。一旦机油、柴油泄漏会造成土壤或地下水污染。</w:t>
            </w:r>
          </w:p>
          <w:p>
            <w:pPr>
              <w:spacing w:line="360" w:lineRule="auto"/>
              <w:ind w:firstLine="420"/>
              <w:rPr>
                <w:rFonts w:ascii="Times New Roman" w:hAnsi="Times New Roman" w:cs="Times New Roman"/>
                <w:b/>
                <w:color w:val="auto"/>
                <w:sz w:val="24"/>
              </w:rPr>
            </w:pPr>
            <w:r>
              <w:rPr>
                <w:rFonts w:ascii="Times New Roman" w:hAnsi="Times New Roman" w:cs="Times New Roman"/>
                <w:b/>
                <w:color w:val="auto"/>
                <w:sz w:val="24"/>
              </w:rPr>
              <w:t>4、环境风险防范措施</w:t>
            </w:r>
          </w:p>
          <w:p>
            <w:pPr>
              <w:spacing w:line="360" w:lineRule="auto"/>
              <w:ind w:firstLine="420"/>
              <w:rPr>
                <w:rFonts w:ascii="Times New Roman" w:hAnsi="Times New Roman" w:cs="Times New Roman"/>
                <w:b/>
                <w:color w:val="auto"/>
                <w:sz w:val="24"/>
              </w:rPr>
            </w:pPr>
            <w:r>
              <w:rPr>
                <w:rFonts w:ascii="Times New Roman" w:hAnsi="Times New Roman" w:cs="Times New Roman"/>
                <w:b/>
                <w:color w:val="auto"/>
                <w:sz w:val="24"/>
              </w:rPr>
              <w:t xml:space="preserve">（1）火灾防范措施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 xml:space="preserve">设立专门的环境管理机构，制定日常管理措施、消防措施和应急预案。对工作人员进行火灾事态时的报警培训，已成立环境风险事故应急救援领导小组和应急救援专业队伍。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 xml:space="preserve">加强厂区消防设施的日常管理，确保事故时消防设施能够正常使用，针对厂房等可能出现的火灾事故三个月进行一次消防演练。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 xml:space="preserve">严格明火管理。严格按照《中华人民共和国爆炸危险场所安全规程》和现行有关标准、规程及要求执行。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消防器材设置在明显和便于取用的地点，周围未堆放物品和杂物。消防设施、器材，由专人管理，负责检查、维修、保养、更换和添置，保证完好有效，严禁圈占、埋压和挪用。配备消防器材（如干粉灭火器等）和消防设施；</w:t>
            </w:r>
            <w:r>
              <w:rPr>
                <w:rFonts w:hint="eastAsia" w:cs="Times New Roman"/>
                <w:color w:val="auto"/>
                <w:sz w:val="24"/>
                <w:lang w:eastAsia="zh-CN"/>
              </w:rPr>
              <w:t>标识</w:t>
            </w:r>
            <w:r>
              <w:rPr>
                <w:rFonts w:ascii="Times New Roman" w:hAnsi="Times New Roman" w:cs="Times New Roman"/>
                <w:color w:val="auto"/>
                <w:sz w:val="24"/>
              </w:rPr>
              <w:t xml:space="preserve">明确，使用方便。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 xml:space="preserve">出现火灾时应及时将可燃物品搬离，远离火源。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项目内</w:t>
            </w:r>
            <w:bookmarkStart w:id="11" w:name="_Hlk87825459"/>
            <w:r>
              <w:rPr>
                <w:rFonts w:ascii="Times New Roman" w:hAnsi="Times New Roman" w:cs="Times New Roman"/>
                <w:color w:val="auto"/>
                <w:sz w:val="24"/>
              </w:rPr>
              <w:t>定期进行电路、电气检查，消除安全隐患</w:t>
            </w:r>
            <w:bookmarkEnd w:id="11"/>
            <w:r>
              <w:rPr>
                <w:rFonts w:ascii="Times New Roman" w:hAnsi="Times New Roman" w:cs="Times New Roman"/>
                <w:color w:val="auto"/>
                <w:sz w:val="24"/>
              </w:rPr>
              <w:t xml:space="preserve">。 </w:t>
            </w:r>
          </w:p>
          <w:p>
            <w:pPr>
              <w:spacing w:line="360" w:lineRule="auto"/>
              <w:ind w:firstLine="420"/>
              <w:rPr>
                <w:rFonts w:ascii="Times New Roman" w:hAnsi="Times New Roman" w:cs="Times New Roman"/>
                <w:color w:val="auto"/>
                <w:sz w:val="24"/>
              </w:rPr>
            </w:pPr>
            <w:r>
              <w:rPr>
                <w:rFonts w:ascii="Times New Roman" w:hAnsi="Times New Roman" w:cs="Times New Roman"/>
                <w:color w:val="auto"/>
                <w:sz w:val="24"/>
              </w:rPr>
              <w:t xml:space="preserve">建设单位在项目竣工经过消防验收合格后，才能投入使用。 </w:t>
            </w:r>
          </w:p>
          <w:p>
            <w:pPr>
              <w:pStyle w:val="20"/>
              <w:adjustRightInd w:val="0"/>
              <w:snapToGrid w:val="0"/>
              <w:spacing w:after="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为了防范火灾事故时可能造成的消防排水直接通过雨水管网排入地表水，避免造成环境风险事故，本项目</w:t>
            </w:r>
            <w:r>
              <w:rPr>
                <w:rFonts w:hint="eastAsia" w:ascii="Times New Roman" w:hAnsi="Times New Roman" w:cs="Times New Roman"/>
                <w:color w:val="auto"/>
                <w:sz w:val="24"/>
                <w:lang w:val="en-US" w:eastAsia="zh-CN"/>
              </w:rPr>
              <w:t>新建</w:t>
            </w:r>
            <w:r>
              <w:rPr>
                <w:rFonts w:ascii="Times New Roman" w:hAnsi="Times New Roman" w:cs="Times New Roman"/>
                <w:color w:val="auto"/>
                <w:sz w:val="24"/>
              </w:rPr>
              <w:t>1个有效容积为20</w:t>
            </w:r>
            <w:r>
              <w:rPr>
                <w:rFonts w:ascii="Times New Roman" w:hAnsi="Times New Roman" w:cs="Times New Roman"/>
                <w:color w:val="auto"/>
                <w:sz w:val="24"/>
                <w:lang w:val="en-US" w:eastAsia="zh-CN"/>
              </w:rPr>
              <w:t>0</w:t>
            </w:r>
            <w:r>
              <w:rPr>
                <w:rFonts w:ascii="Times New Roman" w:hAnsi="Times New Roman" w:cs="Times New Roman"/>
                <w:color w:val="auto"/>
                <w:sz w:val="24"/>
              </w:rPr>
              <w:t>m</w:t>
            </w:r>
            <w:r>
              <w:rPr>
                <w:rFonts w:ascii="Times New Roman" w:hAnsi="Times New Roman" w:cs="Times New Roman"/>
                <w:color w:val="auto"/>
                <w:sz w:val="24"/>
                <w:vertAlign w:val="superscript"/>
              </w:rPr>
              <w:t xml:space="preserve">3 </w:t>
            </w:r>
            <w:r>
              <w:rPr>
                <w:rFonts w:ascii="Times New Roman" w:hAnsi="Times New Roman" w:cs="Times New Roman"/>
                <w:color w:val="auto"/>
                <w:sz w:val="24"/>
              </w:rPr>
              <w:t>消防水池（平时为空池状态），雨水总管出厂前设置截断阀，对厂区内消防废水进行收集，消防水池与预处理池通过管道连通，将消防水池内的废水缓慢、逐步转移至预处理池进行处理，处理达标后排放。</w:t>
            </w:r>
          </w:p>
          <w:p>
            <w:pPr>
              <w:spacing w:line="360" w:lineRule="auto"/>
              <w:ind w:firstLine="420"/>
              <w:rPr>
                <w:rFonts w:ascii="Times New Roman" w:hAnsi="Times New Roman" w:cs="Times New Roman"/>
                <w:b/>
                <w:color w:val="auto"/>
                <w:sz w:val="24"/>
              </w:rPr>
            </w:pPr>
            <w:r>
              <w:rPr>
                <w:rFonts w:ascii="Times New Roman" w:hAnsi="Times New Roman" w:cs="Times New Roman"/>
                <w:b/>
                <w:color w:val="auto"/>
                <w:sz w:val="24"/>
              </w:rPr>
              <w:t>（2）泄漏防范措施</w:t>
            </w:r>
          </w:p>
          <w:p>
            <w:pPr>
              <w:spacing w:line="360" w:lineRule="auto"/>
              <w:ind w:firstLine="482" w:firstLineChars="200"/>
              <w:rPr>
                <w:rFonts w:ascii="Times New Roman" w:hAnsi="Times New Roman" w:cs="Times New Roman"/>
                <w:color w:val="auto"/>
                <w:sz w:val="24"/>
              </w:rPr>
            </w:pPr>
            <w:r>
              <w:rPr>
                <w:rFonts w:ascii="Times New Roman" w:hAnsi="Times New Roman" w:cs="Times New Roman"/>
                <w:b/>
                <w:color w:val="auto"/>
                <w:sz w:val="24"/>
              </w:rPr>
              <w:t>加强</w:t>
            </w:r>
            <w:bookmarkStart w:id="12" w:name="_Hlk22304840"/>
            <w:r>
              <w:rPr>
                <w:rFonts w:ascii="Times New Roman" w:hAnsi="Times New Roman" w:cs="Times New Roman"/>
                <w:b/>
                <w:color w:val="auto"/>
                <w:sz w:val="24"/>
              </w:rPr>
              <w:t>机油、柴油等</w:t>
            </w:r>
            <w:bookmarkEnd w:id="12"/>
            <w:r>
              <w:rPr>
                <w:rFonts w:ascii="Times New Roman" w:hAnsi="Times New Roman" w:cs="Times New Roman"/>
                <w:b/>
                <w:color w:val="auto"/>
                <w:sz w:val="24"/>
              </w:rPr>
              <w:t>原辅材料的运输、使用、暂存管理：</w:t>
            </w:r>
            <w:r>
              <w:rPr>
                <w:rFonts w:ascii="Times New Roman" w:hAnsi="Times New Roman" w:cs="Times New Roman"/>
                <w:color w:val="auto"/>
                <w:sz w:val="24"/>
              </w:rPr>
              <w:t>加强机油、</w:t>
            </w:r>
            <w:r>
              <w:rPr>
                <w:rFonts w:ascii="Times New Roman" w:hAnsi="Times New Roman" w:cs="Times New Roman"/>
                <w:bCs/>
                <w:color w:val="auto"/>
                <w:sz w:val="24"/>
              </w:rPr>
              <w:t>柴油</w:t>
            </w:r>
            <w:r>
              <w:rPr>
                <w:rFonts w:ascii="Times New Roman" w:hAnsi="Times New Roman" w:cs="Times New Roman"/>
                <w:color w:val="auto"/>
                <w:sz w:val="24"/>
              </w:rPr>
              <w:t>运输、使用、暂存环节的环境管理措施，避免跑、冒、滴、漏，对可能出现漏油的使用</w:t>
            </w:r>
            <w:r>
              <w:rPr>
                <w:rFonts w:ascii="Times New Roman" w:hAnsi="Times New Roman" w:cs="Times New Roman"/>
                <w:color w:val="auto"/>
                <w:kern w:val="0"/>
                <w:sz w:val="24"/>
              </w:rPr>
              <w:t>机油</w:t>
            </w:r>
            <w:r>
              <w:rPr>
                <w:rFonts w:ascii="Times New Roman" w:hAnsi="Times New Roman" w:cs="Times New Roman"/>
                <w:color w:val="auto"/>
                <w:sz w:val="24"/>
              </w:rPr>
              <w:t>设备，在设备下加不锈钢托盘，并设置空桶作为备用设施，</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储油间按重点防渗处理，并设置警告标识。使用后的废</w:t>
            </w:r>
            <w:r>
              <w:rPr>
                <w:rFonts w:ascii="Times New Roman" w:hAnsi="Times New Roman" w:cs="Times New Roman"/>
                <w:bCs/>
                <w:color w:val="auto"/>
                <w:sz w:val="24"/>
              </w:rPr>
              <w:t>机油等油类物质收集后暂存于危废暂存间，设置专用桶，下面设置不锈钢托盘，</w:t>
            </w:r>
            <w:r>
              <w:rPr>
                <w:rFonts w:ascii="Times New Roman" w:hAnsi="Times New Roman" w:cs="Times New Roman"/>
                <w:color w:val="auto"/>
                <w:sz w:val="24"/>
              </w:rPr>
              <w:t>并设置空桶作为备用设施，</w:t>
            </w:r>
            <w:r>
              <w:rPr>
                <w:rFonts w:ascii="Times New Roman" w:hAnsi="Times New Roman" w:cs="Times New Roman"/>
                <w:bCs/>
                <w:color w:val="auto"/>
                <w:sz w:val="24"/>
              </w:rPr>
              <w:t>定期由资质单位处置</w:t>
            </w:r>
            <w:r>
              <w:rPr>
                <w:rFonts w:ascii="Times New Roman" w:hAnsi="Times New Roman" w:cs="Times New Roman"/>
                <w:color w:val="auto"/>
                <w:sz w:val="24"/>
              </w:rPr>
              <w:t>。</w:t>
            </w:r>
          </w:p>
          <w:p>
            <w:pPr>
              <w:spacing w:line="360" w:lineRule="auto"/>
              <w:ind w:firstLine="482" w:firstLineChars="200"/>
              <w:rPr>
                <w:rFonts w:ascii="Times New Roman" w:hAnsi="Times New Roman" w:cs="Times New Roman"/>
                <w:color w:val="auto"/>
                <w:sz w:val="24"/>
                <w:szCs w:val="20"/>
              </w:rPr>
            </w:pPr>
            <w:r>
              <w:rPr>
                <w:rFonts w:ascii="Times New Roman" w:hAnsi="Times New Roman" w:cs="Times New Roman"/>
                <w:b/>
                <w:color w:val="auto"/>
                <w:sz w:val="24"/>
                <w:szCs w:val="20"/>
              </w:rPr>
              <w:t>对危废暂存间加强管理：</w:t>
            </w:r>
            <w:r>
              <w:rPr>
                <w:rFonts w:ascii="Times New Roman" w:hAnsi="Times New Roman" w:cs="Times New Roman"/>
                <w:color w:val="auto"/>
                <w:sz w:val="24"/>
                <w:szCs w:val="20"/>
              </w:rPr>
              <w:t>设置专用容器作为备用容器；危险废物全部暂存于危险废物暂存库内，做到“四防”；危险废物暂存间内地面</w:t>
            </w:r>
            <w:r>
              <w:rPr>
                <w:rFonts w:ascii="Times New Roman" w:hAnsi="Times New Roman" w:cs="Times New Roman"/>
                <w:color w:val="auto"/>
                <w:sz w:val="24"/>
              </w:rPr>
              <w:t>增加2mm厚的环氧树脂防渗膜</w:t>
            </w:r>
            <w:r>
              <w:rPr>
                <w:rFonts w:ascii="Times New Roman" w:hAnsi="Times New Roman" w:cs="Times New Roman"/>
                <w:color w:val="auto"/>
                <w:sz w:val="24"/>
                <w:szCs w:val="20"/>
              </w:rPr>
              <w:t>或其他防渗材料</w:t>
            </w:r>
            <w:r>
              <w:rPr>
                <w:rFonts w:ascii="Times New Roman" w:hAnsi="Times New Roman" w:cs="Times New Roman"/>
                <w:color w:val="auto"/>
                <w:sz w:val="24"/>
              </w:rPr>
              <w:t>进行防渗处理，同时设置防漏裙脚或围堰（围堰高度不低于10cm）</w:t>
            </w:r>
            <w:r>
              <w:rPr>
                <w:rFonts w:ascii="Times New Roman" w:hAnsi="Times New Roman" w:cs="Times New Roman"/>
                <w:color w:val="auto"/>
                <w:sz w:val="24"/>
                <w:szCs w:val="20"/>
              </w:rPr>
              <w:t>；危险废物分类暂存，装载液体、半固体危险废物的容器内须留足够空间，盛装危险废物的容器上必须粘贴符合标准的标签，各种危险废物的储存容器都有很好的密封性，各暂存于危险废物暂存间内的危险废物定期（不超过1年）交由有危废处理资质的单位进行处理。</w:t>
            </w:r>
          </w:p>
          <w:p>
            <w:pPr>
              <w:pStyle w:val="2"/>
              <w:adjustRightInd w:val="0"/>
              <w:snapToGrid w:val="0"/>
              <w:spacing w:before="0" w:after="0" w:line="360" w:lineRule="auto"/>
              <w:ind w:right="0" w:firstLine="482" w:firstLineChars="200"/>
              <w:rPr>
                <w:rFonts w:ascii="Times New Roman" w:hAnsi="Times New Roman" w:cs="Times New Roman"/>
                <w:b/>
                <w:bCs/>
                <w:color w:val="auto"/>
                <w:sz w:val="24"/>
              </w:rPr>
            </w:pPr>
            <w:r>
              <w:rPr>
                <w:rFonts w:ascii="Times New Roman" w:hAnsi="Times New Roman" w:cs="Times New Roman"/>
                <w:b/>
                <w:bCs/>
                <w:color w:val="auto"/>
                <w:sz w:val="24"/>
              </w:rPr>
              <w:t>（3）废气事故排放</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对各类安全设施、环保设施、消防器材等进行定期检查，并将发现的问题责任到人落实整改；公司环保专员应定期对厂区设备进行检查，当环保设施装置故障时，应及时关闭生产设备，从源头制止污染源产生，及时对环保设备（低氮燃烧装置）进行检修，确保废气达标排放。</w:t>
            </w:r>
          </w:p>
          <w:p>
            <w:pPr>
              <w:spacing w:line="360" w:lineRule="auto"/>
              <w:ind w:firstLine="480"/>
              <w:rPr>
                <w:rFonts w:ascii="Times New Roman" w:hAnsi="Times New Roman" w:cs="Times New Roman"/>
                <w:b/>
                <w:bCs/>
                <w:color w:val="auto"/>
                <w:sz w:val="24"/>
              </w:rPr>
            </w:pPr>
            <w:r>
              <w:rPr>
                <w:rFonts w:ascii="Times New Roman" w:hAnsi="Times New Roman" w:cs="Times New Roman"/>
                <w:b/>
                <w:bCs/>
                <w:color w:val="auto"/>
                <w:sz w:val="24"/>
              </w:rPr>
              <w:t>（4）锅炉运行过程中风险防范措施</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①工艺技术安全措施：加强通风，防止</w:t>
            </w:r>
            <w:r>
              <w:rPr>
                <w:rFonts w:hint="eastAsia" w:ascii="Times New Roman" w:hAnsi="Times New Roman" w:cs="Times New Roman"/>
                <w:color w:val="auto"/>
                <w:sz w:val="24"/>
                <w:lang w:val="en-US" w:eastAsia="zh-CN"/>
              </w:rPr>
              <w:t>气体</w:t>
            </w:r>
            <w:r>
              <w:rPr>
                <w:rFonts w:ascii="Times New Roman" w:hAnsi="Times New Roman" w:cs="Times New Roman"/>
                <w:color w:val="auto"/>
                <w:sz w:val="24"/>
              </w:rPr>
              <w:t>积聚；增加燃烧室高度，保证</w:t>
            </w:r>
            <w:r>
              <w:rPr>
                <w:rFonts w:hint="eastAsia" w:ascii="Times New Roman" w:hAnsi="Times New Roman" w:cs="Times New Roman"/>
                <w:color w:val="auto"/>
                <w:sz w:val="24"/>
                <w:lang w:val="en-US" w:eastAsia="zh-CN"/>
              </w:rPr>
              <w:t>生物质</w:t>
            </w:r>
            <w:r>
              <w:rPr>
                <w:rFonts w:ascii="Times New Roman" w:hAnsi="Times New Roman" w:cs="Times New Roman"/>
                <w:color w:val="auto"/>
                <w:sz w:val="24"/>
              </w:rPr>
              <w:t>气完全燃烧：设置PLC监控系统，锅炉点火、燃烧、吹扫、火焰监视及</w:t>
            </w:r>
            <w:r>
              <w:rPr>
                <w:rFonts w:hint="eastAsia" w:ascii="Times New Roman" w:hAnsi="Times New Roman" w:cs="Times New Roman"/>
                <w:color w:val="auto"/>
                <w:sz w:val="24"/>
                <w:lang w:val="en-US" w:eastAsia="zh-CN"/>
              </w:rPr>
              <w:t>气体</w:t>
            </w:r>
            <w:r>
              <w:rPr>
                <w:rFonts w:ascii="Times New Roman" w:hAnsi="Times New Roman" w:cs="Times New Roman"/>
                <w:color w:val="auto"/>
                <w:sz w:val="24"/>
              </w:rPr>
              <w:t>与空气的比例调节均实现自动化</w:t>
            </w:r>
            <w:r>
              <w:rPr>
                <w:rFonts w:hint="eastAsia" w:cs="Times New Roman"/>
                <w:color w:val="auto"/>
                <w:sz w:val="24"/>
                <w:lang w:eastAsia="zh-CN"/>
              </w:rPr>
              <w:t>，</w:t>
            </w:r>
            <w:r>
              <w:rPr>
                <w:rFonts w:ascii="Times New Roman" w:hAnsi="Times New Roman" w:cs="Times New Roman"/>
                <w:color w:val="auto"/>
                <w:sz w:val="24"/>
              </w:rPr>
              <w:t>确保完全、安全燃烧，在锅炉点火过程中，如主烧咀未点燃，将关闭所有阀门，用氮气吹扫、测爆，再重复点燃操作：烧咀点燃、运转数分钟后，在烟囱测试烟气中是否含可燃成分：设置可燃气体泄漏报警装置。</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②防火防爆措施：防爆区域选用防爆电气设备。爆炸危险区域设置防雷、防静电接地。设置火灾自动报警系统，现场设置防爆手动报警按钮及防爆火警铃。</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③平面布置安全措施：锅炉与周边装置的距离要符合规范的防火间距要求。本项目输气风机属于爆炸危险区域，确保足够的防火间距。</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④输气管线设置静电接地装置，并和防雷感应的接地装置相连。</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⑤安全管理措施：建设单位设置专门的安环部门，负责项目安全、环境管理工作。针对燃气锅炉的风险特征采取相应的安全管理措施，确保燃气锅炉安全运行。日常工作中，定期对锅炉各类设备运行进行监视、检查、维护，确保各类设备、设施、仪表处于完好状态：对各类消防设施定期检验，防止失效：制定相关规章制度，包括锅炉生产安全、环保技术规程、锅炉岗位操作法、锅炉工艺规程、员工安全生产责任制、安全检修制度等，定期对员工开展安全培训。制定全面的应急预案，针对存在的事故隐患，编制应急处置方案，定期开展应急演习。维修、保养过程严格按照相关安全规程进行。</w:t>
            </w:r>
          </w:p>
          <w:p>
            <w:pPr>
              <w:spacing w:line="360" w:lineRule="auto"/>
              <w:ind w:firstLine="480"/>
              <w:rPr>
                <w:rFonts w:ascii="Times New Roman" w:hAnsi="Times New Roman" w:cs="Times New Roman"/>
                <w:b/>
                <w:bCs/>
                <w:color w:val="auto"/>
                <w:sz w:val="24"/>
                <w:lang w:val="en-US" w:eastAsia="zh-CN"/>
              </w:rPr>
            </w:pPr>
            <w:r>
              <w:rPr>
                <w:rFonts w:ascii="Times New Roman" w:hAnsi="Times New Roman" w:cs="Times New Roman"/>
                <w:b/>
                <w:bCs/>
                <w:color w:val="auto"/>
                <w:sz w:val="24"/>
                <w:lang w:eastAsia="zh-CN"/>
              </w:rPr>
              <w:t>（</w:t>
            </w:r>
            <w:r>
              <w:rPr>
                <w:rFonts w:ascii="Times New Roman" w:hAnsi="Times New Roman" w:cs="Times New Roman"/>
                <w:b/>
                <w:bCs/>
                <w:color w:val="auto"/>
                <w:sz w:val="24"/>
                <w:lang w:val="en-US" w:eastAsia="zh-CN"/>
              </w:rPr>
              <w:t>5</w:t>
            </w:r>
            <w:r>
              <w:rPr>
                <w:rFonts w:ascii="Times New Roman" w:hAnsi="Times New Roman" w:cs="Times New Roman"/>
                <w:b/>
                <w:bCs/>
                <w:color w:val="auto"/>
                <w:sz w:val="24"/>
                <w:lang w:eastAsia="zh-CN"/>
              </w:rPr>
              <w:t>）</w:t>
            </w:r>
            <w:r>
              <w:rPr>
                <w:rFonts w:ascii="Times New Roman" w:hAnsi="Times New Roman" w:cs="Times New Roman"/>
                <w:b/>
                <w:bCs/>
                <w:color w:val="auto"/>
                <w:sz w:val="24"/>
                <w:lang w:val="en-US" w:eastAsia="zh-CN"/>
              </w:rPr>
              <w:t>其他防范措施</w:t>
            </w:r>
          </w:p>
          <w:p>
            <w:pPr>
              <w:spacing w:line="360" w:lineRule="auto"/>
              <w:ind w:firstLine="480"/>
              <w:rPr>
                <w:rFonts w:ascii="Times New Roman" w:hAnsi="Times New Roman" w:cs="Times New Roman"/>
                <w:color w:val="auto"/>
                <w:sz w:val="24"/>
                <w:lang w:eastAsia="zh-CN"/>
              </w:rPr>
            </w:pPr>
            <w:r>
              <w:rPr>
                <w:rFonts w:ascii="Times New Roman" w:hAnsi="Times New Roman" w:cs="Times New Roman"/>
                <w:color w:val="auto"/>
                <w:sz w:val="24"/>
                <w:lang w:eastAsia="zh-CN"/>
              </w:rPr>
              <w:t>①注重对作业人员的操作培训和教育，操作使用要严格按操作规程操作，确保设备的正常运行，并每半年对设备检查一次，半年维护一次；</w:t>
            </w:r>
          </w:p>
          <w:p>
            <w:pPr>
              <w:spacing w:line="360" w:lineRule="auto"/>
              <w:ind w:firstLine="480"/>
              <w:rPr>
                <w:rFonts w:ascii="Times New Roman" w:hAnsi="Times New Roman" w:cs="Times New Roman"/>
                <w:color w:val="auto"/>
                <w:sz w:val="24"/>
                <w:lang w:eastAsia="zh-CN"/>
              </w:rPr>
            </w:pPr>
            <w:r>
              <w:rPr>
                <w:rFonts w:ascii="Times New Roman" w:hAnsi="Times New Roman" w:cs="Times New Roman"/>
                <w:color w:val="auto"/>
                <w:sz w:val="24"/>
                <w:lang w:eastAsia="zh-CN"/>
              </w:rPr>
              <w:t>②生产设备要建立完善的运转、故障、检修的技术档案；</w:t>
            </w:r>
          </w:p>
          <w:p>
            <w:pPr>
              <w:spacing w:line="360" w:lineRule="auto"/>
              <w:ind w:firstLine="480"/>
              <w:rPr>
                <w:rFonts w:ascii="Times New Roman" w:hAnsi="Times New Roman" w:cs="Times New Roman"/>
                <w:color w:val="auto"/>
                <w:sz w:val="24"/>
                <w:lang w:eastAsia="zh-CN"/>
              </w:rPr>
            </w:pPr>
            <w:r>
              <w:rPr>
                <w:rFonts w:ascii="Times New Roman" w:hAnsi="Times New Roman" w:cs="Times New Roman"/>
                <w:color w:val="auto"/>
                <w:sz w:val="24"/>
                <w:lang w:eastAsia="zh-CN"/>
              </w:rPr>
              <w:t>③项目气化、净化设备配置水封装置及可燃气体报警装置，同时配置温度、压力等测量仪表，在燃气管道上配置燃气低压报警装置，生产及输配的所有设备和管道应经常检查，严防跑、冒、滴、漏；</w:t>
            </w:r>
          </w:p>
          <w:p>
            <w:pPr>
              <w:spacing w:line="360" w:lineRule="auto"/>
              <w:ind w:firstLine="480"/>
              <w:rPr>
                <w:rFonts w:ascii="Times New Roman" w:hAnsi="Times New Roman" w:eastAsia="宋体" w:cs="Times New Roman"/>
                <w:color w:val="auto"/>
                <w:sz w:val="24"/>
                <w:lang w:eastAsia="zh-CN"/>
              </w:rPr>
            </w:pPr>
            <w:r>
              <w:rPr>
                <w:rFonts w:ascii="Times New Roman" w:hAnsi="Times New Roman" w:cs="Times New Roman"/>
                <w:color w:val="auto"/>
                <w:sz w:val="24"/>
                <w:lang w:eastAsia="zh-CN"/>
              </w:rPr>
              <w:t>④项目锅炉房配置消防灭火器、消防沙等应急物资。</w:t>
            </w:r>
          </w:p>
          <w:p>
            <w:pPr>
              <w:pStyle w:val="2"/>
              <w:adjustRightInd w:val="0"/>
              <w:snapToGrid w:val="0"/>
              <w:spacing w:before="0" w:after="0" w:line="360" w:lineRule="auto"/>
              <w:ind w:right="0"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5、事故应急预案</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对可能发生的事故，建设单位应制定相应的应急预案，在风险发生时能做出最快的处理和防范，使风险降到最低。</w:t>
            </w:r>
          </w:p>
          <w:p>
            <w:pPr>
              <w:pStyle w:val="2"/>
              <w:adjustRightInd w:val="0"/>
              <w:snapToGrid w:val="0"/>
              <w:spacing w:before="0" w:after="0" w:line="360" w:lineRule="auto"/>
              <w:ind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事故发生后，应根据具体情况采取应急措施，切断</w:t>
            </w:r>
            <w:r>
              <w:rPr>
                <w:rFonts w:hint="eastAsia" w:cs="Times New Roman"/>
                <w:color w:val="auto"/>
                <w:sz w:val="24"/>
                <w:szCs w:val="24"/>
                <w:lang w:eastAsia="zh-CN"/>
              </w:rPr>
              <w:t>泄漏</w:t>
            </w:r>
            <w:r>
              <w:rPr>
                <w:rFonts w:ascii="Times New Roman" w:hAnsi="Times New Roman" w:cs="Times New Roman"/>
                <w:color w:val="auto"/>
                <w:sz w:val="24"/>
                <w:szCs w:val="24"/>
              </w:rPr>
              <w:t>源、火源，控制事故扩大，同时根据事故类型、大小启动相应的应急预案；事故发生后，应立即通知当地突发事故领导小组、环保、卫生、消防、供电、自来水公司等部门，进行必要的救援与监控。发生重大事故，应立即上报相关部门，启动社会救援系统，就近地区</w:t>
            </w:r>
            <w:r>
              <w:rPr>
                <w:rFonts w:hint="eastAsia" w:cs="Times New Roman"/>
                <w:color w:val="auto"/>
                <w:sz w:val="24"/>
                <w:szCs w:val="24"/>
                <w:lang w:eastAsia="zh-CN"/>
              </w:rPr>
              <w:t>调派</w:t>
            </w:r>
            <w:r>
              <w:rPr>
                <w:rFonts w:ascii="Times New Roman" w:hAnsi="Times New Roman" w:cs="Times New Roman"/>
                <w:color w:val="auto"/>
                <w:sz w:val="24"/>
                <w:szCs w:val="24"/>
              </w:rPr>
              <w:t>专业救援队伍协助处理，并及时做好撤离疏散工作。</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根据《国家突发公共事故总体应急预案》、《国家安全事故灾害应急预案》以及最新环境风险控制要求，通过对污染事故的风险评价各企业应制定突发环境应急预案。一旦出现突发事故，必须先按拟定的应急方法进行紧急处理。本项目应急预案建议如下：</w:t>
            </w:r>
          </w:p>
          <w:p>
            <w:pPr>
              <w:pStyle w:val="50"/>
              <w:ind w:firstLine="480"/>
              <w:rPr>
                <w:rFonts w:ascii="Times New Roman" w:hAnsi="Times New Roman" w:cs="Times New Roman"/>
                <w:color w:val="auto"/>
                <w:sz w:val="21"/>
              </w:rPr>
            </w:pPr>
            <w:r>
              <w:rPr>
                <w:rFonts w:ascii="Times New Roman" w:hAnsi="Times New Roman" w:cs="Times New Roman"/>
                <w:color w:val="auto"/>
                <w:sz w:val="21"/>
              </w:rPr>
              <w:t>表4-1</w:t>
            </w:r>
            <w:r>
              <w:rPr>
                <w:rFonts w:hint="eastAsia" w:cs="Times New Roman"/>
                <w:color w:val="auto"/>
                <w:sz w:val="21"/>
                <w:lang w:val="en-US" w:eastAsia="zh-CN"/>
              </w:rPr>
              <w:t>5</w:t>
            </w:r>
            <w:r>
              <w:rPr>
                <w:rFonts w:ascii="Times New Roman" w:hAnsi="Times New Roman" w:cs="Times New Roman"/>
                <w:color w:val="auto"/>
                <w:sz w:val="21"/>
              </w:rPr>
              <w:t xml:space="preserve"> 应急预案内容</w:t>
            </w:r>
          </w:p>
          <w:tbl>
            <w:tblPr>
              <w:tblStyle w:val="25"/>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0"/>
              <w:gridCol w:w="2174"/>
              <w:gridCol w:w="51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76" w:hRule="atLeast"/>
                <w:tblHeader/>
                <w:jc w:val="center"/>
              </w:trPr>
              <w:tc>
                <w:tcPr>
                  <w:tcW w:w="421" w:type="pct"/>
                  <w:vAlign w:val="center"/>
                </w:tcPr>
                <w:p>
                  <w:pPr>
                    <w:pStyle w:val="75"/>
                    <w:widowControl/>
                    <w:wordWrap/>
                    <w:adjustRightInd w:val="0"/>
                    <w:snapToGrid w:val="0"/>
                    <w:spacing w:line="240" w:lineRule="auto"/>
                    <w:ind w:firstLine="0" w:firstLineChars="0"/>
                    <w:jc w:val="center"/>
                    <w:rPr>
                      <w:rFonts w:ascii="Times New Roman" w:hAnsi="Times New Roman" w:cs="Times New Roman"/>
                      <w:b/>
                      <w:color w:val="auto"/>
                      <w:szCs w:val="21"/>
                    </w:rPr>
                  </w:pPr>
                  <w:r>
                    <w:rPr>
                      <w:rFonts w:ascii="Times New Roman" w:hAnsi="Times New Roman" w:cs="Times New Roman"/>
                      <w:b/>
                      <w:color w:val="auto"/>
                      <w:szCs w:val="21"/>
                    </w:rPr>
                    <w:t>序号</w:t>
                  </w:r>
                </w:p>
              </w:tc>
              <w:tc>
                <w:tcPr>
                  <w:tcW w:w="1366" w:type="pct"/>
                  <w:vAlign w:val="center"/>
                </w:tcPr>
                <w:p>
                  <w:pPr>
                    <w:pStyle w:val="75"/>
                    <w:widowControl/>
                    <w:wordWrap/>
                    <w:adjustRightInd w:val="0"/>
                    <w:snapToGrid w:val="0"/>
                    <w:spacing w:line="240" w:lineRule="auto"/>
                    <w:ind w:firstLine="0" w:firstLineChars="0"/>
                    <w:jc w:val="center"/>
                    <w:rPr>
                      <w:rFonts w:ascii="Times New Roman" w:hAnsi="Times New Roman" w:cs="Times New Roman"/>
                      <w:b/>
                      <w:color w:val="auto"/>
                      <w:szCs w:val="21"/>
                    </w:rPr>
                  </w:pPr>
                  <w:r>
                    <w:rPr>
                      <w:rFonts w:ascii="Times New Roman" w:hAnsi="Times New Roman" w:cs="Times New Roman"/>
                      <w:b/>
                      <w:color w:val="auto"/>
                      <w:szCs w:val="21"/>
                    </w:rPr>
                    <w:t>项  目</w:t>
                  </w:r>
                </w:p>
              </w:tc>
              <w:tc>
                <w:tcPr>
                  <w:tcW w:w="3211" w:type="pct"/>
                  <w:vAlign w:val="center"/>
                </w:tcPr>
                <w:p>
                  <w:pPr>
                    <w:pStyle w:val="75"/>
                    <w:widowControl/>
                    <w:wordWrap/>
                    <w:adjustRightInd w:val="0"/>
                    <w:snapToGrid w:val="0"/>
                    <w:spacing w:line="240" w:lineRule="auto"/>
                    <w:ind w:firstLine="0" w:firstLineChars="0"/>
                    <w:jc w:val="center"/>
                    <w:rPr>
                      <w:rFonts w:ascii="Times New Roman" w:hAnsi="Times New Roman" w:cs="Times New Roman"/>
                      <w:b/>
                      <w:color w:val="auto"/>
                      <w:szCs w:val="21"/>
                    </w:rPr>
                  </w:pPr>
                  <w:r>
                    <w:rPr>
                      <w:rFonts w:ascii="Times New Roman" w:hAnsi="Times New Roman" w:cs="Times New Roman"/>
                      <w:b/>
                      <w:color w:val="auto"/>
                      <w:szCs w:val="21"/>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应急计划区</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危险目标：生产车间、危废暂存间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3"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2</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环境风险评价</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阐述生产车间、危废暂存间存在的危险源及环境风险评价结果</w:t>
                  </w:r>
                </w:p>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以及可能发生事故的后果和波及范围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3</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应急组织机构、人员</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与社会组织联动，加强与</w:t>
                  </w:r>
                  <w:r>
                    <w:rPr>
                      <w:rFonts w:hint="eastAsia" w:ascii="Times New Roman" w:hAnsi="Times New Roman" w:cs="Times New Roman"/>
                      <w:bCs/>
                      <w:color w:val="auto"/>
                      <w:szCs w:val="21"/>
                      <w:lang w:val="en-US" w:eastAsia="zh-CN"/>
                    </w:rPr>
                    <w:t>大英县</w:t>
                  </w:r>
                  <w:r>
                    <w:rPr>
                      <w:rFonts w:ascii="Times New Roman" w:hAnsi="Times New Roman" w:cs="Times New Roman"/>
                      <w:bCs/>
                      <w:color w:val="auto"/>
                      <w:szCs w:val="21"/>
                    </w:rPr>
                    <w:t>救援组织</w:t>
                  </w:r>
                </w:p>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如消防、卫生、环保部门之前的联系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2"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4</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预防和预警</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明确本单位对危险源监测监控的方式、方法，以及采取的预防措施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5</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信息报告和通报</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按照《国家突发环境事件应急预案》及国家有关规定，明确信息报告时限和发布的程序、内容和方式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6</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预案分级响应条件</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规定预案的级别及分级响应程序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7</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应急救援保障</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应急设施、设备与器材等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1" w:hRule="atLeas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8</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报警、通讯联络方式</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规定应急状态下的报警通讯方式、通知方式和交通保障、管制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5" w:hRule="atLeas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9</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应急环境监测、抢险、救援及控制措施</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由专业队伍负责对事故现场进行侦查监测，对事故性质、参数与后果进行评估，为指挥部门提供决策依据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3" w:hRule="atLeas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10</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应急监测、防护措施、清除泄漏措施和器材</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事故现场、邻近区域、控制防火区域，</w:t>
                  </w:r>
                </w:p>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控制和清楚危险的措施及相应设备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11</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人员紧急撤离、疏散撤离组织计划</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在显眼位置设置明显指示标志，保持逃生道路通畅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12</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事故应急救援关闭程序与恢复措施</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事故现场善后处理，恢复措施邻近区域解除事故警戒及善后恢复措施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exac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13</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应急培训计划</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定期组织人员进行事故演练，在过程中逐渐完善应急预案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42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14</w:t>
                  </w:r>
                </w:p>
              </w:tc>
              <w:tc>
                <w:tcPr>
                  <w:tcW w:w="1366"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公众教育和信息</w:t>
                  </w:r>
                </w:p>
              </w:tc>
              <w:tc>
                <w:tcPr>
                  <w:tcW w:w="3211" w:type="pct"/>
                  <w:tcBorders>
                    <w:top w:val="single" w:color="auto" w:sz="2" w:space="0"/>
                    <w:left w:val="single" w:color="auto" w:sz="2" w:space="0"/>
                    <w:right w:val="single" w:color="auto" w:sz="2" w:space="0"/>
                  </w:tcBorders>
                  <w:vAlign w:val="center"/>
                </w:tcPr>
                <w:p>
                  <w:pPr>
                    <w:pStyle w:val="75"/>
                    <w:widowControl/>
                    <w:wordWrap/>
                    <w:adjustRightInd w:val="0"/>
                    <w:snapToGrid w:val="0"/>
                    <w:spacing w:line="240" w:lineRule="auto"/>
                    <w:ind w:firstLine="0" w:firstLineChars="0"/>
                    <w:jc w:val="center"/>
                    <w:rPr>
                      <w:rFonts w:ascii="Times New Roman" w:hAnsi="Times New Roman" w:cs="Times New Roman"/>
                      <w:bCs/>
                      <w:color w:val="auto"/>
                      <w:szCs w:val="21"/>
                    </w:rPr>
                  </w:pPr>
                  <w:r>
                    <w:rPr>
                      <w:rFonts w:ascii="Times New Roman" w:hAnsi="Times New Roman" w:cs="Times New Roman"/>
                      <w:bCs/>
                      <w:color w:val="auto"/>
                      <w:szCs w:val="21"/>
                    </w:rPr>
                    <w:t>对职工及相关人员开展公众教育、培训和发布有关信息</w:t>
                  </w:r>
                </w:p>
              </w:tc>
            </w:tr>
          </w:tbl>
          <w:p>
            <w:pPr>
              <w:adjustRightInd w:val="0"/>
              <w:snapToGrid w:val="0"/>
              <w:spacing w:before="120" w:beforeLines="50"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本项目存在一定环境风险</w:t>
            </w:r>
            <w:r>
              <w:rPr>
                <w:rFonts w:ascii="Times New Roman" w:hAnsi="Times New Roman" w:cs="Times New Roman"/>
                <w:b/>
                <w:bCs/>
                <w:color w:val="auto"/>
                <w:spacing w:val="-58"/>
                <w:sz w:val="24"/>
              </w:rPr>
              <w:t>，</w:t>
            </w:r>
            <w:r>
              <w:rPr>
                <w:rFonts w:ascii="Times New Roman" w:hAnsi="Times New Roman" w:cs="Times New Roman"/>
                <w:b/>
                <w:bCs/>
                <w:color w:val="auto"/>
                <w:sz w:val="24"/>
              </w:rPr>
              <w:t>为防范风险事故的发生</w:t>
            </w:r>
            <w:r>
              <w:rPr>
                <w:rFonts w:ascii="Times New Roman" w:hAnsi="Times New Roman" w:cs="Times New Roman"/>
                <w:b/>
                <w:bCs/>
                <w:color w:val="auto"/>
                <w:spacing w:val="-56"/>
                <w:sz w:val="24"/>
              </w:rPr>
              <w:t>，</w:t>
            </w:r>
            <w:r>
              <w:rPr>
                <w:rFonts w:ascii="Times New Roman" w:hAnsi="Times New Roman" w:cs="Times New Roman"/>
                <w:b/>
                <w:bCs/>
                <w:color w:val="auto"/>
                <w:sz w:val="24"/>
              </w:rPr>
              <w:t>建设单位只要严格按照本报告提出的要求</w:t>
            </w:r>
            <w:r>
              <w:rPr>
                <w:rFonts w:ascii="Times New Roman" w:hAnsi="Times New Roman" w:cs="Times New Roman"/>
                <w:b/>
                <w:bCs/>
                <w:color w:val="auto"/>
                <w:spacing w:val="-39"/>
                <w:sz w:val="24"/>
              </w:rPr>
              <w:t>，</w:t>
            </w:r>
            <w:r>
              <w:rPr>
                <w:rFonts w:ascii="Times New Roman" w:hAnsi="Times New Roman" w:cs="Times New Roman"/>
                <w:b/>
                <w:bCs/>
                <w:color w:val="auto"/>
                <w:sz w:val="24"/>
              </w:rPr>
              <w:t>加强管理</w:t>
            </w:r>
            <w:r>
              <w:rPr>
                <w:rFonts w:ascii="Times New Roman" w:hAnsi="Times New Roman" w:cs="Times New Roman"/>
                <w:b/>
                <w:bCs/>
                <w:color w:val="auto"/>
                <w:spacing w:val="-39"/>
                <w:sz w:val="24"/>
              </w:rPr>
              <w:t>，</w:t>
            </w:r>
            <w:r>
              <w:rPr>
                <w:rFonts w:ascii="Times New Roman" w:hAnsi="Times New Roman" w:cs="Times New Roman"/>
                <w:b/>
                <w:bCs/>
                <w:color w:val="auto"/>
                <w:sz w:val="24"/>
              </w:rPr>
              <w:t>思想上引起重视</w:t>
            </w:r>
            <w:r>
              <w:rPr>
                <w:rFonts w:ascii="Times New Roman" w:hAnsi="Times New Roman" w:cs="Times New Roman"/>
                <w:b/>
                <w:bCs/>
                <w:color w:val="auto"/>
                <w:spacing w:val="-36"/>
                <w:sz w:val="24"/>
              </w:rPr>
              <w:t>，</w:t>
            </w:r>
            <w:r>
              <w:rPr>
                <w:rFonts w:ascii="Times New Roman" w:hAnsi="Times New Roman" w:cs="Times New Roman"/>
                <w:b/>
                <w:bCs/>
                <w:color w:val="auto"/>
                <w:sz w:val="24"/>
              </w:rPr>
              <w:t>建立健全相应的应急预案与应急措施并得到认真落实</w:t>
            </w:r>
            <w:r>
              <w:rPr>
                <w:rFonts w:ascii="Times New Roman" w:hAnsi="Times New Roman" w:cs="Times New Roman"/>
                <w:b/>
                <w:bCs/>
                <w:color w:val="auto"/>
                <w:spacing w:val="-58"/>
                <w:sz w:val="24"/>
              </w:rPr>
              <w:t>，</w:t>
            </w:r>
            <w:r>
              <w:rPr>
                <w:rFonts w:ascii="Times New Roman" w:hAnsi="Times New Roman" w:cs="Times New Roman"/>
                <w:b/>
                <w:bCs/>
                <w:color w:val="auto"/>
                <w:sz w:val="24"/>
              </w:rPr>
              <w:t>可以将环境风险降低到可接受的水平</w:t>
            </w:r>
            <w:r>
              <w:rPr>
                <w:rFonts w:ascii="Times New Roman" w:hAnsi="Times New Roman" w:cs="Times New Roman"/>
                <w:b/>
                <w:bCs/>
                <w:color w:val="auto"/>
                <w:spacing w:val="-56"/>
                <w:sz w:val="24"/>
              </w:rPr>
              <w:t>。</w:t>
            </w:r>
            <w:r>
              <w:rPr>
                <w:rFonts w:ascii="Times New Roman" w:hAnsi="Times New Roman" w:cs="Times New Roman"/>
                <w:b/>
                <w:bCs/>
                <w:color w:val="auto"/>
                <w:sz w:val="24"/>
              </w:rPr>
              <w:t>从环境风险角度，本项目的建设是可行的。</w:t>
            </w:r>
          </w:p>
          <w:p>
            <w:pPr>
              <w:adjustRightInd w:val="0"/>
              <w:snapToGrid w:val="0"/>
              <w:spacing w:line="360" w:lineRule="auto"/>
              <w:ind w:firstLine="482" w:firstLineChars="200"/>
              <w:rPr>
                <w:rFonts w:ascii="Times New Roman" w:hAnsi="Times New Roman" w:cs="Times New Roman"/>
                <w:b/>
                <w:bCs/>
                <w:color w:val="auto"/>
                <w:sz w:val="24"/>
              </w:rPr>
            </w:pPr>
            <w:r>
              <w:rPr>
                <w:rFonts w:ascii="Times New Roman" w:hAnsi="Times New Roman" w:cs="Times New Roman"/>
                <w:b/>
                <w:bCs/>
                <w:color w:val="auto"/>
                <w:sz w:val="24"/>
              </w:rPr>
              <w:t>1.</w:t>
            </w:r>
            <w:r>
              <w:rPr>
                <w:rFonts w:hint="eastAsia" w:cs="Times New Roman"/>
                <w:b/>
                <w:bCs/>
                <w:color w:val="auto"/>
                <w:sz w:val="24"/>
                <w:lang w:val="en-US" w:eastAsia="zh-CN"/>
              </w:rPr>
              <w:t>7</w:t>
            </w:r>
            <w:r>
              <w:rPr>
                <w:rFonts w:ascii="Times New Roman" w:hAnsi="Times New Roman" w:cs="Times New Roman"/>
                <w:b/>
                <w:bCs/>
                <w:color w:val="auto"/>
                <w:sz w:val="24"/>
              </w:rPr>
              <w:t>项目环保投资估算</w:t>
            </w:r>
          </w:p>
          <w:p>
            <w:pPr>
              <w:pStyle w:val="2"/>
              <w:adjustRightInd w:val="0"/>
              <w:snapToGrid w:val="0"/>
              <w:spacing w:before="0" w:after="0" w:line="360" w:lineRule="auto"/>
              <w:ind w:right="0" w:firstLine="480" w:firstLineChars="200"/>
              <w:rPr>
                <w:rFonts w:ascii="Times New Roman" w:hAnsi="Times New Roman" w:cs="Times New Roman"/>
                <w:color w:val="auto"/>
                <w:sz w:val="24"/>
              </w:rPr>
            </w:pPr>
            <w:r>
              <w:rPr>
                <w:rFonts w:ascii="Times New Roman" w:hAnsi="Times New Roman" w:cs="Times New Roman"/>
                <w:color w:val="auto"/>
                <w:sz w:val="24"/>
              </w:rPr>
              <w:t>本项目总投资</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000万元，环保投资约</w:t>
            </w:r>
            <w:r>
              <w:rPr>
                <w:rFonts w:hint="eastAsia" w:cs="Times New Roman"/>
                <w:color w:val="auto"/>
                <w:sz w:val="24"/>
                <w:lang w:val="en-US" w:eastAsia="zh-CN"/>
              </w:rPr>
              <w:t>200</w:t>
            </w:r>
            <w:r>
              <w:rPr>
                <w:rFonts w:ascii="Times New Roman" w:hAnsi="Times New Roman" w:cs="Times New Roman"/>
                <w:color w:val="auto"/>
                <w:sz w:val="24"/>
              </w:rPr>
              <w:t>万元，约占工程总投资的</w:t>
            </w:r>
            <w:r>
              <w:rPr>
                <w:rFonts w:hint="eastAsia" w:cs="Times New Roman"/>
                <w:color w:val="auto"/>
                <w:sz w:val="24"/>
                <w:lang w:val="en-US" w:eastAsia="zh-CN"/>
              </w:rPr>
              <w:t>20</w:t>
            </w:r>
            <w:r>
              <w:rPr>
                <w:rFonts w:ascii="Times New Roman" w:hAnsi="Times New Roman" w:cs="Times New Roman"/>
                <w:color w:val="auto"/>
                <w:sz w:val="24"/>
              </w:rPr>
              <w:t>%。各污染物治理费用汇总如下表：</w:t>
            </w:r>
          </w:p>
          <w:p>
            <w:pPr>
              <w:pStyle w:val="50"/>
              <w:ind w:firstLine="480"/>
              <w:rPr>
                <w:rFonts w:ascii="Times New Roman" w:hAnsi="Times New Roman" w:cs="Times New Roman"/>
                <w:color w:val="auto"/>
                <w:sz w:val="21"/>
              </w:rPr>
            </w:pPr>
            <w:r>
              <w:rPr>
                <w:rFonts w:ascii="Times New Roman" w:hAnsi="Times New Roman" w:cs="Times New Roman"/>
                <w:color w:val="auto"/>
                <w:sz w:val="21"/>
              </w:rPr>
              <w:t>表4-1</w:t>
            </w:r>
            <w:r>
              <w:rPr>
                <w:rFonts w:hint="eastAsia" w:cs="Times New Roman"/>
                <w:color w:val="auto"/>
                <w:sz w:val="21"/>
                <w:lang w:val="en-US" w:eastAsia="zh-CN"/>
              </w:rPr>
              <w:t>6</w:t>
            </w:r>
            <w:r>
              <w:rPr>
                <w:rFonts w:ascii="Times New Roman" w:hAnsi="Times New Roman" w:cs="Times New Roman"/>
                <w:color w:val="auto"/>
                <w:sz w:val="21"/>
              </w:rPr>
              <w:t xml:space="preserve"> 投资估算一览表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0"/>
              <w:gridCol w:w="1040"/>
              <w:gridCol w:w="5344"/>
              <w:gridCol w:w="789"/>
              <w:gridCol w:w="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时期</w:t>
                  </w:r>
                </w:p>
              </w:tc>
              <w:tc>
                <w:tcPr>
                  <w:tcW w:w="6384" w:type="dxa"/>
                  <w:gridSpan w:val="2"/>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项目</w:t>
                  </w:r>
                </w:p>
              </w:tc>
              <w:tc>
                <w:tcPr>
                  <w:tcW w:w="789"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投资</w:t>
                  </w:r>
                </w:p>
                <w:p>
                  <w:pPr>
                    <w:jc w:val="center"/>
                    <w:rPr>
                      <w:rFonts w:ascii="Times New Roman" w:hAnsi="Times New Roman" w:cs="Times New Roman"/>
                      <w:color w:val="auto"/>
                      <w:szCs w:val="21"/>
                    </w:rPr>
                  </w:pPr>
                  <w:r>
                    <w:rPr>
                      <w:rFonts w:ascii="Times New Roman" w:hAnsi="Times New Roman" w:cs="Times New Roman"/>
                      <w:color w:val="auto"/>
                      <w:szCs w:val="21"/>
                    </w:rPr>
                    <w:t>（万元）</w:t>
                  </w:r>
                </w:p>
              </w:tc>
              <w:tc>
                <w:tcPr>
                  <w:tcW w:w="550"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240" w:type="dxa"/>
                  <w:vMerge w:val="restart"/>
                  <w:tcBorders>
                    <w:top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施工期</w:t>
                  </w: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扬尘</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运输车加盖篷布运输，及时清扫道路沿线遗洒物料，冲洗出场车辆车轮、定期洒水降尘</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5</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燃油废气</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eastAsia="zh-CN"/>
                    </w:rPr>
                  </w:pPr>
                  <w:r>
                    <w:rPr>
                      <w:rFonts w:ascii="Times New Roman" w:hAnsi="Times New Roman" w:cs="Times New Roman"/>
                      <w:color w:val="auto"/>
                      <w:szCs w:val="21"/>
                      <w:highlight w:val="none"/>
                    </w:rPr>
                    <w:t>加强车辆管理</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0.5</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生活污水、清洗废水、浓水</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项目新建一座预处理池（容积为200m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），生活污水排入预处理池处理，处理后排入园区污水管网。</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1</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施工噪声</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合理施工布局，采用低噪声设备，隔声降噪，合理安排施工时间等</w:t>
                  </w:r>
                </w:p>
              </w:tc>
              <w:tc>
                <w:tcPr>
                  <w:tcW w:w="789" w:type="dxa"/>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建渣</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定时清运到指定垃圾场</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25</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生活垃圾</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highlight w:val="none"/>
                    </w:rPr>
                    <w:t>环卫部门负责清运处理</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3</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240" w:type="dxa"/>
                  <w:vMerge w:val="restart"/>
                  <w:tcBorders>
                    <w:top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运营期</w:t>
                  </w: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废气治理</w:t>
                  </w:r>
                </w:p>
              </w:tc>
              <w:tc>
                <w:tcPr>
                  <w:tcW w:w="5344" w:type="dxa"/>
                  <w:tcBorders>
                    <w:top w:val="single" w:color="auto" w:sz="4" w:space="0"/>
                    <w:left w:val="single" w:color="auto" w:sz="4" w:space="0"/>
                    <w:right w:val="single" w:color="auto" w:sz="4" w:space="0"/>
                  </w:tcBorders>
                  <w:vAlign w:val="center"/>
                </w:tcPr>
                <w:p>
                  <w:pPr>
                    <w:pStyle w:val="2"/>
                    <w:adjustRightInd w:val="0"/>
                    <w:snapToGrid w:val="0"/>
                    <w:spacing w:before="0" w:after="0" w:line="240" w:lineRule="auto"/>
                    <w:ind w:right="0"/>
                    <w:jc w:val="center"/>
                    <w:rPr>
                      <w:rFonts w:ascii="Times New Roman" w:hAnsi="Times New Roman" w:cs="Times New Roman"/>
                      <w:color w:val="auto"/>
                    </w:rPr>
                  </w:pPr>
                  <w:r>
                    <w:rPr>
                      <w:rFonts w:ascii="Times New Roman" w:hAnsi="Times New Roman" w:cs="Times New Roman"/>
                      <w:color w:val="auto"/>
                      <w:kern w:val="2"/>
                      <w:sz w:val="21"/>
                      <w:szCs w:val="21"/>
                      <w:lang w:val="en-US" w:eastAsia="zh-CN"/>
                    </w:rPr>
                    <w:t>生物质</w:t>
                  </w:r>
                  <w:r>
                    <w:rPr>
                      <w:rFonts w:ascii="Times New Roman" w:hAnsi="Times New Roman" w:cs="Times New Roman"/>
                      <w:color w:val="auto"/>
                      <w:kern w:val="2"/>
                      <w:sz w:val="21"/>
                      <w:szCs w:val="21"/>
                    </w:rPr>
                    <w:t>燃烧废气：经</w:t>
                  </w:r>
                  <w:r>
                    <w:rPr>
                      <w:rFonts w:hint="eastAsia" w:cs="Times New Roman"/>
                      <w:color w:val="auto"/>
                      <w:kern w:val="2"/>
                      <w:sz w:val="21"/>
                      <w:szCs w:val="21"/>
                      <w:lang w:eastAsia="zh-CN"/>
                    </w:rPr>
                    <w:t>低氮燃烧+SCR脱硝+旋风布袋除尘器处理后由1根</w:t>
                  </w:r>
                  <w:r>
                    <w:rPr>
                      <w:rFonts w:hint="eastAsia" w:cs="Times New Roman"/>
                      <w:color w:val="auto"/>
                      <w:kern w:val="2"/>
                      <w:sz w:val="21"/>
                      <w:szCs w:val="21"/>
                      <w:lang w:val="en-US" w:eastAsia="zh-CN"/>
                    </w:rPr>
                    <w:t>40</w:t>
                  </w:r>
                  <w:r>
                    <w:rPr>
                      <w:rFonts w:hint="eastAsia" w:cs="Times New Roman"/>
                      <w:color w:val="auto"/>
                      <w:kern w:val="2"/>
                      <w:sz w:val="21"/>
                      <w:szCs w:val="21"/>
                      <w:lang w:eastAsia="zh-CN"/>
                    </w:rPr>
                    <w:t>m高排气筒排放</w:t>
                  </w:r>
                  <w:r>
                    <w:rPr>
                      <w:rFonts w:ascii="Times New Roman" w:hAnsi="Times New Roman" w:cs="Times New Roman"/>
                      <w:color w:val="auto"/>
                      <w:kern w:val="2"/>
                      <w:sz w:val="21"/>
                      <w:szCs w:val="21"/>
                    </w:rPr>
                    <w:t>。</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120</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3"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废水治理</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eastAsia="zh-CN"/>
                    </w:rPr>
                  </w:pPr>
                  <w:r>
                    <w:rPr>
                      <w:rFonts w:ascii="Times New Roman" w:hAnsi="Times New Roman" w:cs="Times New Roman"/>
                      <w:color w:val="auto"/>
                      <w:szCs w:val="21"/>
                    </w:rPr>
                    <w:t>生活污水、锅炉废水经预处理池处理后，达到排放标准后进入</w:t>
                  </w:r>
                  <w:r>
                    <w:rPr>
                      <w:rFonts w:ascii="Times New Roman" w:hAnsi="Times New Roman" w:cs="Times New Roman"/>
                      <w:color w:val="auto"/>
                      <w:szCs w:val="21"/>
                      <w:lang w:eastAsia="zh-CN"/>
                    </w:rPr>
                    <w:t>园区污水管网</w:t>
                  </w:r>
                  <w:r>
                    <w:rPr>
                      <w:rFonts w:ascii="Times New Roman" w:hAnsi="Times New Roman" w:cs="Times New Roman"/>
                      <w:color w:val="auto"/>
                      <w:szCs w:val="21"/>
                    </w:rPr>
                    <w:t>后进入</w:t>
                  </w:r>
                  <w:r>
                    <w:rPr>
                      <w:rFonts w:hint="eastAsia" w:cs="Times New Roman"/>
                      <w:color w:val="auto"/>
                      <w:szCs w:val="21"/>
                      <w:lang w:eastAsia="zh-CN"/>
                    </w:rPr>
                    <w:t>大英经济开发区污水处理厂</w:t>
                  </w:r>
                  <w:r>
                    <w:rPr>
                      <w:rFonts w:ascii="Times New Roman" w:hAnsi="Times New Roman" w:cs="Times New Roman"/>
                      <w:color w:val="auto"/>
                      <w:szCs w:val="21"/>
                    </w:rPr>
                    <w:t>处理达标排入</w:t>
                  </w:r>
                  <w:r>
                    <w:rPr>
                      <w:rFonts w:ascii="Times New Roman" w:hAnsi="Times New Roman" w:cs="Times New Roman"/>
                      <w:color w:val="auto"/>
                      <w:szCs w:val="21"/>
                      <w:lang w:eastAsia="zh-CN"/>
                    </w:rPr>
                    <w:t>郪江</w:t>
                  </w:r>
                </w:p>
              </w:tc>
              <w:tc>
                <w:tcPr>
                  <w:tcW w:w="789" w:type="dxa"/>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0.</w:t>
                  </w:r>
                  <w:r>
                    <w:rPr>
                      <w:rFonts w:hint="eastAsia" w:ascii="Times New Roman" w:hAnsi="Times New Roman" w:cs="Times New Roman"/>
                      <w:color w:val="auto"/>
                      <w:szCs w:val="21"/>
                      <w:lang w:val="en-US" w:eastAsia="zh-CN"/>
                    </w:rPr>
                    <w:t>5</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噪声治理</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采取合理布置、厂房隔声等措施</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color w:val="auto"/>
                      <w:szCs w:val="21"/>
                      <w:lang w:val="en-US" w:eastAsia="zh-CN"/>
                    </w:rPr>
                    <w:t>1</w:t>
                  </w:r>
                  <w:r>
                    <w:rPr>
                      <w:rFonts w:ascii="Times New Roman" w:hAnsi="Times New Roman" w:cs="Times New Roman"/>
                      <w:color w:val="auto"/>
                      <w:szCs w:val="21"/>
                    </w:rPr>
                    <w:t>5.0</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240" w:type="dxa"/>
                  <w:vMerge w:val="continue"/>
                  <w:tcBorders>
                    <w:top w:val="single" w:color="auto" w:sz="4" w:space="0"/>
                    <w:right w:val="single" w:color="auto" w:sz="4" w:space="0"/>
                  </w:tcBorders>
                  <w:vAlign w:val="center"/>
                </w:tcPr>
                <w:p/>
              </w:tc>
              <w:tc>
                <w:tcPr>
                  <w:tcW w:w="104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固废治理</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生活垃圾收集后交环卫部门统一处理</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1.0</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240" w:type="dxa"/>
                  <w:vMerge w:val="continue"/>
                  <w:tcBorders>
                    <w:top w:val="single" w:color="auto" w:sz="4" w:space="0"/>
                    <w:right w:val="single" w:color="auto" w:sz="4" w:space="0"/>
                  </w:tcBorders>
                  <w:vAlign w:val="center"/>
                </w:tcPr>
                <w:p/>
              </w:tc>
              <w:tc>
                <w:tcPr>
                  <w:tcW w:w="1040" w:type="dxa"/>
                  <w:vMerge w:val="continue"/>
                  <w:tcBorders>
                    <w:top w:val="single" w:color="auto" w:sz="4" w:space="0"/>
                    <w:left w:val="single" w:color="auto" w:sz="4" w:space="0"/>
                    <w:right w:val="single" w:color="auto" w:sz="4" w:space="0"/>
                  </w:tcBorders>
                  <w:vAlign w:val="center"/>
                </w:tcP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color w:val="auto"/>
                      <w:szCs w:val="21"/>
                      <w:lang w:val="en-US" w:eastAsia="zh-CN"/>
                    </w:rPr>
                    <w:t>依托已建的</w:t>
                  </w:r>
                  <w:r>
                    <w:rPr>
                      <w:rFonts w:ascii="Times New Roman" w:hAnsi="Times New Roman" w:cs="Times New Roman"/>
                      <w:color w:val="auto"/>
                      <w:szCs w:val="21"/>
                    </w:rPr>
                    <w:t>危废暂存间1 间（5m</w:t>
                  </w:r>
                  <w:r>
                    <w:rPr>
                      <w:rFonts w:ascii="Times New Roman" w:hAnsi="Times New Roman" w:cs="Times New Roman"/>
                      <w:color w:val="auto"/>
                      <w:szCs w:val="21"/>
                      <w:vertAlign w:val="superscript"/>
                    </w:rPr>
                    <w:t>2</w:t>
                  </w:r>
                  <w:r>
                    <w:rPr>
                      <w:rFonts w:hint="eastAsia" w:cs="Times New Roman"/>
                      <w:color w:val="auto"/>
                      <w:szCs w:val="21"/>
                      <w:lang w:eastAsia="zh-CN"/>
                    </w:rPr>
                    <w:t>）</w:t>
                  </w:r>
                  <w:r>
                    <w:rPr>
                      <w:rFonts w:ascii="Times New Roman" w:hAnsi="Times New Roman" w:cs="Times New Roman"/>
                      <w:color w:val="auto"/>
                      <w:szCs w:val="21"/>
                    </w:rPr>
                    <w:t>，暂存危废暂存间</w:t>
                  </w:r>
                  <w:r>
                    <w:rPr>
                      <w:rFonts w:ascii="Times New Roman" w:hAnsi="Times New Roman" w:cs="Times New Roman"/>
                      <w:color w:val="auto"/>
                    </w:rPr>
                    <w:t>，并签订危废处置协议，危险废物</w:t>
                  </w:r>
                  <w:r>
                    <w:rPr>
                      <w:rFonts w:ascii="Times New Roman" w:hAnsi="Times New Roman" w:cs="Times New Roman"/>
                      <w:color w:val="auto"/>
                      <w:szCs w:val="21"/>
                    </w:rPr>
                    <w:t>分类暂存危废暂存间</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10</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39" w:hRule="atLeast"/>
                <w:jc w:val="center"/>
              </w:trPr>
              <w:tc>
                <w:tcPr>
                  <w:tcW w:w="240" w:type="dxa"/>
                  <w:vMerge w:val="continue"/>
                  <w:tcBorders>
                    <w:top w:val="single" w:color="auto" w:sz="4" w:space="0"/>
                    <w:right w:val="single" w:color="auto" w:sz="4" w:space="0"/>
                  </w:tcBorders>
                  <w:vAlign w:val="center"/>
                </w:tcPr>
                <w:p/>
              </w:tc>
              <w:tc>
                <w:tcPr>
                  <w:tcW w:w="104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地下水防治</w:t>
                  </w:r>
                </w:p>
              </w:tc>
              <w:tc>
                <w:tcPr>
                  <w:tcW w:w="5344" w:type="dxa"/>
                  <w:tcBorders>
                    <w:top w:val="single" w:color="auto" w:sz="4" w:space="0"/>
                    <w:left w:val="single" w:color="auto" w:sz="4" w:space="0"/>
                    <w:right w:val="single" w:color="auto" w:sz="4" w:space="0"/>
                  </w:tcBorders>
                  <w:vAlign w:val="center"/>
                </w:tcPr>
                <w:p>
                  <w:pPr>
                    <w:snapToGrid w:val="0"/>
                    <w:ind w:firstLine="420" w:firstLineChars="200"/>
                    <w:jc w:val="center"/>
                    <w:rPr>
                      <w:rFonts w:ascii="Times New Roman" w:hAnsi="Times New Roman" w:cs="Times New Roman"/>
                      <w:color w:val="auto"/>
                      <w:szCs w:val="21"/>
                    </w:rPr>
                  </w:pPr>
                  <w:r>
                    <w:rPr>
                      <w:rFonts w:ascii="Times New Roman" w:hAnsi="Times New Roman" w:cs="Times New Roman"/>
                      <w:color w:val="auto"/>
                      <w:szCs w:val="21"/>
                    </w:rPr>
                    <w:t>危废暂存间、储油间、柴油发电机房增加2mm厚的环氧树脂或其他防渗材料，保证防渗层满足防渗技术要求等效黏土防渗层Mb≥6.0m，K≤1.0×10</w:t>
                  </w:r>
                  <w:r>
                    <w:rPr>
                      <w:rFonts w:ascii="Times New Roman" w:hAnsi="Times New Roman" w:cs="Times New Roman"/>
                      <w:color w:val="auto"/>
                      <w:szCs w:val="21"/>
                      <w:vertAlign w:val="superscript"/>
                    </w:rPr>
                    <w:t>-7</w:t>
                  </w:r>
                  <w:r>
                    <w:rPr>
                      <w:rFonts w:ascii="Times New Roman" w:hAnsi="Times New Roman" w:cs="Times New Roman"/>
                      <w:color w:val="auto"/>
                      <w:szCs w:val="21"/>
                    </w:rPr>
                    <w:t>cm/s</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5.0</w:t>
                  </w:r>
                </w:p>
              </w:tc>
              <w:tc>
                <w:tcPr>
                  <w:tcW w:w="550" w:type="dxa"/>
                  <w:tcBorders>
                    <w:top w:val="single" w:color="auto" w:sz="4" w:space="0"/>
                    <w:left w:val="single" w:color="auto" w:sz="4" w:space="0"/>
                  </w:tcBorders>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40" w:type="dxa"/>
                  <w:vMerge w:val="continue"/>
                  <w:tcBorders>
                    <w:top w:val="single" w:color="auto" w:sz="4" w:space="0"/>
                    <w:right w:val="single" w:color="auto" w:sz="4" w:space="0"/>
                  </w:tcBorders>
                  <w:vAlign w:val="center"/>
                </w:tcPr>
                <w:p/>
              </w:tc>
              <w:tc>
                <w:tcPr>
                  <w:tcW w:w="1040" w:type="dxa"/>
                  <w:vMerge w:val="restart"/>
                  <w:tcBorders>
                    <w:top w:val="single" w:color="auto" w:sz="4" w:space="0"/>
                    <w:left w:val="single" w:color="auto" w:sz="4" w:space="0"/>
                    <w:right w:val="single" w:color="auto" w:sz="4" w:space="0"/>
                  </w:tcBorders>
                  <w:vAlign w:val="center"/>
                </w:tcPr>
                <w:p>
                  <w:pPr>
                    <w:pStyle w:val="76"/>
                    <w:widowControl w:val="0"/>
                    <w:autoSpaceDE w:val="0"/>
                    <w:autoSpaceDN w:val="0"/>
                    <w:spacing w:before="0" w:after="0"/>
                    <w:jc w:val="center"/>
                    <w:rPr>
                      <w:rFonts w:ascii="Times New Roman" w:hAnsi="Times New Roman" w:eastAsia="宋体" w:cs="Times New Roman"/>
                      <w:bCs/>
                      <w:color w:val="auto"/>
                      <w:spacing w:val="-1"/>
                      <w:kern w:val="2"/>
                      <w:sz w:val="21"/>
                      <w:szCs w:val="21"/>
                      <w:lang w:eastAsia="zh-CN"/>
                    </w:rPr>
                  </w:pPr>
                  <w:r>
                    <w:rPr>
                      <w:rFonts w:ascii="Times New Roman" w:hAnsi="Times New Roman" w:eastAsia="宋体" w:cs="Times New Roman"/>
                      <w:bCs/>
                      <w:color w:val="auto"/>
                      <w:spacing w:val="-1"/>
                      <w:kern w:val="2"/>
                      <w:sz w:val="21"/>
                      <w:szCs w:val="21"/>
                      <w:lang w:eastAsia="zh-CN"/>
                    </w:rPr>
                    <w:t>环境风险防范</w:t>
                  </w: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bCs/>
                      <w:color w:val="auto"/>
                      <w:spacing w:val="-1"/>
                      <w:szCs w:val="21"/>
                    </w:rPr>
                    <w:t>在</w:t>
                  </w:r>
                  <w:r>
                    <w:rPr>
                      <w:rFonts w:ascii="Times New Roman" w:hAnsi="Times New Roman" w:cs="Times New Roman"/>
                      <w:bCs/>
                      <w:color w:val="auto"/>
                      <w:spacing w:val="-1"/>
                      <w:szCs w:val="21"/>
                      <w:lang w:val="en-US" w:eastAsia="zh-CN"/>
                    </w:rPr>
                    <w:t>生物质燃料库房内</w:t>
                  </w:r>
                  <w:r>
                    <w:rPr>
                      <w:rFonts w:ascii="Times New Roman" w:hAnsi="Times New Roman" w:cs="Times New Roman"/>
                      <w:bCs/>
                      <w:color w:val="auto"/>
                      <w:spacing w:val="-1"/>
                      <w:szCs w:val="21"/>
                    </w:rPr>
                    <w:t>堆放处设置明显、易见、显眼防火、防爆标识，配备相应品种和数量的消防器材</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0" w:type="dxa"/>
                  <w:vMerge w:val="continue"/>
                  <w:tcBorders>
                    <w:top w:val="single" w:color="auto" w:sz="4" w:space="0"/>
                    <w:right w:val="single" w:color="auto" w:sz="4" w:space="0"/>
                  </w:tcBorders>
                  <w:vAlign w:val="center"/>
                </w:tcPr>
                <w:p/>
              </w:tc>
              <w:tc>
                <w:tcPr>
                  <w:tcW w:w="1040" w:type="dxa"/>
                  <w:vMerge w:val="continue"/>
                  <w:tcBorders>
                    <w:top w:val="single" w:color="auto" w:sz="4" w:space="0"/>
                    <w:left w:val="single" w:color="auto" w:sz="4" w:space="0"/>
                    <w:right w:val="single" w:color="auto" w:sz="4" w:space="0"/>
                  </w:tcBorders>
                  <w:vAlign w:val="center"/>
                </w:tcPr>
                <w:p/>
              </w:tc>
              <w:tc>
                <w:tcPr>
                  <w:tcW w:w="534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bCs/>
                      <w:color w:val="auto"/>
                      <w:spacing w:val="-1"/>
                      <w:szCs w:val="21"/>
                    </w:rPr>
                  </w:pPr>
                  <w:r>
                    <w:rPr>
                      <w:rFonts w:ascii="Times New Roman" w:hAnsi="Times New Roman" w:cs="Times New Roman"/>
                      <w:bCs/>
                      <w:color w:val="auto"/>
                      <w:spacing w:val="-1"/>
                      <w:szCs w:val="21"/>
                    </w:rPr>
                    <w:t>消防设施定期检查，维护，电器线路定期检查、维修、保养</w:t>
                  </w:r>
                </w:p>
              </w:tc>
              <w:tc>
                <w:tcPr>
                  <w:tcW w:w="789"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color w:val="auto"/>
                      <w:szCs w:val="21"/>
                      <w:lang w:val="en-US" w:eastAsia="zh-CN"/>
                    </w:rPr>
                    <w:t>5</w:t>
                  </w:r>
                </w:p>
              </w:tc>
              <w:tc>
                <w:tcPr>
                  <w:tcW w:w="550" w:type="dxa"/>
                  <w:tcBorders>
                    <w:top w:val="single" w:color="auto" w:sz="4" w:space="0"/>
                    <w:lef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624" w:type="dxa"/>
                  <w:gridSpan w:val="3"/>
                  <w:tcBorders>
                    <w:top w:val="single" w:color="auto" w:sz="4" w:space="0"/>
                    <w:right w:val="single" w:color="auto" w:sz="4" w:space="0"/>
                  </w:tcBorders>
                  <w:vAlign w:val="center"/>
                </w:tcPr>
                <w:p>
                  <w:pPr>
                    <w:ind w:firstLine="480"/>
                    <w:jc w:val="center"/>
                    <w:rPr>
                      <w:rFonts w:ascii="Times New Roman" w:hAnsi="Times New Roman" w:cs="Times New Roman"/>
                      <w:color w:val="auto"/>
                      <w:szCs w:val="21"/>
                    </w:rPr>
                  </w:pPr>
                  <w:r>
                    <w:rPr>
                      <w:rFonts w:ascii="Times New Roman" w:hAnsi="Times New Roman" w:cs="Times New Roman"/>
                      <w:color w:val="auto"/>
                      <w:szCs w:val="21"/>
                    </w:rPr>
                    <w:t>环境保护措施投资合计</w:t>
                  </w:r>
                </w:p>
              </w:tc>
              <w:tc>
                <w:tcPr>
                  <w:tcW w:w="1339" w:type="dxa"/>
                  <w:gridSpan w:val="2"/>
                  <w:tcBorders>
                    <w:top w:val="single" w:color="auto" w:sz="4" w:space="0"/>
                    <w:lef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200</w:t>
                  </w:r>
                </w:p>
              </w:tc>
            </w:tr>
          </w:tbl>
          <w:p>
            <w:pPr>
              <w:adjustRightInd w:val="0"/>
              <w:snapToGrid w:val="0"/>
              <w:spacing w:line="360" w:lineRule="auto"/>
              <w:rPr>
                <w:rFonts w:ascii="Times New Roman" w:hAnsi="Times New Roman" w:cs="Times New Roman"/>
                <w:bCs/>
                <w:color w:val="auto"/>
                <w:spacing w:val="-10"/>
                <w:szCs w:val="21"/>
              </w:rPr>
            </w:pPr>
          </w:p>
        </w:tc>
      </w:tr>
    </w:tbl>
    <w:p>
      <w:pPr>
        <w:adjustRightInd w:val="0"/>
        <w:snapToGrid w:val="0"/>
        <w:spacing w:line="360" w:lineRule="auto"/>
        <w:rPr>
          <w:rFonts w:ascii="Times New Roman" w:hAnsi="Times New Roman" w:cs="Times New Roman"/>
          <w:b/>
          <w:color w:val="auto"/>
          <w:kern w:val="0"/>
          <w:sz w:val="28"/>
          <w:szCs w:val="28"/>
        </w:rPr>
        <w:sectPr>
          <w:pgSz w:w="11907" w:h="16840"/>
          <w:pgMar w:top="1701" w:right="1531" w:bottom="2127" w:left="1531" w:header="851" w:footer="851" w:gutter="0"/>
          <w:cols w:space="720" w:num="1"/>
          <w:docGrid w:linePitch="312" w:charSpace="0"/>
        </w:sectPr>
      </w:pPr>
    </w:p>
    <w:p>
      <w:pPr>
        <w:pStyle w:val="2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五、</w:t>
      </w:r>
      <w:bookmarkStart w:id="13" w:name="_Hlk54167917"/>
      <w:r>
        <w:rPr>
          <w:rFonts w:ascii="Times New Roman" w:hAnsi="Times New Roman" w:eastAsia="黑体" w:cs="Times New Roman"/>
          <w:snapToGrid w:val="0"/>
          <w:color w:val="auto"/>
          <w:sz w:val="30"/>
          <w:szCs w:val="30"/>
        </w:rPr>
        <w:t>环境保护措施监督检查清单</w:t>
      </w:r>
      <w:bookmarkEnd w:id="13"/>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80"/>
        <w:gridCol w:w="1320"/>
        <w:gridCol w:w="2152"/>
        <w:gridCol w:w="19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rFonts w:ascii="Times New Roman" w:hAnsi="Times New Roman" w:cs="Times New Roman"/>
                <w:color w:val="auto"/>
                <w:szCs w:val="21"/>
              </w:rPr>
            </w:pPr>
            <w:r>
              <w:rPr>
                <w:rFonts w:ascii="Times New Roman" w:hAnsi="Times New Roman" w:cs="Times New Roman"/>
                <w:color w:val="auto"/>
                <w:szCs w:val="21"/>
              </w:rPr>
              <w:t>内容</w:t>
            </w:r>
          </w:p>
          <w:p>
            <w:pPr>
              <w:adjustRightInd w:val="0"/>
              <w:snapToGrid w:val="0"/>
              <w:rPr>
                <w:rFonts w:ascii="Times New Roman" w:hAnsi="Times New Roman" w:cs="Times New Roman"/>
                <w:color w:val="auto"/>
                <w:szCs w:val="21"/>
              </w:rPr>
            </w:pPr>
            <w:r>
              <w:rPr>
                <w:rFonts w:ascii="Times New Roman" w:hAnsi="Times New Roman" w:cs="Times New Roman"/>
                <w:color w:val="auto"/>
                <w:szCs w:val="21"/>
              </w:rPr>
              <w:t>要素</w:t>
            </w:r>
          </w:p>
        </w:tc>
        <w:tc>
          <w:tcPr>
            <w:tcW w:w="158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排放口</w:t>
            </w:r>
            <w:r>
              <w:rPr>
                <w:rFonts w:hint="eastAsia" w:cs="Times New Roman"/>
                <w:color w:val="auto"/>
                <w:szCs w:val="21"/>
                <w:lang w:eastAsia="zh-CN"/>
              </w:rPr>
              <w:t>（</w:t>
            </w:r>
            <w:r>
              <w:rPr>
                <w:rFonts w:ascii="Times New Roman" w:hAnsi="Times New Roman" w:cs="Times New Roman"/>
                <w:color w:val="auto"/>
                <w:szCs w:val="21"/>
              </w:rPr>
              <w:t>编号、</w:t>
            </w:r>
          </w:p>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名称</w:t>
            </w:r>
            <w:r>
              <w:rPr>
                <w:rFonts w:hint="eastAsia" w:cs="Times New Roman"/>
                <w:color w:val="auto"/>
                <w:szCs w:val="21"/>
                <w:lang w:eastAsia="zh-CN"/>
              </w:rPr>
              <w:t>）</w:t>
            </w:r>
            <w:r>
              <w:rPr>
                <w:rFonts w:ascii="Times New Roman" w:hAnsi="Times New Roman" w:cs="Times New Roman"/>
                <w:color w:val="auto"/>
                <w:szCs w:val="21"/>
              </w:rPr>
              <w:t>/污染源</w:t>
            </w:r>
          </w:p>
        </w:tc>
        <w:tc>
          <w:tcPr>
            <w:tcW w:w="132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污染物项目</w:t>
            </w:r>
          </w:p>
        </w:tc>
        <w:tc>
          <w:tcPr>
            <w:tcW w:w="2152"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环境保护措施</w:t>
            </w:r>
          </w:p>
        </w:tc>
        <w:tc>
          <w:tcPr>
            <w:tcW w:w="197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07"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大气环境</w:t>
            </w: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DA001</w:t>
            </w:r>
          </w:p>
        </w:tc>
        <w:tc>
          <w:tcPr>
            <w:tcW w:w="132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bCs/>
                <w:color w:val="auto"/>
                <w:spacing w:val="-10"/>
                <w:szCs w:val="21"/>
              </w:rPr>
            </w:pPr>
            <w:r>
              <w:rPr>
                <w:rFonts w:ascii="Times New Roman" w:hAnsi="Times New Roman" w:cs="Times New Roman"/>
                <w:color w:val="auto"/>
                <w:szCs w:val="21"/>
              </w:rPr>
              <w:t>NO</w:t>
            </w:r>
            <w:r>
              <w:rPr>
                <w:rFonts w:ascii="Times New Roman" w:hAnsi="Times New Roman" w:cs="Times New Roman"/>
                <w:color w:val="auto"/>
                <w:szCs w:val="21"/>
                <w:vertAlign w:val="subscript"/>
              </w:rPr>
              <w:t>X</w:t>
            </w:r>
            <w:r>
              <w:rPr>
                <w:rFonts w:ascii="Times New Roman" w:hAnsi="Times New Roman" w:cs="Times New Roman"/>
                <w:color w:val="auto"/>
                <w:szCs w:val="21"/>
              </w:rPr>
              <w:t>、颗粒物</w:t>
            </w:r>
          </w:p>
        </w:tc>
        <w:tc>
          <w:tcPr>
            <w:tcW w:w="2152" w:type="dxa"/>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ascii="Times New Roman" w:hAnsi="Times New Roman" w:cs="Times New Roman"/>
                <w:color w:val="auto"/>
                <w:szCs w:val="21"/>
              </w:rPr>
              <w:t>经</w:t>
            </w:r>
            <w:r>
              <w:rPr>
                <w:rFonts w:hint="eastAsia" w:cs="Times New Roman"/>
                <w:color w:val="auto"/>
                <w:szCs w:val="21"/>
                <w:lang w:eastAsia="zh-CN"/>
              </w:rPr>
              <w:t>低氮燃烧+SCR脱硝+旋风布袋除尘器处理后由1根</w:t>
            </w:r>
            <w:r>
              <w:rPr>
                <w:rFonts w:hint="eastAsia" w:cs="Times New Roman"/>
                <w:color w:val="auto"/>
                <w:szCs w:val="21"/>
                <w:lang w:val="en-US" w:eastAsia="zh-CN"/>
              </w:rPr>
              <w:t>40</w:t>
            </w:r>
            <w:r>
              <w:rPr>
                <w:rFonts w:hint="eastAsia" w:cs="Times New Roman"/>
                <w:color w:val="auto"/>
                <w:szCs w:val="21"/>
                <w:lang w:eastAsia="zh-CN"/>
              </w:rPr>
              <w:t>m高排气筒排放</w:t>
            </w:r>
          </w:p>
        </w:tc>
        <w:tc>
          <w:tcPr>
            <w:tcW w:w="197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kern w:val="0"/>
                <w:szCs w:val="21"/>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地表水环境</w:t>
            </w: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lang w:val="en-US" w:eastAsia="zh-CN"/>
              </w:rPr>
              <w:t>D</w:t>
            </w:r>
            <w:r>
              <w:rPr>
                <w:rFonts w:ascii="Times New Roman" w:hAnsi="Times New Roman" w:cs="Times New Roman"/>
                <w:color w:val="auto"/>
                <w:szCs w:val="21"/>
              </w:rPr>
              <w:t>W</w:t>
            </w:r>
            <w:r>
              <w:rPr>
                <w:rFonts w:ascii="Times New Roman" w:hAnsi="Times New Roman" w:cs="Times New Roman"/>
                <w:color w:val="auto"/>
                <w:szCs w:val="21"/>
                <w:lang w:val="en-US" w:eastAsia="zh-CN"/>
              </w:rPr>
              <w:t>00</w:t>
            </w:r>
            <w:r>
              <w:rPr>
                <w:rFonts w:ascii="Times New Roman" w:hAnsi="Times New Roman" w:cs="Times New Roman"/>
                <w:color w:val="auto"/>
                <w:szCs w:val="21"/>
              </w:rPr>
              <w:t>1</w:t>
            </w:r>
            <w:r>
              <w:rPr>
                <w:rFonts w:ascii="Times New Roman" w:hAnsi="Times New Roman" w:cs="Times New Roman"/>
                <w:color w:val="auto"/>
                <w:szCs w:val="21"/>
                <w:lang w:eastAsia="zh-CN"/>
              </w:rPr>
              <w:t>预处理池</w:t>
            </w:r>
            <w:r>
              <w:rPr>
                <w:rFonts w:ascii="Times New Roman" w:hAnsi="Times New Roman" w:cs="Times New Roman"/>
                <w:color w:val="auto"/>
                <w:szCs w:val="21"/>
              </w:rPr>
              <w:t>排口</w:t>
            </w:r>
          </w:p>
        </w:tc>
        <w:tc>
          <w:tcPr>
            <w:tcW w:w="132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bCs/>
                <w:color w:val="auto"/>
                <w:spacing w:val="-10"/>
                <w:szCs w:val="21"/>
              </w:rPr>
              <w:t>综合污水</w:t>
            </w:r>
          </w:p>
        </w:tc>
        <w:tc>
          <w:tcPr>
            <w:tcW w:w="215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szCs w:val="21"/>
                <w:lang w:eastAsia="zh-CN"/>
              </w:rPr>
            </w:pPr>
            <w:r>
              <w:rPr>
                <w:rFonts w:ascii="Times New Roman" w:hAnsi="Times New Roman" w:cs="Times New Roman"/>
                <w:color w:val="auto"/>
                <w:szCs w:val="21"/>
              </w:rPr>
              <w:t>生活污水、锅炉废水经预处理池（</w:t>
            </w:r>
            <w:r>
              <w:rPr>
                <w:rFonts w:ascii="Times New Roman" w:hAnsi="Times New Roman" w:cs="Times New Roman"/>
                <w:color w:val="auto"/>
                <w:szCs w:val="21"/>
                <w:lang w:val="en-US" w:eastAsia="zh-CN"/>
              </w:rPr>
              <w:t>1</w:t>
            </w:r>
            <w:r>
              <w:rPr>
                <w:rFonts w:ascii="Times New Roman" w:hAnsi="Times New Roman" w:cs="Times New Roman"/>
                <w:color w:val="auto"/>
                <w:szCs w:val="21"/>
              </w:rPr>
              <w:t>00m</w:t>
            </w:r>
            <w:r>
              <w:rPr>
                <w:rFonts w:ascii="Times New Roman" w:hAnsi="Times New Roman" w:cs="Times New Roman"/>
                <w:color w:val="auto"/>
                <w:szCs w:val="21"/>
                <w:vertAlign w:val="superscript"/>
              </w:rPr>
              <w:t>3</w:t>
            </w:r>
            <w:r>
              <w:rPr>
                <w:rFonts w:ascii="Times New Roman" w:hAnsi="Times New Roman" w:cs="Times New Roman"/>
                <w:color w:val="auto"/>
                <w:szCs w:val="21"/>
              </w:rPr>
              <w:t>）处理，达到排放标准后进入</w:t>
            </w:r>
            <w:r>
              <w:rPr>
                <w:rFonts w:ascii="Times New Roman" w:hAnsi="Times New Roman" w:cs="Times New Roman"/>
                <w:color w:val="auto"/>
                <w:szCs w:val="21"/>
                <w:lang w:eastAsia="zh-CN"/>
              </w:rPr>
              <w:t>园区污水管网</w:t>
            </w:r>
            <w:r>
              <w:rPr>
                <w:rFonts w:ascii="Times New Roman" w:hAnsi="Times New Roman" w:cs="Times New Roman"/>
                <w:color w:val="auto"/>
                <w:szCs w:val="21"/>
              </w:rPr>
              <w:t>后进入</w:t>
            </w:r>
            <w:r>
              <w:rPr>
                <w:rFonts w:hint="eastAsia" w:cs="Times New Roman"/>
                <w:color w:val="auto"/>
                <w:szCs w:val="21"/>
                <w:lang w:eastAsia="zh-CN"/>
              </w:rPr>
              <w:t>大英经济开发区污水处理厂</w:t>
            </w:r>
            <w:r>
              <w:rPr>
                <w:rFonts w:ascii="Times New Roman" w:hAnsi="Times New Roman" w:cs="Times New Roman"/>
                <w:color w:val="auto"/>
                <w:szCs w:val="21"/>
              </w:rPr>
              <w:t>处理达标</w:t>
            </w:r>
            <w:r>
              <w:rPr>
                <w:rFonts w:hint="eastAsia" w:cs="Times New Roman"/>
                <w:color w:val="auto"/>
                <w:szCs w:val="21"/>
                <w:lang w:val="en-US" w:eastAsia="zh-CN"/>
              </w:rPr>
              <w:t>后，</w:t>
            </w:r>
            <w:r>
              <w:rPr>
                <w:rFonts w:ascii="Times New Roman" w:hAnsi="Times New Roman" w:cs="Times New Roman"/>
                <w:color w:val="auto"/>
                <w:szCs w:val="21"/>
              </w:rPr>
              <w:t>排入</w:t>
            </w:r>
            <w:r>
              <w:rPr>
                <w:rFonts w:ascii="Times New Roman" w:hAnsi="Times New Roman" w:cs="Times New Roman"/>
                <w:color w:val="auto"/>
                <w:szCs w:val="21"/>
                <w:lang w:eastAsia="zh-CN"/>
              </w:rPr>
              <w:t>郪江</w:t>
            </w:r>
          </w:p>
        </w:tc>
        <w:tc>
          <w:tcPr>
            <w:tcW w:w="197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kern w:val="0"/>
                <w:szCs w:val="21"/>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声环境</w:t>
            </w: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东厂界</w:t>
            </w:r>
          </w:p>
        </w:tc>
        <w:tc>
          <w:tcPr>
            <w:tcW w:w="1320"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等效联系A声级</w:t>
            </w:r>
          </w:p>
        </w:tc>
        <w:tc>
          <w:tcPr>
            <w:tcW w:w="2152"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选用低噪声设备，合理车间内布局，设备安装</w:t>
            </w:r>
            <w:r>
              <w:rPr>
                <w:rFonts w:hint="eastAsia" w:cs="Times New Roman"/>
                <w:color w:val="auto"/>
                <w:szCs w:val="21"/>
                <w:lang w:eastAsia="zh-CN"/>
              </w:rPr>
              <w:t>减振</w:t>
            </w:r>
            <w:r>
              <w:rPr>
                <w:rFonts w:ascii="Times New Roman" w:hAnsi="Times New Roman" w:cs="Times New Roman"/>
                <w:color w:val="auto"/>
                <w:szCs w:val="21"/>
              </w:rPr>
              <w:t>垫，厂房隔声，加强管理等</w:t>
            </w:r>
          </w:p>
        </w:tc>
        <w:tc>
          <w:tcPr>
            <w:tcW w:w="1970" w:type="dxa"/>
            <w:vMerge w:val="restart"/>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《工业企业厂界环境噪声排放标准》（GB12348-2008）中3类标准限值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8" w:space="0"/>
              <w:right w:val="single" w:color="auto" w:sz="4" w:space="0"/>
            </w:tcBorders>
            <w:vAlign w:val="center"/>
          </w:tcP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南厂界</w:t>
            </w:r>
          </w:p>
        </w:tc>
        <w:tc>
          <w:tcPr>
            <w:tcW w:w="1320" w:type="dxa"/>
            <w:vMerge w:val="continue"/>
            <w:tcBorders>
              <w:top w:val="single" w:color="auto" w:sz="4" w:space="0"/>
              <w:left w:val="single" w:color="auto" w:sz="4" w:space="0"/>
              <w:right w:val="single" w:color="auto" w:sz="4" w:space="0"/>
            </w:tcBorders>
            <w:vAlign w:val="center"/>
          </w:tcPr>
          <w:p/>
        </w:tc>
        <w:tc>
          <w:tcPr>
            <w:tcW w:w="2152" w:type="dxa"/>
            <w:vMerge w:val="continue"/>
            <w:tcBorders>
              <w:top w:val="single" w:color="auto" w:sz="4" w:space="0"/>
              <w:left w:val="single" w:color="auto" w:sz="4" w:space="0"/>
              <w:right w:val="single" w:color="auto" w:sz="4" w:space="0"/>
            </w:tcBorders>
            <w:vAlign w:val="center"/>
          </w:tcPr>
          <w:p/>
        </w:tc>
        <w:tc>
          <w:tcPr>
            <w:tcW w:w="1970" w:type="dxa"/>
            <w:vMerge w:val="continue"/>
            <w:tcBorders>
              <w:top w:val="single" w:color="auto" w:sz="4" w:space="0"/>
              <w:left w:val="single" w:color="auto" w:sz="4" w:space="0"/>
              <w:right w:val="single" w:color="auto" w:sz="8"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8" w:space="0"/>
              <w:right w:val="single" w:color="auto" w:sz="4" w:space="0"/>
            </w:tcBorders>
            <w:vAlign w:val="center"/>
          </w:tcP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西厂界</w:t>
            </w:r>
          </w:p>
        </w:tc>
        <w:tc>
          <w:tcPr>
            <w:tcW w:w="1320" w:type="dxa"/>
            <w:vMerge w:val="continue"/>
            <w:tcBorders>
              <w:top w:val="single" w:color="auto" w:sz="4" w:space="0"/>
              <w:left w:val="single" w:color="auto" w:sz="4" w:space="0"/>
              <w:right w:val="single" w:color="auto" w:sz="4" w:space="0"/>
            </w:tcBorders>
            <w:vAlign w:val="center"/>
          </w:tcPr>
          <w:p/>
        </w:tc>
        <w:tc>
          <w:tcPr>
            <w:tcW w:w="2152" w:type="dxa"/>
            <w:vMerge w:val="continue"/>
            <w:tcBorders>
              <w:top w:val="single" w:color="auto" w:sz="4" w:space="0"/>
              <w:left w:val="single" w:color="auto" w:sz="4" w:space="0"/>
              <w:right w:val="single" w:color="auto" w:sz="4" w:space="0"/>
            </w:tcBorders>
            <w:vAlign w:val="center"/>
          </w:tcPr>
          <w:p/>
        </w:tc>
        <w:tc>
          <w:tcPr>
            <w:tcW w:w="1970" w:type="dxa"/>
            <w:vMerge w:val="continue"/>
            <w:tcBorders>
              <w:top w:val="single" w:color="auto" w:sz="4" w:space="0"/>
              <w:left w:val="single" w:color="auto" w:sz="4" w:space="0"/>
              <w:right w:val="single" w:color="auto" w:sz="8"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8" w:space="0"/>
              <w:right w:val="single" w:color="auto" w:sz="4" w:space="0"/>
            </w:tcBorders>
            <w:vAlign w:val="center"/>
          </w:tcP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北厂界</w:t>
            </w:r>
          </w:p>
        </w:tc>
        <w:tc>
          <w:tcPr>
            <w:tcW w:w="1320" w:type="dxa"/>
            <w:vMerge w:val="continue"/>
            <w:tcBorders>
              <w:top w:val="single" w:color="auto" w:sz="4" w:space="0"/>
              <w:left w:val="single" w:color="auto" w:sz="4" w:space="0"/>
              <w:right w:val="single" w:color="auto" w:sz="4" w:space="0"/>
            </w:tcBorders>
            <w:vAlign w:val="center"/>
          </w:tcPr>
          <w:p/>
        </w:tc>
        <w:tc>
          <w:tcPr>
            <w:tcW w:w="2152" w:type="dxa"/>
            <w:vMerge w:val="continue"/>
            <w:tcBorders>
              <w:top w:val="single" w:color="auto" w:sz="4" w:space="0"/>
              <w:left w:val="single" w:color="auto" w:sz="4" w:space="0"/>
              <w:right w:val="single" w:color="auto" w:sz="4" w:space="0"/>
            </w:tcBorders>
            <w:vAlign w:val="center"/>
          </w:tcPr>
          <w:p/>
        </w:tc>
        <w:tc>
          <w:tcPr>
            <w:tcW w:w="1970" w:type="dxa"/>
            <w:vMerge w:val="continue"/>
            <w:tcBorders>
              <w:top w:val="single" w:color="auto" w:sz="4" w:space="0"/>
              <w:left w:val="single" w:color="auto" w:sz="4" w:space="0"/>
              <w:right w:val="single" w:color="auto" w:sz="8" w:space="0"/>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电磁辐射</w:t>
            </w:r>
          </w:p>
        </w:tc>
        <w:tc>
          <w:tcPr>
            <w:tcW w:w="158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1320"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215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c>
          <w:tcPr>
            <w:tcW w:w="1970" w:type="dxa"/>
            <w:tcBorders>
              <w:top w:val="single" w:color="auto" w:sz="4" w:space="0"/>
              <w:left w:val="single" w:color="auto" w:sz="4" w:space="0"/>
              <w:right w:val="single" w:color="auto" w:sz="8"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spacing w:line="360" w:lineRule="auto"/>
              <w:jc w:val="center"/>
              <w:rPr>
                <w:rFonts w:ascii="Times New Roman" w:hAnsi="Times New Roman" w:cs="Times New Roman"/>
                <w:color w:val="auto"/>
                <w:szCs w:val="21"/>
              </w:rPr>
            </w:pPr>
            <w:r>
              <w:rPr>
                <w:rFonts w:ascii="Times New Roman" w:hAnsi="Times New Roman" w:cs="Times New Roman"/>
                <w:color w:val="auto"/>
                <w:szCs w:val="21"/>
              </w:rPr>
              <w:t>固体废物</w:t>
            </w:r>
          </w:p>
        </w:tc>
        <w:tc>
          <w:tcPr>
            <w:tcW w:w="7022" w:type="dxa"/>
            <w:gridSpan w:val="4"/>
            <w:tcBorders>
              <w:top w:val="single" w:color="auto" w:sz="4" w:space="0"/>
              <w:left w:val="single" w:color="auto" w:sz="4" w:space="0"/>
              <w:right w:val="single" w:color="auto" w:sz="8" w:space="0"/>
            </w:tcBorders>
            <w:vAlign w:val="center"/>
          </w:tcPr>
          <w:p>
            <w:pPr>
              <w:adjustRightInd w:val="0"/>
              <w:snapToGrid w:val="0"/>
              <w:spacing w:line="360" w:lineRule="auto"/>
              <w:rPr>
                <w:rFonts w:ascii="Times New Roman" w:hAnsi="Times New Roman" w:cs="Times New Roman"/>
                <w:color w:val="auto"/>
                <w:szCs w:val="21"/>
              </w:rPr>
            </w:pPr>
            <w:r>
              <w:rPr>
                <w:rFonts w:ascii="Times New Roman" w:hAnsi="Times New Roman" w:cs="Times New Roman"/>
                <w:b/>
                <w:color w:val="auto"/>
                <w:szCs w:val="21"/>
              </w:rPr>
              <w:t>一般固废：</w:t>
            </w:r>
            <w:r>
              <w:rPr>
                <w:rFonts w:ascii="Times New Roman" w:hAnsi="Times New Roman" w:cs="Times New Roman"/>
                <w:color w:val="auto"/>
                <w:szCs w:val="21"/>
              </w:rPr>
              <w:t>生活垃圾</w:t>
            </w:r>
            <w:r>
              <w:rPr>
                <w:rFonts w:hint="eastAsia" w:cs="Times New Roman"/>
                <w:color w:val="auto"/>
                <w:szCs w:val="21"/>
                <w:lang w:eastAsia="zh-CN"/>
              </w:rPr>
              <w:t>、</w:t>
            </w:r>
            <w:r>
              <w:rPr>
                <w:rFonts w:hint="eastAsia" w:cs="Times New Roman"/>
                <w:color w:val="auto"/>
                <w:szCs w:val="21"/>
                <w:lang w:val="en-US" w:eastAsia="zh-CN"/>
              </w:rPr>
              <w:t>除尘器收尘</w:t>
            </w:r>
            <w:r>
              <w:rPr>
                <w:rFonts w:ascii="Times New Roman" w:hAnsi="Times New Roman" w:cs="Times New Roman"/>
                <w:color w:val="auto"/>
                <w:szCs w:val="21"/>
              </w:rPr>
              <w:t>交环卫部门定期清运</w:t>
            </w:r>
            <w:r>
              <w:rPr>
                <w:rFonts w:hint="eastAsia" w:cs="Times New Roman"/>
                <w:color w:val="auto"/>
                <w:szCs w:val="21"/>
                <w:lang w:val="en-US" w:eastAsia="zh-CN"/>
              </w:rPr>
              <w:t>处理，灰渣收集后作为下游企业的原料，外售处理</w:t>
            </w:r>
            <w:r>
              <w:rPr>
                <w:rFonts w:ascii="Times New Roman" w:hAnsi="Times New Roman" w:cs="Times New Roman"/>
                <w:color w:val="auto"/>
                <w:szCs w:val="21"/>
              </w:rPr>
              <w:t>。</w:t>
            </w:r>
          </w:p>
          <w:p>
            <w:pPr>
              <w:spacing w:line="360" w:lineRule="auto"/>
              <w:rPr>
                <w:rFonts w:ascii="Times New Roman" w:hAnsi="Times New Roman" w:cs="Times New Roman"/>
                <w:color w:val="auto"/>
                <w:szCs w:val="21"/>
              </w:rPr>
            </w:pPr>
            <w:r>
              <w:rPr>
                <w:rFonts w:ascii="Times New Roman" w:hAnsi="Times New Roman" w:cs="Times New Roman"/>
                <w:b/>
                <w:color w:val="auto"/>
                <w:szCs w:val="21"/>
              </w:rPr>
              <w:t>危险固废：</w:t>
            </w:r>
            <w:r>
              <w:rPr>
                <w:rFonts w:ascii="Times New Roman" w:hAnsi="Times New Roman" w:cs="Times New Roman"/>
                <w:color w:val="auto"/>
                <w:szCs w:val="21"/>
              </w:rPr>
              <w:t>废机油及桶、废含油手套抹布</w:t>
            </w:r>
            <w:r>
              <w:rPr>
                <w:rFonts w:ascii="Times New Roman" w:hAnsi="Times New Roman" w:cs="Times New Roman"/>
                <w:bCs/>
                <w:color w:val="auto"/>
                <w:spacing w:val="-2"/>
                <w:szCs w:val="21"/>
              </w:rPr>
              <w:t>分类暂存</w:t>
            </w:r>
            <w:r>
              <w:rPr>
                <w:rFonts w:hint="eastAsia" w:cs="Times New Roman"/>
                <w:bCs/>
                <w:color w:val="auto"/>
                <w:spacing w:val="-2"/>
                <w:szCs w:val="21"/>
                <w:lang w:val="en-US" w:eastAsia="zh-CN"/>
              </w:rPr>
              <w:t>于已建的</w:t>
            </w:r>
            <w:r>
              <w:rPr>
                <w:rFonts w:ascii="Times New Roman" w:hAnsi="Times New Roman" w:cs="Times New Roman"/>
                <w:bCs/>
                <w:color w:val="auto"/>
                <w:spacing w:val="-2"/>
                <w:szCs w:val="21"/>
              </w:rPr>
              <w:t>危险废物暂存间，定期交具有处置资质的单位处置</w:t>
            </w:r>
            <w:r>
              <w:rPr>
                <w:rFonts w:ascii="Times New Roman" w:hAnsi="Times New Roman" w:cs="Times New Roman"/>
                <w:color w:val="auto"/>
                <w:szCs w:val="21"/>
              </w:rPr>
              <w:t>。废离子交换树脂</w:t>
            </w:r>
            <w:r>
              <w:rPr>
                <w:rFonts w:hint="eastAsia" w:cs="Times New Roman"/>
                <w:color w:val="auto"/>
                <w:szCs w:val="21"/>
                <w:lang w:eastAsia="zh-CN"/>
              </w:rPr>
              <w:t>、</w:t>
            </w:r>
            <w:r>
              <w:rPr>
                <w:rFonts w:hint="eastAsia" w:cs="Times New Roman"/>
                <w:color w:val="auto"/>
                <w:szCs w:val="21"/>
                <w:lang w:val="en-US" w:eastAsia="zh-CN"/>
              </w:rPr>
              <w:t>废催化剂由</w:t>
            </w:r>
            <w:r>
              <w:rPr>
                <w:rFonts w:hint="eastAsia" w:ascii="Times New Roman" w:hAnsi="Times New Roman" w:cs="Times New Roman"/>
                <w:color w:val="auto"/>
                <w:kern w:val="0"/>
                <w:sz w:val="21"/>
                <w:szCs w:val="21"/>
                <w:lang w:val="en-US" w:eastAsia="zh-CN"/>
              </w:rPr>
              <w:t>更换单位带走</w:t>
            </w:r>
            <w:r>
              <w:rPr>
                <w:rFonts w:hint="eastAsia" w:cs="Times New Roman"/>
                <w:color w:val="auto"/>
                <w:kern w:val="0"/>
                <w:sz w:val="21"/>
                <w:szCs w:val="21"/>
                <w:lang w:val="en-US" w:eastAsia="zh-CN"/>
              </w:rPr>
              <w:t>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土壤及地下水</w:t>
            </w:r>
          </w:p>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污染防治措施</w:t>
            </w:r>
          </w:p>
        </w:tc>
        <w:tc>
          <w:tcPr>
            <w:tcW w:w="7022" w:type="dxa"/>
            <w:gridSpan w:val="4"/>
            <w:tcBorders>
              <w:top w:val="single" w:color="auto" w:sz="4" w:space="0"/>
              <w:left w:val="single" w:color="auto" w:sz="4" w:space="0"/>
              <w:right w:val="single" w:color="auto" w:sz="8" w:space="0"/>
            </w:tcBorders>
            <w:vAlign w:val="center"/>
          </w:tcPr>
          <w:p>
            <w:pPr>
              <w:adjustRightInd w:val="0"/>
              <w:snapToGrid w:val="0"/>
              <w:spacing w:line="360" w:lineRule="auto"/>
              <w:ind w:firstLine="422" w:firstLineChars="200"/>
              <w:rPr>
                <w:rFonts w:ascii="Times New Roman" w:hAnsi="Times New Roman" w:cs="Times New Roman"/>
                <w:color w:val="auto"/>
                <w:szCs w:val="21"/>
              </w:rPr>
            </w:pPr>
            <w:r>
              <w:rPr>
                <w:rFonts w:ascii="Times New Roman" w:hAnsi="Times New Roman" w:cs="Times New Roman"/>
                <w:b/>
                <w:color w:val="auto"/>
                <w:szCs w:val="21"/>
              </w:rPr>
              <w:t>地下水防治措施：</w:t>
            </w:r>
            <w:r>
              <w:rPr>
                <w:rFonts w:ascii="Times New Roman" w:hAnsi="Times New Roman" w:cs="Times New Roman"/>
                <w:color w:val="auto"/>
                <w:szCs w:val="21"/>
              </w:rPr>
              <w:t>将厂区划分为重点污染防渗区、一般污染防渗区和简单防渗区，重点防渗区地面铺设20cm厚的P4抗渗透混凝土+2mm环氧树脂膜进行防渗处理，同时危废间铺设钢制托盘</w:t>
            </w:r>
            <w:r>
              <w:rPr>
                <w:rFonts w:hint="eastAsia" w:cs="Times New Roman"/>
                <w:color w:val="auto"/>
                <w:szCs w:val="21"/>
                <w:lang w:eastAsia="zh-CN"/>
              </w:rPr>
              <w:t>揭露</w:t>
            </w:r>
            <w:r>
              <w:rPr>
                <w:rFonts w:ascii="Times New Roman" w:hAnsi="Times New Roman" w:cs="Times New Roman"/>
                <w:color w:val="auto"/>
                <w:szCs w:val="21"/>
              </w:rPr>
              <w:t>防渗，以确保渗透系数≤10</w:t>
            </w:r>
            <w:r>
              <w:rPr>
                <w:rFonts w:ascii="Times New Roman" w:hAnsi="Times New Roman" w:cs="Times New Roman"/>
                <w:color w:val="auto"/>
                <w:szCs w:val="21"/>
                <w:vertAlign w:val="superscript"/>
              </w:rPr>
              <w:t>-</w:t>
            </w:r>
            <w:r>
              <w:rPr>
                <w:rFonts w:ascii="Times New Roman" w:hAnsi="Times New Roman" w:cs="Times New Roman"/>
                <w:color w:val="auto"/>
                <w:szCs w:val="21"/>
                <w:vertAlign w:val="superscript"/>
                <w:lang w:val="en-US" w:eastAsia="zh-CN"/>
              </w:rPr>
              <w:t>7</w:t>
            </w:r>
            <w:r>
              <w:rPr>
                <w:rFonts w:ascii="Times New Roman" w:hAnsi="Times New Roman" w:cs="Times New Roman"/>
                <w:color w:val="auto"/>
                <w:szCs w:val="21"/>
              </w:rPr>
              <w:t>cm/s；一般防渗区为防渗混凝土硬化，能保证等效黏土防渗层Mb≥1.5m、渗透系数K≤10</w:t>
            </w:r>
            <w:r>
              <w:rPr>
                <w:rFonts w:ascii="Times New Roman" w:hAnsi="Times New Roman" w:cs="Times New Roman"/>
                <w:color w:val="auto"/>
                <w:szCs w:val="21"/>
                <w:vertAlign w:val="superscript"/>
              </w:rPr>
              <w:t>-7</w:t>
            </w:r>
            <w:r>
              <w:rPr>
                <w:rFonts w:ascii="Times New Roman" w:hAnsi="Times New Roman" w:cs="Times New Roman"/>
                <w:color w:val="auto"/>
                <w:szCs w:val="21"/>
              </w:rPr>
              <w:t>cm/s的要求；简单防渗区为防渗混凝土硬化；加强原辅料、气瓶、危险固废等的暂存管理；</w:t>
            </w:r>
          </w:p>
          <w:p>
            <w:pPr>
              <w:adjustRightInd w:val="0"/>
              <w:snapToGrid w:val="0"/>
              <w:spacing w:line="360" w:lineRule="auto"/>
              <w:ind w:firstLine="422" w:firstLineChars="200"/>
              <w:rPr>
                <w:rFonts w:ascii="Times New Roman" w:hAnsi="Times New Roman" w:cs="Times New Roman"/>
                <w:color w:val="auto"/>
                <w:szCs w:val="21"/>
              </w:rPr>
            </w:pPr>
            <w:r>
              <w:rPr>
                <w:rFonts w:ascii="Times New Roman" w:hAnsi="Times New Roman" w:cs="Times New Roman"/>
                <w:b/>
                <w:color w:val="auto"/>
                <w:szCs w:val="21"/>
              </w:rPr>
              <w:t>土壤防治措施：</w:t>
            </w:r>
            <w:r>
              <w:rPr>
                <w:rFonts w:ascii="Times New Roman" w:hAnsi="Times New Roman" w:cs="Times New Roman"/>
                <w:color w:val="auto"/>
              </w:rPr>
              <w:t>从原料和产品储存、装卸、运输、生产过程、污染处理装置等全过程控制各种原辅材料、中间产品及固废、生产废水泄漏（含跑、冒、滴、漏），同时对有害物质可能泄漏到</w:t>
            </w:r>
            <w:r>
              <w:rPr>
                <w:rFonts w:ascii="Times New Roman" w:hAnsi="Times New Roman" w:cs="Times New Roman"/>
                <w:color w:val="auto"/>
                <w:lang w:val="en-US" w:eastAsia="zh-CN"/>
              </w:rPr>
              <w:t xml:space="preserve"> </w:t>
            </w:r>
            <w:r>
              <w:rPr>
                <w:rFonts w:ascii="Times New Roman" w:hAnsi="Times New Roman" w:cs="Times New Roman"/>
                <w:color w:val="auto"/>
              </w:rPr>
              <w:t>地面的区域采取防渗措施，阻止其进入土壤中，即从源头到末端全方位采取控制措施，防止项目的建设对土壤造成污染；从生产过程入手，在工艺、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针对各类废气污染物均采取了对应的治理措施，确保污染物达标排放；涉及地面漫流途径须设置多级防控、全厂分区防渗等措施；全厂按重点污染防治区、一般污染防治区、简单防渗区分别采取不同等级的防渗措施；跟踪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生态保护措施</w:t>
            </w:r>
          </w:p>
        </w:tc>
        <w:tc>
          <w:tcPr>
            <w:tcW w:w="7022" w:type="dxa"/>
            <w:gridSpan w:val="4"/>
            <w:tcBorders>
              <w:top w:val="single" w:color="auto" w:sz="4" w:space="0"/>
              <w:left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①在施工过程中必须做到对施工区土壤的分层剥离、分层开挖、分层堆放和循序分层回填。应注意表层土壤的堆放及防护问题，避免雨天施工，施工时采取修建挡土墙、排水沟、覆盖塑料布等措施，可有效防止水土流失。施工设置杂货区、垃圾箱，明确卫生责任区，确定责任人，并定期打扫清除。</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Times New Roman" w:hAnsi="Times New Roman" w:cs="Times New Roman"/>
                <w:color w:val="auto"/>
                <w:szCs w:val="21"/>
              </w:rPr>
            </w:pPr>
            <w:r>
              <w:rPr>
                <w:rFonts w:ascii="Times New Roman" w:hAnsi="Times New Roman" w:cs="Times New Roman"/>
                <w:color w:val="auto"/>
                <w:sz w:val="21"/>
                <w:szCs w:val="21"/>
                <w:highlight w:val="none"/>
              </w:rPr>
              <w:t>②尽量减少施工人员及施工机械对作业场外的植被破坏。施工便道尽量利用现有道路。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pacing w:val="-8"/>
                <w:szCs w:val="21"/>
              </w:rPr>
            </w:pPr>
            <w:r>
              <w:rPr>
                <w:rFonts w:ascii="Times New Roman" w:hAnsi="Times New Roman" w:cs="Times New Roman"/>
                <w:color w:val="auto"/>
                <w:spacing w:val="-8"/>
                <w:szCs w:val="21"/>
              </w:rPr>
              <w:t>环境风险</w:t>
            </w:r>
          </w:p>
          <w:p>
            <w:pPr>
              <w:adjustRightInd w:val="0"/>
              <w:snapToGrid w:val="0"/>
              <w:jc w:val="center"/>
              <w:rPr>
                <w:rFonts w:ascii="Times New Roman" w:hAnsi="Times New Roman" w:cs="Times New Roman"/>
                <w:color w:val="auto"/>
                <w:spacing w:val="-8"/>
                <w:szCs w:val="21"/>
              </w:rPr>
            </w:pPr>
            <w:r>
              <w:rPr>
                <w:rFonts w:ascii="Times New Roman" w:hAnsi="Times New Roman" w:cs="Times New Roman"/>
                <w:color w:val="auto"/>
                <w:spacing w:val="-8"/>
                <w:szCs w:val="21"/>
              </w:rPr>
              <w:t>防范措施</w:t>
            </w:r>
          </w:p>
        </w:tc>
        <w:tc>
          <w:tcPr>
            <w:tcW w:w="7022" w:type="dxa"/>
            <w:gridSpan w:val="4"/>
            <w:tcBorders>
              <w:top w:val="single" w:color="auto" w:sz="4" w:space="0"/>
              <w:left w:val="single" w:color="auto" w:sz="4" w:space="0"/>
              <w:right w:val="single" w:color="auto" w:sz="8" w:space="0"/>
            </w:tcBorders>
            <w:vAlign w:val="center"/>
          </w:tcPr>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（1）火灾防范措施 </w:t>
            </w:r>
          </w:p>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设立专门的环境管理机构，制定日常管理措施、消防措施和应急预案。对工作人员进行火灾事态时的报警培训，已成立环境风险事故应急救援领导小组和应急救援专业队伍。 </w:t>
            </w:r>
          </w:p>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加强厂区消防设施的日常管理，确保事故时消防设施能够正常使用，针对厂房等可能出现的火灾事故三个月进行一次消防演练。 </w:t>
            </w:r>
          </w:p>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严格明火管理。严格按照《中华人民共和国爆炸危险场所安全规程》和现行有关标准、规程及要求执行。 </w:t>
            </w:r>
          </w:p>
          <w:p>
            <w:pPr>
              <w:spacing w:line="360" w:lineRule="auto"/>
              <w:ind w:firstLine="420"/>
              <w:rPr>
                <w:rFonts w:ascii="Times New Roman" w:hAnsi="Times New Roman" w:cs="Times New Roman"/>
                <w:color w:val="auto"/>
              </w:rPr>
            </w:pPr>
            <w:r>
              <w:rPr>
                <w:rFonts w:ascii="Times New Roman" w:hAnsi="Times New Roman" w:cs="Times New Roman"/>
                <w:color w:val="auto"/>
              </w:rPr>
              <w:t>消防器材设置在明显和便于取用的地点，周围未堆放物品和杂物。消防设施、器材，由专人管理，负责检查、维修、保养、更换和添置，保证完好有效，严禁圈占、埋压和挪用。配备消防器材（如干粉灭火器等）和消防设施；</w:t>
            </w:r>
            <w:r>
              <w:rPr>
                <w:rFonts w:hint="eastAsia" w:cs="Times New Roman"/>
                <w:color w:val="auto"/>
                <w:lang w:eastAsia="zh-CN"/>
              </w:rPr>
              <w:t>标识</w:t>
            </w:r>
            <w:r>
              <w:rPr>
                <w:rFonts w:ascii="Times New Roman" w:hAnsi="Times New Roman" w:cs="Times New Roman"/>
                <w:color w:val="auto"/>
              </w:rPr>
              <w:t xml:space="preserve">明确，使用方便。 </w:t>
            </w:r>
          </w:p>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出现火灾时应及时将可燃物品搬离，远离火源。 </w:t>
            </w:r>
          </w:p>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项目内定期进行电路、电气检查，消除安全隐患。 </w:t>
            </w:r>
          </w:p>
          <w:p>
            <w:pPr>
              <w:spacing w:line="360" w:lineRule="auto"/>
              <w:ind w:firstLine="420"/>
              <w:rPr>
                <w:rFonts w:ascii="Times New Roman" w:hAnsi="Times New Roman" w:cs="Times New Roman"/>
                <w:color w:val="auto"/>
              </w:rPr>
            </w:pPr>
            <w:r>
              <w:rPr>
                <w:rFonts w:ascii="Times New Roman" w:hAnsi="Times New Roman" w:cs="Times New Roman"/>
                <w:color w:val="auto"/>
              </w:rPr>
              <w:t xml:space="preserve">建设单位在项目竣工经过消防验收合格后，才能投入使用。 </w:t>
            </w:r>
          </w:p>
          <w:p>
            <w:pPr>
              <w:spacing w:line="360" w:lineRule="auto"/>
              <w:ind w:firstLine="420"/>
              <w:rPr>
                <w:rFonts w:ascii="Times New Roman" w:hAnsi="Times New Roman" w:cs="Times New Roman"/>
                <w:color w:val="auto"/>
              </w:rPr>
            </w:pPr>
            <w:r>
              <w:rPr>
                <w:rFonts w:ascii="Times New Roman" w:hAnsi="Times New Roman" w:cs="Times New Roman"/>
                <w:color w:val="auto"/>
              </w:rPr>
              <w:t>（2）泄漏防范措施</w:t>
            </w:r>
          </w:p>
          <w:p>
            <w:pPr>
              <w:spacing w:line="360" w:lineRule="auto"/>
              <w:ind w:firstLine="420" w:firstLineChars="200"/>
              <w:rPr>
                <w:rFonts w:ascii="Times New Roman" w:hAnsi="Times New Roman" w:cs="Times New Roman"/>
                <w:color w:val="auto"/>
              </w:rPr>
            </w:pPr>
            <w:r>
              <w:rPr>
                <w:rFonts w:ascii="Times New Roman" w:hAnsi="Times New Roman" w:cs="Times New Roman"/>
                <w:color w:val="auto"/>
              </w:rPr>
              <w:t>加强机油、柴油等原辅材料的运输、使用管理：加强机油、柴油运输、使用环节的环境管理措施，避免跑、冒、滴、漏，对可能出现漏油的使用机油设备，在设备下加不锈钢托盘，并设置空桶作为备用设施，</w:t>
            </w:r>
          </w:p>
          <w:p>
            <w:pPr>
              <w:spacing w:line="360" w:lineRule="auto"/>
              <w:ind w:firstLine="420" w:firstLineChars="200"/>
              <w:rPr>
                <w:rFonts w:ascii="Times New Roman" w:hAnsi="Times New Roman" w:cs="Times New Roman"/>
                <w:color w:val="auto"/>
              </w:rPr>
            </w:pPr>
            <w:r>
              <w:rPr>
                <w:rFonts w:ascii="Times New Roman" w:hAnsi="Times New Roman" w:cs="Times New Roman"/>
                <w:color w:val="auto"/>
              </w:rPr>
              <w:t>储油间按重点防渗处理。使用后的废机油、柴油等油类物质收集后暂存于危废暂存间，设置专用桶，下面设置不锈钢托盘，并设置空桶作为备用设施，定期由资质单位处置。</w:t>
            </w:r>
          </w:p>
          <w:p>
            <w:pPr>
              <w:spacing w:line="360" w:lineRule="auto"/>
              <w:ind w:firstLine="420" w:firstLineChars="200"/>
              <w:rPr>
                <w:rFonts w:ascii="Times New Roman" w:hAnsi="Times New Roman" w:cs="Times New Roman"/>
                <w:color w:val="auto"/>
              </w:rPr>
            </w:pPr>
            <w:r>
              <w:rPr>
                <w:rFonts w:ascii="Times New Roman" w:hAnsi="Times New Roman" w:cs="Times New Roman"/>
                <w:color w:val="auto"/>
              </w:rPr>
              <w:t>对危废暂存间加强管理：设置专用容器作为备用容器；危险废物全部暂存于危险废物暂存库内，做到“四防”；危险废物暂存间内地面增加2mm厚的环氧树脂防渗膜或其他防渗材料进行防渗处理，同时设置防漏裙脚或围堰（围堰高度不低于10cm）；危险废物分类暂存，装载液体、半固体危险废物的容器内须留足够空间，盛装危险废物的容器上必须粘贴符合标准的标签，各种危险废物的储存容器都有很好的密封性，各暂存于危险废物暂存间内的危险废物定期（不超过1年）交由有危废处理资质的单位进行处理。</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w:t>
            </w:r>
            <w:r>
              <w:rPr>
                <w:rFonts w:ascii="Times New Roman" w:hAnsi="Times New Roman" w:cs="Times New Roman"/>
                <w:color w:val="auto"/>
                <w:sz w:val="21"/>
                <w:szCs w:val="21"/>
                <w:lang w:val="en-US" w:eastAsia="zh-CN"/>
              </w:rPr>
              <w:t>3</w:t>
            </w:r>
            <w:r>
              <w:rPr>
                <w:rFonts w:ascii="Times New Roman" w:hAnsi="Times New Roman" w:cs="Times New Roman"/>
                <w:color w:val="auto"/>
                <w:sz w:val="21"/>
                <w:szCs w:val="21"/>
              </w:rPr>
              <w:t>）废气事故排放</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对各类安全设施、环保设施、消防器材等进行定期检查，并将发现的问题责任到人落实整改；公司环保专员应定期对厂区设备进行检查，当环保设施装置故障时，应及时关闭生产设备，从源头制止污染源产生，及时对环保设备进行检修，确保废气达标排放。</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（4）锅炉运行过程中风险防范措施</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①工艺技术安全措施：加强通风，防止</w:t>
            </w:r>
            <w:r>
              <w:rPr>
                <w:rFonts w:hint="eastAsia" w:ascii="Times New Roman" w:hAnsi="Times New Roman" w:cs="Times New Roman"/>
                <w:color w:val="auto"/>
                <w:sz w:val="21"/>
                <w:szCs w:val="21"/>
                <w:lang w:val="en-US" w:eastAsia="zh-CN"/>
              </w:rPr>
              <w:t>气体</w:t>
            </w:r>
            <w:r>
              <w:rPr>
                <w:rFonts w:ascii="Times New Roman" w:hAnsi="Times New Roman" w:cs="Times New Roman"/>
                <w:color w:val="auto"/>
                <w:sz w:val="21"/>
                <w:szCs w:val="21"/>
                <w:lang w:val="en-US" w:eastAsia="zh-CN"/>
              </w:rPr>
              <w:t>积聚；增加燃烧室高度，保证</w:t>
            </w:r>
            <w:r>
              <w:rPr>
                <w:rFonts w:hint="eastAsia" w:ascii="Times New Roman" w:hAnsi="Times New Roman" w:cs="Times New Roman"/>
                <w:color w:val="auto"/>
                <w:sz w:val="21"/>
                <w:szCs w:val="21"/>
                <w:lang w:val="en-US" w:eastAsia="zh-CN"/>
              </w:rPr>
              <w:t>生物质气体</w:t>
            </w:r>
            <w:r>
              <w:rPr>
                <w:rFonts w:ascii="Times New Roman" w:hAnsi="Times New Roman" w:cs="Times New Roman"/>
                <w:color w:val="auto"/>
                <w:sz w:val="21"/>
                <w:szCs w:val="21"/>
                <w:lang w:val="en-US" w:eastAsia="zh-CN"/>
              </w:rPr>
              <w:t>完全燃烧：设置PLC监控系统，锅炉点火、燃烧、吹扫、火焰监视及</w:t>
            </w:r>
            <w:r>
              <w:rPr>
                <w:rFonts w:hint="eastAsia" w:ascii="Times New Roman" w:hAnsi="Times New Roman" w:cs="Times New Roman"/>
                <w:color w:val="auto"/>
                <w:sz w:val="21"/>
                <w:szCs w:val="21"/>
                <w:lang w:val="en-US" w:eastAsia="zh-CN"/>
              </w:rPr>
              <w:t>气体</w:t>
            </w:r>
            <w:r>
              <w:rPr>
                <w:rFonts w:ascii="Times New Roman" w:hAnsi="Times New Roman" w:cs="Times New Roman"/>
                <w:color w:val="auto"/>
                <w:sz w:val="21"/>
                <w:szCs w:val="21"/>
                <w:lang w:val="en-US" w:eastAsia="zh-CN"/>
              </w:rPr>
              <w:t>与空气的比例调节均实现自动化</w:t>
            </w:r>
            <w:r>
              <w:rPr>
                <w:rFonts w:hint="eastAsia" w:cs="Times New Roman"/>
                <w:color w:val="auto"/>
                <w:sz w:val="21"/>
                <w:szCs w:val="21"/>
                <w:lang w:val="en-US" w:eastAsia="zh-CN"/>
              </w:rPr>
              <w:t>，</w:t>
            </w:r>
            <w:r>
              <w:rPr>
                <w:rFonts w:ascii="Times New Roman" w:hAnsi="Times New Roman" w:cs="Times New Roman"/>
                <w:color w:val="auto"/>
                <w:sz w:val="21"/>
                <w:szCs w:val="21"/>
                <w:lang w:val="en-US" w:eastAsia="zh-CN"/>
              </w:rPr>
              <w:t>确保完全、安全燃烧，在锅炉点火过程中，如主烧咀未点燃，将关闭所有阀门，用氮气吹扫、测爆，再重复点燃操作：烧咀点燃、运转数分钟后，在烟囱测试烟气中是否含可燃成分：设置可燃气体泄漏报警装置。</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②防火防爆措施：防爆区域选用防爆电气设备。爆炸危险区域设置防雷、防静电接地。设置火灾自动报警系统，现场设置防爆手动报警按钮及防爆火警铃。</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③平面布置安全措施：锅炉与周边装置的距离要符合规范的防火间距要求。本项目输气风机属于爆炸危险区域，确保足够的防火间距。</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④输气管线设置静电接地装置，并和防雷感应的接地装置相连。</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⑤安全管理措施：建设单位设置专门的安环部门，负责项目安全、环境管理工作。针对燃气锅炉的风险特征采取相应的安全管理措施，确保燃气锅炉安全运行。日常工作中，定期对锅炉各类设备运行进行监视、检查、维护，确保各类设备、设施、仪表处于完好状态：对各类消防设施定期检验，防止失效：制定相关规章制度，包括锅炉生产安全、环保技术规程、锅炉岗位操作法、锅炉工艺规程、员工安全生产责任制、安全检修制度等，定期对员工开展安全培训。制定全面的应急预案，针对存在的事故隐患，编制应急处置方案，定期开展应急演习。维修、保养过程严格按照相关安全规程进行。</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（5）其他防范措施</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①注重对作业人员的操作培训和教育，操作使用要严格按操作规程操作，确保设备的正常运行，并每半年对设备检查一次，半年维护一次；</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②生产设备要建立完善的运转、故障、检修的技术档案；</w:t>
            </w:r>
          </w:p>
          <w:p>
            <w:pPr>
              <w:pStyle w:val="2"/>
              <w:adjustRightInd w:val="0"/>
              <w:snapToGrid w:val="0"/>
              <w:spacing w:before="0" w:after="0" w:line="360" w:lineRule="auto"/>
              <w:ind w:right="0" w:firstLine="420" w:firstLineChars="200"/>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③项目气化、净化设备配置水封装置及可燃气体报警装置，同时配置温度、压力等测量仪表，在燃气管道上配置燃气低压报警装置，生产及输配的所有设备和管道应经常检查，严防跑、冒、滴、漏；</w:t>
            </w:r>
          </w:p>
          <w:p>
            <w:pPr>
              <w:pStyle w:val="2"/>
              <w:adjustRightInd w:val="0"/>
              <w:snapToGrid w:val="0"/>
              <w:spacing w:before="0" w:after="0" w:line="360" w:lineRule="auto"/>
              <w:ind w:right="0" w:firstLine="420" w:firstLineChars="200"/>
              <w:rPr>
                <w:rFonts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eastAsia="zh-CN"/>
              </w:rPr>
              <w:t>④项目锅炉房配置消防灭火器、消防沙等应急物资。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tcBorders>
              <w:top w:val="single" w:color="auto" w:sz="4" w:space="0"/>
              <w:left w:val="single" w:color="auto" w:sz="8" w:space="0"/>
              <w:right w:val="single" w:color="auto" w:sz="4" w:space="0"/>
            </w:tcBorders>
            <w:vAlign w:val="center"/>
          </w:tcPr>
          <w:p>
            <w:pPr>
              <w:adjustRightInd w:val="0"/>
              <w:snapToGrid w:val="0"/>
              <w:jc w:val="center"/>
              <w:rPr>
                <w:rFonts w:ascii="Times New Roman" w:hAnsi="Times New Roman" w:cs="Times New Roman"/>
                <w:color w:val="auto"/>
                <w:spacing w:val="-8"/>
                <w:szCs w:val="21"/>
              </w:rPr>
            </w:pPr>
            <w:r>
              <w:rPr>
                <w:rFonts w:ascii="Times New Roman" w:hAnsi="Times New Roman" w:cs="Times New Roman"/>
                <w:color w:val="auto"/>
                <w:spacing w:val="-8"/>
                <w:szCs w:val="21"/>
              </w:rPr>
              <w:t>其他环境</w:t>
            </w:r>
          </w:p>
          <w:p>
            <w:pPr>
              <w:adjustRightInd w:val="0"/>
              <w:snapToGrid w:val="0"/>
              <w:jc w:val="center"/>
              <w:rPr>
                <w:rFonts w:ascii="Times New Roman" w:hAnsi="Times New Roman" w:cs="Times New Roman"/>
                <w:color w:val="auto"/>
                <w:spacing w:val="-8"/>
                <w:szCs w:val="21"/>
              </w:rPr>
            </w:pPr>
            <w:r>
              <w:rPr>
                <w:rFonts w:ascii="Times New Roman" w:hAnsi="Times New Roman" w:cs="Times New Roman"/>
                <w:color w:val="auto"/>
                <w:spacing w:val="-8"/>
                <w:szCs w:val="21"/>
              </w:rPr>
              <w:t>管理要求</w:t>
            </w:r>
          </w:p>
        </w:tc>
        <w:tc>
          <w:tcPr>
            <w:tcW w:w="7022" w:type="dxa"/>
            <w:gridSpan w:val="4"/>
            <w:tcBorders>
              <w:top w:val="single" w:color="auto" w:sz="4" w:space="0"/>
              <w:left w:val="single" w:color="auto" w:sz="4" w:space="0"/>
              <w:right w:val="single" w:color="auto" w:sz="8" w:space="0"/>
            </w:tcBorders>
            <w:vAlign w:val="center"/>
          </w:tcPr>
          <w:p>
            <w:pPr>
              <w:adjustRightInd w:val="0"/>
              <w:snapToGrid w:val="0"/>
              <w:spacing w:line="360" w:lineRule="auto"/>
              <w:ind w:firstLine="420" w:firstLineChars="200"/>
              <w:rPr>
                <w:rFonts w:ascii="Times New Roman" w:hAnsi="Times New Roman" w:cs="Times New Roman"/>
                <w:color w:val="auto"/>
              </w:rPr>
            </w:pPr>
            <w:r>
              <w:rPr>
                <w:rFonts w:ascii="Times New Roman" w:hAnsi="Times New Roman" w:cs="Times New Roman"/>
                <w:color w:val="auto"/>
              </w:rPr>
              <w:t>建立相应环保机构，配置专兼职环保人员，健全环保档案管理制度。</w:t>
            </w:r>
          </w:p>
          <w:p>
            <w:pPr>
              <w:adjustRightInd w:val="0"/>
              <w:snapToGrid w:val="0"/>
              <w:spacing w:line="360" w:lineRule="auto"/>
              <w:ind w:firstLine="420" w:firstLineChars="200"/>
              <w:rPr>
                <w:rFonts w:ascii="Times New Roman" w:hAnsi="Times New Roman" w:cs="Times New Roman"/>
                <w:color w:val="auto"/>
              </w:rPr>
            </w:pPr>
            <w:r>
              <w:rPr>
                <w:rFonts w:ascii="Times New Roman" w:hAnsi="Times New Roman" w:cs="Times New Roman"/>
                <w:color w:val="auto"/>
              </w:rPr>
              <w:t>保持厂区地面清洁，同时厂区内应指定危废暂存间，做好防护措施，并设置标识标牌。</w:t>
            </w:r>
          </w:p>
          <w:p>
            <w:pPr>
              <w:adjustRightInd w:val="0"/>
              <w:snapToGrid w:val="0"/>
              <w:spacing w:line="360" w:lineRule="auto"/>
              <w:ind w:firstLine="420" w:firstLineChars="200"/>
              <w:rPr>
                <w:rFonts w:ascii="Times New Roman" w:hAnsi="Times New Roman" w:cs="Times New Roman"/>
                <w:color w:val="auto"/>
                <w:szCs w:val="21"/>
              </w:rPr>
            </w:pPr>
            <w:r>
              <w:rPr>
                <w:rFonts w:ascii="Times New Roman" w:hAnsi="Times New Roman" w:cs="Times New Roman"/>
                <w:color w:val="auto"/>
              </w:rPr>
              <w:t>严格执行建设项目的“三同时”制度，强化工程的环境保护工作。按《</w:t>
            </w:r>
            <w:bookmarkStart w:id="14" w:name="_GoBack"/>
            <w:bookmarkEnd w:id="14"/>
            <w:r>
              <w:rPr>
                <w:rFonts w:hint="eastAsia" w:cs="Times New Roman"/>
                <w:color w:val="auto"/>
                <w:lang w:eastAsia="zh-CN"/>
              </w:rPr>
              <w:t>建设项目环境保护管理条例</w:t>
            </w:r>
            <w:r>
              <w:rPr>
                <w:rFonts w:ascii="Times New Roman" w:hAnsi="Times New Roman" w:cs="Times New Roman"/>
                <w:color w:val="auto"/>
              </w:rPr>
              <w:t>》（中华人民共和国国务院令第682 号《国务院关于修改〈建设项目环境保护管理</w:t>
            </w:r>
            <w:r>
              <w:rPr>
                <w:rFonts w:hint="eastAsia" w:cs="Times New Roman"/>
                <w:color w:val="auto"/>
                <w:lang w:eastAsia="zh-CN"/>
              </w:rPr>
              <w:t>条例</w:t>
            </w:r>
            <w:r>
              <w:rPr>
                <w:rFonts w:ascii="Times New Roman" w:hAnsi="Times New Roman" w:cs="Times New Roman"/>
                <w:color w:val="auto"/>
              </w:rPr>
              <w:t>〉的决定》）规定，项目试运行后及时自行组织项目竣工环保验收，验收通过后方可进行正式运行。环保竣工验收资料及时报送环境保护主管部门备案并公示。</w:t>
            </w:r>
          </w:p>
        </w:tc>
      </w:tr>
    </w:tbl>
    <w:p>
      <w:pPr>
        <w:pStyle w:val="21"/>
        <w:jc w:val="center"/>
        <w:outlineLvl w:val="0"/>
        <w:rPr>
          <w:rFonts w:ascii="Times New Roman" w:hAnsi="Times New Roman" w:eastAsia="黑体" w:cs="Times New Roman"/>
          <w:snapToGrid w:val="0"/>
          <w:color w:val="auto"/>
          <w:sz w:val="30"/>
          <w:szCs w:val="30"/>
        </w:rPr>
      </w:pPr>
      <w:r>
        <w:rPr>
          <w:rFonts w:ascii="Times New Roman" w:hAnsi="Times New Roman" w:cs="Times New Roman"/>
          <w:snapToGrid w:val="0"/>
          <w:color w:val="auto"/>
        </w:rPr>
        <w:br w:type="page"/>
      </w:r>
      <w:r>
        <w:rPr>
          <w:rFonts w:ascii="Times New Roman" w:hAnsi="Times New Roman" w:eastAsia="黑体" w:cs="Times New Roman"/>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before="24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lang w:val="zh-CN"/>
              </w:rPr>
              <w:t>本项目的建设符合国家产业政策和当地规划，符合“三线一单”要求，</w:t>
            </w:r>
            <w:r>
              <w:rPr>
                <w:rFonts w:ascii="Times New Roman" w:hAnsi="Times New Roman" w:cs="Times New Roman"/>
                <w:color w:val="auto"/>
                <w:sz w:val="24"/>
              </w:rPr>
              <w:t>选址无明显环境制约因素，总图布置合理。建设单位严格落实本环评提出的污染防治措施及风险防范措施后可实现废水、废气、噪声的达标排放，固废的合理处置，环境风险在可接受范围。因此，</w:t>
            </w:r>
            <w:r>
              <w:rPr>
                <w:rFonts w:ascii="Times New Roman" w:hAnsi="Times New Roman" w:cs="Times New Roman"/>
                <w:color w:val="auto"/>
                <w:sz w:val="24"/>
                <w:lang w:val="zh-CN"/>
              </w:rPr>
              <w:t>从环境保护角度而言，</w:t>
            </w:r>
            <w:r>
              <w:rPr>
                <w:rFonts w:ascii="Times New Roman" w:hAnsi="Times New Roman" w:cs="Times New Roman"/>
                <w:color w:val="auto"/>
                <w:sz w:val="24"/>
              </w:rPr>
              <w:t>项目的建设是可行的。</w:t>
            </w: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ind w:firstLine="420" w:firstLineChars="200"/>
              <w:rPr>
                <w:rFonts w:ascii="Times New Roman" w:hAnsi="Times New Roman" w:cs="Times New Roman"/>
                <w:color w:val="auto"/>
              </w:rPr>
            </w:pPr>
          </w:p>
          <w:p>
            <w:pPr>
              <w:spacing w:line="360" w:lineRule="auto"/>
              <w:rPr>
                <w:rFonts w:ascii="Times New Roman" w:hAnsi="Times New Roman" w:cs="Times New Roman"/>
                <w:color w:val="auto"/>
                <w:sz w:val="24"/>
              </w:rPr>
            </w:pPr>
          </w:p>
        </w:tc>
      </w:tr>
    </w:tbl>
    <w:p>
      <w:pPr>
        <w:rPr>
          <w:rFonts w:ascii="Times New Roman" w:hAnsi="Times New Roman" w:cs="Times New Roman"/>
          <w:color w:val="auto"/>
        </w:rPr>
        <w:sectPr>
          <w:pgSz w:w="11906" w:h="16838"/>
          <w:pgMar w:top="1701" w:right="1531" w:bottom="1701" w:left="1531" w:header="851" w:footer="851" w:gutter="0"/>
          <w:cols w:space="720" w:num="1"/>
          <w:docGrid w:linePitch="312" w:charSpace="0"/>
        </w:sectPr>
      </w:pPr>
    </w:p>
    <w:p>
      <w:pPr>
        <w:pStyle w:val="21"/>
        <w:adjustRightInd w:val="0"/>
        <w:snapToGrid w:val="0"/>
        <w:spacing w:before="0" w:beforeAutospacing="0" w:after="0" w:afterAutospacing="0" w:line="360" w:lineRule="auto"/>
        <w:rPr>
          <w:rFonts w:ascii="Times New Roman" w:hAnsi="Times New Roman" w:eastAsia="黑体" w:cs="Times New Roman"/>
          <w:snapToGrid w:val="0"/>
          <w:color w:val="auto"/>
          <w:sz w:val="32"/>
          <w:szCs w:val="32"/>
        </w:rPr>
      </w:pPr>
      <w:r>
        <w:rPr>
          <w:rFonts w:ascii="Times New Roman" w:hAnsi="Times New Roman" w:eastAsia="黑体" w:cs="Times New Roman"/>
          <w:snapToGrid w:val="0"/>
          <w:color w:val="auto"/>
          <w:sz w:val="32"/>
          <w:szCs w:val="32"/>
        </w:rPr>
        <w:t>附表</w:t>
      </w:r>
    </w:p>
    <w:p>
      <w:pPr>
        <w:pStyle w:val="21"/>
        <w:adjustRightInd w:val="0"/>
        <w:snapToGrid w:val="0"/>
        <w:spacing w:before="0" w:beforeAutospacing="0" w:after="0" w:afterAutospacing="0" w:line="552" w:lineRule="auto"/>
        <w:jc w:val="center"/>
        <w:outlineLvl w:val="0"/>
        <w:rPr>
          <w:rFonts w:ascii="Times New Roman" w:hAnsi="Times New Roman" w:eastAsia="方正小标宋_GBK" w:cs="Times New Roman"/>
          <w:snapToGrid w:val="0"/>
          <w:color w:val="auto"/>
          <w:sz w:val="38"/>
          <w:szCs w:val="38"/>
        </w:rPr>
      </w:pPr>
      <w:r>
        <w:rPr>
          <w:rFonts w:ascii="Times New Roman" w:hAnsi="Times New Roman" w:eastAsia="方正小标宋_GBK" w:cs="Times New Roman"/>
          <w:snapToGrid w:val="0"/>
          <w:color w:val="auto"/>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984"/>
        <w:gridCol w:w="1276"/>
        <w:gridCol w:w="1134"/>
        <w:gridCol w:w="1417"/>
        <w:gridCol w:w="1560"/>
        <w:gridCol w:w="1559"/>
        <w:gridCol w:w="1701"/>
        <w:gridCol w:w="15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3"/>
              <w:spacing w:before="10" w:beforeLines="0" w:after="10" w:afterLines="0" w:line="240" w:lineRule="auto"/>
              <w:ind w:left="0"/>
              <w:jc w:val="right"/>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项目</w:t>
            </w:r>
          </w:p>
          <w:p>
            <w:pPr>
              <w:pStyle w:val="33"/>
              <w:spacing w:before="10" w:beforeLines="0" w:after="10" w:afterLines="0" w:line="240" w:lineRule="auto"/>
              <w:ind w:left="0"/>
              <w:jc w:val="left"/>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分类</w:t>
            </w:r>
          </w:p>
        </w:tc>
        <w:tc>
          <w:tcPr>
            <w:tcW w:w="1984"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污染物名称</w:t>
            </w:r>
          </w:p>
        </w:tc>
        <w:tc>
          <w:tcPr>
            <w:tcW w:w="1276"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现有工程</w:t>
            </w:r>
          </w:p>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排放量（固体废物产生量）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1 \* GB3 \* MERGEFORMAT </w:instrText>
            </w:r>
            <w:r>
              <w:rPr>
                <w:rFonts w:ascii="Times New Roman" w:hAnsi="Times New Roman" w:eastAsia="黑体" w:cs="Times New Roman"/>
                <w:snapToGrid w:val="0"/>
                <w:color w:val="auto"/>
                <w:spacing w:val="-6"/>
                <w:kern w:val="21"/>
                <w:szCs w:val="21"/>
              </w:rPr>
              <w:fldChar w:fldCharType="separate"/>
            </w:r>
            <w:r>
              <w:rPr>
                <w:rFonts w:ascii="Times New Roman" w:hAnsi="Times New Roman" w:cs="Times New Roman"/>
                <w:color w:val="auto"/>
                <w:kern w:val="2"/>
                <w:szCs w:val="21"/>
              </w:rPr>
              <w:t>①</w:t>
            </w:r>
            <w:r>
              <w:rPr>
                <w:rFonts w:ascii="Times New Roman" w:hAnsi="Times New Roman" w:eastAsia="黑体" w:cs="Times New Roman"/>
                <w:snapToGrid w:val="0"/>
                <w:color w:val="auto"/>
                <w:spacing w:val="-6"/>
                <w:kern w:val="21"/>
                <w:szCs w:val="21"/>
              </w:rPr>
              <w:fldChar w:fldCharType="end"/>
            </w:r>
          </w:p>
        </w:tc>
        <w:tc>
          <w:tcPr>
            <w:tcW w:w="1134"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现有工程</w:t>
            </w:r>
          </w:p>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许可排放量</w:t>
            </w:r>
          </w:p>
          <w:p>
            <w:pPr>
              <w:pStyle w:val="33"/>
              <w:spacing w:before="10" w:beforeLines="0" w:after="10" w:afterLines="0"/>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2 \* GB3 \* MERGEFORMAT </w:instrText>
            </w:r>
            <w:r>
              <w:rPr>
                <w:rFonts w:ascii="Times New Roman" w:hAnsi="Times New Roman" w:eastAsia="黑体" w:cs="Times New Roman"/>
                <w:snapToGrid w:val="0"/>
                <w:color w:val="auto"/>
                <w:spacing w:val="-6"/>
                <w:kern w:val="21"/>
                <w:szCs w:val="21"/>
              </w:rPr>
              <w:fldChar w:fldCharType="separate"/>
            </w:r>
            <w:r>
              <w:rPr>
                <w:rFonts w:ascii="Times New Roman" w:hAnsi="Times New Roman" w:cs="Times New Roman"/>
                <w:snapToGrid w:val="0"/>
                <w:color w:val="auto"/>
                <w:spacing w:val="-6"/>
                <w:kern w:val="21"/>
                <w:szCs w:val="21"/>
              </w:rPr>
              <w:t>②</w:t>
            </w:r>
            <w:r>
              <w:rPr>
                <w:rFonts w:ascii="Times New Roman" w:hAnsi="Times New Roman" w:eastAsia="黑体" w:cs="Times New Roman"/>
                <w:snapToGrid w:val="0"/>
                <w:color w:val="auto"/>
                <w:spacing w:val="-6"/>
                <w:kern w:val="21"/>
                <w:szCs w:val="21"/>
              </w:rPr>
              <w:fldChar w:fldCharType="end"/>
            </w:r>
          </w:p>
        </w:tc>
        <w:tc>
          <w:tcPr>
            <w:tcW w:w="1417"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在建工程</w:t>
            </w:r>
          </w:p>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排放量（固体废物产生量）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3 \* GB3 \* MERGEFORMAT </w:instrText>
            </w:r>
            <w:r>
              <w:rPr>
                <w:rFonts w:ascii="Times New Roman" w:hAnsi="Times New Roman" w:eastAsia="黑体" w:cs="Times New Roman"/>
                <w:snapToGrid w:val="0"/>
                <w:color w:val="auto"/>
                <w:spacing w:val="-6"/>
                <w:kern w:val="21"/>
                <w:szCs w:val="21"/>
              </w:rPr>
              <w:fldChar w:fldCharType="separate"/>
            </w:r>
            <w:r>
              <w:rPr>
                <w:rFonts w:ascii="Times New Roman" w:hAnsi="Times New Roman" w:cs="Times New Roman"/>
                <w:color w:val="auto"/>
                <w:kern w:val="2"/>
                <w:szCs w:val="21"/>
              </w:rPr>
              <w:t>③</w:t>
            </w:r>
            <w:r>
              <w:rPr>
                <w:rFonts w:ascii="Times New Roman" w:hAnsi="Times New Roman" w:eastAsia="黑体" w:cs="Times New Roman"/>
                <w:snapToGrid w:val="0"/>
                <w:color w:val="auto"/>
                <w:spacing w:val="-6"/>
                <w:kern w:val="21"/>
                <w:szCs w:val="21"/>
              </w:rPr>
              <w:fldChar w:fldCharType="end"/>
            </w:r>
          </w:p>
        </w:tc>
        <w:tc>
          <w:tcPr>
            <w:tcW w:w="1560"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本项目</w:t>
            </w:r>
          </w:p>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排放量（固体废物产生量）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4 \* GB3 \* MERGEFORMAT </w:instrText>
            </w:r>
            <w:r>
              <w:rPr>
                <w:rFonts w:ascii="Times New Roman" w:hAnsi="Times New Roman" w:eastAsia="黑体" w:cs="Times New Roman"/>
                <w:snapToGrid w:val="0"/>
                <w:color w:val="auto"/>
                <w:spacing w:val="-6"/>
                <w:kern w:val="21"/>
                <w:szCs w:val="21"/>
              </w:rPr>
              <w:fldChar w:fldCharType="separate"/>
            </w:r>
            <w:r>
              <w:rPr>
                <w:rFonts w:ascii="Times New Roman" w:hAnsi="Times New Roman" w:cs="Times New Roman"/>
                <w:color w:val="auto"/>
                <w:kern w:val="2"/>
                <w:szCs w:val="21"/>
              </w:rPr>
              <w:t>④</w:t>
            </w:r>
            <w:r>
              <w:rPr>
                <w:rFonts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16"/>
                <w:kern w:val="21"/>
                <w:szCs w:val="21"/>
              </w:rPr>
            </w:pPr>
            <w:r>
              <w:rPr>
                <w:rFonts w:ascii="Times New Roman" w:hAnsi="Times New Roman" w:eastAsia="黑体" w:cs="Times New Roman"/>
                <w:snapToGrid w:val="0"/>
                <w:color w:val="auto"/>
                <w:spacing w:val="-16"/>
                <w:kern w:val="21"/>
                <w:szCs w:val="21"/>
              </w:rPr>
              <w:t>以新带老削减量（新建项目不填）</w:t>
            </w:r>
            <w:r>
              <w:rPr>
                <w:rFonts w:ascii="Times New Roman" w:hAnsi="Times New Roman" w:eastAsia="黑体" w:cs="Times New Roman"/>
                <w:snapToGrid w:val="0"/>
                <w:color w:val="auto"/>
                <w:spacing w:val="-16"/>
                <w:kern w:val="21"/>
                <w:szCs w:val="21"/>
              </w:rPr>
              <w:fldChar w:fldCharType="begin"/>
            </w:r>
            <w:r>
              <w:rPr>
                <w:rFonts w:ascii="Times New Roman" w:hAnsi="Times New Roman" w:eastAsia="黑体" w:cs="Times New Roman"/>
                <w:snapToGrid w:val="0"/>
                <w:color w:val="auto"/>
                <w:spacing w:val="-16"/>
                <w:kern w:val="21"/>
                <w:szCs w:val="21"/>
              </w:rPr>
              <w:instrText xml:space="preserve"> = 5 \* GB3 \* MERGEFORMAT </w:instrText>
            </w:r>
            <w:r>
              <w:rPr>
                <w:rFonts w:ascii="Times New Roman" w:hAnsi="Times New Roman" w:eastAsia="黑体" w:cs="Times New Roman"/>
                <w:snapToGrid w:val="0"/>
                <w:color w:val="auto"/>
                <w:spacing w:val="-16"/>
                <w:kern w:val="21"/>
                <w:szCs w:val="21"/>
              </w:rPr>
              <w:fldChar w:fldCharType="separate"/>
            </w:r>
            <w:r>
              <w:rPr>
                <w:rFonts w:ascii="Times New Roman" w:hAnsi="Times New Roman" w:cs="Times New Roman"/>
                <w:color w:val="auto"/>
                <w:kern w:val="2"/>
                <w:szCs w:val="21"/>
              </w:rPr>
              <w:t>⑤</w:t>
            </w:r>
            <w:r>
              <w:rPr>
                <w:rFonts w:ascii="Times New Roman" w:hAnsi="Times New Roman" w:eastAsia="黑体" w:cs="Times New Roman"/>
                <w:snapToGrid w:val="0"/>
                <w:color w:val="auto"/>
                <w:spacing w:val="-16"/>
                <w:kern w:val="21"/>
                <w:szCs w:val="21"/>
              </w:rPr>
              <w:fldChar w:fldCharType="end"/>
            </w:r>
          </w:p>
        </w:tc>
        <w:tc>
          <w:tcPr>
            <w:tcW w:w="1701"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16"/>
                <w:kern w:val="21"/>
                <w:szCs w:val="21"/>
              </w:rPr>
            </w:pPr>
            <w:r>
              <w:rPr>
                <w:rFonts w:ascii="Times New Roman" w:hAnsi="Times New Roman" w:eastAsia="黑体" w:cs="Times New Roman"/>
                <w:snapToGrid w:val="0"/>
                <w:color w:val="auto"/>
                <w:spacing w:val="-16"/>
                <w:kern w:val="21"/>
                <w:szCs w:val="21"/>
              </w:rPr>
              <w:t>本项目建成后</w:t>
            </w:r>
          </w:p>
          <w:p>
            <w:pPr>
              <w:pStyle w:val="33"/>
              <w:spacing w:before="10" w:beforeLines="0" w:after="10" w:afterLines="0" w:line="240" w:lineRule="auto"/>
              <w:ind w:left="0"/>
              <w:rPr>
                <w:rFonts w:ascii="Times New Roman" w:hAnsi="Times New Roman" w:eastAsia="黑体" w:cs="Times New Roman"/>
                <w:snapToGrid w:val="0"/>
                <w:color w:val="auto"/>
                <w:spacing w:val="-16"/>
                <w:kern w:val="21"/>
                <w:szCs w:val="21"/>
              </w:rPr>
            </w:pPr>
            <w:r>
              <w:rPr>
                <w:rFonts w:ascii="Times New Roman" w:hAnsi="Times New Roman" w:eastAsia="黑体" w:cs="Times New Roman"/>
                <w:snapToGrid w:val="0"/>
                <w:color w:val="auto"/>
                <w:spacing w:val="-16"/>
                <w:kern w:val="21"/>
                <w:szCs w:val="21"/>
              </w:rPr>
              <w:t>全厂排放量（固体废物产生量）</w:t>
            </w:r>
            <w:r>
              <w:rPr>
                <w:rFonts w:ascii="Times New Roman" w:hAnsi="Times New Roman" w:eastAsia="黑体" w:cs="Times New Roman"/>
                <w:snapToGrid w:val="0"/>
                <w:color w:val="auto"/>
                <w:spacing w:val="-16"/>
                <w:kern w:val="21"/>
                <w:szCs w:val="21"/>
              </w:rPr>
              <w:fldChar w:fldCharType="begin"/>
            </w:r>
            <w:r>
              <w:rPr>
                <w:rFonts w:ascii="Times New Roman" w:hAnsi="Times New Roman" w:eastAsia="黑体" w:cs="Times New Roman"/>
                <w:snapToGrid w:val="0"/>
                <w:color w:val="auto"/>
                <w:spacing w:val="-16"/>
                <w:kern w:val="21"/>
                <w:szCs w:val="21"/>
              </w:rPr>
              <w:instrText xml:space="preserve"> = 6 \* GB3 \* MERGEFORMAT </w:instrText>
            </w:r>
            <w:r>
              <w:rPr>
                <w:rFonts w:ascii="Times New Roman" w:hAnsi="Times New Roman" w:eastAsia="黑体" w:cs="Times New Roman"/>
                <w:snapToGrid w:val="0"/>
                <w:color w:val="auto"/>
                <w:spacing w:val="-16"/>
                <w:kern w:val="21"/>
                <w:szCs w:val="21"/>
              </w:rPr>
              <w:fldChar w:fldCharType="separate"/>
            </w:r>
            <w:r>
              <w:rPr>
                <w:rFonts w:ascii="Times New Roman" w:hAnsi="Times New Roman" w:cs="Times New Roman"/>
                <w:color w:val="auto"/>
                <w:kern w:val="2"/>
                <w:szCs w:val="21"/>
              </w:rPr>
              <w:t>⑥</w:t>
            </w:r>
            <w:r>
              <w:rPr>
                <w:rFonts w:ascii="Times New Roman" w:hAnsi="Times New Roman" w:eastAsia="黑体" w:cs="Times New Roman"/>
                <w:snapToGrid w:val="0"/>
                <w:color w:val="auto"/>
                <w:spacing w:val="-16"/>
                <w:kern w:val="21"/>
                <w:szCs w:val="21"/>
              </w:rPr>
              <w:fldChar w:fldCharType="end"/>
            </w:r>
          </w:p>
        </w:tc>
        <w:tc>
          <w:tcPr>
            <w:tcW w:w="1569" w:type="dxa"/>
            <w:tcMar>
              <w:left w:w="28" w:type="dxa"/>
              <w:right w:w="28" w:type="dxa"/>
            </w:tcMar>
            <w:vAlign w:val="center"/>
          </w:tcPr>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变化量</w:t>
            </w:r>
          </w:p>
          <w:p>
            <w:pPr>
              <w:pStyle w:val="33"/>
              <w:spacing w:before="10" w:beforeLines="0" w:after="10" w:afterLines="0" w:line="240" w:lineRule="auto"/>
              <w:ind w:left="0"/>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7 \* GB3 \* MERGEFORMAT </w:instrText>
            </w:r>
            <w:r>
              <w:rPr>
                <w:rFonts w:ascii="Times New Roman" w:hAnsi="Times New Roman" w:eastAsia="黑体" w:cs="Times New Roman"/>
                <w:snapToGrid w:val="0"/>
                <w:color w:val="auto"/>
                <w:spacing w:val="-6"/>
                <w:kern w:val="21"/>
                <w:szCs w:val="21"/>
              </w:rPr>
              <w:fldChar w:fldCharType="separate"/>
            </w:r>
            <w:r>
              <w:rPr>
                <w:rFonts w:ascii="Times New Roman" w:hAnsi="Times New Roman" w:cs="Times New Roman"/>
                <w:color w:val="auto"/>
                <w:kern w:val="2"/>
                <w:szCs w:val="21"/>
              </w:rPr>
              <w:t>⑦</w:t>
            </w:r>
            <w:r>
              <w:rPr>
                <w:rFonts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588" w:type="dxa"/>
            <w:vMerge w:val="restart"/>
            <w:tcBorders>
              <w:top w:val="single" w:color="auto" w:sz="4" w:space="0"/>
              <w:left w:val="single" w:color="auto" w:sz="8"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废气</w:t>
            </w:r>
          </w:p>
        </w:tc>
        <w:tc>
          <w:tcPr>
            <w:tcW w:w="198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 w:val="21"/>
                <w:szCs w:val="21"/>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p>
        </w:tc>
        <w:tc>
          <w:tcPr>
            <w:tcW w:w="1276"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ascii="Times New Roman" w:hAnsi="Times New Roman" w:cs="Times New Roman"/>
                <w:color w:val="auto"/>
                <w:kern w:val="0"/>
                <w:sz w:val="21"/>
                <w:szCs w:val="21"/>
                <w:lang w:val="en-US" w:eastAsia="zh-CN"/>
              </w:rPr>
              <w:t>0.0</w:t>
            </w:r>
            <w:r>
              <w:rPr>
                <w:rFonts w:hint="eastAsia" w:cs="Times New Roman"/>
                <w:color w:val="auto"/>
                <w:kern w:val="0"/>
                <w:sz w:val="21"/>
                <w:szCs w:val="21"/>
                <w:lang w:val="en-US" w:eastAsia="zh-CN"/>
              </w:rPr>
              <w:t>3</w:t>
            </w:r>
            <w:r>
              <w:rPr>
                <w:rFonts w:hint="eastAsia" w:ascii="Times New Roman" w:hAnsi="Times New Roman" w:cs="Times New Roman"/>
                <w:color w:val="auto"/>
                <w:kern w:val="0"/>
                <w:sz w:val="21"/>
                <w:szCs w:val="21"/>
                <w:lang w:val="en-US" w:eastAsia="zh-CN"/>
              </w:rPr>
              <w:t>4</w:t>
            </w:r>
            <w:r>
              <w:rPr>
                <w:rFonts w:ascii="Times New Roman" w:hAnsi="Times New Roman" w:cs="Times New Roman"/>
                <w:b w:val="0"/>
                <w:snapToGrid w:val="0"/>
                <w:color w:val="auto"/>
                <w:kern w:val="21"/>
              </w:rPr>
              <w:t>t/a</w:t>
            </w: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ascii="Times New Roman" w:hAnsi="Times New Roman" w:cs="Times New Roman"/>
                <w:color w:val="auto"/>
                <w:kern w:val="0"/>
                <w:sz w:val="21"/>
                <w:szCs w:val="21"/>
                <w:lang w:val="en-US" w:eastAsia="zh-CN"/>
              </w:rPr>
              <w:t>0.0</w:t>
            </w:r>
            <w:r>
              <w:rPr>
                <w:rFonts w:hint="eastAsia" w:cs="Times New Roman"/>
                <w:color w:val="auto"/>
                <w:kern w:val="0"/>
                <w:sz w:val="21"/>
                <w:szCs w:val="21"/>
                <w:lang w:val="en-US" w:eastAsia="zh-CN"/>
              </w:rPr>
              <w:t>3</w:t>
            </w:r>
            <w:r>
              <w:rPr>
                <w:rFonts w:hint="eastAsia" w:ascii="Times New Roman" w:hAnsi="Times New Roman" w:cs="Times New Roman"/>
                <w:color w:val="auto"/>
                <w:kern w:val="0"/>
                <w:sz w:val="21"/>
                <w:szCs w:val="21"/>
                <w:lang w:val="en-US" w:eastAsia="zh-CN"/>
              </w:rPr>
              <w:t>4</w:t>
            </w:r>
            <w:r>
              <w:rPr>
                <w:rFonts w:ascii="Times New Roman" w:hAnsi="Times New Roman" w:cs="Times New Roman"/>
                <w:b w:val="0"/>
                <w:snapToGrid w:val="0"/>
                <w:color w:val="auto"/>
                <w:kern w:val="21"/>
              </w:rPr>
              <w:t>t/a</w:t>
            </w: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pStyle w:val="67"/>
              <w:spacing w:line="300" w:lineRule="auto"/>
              <w:rPr>
                <w:rFonts w:ascii="Times New Roman" w:hAnsi="Times New Roman" w:cs="Times New Roman"/>
                <w:b w:val="0"/>
                <w:snapToGrid w:val="0"/>
                <w:color w:val="auto"/>
                <w:kern w:val="21"/>
              </w:rPr>
            </w:pPr>
            <w:r>
              <w:rPr>
                <w:rFonts w:hint="eastAsia" w:cs="Times New Roman"/>
                <w:b w:val="0"/>
                <w:color w:val="auto"/>
                <w:lang w:eastAsia="zh-CN"/>
              </w:rPr>
              <w:t>0.026</w:t>
            </w:r>
            <w:r>
              <w:rPr>
                <w:rFonts w:ascii="Times New Roman" w:hAnsi="Times New Roman" w:cs="Times New Roman"/>
                <w:b w:val="0"/>
                <w:snapToGrid w:val="0"/>
                <w:color w:val="auto"/>
                <w:kern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pStyle w:val="67"/>
              <w:spacing w:line="300" w:lineRule="auto"/>
              <w:rPr>
                <w:rFonts w:ascii="Times New Roman" w:hAnsi="Times New Roman" w:cs="Times New Roman"/>
                <w:snapToGrid w:val="0"/>
                <w:color w:val="auto"/>
                <w:kern w:val="21"/>
              </w:rPr>
            </w:pPr>
            <w:r>
              <w:rPr>
                <w:rFonts w:hint="eastAsia" w:cs="Times New Roman"/>
                <w:b w:val="0"/>
                <w:color w:val="auto"/>
                <w:lang w:eastAsia="zh-CN"/>
              </w:rPr>
              <w:t>0.026</w:t>
            </w:r>
            <w:r>
              <w:rPr>
                <w:rFonts w:ascii="Times New Roman" w:hAnsi="Times New Roman" w:cs="Times New Roman"/>
                <w:b w:val="0"/>
                <w:snapToGrid w:val="0"/>
                <w:color w:val="auto"/>
                <w:kern w:val="21"/>
              </w:rPr>
              <w:t>t/a</w:t>
            </w:r>
          </w:p>
        </w:tc>
        <w:tc>
          <w:tcPr>
            <w:tcW w:w="1569" w:type="dxa"/>
            <w:tcBorders>
              <w:top w:val="single" w:color="auto" w:sz="4" w:space="0"/>
              <w:left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cs="Times New Roman"/>
                <w:b w:val="0"/>
                <w:snapToGrid w:val="0"/>
                <w:color w:val="auto"/>
                <w:kern w:val="21"/>
                <w:lang w:val="en-US" w:eastAsia="zh-CN"/>
              </w:rPr>
              <w:t>-0.008</w:t>
            </w:r>
            <w:r>
              <w:rPr>
                <w:rFonts w:ascii="Times New Roman" w:hAnsi="Times New Roman" w:cs="Times New Roman"/>
                <w:b w:val="0"/>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eastAsia="宋体" w:cs="Times New Roman"/>
                <w:bCs/>
                <w:color w:val="auto"/>
                <w:spacing w:val="-10"/>
                <w:sz w:val="21"/>
                <w:szCs w:val="21"/>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X</w:t>
            </w:r>
          </w:p>
        </w:tc>
        <w:tc>
          <w:tcPr>
            <w:tcW w:w="1276"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cs="Times New Roman"/>
                <w:color w:val="auto"/>
                <w:kern w:val="0"/>
                <w:sz w:val="21"/>
                <w:szCs w:val="21"/>
                <w:lang w:val="en-US" w:eastAsia="zh-CN"/>
              </w:rPr>
              <w:t>0.978</w:t>
            </w:r>
            <w:r>
              <w:rPr>
                <w:rFonts w:ascii="Times New Roman" w:hAnsi="Times New Roman" w:cs="Times New Roman"/>
                <w:b w:val="0"/>
                <w:snapToGrid w:val="0"/>
                <w:color w:val="auto"/>
                <w:kern w:val="21"/>
              </w:rPr>
              <w:t>t/a</w:t>
            </w: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cs="Times New Roman"/>
                <w:color w:val="auto"/>
                <w:kern w:val="0"/>
                <w:sz w:val="21"/>
                <w:szCs w:val="21"/>
                <w:lang w:val="en-US" w:eastAsia="zh-CN"/>
              </w:rPr>
              <w:t>0.978</w:t>
            </w:r>
            <w:r>
              <w:rPr>
                <w:rFonts w:ascii="Times New Roman" w:hAnsi="Times New Roman" w:cs="Times New Roman"/>
                <w:b w:val="0"/>
                <w:snapToGrid w:val="0"/>
                <w:color w:val="auto"/>
                <w:kern w:val="21"/>
              </w:rPr>
              <w:t>t/a</w:t>
            </w: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pStyle w:val="67"/>
              <w:spacing w:line="300" w:lineRule="auto"/>
              <w:rPr>
                <w:rFonts w:ascii="Times New Roman" w:hAnsi="Times New Roman" w:cs="Times New Roman"/>
                <w:b w:val="0"/>
                <w:snapToGrid w:val="0"/>
                <w:color w:val="auto"/>
                <w:kern w:val="21"/>
              </w:rPr>
            </w:pPr>
            <w:r>
              <w:rPr>
                <w:rFonts w:hint="eastAsia" w:cs="Times New Roman"/>
                <w:b w:val="0"/>
                <w:snapToGrid w:val="0"/>
                <w:color w:val="auto"/>
                <w:kern w:val="21"/>
                <w:lang w:val="en-US" w:eastAsia="zh-CN"/>
              </w:rPr>
              <w:t>0.944</w:t>
            </w:r>
            <w:r>
              <w:rPr>
                <w:rFonts w:ascii="Times New Roman" w:hAnsi="Times New Roman" w:cs="Times New Roman"/>
                <w:b w:val="0"/>
                <w:snapToGrid w:val="0"/>
                <w:color w:val="auto"/>
                <w:kern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pStyle w:val="67"/>
              <w:spacing w:line="300" w:lineRule="auto"/>
              <w:rPr>
                <w:rFonts w:ascii="Times New Roman" w:hAnsi="Times New Roman" w:cs="Times New Roman"/>
                <w:snapToGrid w:val="0"/>
                <w:color w:val="auto"/>
                <w:kern w:val="21"/>
              </w:rPr>
            </w:pPr>
            <w:r>
              <w:rPr>
                <w:rFonts w:hint="eastAsia" w:cs="Times New Roman"/>
                <w:b w:val="0"/>
                <w:snapToGrid w:val="0"/>
                <w:color w:val="auto"/>
                <w:kern w:val="21"/>
                <w:lang w:val="en-US" w:eastAsia="zh-CN"/>
              </w:rPr>
              <w:t>0.944</w:t>
            </w:r>
            <w:r>
              <w:rPr>
                <w:rFonts w:ascii="Times New Roman" w:hAnsi="Times New Roman" w:cs="Times New Roman"/>
                <w:b w:val="0"/>
                <w:snapToGrid w:val="0"/>
                <w:color w:val="auto"/>
                <w:kern w:val="21"/>
              </w:rPr>
              <w:t>t/a</w:t>
            </w:r>
          </w:p>
        </w:tc>
        <w:tc>
          <w:tcPr>
            <w:tcW w:w="1569" w:type="dxa"/>
            <w:tcBorders>
              <w:top w:val="single" w:color="auto" w:sz="4" w:space="0"/>
              <w:left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ascii="Times New Roman" w:hAnsi="Times New Roman" w:cs="Times New Roman"/>
                <w:color w:val="auto"/>
                <w:kern w:val="0"/>
                <w:sz w:val="21"/>
                <w:szCs w:val="21"/>
                <w:lang w:val="en-US" w:eastAsia="zh-CN"/>
              </w:rPr>
              <w:t>-0.</w:t>
            </w:r>
            <w:r>
              <w:rPr>
                <w:rFonts w:hint="eastAsia" w:cs="Times New Roman"/>
                <w:color w:val="auto"/>
                <w:kern w:val="0"/>
                <w:sz w:val="21"/>
                <w:szCs w:val="21"/>
                <w:lang w:val="en-US" w:eastAsia="zh-CN"/>
              </w:rPr>
              <w:t>034</w:t>
            </w:r>
            <w:r>
              <w:rPr>
                <w:rFonts w:ascii="Times New Roman" w:hAnsi="Times New Roman" w:cs="Times New Roman"/>
                <w:b w:val="0"/>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20" w:hanging="420" w:hangingChars="200"/>
              <w:rPr>
                <w:rFonts w:ascii="Times New Roman" w:hAnsi="Times New Roman" w:eastAsia="宋体" w:cs="Times New Roman"/>
                <w:bCs/>
                <w:color w:val="auto"/>
                <w:spacing w:val="-10"/>
                <w:kern w:val="0"/>
                <w:sz w:val="21"/>
                <w:szCs w:val="21"/>
                <w:lang w:val="en-US" w:eastAsia="zh-CN" w:bidi="ar-SA"/>
              </w:rPr>
            </w:pPr>
            <w:r>
              <w:rPr>
                <w:rFonts w:ascii="Times New Roman" w:hAnsi="Times New Roman" w:cs="Times New Roman"/>
                <w:color w:val="auto"/>
                <w:sz w:val="21"/>
                <w:szCs w:val="21"/>
              </w:rPr>
              <w:t>颗粒物</w:t>
            </w:r>
          </w:p>
        </w:tc>
        <w:tc>
          <w:tcPr>
            <w:tcW w:w="1276"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snapToGrid w:val="0"/>
                <w:color w:val="auto"/>
                <w:kern w:val="21"/>
                <w:sz w:val="24"/>
                <w:szCs w:val="21"/>
                <w:lang w:val="en-US" w:eastAsia="zh-CN" w:bidi="ar-SA"/>
              </w:rPr>
            </w:pPr>
            <w:r>
              <w:rPr>
                <w:rFonts w:hint="eastAsia" w:ascii="Times New Roman" w:hAnsi="Times New Roman" w:cs="Times New Roman"/>
                <w:color w:val="auto"/>
                <w:kern w:val="0"/>
                <w:sz w:val="21"/>
                <w:szCs w:val="21"/>
                <w:lang w:val="en-US" w:eastAsia="zh-CN"/>
              </w:rPr>
              <w:t>0.21</w:t>
            </w:r>
            <w:r>
              <w:rPr>
                <w:rFonts w:ascii="Times New Roman" w:hAnsi="Times New Roman" w:cs="Times New Roman"/>
                <w:b w:val="0"/>
                <w:snapToGrid w:val="0"/>
                <w:color w:val="auto"/>
                <w:kern w:val="21"/>
              </w:rPr>
              <w:t>t/a</w:t>
            </w:r>
          </w:p>
        </w:tc>
        <w:tc>
          <w:tcPr>
            <w:tcW w:w="1134"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snapToGrid w:val="0"/>
                <w:color w:val="auto"/>
                <w:kern w:val="21"/>
                <w:sz w:val="24"/>
                <w:szCs w:val="21"/>
                <w:lang w:val="en-US" w:eastAsia="zh-CN" w:bidi="ar-SA"/>
              </w:rPr>
            </w:pPr>
            <w:r>
              <w:rPr>
                <w:rFonts w:hint="eastAsia" w:ascii="Times New Roman" w:hAnsi="Times New Roman" w:cs="Times New Roman"/>
                <w:color w:val="auto"/>
                <w:kern w:val="0"/>
                <w:sz w:val="21"/>
                <w:szCs w:val="21"/>
                <w:lang w:val="en-US" w:eastAsia="zh-CN"/>
              </w:rPr>
              <w:t>0.21</w:t>
            </w:r>
            <w:r>
              <w:rPr>
                <w:rFonts w:ascii="Times New Roman" w:hAnsi="Times New Roman" w:cs="Times New Roman"/>
                <w:b w:val="0"/>
                <w:snapToGrid w:val="0"/>
                <w:color w:val="auto"/>
                <w:kern w:val="21"/>
              </w:rPr>
              <w:t>t/a</w:t>
            </w: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80" w:hanging="480" w:hangingChars="200"/>
              <w:rPr>
                <w:rFonts w:ascii="Times New Roman" w:hAnsi="Times New Roman" w:eastAsia="宋体" w:cs="Times New Roman"/>
                <w:snapToGrid w:val="0"/>
                <w:color w:val="auto"/>
                <w:kern w:val="21"/>
                <w:sz w:val="24"/>
                <w:szCs w:val="21"/>
                <w:lang w:val="en-US" w:eastAsia="zh-CN" w:bidi="ar-SA"/>
              </w:rPr>
            </w:pPr>
          </w:p>
        </w:tc>
        <w:tc>
          <w:tcPr>
            <w:tcW w:w="1560" w:type="dxa"/>
            <w:tcBorders>
              <w:top w:val="single" w:color="auto" w:sz="4" w:space="0"/>
              <w:left w:val="single" w:color="auto" w:sz="4" w:space="0"/>
              <w:right w:val="single" w:color="auto" w:sz="4" w:space="0"/>
            </w:tcBorders>
            <w:vAlign w:val="center"/>
          </w:tcPr>
          <w:p>
            <w:pPr>
              <w:pStyle w:val="67"/>
              <w:spacing w:line="300" w:lineRule="auto"/>
              <w:rPr>
                <w:rFonts w:ascii="Times New Roman" w:hAnsi="Times New Roman" w:eastAsia="宋体" w:cs="Times New Roman"/>
                <w:b w:val="0"/>
                <w:bCs/>
                <w:snapToGrid w:val="0"/>
                <w:color w:val="auto"/>
                <w:kern w:val="21"/>
                <w:sz w:val="21"/>
                <w:szCs w:val="21"/>
                <w:lang w:val="en-US" w:eastAsia="zh-CN" w:bidi="ar-SA"/>
              </w:rPr>
            </w:pPr>
            <w:r>
              <w:rPr>
                <w:rFonts w:hint="eastAsia" w:cs="Times New Roman"/>
                <w:b w:val="0"/>
                <w:color w:val="auto"/>
                <w:lang w:val="en-US" w:eastAsia="zh-CN"/>
              </w:rPr>
              <w:t>0.205</w:t>
            </w:r>
            <w:r>
              <w:rPr>
                <w:rFonts w:hint="eastAsia" w:cs="Times New Roman"/>
                <w:b w:val="0"/>
                <w:color w:val="auto"/>
                <w:lang w:eastAsia="zh-CN"/>
              </w:rPr>
              <w:t>t</w:t>
            </w:r>
            <w:r>
              <w:rPr>
                <w:rFonts w:ascii="Times New Roman" w:hAnsi="Times New Roman" w:cs="Times New Roman"/>
                <w:b w:val="0"/>
                <w:snapToGrid w:val="0"/>
                <w:color w:val="auto"/>
                <w:kern w:val="21"/>
              </w:rPr>
              <w: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80" w:hanging="480" w:hangingChars="200"/>
              <w:rPr>
                <w:rFonts w:ascii="Times New Roman" w:hAnsi="Times New Roman" w:eastAsia="宋体" w:cs="Times New Roman"/>
                <w:snapToGrid w:val="0"/>
                <w:color w:val="auto"/>
                <w:kern w:val="21"/>
                <w:sz w:val="24"/>
                <w:szCs w:val="21"/>
                <w:lang w:val="en-US" w:eastAsia="zh-CN" w:bidi="ar-SA"/>
              </w:rPr>
            </w:pPr>
          </w:p>
        </w:tc>
        <w:tc>
          <w:tcPr>
            <w:tcW w:w="1701" w:type="dxa"/>
            <w:tcBorders>
              <w:top w:val="single" w:color="auto" w:sz="4" w:space="0"/>
              <w:left w:val="single" w:color="auto" w:sz="4" w:space="0"/>
              <w:right w:val="single" w:color="auto" w:sz="4" w:space="0"/>
            </w:tcBorders>
            <w:vAlign w:val="center"/>
          </w:tcPr>
          <w:p>
            <w:pPr>
              <w:pStyle w:val="67"/>
              <w:spacing w:line="300" w:lineRule="auto"/>
              <w:rPr>
                <w:rFonts w:ascii="Times New Roman" w:hAnsi="Times New Roman" w:eastAsia="宋体" w:cs="Times New Roman"/>
                <w:b/>
                <w:bCs/>
                <w:snapToGrid w:val="0"/>
                <w:color w:val="auto"/>
                <w:kern w:val="21"/>
                <w:sz w:val="21"/>
                <w:szCs w:val="21"/>
                <w:lang w:val="en-US" w:eastAsia="zh-CN" w:bidi="ar-SA"/>
              </w:rPr>
            </w:pPr>
            <w:r>
              <w:rPr>
                <w:rFonts w:hint="eastAsia" w:cs="Times New Roman"/>
                <w:b w:val="0"/>
                <w:color w:val="auto"/>
                <w:lang w:val="en-US" w:eastAsia="zh-CN"/>
              </w:rPr>
              <w:t>0.205</w:t>
            </w:r>
            <w:r>
              <w:rPr>
                <w:rFonts w:hint="eastAsia" w:cs="Times New Roman"/>
                <w:b w:val="0"/>
                <w:color w:val="auto"/>
                <w:lang w:eastAsia="zh-CN"/>
              </w:rPr>
              <w:t>t</w:t>
            </w:r>
            <w:r>
              <w:rPr>
                <w:rFonts w:ascii="Times New Roman" w:hAnsi="Times New Roman" w:cs="Times New Roman"/>
                <w:b w:val="0"/>
                <w:snapToGrid w:val="0"/>
                <w:color w:val="auto"/>
                <w:kern w:val="21"/>
              </w:rPr>
              <w:t>/a</w:t>
            </w:r>
          </w:p>
        </w:tc>
        <w:tc>
          <w:tcPr>
            <w:tcW w:w="1569" w:type="dxa"/>
            <w:tcBorders>
              <w:top w:val="single" w:color="auto" w:sz="4" w:space="0"/>
              <w:left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snapToGrid w:val="0"/>
                <w:color w:val="auto"/>
                <w:kern w:val="21"/>
                <w:szCs w:val="21"/>
              </w:rPr>
            </w:pPr>
            <w:r>
              <w:rPr>
                <w:rFonts w:hint="eastAsia" w:cs="Times New Roman"/>
                <w:color w:val="auto"/>
                <w:kern w:val="0"/>
                <w:sz w:val="21"/>
                <w:szCs w:val="21"/>
                <w:lang w:val="en-US" w:eastAsia="zh-CN"/>
              </w:rPr>
              <w:t>-0.005</w:t>
            </w:r>
            <w:r>
              <w:rPr>
                <w:rFonts w:ascii="Times New Roman" w:hAnsi="Times New Roman" w:cs="Times New Roman"/>
                <w:b w:val="0"/>
                <w:snapToGrid w:val="0"/>
                <w:color w:val="auto"/>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restart"/>
            <w:tcBorders>
              <w:top w:val="single" w:color="auto" w:sz="4" w:space="0"/>
              <w:left w:val="single" w:color="auto" w:sz="8"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废水（综合废水）</w:t>
            </w:r>
          </w:p>
        </w:tc>
        <w:tc>
          <w:tcPr>
            <w:tcW w:w="198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 w:val="21"/>
                <w:szCs w:val="21"/>
              </w:rPr>
            </w:pPr>
            <w:r>
              <w:rPr>
                <w:rFonts w:ascii="Times New Roman" w:hAnsi="Times New Roman" w:cs="Times New Roman"/>
                <w:snapToGrid w:val="0"/>
                <w:color w:val="auto"/>
                <w:kern w:val="21"/>
                <w:sz w:val="21"/>
                <w:szCs w:val="21"/>
              </w:rPr>
              <w:t>COD</w:t>
            </w:r>
          </w:p>
        </w:tc>
        <w:tc>
          <w:tcPr>
            <w:tcW w:w="1276"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0.1</w:t>
            </w:r>
            <w:r>
              <w:rPr>
                <w:rFonts w:hint="eastAsia" w:ascii="Times New Roman" w:hAnsi="Times New Roman" w:cs="Times New Roman"/>
                <w:snapToGrid w:val="0"/>
                <w:color w:val="auto"/>
                <w:kern w:val="21"/>
                <w:szCs w:val="21"/>
                <w:lang w:val="en-US" w:eastAsia="zh-CN"/>
              </w:rPr>
              <w:t>84</w:t>
            </w:r>
            <w:r>
              <w:rPr>
                <w:rFonts w:ascii="Times New Roman" w:hAnsi="Times New Roman" w:cs="Times New Roman"/>
                <w:snapToGrid w:val="0"/>
                <w:color w:val="auto"/>
                <w:kern w:val="21"/>
                <w:szCs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20" w:hanging="420" w:hangingChars="20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0.1</w:t>
            </w:r>
            <w:r>
              <w:rPr>
                <w:rFonts w:hint="eastAsia" w:ascii="Times New Roman" w:hAnsi="Times New Roman" w:cs="Times New Roman"/>
                <w:snapToGrid w:val="0"/>
                <w:color w:val="auto"/>
                <w:kern w:val="21"/>
                <w:szCs w:val="21"/>
                <w:lang w:val="en-US" w:eastAsia="zh-CN"/>
              </w:rPr>
              <w:t>84</w:t>
            </w:r>
            <w:r>
              <w:rPr>
                <w:rFonts w:ascii="Times New Roman" w:hAnsi="Times New Roman" w:cs="Times New Roman"/>
                <w:snapToGrid w:val="0"/>
                <w:color w:val="auto"/>
                <w:kern w:val="21"/>
                <w:szCs w:val="21"/>
              </w:rPr>
              <w:t>t/a</w:t>
            </w:r>
          </w:p>
        </w:tc>
        <w:tc>
          <w:tcPr>
            <w:tcW w:w="1569" w:type="dxa"/>
            <w:tcBorders>
              <w:top w:val="single" w:color="auto" w:sz="4" w:space="0"/>
              <w:left w:val="single" w:color="auto" w:sz="4" w:space="0"/>
              <w:right w:val="single" w:color="auto" w:sz="8"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 w:val="21"/>
                <w:szCs w:val="21"/>
              </w:rPr>
            </w:pPr>
            <w:r>
              <w:rPr>
                <w:rFonts w:ascii="Times New Roman" w:hAnsi="Times New Roman" w:cs="Times New Roman"/>
                <w:snapToGrid w:val="0"/>
                <w:color w:val="auto"/>
                <w:kern w:val="21"/>
                <w:sz w:val="21"/>
                <w:szCs w:val="21"/>
              </w:rPr>
              <w:t>NH</w:t>
            </w:r>
            <w:r>
              <w:rPr>
                <w:rFonts w:ascii="Times New Roman" w:hAnsi="Times New Roman" w:cs="Times New Roman"/>
                <w:snapToGrid w:val="0"/>
                <w:color w:val="auto"/>
                <w:kern w:val="21"/>
                <w:sz w:val="21"/>
                <w:szCs w:val="21"/>
                <w:vertAlign w:val="subscript"/>
              </w:rPr>
              <w:t>3</w:t>
            </w:r>
            <w:r>
              <w:rPr>
                <w:rFonts w:ascii="Times New Roman" w:hAnsi="Times New Roman" w:cs="Times New Roman"/>
                <w:snapToGrid w:val="0"/>
                <w:color w:val="auto"/>
                <w:kern w:val="21"/>
                <w:sz w:val="21"/>
                <w:szCs w:val="21"/>
              </w:rPr>
              <w:t>-N</w:t>
            </w:r>
          </w:p>
        </w:tc>
        <w:tc>
          <w:tcPr>
            <w:tcW w:w="1276"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0.0</w:t>
            </w:r>
            <w:r>
              <w:rPr>
                <w:rFonts w:hint="eastAsia" w:ascii="Times New Roman" w:hAnsi="Times New Roman" w:cs="Times New Roman"/>
                <w:snapToGrid w:val="0"/>
                <w:color w:val="auto"/>
                <w:kern w:val="21"/>
                <w:szCs w:val="21"/>
                <w:lang w:val="en-US" w:eastAsia="zh-CN"/>
              </w:rPr>
              <w:t>092</w:t>
            </w:r>
            <w:r>
              <w:rPr>
                <w:rFonts w:ascii="Times New Roman" w:hAnsi="Times New Roman" w:cs="Times New Roman"/>
                <w:snapToGrid w:val="0"/>
                <w:color w:val="auto"/>
                <w:kern w:val="21"/>
                <w:szCs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20" w:hanging="420" w:hangingChars="20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0.</w:t>
            </w:r>
            <w:r>
              <w:rPr>
                <w:rFonts w:hint="eastAsia" w:ascii="Times New Roman" w:hAnsi="Times New Roman" w:cs="Times New Roman"/>
                <w:snapToGrid w:val="0"/>
                <w:color w:val="auto"/>
                <w:kern w:val="21"/>
                <w:szCs w:val="21"/>
                <w:lang w:val="en-US" w:eastAsia="zh-CN"/>
              </w:rPr>
              <w:t>0</w:t>
            </w:r>
            <w:r>
              <w:rPr>
                <w:rFonts w:ascii="Times New Roman" w:hAnsi="Times New Roman" w:cs="Times New Roman"/>
                <w:snapToGrid w:val="0"/>
                <w:color w:val="auto"/>
                <w:kern w:val="21"/>
                <w:szCs w:val="21"/>
              </w:rPr>
              <w:t>0</w:t>
            </w:r>
            <w:r>
              <w:rPr>
                <w:rFonts w:hint="eastAsia" w:ascii="Times New Roman" w:hAnsi="Times New Roman" w:cs="Times New Roman"/>
                <w:snapToGrid w:val="0"/>
                <w:color w:val="auto"/>
                <w:kern w:val="21"/>
                <w:szCs w:val="21"/>
                <w:lang w:val="en-US" w:eastAsia="zh-CN"/>
              </w:rPr>
              <w:t>92</w:t>
            </w:r>
            <w:r>
              <w:rPr>
                <w:rFonts w:ascii="Times New Roman" w:hAnsi="Times New Roman" w:cs="Times New Roman"/>
                <w:snapToGrid w:val="0"/>
                <w:color w:val="auto"/>
                <w:kern w:val="21"/>
                <w:szCs w:val="21"/>
              </w:rPr>
              <w:t>t/a</w:t>
            </w:r>
          </w:p>
        </w:tc>
        <w:tc>
          <w:tcPr>
            <w:tcW w:w="1569" w:type="dxa"/>
            <w:tcBorders>
              <w:top w:val="single" w:color="auto" w:sz="4" w:space="0"/>
              <w:left w:val="single" w:color="auto" w:sz="4" w:space="0"/>
              <w:right w:val="single" w:color="auto" w:sz="8"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 w:val="21"/>
                <w:szCs w:val="21"/>
              </w:rPr>
            </w:pPr>
            <w:r>
              <w:rPr>
                <w:rFonts w:ascii="Times New Roman" w:hAnsi="Times New Roman" w:cs="Times New Roman"/>
                <w:snapToGrid w:val="0"/>
                <w:color w:val="auto"/>
                <w:kern w:val="21"/>
                <w:sz w:val="21"/>
                <w:szCs w:val="21"/>
              </w:rPr>
              <w:t>TP</w:t>
            </w:r>
          </w:p>
        </w:tc>
        <w:tc>
          <w:tcPr>
            <w:tcW w:w="1276"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0.00</w:t>
            </w:r>
            <w:r>
              <w:rPr>
                <w:rFonts w:hint="eastAsia" w:ascii="Times New Roman" w:hAnsi="Times New Roman" w:cs="Times New Roman"/>
                <w:snapToGrid w:val="0"/>
                <w:color w:val="auto"/>
                <w:kern w:val="21"/>
                <w:szCs w:val="21"/>
                <w:lang w:val="en-US" w:eastAsia="zh-CN"/>
              </w:rPr>
              <w:t>5</w:t>
            </w:r>
            <w:r>
              <w:rPr>
                <w:rFonts w:ascii="Times New Roman" w:hAnsi="Times New Roman" w:cs="Times New Roman"/>
                <w:snapToGrid w:val="0"/>
                <w:color w:val="auto"/>
                <w:kern w:val="21"/>
                <w:szCs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20" w:hanging="420" w:hangingChars="20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0.00</w:t>
            </w:r>
            <w:r>
              <w:rPr>
                <w:rFonts w:hint="eastAsia" w:ascii="Times New Roman" w:hAnsi="Times New Roman" w:cs="Times New Roman"/>
                <w:snapToGrid w:val="0"/>
                <w:color w:val="auto"/>
                <w:kern w:val="21"/>
                <w:szCs w:val="21"/>
                <w:lang w:val="en-US" w:eastAsia="zh-CN"/>
              </w:rPr>
              <w:t>5</w:t>
            </w:r>
            <w:r>
              <w:rPr>
                <w:rFonts w:ascii="Times New Roman" w:hAnsi="Times New Roman" w:cs="Times New Roman"/>
                <w:snapToGrid w:val="0"/>
                <w:color w:val="auto"/>
                <w:kern w:val="21"/>
                <w:szCs w:val="21"/>
              </w:rPr>
              <w:t>t/a</w:t>
            </w:r>
          </w:p>
        </w:tc>
        <w:tc>
          <w:tcPr>
            <w:tcW w:w="1569" w:type="dxa"/>
            <w:tcBorders>
              <w:top w:val="single" w:color="auto" w:sz="4" w:space="0"/>
              <w:left w:val="single" w:color="auto" w:sz="4" w:space="0"/>
              <w:right w:val="single" w:color="auto" w:sz="8"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restart"/>
            <w:tcBorders>
              <w:top w:val="single" w:color="auto" w:sz="4" w:space="0"/>
              <w:left w:val="single" w:color="auto" w:sz="8"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一般工业</w:t>
            </w:r>
          </w:p>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固体废物</w:t>
            </w:r>
          </w:p>
        </w:tc>
        <w:tc>
          <w:tcPr>
            <w:tcW w:w="198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生活垃圾</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1.</w:t>
            </w:r>
            <w:r>
              <w:rPr>
                <w:rFonts w:hint="eastAsia" w:cs="Times New Roman"/>
                <w:snapToGrid w:val="0"/>
                <w:color w:val="auto"/>
                <w:kern w:val="21"/>
                <w:szCs w:val="21"/>
                <w:lang w:val="en-US" w:eastAsia="zh-CN"/>
              </w:rPr>
              <w:t>6</w:t>
            </w:r>
            <w:r>
              <w:rPr>
                <w:rFonts w:ascii="Times New Roman" w:hAnsi="Times New Roman" w:cs="Times New Roman"/>
                <w:snapToGrid w:val="0"/>
                <w:color w:val="auto"/>
                <w:kern w:val="21"/>
                <w:szCs w:val="21"/>
              </w:rPr>
              <w:t>5t/a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1.</w:t>
            </w:r>
            <w:r>
              <w:rPr>
                <w:rFonts w:hint="eastAsia" w:cs="Times New Roman"/>
                <w:snapToGrid w:val="0"/>
                <w:color w:val="auto"/>
                <w:kern w:val="21"/>
                <w:szCs w:val="21"/>
                <w:lang w:val="en-US" w:eastAsia="zh-CN"/>
              </w:rPr>
              <w:t>6</w:t>
            </w:r>
            <w:r>
              <w:rPr>
                <w:rFonts w:ascii="Times New Roman" w:hAnsi="Times New Roman" w:cs="Times New Roman"/>
                <w:snapToGrid w:val="0"/>
                <w:color w:val="auto"/>
                <w:kern w:val="21"/>
                <w:szCs w:val="21"/>
              </w:rPr>
              <w:t>5t/a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snapToGrid w:val="0"/>
              <w:jc w:val="center"/>
              <w:rPr>
                <w:rFonts w:ascii="Times New Roman" w:hAnsi="Times New Roman" w:cs="Times New Roman"/>
                <w:color w:val="auto"/>
                <w:szCs w:val="21"/>
              </w:rPr>
            </w:pPr>
            <w:r>
              <w:rPr>
                <w:rFonts w:hint="eastAsia"/>
                <w:color w:val="auto"/>
                <w:kern w:val="0"/>
                <w:szCs w:val="21"/>
              </w:rPr>
              <w:t>气化炉灰渣</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1638.08</w:t>
            </w:r>
            <w:r>
              <w:rPr>
                <w:rFonts w:ascii="Times New Roman" w:hAnsi="Times New Roman" w:cs="Times New Roman"/>
                <w:snapToGrid w:val="0"/>
                <w:color w:val="auto"/>
                <w:kern w:val="21"/>
                <w:szCs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snapToGrid w:val="0"/>
                <w:color w:val="auto"/>
                <w:kern w:val="21"/>
                <w:szCs w:val="21"/>
              </w:rPr>
            </w:pPr>
            <w:r>
              <w:rPr>
                <w:rFonts w:hint="eastAsia" w:cs="Times New Roman"/>
                <w:snapToGrid w:val="0"/>
                <w:color w:val="auto"/>
                <w:kern w:val="21"/>
                <w:szCs w:val="21"/>
                <w:lang w:val="en-US" w:eastAsia="zh-CN"/>
              </w:rPr>
              <w:t>1638.08</w:t>
            </w:r>
            <w:r>
              <w:rPr>
                <w:rFonts w:ascii="Times New Roman" w:hAnsi="Times New Roman" w:cs="Times New Roman"/>
                <w:snapToGrid w:val="0"/>
                <w:color w:val="auto"/>
                <w:kern w:val="21"/>
                <w:szCs w:val="21"/>
              </w:rPr>
              <w:t>t/a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snapToGrid w:val="0"/>
              <w:jc w:val="center"/>
              <w:rPr>
                <w:rFonts w:ascii="Times New Roman" w:hAnsi="Times New Roman" w:cs="Times New Roman"/>
                <w:color w:val="auto"/>
                <w:szCs w:val="21"/>
              </w:rPr>
            </w:pPr>
            <w:r>
              <w:rPr>
                <w:rFonts w:hint="eastAsia"/>
                <w:color w:val="auto"/>
                <w:kern w:val="0"/>
                <w:szCs w:val="21"/>
              </w:rPr>
              <w:t>除尘器收尘</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10.035t/a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snapToGrid w:val="0"/>
                <w:color w:val="auto"/>
                <w:kern w:val="21"/>
                <w:szCs w:val="21"/>
              </w:rPr>
            </w:pPr>
            <w:r>
              <w:rPr>
                <w:rFonts w:hint="eastAsia" w:cs="Times New Roman"/>
                <w:snapToGrid w:val="0"/>
                <w:color w:val="auto"/>
                <w:kern w:val="21"/>
                <w:szCs w:val="21"/>
                <w:lang w:val="en-US" w:eastAsia="zh-CN"/>
              </w:rPr>
              <w:t>10.035t/a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restart"/>
            <w:tcBorders>
              <w:top w:val="single" w:color="auto" w:sz="4" w:space="0"/>
              <w:left w:val="single" w:color="auto" w:sz="8"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r>
              <w:rPr>
                <w:rFonts w:ascii="Times New Roman" w:hAnsi="Times New Roman" w:cs="Times New Roman"/>
                <w:snapToGrid w:val="0"/>
                <w:color w:val="auto"/>
                <w:kern w:val="21"/>
                <w:szCs w:val="21"/>
              </w:rPr>
              <w:t>危险废物</w:t>
            </w:r>
          </w:p>
        </w:tc>
        <w:tc>
          <w:tcPr>
            <w:tcW w:w="198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废机油及桶</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0.01</w:t>
            </w:r>
            <w:r>
              <w:rPr>
                <w:rFonts w:ascii="Times New Roman" w:hAnsi="Times New Roman" w:cs="Times New Roman"/>
                <w:snapToGrid w:val="0"/>
                <w:color w:val="auto"/>
                <w:kern w:val="21"/>
                <w:szCs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rPr>
            </w:pPr>
            <w:r>
              <w:rPr>
                <w:rFonts w:ascii="Times New Roman" w:hAnsi="Times New Roman" w:cs="Times New Roman"/>
                <w:color w:val="auto"/>
                <w:szCs w:val="21"/>
              </w:rPr>
              <w:t>0.01</w:t>
            </w:r>
            <w:r>
              <w:rPr>
                <w:rFonts w:ascii="Times New Roman" w:hAnsi="Times New Roman" w:cs="Times New Roman"/>
                <w:snapToGrid w:val="0"/>
                <w:color w:val="auto"/>
                <w:kern w:val="21"/>
                <w:szCs w:val="21"/>
              </w:rPr>
              <w:t>t/a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废离子交换树脂</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0.1t/3a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color w:val="auto"/>
                <w:szCs w:val="21"/>
                <w:lang w:val="en-US" w:eastAsia="zh-CN"/>
              </w:rPr>
              <w:t>0.1t/3a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color w:val="auto"/>
                <w:szCs w:val="21"/>
                <w:lang w:val="en-US" w:eastAsia="zh-CN"/>
              </w:rPr>
              <w:t>废催化剂</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auto"/>
                <w:szCs w:val="21"/>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szCs w:val="21"/>
                <w:lang w:val="en-US" w:eastAsia="zh-CN"/>
              </w:rPr>
            </w:pPr>
            <w:r>
              <w:rPr>
                <w:rFonts w:hint="eastAsia" w:cs="Times New Roman"/>
                <w:color w:val="auto"/>
                <w:szCs w:val="21"/>
                <w:lang w:val="en-US" w:eastAsia="zh-CN"/>
              </w:rPr>
              <w:t>2t/2a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0"/>
              <w:rPr>
                <w:rFonts w:ascii="Times New Roman" w:hAnsi="Times New Roman" w:cs="Times New Roman"/>
                <w:snapToGrid w:val="0"/>
                <w:color w:val="auto"/>
                <w:kern w:val="21"/>
                <w:szCs w:val="21"/>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cs="Times New Roman"/>
                <w:color w:val="auto"/>
                <w:szCs w:val="21"/>
              </w:rPr>
            </w:pPr>
            <w:r>
              <w:rPr>
                <w:rFonts w:hint="eastAsia" w:cs="Times New Roman"/>
                <w:color w:val="auto"/>
                <w:szCs w:val="21"/>
                <w:lang w:val="en-US" w:eastAsia="zh-CN"/>
              </w:rPr>
              <w:t>2t/2a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588" w:type="dxa"/>
            <w:vMerge w:val="continue"/>
            <w:tcBorders>
              <w:top w:val="single" w:color="auto" w:sz="4" w:space="0"/>
              <w:left w:val="single" w:color="auto" w:sz="8" w:space="0"/>
              <w:right w:val="single" w:color="auto" w:sz="4" w:space="0"/>
            </w:tcBorders>
            <w:vAlign w:val="center"/>
          </w:tcPr>
          <w:p/>
        </w:tc>
        <w:tc>
          <w:tcPr>
            <w:tcW w:w="1984"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废含油手套抹布</w:t>
            </w:r>
          </w:p>
        </w:tc>
        <w:tc>
          <w:tcPr>
            <w:tcW w:w="1276"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p>
        </w:tc>
        <w:tc>
          <w:tcPr>
            <w:tcW w:w="1134"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80" w:hanging="480" w:hangingChars="200"/>
              <w:rPr>
                <w:rFonts w:ascii="Times New Roman" w:hAnsi="Times New Roman" w:eastAsia="宋体" w:cs="Times New Roman"/>
                <w:snapToGrid w:val="0"/>
                <w:color w:val="auto"/>
                <w:kern w:val="21"/>
                <w:sz w:val="24"/>
                <w:szCs w:val="21"/>
                <w:lang w:val="en-US" w:eastAsia="zh-CN" w:bidi="ar-SA"/>
              </w:rPr>
            </w:pPr>
          </w:p>
        </w:tc>
        <w:tc>
          <w:tcPr>
            <w:tcW w:w="1417"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80" w:hanging="480" w:hangingChars="200"/>
              <w:rPr>
                <w:rFonts w:ascii="Times New Roman" w:hAnsi="Times New Roman" w:eastAsia="宋体" w:cs="Times New Roman"/>
                <w:snapToGrid w:val="0"/>
                <w:color w:val="auto"/>
                <w:kern w:val="21"/>
                <w:sz w:val="24"/>
                <w:szCs w:val="21"/>
                <w:lang w:val="en-US" w:eastAsia="zh-CN" w:bidi="ar-SA"/>
              </w:rPr>
            </w:pPr>
          </w:p>
        </w:tc>
        <w:tc>
          <w:tcPr>
            <w:tcW w:w="1560"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0.01</w:t>
            </w:r>
            <w:r>
              <w:rPr>
                <w:rFonts w:ascii="Times New Roman" w:hAnsi="Times New Roman" w:cs="Times New Roman"/>
                <w:snapToGrid w:val="0"/>
                <w:color w:val="auto"/>
                <w:kern w:val="21"/>
                <w:szCs w:val="21"/>
              </w:rPr>
              <w:t>t/a</w:t>
            </w:r>
          </w:p>
        </w:tc>
        <w:tc>
          <w:tcPr>
            <w:tcW w:w="1559" w:type="dxa"/>
            <w:tcBorders>
              <w:top w:val="single" w:color="auto" w:sz="4" w:space="0"/>
              <w:left w:val="single" w:color="auto" w:sz="4" w:space="0"/>
              <w:right w:val="single" w:color="auto" w:sz="4" w:space="0"/>
            </w:tcBorders>
            <w:vAlign w:val="center"/>
          </w:tcPr>
          <w:p>
            <w:pPr>
              <w:pStyle w:val="33"/>
              <w:spacing w:before="10" w:beforeLines="0" w:after="10" w:afterLines="0" w:line="240" w:lineRule="auto"/>
              <w:ind w:left="480" w:hanging="480" w:hangingChars="200"/>
              <w:rPr>
                <w:rFonts w:ascii="Times New Roman" w:hAnsi="Times New Roman" w:eastAsia="宋体" w:cs="Times New Roman"/>
                <w:snapToGrid w:val="0"/>
                <w:color w:val="auto"/>
                <w:kern w:val="21"/>
                <w:sz w:val="24"/>
                <w:szCs w:val="21"/>
                <w:lang w:val="en-US" w:eastAsia="zh-CN" w:bidi="ar-SA"/>
              </w:rPr>
            </w:pPr>
          </w:p>
        </w:tc>
        <w:tc>
          <w:tcPr>
            <w:tcW w:w="1701" w:type="dxa"/>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color w:val="auto"/>
                <w:kern w:val="2"/>
                <w:sz w:val="21"/>
                <w:szCs w:val="24"/>
                <w:lang w:val="en-US" w:eastAsia="zh-CN" w:bidi="ar-SA"/>
              </w:rPr>
            </w:pPr>
            <w:r>
              <w:rPr>
                <w:rFonts w:ascii="Times New Roman" w:hAnsi="Times New Roman" w:cs="Times New Roman"/>
                <w:color w:val="auto"/>
                <w:szCs w:val="21"/>
              </w:rPr>
              <w:t>0.01</w:t>
            </w:r>
            <w:r>
              <w:rPr>
                <w:rFonts w:ascii="Times New Roman" w:hAnsi="Times New Roman" w:cs="Times New Roman"/>
                <w:snapToGrid w:val="0"/>
                <w:color w:val="auto"/>
                <w:kern w:val="21"/>
                <w:szCs w:val="21"/>
              </w:rPr>
              <w:t>t/a</w:t>
            </w:r>
          </w:p>
        </w:tc>
        <w:tc>
          <w:tcPr>
            <w:tcW w:w="1569" w:type="dxa"/>
            <w:tcBorders>
              <w:top w:val="single" w:color="auto" w:sz="4" w:space="0"/>
              <w:left w:val="single" w:color="auto" w:sz="4" w:space="0"/>
              <w:right w:val="single" w:color="auto" w:sz="8" w:space="0"/>
            </w:tcBorders>
            <w:vAlign w:val="center"/>
          </w:tcPr>
          <w:p>
            <w:pPr>
              <w:jc w:val="center"/>
              <w:rPr>
                <w:rFonts w:ascii="Times New Roman" w:hAnsi="Times New Roman" w:cs="Times New Roman"/>
                <w:color w:val="auto"/>
                <w:szCs w:val="21"/>
              </w:rPr>
            </w:pPr>
          </w:p>
        </w:tc>
      </w:tr>
    </w:tbl>
    <w:p>
      <w:pPr>
        <w:pStyle w:val="33"/>
        <w:spacing w:before="192" w:beforeLines="80" w:after="24" w:afterLines="0"/>
        <w:ind w:left="0"/>
        <w:jc w:val="left"/>
        <w:rPr>
          <w:rFonts w:ascii="Times New Roman" w:hAnsi="Times New Roman" w:eastAsia="黑体" w:cs="Times New Roman"/>
          <w:color w:val="auto"/>
        </w:rPr>
      </w:pPr>
      <w:r>
        <w:rPr>
          <w:rFonts w:ascii="Times New Roman" w:hAnsi="Times New Roman" w:cs="Times New Roman"/>
          <w:snapToGrid w:val="0"/>
          <w:color w:val="auto"/>
          <w:kern w:val="21"/>
          <w:szCs w:val="21"/>
        </w:rPr>
        <w:t>注：</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hAnsi="Times New Roman" w:cs="Times New Roman"/>
          <w:snapToGrid w:val="0"/>
          <w:color w:val="auto"/>
          <w:spacing w:val="-16"/>
          <w:kern w:val="21"/>
          <w:szCs w:val="21"/>
        </w:rPr>
        <w:fldChar w:fldCharType="separate"/>
      </w:r>
      <w:r>
        <w:rPr>
          <w:rFonts w:ascii="Times New Roman" w:hAnsi="Times New Roman" w:cs="Times New Roman"/>
          <w:color w:val="auto"/>
          <w:szCs w:val="21"/>
        </w:rPr>
        <w:t>⑥</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cs="Times New Roman"/>
          <w:color w:val="auto"/>
          <w:szCs w:val="21"/>
        </w:rPr>
        <w:t>①</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3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cs="Times New Roman"/>
          <w:color w:val="auto"/>
          <w:szCs w:val="21"/>
        </w:rPr>
        <w:t>③</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4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cs="Times New Roman"/>
          <w:color w:val="auto"/>
          <w:szCs w:val="21"/>
        </w:rPr>
        <w:t>④</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5 \* GB3 \* MERGEFORMAT </w:instrText>
      </w:r>
      <w:r>
        <w:rPr>
          <w:rFonts w:ascii="Times New Roman" w:hAnsi="Times New Roman" w:cs="Times New Roman"/>
          <w:snapToGrid w:val="0"/>
          <w:color w:val="auto"/>
          <w:spacing w:val="-16"/>
          <w:kern w:val="21"/>
          <w:szCs w:val="21"/>
        </w:rPr>
        <w:fldChar w:fldCharType="separate"/>
      </w:r>
      <w:r>
        <w:rPr>
          <w:rFonts w:ascii="Times New Roman" w:hAnsi="Times New Roman" w:cs="Times New Roman"/>
          <w:color w:val="auto"/>
          <w:szCs w:val="21"/>
        </w:rPr>
        <w:t>⑤</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7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cs="Times New Roman"/>
          <w:color w:val="auto"/>
          <w:szCs w:val="21"/>
        </w:rPr>
        <w:t>⑦</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hAnsi="Times New Roman" w:cs="Times New Roman"/>
          <w:snapToGrid w:val="0"/>
          <w:color w:val="auto"/>
          <w:spacing w:val="-16"/>
          <w:kern w:val="21"/>
          <w:szCs w:val="21"/>
        </w:rPr>
        <w:fldChar w:fldCharType="separate"/>
      </w:r>
      <w:r>
        <w:rPr>
          <w:rFonts w:ascii="Times New Roman" w:hAnsi="Times New Roman" w:cs="Times New Roman"/>
          <w:color w:val="auto"/>
          <w:szCs w:val="21"/>
        </w:rPr>
        <w:t>⑥</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cs="Times New Roman"/>
          <w:color w:val="auto"/>
          <w:szCs w:val="21"/>
        </w:rPr>
        <w:t>①</w:t>
      </w:r>
      <w:r>
        <w:rPr>
          <w:rFonts w:ascii="Times New Roman" w:hAnsi="Times New Roman" w:cs="Times New Roman"/>
          <w:snapToGrid w:val="0"/>
          <w:color w:val="auto"/>
          <w:spacing w:val="-6"/>
          <w:kern w:val="21"/>
          <w:szCs w:val="21"/>
        </w:rPr>
        <w:fldChar w:fldCharType="end"/>
      </w:r>
    </w:p>
    <w:sectPr>
      <w:footerReference r:id="rId5" w:type="default"/>
      <w:pgSz w:w="16838" w:h="11906" w:orient="landscape"/>
      <w:pgMar w:top="1531" w:right="1701" w:bottom="1531" w:left="1701"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504020202030204"/>
    <w:charset w:val="00"/>
    <w:family w:val="roman"/>
    <w:pitch w:val="default"/>
    <w:sig w:usb0="00000000" w:usb1="00000000" w:usb2="00000000" w:usb3="00000000" w:csb0="00000093" w:csb1="00000000"/>
  </w:font>
  <w:font w:name="TimesNewRomanPSMT">
    <w:altName w:val="Times New Roman"/>
    <w:panose1 w:val="00000000000000000000"/>
    <w:charset w:val="00"/>
    <w:family w:val="roman"/>
    <w:pitch w:val="default"/>
    <w:sig w:usb0="00000000" w:usb1="00000000" w:usb2="00000000" w:usb3="00000000" w:csb0="00000001" w:csb1="00000000"/>
  </w:font>
  <w:font w:name="方正小标宋_GBK">
    <w:altName w:val="微软雅黑"/>
    <w:panose1 w:val="00000000000000000000"/>
    <w:charset w:val="86"/>
    <w:family w:val="script"/>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 PAGE   \* MERGEFORMAT </w:instrText>
    </w:r>
    <w:r>
      <w:fldChar w:fldCharType="separate"/>
    </w:r>
    <w:r>
      <w:rPr>
        <w:lang w:val="zh-CN"/>
      </w:rPr>
      <w:t>24</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E41B4"/>
    <w:multiLevelType w:val="singleLevel"/>
    <w:tmpl w:val="852E41B4"/>
    <w:lvl w:ilvl="0" w:tentative="0">
      <w:start w:val="1"/>
      <w:numFmt w:val="decimal"/>
      <w:suff w:val="nothing"/>
      <w:lvlText w:val="%1、"/>
      <w:lvlJc w:val="left"/>
      <w:pPr>
        <w:ind w:left="0" w:firstLine="0"/>
      </w:pPr>
    </w:lvl>
  </w:abstractNum>
  <w:abstractNum w:abstractNumId="1">
    <w:nsid w:val="8C0AFDF0"/>
    <w:multiLevelType w:val="singleLevel"/>
    <w:tmpl w:val="8C0AFDF0"/>
    <w:lvl w:ilvl="0" w:tentative="0">
      <w:start w:val="1"/>
      <w:numFmt w:val="chineseCounting"/>
      <w:suff w:val="nothing"/>
      <w:lvlText w:val="%1、"/>
      <w:lvlJc w:val="left"/>
      <w:pPr>
        <w:ind w:left="0" w:firstLine="0"/>
      </w:pPr>
      <w:rPr>
        <w:rFonts w:hint="eastAsia"/>
      </w:rPr>
    </w:lvl>
  </w:abstractNum>
  <w:abstractNum w:abstractNumId="2">
    <w:nsid w:val="8F0C459F"/>
    <w:multiLevelType w:val="multilevel"/>
    <w:tmpl w:val="8F0C459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3">
    <w:nsid w:val="A01754A1"/>
    <w:multiLevelType w:val="singleLevel"/>
    <w:tmpl w:val="A01754A1"/>
    <w:lvl w:ilvl="0" w:tentative="0">
      <w:start w:val="1"/>
      <w:numFmt w:val="decimal"/>
      <w:suff w:val="nothing"/>
      <w:lvlText w:val="（%1）"/>
      <w:lvlJc w:val="left"/>
      <w:pPr>
        <w:ind w:left="148" w:hanging="148"/>
      </w:pPr>
    </w:lvl>
  </w:abstractNum>
  <w:abstractNum w:abstractNumId="4">
    <w:nsid w:val="A199781E"/>
    <w:multiLevelType w:val="multilevel"/>
    <w:tmpl w:val="A199781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5">
    <w:nsid w:val="A95EFBCC"/>
    <w:multiLevelType w:val="singleLevel"/>
    <w:tmpl w:val="A95EFBCC"/>
    <w:lvl w:ilvl="0" w:tentative="0">
      <w:start w:val="1"/>
      <w:numFmt w:val="decimal"/>
      <w:suff w:val="nothing"/>
      <w:lvlText w:val="%1、"/>
      <w:lvlJc w:val="left"/>
      <w:pPr>
        <w:ind w:left="148" w:hanging="148"/>
      </w:pPr>
    </w:lvl>
  </w:abstractNum>
  <w:abstractNum w:abstractNumId="6">
    <w:nsid w:val="B27CABBC"/>
    <w:multiLevelType w:val="multilevel"/>
    <w:tmpl w:val="B27CABB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7">
    <w:nsid w:val="C07F6760"/>
    <w:multiLevelType w:val="multilevel"/>
    <w:tmpl w:val="C07F676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8">
    <w:nsid w:val="D7FEE22D"/>
    <w:multiLevelType w:val="multilevel"/>
    <w:tmpl w:val="D7FEE22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9">
    <w:nsid w:val="0B87A77D"/>
    <w:multiLevelType w:val="multilevel"/>
    <w:tmpl w:val="0B87A77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0">
    <w:nsid w:val="18CE59B0"/>
    <w:multiLevelType w:val="multilevel"/>
    <w:tmpl w:val="18CE59B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8E0F6B2"/>
    <w:multiLevelType w:val="singleLevel"/>
    <w:tmpl w:val="78E0F6B2"/>
    <w:lvl w:ilvl="0" w:tentative="0">
      <w:start w:val="2"/>
      <w:numFmt w:val="decimal"/>
      <w:suff w:val="nothing"/>
      <w:lvlText w:val="（%1）"/>
      <w:lvlJc w:val="left"/>
      <w:pPr>
        <w:ind w:left="-2" w:firstLine="2"/>
      </w:pPr>
    </w:lvl>
  </w:abstractNum>
  <w:num w:numId="1">
    <w:abstractNumId w:val="5"/>
  </w:num>
  <w:num w:numId="2">
    <w:abstractNumId w:val="11"/>
  </w:num>
  <w:num w:numId="3">
    <w:abstractNumId w:val="1"/>
  </w:num>
  <w:num w:numId="4">
    <w:abstractNumId w:val="0"/>
  </w:num>
  <w:num w:numId="5">
    <w:abstractNumId w:val="10"/>
  </w:num>
  <w:num w:numId="6">
    <w:abstractNumId w:val="3"/>
  </w:num>
  <w:num w:numId="7">
    <w:abstractNumId w:val="2"/>
  </w:num>
  <w:num w:numId="8">
    <w:abstractNumId w:val="4"/>
  </w:num>
  <w:num w:numId="9">
    <w:abstractNumId w:val="6"/>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ulTrailSpace/>
    <w:doNotExpandShiftReturn/>
    <w:adjustLineHeightInTable/>
    <w:useFELayout/>
    <w:doNotUseIndentAsNumberingTabStop/>
    <w:compatSetting w:name="compatibilityMode" w:uri="http://schemas.microsoft.com/office/word" w:val="14"/>
  </w:compat>
  <w:docVars>
    <w:docVar w:name="commondata" w:val="eyJoZGlkIjoiYmYyMTkwMTk1NWMzMGJlOGQ0Y2ZiMTBlMzQ2ZTZiOGUifQ=="/>
  </w:docVars>
  <w:rsids>
    <w:rsidRoot w:val="00000000"/>
    <w:rsid w:val="365F7D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rules v:ext="edit">
        <o:r id="V:Rule1" type="connector" idref="#_s37"/>
        <o:r id="V:Rule2" type="connector" idref="#_s38"/>
        <o:r id="V:Rule3" type="connector" idref="#_s39"/>
        <o:r id="V:Rule4" type="connector" idref="#_s40"/>
        <o:r id="V:Rule5" type="connector" idref="#_s42"/>
        <o:r id="V:Rule6" type="connector" idref="#_s43"/>
        <o:r id="V:Rule7" type="connector" idref="#_s45"/>
        <o:r id="V:Rule8" type="connector" idref="#_s46"/>
        <o:r id="V:Rule9" type="connector" idref="#_s97"/>
        <o:r id="V:Rule10" type="connector" idref="#_s98"/>
        <o:r id="V:Rule11" type="connector" idref="#_s99"/>
        <o:r id="V:Rule12" type="connector" idref="#_s100"/>
        <o:r id="V:Rule13" type="connector" idref="#_s101"/>
        <o:r id="V:Rule14" type="connector" idref="#_s103"/>
        <o:r id="V:Rule15" type="connector" idref="#_s105"/>
        <o:r id="V:Rule16" type="connector" idref="#_s108"/>
        <o:r id="V:Rule17" type="connector" idref="#_s111"/>
        <o:r id="V:Rule18" type="connector" idref="#_s118"/>
        <o:r id="V:Rule19" type="connector" idref="#_s120"/>
        <o:r id="V:Rule20" type="connector" idref="#_s122"/>
        <o:r id="V:Rule21" type="connector" idref="#_s124"/>
        <o:r id="V:Rule22" type="connector" idref="#_s125"/>
        <o:r id="V:Rule23" type="connector" idref="#_s126"/>
        <o:r id="V:Rule24" type="connector" idref="#_s127"/>
        <o:r id="V:Rule25" type="connector" idref="#_s128"/>
        <o:r id="V:Rule26" type="connector" idref="#_s129"/>
        <o:r id="V:Rule27" type="connector" idref="#_s13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widowControl w:val="0"/>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widowControl w:val="0"/>
      <w:adjustRightInd w:val="0"/>
      <w:snapToGrid w:val="0"/>
      <w:spacing w:before="260" w:after="260" w:line="415" w:lineRule="auto"/>
      <w:ind w:firstLine="200" w:firstLineChars="200"/>
      <w:outlineLvl w:val="1"/>
    </w:pPr>
    <w:rPr>
      <w:rFonts w:ascii="等线 Light" w:eastAsia="等线 Light"/>
      <w:b/>
      <w:bCs/>
      <w:sz w:val="32"/>
      <w:szCs w:val="32"/>
    </w:rPr>
  </w:style>
  <w:style w:type="paragraph" w:styleId="5">
    <w:name w:val="heading 3"/>
    <w:basedOn w:val="1"/>
    <w:next w:val="1"/>
    <w:autoRedefine/>
    <w:qFormat/>
    <w:uiPriority w:val="0"/>
    <w:pPr>
      <w:keepNext/>
      <w:keepLines/>
      <w:widowControl w:val="0"/>
      <w:adjustRightInd w:val="0"/>
      <w:snapToGrid w:val="0"/>
      <w:spacing w:before="260" w:after="260" w:line="415" w:lineRule="auto"/>
      <w:ind w:firstLine="200" w:firstLineChars="200"/>
      <w:outlineLvl w:val="2"/>
    </w:pPr>
    <w:rPr>
      <w:b/>
      <w:bCs/>
      <w:sz w:val="32"/>
      <w:szCs w:val="32"/>
    </w:rPr>
  </w:style>
  <w:style w:type="paragraph" w:styleId="6">
    <w:name w:val="heading 4"/>
    <w:basedOn w:val="1"/>
    <w:next w:val="1"/>
    <w:autoRedefine/>
    <w:uiPriority w:val="0"/>
    <w:pPr>
      <w:keepNext/>
      <w:keepLines/>
      <w:widowControl w:val="0"/>
      <w:tabs>
        <w:tab w:val="left" w:pos="864"/>
      </w:tabs>
      <w:spacing w:before="280" w:after="290" w:line="377" w:lineRule="auto"/>
      <w:ind w:left="864" w:hanging="864"/>
      <w:outlineLvl w:val="3"/>
    </w:pPr>
    <w:rPr>
      <w:rFonts w:ascii="Arial" w:hAnsi="Arial" w:eastAsia="黑体"/>
      <w:b/>
      <w:bCs/>
      <w:sz w:val="28"/>
      <w:szCs w:val="28"/>
    </w:rPr>
  </w:style>
  <w:style w:type="character" w:default="1" w:styleId="26">
    <w:name w:val="Default Paragraph Font"/>
    <w:autoRedefine/>
    <w:qFormat/>
    <w:uiPriority w:val="0"/>
  </w:style>
  <w:style w:type="table" w:default="1" w:styleId="25">
    <w:name w:val="Normal Table"/>
    <w:semiHidden/>
    <w:uiPriority w:val="0"/>
    <w:tblPr>
      <w:tblCellMar>
        <w:top w:w="0" w:type="dxa"/>
        <w:left w:w="108" w:type="dxa"/>
        <w:bottom w:w="0" w:type="dxa"/>
        <w:right w:w="108" w:type="dxa"/>
      </w:tblCellMar>
    </w:tblPr>
  </w:style>
  <w:style w:type="paragraph" w:styleId="2">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7">
    <w:name w:val="Normal Indent"/>
    <w:basedOn w:val="1"/>
    <w:autoRedefine/>
    <w:qFormat/>
    <w:uiPriority w:val="0"/>
    <w:rPr>
      <w:sz w:val="28"/>
      <w:szCs w:val="20"/>
    </w:rPr>
  </w:style>
  <w:style w:type="paragraph" w:styleId="8">
    <w:name w:val="annotation text"/>
    <w:basedOn w:val="1"/>
    <w:autoRedefine/>
    <w:qFormat/>
    <w:uiPriority w:val="0"/>
    <w:pPr>
      <w:jc w:val="left"/>
    </w:pPr>
    <w:rPr>
      <w:kern w:val="0"/>
      <w:sz w:val="24"/>
      <w:szCs w:val="20"/>
    </w:rPr>
  </w:style>
  <w:style w:type="paragraph" w:styleId="9">
    <w:name w:val="Salutation"/>
    <w:basedOn w:val="1"/>
    <w:next w:val="1"/>
    <w:autoRedefine/>
    <w:uiPriority w:val="0"/>
  </w:style>
  <w:style w:type="paragraph" w:styleId="10">
    <w:name w:val="Body Text Indent"/>
    <w:basedOn w:val="1"/>
    <w:autoRedefine/>
    <w:uiPriority w:val="0"/>
    <w:pPr>
      <w:spacing w:after="120"/>
      <w:ind w:left="200" w:leftChars="200"/>
    </w:pPr>
    <w:rPr>
      <w:kern w:val="0"/>
      <w:sz w:val="24"/>
      <w:szCs w:val="20"/>
    </w:rPr>
  </w:style>
  <w:style w:type="paragraph" w:styleId="11">
    <w:name w:val="Plain Text"/>
    <w:basedOn w:val="1"/>
    <w:next w:val="1"/>
    <w:autoRedefine/>
    <w:qFormat/>
    <w:uiPriority w:val="0"/>
    <w:rPr>
      <w:rFonts w:ascii="宋体" w:cs="Courier New"/>
      <w:szCs w:val="21"/>
    </w:rPr>
  </w:style>
  <w:style w:type="paragraph" w:styleId="12">
    <w:name w:val="Date"/>
    <w:basedOn w:val="1"/>
    <w:next w:val="1"/>
    <w:autoRedefine/>
    <w:uiPriority w:val="0"/>
    <w:pPr>
      <w:ind w:left="2500" w:leftChars="2500"/>
    </w:pPr>
    <w:rPr>
      <w:kern w:val="0"/>
      <w:sz w:val="24"/>
      <w:szCs w:val="20"/>
    </w:rPr>
  </w:style>
  <w:style w:type="paragraph" w:styleId="13">
    <w:name w:val="Body Text Indent 2"/>
    <w:basedOn w:val="1"/>
    <w:next w:val="14"/>
    <w:autoRedefine/>
    <w:uiPriority w:val="0"/>
    <w:pPr>
      <w:spacing w:after="120" w:line="480" w:lineRule="auto"/>
      <w:ind w:left="200" w:leftChars="200"/>
    </w:pPr>
    <w:rPr>
      <w:rFonts w:ascii="Calibri" w:hAnsi="Calibri"/>
    </w:rPr>
  </w:style>
  <w:style w:type="paragraph" w:customStyle="1" w:styleId="14">
    <w:name w:val="正文4"/>
    <w:basedOn w:val="1"/>
    <w:autoRedefine/>
    <w:uiPriority w:val="0"/>
    <w:pPr>
      <w:widowControl/>
      <w:autoSpaceDE w:val="0"/>
      <w:autoSpaceDN w:val="0"/>
      <w:spacing w:after="160" w:line="440" w:lineRule="exact"/>
      <w:ind w:left="567" w:hanging="567"/>
      <w:jc w:val="left"/>
      <w:textAlignment w:val="bottom"/>
    </w:pPr>
    <w:rPr>
      <w:rFonts w:ascii="宋体" w:cs="宋体"/>
      <w:kern w:val="0"/>
      <w:sz w:val="28"/>
      <w:szCs w:val="20"/>
    </w:rPr>
  </w:style>
  <w:style w:type="paragraph" w:styleId="15">
    <w:name w:val="Balloon Text"/>
    <w:basedOn w:val="1"/>
    <w:autoRedefine/>
    <w:uiPriority w:val="0"/>
    <w:rPr>
      <w:kern w:val="0"/>
      <w:sz w:val="18"/>
      <w:szCs w:val="20"/>
    </w:rPr>
  </w:style>
  <w:style w:type="paragraph" w:styleId="16">
    <w:name w:val="footer"/>
    <w:basedOn w:val="1"/>
    <w:autoRedefine/>
    <w:qFormat/>
    <w:uiPriority w:val="0"/>
    <w:pPr>
      <w:tabs>
        <w:tab w:val="center" w:pos="4153"/>
        <w:tab w:val="right" w:pos="8306"/>
      </w:tabs>
      <w:snapToGrid w:val="0"/>
      <w:jc w:val="left"/>
    </w:pPr>
    <w:rPr>
      <w:kern w:val="0"/>
      <w:sz w:val="18"/>
      <w:szCs w:val="20"/>
    </w:rPr>
  </w:style>
  <w:style w:type="paragraph" w:styleId="17">
    <w:name w:val="header"/>
    <w:basedOn w:val="1"/>
    <w:next w:val="1"/>
    <w:autoRedefine/>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autoRedefine/>
    <w:uiPriority w:val="0"/>
    <w:pPr>
      <w:ind w:left="200" w:hanging="200" w:hangingChars="200"/>
    </w:pPr>
    <w:rPr>
      <w:szCs w:val="20"/>
    </w:rPr>
  </w:style>
  <w:style w:type="paragraph" w:styleId="19">
    <w:name w:val="Body Text Indent 3"/>
    <w:basedOn w:val="1"/>
    <w:autoRedefine/>
    <w:uiPriority w:val="0"/>
    <w:pPr>
      <w:spacing w:after="120"/>
      <w:ind w:left="200" w:leftChars="200"/>
    </w:pPr>
    <w:rPr>
      <w:sz w:val="16"/>
    </w:rPr>
  </w:style>
  <w:style w:type="paragraph" w:styleId="20">
    <w:name w:val="Body Text 2"/>
    <w:basedOn w:val="1"/>
    <w:autoRedefine/>
    <w:uiPriority w:val="0"/>
    <w:pPr>
      <w:spacing w:after="120" w:line="480" w:lineRule="auto"/>
    </w:pPr>
  </w:style>
  <w:style w:type="paragraph" w:styleId="21">
    <w:name w:val="Normal (Web)"/>
    <w:basedOn w:val="1"/>
    <w:autoRedefine/>
    <w:uiPriority w:val="0"/>
    <w:pPr>
      <w:widowControl/>
      <w:spacing w:before="100" w:beforeAutospacing="1" w:after="100" w:afterAutospacing="1"/>
      <w:jc w:val="left"/>
    </w:pPr>
    <w:rPr>
      <w:rFonts w:ascii="宋体"/>
      <w:kern w:val="0"/>
      <w:sz w:val="24"/>
      <w:szCs w:val="20"/>
    </w:rPr>
  </w:style>
  <w:style w:type="paragraph" w:styleId="22">
    <w:name w:val="Title"/>
    <w:basedOn w:val="1"/>
    <w:next w:val="1"/>
    <w:autoRedefine/>
    <w:uiPriority w:val="0"/>
    <w:pPr>
      <w:spacing w:line="520" w:lineRule="exact"/>
      <w:ind w:firstLine="200" w:firstLineChars="200"/>
      <w:jc w:val="left"/>
    </w:pPr>
    <w:rPr>
      <w:b/>
      <w:bCs/>
      <w:sz w:val="24"/>
      <w:szCs w:val="32"/>
    </w:rPr>
  </w:style>
  <w:style w:type="paragraph" w:styleId="23">
    <w:name w:val="annotation subject"/>
    <w:basedOn w:val="8"/>
    <w:next w:val="8"/>
    <w:autoRedefine/>
    <w:uiPriority w:val="0"/>
    <w:rPr>
      <w:b/>
      <w:kern w:val="2"/>
    </w:rPr>
  </w:style>
  <w:style w:type="paragraph" w:styleId="24">
    <w:name w:val="Body Text First Indent 2"/>
    <w:basedOn w:val="10"/>
    <w:autoRedefine/>
    <w:qFormat/>
    <w:uiPriority w:val="0"/>
    <w:pPr>
      <w:ind w:firstLine="200" w:firstLineChars="200"/>
    </w:pPr>
  </w:style>
  <w:style w:type="character" w:styleId="27">
    <w:name w:val="page number"/>
    <w:basedOn w:val="26"/>
    <w:autoRedefine/>
    <w:qFormat/>
    <w:uiPriority w:val="0"/>
  </w:style>
  <w:style w:type="character" w:styleId="28">
    <w:name w:val="Hyperlink"/>
    <w:basedOn w:val="26"/>
    <w:autoRedefine/>
    <w:qFormat/>
    <w:uiPriority w:val="0"/>
    <w:rPr>
      <w:color w:val="0000FF"/>
      <w:u w:val="single"/>
    </w:rPr>
  </w:style>
  <w:style w:type="character" w:styleId="29">
    <w:name w:val="annotation reference"/>
    <w:basedOn w:val="26"/>
    <w:autoRedefine/>
    <w:uiPriority w:val="0"/>
    <w:rPr>
      <w:sz w:val="21"/>
    </w:rPr>
  </w:style>
  <w:style w:type="paragraph" w:customStyle="1" w:styleId="30">
    <w:name w:val="正文 首行缩进:  2 字符"/>
    <w:basedOn w:val="1"/>
    <w:autoRedefine/>
    <w:qFormat/>
    <w:uiPriority w:val="0"/>
    <w:pPr>
      <w:spacing w:line="360" w:lineRule="auto"/>
      <w:ind w:firstLine="200" w:firstLineChars="200"/>
    </w:pPr>
  </w:style>
  <w:style w:type="character" w:customStyle="1" w:styleId="31">
    <w:name w:val="页脚 字符"/>
    <w:basedOn w:val="26"/>
    <w:autoRedefine/>
    <w:uiPriority w:val="0"/>
  </w:style>
  <w:style w:type="character" w:customStyle="1" w:styleId="32">
    <w:name w:val="正文文本 字符1"/>
    <w:autoRedefine/>
    <w:uiPriority w:val="0"/>
    <w:rPr>
      <w:rFonts w:ascii="Times New Roman" w:hAnsi="Times New Roman" w:eastAsia="宋体"/>
      <w:sz w:val="24"/>
    </w:rPr>
  </w:style>
  <w:style w:type="paragraph" w:customStyle="1" w:styleId="33">
    <w:name w:val="表格"/>
    <w:basedOn w:val="18"/>
    <w:next w:val="1"/>
    <w:autoRedefine/>
    <w:uiPriority w:val="0"/>
    <w:pPr>
      <w:adjustRightInd w:val="0"/>
      <w:snapToGrid w:val="0"/>
      <w:spacing w:before="10" w:beforeLines="10" w:after="10" w:afterLines="10" w:line="259" w:lineRule="auto"/>
      <w:jc w:val="center"/>
    </w:pPr>
    <w:rPr>
      <w:rFonts w:ascii="宋体"/>
      <w:kern w:val="0"/>
    </w:rPr>
  </w:style>
  <w:style w:type="paragraph" w:customStyle="1" w:styleId="34">
    <w:name w:val="列表1"/>
    <w:basedOn w:val="1"/>
    <w:autoRedefine/>
    <w:uiPriority w:val="0"/>
    <w:pPr>
      <w:widowControl w:val="0"/>
      <w:spacing w:after="0" w:line="360" w:lineRule="auto"/>
      <w:ind w:left="200" w:hanging="200" w:hangingChars="200"/>
    </w:pPr>
    <w:rPr>
      <w:rFonts w:ascii="Times New Roman" w:hAnsi="Times New Roman" w:eastAsia="宋体" w:cs="宋体"/>
      <w:kern w:val="2"/>
      <w:sz w:val="24"/>
      <w:szCs w:val="24"/>
    </w:rPr>
  </w:style>
  <w:style w:type="character" w:customStyle="1" w:styleId="35">
    <w:name w:val="日期 字符"/>
    <w:autoRedefine/>
    <w:uiPriority w:val="0"/>
    <w:rPr>
      <w:rFonts w:ascii="Times New Roman" w:hAnsi="Times New Roman" w:eastAsia="宋体"/>
      <w:sz w:val="24"/>
    </w:rPr>
  </w:style>
  <w:style w:type="character" w:customStyle="1" w:styleId="36">
    <w:name w:val="批注文字 字符1"/>
    <w:autoRedefine/>
    <w:qFormat/>
    <w:uiPriority w:val="0"/>
    <w:rPr>
      <w:rFonts w:ascii="Times New Roman" w:hAnsi="Times New Roman" w:eastAsia="宋体"/>
      <w:sz w:val="24"/>
    </w:rPr>
  </w:style>
  <w:style w:type="paragraph" w:customStyle="1" w:styleId="3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
    <w:name w:val="普通(网站)2"/>
    <w:basedOn w:val="1"/>
    <w:autoRedefine/>
    <w:qFormat/>
    <w:uiPriority w:val="0"/>
    <w:pPr>
      <w:widowControl/>
      <w:spacing w:before="100" w:beforeAutospacing="1" w:after="100" w:afterAutospacing="1"/>
      <w:jc w:val="left"/>
    </w:pPr>
    <w:rPr>
      <w:rFonts w:ascii="宋体"/>
      <w:sz w:val="24"/>
      <w:szCs w:val="20"/>
    </w:rPr>
  </w:style>
  <w:style w:type="character" w:customStyle="1" w:styleId="39">
    <w:name w:val="标题 2 Char"/>
    <w:basedOn w:val="26"/>
    <w:autoRedefine/>
    <w:uiPriority w:val="0"/>
    <w:rPr>
      <w:rFonts w:ascii="Cambria" w:hAnsi="Cambria" w:eastAsia="宋体" w:cs="Times New Roman"/>
      <w:b/>
      <w:bCs/>
      <w:kern w:val="2"/>
      <w:sz w:val="32"/>
      <w:szCs w:val="32"/>
    </w:rPr>
  </w:style>
  <w:style w:type="character" w:customStyle="1" w:styleId="40">
    <w:name w:val="标题 3 Char"/>
    <w:basedOn w:val="26"/>
    <w:autoRedefine/>
    <w:qFormat/>
    <w:uiPriority w:val="0"/>
    <w:rPr>
      <w:b/>
      <w:bCs/>
      <w:kern w:val="2"/>
      <w:sz w:val="32"/>
      <w:szCs w:val="32"/>
    </w:rPr>
  </w:style>
  <w:style w:type="paragraph" w:customStyle="1" w:styleId="41">
    <w:name w:val="sopZW"/>
    <w:basedOn w:val="1"/>
    <w:autoRedefine/>
    <w:uiPriority w:val="0"/>
    <w:pPr>
      <w:spacing w:line="360" w:lineRule="auto"/>
      <w:ind w:firstLine="482"/>
    </w:pPr>
    <w:rPr>
      <w:rFonts w:ascii="宋体" w:cs="黑体"/>
      <w:sz w:val="24"/>
      <w:szCs w:val="22"/>
    </w:rPr>
  </w:style>
  <w:style w:type="paragraph" w:customStyle="1" w:styleId="42">
    <w:name w:val="p0"/>
    <w:basedOn w:val="1"/>
    <w:autoRedefine/>
    <w:uiPriority w:val="0"/>
    <w:pPr>
      <w:widowControl/>
      <w:adjustRightInd w:val="0"/>
      <w:snapToGrid w:val="0"/>
      <w:spacing w:line="360" w:lineRule="auto"/>
      <w:ind w:firstLine="200" w:firstLineChars="200"/>
    </w:pPr>
    <w:rPr>
      <w:kern w:val="0"/>
      <w:sz w:val="24"/>
      <w:szCs w:val="21"/>
    </w:rPr>
  </w:style>
  <w:style w:type="paragraph" w:customStyle="1" w:styleId="43">
    <w:name w:val="Table Paragraph"/>
    <w:basedOn w:val="1"/>
    <w:next w:val="1"/>
    <w:autoRedefine/>
    <w:uiPriority w:val="0"/>
    <w:pPr>
      <w:adjustRightInd w:val="0"/>
      <w:snapToGrid w:val="0"/>
      <w:spacing w:line="360" w:lineRule="auto"/>
      <w:ind w:firstLine="200" w:firstLineChars="200"/>
      <w:jc w:val="left"/>
    </w:pPr>
    <w:rPr>
      <w:rFonts w:ascii="Calibri" w:hAnsi="Calibri"/>
      <w:kern w:val="0"/>
      <w:sz w:val="22"/>
      <w:szCs w:val="22"/>
    </w:rPr>
  </w:style>
  <w:style w:type="character" w:customStyle="1" w:styleId="44">
    <w:name w:val="表格 Char Char"/>
    <w:autoRedefine/>
    <w:uiPriority w:val="0"/>
    <w:rPr>
      <w:sz w:val="24"/>
    </w:rPr>
  </w:style>
  <w:style w:type="paragraph" w:customStyle="1" w:styleId="45">
    <w:name w:val="正文0.5"/>
    <w:basedOn w:val="1"/>
    <w:next w:val="1"/>
    <w:autoRedefine/>
    <w:uiPriority w:val="0"/>
    <w:pPr>
      <w:spacing w:before="50" w:beforeLines="50" w:line="360" w:lineRule="auto"/>
      <w:ind w:firstLine="200" w:firstLineChars="200"/>
    </w:pPr>
    <w:rPr>
      <w:sz w:val="24"/>
      <w:szCs w:val="21"/>
    </w:rPr>
  </w:style>
  <w:style w:type="paragraph" w:customStyle="1" w:styleId="46">
    <w:name w:val="报告表格文字"/>
    <w:basedOn w:val="1"/>
    <w:autoRedefine/>
    <w:qFormat/>
    <w:uiPriority w:val="0"/>
    <w:pPr>
      <w:jc w:val="center"/>
    </w:pPr>
    <w:rPr>
      <w:rFonts w:eastAsia="仿宋"/>
    </w:rPr>
  </w:style>
  <w:style w:type="paragraph" w:customStyle="1" w:styleId="47">
    <w:name w:val="表格样式"/>
    <w:basedOn w:val="1"/>
    <w:autoRedefine/>
    <w:uiPriority w:val="0"/>
    <w:pPr>
      <w:adjustRightInd w:val="0"/>
      <w:snapToGrid w:val="0"/>
      <w:spacing w:line="360" w:lineRule="auto"/>
      <w:ind w:firstLine="200" w:firstLineChars="200"/>
      <w:jc w:val="center"/>
      <w:textAlignment w:val="center"/>
    </w:pPr>
    <w:rPr>
      <w:sz w:val="28"/>
    </w:rPr>
  </w:style>
  <w:style w:type="paragraph" w:customStyle="1" w:styleId="48">
    <w:name w:val="列出段落1"/>
    <w:basedOn w:val="1"/>
    <w:autoRedefine/>
    <w:uiPriority w:val="0"/>
    <w:pPr>
      <w:autoSpaceDE w:val="0"/>
      <w:autoSpaceDN w:val="0"/>
      <w:adjustRightInd w:val="0"/>
      <w:jc w:val="left"/>
    </w:pPr>
    <w:rPr>
      <w:kern w:val="0"/>
      <w:sz w:val="24"/>
    </w:rPr>
  </w:style>
  <w:style w:type="paragraph" w:customStyle="1" w:styleId="49">
    <w:name w:val="Default"/>
    <w:autoRedefine/>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0">
    <w:name w:val="图例表例"/>
    <w:basedOn w:val="1"/>
    <w:next w:val="1"/>
    <w:autoRedefine/>
    <w:uiPriority w:val="0"/>
    <w:pPr>
      <w:jc w:val="center"/>
    </w:pPr>
    <w:rPr>
      <w:b/>
      <w:sz w:val="24"/>
      <w:szCs w:val="21"/>
    </w:rPr>
  </w:style>
  <w:style w:type="paragraph" w:customStyle="1" w:styleId="51">
    <w:name w:val="表格内容"/>
    <w:autoRedefine/>
    <w:qFormat/>
    <w:uiPriority w:val="0"/>
    <w:pPr>
      <w:adjustRightInd w:val="0"/>
      <w:snapToGrid w:val="0"/>
      <w:spacing w:line="360" w:lineRule="auto"/>
      <w:ind w:firstLine="200" w:firstLineChars="200"/>
      <w:jc w:val="center"/>
    </w:pPr>
    <w:rPr>
      <w:rFonts w:ascii="Times New Roman" w:hAnsi="Times New Roman" w:eastAsia="宋体" w:cs="Times New Roman"/>
      <w:sz w:val="20"/>
      <w:szCs w:val="21"/>
      <w:lang w:val="en-US" w:eastAsia="zh-CN" w:bidi="ar-SA"/>
    </w:rPr>
  </w:style>
  <w:style w:type="paragraph" w:customStyle="1" w:styleId="52">
    <w:name w:val="0表格"/>
    <w:basedOn w:val="1"/>
    <w:autoRedefine/>
    <w:uiPriority w:val="0"/>
    <w:pPr>
      <w:widowControl/>
      <w:adjustRightInd w:val="0"/>
      <w:snapToGrid w:val="0"/>
      <w:spacing w:line="360" w:lineRule="auto"/>
      <w:ind w:firstLine="200" w:firstLineChars="200"/>
      <w:jc w:val="center"/>
    </w:pPr>
    <w:rPr>
      <w:spacing w:val="4"/>
      <w:kern w:val="0"/>
      <w:sz w:val="24"/>
      <w:szCs w:val="21"/>
    </w:rPr>
  </w:style>
  <w:style w:type="paragraph" w:customStyle="1" w:styleId="53">
    <w:name w:val="Char11"/>
    <w:basedOn w:val="1"/>
    <w:autoRedefine/>
    <w:uiPriority w:val="0"/>
    <w:pPr>
      <w:adjustRightInd w:val="0"/>
      <w:snapToGrid w:val="0"/>
      <w:spacing w:line="360" w:lineRule="auto"/>
      <w:ind w:firstLine="200" w:firstLineChars="200"/>
    </w:pPr>
  </w:style>
  <w:style w:type="paragraph" w:customStyle="1" w:styleId="54">
    <w:name w:val="表头"/>
    <w:basedOn w:val="1"/>
    <w:next w:val="1"/>
    <w:autoRedefine/>
    <w:uiPriority w:val="0"/>
    <w:pPr>
      <w:tabs>
        <w:tab w:val="left" w:pos="7380"/>
      </w:tabs>
      <w:adjustRightInd w:val="0"/>
      <w:snapToGrid w:val="0"/>
      <w:spacing w:line="480" w:lineRule="exact"/>
      <w:ind w:firstLine="200" w:firstLineChars="200"/>
      <w:jc w:val="center"/>
    </w:pPr>
    <w:rPr>
      <w:b/>
      <w:sz w:val="24"/>
      <w:szCs w:val="20"/>
    </w:rPr>
  </w:style>
  <w:style w:type="paragraph" w:customStyle="1" w:styleId="55">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styleId="56">
    <w:name w:val="List Paragraph"/>
    <w:basedOn w:val="1"/>
    <w:autoRedefine/>
    <w:qFormat/>
    <w:uiPriority w:val="0"/>
    <w:pPr>
      <w:ind w:firstLine="200" w:firstLineChars="200"/>
    </w:pPr>
  </w:style>
  <w:style w:type="paragraph" w:customStyle="1" w:styleId="57">
    <w:name w:val="报告"/>
    <w:basedOn w:val="1"/>
    <w:autoRedefine/>
    <w:qFormat/>
    <w:uiPriority w:val="0"/>
    <w:pPr>
      <w:adjustRightInd w:val="0"/>
      <w:spacing w:line="360" w:lineRule="auto"/>
      <w:ind w:firstLine="505"/>
      <w:jc w:val="left"/>
      <w:textAlignment w:val="baseline"/>
    </w:pPr>
    <w:rPr>
      <w:kern w:val="0"/>
      <w:sz w:val="24"/>
      <w:szCs w:val="20"/>
    </w:rPr>
  </w:style>
  <w:style w:type="paragraph" w:customStyle="1" w:styleId="58">
    <w:name w:val="++++++++正文"/>
    <w:basedOn w:val="1"/>
    <w:autoRedefine/>
    <w:uiPriority w:val="0"/>
    <w:pPr>
      <w:autoSpaceDE w:val="0"/>
      <w:autoSpaceDN w:val="0"/>
      <w:adjustRightInd w:val="0"/>
      <w:spacing w:line="360" w:lineRule="auto"/>
      <w:ind w:firstLine="200" w:firstLineChars="200"/>
    </w:pPr>
    <w:rPr>
      <w:sz w:val="24"/>
      <w:szCs w:val="20"/>
    </w:rPr>
  </w:style>
  <w:style w:type="paragraph" w:customStyle="1" w:styleId="59">
    <w:name w:val="正文 首行缩进:  2 字符 SL CON"/>
    <w:basedOn w:val="1"/>
    <w:autoRedefine/>
    <w:qFormat/>
    <w:uiPriority w:val="0"/>
    <w:pPr>
      <w:widowControl/>
      <w:tabs>
        <w:tab w:val="left" w:pos="377"/>
      </w:tabs>
      <w:spacing w:line="360" w:lineRule="auto"/>
      <w:ind w:firstLine="200" w:firstLineChars="200"/>
      <w:jc w:val="left"/>
    </w:pPr>
    <w:rPr>
      <w:rFonts w:ascii="宋体" w:cs="宋体"/>
      <w:kern w:val="0"/>
      <w:sz w:val="24"/>
    </w:rPr>
  </w:style>
  <w:style w:type="paragraph" w:customStyle="1" w:styleId="60">
    <w:name w:val="已有表格"/>
    <w:basedOn w:val="1"/>
    <w:autoRedefine/>
    <w:uiPriority w:val="0"/>
    <w:pPr>
      <w:adjustRightInd w:val="0"/>
      <w:spacing w:before="40" w:after="40"/>
      <w:jc w:val="center"/>
      <w:textAlignment w:val="baseline"/>
    </w:pPr>
    <w:rPr>
      <w:b/>
      <w:kern w:val="0"/>
      <w:sz w:val="24"/>
      <w:szCs w:val="20"/>
    </w:rPr>
  </w:style>
  <w:style w:type="paragraph" w:customStyle="1" w:styleId="61">
    <w:name w:val="应填表格"/>
    <w:basedOn w:val="60"/>
    <w:autoRedefine/>
    <w:uiPriority w:val="0"/>
    <w:pPr>
      <w:jc w:val="left"/>
    </w:pPr>
    <w:rPr>
      <w:b w:val="0"/>
    </w:rPr>
  </w:style>
  <w:style w:type="paragraph" w:customStyle="1" w:styleId="62">
    <w:name w:val="样式1"/>
    <w:basedOn w:val="1"/>
    <w:autoRedefine/>
    <w:uiPriority w:val="0"/>
    <w:pPr>
      <w:adjustRightInd w:val="0"/>
      <w:spacing w:line="288" w:lineRule="auto"/>
      <w:jc w:val="left"/>
      <w:textAlignment w:val="baseline"/>
    </w:pPr>
    <w:rPr>
      <w:rFonts w:ascii="黑体" w:eastAsia="黑体"/>
      <w:b/>
      <w:kern w:val="0"/>
      <w:sz w:val="32"/>
      <w:szCs w:val="20"/>
    </w:rPr>
  </w:style>
  <w:style w:type="paragraph" w:customStyle="1" w:styleId="63">
    <w:name w:val="CM5"/>
    <w:basedOn w:val="49"/>
    <w:next w:val="49"/>
    <w:autoRedefine/>
    <w:qFormat/>
    <w:uiPriority w:val="0"/>
    <w:pPr>
      <w:spacing w:line="466" w:lineRule="atLeast"/>
    </w:pPr>
  </w:style>
  <w:style w:type="paragraph" w:customStyle="1" w:styleId="64">
    <w:name w:val="CM6"/>
    <w:basedOn w:val="49"/>
    <w:next w:val="49"/>
    <w:autoRedefine/>
    <w:uiPriority w:val="0"/>
    <w:pPr>
      <w:spacing w:line="468" w:lineRule="atLeast"/>
    </w:pPr>
  </w:style>
  <w:style w:type="paragraph" w:customStyle="1" w:styleId="65">
    <w:name w:val="CM46"/>
    <w:basedOn w:val="49"/>
    <w:next w:val="49"/>
    <w:autoRedefine/>
    <w:uiPriority w:val="0"/>
  </w:style>
  <w:style w:type="paragraph" w:customStyle="1" w:styleId="66">
    <w:name w:val="报告表格"/>
    <w:basedOn w:val="1"/>
    <w:autoRedefine/>
    <w:uiPriority w:val="0"/>
    <w:pPr>
      <w:autoSpaceDE w:val="0"/>
      <w:autoSpaceDN w:val="0"/>
      <w:adjustRightInd w:val="0"/>
      <w:spacing w:before="40" w:after="40"/>
      <w:jc w:val="center"/>
    </w:pPr>
    <w:rPr>
      <w:kern w:val="0"/>
      <w:szCs w:val="20"/>
    </w:rPr>
  </w:style>
  <w:style w:type="paragraph" w:customStyle="1" w:styleId="67">
    <w:name w:val="表头1111"/>
    <w:basedOn w:val="1"/>
    <w:autoRedefine/>
    <w:uiPriority w:val="0"/>
    <w:pPr>
      <w:jc w:val="center"/>
      <w:textAlignment w:val="baseline"/>
    </w:pPr>
    <w:rPr>
      <w:b/>
      <w:bCs/>
      <w:szCs w:val="21"/>
    </w:rPr>
  </w:style>
  <w:style w:type="character" w:customStyle="1" w:styleId="68">
    <w:name w:val="font21"/>
    <w:autoRedefine/>
    <w:uiPriority w:val="0"/>
    <w:rPr>
      <w:rFonts w:ascii="等线" w:eastAsia="等线" w:cs="等线"/>
      <w:color w:val="000000"/>
      <w:sz w:val="21"/>
      <w:szCs w:val="21"/>
      <w:u w:val="none"/>
    </w:rPr>
  </w:style>
  <w:style w:type="character" w:customStyle="1" w:styleId="69">
    <w:name w:val="font51"/>
    <w:autoRedefine/>
    <w:qFormat/>
    <w:uiPriority w:val="0"/>
    <w:rPr>
      <w:rFonts w:ascii="Times New Roman" w:hAnsi="Times New Roman" w:cs="Times New Roman"/>
      <w:color w:val="000000"/>
      <w:sz w:val="21"/>
      <w:szCs w:val="21"/>
      <w:u w:val="none"/>
    </w:rPr>
  </w:style>
  <w:style w:type="paragraph" w:customStyle="1" w:styleId="70">
    <w:name w:val="+正文"/>
    <w:basedOn w:val="1"/>
    <w:autoRedefine/>
    <w:uiPriority w:val="0"/>
    <w:pPr>
      <w:spacing w:line="360" w:lineRule="auto"/>
      <w:ind w:firstLine="200" w:firstLineChars="200"/>
    </w:pPr>
    <w:rPr>
      <w:sz w:val="24"/>
      <w:szCs w:val="28"/>
    </w:rPr>
  </w:style>
  <w:style w:type="paragraph" w:customStyle="1" w:styleId="71">
    <w:name w:val="样式 (符号) 宋体 小四"/>
    <w:basedOn w:val="1"/>
    <w:link w:val="72"/>
    <w:autoRedefine/>
    <w:uiPriority w:val="0"/>
    <w:pPr>
      <w:spacing w:line="360" w:lineRule="auto"/>
      <w:ind w:firstLine="200" w:firstLineChars="200"/>
    </w:pPr>
    <w:rPr>
      <w:rFonts w:eastAsia="Times New Roman"/>
      <w:bCs/>
      <w:kern w:val="0"/>
      <w:sz w:val="24"/>
    </w:rPr>
  </w:style>
  <w:style w:type="character" w:customStyle="1" w:styleId="72">
    <w:name w:val="样式 (符号) 宋体 小四 Char"/>
    <w:basedOn w:val="26"/>
    <w:link w:val="71"/>
    <w:autoRedefine/>
    <w:uiPriority w:val="0"/>
    <w:rPr>
      <w:rFonts w:ascii="Times New Roman" w:hAnsi="Times New Roman" w:eastAsia="Times New Roman" w:cs="Times New Roman"/>
      <w:bCs/>
      <w:kern w:val="0"/>
      <w:sz w:val="24"/>
      <w:szCs w:val="24"/>
      <w:lang w:val="en-US" w:eastAsia="zh-CN" w:bidi="ar-SA"/>
    </w:rPr>
  </w:style>
  <w:style w:type="paragraph" w:customStyle="1" w:styleId="73">
    <w:name w:val="样式 加粗 黑色 居中 行距: 1.5 倍行距"/>
    <w:basedOn w:val="1"/>
    <w:autoRedefine/>
    <w:uiPriority w:val="0"/>
    <w:pPr>
      <w:spacing w:line="360" w:lineRule="auto"/>
      <w:jc w:val="center"/>
    </w:pPr>
    <w:rPr>
      <w:rFonts w:ascii="Calibri" w:hAnsi="Calibri" w:cs="宋体"/>
      <w:b/>
      <w:bCs/>
      <w:color w:val="000000"/>
      <w:sz w:val="22"/>
      <w:szCs w:val="20"/>
    </w:rPr>
  </w:style>
  <w:style w:type="paragraph" w:customStyle="1" w:styleId="74">
    <w:name w:val="CM91"/>
    <w:basedOn w:val="49"/>
    <w:next w:val="49"/>
    <w:autoRedefine/>
    <w:uiPriority w:val="0"/>
    <w:pPr>
      <w:spacing w:after="353"/>
    </w:pPr>
  </w:style>
  <w:style w:type="paragraph" w:customStyle="1" w:styleId="75">
    <w:name w:val="样式4"/>
    <w:basedOn w:val="1"/>
    <w:autoRedefine/>
    <w:uiPriority w:val="0"/>
    <w:pPr>
      <w:wordWrap w:val="0"/>
      <w:spacing w:line="360" w:lineRule="auto"/>
      <w:ind w:firstLine="200" w:firstLineChars="200"/>
      <w:jc w:val="left"/>
    </w:pPr>
    <w:rPr>
      <w:kern w:val="0"/>
    </w:rPr>
  </w:style>
  <w:style w:type="paragraph" w:customStyle="1" w:styleId="76">
    <w:name w:val="Normal_44"/>
    <w:autoRedefine/>
    <w:uiPriority w:val="0"/>
    <w:pPr>
      <w:spacing w:before="120" w:after="240"/>
      <w:jc w:val="both"/>
    </w:pPr>
    <w:rPr>
      <w:rFonts w:ascii="Times New Roman" w:hAnsi="Times New Roman" w:eastAsia="Calibri" w:cs="Times New Roman"/>
      <w:sz w:val="22"/>
      <w:szCs w:val="22"/>
      <w:lang w:val="ru-RU" w:eastAsia="zh-CN" w:bidi="ar-SA"/>
    </w:rPr>
  </w:style>
  <w:style w:type="paragraph" w:customStyle="1" w:styleId="77">
    <w:name w:val="BodyText"/>
    <w:basedOn w:val="1"/>
    <w:autoRedefine/>
    <w:uiPriority w:val="0"/>
    <w:pPr>
      <w:textAlignment w:val="baseline"/>
    </w:pPr>
  </w:style>
  <w:style w:type="character" w:customStyle="1" w:styleId="78">
    <w:name w:val="NormalCharacter"/>
    <w:autoRedefine/>
    <w:uiPriority w:val="0"/>
    <w:rPr>
      <w:rFonts w:ascii="Times New Roman" w:hAnsi="Times New Roman" w:eastAsia="宋体" w:cs="Times New Roman"/>
      <w:kern w:val="2"/>
      <w:sz w:val="21"/>
      <w:szCs w:val="24"/>
      <w:lang w:val="en-US" w:eastAsia="zh-CN" w:bidi="ar-SA"/>
    </w:rPr>
  </w:style>
  <w:style w:type="paragraph" w:customStyle="1" w:styleId="79">
    <w:name w:val="表格内"/>
    <w:basedOn w:val="1"/>
    <w:autoRedefine/>
    <w:qFormat/>
    <w:uiPriority w:val="0"/>
    <w:pPr>
      <w:adjustRightInd w:val="0"/>
      <w:jc w:val="center"/>
    </w:pPr>
    <w:rPr>
      <w:rFonts w:cs="宋体"/>
    </w:rPr>
  </w:style>
  <w:style w:type="paragraph" w:customStyle="1" w:styleId="80">
    <w:name w:val="文"/>
    <w:basedOn w:val="1"/>
    <w:autoRedefine/>
    <w:uiPriority w:val="0"/>
    <w:pPr>
      <w:spacing w:line="360" w:lineRule="auto"/>
      <w:ind w:firstLine="200" w:firstLineChars="200"/>
      <w:jc w:val="left"/>
    </w:pPr>
    <w:rPr>
      <w:sz w:val="24"/>
    </w:rPr>
  </w:style>
  <w:style w:type="paragraph" w:customStyle="1" w:styleId="81">
    <w:name w:val="CM9"/>
    <w:basedOn w:val="49"/>
    <w:next w:val="49"/>
    <w:autoRedefine/>
    <w:uiPriority w:val="0"/>
    <w:pPr>
      <w:spacing w:line="468" w:lineRule="atLeast"/>
    </w:pPr>
  </w:style>
  <w:style w:type="paragraph" w:customStyle="1" w:styleId="82">
    <w:name w:val="8"/>
    <w:basedOn w:val="1"/>
    <w:autoRedefine/>
    <w:uiPriority w:val="0"/>
    <w:pPr>
      <w:spacing w:line="360" w:lineRule="auto"/>
      <w:ind w:firstLine="200" w:firstLineChars="200"/>
    </w:pPr>
    <w:rPr>
      <w:rFonts w:ascii="Calibri" w:hAnsi="Calibri" w:eastAsia="宋体" w:cs="Arial"/>
      <w:kern w:val="10"/>
      <w:sz w:val="24"/>
    </w:rPr>
  </w:style>
  <w:style w:type="character" w:customStyle="1" w:styleId="83">
    <w:name w:val="font11"/>
    <w:basedOn w:val="26"/>
    <w:autoRedefine/>
    <w:uiPriority w:val="0"/>
    <w:rPr>
      <w:rFonts w:ascii="Times New Roman" w:hAnsi="Times New Roman" w:cs="Times New Roman"/>
      <w:color w:val="000000"/>
      <w:sz w:val="21"/>
      <w:szCs w:val="21"/>
      <w:u w:val="none"/>
    </w:rPr>
  </w:style>
  <w:style w:type="paragraph" w:customStyle="1" w:styleId="84">
    <w:name w:val="环评正文"/>
    <w:basedOn w:val="3"/>
    <w:autoRedefine/>
    <w:uiPriority w:val="0"/>
    <w:pPr>
      <w:keepNext w:val="0"/>
      <w:widowControl/>
      <w:tabs>
        <w:tab w:val="left" w:pos="360"/>
      </w:tabs>
      <w:overflowPunct/>
      <w:adjustRightInd w:val="0"/>
      <w:snapToGrid w:val="0"/>
      <w:spacing w:before="60" w:after="60" w:line="400" w:lineRule="exact"/>
      <w:ind w:left="0" w:firstLine="484"/>
      <w:jc w:val="left"/>
      <w:outlineLvl w:val="9"/>
    </w:pPr>
    <w:rPr>
      <w:rFonts w:eastAsia="仿宋_GB2312"/>
      <w:b w:val="0"/>
      <w:color w:val="auto"/>
      <w:sz w:val="24"/>
      <w:szCs w:val="44"/>
    </w:rPr>
  </w:style>
  <w:style w:type="paragraph" w:customStyle="1" w:styleId="85">
    <w:name w:val="Normal_0"/>
    <w:autoRedefine/>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6">
    <w:name w:val="Normal_0_0"/>
    <w:autoRedefine/>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7">
    <w:name w:val="A-表格标题"/>
    <w:basedOn w:val="1"/>
    <w:autoRedefine/>
    <w:uiPriority w:val="0"/>
    <w:pPr>
      <w:spacing w:line="360" w:lineRule="auto"/>
      <w:jc w:val="center"/>
    </w:pPr>
    <w:rPr>
      <w:rFonts w:ascii="Times New Roman" w:hAnsi="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32"/>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48"/>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41"/>
    <customShpInfo spid="_x0000_s86"/>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067"/>
  </customShpExts>
</s:customData>
</file>

<file path=customXml/item2.xml><?xml version="1.0" encoding="utf-8"?>
<customData xmlns="http://www.yozosoft.com.cn/officeDocument/2016/customData">
  <customProps>
    <docPr revisions="3 0 5 0 0 0 1 0 0 0 3000 0 1 1 1 1"/>
    <sectPr/>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3A698A-B00D-4973-9586-0A597CA95922}">
  <ds:schemaRefs/>
</ds:datastoreItem>
</file>

<file path=docProps/app.xml><?xml version="1.0" encoding="utf-8"?>
<Properties xmlns="http://schemas.openxmlformats.org/officeDocument/2006/extended-properties" xmlns:vt="http://schemas.openxmlformats.org/officeDocument/2006/docPropsVTypes">
  <Template>Normal.eit</Template>
  <Company>微软中国</Company>
  <Pages>95</Pages>
  <Words>54546</Words>
  <Characters>61185</Characters>
  <Lines>1250</Lines>
  <Paragraphs>2872</Paragraphs>
  <TotalTime>15</TotalTime>
  <ScaleCrop>false</ScaleCrop>
  <LinksUpToDate>false</LinksUpToDate>
  <CharactersWithSpaces>61424</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2021-03-24T03:41:00Z</dcterms:created>
  <dc:creator>lhj</dc:creator>
  <cp:lastModifiedBy>Liuliu</cp:lastModifiedBy>
  <cp:lastPrinted>2024-06-24T06:19:00Z</cp:lastPrinted>
  <dcterms:modified xsi:type="dcterms:W3CDTF">2024-06-27T01:05:42Z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182B3E6BE245442087A9E64EA072F353_13</vt:lpwstr>
  </property>
</Properties>
</file>