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A69D0">
      <w:pPr>
        <w:spacing w:line="600" w:lineRule="exact"/>
        <w:jc w:val="center"/>
        <w:rPr>
          <w:rFonts w:hint="eastAsia" w:ascii="仿宋_GB2312" w:eastAsia="仿宋_GB2312" w:cs="仿宋_GB2312"/>
          <w:b w:val="0"/>
          <w:bCs w:val="0"/>
          <w:color w:val="auto"/>
          <w:kern w:val="44"/>
          <w:sz w:val="44"/>
          <w:szCs w:val="44"/>
          <w:lang w:eastAsia="zh-CN"/>
        </w:rPr>
      </w:pPr>
      <w:r>
        <w:rPr>
          <w:rFonts w:hint="eastAsia" w:ascii="仿宋_GB2312" w:eastAsia="仿宋_GB2312" w:cs="仿宋_GB2312"/>
          <w:b w:val="0"/>
          <w:bCs w:val="0"/>
          <w:color w:val="auto"/>
          <w:kern w:val="44"/>
          <w:sz w:val="44"/>
          <w:szCs w:val="44"/>
          <w:lang w:eastAsia="zh-CN"/>
        </w:rPr>
        <w:t>四川省大英县汇龙桥村砖瓦用页岩矿</w:t>
      </w:r>
    </w:p>
    <w:p w14:paraId="64D6921E">
      <w:pPr>
        <w:jc w:val="center"/>
        <w:rPr>
          <w:rFonts w:hint="eastAsia" w:ascii="仿宋_GB2312" w:eastAsia="仿宋_GB2312" w:cs="仿宋_GB2312"/>
          <w:b/>
          <w:bCs/>
          <w:color w:val="auto"/>
          <w:sz w:val="36"/>
          <w:szCs w:val="36"/>
        </w:rPr>
      </w:pPr>
    </w:p>
    <w:p w14:paraId="61993DE1">
      <w:pPr>
        <w:jc w:val="center"/>
        <w:rPr>
          <w:rFonts w:hint="eastAsia" w:ascii="仿宋_GB2312" w:eastAsia="仿宋_GB2312" w:cs="仿宋_GB2312"/>
          <w:b/>
          <w:bCs/>
          <w:color w:val="auto"/>
          <w:sz w:val="48"/>
          <w:szCs w:val="48"/>
        </w:rPr>
      </w:pPr>
      <w:r>
        <w:rPr>
          <w:rFonts w:hint="eastAsia" w:ascii="仿宋_GB2312" w:eastAsia="仿宋_GB2312" w:cs="仿宋_GB2312"/>
          <w:b/>
          <w:bCs/>
          <w:color w:val="auto"/>
          <w:sz w:val="48"/>
          <w:szCs w:val="48"/>
        </w:rPr>
        <w:t>矿产资源开发利用方案</w:t>
      </w:r>
    </w:p>
    <w:p w14:paraId="5879D102">
      <w:pPr>
        <w:rPr>
          <w:rFonts w:hint="eastAsia" w:ascii="仿宋_GB2312" w:eastAsia="仿宋_GB2312" w:cs="仿宋_GB2312"/>
          <w:b/>
          <w:bCs/>
          <w:color w:val="auto"/>
        </w:rPr>
      </w:pPr>
    </w:p>
    <w:p w14:paraId="11A2BB44">
      <w:pPr>
        <w:rPr>
          <w:rFonts w:hint="eastAsia" w:ascii="仿宋_GB2312" w:eastAsia="仿宋_GB2312" w:cs="仿宋_GB2312"/>
          <w:b/>
          <w:bCs/>
          <w:color w:val="auto"/>
        </w:rPr>
      </w:pPr>
    </w:p>
    <w:p w14:paraId="0E0C1154">
      <w:pPr>
        <w:rPr>
          <w:rFonts w:hint="eastAsia" w:ascii="仿宋_GB2312" w:eastAsia="仿宋_GB2312" w:cs="仿宋_GB2312"/>
          <w:b/>
          <w:bCs/>
          <w:color w:val="auto"/>
        </w:rPr>
      </w:pPr>
    </w:p>
    <w:p w14:paraId="75ACD59F">
      <w:pPr>
        <w:rPr>
          <w:rFonts w:hint="eastAsia" w:ascii="仿宋_GB2312" w:eastAsia="仿宋_GB2312" w:cs="仿宋_GB2312"/>
          <w:b/>
          <w:bCs/>
          <w:color w:val="auto"/>
        </w:rPr>
      </w:pPr>
    </w:p>
    <w:p w14:paraId="56755CF1">
      <w:pPr>
        <w:rPr>
          <w:rFonts w:hint="eastAsia" w:ascii="仿宋_GB2312" w:eastAsia="仿宋_GB2312" w:cs="仿宋_GB2312"/>
          <w:b/>
          <w:bCs/>
          <w:color w:val="auto"/>
        </w:rPr>
      </w:pPr>
    </w:p>
    <w:p w14:paraId="6BBC8399">
      <w:pPr>
        <w:rPr>
          <w:rFonts w:hint="eastAsia" w:ascii="仿宋_GB2312" w:eastAsia="仿宋_GB2312" w:cs="仿宋_GB2312"/>
          <w:b/>
          <w:bCs/>
          <w:color w:val="auto"/>
        </w:rPr>
      </w:pPr>
    </w:p>
    <w:p w14:paraId="2E455899">
      <w:pPr>
        <w:rPr>
          <w:rFonts w:hint="eastAsia" w:ascii="仿宋_GB2312" w:eastAsia="仿宋_GB2312" w:cs="仿宋_GB2312"/>
          <w:b/>
          <w:bCs/>
          <w:color w:val="auto"/>
        </w:rPr>
      </w:pPr>
    </w:p>
    <w:p w14:paraId="2DD672B2">
      <w:pPr>
        <w:rPr>
          <w:rFonts w:hint="eastAsia" w:ascii="仿宋_GB2312" w:eastAsia="仿宋_GB2312" w:cs="仿宋_GB2312"/>
          <w:b/>
          <w:bCs/>
          <w:color w:val="auto"/>
        </w:rPr>
      </w:pPr>
    </w:p>
    <w:p w14:paraId="7196D699">
      <w:pPr>
        <w:rPr>
          <w:rFonts w:hint="eastAsia" w:ascii="仿宋_GB2312" w:eastAsia="仿宋_GB2312" w:cs="仿宋_GB2312"/>
          <w:b/>
          <w:bCs/>
          <w:color w:val="auto"/>
        </w:rPr>
      </w:pPr>
    </w:p>
    <w:p w14:paraId="1CABDA2A">
      <w:pPr>
        <w:rPr>
          <w:rFonts w:hint="eastAsia" w:ascii="仿宋_GB2312" w:eastAsia="仿宋_GB2312" w:cs="仿宋_GB2312"/>
          <w:b/>
          <w:bCs/>
          <w:color w:val="auto"/>
        </w:rPr>
      </w:pPr>
    </w:p>
    <w:p w14:paraId="02479AE0">
      <w:pPr>
        <w:rPr>
          <w:rFonts w:hint="eastAsia" w:ascii="仿宋_GB2312" w:eastAsia="仿宋_GB2312" w:cs="仿宋_GB2312"/>
          <w:b/>
          <w:bCs/>
          <w:color w:val="auto"/>
        </w:rPr>
      </w:pPr>
    </w:p>
    <w:p w14:paraId="66E8F03E">
      <w:pPr>
        <w:rPr>
          <w:rFonts w:hint="eastAsia" w:ascii="仿宋_GB2312" w:eastAsia="仿宋_GB2312" w:cs="仿宋_GB2312"/>
          <w:b/>
          <w:bCs/>
          <w:color w:val="auto"/>
        </w:rPr>
      </w:pPr>
    </w:p>
    <w:p w14:paraId="7E102F0B">
      <w:pPr>
        <w:rPr>
          <w:rFonts w:hint="eastAsia" w:ascii="仿宋_GB2312" w:eastAsia="仿宋_GB2312" w:cs="仿宋_GB2312"/>
          <w:b/>
          <w:bCs/>
          <w:color w:val="auto"/>
        </w:rPr>
      </w:pPr>
    </w:p>
    <w:p w14:paraId="7738CBCF">
      <w:pPr>
        <w:pStyle w:val="42"/>
        <w:rPr>
          <w:rFonts w:hint="eastAsia" w:ascii="仿宋_GB2312" w:eastAsia="仿宋_GB2312" w:cs="仿宋_GB2312"/>
          <w:b/>
          <w:bCs/>
          <w:color w:val="auto"/>
        </w:rPr>
      </w:pPr>
    </w:p>
    <w:p w14:paraId="5F64B3FC">
      <w:pPr>
        <w:rPr>
          <w:rFonts w:hint="eastAsia"/>
        </w:rPr>
      </w:pPr>
    </w:p>
    <w:p w14:paraId="7CFB9B0C">
      <w:pPr>
        <w:rPr>
          <w:rFonts w:hint="eastAsia" w:ascii="仿宋_GB2312" w:eastAsia="仿宋_GB2312" w:cs="仿宋_GB2312"/>
          <w:b/>
          <w:bCs/>
          <w:color w:val="auto"/>
        </w:rPr>
      </w:pPr>
    </w:p>
    <w:p w14:paraId="5DFA5D4F">
      <w:pPr>
        <w:rPr>
          <w:rFonts w:hint="eastAsia" w:ascii="仿宋_GB2312" w:eastAsia="仿宋_GB2312" w:cs="仿宋_GB2312"/>
          <w:b/>
          <w:bCs/>
          <w:color w:val="auto"/>
        </w:rPr>
      </w:pPr>
    </w:p>
    <w:p w14:paraId="1D65FC7F">
      <w:pPr>
        <w:rPr>
          <w:rFonts w:hint="eastAsia" w:ascii="仿宋_GB2312" w:eastAsia="仿宋_GB2312" w:cs="仿宋_GB2312"/>
          <w:b/>
          <w:bCs/>
          <w:color w:val="auto"/>
        </w:rPr>
      </w:pPr>
    </w:p>
    <w:p w14:paraId="40995AAA">
      <w:pPr>
        <w:rPr>
          <w:rFonts w:hint="eastAsia" w:ascii="仿宋_GB2312" w:eastAsia="仿宋_GB2312" w:cs="仿宋_GB2312"/>
          <w:b/>
          <w:bCs/>
          <w:color w:val="auto"/>
        </w:rPr>
      </w:pPr>
    </w:p>
    <w:p w14:paraId="3D72F925">
      <w:pPr>
        <w:ind w:firstLine="1417" w:firstLineChars="441"/>
        <w:rPr>
          <w:rFonts w:hint="eastAsia" w:ascii="仿宋_GB2312" w:eastAsia="仿宋_GB2312" w:cs="仿宋_GB2312"/>
          <w:b/>
          <w:bCs/>
          <w:color w:val="auto"/>
          <w:sz w:val="32"/>
          <w:szCs w:val="32"/>
          <w:lang w:val="en-US" w:eastAsia="zh-CN"/>
        </w:rPr>
      </w:pPr>
      <w:r>
        <w:rPr>
          <w:rFonts w:hint="eastAsia" w:ascii="仿宋_GB2312" w:eastAsia="仿宋_GB2312" w:cs="仿宋_GB2312"/>
          <w:b/>
          <w:bCs/>
          <w:color w:val="auto"/>
          <w:sz w:val="32"/>
          <w:szCs w:val="32"/>
        </w:rPr>
        <w:t>编制单位：</w:t>
      </w:r>
      <w:r>
        <w:rPr>
          <w:rFonts w:hint="eastAsia" w:ascii="仿宋_GB2312" w:eastAsia="仿宋_GB2312" w:cs="仿宋_GB2312"/>
          <w:b/>
          <w:bCs/>
          <w:color w:val="auto"/>
          <w:sz w:val="32"/>
          <w:szCs w:val="32"/>
          <w:lang w:val="en-US" w:eastAsia="zh-CN"/>
        </w:rPr>
        <w:t>成都市巨匠工程环境技术服务有限公司</w:t>
      </w:r>
    </w:p>
    <w:p w14:paraId="22934D38">
      <w:pPr>
        <w:jc w:val="center"/>
        <w:rPr>
          <w:rFonts w:hint="eastAsia" w:ascii="仿宋_GB2312" w:eastAsia="仿宋_GB2312" w:cs="仿宋_GB2312"/>
          <w:color w:val="auto"/>
          <w:sz w:val="32"/>
          <w:szCs w:val="32"/>
        </w:rPr>
      </w:pPr>
      <w:bookmarkStart w:id="0" w:name="_Hlk39584521"/>
      <w:r>
        <w:rPr>
          <w:rFonts w:hint="eastAsia" w:ascii="仿宋_GB2312" w:eastAsia="仿宋_GB2312" w:cs="仿宋_GB2312"/>
          <w:b/>
          <w:bCs/>
          <w:color w:val="auto"/>
          <w:sz w:val="32"/>
          <w:szCs w:val="32"/>
        </w:rPr>
        <w:t>二〇二</w:t>
      </w:r>
      <w:r>
        <w:rPr>
          <w:rFonts w:hint="eastAsia" w:ascii="仿宋_GB2312" w:eastAsia="仿宋_GB2312" w:cs="仿宋_GB2312"/>
          <w:b/>
          <w:bCs/>
          <w:color w:val="auto"/>
          <w:sz w:val="32"/>
          <w:szCs w:val="32"/>
          <w:lang w:val="en-US" w:eastAsia="zh-CN"/>
        </w:rPr>
        <w:t>四</w:t>
      </w:r>
      <w:r>
        <w:rPr>
          <w:rFonts w:hint="eastAsia" w:ascii="仿宋_GB2312" w:eastAsia="仿宋_GB2312" w:cs="仿宋_GB2312"/>
          <w:b/>
          <w:bCs/>
          <w:color w:val="auto"/>
          <w:sz w:val="32"/>
          <w:szCs w:val="32"/>
        </w:rPr>
        <w:t>年</w:t>
      </w:r>
      <w:r>
        <w:rPr>
          <w:rFonts w:hint="eastAsia" w:ascii="仿宋_GB2312" w:eastAsia="仿宋_GB2312" w:cs="仿宋_GB2312"/>
          <w:b/>
          <w:bCs/>
          <w:color w:val="auto"/>
          <w:sz w:val="32"/>
          <w:szCs w:val="32"/>
          <w:lang w:val="en-US" w:eastAsia="zh-CN"/>
        </w:rPr>
        <w:t>七</w:t>
      </w:r>
      <w:r>
        <w:rPr>
          <w:rFonts w:hint="eastAsia" w:ascii="仿宋_GB2312" w:eastAsia="仿宋_GB2312" w:cs="仿宋_GB2312"/>
          <w:b/>
          <w:bCs/>
          <w:color w:val="auto"/>
          <w:sz w:val="32"/>
          <w:szCs w:val="32"/>
        </w:rPr>
        <w:t>月</w:t>
      </w:r>
      <w:bookmarkEnd w:id="0"/>
      <w:r>
        <w:rPr>
          <w:rFonts w:hint="eastAsia" w:ascii="仿宋_GB2312" w:eastAsia="仿宋_GB2312" w:cs="仿宋_GB2312"/>
          <w:color w:val="auto"/>
          <w:sz w:val="32"/>
          <w:szCs w:val="32"/>
        </w:rPr>
        <w:br w:type="page"/>
      </w:r>
    </w:p>
    <w:p w14:paraId="4B4603ED">
      <w:pPr>
        <w:jc w:val="center"/>
        <w:rPr>
          <w:rFonts w:hint="eastAsia" w:ascii="仿宋_GB2312" w:eastAsia="仿宋_GB2312" w:cs="仿宋_GB2312"/>
          <w:color w:val="auto"/>
          <w:sz w:val="32"/>
          <w:szCs w:val="32"/>
        </w:rPr>
      </w:pPr>
    </w:p>
    <w:p w14:paraId="4D8AF4F2">
      <w:pPr>
        <w:spacing w:line="600" w:lineRule="exact"/>
        <w:jc w:val="center"/>
        <w:rPr>
          <w:rFonts w:hint="eastAsia" w:ascii="仿宋_GB2312" w:eastAsia="仿宋_GB2312" w:cs="仿宋_GB2312"/>
          <w:b w:val="0"/>
          <w:bCs w:val="0"/>
          <w:color w:val="auto"/>
          <w:kern w:val="44"/>
          <w:sz w:val="44"/>
          <w:szCs w:val="44"/>
          <w:lang w:eastAsia="zh-CN"/>
        </w:rPr>
      </w:pPr>
      <w:r>
        <w:rPr>
          <w:rFonts w:hint="eastAsia" w:ascii="仿宋_GB2312" w:eastAsia="仿宋_GB2312" w:cs="仿宋_GB2312"/>
          <w:b w:val="0"/>
          <w:bCs w:val="0"/>
          <w:color w:val="auto"/>
          <w:kern w:val="44"/>
          <w:sz w:val="44"/>
          <w:szCs w:val="44"/>
          <w:lang w:eastAsia="zh-CN"/>
        </w:rPr>
        <w:t>四川省大英县汇龙桥村砖瓦用页岩矿</w:t>
      </w:r>
    </w:p>
    <w:p w14:paraId="2935F887">
      <w:pPr>
        <w:jc w:val="center"/>
        <w:rPr>
          <w:rFonts w:hint="eastAsia" w:ascii="仿宋_GB2312" w:eastAsia="仿宋_GB2312" w:cs="仿宋_GB2312"/>
          <w:b/>
          <w:bCs/>
          <w:color w:val="auto"/>
          <w:sz w:val="36"/>
          <w:szCs w:val="36"/>
        </w:rPr>
      </w:pPr>
    </w:p>
    <w:p w14:paraId="1F4E00AA">
      <w:pPr>
        <w:jc w:val="center"/>
        <w:rPr>
          <w:rFonts w:hint="eastAsia" w:ascii="仿宋_GB2312" w:eastAsia="仿宋_GB2312" w:cs="仿宋_GB2312"/>
          <w:b/>
          <w:bCs/>
          <w:color w:val="auto"/>
          <w:sz w:val="48"/>
          <w:szCs w:val="48"/>
        </w:rPr>
      </w:pPr>
      <w:r>
        <w:rPr>
          <w:rFonts w:hint="eastAsia" w:ascii="仿宋_GB2312" w:eastAsia="仿宋_GB2312" w:cs="仿宋_GB2312"/>
          <w:b/>
          <w:bCs/>
          <w:color w:val="auto"/>
          <w:sz w:val="48"/>
          <w:szCs w:val="48"/>
        </w:rPr>
        <w:t>矿产资源开发利用方案</w:t>
      </w:r>
    </w:p>
    <w:p w14:paraId="4072AF19">
      <w:pPr>
        <w:jc w:val="center"/>
        <w:rPr>
          <w:rFonts w:hint="eastAsia" w:ascii="仿宋_GB2312" w:eastAsia="仿宋_GB2312" w:cs="仿宋_GB2312"/>
          <w:color w:val="auto"/>
        </w:rPr>
      </w:pPr>
    </w:p>
    <w:p w14:paraId="31CB0482">
      <w:pPr>
        <w:jc w:val="center"/>
        <w:rPr>
          <w:rFonts w:hint="eastAsia" w:ascii="仿宋_GB2312" w:eastAsia="仿宋_GB2312" w:cs="仿宋_GB2312"/>
          <w:color w:val="auto"/>
          <w:lang w:eastAsia="zh-CN"/>
        </w:rPr>
      </w:pPr>
    </w:p>
    <w:p w14:paraId="651D8406">
      <w:pPr>
        <w:jc w:val="center"/>
        <w:rPr>
          <w:rFonts w:hint="eastAsia" w:ascii="仿宋_GB2312" w:eastAsia="仿宋_GB2312" w:cs="仿宋_GB2312"/>
          <w:color w:val="auto"/>
        </w:rPr>
      </w:pPr>
    </w:p>
    <w:p w14:paraId="34F1749C">
      <w:pPr>
        <w:jc w:val="center"/>
        <w:rPr>
          <w:rFonts w:hint="eastAsia" w:ascii="仿宋_GB2312" w:eastAsia="仿宋_GB2312" w:cs="仿宋_GB2312"/>
          <w:color w:val="auto"/>
        </w:rPr>
      </w:pPr>
    </w:p>
    <w:p w14:paraId="3B1036BC">
      <w:pPr>
        <w:jc w:val="center"/>
        <w:rPr>
          <w:rFonts w:hint="eastAsia" w:ascii="仿宋_GB2312" w:eastAsia="仿宋_GB2312" w:cs="仿宋_GB2312"/>
          <w:color w:val="auto"/>
        </w:rPr>
      </w:pPr>
    </w:p>
    <w:p w14:paraId="3C29B5D0">
      <w:pPr>
        <w:rPr>
          <w:rFonts w:hint="eastAsia" w:ascii="仿宋_GB2312" w:eastAsia="仿宋_GB2312" w:cs="仿宋_GB2312"/>
          <w:b/>
          <w:bCs/>
          <w:color w:val="auto"/>
        </w:rPr>
      </w:pPr>
    </w:p>
    <w:p w14:paraId="747C6EA5">
      <w:pPr>
        <w:rPr>
          <w:rFonts w:hint="eastAsia" w:ascii="仿宋_GB2312" w:eastAsia="仿宋_GB2312" w:cs="仿宋_GB2312"/>
          <w:b/>
          <w:bCs/>
          <w:color w:val="auto"/>
        </w:rPr>
      </w:pPr>
    </w:p>
    <w:p w14:paraId="269C5445">
      <w:pPr>
        <w:rPr>
          <w:rFonts w:hint="eastAsia" w:ascii="仿宋_GB2312" w:eastAsia="仿宋_GB2312" w:cs="仿宋_GB2312"/>
          <w:b/>
          <w:bCs/>
          <w:color w:val="auto"/>
        </w:rPr>
      </w:pPr>
    </w:p>
    <w:p w14:paraId="29575F3C">
      <w:pPr>
        <w:rPr>
          <w:rFonts w:hint="eastAsia" w:ascii="仿宋_GB2312" w:eastAsia="仿宋_GB2312" w:cs="仿宋_GB2312"/>
          <w:b/>
          <w:bCs/>
          <w:color w:val="auto"/>
        </w:rPr>
      </w:pPr>
    </w:p>
    <w:p w14:paraId="1739CFE8">
      <w:pPr>
        <w:rPr>
          <w:rFonts w:hint="eastAsia" w:ascii="仿宋_GB2312" w:eastAsia="仿宋_GB2312" w:cs="仿宋_GB2312"/>
          <w:b/>
          <w:bCs/>
          <w:color w:val="auto"/>
        </w:rPr>
      </w:pPr>
    </w:p>
    <w:p w14:paraId="581D6FAD">
      <w:pPr>
        <w:pStyle w:val="61"/>
        <w:ind w:left="0" w:leftChars="0" w:firstLine="1400" w:firstLineChars="50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提交单位：大英县丰粮农业发展有限公司</w:t>
      </w:r>
    </w:p>
    <w:p w14:paraId="6BD592A6">
      <w:pPr>
        <w:ind w:firstLine="1400" w:firstLineChars="50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法    人：张凯江</w:t>
      </w:r>
    </w:p>
    <w:p w14:paraId="11841EEB">
      <w:pPr>
        <w:pStyle w:val="61"/>
        <w:ind w:firstLine="1400" w:firstLineChars="500"/>
        <w:rPr>
          <w:rFonts w:hint="eastAsia" w:ascii="Times New Roman" w:hAnsi="Times New Roman" w:eastAsia="宋体" w:cs="Times New Roman"/>
          <w:kern w:val="2"/>
          <w:sz w:val="28"/>
          <w:szCs w:val="28"/>
          <w:lang w:val="en-US" w:eastAsia="zh-CN" w:bidi="ar-SA"/>
        </w:rPr>
      </w:pPr>
    </w:p>
    <w:p w14:paraId="4017BD17">
      <w:pPr>
        <w:spacing w:line="360" w:lineRule="auto"/>
        <w:ind w:firstLine="1400" w:firstLineChars="50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编制单位：成都市巨匠工程环境技术服务有限公司</w:t>
      </w:r>
    </w:p>
    <w:p w14:paraId="6F116D6C">
      <w:pPr>
        <w:spacing w:line="360" w:lineRule="auto"/>
        <w:ind w:firstLine="1400" w:firstLineChars="500"/>
        <w:rPr>
          <w:rFonts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法    人：刘畅</w:t>
      </w:r>
    </w:p>
    <w:p w14:paraId="54C208F8">
      <w:pPr>
        <w:spacing w:line="360" w:lineRule="auto"/>
        <w:ind w:firstLine="1400" w:firstLineChars="500"/>
        <w:rPr>
          <w:rFonts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项目负责：马麟</w:t>
      </w:r>
    </w:p>
    <w:p w14:paraId="4998A608">
      <w:pPr>
        <w:spacing w:line="360" w:lineRule="auto"/>
        <w:ind w:firstLine="1400" w:firstLineChars="50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参与人员：陈楠、姜涛、田天培、缪俊荣</w:t>
      </w:r>
    </w:p>
    <w:p w14:paraId="5E6983D5">
      <w:pPr>
        <w:ind w:firstLine="1400" w:firstLineChars="50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日      期：2024年7月</w:t>
      </w:r>
    </w:p>
    <w:p w14:paraId="3FE63852">
      <w:pPr>
        <w:rPr>
          <w:rFonts w:hint="eastAsia" w:ascii="仿宋_GB2312" w:eastAsia="仿宋_GB2312" w:cs="仿宋_GB2312"/>
          <w:b/>
          <w:bCs/>
          <w:color w:val="auto"/>
        </w:rPr>
      </w:pPr>
    </w:p>
    <w:p w14:paraId="68B4C21D">
      <w:pPr>
        <w:pStyle w:val="42"/>
        <w:rPr>
          <w:rFonts w:hint="eastAsia"/>
        </w:rPr>
      </w:pPr>
    </w:p>
    <w:p w14:paraId="5FA61DAE">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eastAsia" w:ascii="仿宋_GB2312" w:eastAsia="仿宋_GB2312" w:cs="仿宋_GB2312"/>
          <w:b/>
          <w:bCs/>
          <w:color w:val="auto"/>
          <w:sz w:val="32"/>
          <w:szCs w:val="32"/>
        </w:rPr>
      </w:pPr>
      <w:r>
        <w:rPr>
          <w:rFonts w:hint="eastAsia" w:ascii="仿宋_GB2312" w:eastAsia="仿宋_GB2312" w:cs="仿宋_GB2312"/>
          <w:b/>
          <w:bCs/>
          <w:color w:val="auto"/>
          <w:sz w:val="32"/>
          <w:szCs w:val="32"/>
          <w:lang w:eastAsia="zh-CN"/>
        </w:rPr>
        <w:t>四川省大英县汇龙桥村砖瓦用页岩矿</w:t>
      </w:r>
      <w:r>
        <w:rPr>
          <w:rFonts w:hint="eastAsia" w:ascii="仿宋_GB2312" w:eastAsia="仿宋_GB2312" w:cs="仿宋_GB2312"/>
          <w:b/>
          <w:bCs/>
          <w:color w:val="auto"/>
          <w:sz w:val="32"/>
          <w:szCs w:val="32"/>
        </w:rPr>
        <w:t>矿产资源开发利用方案</w:t>
      </w:r>
    </w:p>
    <w:p w14:paraId="49115F1E">
      <w:pPr>
        <w:keepNext w:val="0"/>
        <w:keepLines w:val="0"/>
        <w:pageBreakBefore w:val="0"/>
        <w:widowControl w:val="0"/>
        <w:kinsoku/>
        <w:wordWrap/>
        <w:overflowPunct/>
        <w:topLinePunct w:val="0"/>
        <w:autoSpaceDE/>
        <w:autoSpaceDN/>
        <w:bidi w:val="0"/>
        <w:adjustRightInd w:val="0"/>
        <w:snapToGrid w:val="0"/>
        <w:spacing w:afterAutospacing="0" w:line="240" w:lineRule="auto"/>
        <w:jc w:val="center"/>
        <w:textAlignment w:val="auto"/>
        <w:rPr>
          <w:rFonts w:hint="eastAsia" w:ascii="仿宋_GB2312" w:eastAsia="仿宋_GB2312" w:cs="仿宋_GB2312"/>
          <w:b/>
          <w:bCs/>
          <w:color w:val="auto"/>
          <w:sz w:val="32"/>
          <w:szCs w:val="32"/>
        </w:rPr>
      </w:pPr>
      <w:r>
        <w:rPr>
          <w:rFonts w:hint="eastAsia" w:ascii="仿宋_GB2312" w:eastAsia="仿宋_GB2312" w:cs="仿宋_GB2312"/>
          <w:b/>
          <w:bCs/>
          <w:color w:val="auto"/>
          <w:sz w:val="32"/>
          <w:szCs w:val="32"/>
        </w:rPr>
        <w:t>编写人员名单</w:t>
      </w:r>
    </w:p>
    <w:tbl>
      <w:tblPr>
        <w:tblStyle w:val="6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9"/>
        <w:gridCol w:w="2290"/>
        <w:gridCol w:w="1671"/>
        <w:gridCol w:w="1671"/>
        <w:gridCol w:w="1866"/>
      </w:tblGrid>
      <w:tr w14:paraId="4D680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9E08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rPr>
            </w:pPr>
            <w:r>
              <w:rPr>
                <w:rFonts w:hint="eastAsia" w:ascii="仿宋_GB2312" w:eastAsia="仿宋_GB2312" w:cs="仿宋_GB2312"/>
                <w:i w:val="0"/>
                <w:iCs w:val="0"/>
                <w:color w:val="auto"/>
                <w:kern w:val="0"/>
                <w:sz w:val="28"/>
                <w:szCs w:val="28"/>
                <w:u w:val="none"/>
                <w:lang w:val="en-US" w:eastAsia="zh-CN"/>
              </w:rPr>
              <w:t>序号</w:t>
            </w:r>
          </w:p>
        </w:tc>
        <w:tc>
          <w:tcPr>
            <w:tcW w:w="12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01DB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rPr>
            </w:pPr>
            <w:r>
              <w:rPr>
                <w:rFonts w:hint="eastAsia" w:ascii="仿宋_GB2312" w:eastAsia="仿宋_GB2312" w:cs="仿宋_GB2312"/>
                <w:i w:val="0"/>
                <w:iCs w:val="0"/>
                <w:color w:val="auto"/>
                <w:kern w:val="0"/>
                <w:sz w:val="28"/>
                <w:szCs w:val="28"/>
                <w:u w:val="none"/>
                <w:lang w:val="en-US" w:eastAsia="zh-CN"/>
              </w:rPr>
              <w:t>设计人</w:t>
            </w:r>
          </w:p>
        </w:tc>
        <w:tc>
          <w:tcPr>
            <w:tcW w:w="91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87F8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kern w:val="0"/>
                <w:sz w:val="28"/>
                <w:szCs w:val="28"/>
                <w:u w:val="none"/>
                <w:lang w:val="en-US" w:eastAsia="zh-CN"/>
              </w:rPr>
            </w:pPr>
            <w:r>
              <w:rPr>
                <w:rFonts w:hint="eastAsia" w:ascii="仿宋_GB2312" w:eastAsia="仿宋_GB2312" w:cs="仿宋_GB2312"/>
                <w:i w:val="0"/>
                <w:iCs w:val="0"/>
                <w:color w:val="auto"/>
                <w:kern w:val="0"/>
                <w:sz w:val="28"/>
                <w:szCs w:val="28"/>
                <w:u w:val="none"/>
                <w:lang w:val="en-US" w:eastAsia="zh-CN"/>
              </w:rPr>
              <w:t>专业</w:t>
            </w:r>
          </w:p>
        </w:tc>
        <w:tc>
          <w:tcPr>
            <w:tcW w:w="91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278B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rPr>
            </w:pPr>
            <w:r>
              <w:rPr>
                <w:rFonts w:hint="eastAsia" w:ascii="仿宋_GB2312" w:eastAsia="仿宋_GB2312" w:cs="仿宋_GB2312"/>
                <w:i w:val="0"/>
                <w:iCs w:val="0"/>
                <w:color w:val="auto"/>
                <w:kern w:val="0"/>
                <w:sz w:val="28"/>
                <w:szCs w:val="28"/>
                <w:u w:val="none"/>
                <w:lang w:val="en-US" w:eastAsia="zh-CN"/>
              </w:rPr>
              <w:t>职称</w:t>
            </w:r>
          </w:p>
        </w:tc>
        <w:tc>
          <w:tcPr>
            <w:tcW w:w="101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25AD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rPr>
            </w:pPr>
            <w:r>
              <w:rPr>
                <w:rFonts w:hint="eastAsia" w:ascii="仿宋_GB2312" w:eastAsia="仿宋_GB2312" w:cs="仿宋_GB2312"/>
                <w:i w:val="0"/>
                <w:iCs w:val="0"/>
                <w:color w:val="auto"/>
                <w:kern w:val="0"/>
                <w:sz w:val="28"/>
                <w:szCs w:val="28"/>
                <w:u w:val="none"/>
                <w:lang w:val="en-US" w:eastAsia="zh-CN"/>
              </w:rPr>
              <w:t>签字</w:t>
            </w:r>
          </w:p>
        </w:tc>
      </w:tr>
      <w:tr w14:paraId="788E8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0" w:type="pct"/>
            <w:tcBorders>
              <w:top w:val="nil"/>
              <w:left w:val="single" w:color="000000" w:sz="8" w:space="0"/>
              <w:bottom w:val="single" w:color="000000" w:sz="8" w:space="0"/>
              <w:right w:val="single" w:color="000000" w:sz="8" w:space="0"/>
            </w:tcBorders>
            <w:shd w:val="clear" w:color="auto" w:fill="auto"/>
            <w:vAlign w:val="center"/>
          </w:tcPr>
          <w:p w14:paraId="218B77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rPr>
            </w:pPr>
            <w:r>
              <w:rPr>
                <w:rFonts w:hint="eastAsia" w:ascii="仿宋_GB2312" w:eastAsia="仿宋_GB2312" w:cs="仿宋_GB2312"/>
                <w:i w:val="0"/>
                <w:iCs w:val="0"/>
                <w:color w:val="auto"/>
                <w:kern w:val="0"/>
                <w:sz w:val="28"/>
                <w:szCs w:val="28"/>
                <w:u w:val="none"/>
                <w:lang w:val="en-US" w:eastAsia="zh-CN"/>
              </w:rPr>
              <w:t>1</w:t>
            </w:r>
          </w:p>
        </w:tc>
        <w:tc>
          <w:tcPr>
            <w:tcW w:w="1248" w:type="pct"/>
            <w:tcBorders>
              <w:top w:val="nil"/>
              <w:left w:val="single" w:color="000000" w:sz="8" w:space="0"/>
              <w:bottom w:val="single" w:color="000000" w:sz="8" w:space="0"/>
              <w:right w:val="single" w:color="000000" w:sz="8" w:space="0"/>
            </w:tcBorders>
            <w:shd w:val="clear" w:color="auto" w:fill="auto"/>
            <w:vAlign w:val="center"/>
          </w:tcPr>
          <w:p w14:paraId="6E0CFE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ascii="仿宋_GB2312" w:eastAsia="仿宋_GB2312" w:cs="仿宋_GB2312"/>
                <w:i w:val="0"/>
                <w:iCs w:val="0"/>
                <w:color w:val="auto"/>
                <w:sz w:val="28"/>
                <w:szCs w:val="28"/>
                <w:u w:val="none"/>
                <w:lang w:val="en-US" w:eastAsia="zh-CN"/>
              </w:rPr>
            </w:pPr>
            <w:r>
              <w:rPr>
                <w:rFonts w:hint="eastAsia" w:ascii="仿宋_GB2312" w:eastAsia="仿宋_GB2312" w:cs="仿宋_GB2312"/>
                <w:i w:val="0"/>
                <w:iCs w:val="0"/>
                <w:color w:val="auto"/>
                <w:sz w:val="28"/>
                <w:szCs w:val="28"/>
                <w:u w:val="none"/>
                <w:lang w:val="en-US" w:eastAsia="zh-CN"/>
              </w:rPr>
              <w:t>陈楠</w:t>
            </w:r>
          </w:p>
        </w:tc>
        <w:tc>
          <w:tcPr>
            <w:tcW w:w="911" w:type="pct"/>
            <w:tcBorders>
              <w:top w:val="nil"/>
              <w:left w:val="single" w:color="000000" w:sz="8" w:space="0"/>
              <w:bottom w:val="single" w:color="000000" w:sz="8" w:space="0"/>
              <w:right w:val="single" w:color="000000" w:sz="8" w:space="0"/>
            </w:tcBorders>
            <w:shd w:val="clear" w:color="auto" w:fill="auto"/>
            <w:vAlign w:val="center"/>
          </w:tcPr>
          <w:p w14:paraId="4D3CD7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ascii="仿宋_GB2312" w:eastAsia="仿宋_GB2312" w:cs="仿宋_GB2312"/>
                <w:i w:val="0"/>
                <w:iCs w:val="0"/>
                <w:color w:val="auto"/>
                <w:sz w:val="28"/>
                <w:szCs w:val="28"/>
                <w:u w:val="none"/>
                <w:lang w:val="en-US" w:eastAsia="zh-CN"/>
              </w:rPr>
            </w:pPr>
            <w:r>
              <w:rPr>
                <w:rFonts w:hint="eastAsia" w:ascii="仿宋_GB2312" w:eastAsia="仿宋_GB2312" w:cs="仿宋_GB2312"/>
                <w:i w:val="0"/>
                <w:iCs w:val="0"/>
                <w:color w:val="auto"/>
                <w:sz w:val="28"/>
                <w:szCs w:val="28"/>
                <w:u w:val="none"/>
                <w:lang w:val="en-US" w:eastAsia="zh-CN"/>
              </w:rPr>
              <w:t>地质</w:t>
            </w:r>
          </w:p>
        </w:tc>
        <w:tc>
          <w:tcPr>
            <w:tcW w:w="911" w:type="pct"/>
            <w:tcBorders>
              <w:top w:val="nil"/>
              <w:left w:val="single" w:color="000000" w:sz="8" w:space="0"/>
              <w:bottom w:val="single" w:color="000000" w:sz="8" w:space="0"/>
              <w:right w:val="single" w:color="000000" w:sz="8" w:space="0"/>
            </w:tcBorders>
            <w:shd w:val="clear" w:color="auto" w:fill="auto"/>
            <w:vAlign w:val="center"/>
          </w:tcPr>
          <w:p w14:paraId="6819DD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ascii="仿宋_GB2312" w:eastAsia="仿宋_GB2312" w:cs="仿宋_GB2312"/>
                <w:i w:val="0"/>
                <w:iCs w:val="0"/>
                <w:color w:val="auto"/>
                <w:sz w:val="28"/>
                <w:szCs w:val="28"/>
                <w:u w:val="none"/>
                <w:lang w:val="en-US" w:eastAsia="zh-CN"/>
              </w:rPr>
            </w:pPr>
            <w:r>
              <w:rPr>
                <w:rFonts w:hint="eastAsia" w:ascii="仿宋_GB2312" w:eastAsia="仿宋_GB2312" w:cs="仿宋_GB2312"/>
                <w:i w:val="0"/>
                <w:iCs w:val="0"/>
                <w:color w:val="auto"/>
                <w:sz w:val="28"/>
                <w:szCs w:val="28"/>
                <w:u w:val="none"/>
                <w:lang w:val="en-US" w:eastAsia="zh-CN"/>
              </w:rPr>
              <w:t>高级工程师</w:t>
            </w:r>
          </w:p>
        </w:tc>
        <w:tc>
          <w:tcPr>
            <w:tcW w:w="1017" w:type="pct"/>
            <w:tcBorders>
              <w:top w:val="nil"/>
              <w:left w:val="single" w:color="000000" w:sz="8" w:space="0"/>
              <w:bottom w:val="single" w:color="000000" w:sz="8" w:space="0"/>
              <w:right w:val="single" w:color="000000" w:sz="8" w:space="0"/>
            </w:tcBorders>
            <w:shd w:val="clear" w:color="auto" w:fill="auto"/>
            <w:vAlign w:val="center"/>
          </w:tcPr>
          <w:p w14:paraId="2A3C1F07">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cs="仿宋_GB2312"/>
                <w:i w:val="0"/>
                <w:iCs w:val="0"/>
                <w:color w:val="auto"/>
                <w:sz w:val="28"/>
                <w:szCs w:val="28"/>
                <w:u w:val="none"/>
              </w:rPr>
            </w:pPr>
            <w:r>
              <w:drawing>
                <wp:inline distT="0" distB="0" distL="114300" distR="114300">
                  <wp:extent cx="689610" cy="530225"/>
                  <wp:effectExtent l="0" t="0" r="21" b="23"/>
                  <wp:docPr id="1"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3"/>
                          <pic:cNvPicPr>
                            <a:picLocks noChangeAspect="1"/>
                          </pic:cNvPicPr>
                        </pic:nvPicPr>
                        <pic:blipFill>
                          <a:blip r:embed="rId11"/>
                          <a:stretch>
                            <a:fillRect/>
                          </a:stretch>
                        </pic:blipFill>
                        <pic:spPr>
                          <a:xfrm>
                            <a:off x="0" y="0"/>
                            <a:ext cx="690244" cy="530225"/>
                          </a:xfrm>
                          <a:prstGeom prst="rect">
                            <a:avLst/>
                          </a:prstGeom>
                          <a:noFill/>
                          <a:ln w="9525" cap="flat" cmpd="sng">
                            <a:noFill/>
                            <a:prstDash val="solid"/>
                            <a:round/>
                          </a:ln>
                        </pic:spPr>
                      </pic:pic>
                    </a:graphicData>
                  </a:graphic>
                </wp:inline>
              </w:drawing>
            </w:r>
          </w:p>
        </w:tc>
      </w:tr>
      <w:tr w14:paraId="078F1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0" w:type="pct"/>
            <w:tcBorders>
              <w:top w:val="nil"/>
              <w:left w:val="single" w:color="000000" w:sz="8" w:space="0"/>
              <w:bottom w:val="single" w:color="000000" w:sz="8" w:space="0"/>
              <w:right w:val="single" w:color="000000" w:sz="8" w:space="0"/>
            </w:tcBorders>
            <w:shd w:val="clear" w:color="auto" w:fill="auto"/>
            <w:vAlign w:val="center"/>
          </w:tcPr>
          <w:p w14:paraId="588FBF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rPr>
            </w:pPr>
            <w:r>
              <w:rPr>
                <w:rFonts w:hint="eastAsia" w:ascii="仿宋_GB2312" w:eastAsia="仿宋_GB2312" w:cs="仿宋_GB2312"/>
                <w:i w:val="0"/>
                <w:iCs w:val="0"/>
                <w:color w:val="auto"/>
                <w:kern w:val="0"/>
                <w:sz w:val="28"/>
                <w:szCs w:val="28"/>
                <w:u w:val="none"/>
                <w:lang w:val="en-US" w:eastAsia="zh-CN"/>
              </w:rPr>
              <w:t>2</w:t>
            </w:r>
          </w:p>
        </w:tc>
        <w:tc>
          <w:tcPr>
            <w:tcW w:w="1248" w:type="pct"/>
            <w:tcBorders>
              <w:top w:val="nil"/>
              <w:left w:val="single" w:color="000000" w:sz="8" w:space="0"/>
              <w:bottom w:val="single" w:color="000000" w:sz="8" w:space="0"/>
              <w:right w:val="single" w:color="000000" w:sz="8" w:space="0"/>
            </w:tcBorders>
            <w:shd w:val="clear" w:color="auto" w:fill="auto"/>
            <w:vAlign w:val="center"/>
          </w:tcPr>
          <w:p w14:paraId="6EDB00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lang w:val="en-US"/>
              </w:rPr>
            </w:pPr>
            <w:r>
              <w:rPr>
                <w:rFonts w:hint="eastAsia" w:ascii="仿宋_GB2312" w:eastAsia="仿宋_GB2312" w:cs="仿宋_GB2312"/>
                <w:i w:val="0"/>
                <w:iCs w:val="0"/>
                <w:color w:val="auto"/>
                <w:sz w:val="28"/>
                <w:szCs w:val="28"/>
                <w:u w:val="none"/>
                <w:lang w:val="en-US" w:eastAsia="zh-CN"/>
              </w:rPr>
              <w:t>马麟</w:t>
            </w:r>
          </w:p>
        </w:tc>
        <w:tc>
          <w:tcPr>
            <w:tcW w:w="911" w:type="pct"/>
            <w:tcBorders>
              <w:top w:val="nil"/>
              <w:left w:val="single" w:color="000000" w:sz="8" w:space="0"/>
              <w:bottom w:val="single" w:color="000000" w:sz="8" w:space="0"/>
              <w:right w:val="single" w:color="000000" w:sz="8" w:space="0"/>
            </w:tcBorders>
            <w:shd w:val="clear" w:color="auto" w:fill="auto"/>
            <w:vAlign w:val="center"/>
          </w:tcPr>
          <w:p w14:paraId="06005F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lang w:val="en-US" w:eastAsia="zh-CN"/>
              </w:rPr>
            </w:pPr>
            <w:r>
              <w:rPr>
                <w:rFonts w:hint="eastAsia" w:ascii="仿宋_GB2312" w:eastAsia="仿宋_GB2312" w:cs="仿宋_GB2312"/>
                <w:i w:val="0"/>
                <w:iCs w:val="0"/>
                <w:color w:val="auto"/>
                <w:sz w:val="28"/>
                <w:szCs w:val="28"/>
                <w:u w:val="none"/>
                <w:lang w:val="en-US" w:eastAsia="zh-CN"/>
              </w:rPr>
              <w:t>采矿</w:t>
            </w:r>
          </w:p>
        </w:tc>
        <w:tc>
          <w:tcPr>
            <w:tcW w:w="911" w:type="pct"/>
            <w:tcBorders>
              <w:top w:val="nil"/>
              <w:left w:val="single" w:color="000000" w:sz="8" w:space="0"/>
              <w:bottom w:val="single" w:color="000000" w:sz="8" w:space="0"/>
              <w:right w:val="single" w:color="000000" w:sz="8" w:space="0"/>
            </w:tcBorders>
            <w:shd w:val="clear" w:color="auto" w:fill="auto"/>
            <w:vAlign w:val="center"/>
          </w:tcPr>
          <w:p w14:paraId="439CD0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ascii="仿宋_GB2312" w:eastAsia="仿宋_GB2312" w:cs="仿宋_GB2312"/>
                <w:i w:val="0"/>
                <w:iCs w:val="0"/>
                <w:color w:val="auto"/>
                <w:sz w:val="28"/>
                <w:szCs w:val="28"/>
                <w:u w:val="none"/>
                <w:lang w:val="en-US" w:eastAsia="zh-CN"/>
              </w:rPr>
            </w:pPr>
            <w:r>
              <w:rPr>
                <w:rFonts w:hint="eastAsia" w:ascii="仿宋_GB2312" w:eastAsia="仿宋_GB2312" w:cs="仿宋_GB2312"/>
                <w:i w:val="0"/>
                <w:iCs w:val="0"/>
                <w:color w:val="auto"/>
                <w:sz w:val="28"/>
                <w:szCs w:val="28"/>
                <w:u w:val="none"/>
                <w:lang w:val="en-US" w:eastAsia="zh-CN"/>
              </w:rPr>
              <w:t>工程师</w:t>
            </w:r>
          </w:p>
        </w:tc>
        <w:tc>
          <w:tcPr>
            <w:tcW w:w="1017" w:type="pct"/>
            <w:tcBorders>
              <w:top w:val="nil"/>
              <w:left w:val="single" w:color="000000" w:sz="8" w:space="0"/>
              <w:bottom w:val="single" w:color="000000" w:sz="8" w:space="0"/>
              <w:right w:val="single" w:color="000000" w:sz="8" w:space="0"/>
            </w:tcBorders>
            <w:shd w:val="clear" w:color="auto" w:fill="auto"/>
            <w:vAlign w:val="center"/>
          </w:tcPr>
          <w:p w14:paraId="5C5F6343">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cs="仿宋_GB2312"/>
                <w:i w:val="0"/>
                <w:iCs w:val="0"/>
                <w:color w:val="auto"/>
                <w:sz w:val="28"/>
                <w:szCs w:val="28"/>
                <w:u w:val="none"/>
              </w:rPr>
            </w:pPr>
            <w:r>
              <w:drawing>
                <wp:inline distT="0" distB="0" distL="114300" distR="114300">
                  <wp:extent cx="783590" cy="493395"/>
                  <wp:effectExtent l="0" t="0" r="20" b="8"/>
                  <wp:docPr id="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4"/>
                          <pic:cNvPicPr>
                            <a:picLocks noChangeAspect="1"/>
                          </pic:cNvPicPr>
                        </pic:nvPicPr>
                        <pic:blipFill>
                          <a:blip r:embed="rId12"/>
                          <a:stretch>
                            <a:fillRect/>
                          </a:stretch>
                        </pic:blipFill>
                        <pic:spPr>
                          <a:xfrm>
                            <a:off x="0" y="0"/>
                            <a:ext cx="783590" cy="493395"/>
                          </a:xfrm>
                          <a:prstGeom prst="rect">
                            <a:avLst/>
                          </a:prstGeom>
                          <a:noFill/>
                          <a:ln w="9525" cap="flat" cmpd="sng">
                            <a:noFill/>
                            <a:prstDash val="solid"/>
                            <a:round/>
                          </a:ln>
                        </pic:spPr>
                      </pic:pic>
                    </a:graphicData>
                  </a:graphic>
                </wp:inline>
              </w:drawing>
            </w:r>
          </w:p>
        </w:tc>
      </w:tr>
      <w:tr w14:paraId="282B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0" w:type="pct"/>
            <w:tcBorders>
              <w:top w:val="nil"/>
              <w:left w:val="single" w:color="000000" w:sz="8" w:space="0"/>
              <w:bottom w:val="single" w:color="000000" w:sz="8" w:space="0"/>
              <w:right w:val="single" w:color="000000" w:sz="8" w:space="0"/>
            </w:tcBorders>
            <w:shd w:val="clear" w:color="auto" w:fill="auto"/>
            <w:vAlign w:val="center"/>
          </w:tcPr>
          <w:p w14:paraId="29E40F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rPr>
            </w:pPr>
            <w:r>
              <w:rPr>
                <w:rFonts w:hint="eastAsia" w:ascii="仿宋_GB2312" w:eastAsia="仿宋_GB2312" w:cs="仿宋_GB2312"/>
                <w:i w:val="0"/>
                <w:iCs w:val="0"/>
                <w:color w:val="auto"/>
                <w:kern w:val="0"/>
                <w:sz w:val="28"/>
                <w:szCs w:val="28"/>
                <w:u w:val="none"/>
                <w:lang w:val="en-US" w:eastAsia="zh-CN"/>
              </w:rPr>
              <w:t>3</w:t>
            </w:r>
          </w:p>
        </w:tc>
        <w:tc>
          <w:tcPr>
            <w:tcW w:w="1248" w:type="pct"/>
            <w:tcBorders>
              <w:top w:val="nil"/>
              <w:left w:val="single" w:color="000000" w:sz="8" w:space="0"/>
              <w:bottom w:val="single" w:color="000000" w:sz="8" w:space="0"/>
              <w:right w:val="single" w:color="000000" w:sz="8" w:space="0"/>
            </w:tcBorders>
            <w:shd w:val="clear" w:color="auto" w:fill="auto"/>
            <w:vAlign w:val="center"/>
          </w:tcPr>
          <w:p w14:paraId="3A87E4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lang w:val="en-US" w:eastAsia="zh-CN"/>
              </w:rPr>
            </w:pPr>
            <w:r>
              <w:rPr>
                <w:rFonts w:hint="eastAsia" w:ascii="仿宋_GB2312" w:eastAsia="仿宋_GB2312" w:cs="仿宋_GB2312"/>
                <w:i w:val="0"/>
                <w:iCs w:val="0"/>
                <w:color w:val="auto"/>
                <w:sz w:val="28"/>
                <w:szCs w:val="28"/>
                <w:u w:val="none"/>
                <w:lang w:val="en-US" w:eastAsia="zh-CN"/>
              </w:rPr>
              <w:t>姜涛</w:t>
            </w:r>
          </w:p>
        </w:tc>
        <w:tc>
          <w:tcPr>
            <w:tcW w:w="911" w:type="pct"/>
            <w:tcBorders>
              <w:top w:val="nil"/>
              <w:left w:val="single" w:color="000000" w:sz="8" w:space="0"/>
              <w:bottom w:val="single" w:color="000000" w:sz="8" w:space="0"/>
              <w:right w:val="single" w:color="000000" w:sz="8" w:space="0"/>
            </w:tcBorders>
            <w:shd w:val="clear" w:color="auto" w:fill="auto"/>
            <w:vAlign w:val="center"/>
          </w:tcPr>
          <w:p w14:paraId="361F7D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lang w:val="en-US" w:eastAsia="zh-CN"/>
              </w:rPr>
            </w:pPr>
            <w:r>
              <w:rPr>
                <w:rFonts w:hint="eastAsia" w:ascii="仿宋_GB2312" w:eastAsia="仿宋_GB2312" w:cs="仿宋_GB2312"/>
                <w:i w:val="0"/>
                <w:iCs w:val="0"/>
                <w:color w:val="auto"/>
                <w:sz w:val="28"/>
                <w:szCs w:val="28"/>
                <w:u w:val="none"/>
                <w:lang w:val="en-US" w:eastAsia="zh-CN"/>
              </w:rPr>
              <w:t>采矿</w:t>
            </w:r>
          </w:p>
        </w:tc>
        <w:tc>
          <w:tcPr>
            <w:tcW w:w="911" w:type="pct"/>
            <w:tcBorders>
              <w:top w:val="nil"/>
              <w:left w:val="single" w:color="000000" w:sz="8" w:space="0"/>
              <w:bottom w:val="single" w:color="000000" w:sz="8" w:space="0"/>
              <w:right w:val="single" w:color="000000" w:sz="8" w:space="0"/>
            </w:tcBorders>
            <w:shd w:val="clear" w:color="auto" w:fill="auto"/>
            <w:vAlign w:val="center"/>
          </w:tcPr>
          <w:p w14:paraId="52DA80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sz w:val="28"/>
                <w:szCs w:val="28"/>
                <w:u w:val="none"/>
              </w:rPr>
            </w:pPr>
            <w:r>
              <w:rPr>
                <w:rFonts w:hint="eastAsia" w:ascii="仿宋_GB2312" w:eastAsia="仿宋_GB2312" w:cs="仿宋_GB2312"/>
                <w:i w:val="0"/>
                <w:iCs w:val="0"/>
                <w:color w:val="auto"/>
                <w:sz w:val="28"/>
                <w:szCs w:val="28"/>
                <w:u w:val="none"/>
                <w:lang w:val="en-US" w:eastAsia="zh-CN"/>
              </w:rPr>
              <w:t>工程师</w:t>
            </w:r>
          </w:p>
        </w:tc>
        <w:tc>
          <w:tcPr>
            <w:tcW w:w="1017" w:type="pct"/>
            <w:tcBorders>
              <w:top w:val="nil"/>
              <w:left w:val="single" w:color="000000" w:sz="8" w:space="0"/>
              <w:bottom w:val="single" w:color="000000" w:sz="8" w:space="0"/>
              <w:right w:val="single" w:color="000000" w:sz="8" w:space="0"/>
            </w:tcBorders>
            <w:shd w:val="clear" w:color="auto" w:fill="auto"/>
            <w:vAlign w:val="center"/>
          </w:tcPr>
          <w:p w14:paraId="74B00F44">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cs="仿宋_GB2312"/>
                <w:i w:val="0"/>
                <w:iCs w:val="0"/>
                <w:color w:val="auto"/>
                <w:sz w:val="28"/>
                <w:szCs w:val="28"/>
                <w:u w:val="none"/>
              </w:rPr>
            </w:pPr>
            <w:r>
              <w:drawing>
                <wp:inline distT="0" distB="0" distL="114300" distR="114300">
                  <wp:extent cx="591185" cy="434975"/>
                  <wp:effectExtent l="0" t="0" r="22" b="38"/>
                  <wp:docPr id="7"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5"/>
                          <pic:cNvPicPr>
                            <a:picLocks noChangeAspect="1"/>
                          </pic:cNvPicPr>
                        </pic:nvPicPr>
                        <pic:blipFill>
                          <a:blip r:embed="rId13"/>
                          <a:stretch>
                            <a:fillRect/>
                          </a:stretch>
                        </pic:blipFill>
                        <pic:spPr>
                          <a:xfrm>
                            <a:off x="0" y="0"/>
                            <a:ext cx="591185" cy="435609"/>
                          </a:xfrm>
                          <a:prstGeom prst="rect">
                            <a:avLst/>
                          </a:prstGeom>
                          <a:noFill/>
                          <a:ln w="9525" cap="flat" cmpd="sng">
                            <a:noFill/>
                            <a:prstDash val="solid"/>
                            <a:round/>
                          </a:ln>
                        </pic:spPr>
                      </pic:pic>
                    </a:graphicData>
                  </a:graphic>
                </wp:inline>
              </w:drawing>
            </w:r>
          </w:p>
        </w:tc>
      </w:tr>
      <w:tr w14:paraId="1A9D5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0" w:type="pct"/>
            <w:tcBorders>
              <w:top w:val="nil"/>
              <w:left w:val="single" w:color="000000" w:sz="8" w:space="0"/>
              <w:bottom w:val="single" w:color="000000" w:sz="8" w:space="0"/>
              <w:right w:val="single" w:color="000000" w:sz="8" w:space="0"/>
            </w:tcBorders>
            <w:shd w:val="clear" w:color="auto" w:fill="auto"/>
            <w:vAlign w:val="center"/>
          </w:tcPr>
          <w:p w14:paraId="32FAD7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kern w:val="0"/>
                <w:sz w:val="28"/>
                <w:szCs w:val="28"/>
                <w:u w:val="none"/>
                <w:lang w:val="en-US" w:eastAsia="zh-CN"/>
              </w:rPr>
            </w:pPr>
            <w:r>
              <w:rPr>
                <w:rFonts w:hint="eastAsia" w:ascii="仿宋_GB2312" w:eastAsia="仿宋_GB2312" w:cs="仿宋_GB2312"/>
                <w:i w:val="0"/>
                <w:iCs w:val="0"/>
                <w:color w:val="auto"/>
                <w:kern w:val="0"/>
                <w:sz w:val="28"/>
                <w:szCs w:val="28"/>
                <w:u w:val="none"/>
                <w:lang w:val="en-US" w:eastAsia="zh-CN"/>
              </w:rPr>
              <w:t>4</w:t>
            </w:r>
          </w:p>
        </w:tc>
        <w:tc>
          <w:tcPr>
            <w:tcW w:w="1248" w:type="pct"/>
            <w:tcBorders>
              <w:top w:val="nil"/>
              <w:left w:val="single" w:color="000000" w:sz="8" w:space="0"/>
              <w:bottom w:val="single" w:color="000000" w:sz="8" w:space="0"/>
              <w:right w:val="single" w:color="000000" w:sz="8" w:space="0"/>
            </w:tcBorders>
            <w:shd w:val="clear" w:color="auto" w:fill="auto"/>
            <w:vAlign w:val="center"/>
          </w:tcPr>
          <w:p w14:paraId="63B78E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kern w:val="0"/>
                <w:sz w:val="28"/>
                <w:szCs w:val="28"/>
                <w:u w:val="none"/>
                <w:lang w:val="en-US" w:eastAsia="zh-CN"/>
              </w:rPr>
            </w:pPr>
            <w:r>
              <w:rPr>
                <w:rFonts w:hint="eastAsia" w:ascii="仿宋_GB2312" w:eastAsia="仿宋_GB2312" w:cs="仿宋_GB2312"/>
                <w:i w:val="0"/>
                <w:iCs w:val="0"/>
                <w:color w:val="auto"/>
                <w:kern w:val="0"/>
                <w:sz w:val="28"/>
                <w:szCs w:val="28"/>
                <w:u w:val="none"/>
                <w:lang w:val="en-US" w:eastAsia="zh-CN"/>
              </w:rPr>
              <w:t>缪俊荣</w:t>
            </w:r>
          </w:p>
        </w:tc>
        <w:tc>
          <w:tcPr>
            <w:tcW w:w="911" w:type="pct"/>
            <w:tcBorders>
              <w:top w:val="nil"/>
              <w:left w:val="single" w:color="000000" w:sz="8" w:space="0"/>
              <w:bottom w:val="single" w:color="000000" w:sz="8" w:space="0"/>
              <w:right w:val="single" w:color="000000" w:sz="8" w:space="0"/>
            </w:tcBorders>
            <w:shd w:val="clear" w:color="auto" w:fill="auto"/>
            <w:vAlign w:val="center"/>
          </w:tcPr>
          <w:p w14:paraId="062E87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ascii="仿宋_GB2312" w:eastAsia="仿宋_GB2312" w:cs="仿宋_GB2312"/>
                <w:i w:val="0"/>
                <w:iCs w:val="0"/>
                <w:color w:val="auto"/>
                <w:kern w:val="0"/>
                <w:sz w:val="28"/>
                <w:szCs w:val="28"/>
                <w:u w:val="none"/>
                <w:lang w:val="en-US" w:eastAsia="zh-CN"/>
              </w:rPr>
            </w:pPr>
            <w:r>
              <w:rPr>
                <w:rFonts w:hint="eastAsia" w:ascii="仿宋_GB2312" w:eastAsia="仿宋_GB2312" w:cs="仿宋_GB2312"/>
                <w:i w:val="0"/>
                <w:iCs w:val="0"/>
                <w:color w:val="auto"/>
                <w:kern w:val="0"/>
                <w:sz w:val="28"/>
                <w:szCs w:val="28"/>
                <w:u w:val="none"/>
                <w:lang w:val="en-US" w:eastAsia="zh-CN"/>
              </w:rPr>
              <w:t>技术经济</w:t>
            </w:r>
          </w:p>
        </w:tc>
        <w:tc>
          <w:tcPr>
            <w:tcW w:w="911" w:type="pct"/>
            <w:tcBorders>
              <w:top w:val="nil"/>
              <w:left w:val="single" w:color="000000" w:sz="8" w:space="0"/>
              <w:bottom w:val="single" w:color="000000" w:sz="8" w:space="0"/>
              <w:right w:val="single" w:color="000000" w:sz="8" w:space="0"/>
            </w:tcBorders>
            <w:shd w:val="clear" w:color="auto" w:fill="auto"/>
            <w:vAlign w:val="center"/>
          </w:tcPr>
          <w:p w14:paraId="05CE0C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eastAsia="仿宋_GB2312" w:cs="仿宋_GB2312"/>
                <w:i w:val="0"/>
                <w:iCs w:val="0"/>
                <w:color w:val="auto"/>
                <w:kern w:val="0"/>
                <w:sz w:val="28"/>
                <w:szCs w:val="28"/>
                <w:u w:val="none"/>
                <w:lang w:val="en-US" w:eastAsia="zh-CN"/>
              </w:rPr>
            </w:pPr>
            <w:r>
              <w:rPr>
                <w:rFonts w:hint="eastAsia" w:ascii="仿宋_GB2312" w:eastAsia="仿宋_GB2312" w:cs="仿宋_GB2312"/>
                <w:i w:val="0"/>
                <w:iCs w:val="0"/>
                <w:color w:val="auto"/>
                <w:sz w:val="28"/>
                <w:szCs w:val="28"/>
                <w:u w:val="none"/>
                <w:lang w:val="en-US" w:eastAsia="zh-CN"/>
              </w:rPr>
              <w:t>工程师</w:t>
            </w:r>
          </w:p>
        </w:tc>
        <w:tc>
          <w:tcPr>
            <w:tcW w:w="1017" w:type="pct"/>
            <w:tcBorders>
              <w:top w:val="nil"/>
              <w:left w:val="single" w:color="000000" w:sz="8" w:space="0"/>
              <w:bottom w:val="single" w:color="000000" w:sz="8" w:space="0"/>
              <w:right w:val="single" w:color="000000" w:sz="8" w:space="0"/>
            </w:tcBorders>
            <w:shd w:val="clear" w:color="auto" w:fill="auto"/>
            <w:vAlign w:val="center"/>
          </w:tcPr>
          <w:p w14:paraId="57398AA5">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eastAsia="仿宋_GB2312" w:cs="仿宋_GB2312"/>
                <w:i w:val="0"/>
                <w:iCs w:val="0"/>
                <w:color w:val="auto"/>
                <w:sz w:val="28"/>
                <w:szCs w:val="28"/>
                <w:u w:val="none"/>
              </w:rPr>
            </w:pPr>
            <w:r>
              <w:rPr>
                <w:sz w:val="28"/>
                <w:szCs w:val="28"/>
              </w:rPr>
              <w:drawing>
                <wp:inline distT="0" distB="0" distL="114300" distR="114300">
                  <wp:extent cx="406400" cy="784860"/>
                  <wp:effectExtent l="0" t="39" r="20" b="1"/>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4"/>
                          <a:srcRect l="11378" t="32780" r="26330" b="30844"/>
                          <a:stretch>
                            <a:fillRect/>
                          </a:stretch>
                        </pic:blipFill>
                        <pic:spPr>
                          <a:xfrm rot="16200000">
                            <a:off x="0" y="0"/>
                            <a:ext cx="407034" cy="785494"/>
                          </a:xfrm>
                          <a:prstGeom prst="rect">
                            <a:avLst/>
                          </a:prstGeom>
                          <a:noFill/>
                          <a:ln w="9525" cap="flat" cmpd="sng">
                            <a:noFill/>
                            <a:prstDash val="solid"/>
                            <a:round/>
                          </a:ln>
                        </pic:spPr>
                      </pic:pic>
                    </a:graphicData>
                  </a:graphic>
                </wp:inline>
              </w:drawing>
            </w:r>
          </w:p>
        </w:tc>
      </w:tr>
    </w:tbl>
    <w:p w14:paraId="2EB6402E">
      <w:pPr>
        <w:rPr>
          <w:rFonts w:hint="eastAsia" w:ascii="仿宋_GB2312" w:eastAsia="仿宋_GB2312" w:cs="仿宋_GB2312"/>
          <w:color w:val="auto"/>
        </w:rPr>
        <w:sectPr>
          <w:headerReference r:id="rId5" w:type="default"/>
          <w:footerReference r:id="rId6" w:type="default"/>
          <w:pgSz w:w="11906" w:h="16838"/>
          <w:pgMar w:top="1814" w:right="1474" w:bottom="1814" w:left="1474" w:header="851" w:footer="992" w:gutter="0"/>
          <w:cols w:space="720" w:num="1"/>
          <w:docGrid w:type="lines" w:linePitch="312" w:charSpace="0"/>
        </w:sectPr>
      </w:pPr>
    </w:p>
    <w:p w14:paraId="7C3610F0">
      <w:pPr>
        <w:jc w:val="center"/>
        <w:rPr>
          <w:rFonts w:hint="eastAsia" w:ascii="仿宋_GB2312" w:eastAsia="仿宋_GB2312" w:cs="仿宋_GB2312"/>
          <w:b/>
          <w:bCs/>
          <w:color w:val="auto"/>
          <w:sz w:val="48"/>
          <w:szCs w:val="48"/>
          <w:u w:val="double"/>
        </w:rPr>
      </w:pPr>
      <w:r>
        <w:rPr>
          <w:rFonts w:hint="eastAsia" w:ascii="仿宋_GB2312" w:eastAsia="仿宋_GB2312" w:cs="仿宋_GB2312"/>
          <w:b/>
          <w:bCs/>
          <w:color w:val="auto"/>
          <w:sz w:val="48"/>
          <w:szCs w:val="48"/>
          <w:u w:val="double"/>
        </w:rPr>
        <w:t xml:space="preserve">  目    录  </w:t>
      </w:r>
    </w:p>
    <w:p w14:paraId="2280CC65">
      <w:pPr>
        <w:pStyle w:val="42"/>
        <w:tabs>
          <w:tab w:val="right" w:leader="dot" w:pos="8958"/>
        </w:tabs>
      </w:pPr>
      <w:r>
        <w:rPr>
          <w:rFonts w:hint="eastAsia" w:ascii="仿宋_GB2312" w:eastAsia="仿宋_GB2312" w:cs="仿宋_GB2312"/>
          <w:color w:val="auto"/>
          <w:szCs w:val="24"/>
        </w:rPr>
        <w:fldChar w:fldCharType="begin"/>
      </w:r>
      <w:r>
        <w:rPr>
          <w:rFonts w:hint="eastAsia" w:ascii="仿宋_GB2312" w:eastAsia="仿宋_GB2312" w:cs="仿宋_GB2312"/>
          <w:color w:val="auto"/>
          <w:szCs w:val="24"/>
        </w:rPr>
        <w:instrText xml:space="preserve">TOC \o "1-2" \h \u </w:instrText>
      </w:r>
      <w:r>
        <w:rPr>
          <w:rFonts w:hint="eastAsia" w:ascii="仿宋_GB2312" w:eastAsia="仿宋_GB2312" w:cs="仿宋_GB2312"/>
          <w:color w:val="auto"/>
          <w:szCs w:val="24"/>
        </w:rPr>
        <w:fldChar w:fldCharType="separate"/>
      </w: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_Toc29417 </w:instrText>
      </w:r>
      <w:r>
        <w:rPr>
          <w:rFonts w:hint="eastAsia" w:ascii="仿宋_GB2312" w:eastAsia="仿宋_GB2312" w:cs="仿宋_GB2312"/>
          <w:szCs w:val="24"/>
        </w:rPr>
        <w:fldChar w:fldCharType="separate"/>
      </w:r>
      <w:r>
        <w:rPr>
          <w:rFonts w:ascii="仿宋_GB2312" w:eastAsia="仿宋_GB2312" w:cs="仿宋_GB2312"/>
          <w:szCs w:val="36"/>
        </w:rPr>
        <w:t xml:space="preserve">1 </w:t>
      </w:r>
      <w:r>
        <w:rPr>
          <w:rFonts w:hint="eastAsia" w:ascii="仿宋_GB2312" w:eastAsia="仿宋_GB2312" w:cs="仿宋_GB2312"/>
          <w:szCs w:val="36"/>
        </w:rPr>
        <w:t>概述</w:t>
      </w:r>
      <w:r>
        <w:tab/>
      </w:r>
      <w:r>
        <w:fldChar w:fldCharType="begin"/>
      </w:r>
      <w:r>
        <w:instrText xml:space="preserve"> PAGEREF _Toc29417 \h </w:instrText>
      </w:r>
      <w:r>
        <w:fldChar w:fldCharType="separate"/>
      </w:r>
      <w:r>
        <w:t>1</w:t>
      </w:r>
      <w:r>
        <w:fldChar w:fldCharType="end"/>
      </w:r>
      <w:r>
        <w:rPr>
          <w:rFonts w:hint="eastAsia" w:ascii="仿宋_GB2312" w:eastAsia="仿宋_GB2312" w:cs="仿宋_GB2312"/>
          <w:color w:val="auto"/>
          <w:szCs w:val="24"/>
        </w:rPr>
        <w:fldChar w:fldCharType="end"/>
      </w:r>
    </w:p>
    <w:p w14:paraId="0A58BB70">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_Toc32043 </w:instrText>
      </w:r>
      <w:r>
        <w:rPr>
          <w:rFonts w:hint="eastAsia" w:ascii="仿宋_GB2312" w:eastAsia="仿宋_GB2312" w:cs="仿宋_GB2312"/>
          <w:szCs w:val="24"/>
        </w:rPr>
        <w:fldChar w:fldCharType="separate"/>
      </w:r>
      <w:r>
        <w:rPr>
          <w:rFonts w:hint="eastAsia" w:ascii="仿宋_GB2312" w:eastAsia="仿宋_GB2312" w:cs="仿宋_GB2312"/>
          <w:bCs w:val="0"/>
          <w:szCs w:val="28"/>
        </w:rPr>
        <w:t>1.1项目名称、编制目的及矿区位置</w:t>
      </w:r>
      <w:r>
        <w:tab/>
      </w:r>
      <w:r>
        <w:fldChar w:fldCharType="begin"/>
      </w:r>
      <w:r>
        <w:instrText xml:space="preserve"> PAGEREF _Toc32043 \h </w:instrText>
      </w:r>
      <w:r>
        <w:fldChar w:fldCharType="separate"/>
      </w:r>
      <w:r>
        <w:t>1</w:t>
      </w:r>
      <w:r>
        <w:fldChar w:fldCharType="end"/>
      </w:r>
      <w:r>
        <w:rPr>
          <w:rFonts w:hint="eastAsia" w:ascii="仿宋_GB2312" w:eastAsia="仿宋_GB2312" w:cs="仿宋_GB2312"/>
          <w:color w:val="auto"/>
          <w:szCs w:val="24"/>
        </w:rPr>
        <w:fldChar w:fldCharType="end"/>
      </w:r>
    </w:p>
    <w:p w14:paraId="752FBF26">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_Toc23777 </w:instrText>
      </w:r>
      <w:r>
        <w:rPr>
          <w:rFonts w:hint="eastAsia" w:ascii="仿宋_GB2312" w:eastAsia="仿宋_GB2312" w:cs="仿宋_GB2312"/>
          <w:szCs w:val="24"/>
        </w:rPr>
        <w:fldChar w:fldCharType="separate"/>
      </w:r>
      <w:r>
        <w:rPr>
          <w:rFonts w:hint="eastAsia" w:ascii="仿宋_GB2312" w:eastAsia="仿宋_GB2312" w:cs="仿宋_GB2312"/>
          <w:bCs w:val="0"/>
          <w:szCs w:val="28"/>
        </w:rPr>
        <w:t>1.2矿区自然地理及经济</w:t>
      </w:r>
      <w:r>
        <w:tab/>
      </w:r>
      <w:r>
        <w:fldChar w:fldCharType="begin"/>
      </w:r>
      <w:r>
        <w:instrText xml:space="preserve"> PAGEREF _Toc23777 \h </w:instrText>
      </w:r>
      <w:r>
        <w:fldChar w:fldCharType="separate"/>
      </w:r>
      <w:r>
        <w:t>2</w:t>
      </w:r>
      <w:r>
        <w:fldChar w:fldCharType="end"/>
      </w:r>
      <w:r>
        <w:rPr>
          <w:rFonts w:hint="eastAsia" w:ascii="仿宋_GB2312" w:eastAsia="仿宋_GB2312" w:cs="仿宋_GB2312"/>
          <w:color w:val="auto"/>
          <w:szCs w:val="24"/>
        </w:rPr>
        <w:fldChar w:fldCharType="end"/>
      </w:r>
    </w:p>
    <w:p w14:paraId="2F38B3DD">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_Toc4158 </w:instrText>
      </w:r>
      <w:r>
        <w:rPr>
          <w:rFonts w:hint="eastAsia" w:ascii="仿宋_GB2312" w:eastAsia="仿宋_GB2312" w:cs="仿宋_GB2312"/>
          <w:szCs w:val="24"/>
        </w:rPr>
        <w:fldChar w:fldCharType="separate"/>
      </w:r>
      <w:r>
        <w:rPr>
          <w:rFonts w:hint="eastAsia" w:ascii="仿宋_GB2312" w:eastAsia="仿宋_GB2312" w:cs="仿宋_GB2312"/>
          <w:bCs w:val="0"/>
          <w:szCs w:val="28"/>
        </w:rPr>
        <w:t>1.3矿业权设置概况</w:t>
      </w:r>
      <w:r>
        <w:tab/>
      </w:r>
      <w:r>
        <w:fldChar w:fldCharType="begin"/>
      </w:r>
      <w:r>
        <w:instrText xml:space="preserve"> PAGEREF _Toc4158 \h </w:instrText>
      </w:r>
      <w:r>
        <w:fldChar w:fldCharType="separate"/>
      </w:r>
      <w:r>
        <w:t>4</w:t>
      </w:r>
      <w:r>
        <w:fldChar w:fldCharType="end"/>
      </w:r>
      <w:r>
        <w:rPr>
          <w:rFonts w:hint="eastAsia" w:ascii="仿宋_GB2312" w:eastAsia="仿宋_GB2312" w:cs="仿宋_GB2312"/>
          <w:color w:val="auto"/>
          <w:szCs w:val="24"/>
        </w:rPr>
        <w:fldChar w:fldCharType="end"/>
      </w:r>
    </w:p>
    <w:p w14:paraId="632E1F86">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_Toc21719 </w:instrText>
      </w:r>
      <w:r>
        <w:rPr>
          <w:rFonts w:hint="eastAsia" w:ascii="仿宋_GB2312" w:eastAsia="仿宋_GB2312" w:cs="仿宋_GB2312"/>
          <w:szCs w:val="24"/>
        </w:rPr>
        <w:fldChar w:fldCharType="separate"/>
      </w:r>
      <w:r>
        <w:rPr>
          <w:rFonts w:hint="eastAsia" w:ascii="仿宋_GB2312" w:eastAsia="仿宋_GB2312" w:cs="仿宋_GB2312"/>
          <w:bCs w:val="0"/>
          <w:szCs w:val="28"/>
        </w:rPr>
        <w:t>1.</w:t>
      </w:r>
      <w:r>
        <w:rPr>
          <w:rFonts w:hint="eastAsia" w:ascii="仿宋_GB2312" w:eastAsia="仿宋_GB2312" w:cs="仿宋_GB2312"/>
          <w:bCs w:val="0"/>
          <w:szCs w:val="28"/>
          <w:lang w:val="en-US" w:eastAsia="zh-CN"/>
        </w:rPr>
        <w:t>4</w:t>
      </w:r>
      <w:r>
        <w:rPr>
          <w:rFonts w:hint="eastAsia" w:ascii="仿宋_GB2312" w:eastAsia="仿宋_GB2312" w:cs="仿宋_GB2312"/>
          <w:bCs w:val="0"/>
          <w:szCs w:val="28"/>
        </w:rPr>
        <w:t>矿山现状</w:t>
      </w:r>
      <w:r>
        <w:tab/>
      </w:r>
      <w:r>
        <w:fldChar w:fldCharType="begin"/>
      </w:r>
      <w:r>
        <w:instrText xml:space="preserve"> PAGEREF _Toc21719 \h </w:instrText>
      </w:r>
      <w:r>
        <w:fldChar w:fldCharType="separate"/>
      </w:r>
      <w:r>
        <w:t>5</w:t>
      </w:r>
      <w:r>
        <w:fldChar w:fldCharType="end"/>
      </w:r>
      <w:r>
        <w:rPr>
          <w:rFonts w:hint="eastAsia" w:ascii="仿宋_GB2312" w:eastAsia="仿宋_GB2312" w:cs="仿宋_GB2312"/>
          <w:color w:val="auto"/>
          <w:szCs w:val="24"/>
        </w:rPr>
        <w:fldChar w:fldCharType="end"/>
      </w:r>
    </w:p>
    <w:p w14:paraId="2CCB2874">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_Toc10348 </w:instrText>
      </w:r>
      <w:r>
        <w:rPr>
          <w:rFonts w:hint="eastAsia" w:ascii="仿宋_GB2312" w:eastAsia="仿宋_GB2312" w:cs="仿宋_GB2312"/>
          <w:szCs w:val="24"/>
        </w:rPr>
        <w:fldChar w:fldCharType="separate"/>
      </w:r>
      <w:r>
        <w:rPr>
          <w:rFonts w:hint="eastAsia" w:ascii="仿宋_GB2312" w:eastAsia="仿宋_GB2312" w:cs="仿宋_GB2312"/>
          <w:bCs w:val="0"/>
          <w:szCs w:val="28"/>
        </w:rPr>
        <w:t>1.</w:t>
      </w:r>
      <w:r>
        <w:rPr>
          <w:rFonts w:hint="eastAsia" w:ascii="仿宋_GB2312" w:eastAsia="仿宋_GB2312" w:cs="仿宋_GB2312"/>
          <w:bCs w:val="0"/>
          <w:szCs w:val="28"/>
          <w:lang w:val="en-US" w:eastAsia="zh-CN"/>
        </w:rPr>
        <w:t>5</w:t>
      </w:r>
      <w:r>
        <w:rPr>
          <w:rFonts w:hint="eastAsia" w:ascii="仿宋_GB2312" w:eastAsia="仿宋_GB2312" w:cs="仿宋_GB2312"/>
          <w:bCs w:val="0"/>
          <w:szCs w:val="28"/>
        </w:rPr>
        <w:t>编制依据及设计原则</w:t>
      </w:r>
      <w:r>
        <w:tab/>
      </w:r>
      <w:r>
        <w:fldChar w:fldCharType="begin"/>
      </w:r>
      <w:r>
        <w:instrText xml:space="preserve"> PAGEREF _Toc10348 \h </w:instrText>
      </w:r>
      <w:r>
        <w:fldChar w:fldCharType="separate"/>
      </w:r>
      <w:r>
        <w:t>5</w:t>
      </w:r>
      <w:r>
        <w:fldChar w:fldCharType="end"/>
      </w:r>
      <w:r>
        <w:rPr>
          <w:rFonts w:hint="eastAsia" w:ascii="仿宋_GB2312" w:eastAsia="仿宋_GB2312" w:cs="仿宋_GB2312"/>
          <w:color w:val="auto"/>
          <w:szCs w:val="24"/>
        </w:rPr>
        <w:fldChar w:fldCharType="end"/>
      </w:r>
    </w:p>
    <w:p w14:paraId="4ADAA987">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_Toc20803 </w:instrText>
      </w:r>
      <w:r>
        <w:rPr>
          <w:rFonts w:hint="eastAsia" w:ascii="仿宋_GB2312" w:eastAsia="仿宋_GB2312" w:cs="仿宋_GB2312"/>
          <w:szCs w:val="24"/>
        </w:rPr>
        <w:fldChar w:fldCharType="separate"/>
      </w:r>
      <w:r>
        <w:rPr>
          <w:rFonts w:ascii="仿宋_GB2312" w:eastAsia="仿宋_GB2312" w:cs="仿宋_GB2312"/>
          <w:szCs w:val="36"/>
        </w:rPr>
        <w:t xml:space="preserve">2 </w:t>
      </w:r>
      <w:r>
        <w:rPr>
          <w:rFonts w:hint="eastAsia" w:ascii="仿宋_GB2312" w:eastAsia="仿宋_GB2312" w:cs="仿宋_GB2312"/>
          <w:szCs w:val="36"/>
        </w:rPr>
        <w:t>矿产品需求现状与预测</w:t>
      </w:r>
      <w:r>
        <w:tab/>
      </w:r>
      <w:r>
        <w:fldChar w:fldCharType="begin"/>
      </w:r>
      <w:r>
        <w:instrText xml:space="preserve"> PAGEREF _Toc20803 \h </w:instrText>
      </w:r>
      <w:r>
        <w:fldChar w:fldCharType="separate"/>
      </w:r>
      <w:r>
        <w:t>9</w:t>
      </w:r>
      <w:r>
        <w:fldChar w:fldCharType="end"/>
      </w:r>
      <w:r>
        <w:rPr>
          <w:rFonts w:hint="eastAsia" w:ascii="仿宋_GB2312" w:eastAsia="仿宋_GB2312" w:cs="仿宋_GB2312"/>
          <w:color w:val="auto"/>
          <w:szCs w:val="24"/>
        </w:rPr>
        <w:fldChar w:fldCharType="end"/>
      </w:r>
    </w:p>
    <w:p w14:paraId="1058AB58">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_Toc5355 </w:instrText>
      </w:r>
      <w:r>
        <w:rPr>
          <w:rFonts w:hint="eastAsia" w:ascii="仿宋_GB2312" w:eastAsia="仿宋_GB2312" w:cs="仿宋_GB2312"/>
          <w:szCs w:val="24"/>
        </w:rPr>
        <w:fldChar w:fldCharType="separate"/>
      </w:r>
      <w:r>
        <w:rPr>
          <w:rFonts w:hint="eastAsia" w:ascii="仿宋_GB2312" w:eastAsia="仿宋_GB2312" w:cs="仿宋_GB2312"/>
          <w:bCs w:val="0"/>
          <w:szCs w:val="28"/>
        </w:rPr>
        <w:t>2.1页岩矿用途</w:t>
      </w:r>
      <w:r>
        <w:tab/>
      </w:r>
      <w:r>
        <w:fldChar w:fldCharType="begin"/>
      </w:r>
      <w:r>
        <w:instrText xml:space="preserve"> PAGEREF _Toc5355 \h </w:instrText>
      </w:r>
      <w:r>
        <w:fldChar w:fldCharType="separate"/>
      </w:r>
      <w:r>
        <w:t>9</w:t>
      </w:r>
      <w:r>
        <w:fldChar w:fldCharType="end"/>
      </w:r>
      <w:r>
        <w:rPr>
          <w:rFonts w:hint="eastAsia" w:ascii="仿宋_GB2312" w:eastAsia="仿宋_GB2312" w:cs="仿宋_GB2312"/>
          <w:color w:val="auto"/>
          <w:szCs w:val="24"/>
        </w:rPr>
        <w:fldChar w:fldCharType="end"/>
      </w:r>
    </w:p>
    <w:p w14:paraId="176727BF">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_Toc21652 </w:instrText>
      </w:r>
      <w:r>
        <w:rPr>
          <w:rFonts w:hint="eastAsia" w:ascii="仿宋_GB2312" w:eastAsia="仿宋_GB2312" w:cs="仿宋_GB2312"/>
          <w:szCs w:val="24"/>
        </w:rPr>
        <w:fldChar w:fldCharType="separate"/>
      </w:r>
      <w:r>
        <w:rPr>
          <w:rFonts w:hint="eastAsia" w:ascii="仿宋_GB2312" w:eastAsia="仿宋_GB2312" w:cs="仿宋_GB2312"/>
          <w:bCs w:val="0"/>
          <w:szCs w:val="28"/>
        </w:rPr>
        <w:t>2.</w:t>
      </w:r>
      <w:r>
        <w:rPr>
          <w:rFonts w:hint="eastAsia" w:ascii="仿宋_GB2312" w:eastAsia="仿宋_GB2312" w:cs="仿宋_GB2312"/>
          <w:bCs w:val="0"/>
          <w:szCs w:val="28"/>
          <w:lang w:val="en-US" w:eastAsia="zh-CN"/>
        </w:rPr>
        <w:t>2</w:t>
      </w:r>
      <w:r>
        <w:rPr>
          <w:rFonts w:hint="eastAsia" w:ascii="仿宋_GB2312" w:eastAsia="仿宋_GB2312" w:cs="仿宋_GB2312"/>
          <w:bCs w:val="0"/>
          <w:szCs w:val="28"/>
        </w:rPr>
        <w:t>产品需求情况</w:t>
      </w:r>
      <w:r>
        <w:tab/>
      </w:r>
      <w:r>
        <w:fldChar w:fldCharType="begin"/>
      </w:r>
      <w:r>
        <w:instrText xml:space="preserve"> PAGEREF _Toc21652 \h </w:instrText>
      </w:r>
      <w:r>
        <w:fldChar w:fldCharType="separate"/>
      </w:r>
      <w:r>
        <w:t>9</w:t>
      </w:r>
      <w:r>
        <w:fldChar w:fldCharType="end"/>
      </w:r>
      <w:r>
        <w:rPr>
          <w:rFonts w:hint="eastAsia" w:ascii="仿宋_GB2312" w:eastAsia="仿宋_GB2312" w:cs="仿宋_GB2312"/>
          <w:color w:val="auto"/>
          <w:szCs w:val="24"/>
        </w:rPr>
        <w:fldChar w:fldCharType="end"/>
      </w:r>
    </w:p>
    <w:p w14:paraId="7A997B13">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_Toc26149 </w:instrText>
      </w:r>
      <w:r>
        <w:rPr>
          <w:rFonts w:hint="eastAsia" w:ascii="仿宋_GB2312" w:eastAsia="仿宋_GB2312" w:cs="仿宋_GB2312"/>
          <w:szCs w:val="24"/>
        </w:rPr>
        <w:fldChar w:fldCharType="separate"/>
      </w:r>
      <w:r>
        <w:rPr>
          <w:rFonts w:hint="eastAsia" w:ascii="仿宋_GB2312" w:eastAsia="仿宋_GB2312" w:cs="仿宋_GB2312"/>
          <w:bCs w:val="0"/>
          <w:szCs w:val="28"/>
        </w:rPr>
        <w:t>2.</w:t>
      </w:r>
      <w:r>
        <w:rPr>
          <w:rFonts w:hint="eastAsia" w:ascii="仿宋_GB2312" w:eastAsia="仿宋_GB2312" w:cs="仿宋_GB2312"/>
          <w:bCs w:val="0"/>
          <w:szCs w:val="28"/>
          <w:lang w:val="en-US" w:eastAsia="zh-CN"/>
        </w:rPr>
        <w:t>3</w:t>
      </w:r>
      <w:r>
        <w:rPr>
          <w:rFonts w:hint="eastAsia" w:ascii="仿宋_GB2312" w:eastAsia="仿宋_GB2312" w:cs="仿宋_GB2312"/>
          <w:bCs w:val="0"/>
          <w:szCs w:val="28"/>
        </w:rPr>
        <w:t>产品价格分析</w:t>
      </w:r>
      <w:r>
        <w:tab/>
      </w:r>
      <w:r>
        <w:fldChar w:fldCharType="begin"/>
      </w:r>
      <w:r>
        <w:instrText xml:space="preserve"> PAGEREF _Toc26149 \h </w:instrText>
      </w:r>
      <w:r>
        <w:fldChar w:fldCharType="separate"/>
      </w:r>
      <w:r>
        <w:t>9</w:t>
      </w:r>
      <w:r>
        <w:fldChar w:fldCharType="end"/>
      </w:r>
      <w:r>
        <w:rPr>
          <w:rFonts w:hint="eastAsia" w:ascii="仿宋_GB2312" w:eastAsia="仿宋_GB2312" w:cs="仿宋_GB2312"/>
          <w:color w:val="auto"/>
          <w:szCs w:val="24"/>
        </w:rPr>
        <w:fldChar w:fldCharType="end"/>
      </w:r>
    </w:p>
    <w:p w14:paraId="24B14B97">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_Toc11903 </w:instrText>
      </w:r>
      <w:r>
        <w:rPr>
          <w:rFonts w:hint="eastAsia" w:ascii="仿宋_GB2312" w:eastAsia="仿宋_GB2312" w:cs="仿宋_GB2312"/>
          <w:szCs w:val="24"/>
        </w:rPr>
        <w:fldChar w:fldCharType="separate"/>
      </w:r>
      <w:r>
        <w:rPr>
          <w:rFonts w:hint="eastAsia" w:ascii="仿宋_GB2312" w:eastAsia="仿宋_GB2312" w:cs="仿宋_GB2312"/>
          <w:bCs w:val="0"/>
          <w:szCs w:val="28"/>
        </w:rPr>
        <w:t>2.</w:t>
      </w:r>
      <w:r>
        <w:rPr>
          <w:rFonts w:hint="eastAsia" w:ascii="仿宋_GB2312" w:eastAsia="仿宋_GB2312" w:cs="仿宋_GB2312"/>
          <w:bCs w:val="0"/>
          <w:szCs w:val="28"/>
          <w:lang w:val="en-US" w:eastAsia="zh-CN"/>
        </w:rPr>
        <w:t>4</w:t>
      </w:r>
      <w:r>
        <w:rPr>
          <w:rFonts w:hint="eastAsia" w:ascii="仿宋_GB2312" w:eastAsia="仿宋_GB2312" w:cs="仿宋_GB2312"/>
          <w:bCs w:val="0"/>
          <w:szCs w:val="28"/>
        </w:rPr>
        <w:t xml:space="preserve"> 产品市场近期和远期需求及销售预测</w:t>
      </w:r>
      <w:r>
        <w:tab/>
      </w:r>
      <w:r>
        <w:fldChar w:fldCharType="begin"/>
      </w:r>
      <w:r>
        <w:instrText xml:space="preserve"> PAGEREF _Toc11903 \h </w:instrText>
      </w:r>
      <w:r>
        <w:fldChar w:fldCharType="separate"/>
      </w:r>
      <w:r>
        <w:t>9</w:t>
      </w:r>
      <w:r>
        <w:fldChar w:fldCharType="end"/>
      </w:r>
      <w:r>
        <w:rPr>
          <w:rFonts w:hint="eastAsia" w:ascii="仿宋_GB2312" w:eastAsia="仿宋_GB2312" w:cs="仿宋_GB2312"/>
          <w:color w:val="auto"/>
          <w:szCs w:val="24"/>
        </w:rPr>
        <w:fldChar w:fldCharType="end"/>
      </w:r>
    </w:p>
    <w:p w14:paraId="1ED3C366">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_Toc21054 </w:instrText>
      </w:r>
      <w:r>
        <w:rPr>
          <w:rFonts w:hint="eastAsia" w:ascii="仿宋_GB2312" w:eastAsia="仿宋_GB2312" w:cs="仿宋_GB2312"/>
          <w:szCs w:val="24"/>
        </w:rPr>
        <w:fldChar w:fldCharType="separate"/>
      </w:r>
      <w:r>
        <w:rPr>
          <w:rFonts w:ascii="仿宋_GB2312" w:eastAsia="仿宋_GB2312" w:cs="仿宋_GB2312"/>
          <w:szCs w:val="36"/>
        </w:rPr>
        <w:t xml:space="preserve">3 </w:t>
      </w:r>
      <w:r>
        <w:rPr>
          <w:rFonts w:hint="eastAsia" w:ascii="仿宋_GB2312" w:eastAsia="仿宋_GB2312" w:cs="仿宋_GB2312"/>
          <w:szCs w:val="36"/>
        </w:rPr>
        <w:t>矿产资源概况</w:t>
      </w:r>
      <w:r>
        <w:tab/>
      </w:r>
      <w:r>
        <w:fldChar w:fldCharType="begin"/>
      </w:r>
      <w:r>
        <w:instrText xml:space="preserve"> PAGEREF _Toc21054 \h </w:instrText>
      </w:r>
      <w:r>
        <w:fldChar w:fldCharType="separate"/>
      </w:r>
      <w:r>
        <w:t>10</w:t>
      </w:r>
      <w:r>
        <w:fldChar w:fldCharType="end"/>
      </w:r>
      <w:r>
        <w:rPr>
          <w:rFonts w:hint="eastAsia" w:ascii="仿宋_GB2312" w:eastAsia="仿宋_GB2312" w:cs="仿宋_GB2312"/>
          <w:color w:val="auto"/>
          <w:szCs w:val="24"/>
        </w:rPr>
        <w:fldChar w:fldCharType="end"/>
      </w:r>
    </w:p>
    <w:p w14:paraId="54BAA39A">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_Toc21710 </w:instrText>
      </w:r>
      <w:r>
        <w:rPr>
          <w:rFonts w:hint="eastAsia" w:ascii="仿宋_GB2312" w:eastAsia="仿宋_GB2312" w:cs="仿宋_GB2312"/>
          <w:szCs w:val="24"/>
        </w:rPr>
        <w:fldChar w:fldCharType="separate"/>
      </w:r>
      <w:r>
        <w:rPr>
          <w:rFonts w:hint="eastAsia" w:ascii="仿宋_GB2312" w:eastAsia="仿宋_GB2312" w:cs="仿宋_GB2312"/>
          <w:bCs w:val="0"/>
          <w:szCs w:val="28"/>
        </w:rPr>
        <w:t>3.1矿区总体概况</w:t>
      </w:r>
      <w:r>
        <w:tab/>
      </w:r>
      <w:r>
        <w:fldChar w:fldCharType="begin"/>
      </w:r>
      <w:r>
        <w:instrText xml:space="preserve"> PAGEREF _Toc21710 \h </w:instrText>
      </w:r>
      <w:r>
        <w:fldChar w:fldCharType="separate"/>
      </w:r>
      <w:r>
        <w:t>10</w:t>
      </w:r>
      <w:r>
        <w:fldChar w:fldCharType="end"/>
      </w:r>
      <w:r>
        <w:rPr>
          <w:rFonts w:hint="eastAsia" w:ascii="仿宋_GB2312" w:eastAsia="仿宋_GB2312" w:cs="仿宋_GB2312"/>
          <w:color w:val="auto"/>
          <w:szCs w:val="24"/>
        </w:rPr>
        <w:fldChar w:fldCharType="end"/>
      </w:r>
    </w:p>
    <w:p w14:paraId="7D03CB69">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_Toc5925 </w:instrText>
      </w:r>
      <w:r>
        <w:rPr>
          <w:rFonts w:hint="eastAsia" w:ascii="仿宋_GB2312" w:eastAsia="仿宋_GB2312" w:cs="仿宋_GB2312"/>
          <w:szCs w:val="24"/>
        </w:rPr>
        <w:fldChar w:fldCharType="separate"/>
      </w:r>
      <w:r>
        <w:rPr>
          <w:rFonts w:hint="eastAsia" w:ascii="仿宋_GB2312" w:eastAsia="仿宋_GB2312" w:cs="仿宋_GB2312"/>
          <w:bCs w:val="0"/>
          <w:szCs w:val="28"/>
        </w:rPr>
        <w:t>3.2资源概况</w:t>
      </w:r>
      <w:r>
        <w:tab/>
      </w:r>
      <w:r>
        <w:fldChar w:fldCharType="begin"/>
      </w:r>
      <w:r>
        <w:instrText xml:space="preserve"> PAGEREF _Toc5925 \h </w:instrText>
      </w:r>
      <w:r>
        <w:fldChar w:fldCharType="separate"/>
      </w:r>
      <w:r>
        <w:t>10</w:t>
      </w:r>
      <w:r>
        <w:fldChar w:fldCharType="end"/>
      </w:r>
      <w:r>
        <w:rPr>
          <w:rFonts w:hint="eastAsia" w:ascii="仿宋_GB2312" w:eastAsia="仿宋_GB2312" w:cs="仿宋_GB2312"/>
          <w:color w:val="auto"/>
          <w:szCs w:val="24"/>
        </w:rPr>
        <w:fldChar w:fldCharType="end"/>
      </w:r>
    </w:p>
    <w:p w14:paraId="5DB9AE0B">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_Toc30655 </w:instrText>
      </w:r>
      <w:r>
        <w:rPr>
          <w:rFonts w:hint="eastAsia" w:ascii="仿宋_GB2312" w:eastAsia="仿宋_GB2312" w:cs="仿宋_GB2312"/>
          <w:szCs w:val="24"/>
        </w:rPr>
        <w:fldChar w:fldCharType="separate"/>
      </w:r>
      <w:r>
        <w:rPr>
          <w:rFonts w:hint="eastAsia" w:ascii="仿宋_GB2312" w:eastAsia="仿宋_GB2312" w:cs="仿宋_GB2312"/>
          <w:szCs w:val="28"/>
        </w:rPr>
        <w:t>3.3矿床开采技术条件</w:t>
      </w:r>
      <w:r>
        <w:tab/>
      </w:r>
      <w:r>
        <w:fldChar w:fldCharType="begin"/>
      </w:r>
      <w:r>
        <w:instrText xml:space="preserve"> PAGEREF _Toc30655 \h </w:instrText>
      </w:r>
      <w:r>
        <w:fldChar w:fldCharType="separate"/>
      </w:r>
      <w:r>
        <w:t>13</w:t>
      </w:r>
      <w:r>
        <w:fldChar w:fldCharType="end"/>
      </w:r>
      <w:r>
        <w:rPr>
          <w:rFonts w:hint="eastAsia" w:ascii="仿宋_GB2312" w:eastAsia="仿宋_GB2312" w:cs="仿宋_GB2312"/>
          <w:color w:val="auto"/>
          <w:szCs w:val="24"/>
        </w:rPr>
        <w:fldChar w:fldCharType="end"/>
      </w:r>
    </w:p>
    <w:p w14:paraId="68F55F3E">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_Toc3588 </w:instrText>
      </w:r>
      <w:r>
        <w:rPr>
          <w:rFonts w:hint="eastAsia" w:ascii="仿宋_GB2312" w:eastAsia="仿宋_GB2312" w:cs="仿宋_GB2312"/>
          <w:szCs w:val="24"/>
        </w:rPr>
        <w:fldChar w:fldCharType="separate"/>
      </w:r>
      <w:r>
        <w:rPr>
          <w:rFonts w:hint="eastAsia" w:ascii="仿宋_GB2312" w:eastAsia="仿宋_GB2312" w:cs="仿宋_GB2312"/>
          <w:bCs w:val="0"/>
          <w:szCs w:val="28"/>
        </w:rPr>
        <w:t>3.4矿区资源量</w:t>
      </w:r>
      <w:r>
        <w:tab/>
      </w:r>
      <w:r>
        <w:fldChar w:fldCharType="begin"/>
      </w:r>
      <w:r>
        <w:instrText xml:space="preserve"> PAGEREF _Toc3588 \h </w:instrText>
      </w:r>
      <w:r>
        <w:fldChar w:fldCharType="separate"/>
      </w:r>
      <w:r>
        <w:t>21</w:t>
      </w:r>
      <w:r>
        <w:fldChar w:fldCharType="end"/>
      </w:r>
      <w:r>
        <w:rPr>
          <w:rFonts w:hint="eastAsia" w:ascii="仿宋_GB2312" w:eastAsia="仿宋_GB2312" w:cs="仿宋_GB2312"/>
          <w:color w:val="auto"/>
          <w:szCs w:val="24"/>
        </w:rPr>
        <w:fldChar w:fldCharType="end"/>
      </w:r>
    </w:p>
    <w:p w14:paraId="2BDC8275">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_Toc22059 </w:instrText>
      </w:r>
      <w:r>
        <w:rPr>
          <w:rFonts w:hint="eastAsia" w:ascii="仿宋_GB2312" w:eastAsia="仿宋_GB2312" w:cs="仿宋_GB2312"/>
          <w:szCs w:val="24"/>
        </w:rPr>
        <w:fldChar w:fldCharType="separate"/>
      </w:r>
      <w:r>
        <w:rPr>
          <w:rFonts w:hint="eastAsia" w:ascii="仿宋_GB2312" w:eastAsia="仿宋_GB2312" w:cs="仿宋_GB2312"/>
          <w:bCs w:val="0"/>
          <w:szCs w:val="28"/>
        </w:rPr>
        <w:t>3.5矿区地质工作综合评述</w:t>
      </w:r>
      <w:r>
        <w:tab/>
      </w:r>
      <w:r>
        <w:fldChar w:fldCharType="begin"/>
      </w:r>
      <w:r>
        <w:instrText xml:space="preserve"> PAGEREF _Toc22059 \h </w:instrText>
      </w:r>
      <w:r>
        <w:fldChar w:fldCharType="separate"/>
      </w:r>
      <w:r>
        <w:t>22</w:t>
      </w:r>
      <w:r>
        <w:fldChar w:fldCharType="end"/>
      </w:r>
      <w:r>
        <w:rPr>
          <w:rFonts w:hint="eastAsia" w:ascii="仿宋_GB2312" w:eastAsia="仿宋_GB2312" w:cs="仿宋_GB2312"/>
          <w:color w:val="auto"/>
          <w:szCs w:val="24"/>
        </w:rPr>
        <w:fldChar w:fldCharType="end"/>
      </w:r>
    </w:p>
    <w:p w14:paraId="268148F1">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_Toc833 </w:instrText>
      </w:r>
      <w:r>
        <w:rPr>
          <w:rFonts w:hint="eastAsia" w:ascii="仿宋_GB2312" w:eastAsia="仿宋_GB2312" w:cs="仿宋_GB2312"/>
          <w:szCs w:val="24"/>
        </w:rPr>
        <w:fldChar w:fldCharType="separate"/>
      </w:r>
      <w:r>
        <w:rPr>
          <w:rFonts w:ascii="仿宋_GB2312" w:eastAsia="仿宋_GB2312" w:cs="仿宋_GB2312"/>
          <w:szCs w:val="36"/>
        </w:rPr>
        <w:t xml:space="preserve">4 </w:t>
      </w:r>
      <w:r>
        <w:rPr>
          <w:rFonts w:hint="eastAsia" w:ascii="仿宋_GB2312" w:eastAsia="仿宋_GB2312" w:cs="仿宋_GB2312"/>
          <w:szCs w:val="36"/>
        </w:rPr>
        <w:t>主要建设方案</w:t>
      </w:r>
      <w:r>
        <w:tab/>
      </w:r>
      <w:r>
        <w:fldChar w:fldCharType="begin"/>
      </w:r>
      <w:r>
        <w:instrText xml:space="preserve"> PAGEREF _Toc833 \h </w:instrText>
      </w:r>
      <w:r>
        <w:fldChar w:fldCharType="separate"/>
      </w:r>
      <w:r>
        <w:t>23</w:t>
      </w:r>
      <w:r>
        <w:fldChar w:fldCharType="end"/>
      </w:r>
      <w:r>
        <w:rPr>
          <w:rFonts w:hint="eastAsia" w:ascii="仿宋_GB2312" w:eastAsia="仿宋_GB2312" w:cs="仿宋_GB2312"/>
          <w:color w:val="auto"/>
          <w:szCs w:val="24"/>
        </w:rPr>
        <w:fldChar w:fldCharType="end"/>
      </w:r>
    </w:p>
    <w:p w14:paraId="4F4792AA">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_Toc14349 </w:instrText>
      </w:r>
      <w:r>
        <w:rPr>
          <w:rFonts w:hint="eastAsia" w:ascii="仿宋_GB2312" w:eastAsia="仿宋_GB2312" w:cs="仿宋_GB2312"/>
          <w:szCs w:val="24"/>
        </w:rPr>
        <w:fldChar w:fldCharType="separate"/>
      </w:r>
      <w:r>
        <w:rPr>
          <w:rFonts w:hint="eastAsia" w:ascii="仿宋_GB2312" w:eastAsia="仿宋_GB2312" w:cs="仿宋_GB2312"/>
          <w:bCs w:val="0"/>
          <w:szCs w:val="28"/>
        </w:rPr>
        <w:t>4.1开采范围的确定</w:t>
      </w:r>
      <w:r>
        <w:tab/>
      </w:r>
      <w:r>
        <w:fldChar w:fldCharType="begin"/>
      </w:r>
      <w:r>
        <w:instrText xml:space="preserve"> PAGEREF _Toc14349 \h </w:instrText>
      </w:r>
      <w:r>
        <w:fldChar w:fldCharType="separate"/>
      </w:r>
      <w:r>
        <w:t>23</w:t>
      </w:r>
      <w:r>
        <w:fldChar w:fldCharType="end"/>
      </w:r>
      <w:r>
        <w:rPr>
          <w:rFonts w:hint="eastAsia" w:ascii="仿宋_GB2312" w:eastAsia="仿宋_GB2312" w:cs="仿宋_GB2312"/>
          <w:color w:val="auto"/>
          <w:szCs w:val="24"/>
        </w:rPr>
        <w:fldChar w:fldCharType="end"/>
      </w:r>
    </w:p>
    <w:p w14:paraId="6751FCBE">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_Toc16239 </w:instrText>
      </w:r>
      <w:r>
        <w:rPr>
          <w:rFonts w:hint="eastAsia" w:ascii="仿宋_GB2312" w:eastAsia="仿宋_GB2312" w:cs="仿宋_GB2312"/>
          <w:szCs w:val="24"/>
        </w:rPr>
        <w:fldChar w:fldCharType="separate"/>
      </w:r>
      <w:r>
        <w:rPr>
          <w:rFonts w:hint="eastAsia" w:ascii="仿宋_GB2312" w:eastAsia="仿宋_GB2312" w:cs="仿宋_GB2312"/>
          <w:bCs w:val="0"/>
          <w:szCs w:val="28"/>
        </w:rPr>
        <w:t>4.2可利用资源量和采出资源量的确定</w:t>
      </w:r>
      <w:r>
        <w:tab/>
      </w:r>
      <w:r>
        <w:fldChar w:fldCharType="begin"/>
      </w:r>
      <w:r>
        <w:instrText xml:space="preserve"> PAGEREF _Toc16239 \h </w:instrText>
      </w:r>
      <w:r>
        <w:fldChar w:fldCharType="separate"/>
      </w:r>
      <w:r>
        <w:t>23</w:t>
      </w:r>
      <w:r>
        <w:fldChar w:fldCharType="end"/>
      </w:r>
      <w:r>
        <w:rPr>
          <w:rFonts w:hint="eastAsia" w:ascii="仿宋_GB2312" w:eastAsia="仿宋_GB2312" w:cs="仿宋_GB2312"/>
          <w:color w:val="auto"/>
          <w:szCs w:val="24"/>
        </w:rPr>
        <w:fldChar w:fldCharType="end"/>
      </w:r>
    </w:p>
    <w:p w14:paraId="08AF27EA">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_Toc27173 </w:instrText>
      </w:r>
      <w:r>
        <w:rPr>
          <w:rFonts w:hint="eastAsia" w:ascii="仿宋_GB2312" w:eastAsia="仿宋_GB2312" w:cs="仿宋_GB2312"/>
          <w:szCs w:val="24"/>
        </w:rPr>
        <w:fldChar w:fldCharType="separate"/>
      </w:r>
      <w:r>
        <w:rPr>
          <w:rFonts w:hint="eastAsia" w:ascii="仿宋_GB2312" w:eastAsia="仿宋_GB2312" w:cs="仿宋_GB2312"/>
          <w:bCs w:val="0"/>
          <w:szCs w:val="28"/>
        </w:rPr>
        <w:t>4.3矿床开采方式</w:t>
      </w:r>
      <w:r>
        <w:tab/>
      </w:r>
      <w:r>
        <w:fldChar w:fldCharType="begin"/>
      </w:r>
      <w:r>
        <w:instrText xml:space="preserve"> PAGEREF _Toc27173 \h </w:instrText>
      </w:r>
      <w:r>
        <w:fldChar w:fldCharType="separate"/>
      </w:r>
      <w:r>
        <w:t>24</w:t>
      </w:r>
      <w:r>
        <w:fldChar w:fldCharType="end"/>
      </w:r>
      <w:r>
        <w:rPr>
          <w:rFonts w:hint="eastAsia" w:ascii="仿宋_GB2312" w:eastAsia="仿宋_GB2312" w:cs="仿宋_GB2312"/>
          <w:color w:val="auto"/>
          <w:szCs w:val="24"/>
        </w:rPr>
        <w:fldChar w:fldCharType="end"/>
      </w:r>
    </w:p>
    <w:p w14:paraId="684DD39A">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_Toc20705 </w:instrText>
      </w:r>
      <w:r>
        <w:rPr>
          <w:rFonts w:hint="eastAsia" w:ascii="仿宋_GB2312" w:eastAsia="仿宋_GB2312" w:cs="仿宋_GB2312"/>
          <w:szCs w:val="24"/>
        </w:rPr>
        <w:fldChar w:fldCharType="separate"/>
      </w:r>
      <w:r>
        <w:rPr>
          <w:rFonts w:hint="eastAsia" w:ascii="仿宋_GB2312" w:eastAsia="仿宋_GB2312" w:cs="仿宋_GB2312"/>
          <w:bCs w:val="0"/>
          <w:szCs w:val="28"/>
        </w:rPr>
        <w:t>4.4建设规模及产品方案</w:t>
      </w:r>
      <w:r>
        <w:tab/>
      </w:r>
      <w:r>
        <w:fldChar w:fldCharType="begin"/>
      </w:r>
      <w:r>
        <w:instrText xml:space="preserve"> PAGEREF _Toc20705 \h </w:instrText>
      </w:r>
      <w:r>
        <w:fldChar w:fldCharType="separate"/>
      </w:r>
      <w:r>
        <w:t>25</w:t>
      </w:r>
      <w:r>
        <w:fldChar w:fldCharType="end"/>
      </w:r>
      <w:r>
        <w:rPr>
          <w:rFonts w:hint="eastAsia" w:ascii="仿宋_GB2312" w:eastAsia="仿宋_GB2312" w:cs="仿宋_GB2312"/>
          <w:color w:val="auto"/>
          <w:szCs w:val="24"/>
        </w:rPr>
        <w:fldChar w:fldCharType="end"/>
      </w:r>
    </w:p>
    <w:p w14:paraId="23F88BCF">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_Toc11206 </w:instrText>
      </w:r>
      <w:r>
        <w:rPr>
          <w:rFonts w:hint="eastAsia" w:ascii="仿宋_GB2312" w:eastAsia="仿宋_GB2312" w:cs="仿宋_GB2312"/>
          <w:szCs w:val="24"/>
        </w:rPr>
        <w:fldChar w:fldCharType="separate"/>
      </w:r>
      <w:r>
        <w:rPr>
          <w:rFonts w:hint="eastAsia" w:ascii="仿宋_GB2312" w:eastAsia="仿宋_GB2312" w:cs="仿宋_GB2312"/>
          <w:bCs w:val="0"/>
          <w:szCs w:val="28"/>
        </w:rPr>
        <w:t>4.5防治水方案</w:t>
      </w:r>
      <w:r>
        <w:tab/>
      </w:r>
      <w:r>
        <w:fldChar w:fldCharType="begin"/>
      </w:r>
      <w:r>
        <w:instrText xml:space="preserve"> PAGEREF _Toc11206 \h </w:instrText>
      </w:r>
      <w:r>
        <w:fldChar w:fldCharType="separate"/>
      </w:r>
      <w:r>
        <w:t>25</w:t>
      </w:r>
      <w:r>
        <w:fldChar w:fldCharType="end"/>
      </w:r>
      <w:r>
        <w:rPr>
          <w:rFonts w:hint="eastAsia" w:ascii="仿宋_GB2312" w:eastAsia="仿宋_GB2312" w:cs="仿宋_GB2312"/>
          <w:color w:val="auto"/>
          <w:szCs w:val="24"/>
        </w:rPr>
        <w:fldChar w:fldCharType="end"/>
      </w:r>
    </w:p>
    <w:p w14:paraId="4A6AE324">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_Toc25276 </w:instrText>
      </w:r>
      <w:r>
        <w:rPr>
          <w:rFonts w:hint="eastAsia" w:ascii="仿宋_GB2312" w:eastAsia="仿宋_GB2312" w:cs="仿宋_GB2312"/>
          <w:szCs w:val="24"/>
        </w:rPr>
        <w:fldChar w:fldCharType="separate"/>
      </w:r>
      <w:r>
        <w:rPr>
          <w:rFonts w:ascii="仿宋_GB2312" w:eastAsia="仿宋_GB2312" w:cs="仿宋_GB2312"/>
          <w:szCs w:val="36"/>
        </w:rPr>
        <w:t xml:space="preserve">5 </w:t>
      </w:r>
      <w:r>
        <w:rPr>
          <w:rFonts w:hint="eastAsia" w:ascii="仿宋_GB2312" w:eastAsia="仿宋_GB2312" w:cs="仿宋_GB2312"/>
          <w:szCs w:val="36"/>
        </w:rPr>
        <w:t>露天开采</w:t>
      </w:r>
      <w:r>
        <w:tab/>
      </w:r>
      <w:r>
        <w:fldChar w:fldCharType="begin"/>
      </w:r>
      <w:r>
        <w:instrText xml:space="preserve"> PAGEREF _Toc25276 \h </w:instrText>
      </w:r>
      <w:r>
        <w:fldChar w:fldCharType="separate"/>
      </w:r>
      <w:r>
        <w:t>27</w:t>
      </w:r>
      <w:r>
        <w:fldChar w:fldCharType="end"/>
      </w:r>
      <w:r>
        <w:rPr>
          <w:rFonts w:hint="eastAsia" w:ascii="仿宋_GB2312" w:eastAsia="仿宋_GB2312" w:cs="仿宋_GB2312"/>
          <w:color w:val="auto"/>
          <w:szCs w:val="24"/>
        </w:rPr>
        <w:fldChar w:fldCharType="end"/>
      </w:r>
    </w:p>
    <w:p w14:paraId="58B30985">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_Toc18456 </w:instrText>
      </w:r>
      <w:r>
        <w:rPr>
          <w:rFonts w:hint="eastAsia" w:ascii="仿宋_GB2312" w:eastAsia="仿宋_GB2312" w:cs="仿宋_GB2312"/>
          <w:szCs w:val="24"/>
        </w:rPr>
        <w:fldChar w:fldCharType="separate"/>
      </w:r>
      <w:r>
        <w:rPr>
          <w:rFonts w:hint="eastAsia" w:ascii="仿宋_GB2312" w:eastAsia="仿宋_GB2312" w:cs="仿宋_GB2312"/>
          <w:bCs w:val="0"/>
          <w:szCs w:val="28"/>
        </w:rPr>
        <w:t>5.1露天开采境界圈定</w:t>
      </w:r>
      <w:r>
        <w:tab/>
      </w:r>
      <w:r>
        <w:fldChar w:fldCharType="begin"/>
      </w:r>
      <w:r>
        <w:instrText xml:space="preserve"> PAGEREF _Toc18456 \h </w:instrText>
      </w:r>
      <w:r>
        <w:fldChar w:fldCharType="separate"/>
      </w:r>
      <w:r>
        <w:t>27</w:t>
      </w:r>
      <w:r>
        <w:fldChar w:fldCharType="end"/>
      </w:r>
      <w:r>
        <w:rPr>
          <w:rFonts w:hint="eastAsia" w:ascii="仿宋_GB2312" w:eastAsia="仿宋_GB2312" w:cs="仿宋_GB2312"/>
          <w:color w:val="auto"/>
          <w:szCs w:val="24"/>
        </w:rPr>
        <w:fldChar w:fldCharType="end"/>
      </w:r>
    </w:p>
    <w:p w14:paraId="7642AE14">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_Toc5566 </w:instrText>
      </w:r>
      <w:r>
        <w:rPr>
          <w:rFonts w:hint="eastAsia" w:ascii="仿宋_GB2312" w:eastAsia="仿宋_GB2312" w:cs="仿宋_GB2312"/>
          <w:szCs w:val="24"/>
        </w:rPr>
        <w:fldChar w:fldCharType="separate"/>
      </w:r>
      <w:r>
        <w:rPr>
          <w:rFonts w:hint="eastAsia" w:ascii="仿宋_GB2312" w:eastAsia="仿宋_GB2312" w:cs="仿宋_GB2312"/>
          <w:szCs w:val="28"/>
        </w:rPr>
        <w:t>5.2资源综合利用</w:t>
      </w:r>
      <w:r>
        <w:tab/>
      </w:r>
      <w:r>
        <w:fldChar w:fldCharType="begin"/>
      </w:r>
      <w:r>
        <w:instrText xml:space="preserve"> PAGEREF _Toc5566 \h </w:instrText>
      </w:r>
      <w:r>
        <w:fldChar w:fldCharType="separate"/>
      </w:r>
      <w:r>
        <w:t>29</w:t>
      </w:r>
      <w:r>
        <w:fldChar w:fldCharType="end"/>
      </w:r>
      <w:r>
        <w:rPr>
          <w:rFonts w:hint="eastAsia" w:ascii="仿宋_GB2312" w:eastAsia="仿宋_GB2312" w:cs="仿宋_GB2312"/>
          <w:color w:val="auto"/>
          <w:szCs w:val="24"/>
        </w:rPr>
        <w:fldChar w:fldCharType="end"/>
      </w:r>
    </w:p>
    <w:p w14:paraId="578DB1DD">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_Toc7756 </w:instrText>
      </w:r>
      <w:r>
        <w:rPr>
          <w:rFonts w:hint="eastAsia" w:ascii="仿宋_GB2312" w:eastAsia="仿宋_GB2312" w:cs="仿宋_GB2312"/>
          <w:szCs w:val="24"/>
        </w:rPr>
        <w:fldChar w:fldCharType="separate"/>
      </w:r>
      <w:r>
        <w:rPr>
          <w:rFonts w:hint="eastAsia" w:ascii="仿宋_GB2312" w:eastAsia="仿宋_GB2312" w:cs="仿宋_GB2312"/>
          <w:bCs w:val="0"/>
          <w:szCs w:val="28"/>
        </w:rPr>
        <w:t>5.3工作制度、生产能力及服务年限</w:t>
      </w:r>
      <w:r>
        <w:tab/>
      </w:r>
      <w:r>
        <w:fldChar w:fldCharType="begin"/>
      </w:r>
      <w:r>
        <w:instrText xml:space="preserve"> PAGEREF _Toc7756 \h </w:instrText>
      </w:r>
      <w:r>
        <w:fldChar w:fldCharType="separate"/>
      </w:r>
      <w:r>
        <w:t>29</w:t>
      </w:r>
      <w:r>
        <w:fldChar w:fldCharType="end"/>
      </w:r>
      <w:r>
        <w:rPr>
          <w:rFonts w:hint="eastAsia" w:ascii="仿宋_GB2312" w:eastAsia="仿宋_GB2312" w:cs="仿宋_GB2312"/>
          <w:color w:val="auto"/>
          <w:szCs w:val="24"/>
        </w:rPr>
        <w:fldChar w:fldCharType="end"/>
      </w:r>
    </w:p>
    <w:p w14:paraId="1C39B3B3">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_Toc12306 </w:instrText>
      </w:r>
      <w:r>
        <w:rPr>
          <w:rFonts w:hint="eastAsia" w:ascii="仿宋_GB2312" w:eastAsia="仿宋_GB2312" w:cs="仿宋_GB2312"/>
          <w:szCs w:val="24"/>
        </w:rPr>
        <w:fldChar w:fldCharType="separate"/>
      </w:r>
      <w:r>
        <w:rPr>
          <w:rFonts w:hint="eastAsia" w:ascii="仿宋_GB2312" w:eastAsia="仿宋_GB2312" w:cs="仿宋_GB2312"/>
          <w:bCs w:val="0"/>
          <w:szCs w:val="28"/>
        </w:rPr>
        <w:t>5.4开拓、运输方案及场址选择</w:t>
      </w:r>
      <w:r>
        <w:tab/>
      </w:r>
      <w:r>
        <w:fldChar w:fldCharType="begin"/>
      </w:r>
      <w:r>
        <w:instrText xml:space="preserve"> PAGEREF _Toc12306 \h </w:instrText>
      </w:r>
      <w:r>
        <w:fldChar w:fldCharType="separate"/>
      </w:r>
      <w:r>
        <w:t>31</w:t>
      </w:r>
      <w:r>
        <w:fldChar w:fldCharType="end"/>
      </w:r>
      <w:r>
        <w:rPr>
          <w:rFonts w:hint="eastAsia" w:ascii="仿宋_GB2312" w:eastAsia="仿宋_GB2312" w:cs="仿宋_GB2312"/>
          <w:color w:val="auto"/>
          <w:szCs w:val="24"/>
        </w:rPr>
        <w:fldChar w:fldCharType="end"/>
      </w:r>
    </w:p>
    <w:p w14:paraId="005D28C3">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_Toc14489 </w:instrText>
      </w:r>
      <w:r>
        <w:rPr>
          <w:rFonts w:hint="eastAsia" w:ascii="仿宋_GB2312" w:eastAsia="仿宋_GB2312" w:cs="仿宋_GB2312"/>
          <w:szCs w:val="24"/>
        </w:rPr>
        <w:fldChar w:fldCharType="separate"/>
      </w:r>
      <w:r>
        <w:rPr>
          <w:rFonts w:hint="eastAsia" w:ascii="仿宋_GB2312" w:eastAsia="仿宋_GB2312" w:cs="仿宋_GB2312"/>
          <w:bCs w:val="0"/>
          <w:szCs w:val="28"/>
        </w:rPr>
        <w:t>5.5采矿方法</w:t>
      </w:r>
      <w:r>
        <w:tab/>
      </w:r>
      <w:r>
        <w:fldChar w:fldCharType="begin"/>
      </w:r>
      <w:r>
        <w:instrText xml:space="preserve"> PAGEREF _Toc14489 \h </w:instrText>
      </w:r>
      <w:r>
        <w:fldChar w:fldCharType="separate"/>
      </w:r>
      <w:r>
        <w:t>32</w:t>
      </w:r>
      <w:r>
        <w:fldChar w:fldCharType="end"/>
      </w:r>
      <w:r>
        <w:rPr>
          <w:rFonts w:hint="eastAsia" w:ascii="仿宋_GB2312" w:eastAsia="仿宋_GB2312" w:cs="仿宋_GB2312"/>
          <w:color w:val="auto"/>
          <w:szCs w:val="24"/>
        </w:rPr>
        <w:fldChar w:fldCharType="end"/>
      </w:r>
    </w:p>
    <w:p w14:paraId="7EF9741E">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_Toc25833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5.6</w:t>
      </w:r>
      <w:r>
        <w:rPr>
          <w:rFonts w:hint="eastAsia" w:ascii="仿宋_GB2312" w:eastAsia="仿宋_GB2312" w:cs="仿宋_GB2312"/>
          <w:bCs w:val="0"/>
          <w:szCs w:val="28"/>
        </w:rPr>
        <w:t>采矿工艺</w:t>
      </w:r>
      <w:r>
        <w:tab/>
      </w:r>
      <w:r>
        <w:fldChar w:fldCharType="begin"/>
      </w:r>
      <w:r>
        <w:instrText xml:space="preserve"> PAGEREF _Toc25833 \h </w:instrText>
      </w:r>
      <w:r>
        <w:fldChar w:fldCharType="separate"/>
      </w:r>
      <w:r>
        <w:t>34</w:t>
      </w:r>
      <w:r>
        <w:fldChar w:fldCharType="end"/>
      </w:r>
      <w:r>
        <w:rPr>
          <w:rFonts w:hint="eastAsia" w:ascii="仿宋_GB2312" w:eastAsia="仿宋_GB2312" w:cs="仿宋_GB2312"/>
          <w:color w:val="auto"/>
          <w:szCs w:val="24"/>
        </w:rPr>
        <w:fldChar w:fldCharType="end"/>
      </w:r>
    </w:p>
    <w:p w14:paraId="46E3F7B7">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_Toc20476 </w:instrText>
      </w:r>
      <w:r>
        <w:rPr>
          <w:rFonts w:hint="eastAsia" w:ascii="仿宋_GB2312" w:eastAsia="仿宋_GB2312" w:cs="仿宋_GB2312"/>
          <w:szCs w:val="24"/>
        </w:rPr>
        <w:fldChar w:fldCharType="separate"/>
      </w:r>
      <w:r>
        <w:rPr>
          <w:rFonts w:hint="eastAsia" w:ascii="仿宋_GB2312" w:eastAsia="仿宋_GB2312" w:cs="仿宋_GB2312"/>
          <w:bCs w:val="0"/>
          <w:szCs w:val="28"/>
        </w:rPr>
        <w:t>5.</w:t>
      </w:r>
      <w:r>
        <w:rPr>
          <w:rFonts w:hint="eastAsia" w:ascii="仿宋_GB2312" w:eastAsia="仿宋_GB2312" w:cs="仿宋_GB2312"/>
          <w:bCs w:val="0"/>
          <w:szCs w:val="28"/>
          <w:lang w:val="en-US" w:eastAsia="zh-CN"/>
        </w:rPr>
        <w:t>7</w:t>
      </w:r>
      <w:r>
        <w:rPr>
          <w:rFonts w:hint="eastAsia" w:ascii="仿宋_GB2312" w:eastAsia="仿宋_GB2312" w:cs="仿宋_GB2312"/>
          <w:bCs w:val="0"/>
          <w:szCs w:val="28"/>
        </w:rPr>
        <w:t>基建及生产进度计划</w:t>
      </w:r>
      <w:r>
        <w:tab/>
      </w:r>
      <w:r>
        <w:fldChar w:fldCharType="begin"/>
      </w:r>
      <w:r>
        <w:instrText xml:space="preserve"> PAGEREF _Toc20476 \h </w:instrText>
      </w:r>
      <w:r>
        <w:fldChar w:fldCharType="separate"/>
      </w:r>
      <w:r>
        <w:t>39</w:t>
      </w:r>
      <w:r>
        <w:fldChar w:fldCharType="end"/>
      </w:r>
      <w:r>
        <w:rPr>
          <w:rFonts w:hint="eastAsia" w:ascii="仿宋_GB2312" w:eastAsia="仿宋_GB2312" w:cs="仿宋_GB2312"/>
          <w:color w:val="auto"/>
          <w:szCs w:val="24"/>
        </w:rPr>
        <w:fldChar w:fldCharType="end"/>
      </w:r>
    </w:p>
    <w:p w14:paraId="08E68462">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_Toc14766 </w:instrText>
      </w:r>
      <w:r>
        <w:rPr>
          <w:rFonts w:hint="eastAsia" w:ascii="仿宋_GB2312" w:eastAsia="仿宋_GB2312" w:cs="仿宋_GB2312"/>
          <w:szCs w:val="24"/>
        </w:rPr>
        <w:fldChar w:fldCharType="separate"/>
      </w:r>
      <w:r>
        <w:rPr>
          <w:rFonts w:ascii="仿宋_GB2312" w:eastAsia="仿宋_GB2312" w:cs="仿宋_GB2312"/>
          <w:szCs w:val="36"/>
        </w:rPr>
        <w:t xml:space="preserve">6 </w:t>
      </w:r>
      <w:r>
        <w:rPr>
          <w:rFonts w:hint="eastAsia" w:ascii="仿宋_GB2312" w:eastAsia="仿宋_GB2312" w:cs="仿宋_GB2312"/>
          <w:szCs w:val="36"/>
        </w:rPr>
        <w:t>选矿及尾矿设施</w:t>
      </w:r>
      <w:r>
        <w:tab/>
      </w:r>
      <w:r>
        <w:fldChar w:fldCharType="begin"/>
      </w:r>
      <w:r>
        <w:instrText xml:space="preserve"> PAGEREF _Toc14766 \h </w:instrText>
      </w:r>
      <w:r>
        <w:fldChar w:fldCharType="separate"/>
      </w:r>
      <w:r>
        <w:t>41</w:t>
      </w:r>
      <w:r>
        <w:fldChar w:fldCharType="end"/>
      </w:r>
      <w:r>
        <w:rPr>
          <w:rFonts w:hint="eastAsia" w:ascii="仿宋_GB2312" w:eastAsia="仿宋_GB2312" w:cs="仿宋_GB2312"/>
          <w:color w:val="auto"/>
          <w:szCs w:val="24"/>
        </w:rPr>
        <w:fldChar w:fldCharType="end"/>
      </w:r>
    </w:p>
    <w:p w14:paraId="1F14F138">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_Toc19210 </w:instrText>
      </w:r>
      <w:r>
        <w:rPr>
          <w:rFonts w:hint="eastAsia" w:ascii="仿宋_GB2312" w:eastAsia="仿宋_GB2312" w:cs="仿宋_GB2312"/>
          <w:szCs w:val="24"/>
        </w:rPr>
        <w:fldChar w:fldCharType="separate"/>
      </w:r>
      <w:r>
        <w:rPr>
          <w:rFonts w:ascii="仿宋_GB2312" w:eastAsia="仿宋_GB2312" w:cs="仿宋_GB2312"/>
          <w:szCs w:val="36"/>
        </w:rPr>
        <w:t xml:space="preserve">7 </w:t>
      </w:r>
      <w:r>
        <w:rPr>
          <w:rFonts w:hint="eastAsia" w:ascii="仿宋_GB2312" w:eastAsia="仿宋_GB2312" w:cs="仿宋_GB2312"/>
          <w:szCs w:val="36"/>
        </w:rPr>
        <w:t>其他公用设施</w:t>
      </w:r>
      <w:r>
        <w:tab/>
      </w:r>
      <w:r>
        <w:fldChar w:fldCharType="begin"/>
      </w:r>
      <w:r>
        <w:instrText xml:space="preserve"> PAGEREF _Toc19210 \h </w:instrText>
      </w:r>
      <w:r>
        <w:fldChar w:fldCharType="separate"/>
      </w:r>
      <w:r>
        <w:t>42</w:t>
      </w:r>
      <w:r>
        <w:fldChar w:fldCharType="end"/>
      </w:r>
      <w:r>
        <w:rPr>
          <w:rFonts w:hint="eastAsia" w:ascii="仿宋_GB2312" w:eastAsia="仿宋_GB2312" w:cs="仿宋_GB2312"/>
          <w:color w:val="auto"/>
          <w:szCs w:val="24"/>
        </w:rPr>
        <w:fldChar w:fldCharType="end"/>
      </w:r>
    </w:p>
    <w:p w14:paraId="4E22AEB7">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_Toc32272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7.1</w:t>
      </w:r>
      <w:r>
        <w:rPr>
          <w:rFonts w:hint="eastAsia" w:ascii="仿宋_GB2312" w:eastAsia="仿宋_GB2312" w:cs="仿宋_GB2312"/>
          <w:bCs w:val="0"/>
          <w:szCs w:val="28"/>
        </w:rPr>
        <w:t>总图运输</w:t>
      </w:r>
      <w:r>
        <w:tab/>
      </w:r>
      <w:r>
        <w:fldChar w:fldCharType="begin"/>
      </w:r>
      <w:r>
        <w:instrText xml:space="preserve"> PAGEREF _Toc32272 \h </w:instrText>
      </w:r>
      <w:r>
        <w:fldChar w:fldCharType="separate"/>
      </w:r>
      <w:r>
        <w:t>42</w:t>
      </w:r>
      <w:r>
        <w:fldChar w:fldCharType="end"/>
      </w:r>
      <w:r>
        <w:rPr>
          <w:rFonts w:hint="eastAsia" w:ascii="仿宋_GB2312" w:eastAsia="仿宋_GB2312" w:cs="仿宋_GB2312"/>
          <w:color w:val="auto"/>
          <w:szCs w:val="24"/>
        </w:rPr>
        <w:fldChar w:fldCharType="end"/>
      </w:r>
    </w:p>
    <w:p w14:paraId="1B9D8636">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_Toc30816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7.2机汽修</w:t>
      </w:r>
      <w:r>
        <w:tab/>
      </w:r>
      <w:r>
        <w:fldChar w:fldCharType="begin"/>
      </w:r>
      <w:r>
        <w:instrText xml:space="preserve"> PAGEREF _Toc30816 \h </w:instrText>
      </w:r>
      <w:r>
        <w:fldChar w:fldCharType="separate"/>
      </w:r>
      <w:r>
        <w:t>42</w:t>
      </w:r>
      <w:r>
        <w:fldChar w:fldCharType="end"/>
      </w:r>
      <w:r>
        <w:rPr>
          <w:rFonts w:hint="eastAsia" w:ascii="仿宋_GB2312" w:eastAsia="仿宋_GB2312" w:cs="仿宋_GB2312"/>
          <w:color w:val="auto"/>
          <w:szCs w:val="24"/>
        </w:rPr>
        <w:fldChar w:fldCharType="end"/>
      </w:r>
    </w:p>
    <w:p w14:paraId="4478134C">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_Toc13629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7.3供配电及通信</w:t>
      </w:r>
      <w:r>
        <w:tab/>
      </w:r>
      <w:r>
        <w:fldChar w:fldCharType="begin"/>
      </w:r>
      <w:r>
        <w:instrText xml:space="preserve"> PAGEREF _Toc13629 \h </w:instrText>
      </w:r>
      <w:r>
        <w:fldChar w:fldCharType="separate"/>
      </w:r>
      <w:r>
        <w:t>43</w:t>
      </w:r>
      <w:r>
        <w:fldChar w:fldCharType="end"/>
      </w:r>
      <w:r>
        <w:rPr>
          <w:rFonts w:hint="eastAsia" w:ascii="仿宋_GB2312" w:eastAsia="仿宋_GB2312" w:cs="仿宋_GB2312"/>
          <w:color w:val="auto"/>
          <w:szCs w:val="24"/>
        </w:rPr>
        <w:fldChar w:fldCharType="end"/>
      </w:r>
    </w:p>
    <w:p w14:paraId="059C3339">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_Toc2411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7.4给排水</w:t>
      </w:r>
      <w:r>
        <w:tab/>
      </w:r>
      <w:r>
        <w:fldChar w:fldCharType="begin"/>
      </w:r>
      <w:r>
        <w:instrText xml:space="preserve"> PAGEREF _Toc2411 \h </w:instrText>
      </w:r>
      <w:r>
        <w:fldChar w:fldCharType="separate"/>
      </w:r>
      <w:r>
        <w:t>43</w:t>
      </w:r>
      <w:r>
        <w:fldChar w:fldCharType="end"/>
      </w:r>
      <w:r>
        <w:rPr>
          <w:rFonts w:hint="eastAsia" w:ascii="仿宋_GB2312" w:eastAsia="仿宋_GB2312" w:cs="仿宋_GB2312"/>
          <w:color w:val="auto"/>
          <w:szCs w:val="24"/>
        </w:rPr>
        <w:fldChar w:fldCharType="end"/>
      </w:r>
    </w:p>
    <w:p w14:paraId="6D4C2596">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_Toc509 </w:instrText>
      </w:r>
      <w:r>
        <w:rPr>
          <w:rFonts w:hint="eastAsia" w:ascii="仿宋_GB2312" w:eastAsia="仿宋_GB2312" w:cs="仿宋_GB2312"/>
          <w:szCs w:val="24"/>
        </w:rPr>
        <w:fldChar w:fldCharType="separate"/>
      </w:r>
      <w:r>
        <w:rPr>
          <w:rFonts w:ascii="仿宋_GB2312" w:eastAsia="仿宋_GB2312" w:cs="仿宋_GB2312"/>
          <w:szCs w:val="36"/>
        </w:rPr>
        <w:t xml:space="preserve">8 </w:t>
      </w:r>
      <w:r>
        <w:rPr>
          <w:rFonts w:hint="eastAsia" w:ascii="仿宋_GB2312" w:eastAsia="仿宋_GB2312" w:cs="仿宋_GB2312"/>
          <w:szCs w:val="36"/>
        </w:rPr>
        <w:t>环境保护</w:t>
      </w:r>
      <w:r>
        <w:tab/>
      </w:r>
      <w:r>
        <w:fldChar w:fldCharType="begin"/>
      </w:r>
      <w:r>
        <w:instrText xml:space="preserve"> PAGEREF _Toc509 \h </w:instrText>
      </w:r>
      <w:r>
        <w:fldChar w:fldCharType="separate"/>
      </w:r>
      <w:r>
        <w:t>45</w:t>
      </w:r>
      <w:r>
        <w:fldChar w:fldCharType="end"/>
      </w:r>
      <w:r>
        <w:rPr>
          <w:rFonts w:hint="eastAsia" w:ascii="仿宋_GB2312" w:eastAsia="仿宋_GB2312" w:cs="仿宋_GB2312"/>
          <w:color w:val="auto"/>
          <w:szCs w:val="24"/>
        </w:rPr>
        <w:fldChar w:fldCharType="end"/>
      </w:r>
    </w:p>
    <w:p w14:paraId="5C36A295">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_Toc14501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8</w:t>
      </w:r>
      <w:r>
        <w:rPr>
          <w:rFonts w:hint="eastAsia" w:ascii="仿宋_GB2312" w:eastAsia="仿宋_GB2312" w:cs="仿宋_GB2312"/>
          <w:bCs w:val="0"/>
          <w:szCs w:val="28"/>
        </w:rPr>
        <w:t>.1设计依据及采用的标准</w:t>
      </w:r>
      <w:r>
        <w:tab/>
      </w:r>
      <w:r>
        <w:fldChar w:fldCharType="begin"/>
      </w:r>
      <w:r>
        <w:instrText xml:space="preserve"> PAGEREF _Toc14501 \h </w:instrText>
      </w:r>
      <w:r>
        <w:fldChar w:fldCharType="separate"/>
      </w:r>
      <w:r>
        <w:t>45</w:t>
      </w:r>
      <w:r>
        <w:fldChar w:fldCharType="end"/>
      </w:r>
      <w:r>
        <w:rPr>
          <w:rFonts w:hint="eastAsia" w:ascii="仿宋_GB2312" w:eastAsia="仿宋_GB2312" w:cs="仿宋_GB2312"/>
          <w:color w:val="auto"/>
          <w:szCs w:val="24"/>
        </w:rPr>
        <w:fldChar w:fldCharType="end"/>
      </w:r>
    </w:p>
    <w:p w14:paraId="4856D6CF">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_Toc29833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8</w:t>
      </w:r>
      <w:r>
        <w:rPr>
          <w:rFonts w:hint="eastAsia" w:ascii="仿宋_GB2312" w:eastAsia="仿宋_GB2312" w:cs="仿宋_GB2312"/>
          <w:bCs w:val="0"/>
          <w:szCs w:val="28"/>
        </w:rPr>
        <w:t>.2建设项目所在地区的环境现状</w:t>
      </w:r>
      <w:r>
        <w:tab/>
      </w:r>
      <w:r>
        <w:fldChar w:fldCharType="begin"/>
      </w:r>
      <w:r>
        <w:instrText xml:space="preserve"> PAGEREF _Toc29833 \h </w:instrText>
      </w:r>
      <w:r>
        <w:fldChar w:fldCharType="separate"/>
      </w:r>
      <w:r>
        <w:t>45</w:t>
      </w:r>
      <w:r>
        <w:fldChar w:fldCharType="end"/>
      </w:r>
      <w:r>
        <w:rPr>
          <w:rFonts w:hint="eastAsia" w:ascii="仿宋_GB2312" w:eastAsia="仿宋_GB2312" w:cs="仿宋_GB2312"/>
          <w:color w:val="auto"/>
          <w:szCs w:val="24"/>
        </w:rPr>
        <w:fldChar w:fldCharType="end"/>
      </w:r>
    </w:p>
    <w:p w14:paraId="5E162EDF">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_Toc7795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8</w:t>
      </w:r>
      <w:r>
        <w:rPr>
          <w:rFonts w:hint="eastAsia" w:ascii="仿宋_GB2312" w:eastAsia="仿宋_GB2312" w:cs="仿宋_GB2312"/>
          <w:bCs w:val="0"/>
          <w:szCs w:val="28"/>
        </w:rPr>
        <w:t>.</w:t>
      </w:r>
      <w:r>
        <w:rPr>
          <w:rFonts w:hint="eastAsia" w:ascii="仿宋_GB2312" w:eastAsia="仿宋_GB2312" w:cs="仿宋_GB2312"/>
          <w:bCs w:val="0"/>
          <w:szCs w:val="28"/>
          <w:lang w:val="en-US" w:eastAsia="zh-CN"/>
        </w:rPr>
        <w:t>3</w:t>
      </w:r>
      <w:r>
        <w:rPr>
          <w:rFonts w:hint="eastAsia" w:ascii="仿宋_GB2312" w:eastAsia="仿宋_GB2312" w:cs="仿宋_GB2312"/>
          <w:bCs w:val="0"/>
          <w:szCs w:val="28"/>
        </w:rPr>
        <w:t>项目主要污染源、污染物及其防治措施</w:t>
      </w:r>
      <w:r>
        <w:tab/>
      </w:r>
      <w:r>
        <w:fldChar w:fldCharType="begin"/>
      </w:r>
      <w:r>
        <w:instrText xml:space="preserve"> PAGEREF _Toc7795 \h </w:instrText>
      </w:r>
      <w:r>
        <w:fldChar w:fldCharType="separate"/>
      </w:r>
      <w:r>
        <w:t>46</w:t>
      </w:r>
      <w:r>
        <w:fldChar w:fldCharType="end"/>
      </w:r>
      <w:r>
        <w:rPr>
          <w:rFonts w:hint="eastAsia" w:ascii="仿宋_GB2312" w:eastAsia="仿宋_GB2312" w:cs="仿宋_GB2312"/>
          <w:color w:val="auto"/>
          <w:szCs w:val="24"/>
        </w:rPr>
        <w:fldChar w:fldCharType="end"/>
      </w:r>
    </w:p>
    <w:p w14:paraId="03FE8E3C">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_Toc20575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8</w:t>
      </w:r>
      <w:r>
        <w:rPr>
          <w:rFonts w:hint="eastAsia" w:ascii="仿宋_GB2312" w:eastAsia="仿宋_GB2312" w:cs="仿宋_GB2312"/>
          <w:bCs w:val="0"/>
          <w:szCs w:val="28"/>
        </w:rPr>
        <w:t>.</w:t>
      </w:r>
      <w:r>
        <w:rPr>
          <w:rFonts w:hint="eastAsia" w:ascii="仿宋_GB2312" w:eastAsia="仿宋_GB2312" w:cs="仿宋_GB2312"/>
          <w:bCs w:val="0"/>
          <w:szCs w:val="28"/>
          <w:lang w:val="en-US" w:eastAsia="zh-CN"/>
        </w:rPr>
        <w:t>4</w:t>
      </w:r>
      <w:r>
        <w:rPr>
          <w:rFonts w:hint="eastAsia" w:ascii="仿宋_GB2312" w:eastAsia="仿宋_GB2312" w:cs="仿宋_GB2312"/>
          <w:bCs w:val="0"/>
          <w:szCs w:val="28"/>
        </w:rPr>
        <w:t>土地复垦</w:t>
      </w:r>
      <w:r>
        <w:tab/>
      </w:r>
      <w:r>
        <w:fldChar w:fldCharType="begin"/>
      </w:r>
      <w:r>
        <w:instrText xml:space="preserve"> PAGEREF _Toc20575 \h </w:instrText>
      </w:r>
      <w:r>
        <w:fldChar w:fldCharType="separate"/>
      </w:r>
      <w:r>
        <w:t>47</w:t>
      </w:r>
      <w:r>
        <w:fldChar w:fldCharType="end"/>
      </w:r>
      <w:r>
        <w:rPr>
          <w:rFonts w:hint="eastAsia" w:ascii="仿宋_GB2312" w:eastAsia="仿宋_GB2312" w:cs="仿宋_GB2312"/>
          <w:color w:val="auto"/>
          <w:szCs w:val="24"/>
        </w:rPr>
        <w:fldChar w:fldCharType="end"/>
      </w:r>
    </w:p>
    <w:p w14:paraId="121AA500">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_Toc4687 </w:instrText>
      </w:r>
      <w:r>
        <w:rPr>
          <w:rFonts w:hint="eastAsia" w:ascii="仿宋_GB2312" w:eastAsia="仿宋_GB2312" w:cs="仿宋_GB2312"/>
          <w:szCs w:val="24"/>
        </w:rPr>
        <w:fldChar w:fldCharType="separate"/>
      </w:r>
      <w:r>
        <w:rPr>
          <w:rFonts w:ascii="仿宋_GB2312" w:eastAsia="仿宋_GB2312" w:cs="仿宋_GB2312"/>
          <w:szCs w:val="36"/>
        </w:rPr>
        <w:t xml:space="preserve">9 </w:t>
      </w:r>
      <w:r>
        <w:rPr>
          <w:rFonts w:hint="eastAsia" w:ascii="仿宋_GB2312" w:eastAsia="仿宋_GB2312" w:cs="仿宋_GB2312"/>
          <w:szCs w:val="36"/>
        </w:rPr>
        <w:t>安全与工业卫生</w:t>
      </w:r>
      <w:r>
        <w:tab/>
      </w:r>
      <w:r>
        <w:fldChar w:fldCharType="begin"/>
      </w:r>
      <w:r>
        <w:instrText xml:space="preserve"> PAGEREF _Toc4687 \h </w:instrText>
      </w:r>
      <w:r>
        <w:fldChar w:fldCharType="separate"/>
      </w:r>
      <w:r>
        <w:t>48</w:t>
      </w:r>
      <w:r>
        <w:fldChar w:fldCharType="end"/>
      </w:r>
      <w:r>
        <w:rPr>
          <w:rFonts w:hint="eastAsia" w:ascii="仿宋_GB2312" w:eastAsia="仿宋_GB2312" w:cs="仿宋_GB2312"/>
          <w:color w:val="auto"/>
          <w:szCs w:val="24"/>
        </w:rPr>
        <w:fldChar w:fldCharType="end"/>
      </w:r>
    </w:p>
    <w:p w14:paraId="0573766F">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_Toc20824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9</w:t>
      </w:r>
      <w:r>
        <w:rPr>
          <w:rFonts w:hint="eastAsia" w:ascii="仿宋_GB2312" w:eastAsia="仿宋_GB2312" w:cs="仿宋_GB2312"/>
          <w:bCs w:val="0"/>
          <w:szCs w:val="28"/>
          <w:lang w:val="zh-CN"/>
        </w:rPr>
        <w:t>.1</w:t>
      </w:r>
      <w:r>
        <w:rPr>
          <w:rFonts w:hint="eastAsia" w:ascii="仿宋_GB2312" w:eastAsia="仿宋_GB2312" w:cs="仿宋_GB2312"/>
          <w:bCs w:val="0"/>
          <w:szCs w:val="28"/>
        </w:rPr>
        <w:t>设计依据和采用的标准</w:t>
      </w:r>
      <w:r>
        <w:tab/>
      </w:r>
      <w:r>
        <w:fldChar w:fldCharType="begin"/>
      </w:r>
      <w:r>
        <w:instrText xml:space="preserve"> PAGEREF _Toc20824 \h </w:instrText>
      </w:r>
      <w:r>
        <w:fldChar w:fldCharType="separate"/>
      </w:r>
      <w:r>
        <w:t>48</w:t>
      </w:r>
      <w:r>
        <w:fldChar w:fldCharType="end"/>
      </w:r>
      <w:r>
        <w:rPr>
          <w:rFonts w:hint="eastAsia" w:ascii="仿宋_GB2312" w:eastAsia="仿宋_GB2312" w:cs="仿宋_GB2312"/>
          <w:color w:val="auto"/>
          <w:szCs w:val="24"/>
        </w:rPr>
        <w:fldChar w:fldCharType="end"/>
      </w:r>
    </w:p>
    <w:p w14:paraId="1D04424B">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_Toc8672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9</w:t>
      </w:r>
      <w:r>
        <w:rPr>
          <w:rFonts w:hint="eastAsia" w:ascii="仿宋_GB2312" w:eastAsia="仿宋_GB2312" w:cs="仿宋_GB2312"/>
          <w:bCs w:val="0"/>
          <w:szCs w:val="28"/>
          <w:lang w:val="zh-CN"/>
        </w:rPr>
        <w:t>.2工程概况</w:t>
      </w:r>
      <w:r>
        <w:tab/>
      </w:r>
      <w:r>
        <w:fldChar w:fldCharType="begin"/>
      </w:r>
      <w:r>
        <w:instrText xml:space="preserve"> PAGEREF _Toc8672 \h </w:instrText>
      </w:r>
      <w:r>
        <w:fldChar w:fldCharType="separate"/>
      </w:r>
      <w:r>
        <w:t>48</w:t>
      </w:r>
      <w:r>
        <w:fldChar w:fldCharType="end"/>
      </w:r>
      <w:r>
        <w:rPr>
          <w:rFonts w:hint="eastAsia" w:ascii="仿宋_GB2312" w:eastAsia="仿宋_GB2312" w:cs="仿宋_GB2312"/>
          <w:color w:val="auto"/>
          <w:szCs w:val="24"/>
        </w:rPr>
        <w:fldChar w:fldCharType="end"/>
      </w:r>
    </w:p>
    <w:p w14:paraId="2A9E3B62">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_Toc29389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9</w:t>
      </w:r>
      <w:r>
        <w:rPr>
          <w:rFonts w:hint="eastAsia" w:ascii="仿宋_GB2312" w:eastAsia="仿宋_GB2312" w:cs="仿宋_GB2312"/>
          <w:bCs w:val="0"/>
          <w:szCs w:val="28"/>
          <w:lang w:val="zh-CN"/>
        </w:rPr>
        <w:t>.3建设项目存在的主要危险、有害因素及其防范措施</w:t>
      </w:r>
      <w:r>
        <w:tab/>
      </w:r>
      <w:r>
        <w:fldChar w:fldCharType="begin"/>
      </w:r>
      <w:r>
        <w:instrText xml:space="preserve"> PAGEREF _Toc29389 \h </w:instrText>
      </w:r>
      <w:r>
        <w:fldChar w:fldCharType="separate"/>
      </w:r>
      <w:r>
        <w:t>48</w:t>
      </w:r>
      <w:r>
        <w:fldChar w:fldCharType="end"/>
      </w:r>
      <w:r>
        <w:rPr>
          <w:rFonts w:hint="eastAsia" w:ascii="仿宋_GB2312" w:eastAsia="仿宋_GB2312" w:cs="仿宋_GB2312"/>
          <w:color w:val="auto"/>
          <w:szCs w:val="24"/>
        </w:rPr>
        <w:fldChar w:fldCharType="end"/>
      </w:r>
    </w:p>
    <w:p w14:paraId="7662CE79">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_Toc13867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9</w:t>
      </w:r>
      <w:r>
        <w:rPr>
          <w:rFonts w:hint="eastAsia" w:ascii="仿宋_GB2312" w:eastAsia="仿宋_GB2312" w:cs="仿宋_GB2312"/>
          <w:bCs w:val="0"/>
          <w:szCs w:val="28"/>
          <w:lang w:val="zh-CN"/>
        </w:rPr>
        <w:t>.4工业卫生</w:t>
      </w:r>
      <w:r>
        <w:tab/>
      </w:r>
      <w:r>
        <w:fldChar w:fldCharType="begin"/>
      </w:r>
      <w:r>
        <w:instrText xml:space="preserve"> PAGEREF _Toc13867 \h </w:instrText>
      </w:r>
      <w:r>
        <w:fldChar w:fldCharType="separate"/>
      </w:r>
      <w:r>
        <w:t>51</w:t>
      </w:r>
      <w:r>
        <w:fldChar w:fldCharType="end"/>
      </w:r>
      <w:r>
        <w:rPr>
          <w:rFonts w:hint="eastAsia" w:ascii="仿宋_GB2312" w:eastAsia="仿宋_GB2312" w:cs="仿宋_GB2312"/>
          <w:color w:val="auto"/>
          <w:szCs w:val="24"/>
        </w:rPr>
        <w:fldChar w:fldCharType="end"/>
      </w:r>
    </w:p>
    <w:p w14:paraId="096E4210">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_Toc4241 </w:instrText>
      </w:r>
      <w:r>
        <w:rPr>
          <w:rFonts w:hint="eastAsia" w:ascii="仿宋_GB2312" w:eastAsia="仿宋_GB2312" w:cs="仿宋_GB2312"/>
          <w:szCs w:val="24"/>
        </w:rPr>
        <w:fldChar w:fldCharType="separate"/>
      </w:r>
      <w:r>
        <w:rPr>
          <w:rFonts w:ascii="仿宋_GB2312" w:eastAsia="仿宋_GB2312" w:cs="仿宋_GB2312"/>
          <w:szCs w:val="36"/>
        </w:rPr>
        <w:t xml:space="preserve">10 </w:t>
      </w:r>
      <w:r>
        <w:rPr>
          <w:rFonts w:hint="eastAsia" w:ascii="仿宋_GB2312" w:eastAsia="仿宋_GB2312" w:cs="仿宋_GB2312"/>
          <w:szCs w:val="36"/>
        </w:rPr>
        <w:t>绿色矿山及智能化</w:t>
      </w:r>
      <w:r>
        <w:tab/>
      </w:r>
      <w:r>
        <w:fldChar w:fldCharType="begin"/>
      </w:r>
      <w:r>
        <w:instrText xml:space="preserve"> PAGEREF _Toc4241 \h </w:instrText>
      </w:r>
      <w:r>
        <w:fldChar w:fldCharType="separate"/>
      </w:r>
      <w:r>
        <w:t>54</w:t>
      </w:r>
      <w:r>
        <w:fldChar w:fldCharType="end"/>
      </w:r>
      <w:r>
        <w:rPr>
          <w:rFonts w:hint="eastAsia" w:ascii="仿宋_GB2312" w:eastAsia="仿宋_GB2312" w:cs="仿宋_GB2312"/>
          <w:color w:val="auto"/>
          <w:szCs w:val="24"/>
        </w:rPr>
        <w:fldChar w:fldCharType="end"/>
      </w:r>
    </w:p>
    <w:p w14:paraId="3E1B0DF6">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_Toc32523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10.1智慧矿山建设</w:t>
      </w:r>
      <w:r>
        <w:tab/>
      </w:r>
      <w:r>
        <w:fldChar w:fldCharType="begin"/>
      </w:r>
      <w:r>
        <w:instrText xml:space="preserve"> PAGEREF _Toc32523 \h </w:instrText>
      </w:r>
      <w:r>
        <w:fldChar w:fldCharType="separate"/>
      </w:r>
      <w:r>
        <w:t>54</w:t>
      </w:r>
      <w:r>
        <w:fldChar w:fldCharType="end"/>
      </w:r>
      <w:r>
        <w:rPr>
          <w:rFonts w:hint="eastAsia" w:ascii="仿宋_GB2312" w:eastAsia="仿宋_GB2312" w:cs="仿宋_GB2312"/>
          <w:color w:val="auto"/>
          <w:szCs w:val="24"/>
        </w:rPr>
        <w:fldChar w:fldCharType="end"/>
      </w:r>
    </w:p>
    <w:p w14:paraId="278BC7C9">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_Toc14600 </w:instrText>
      </w:r>
      <w:r>
        <w:rPr>
          <w:rFonts w:hint="eastAsia" w:ascii="仿宋_GB2312" w:eastAsia="仿宋_GB2312" w:cs="仿宋_GB2312"/>
          <w:szCs w:val="24"/>
        </w:rPr>
        <w:fldChar w:fldCharType="separate"/>
      </w:r>
      <w:r>
        <w:rPr>
          <w:rFonts w:hint="eastAsia" w:ascii="仿宋_GB2312" w:eastAsia="仿宋_GB2312" w:cs="仿宋_GB2312"/>
          <w:bCs w:val="0"/>
          <w:szCs w:val="28"/>
          <w:lang w:val="en-US" w:eastAsia="zh-CN"/>
        </w:rPr>
        <w:t>10.2绿色矿山建设</w:t>
      </w:r>
      <w:r>
        <w:tab/>
      </w:r>
      <w:r>
        <w:fldChar w:fldCharType="begin"/>
      </w:r>
      <w:r>
        <w:instrText xml:space="preserve"> PAGEREF _Toc14600 \h </w:instrText>
      </w:r>
      <w:r>
        <w:fldChar w:fldCharType="separate"/>
      </w:r>
      <w:r>
        <w:t>55</w:t>
      </w:r>
      <w:r>
        <w:fldChar w:fldCharType="end"/>
      </w:r>
      <w:r>
        <w:rPr>
          <w:rFonts w:hint="eastAsia" w:ascii="仿宋_GB2312" w:eastAsia="仿宋_GB2312" w:cs="仿宋_GB2312"/>
          <w:color w:val="auto"/>
          <w:szCs w:val="24"/>
        </w:rPr>
        <w:fldChar w:fldCharType="end"/>
      </w:r>
    </w:p>
    <w:p w14:paraId="14362B32">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_Toc16261 </w:instrText>
      </w:r>
      <w:r>
        <w:rPr>
          <w:rFonts w:hint="eastAsia" w:ascii="仿宋_GB2312" w:eastAsia="仿宋_GB2312" w:cs="仿宋_GB2312"/>
          <w:szCs w:val="24"/>
        </w:rPr>
        <w:fldChar w:fldCharType="separate"/>
      </w:r>
      <w:r>
        <w:rPr>
          <w:rFonts w:ascii="仿宋_GB2312" w:eastAsia="仿宋_GB2312" w:cs="仿宋_GB2312"/>
          <w:szCs w:val="36"/>
        </w:rPr>
        <w:t xml:space="preserve">11 </w:t>
      </w:r>
      <w:r>
        <w:rPr>
          <w:rFonts w:hint="eastAsia" w:ascii="仿宋_GB2312" w:eastAsia="仿宋_GB2312" w:cs="仿宋_GB2312"/>
          <w:szCs w:val="36"/>
          <w:highlight w:val="none"/>
        </w:rPr>
        <w:t>投资估算</w:t>
      </w:r>
      <w:r>
        <w:tab/>
      </w:r>
      <w:r>
        <w:fldChar w:fldCharType="begin"/>
      </w:r>
      <w:r>
        <w:instrText xml:space="preserve"> PAGEREF _Toc16261 \h </w:instrText>
      </w:r>
      <w:r>
        <w:fldChar w:fldCharType="separate"/>
      </w:r>
      <w:r>
        <w:t>58</w:t>
      </w:r>
      <w:r>
        <w:fldChar w:fldCharType="end"/>
      </w:r>
      <w:r>
        <w:rPr>
          <w:rFonts w:hint="eastAsia" w:ascii="仿宋_GB2312" w:eastAsia="仿宋_GB2312" w:cs="仿宋_GB2312"/>
          <w:color w:val="auto"/>
          <w:szCs w:val="24"/>
        </w:rPr>
        <w:fldChar w:fldCharType="end"/>
      </w:r>
    </w:p>
    <w:p w14:paraId="36B7D6E3">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_Toc161 </w:instrText>
      </w:r>
      <w:r>
        <w:rPr>
          <w:rFonts w:hint="eastAsia" w:ascii="仿宋_GB2312" w:eastAsia="仿宋_GB2312" w:cs="仿宋_GB2312"/>
          <w:szCs w:val="24"/>
        </w:rPr>
        <w:fldChar w:fldCharType="separate"/>
      </w:r>
      <w:r>
        <w:rPr>
          <w:rFonts w:hint="eastAsia" w:ascii="仿宋_GB2312" w:eastAsia="仿宋_GB2312" w:cs="仿宋_GB2312"/>
          <w:szCs w:val="28"/>
          <w:highlight w:val="none"/>
          <w:lang w:val="en-US" w:eastAsia="zh-CN"/>
        </w:rPr>
        <w:t>11</w:t>
      </w:r>
      <w:r>
        <w:rPr>
          <w:rFonts w:hint="eastAsia" w:ascii="仿宋_GB2312" w:eastAsia="仿宋_GB2312" w:cs="仿宋_GB2312"/>
          <w:szCs w:val="28"/>
          <w:highlight w:val="none"/>
        </w:rPr>
        <w:t>.1</w:t>
      </w:r>
      <w:r>
        <w:rPr>
          <w:rFonts w:hint="eastAsia" w:ascii="仿宋_GB2312" w:eastAsia="仿宋_GB2312" w:cs="仿宋_GB2312"/>
          <w:bCs/>
          <w:szCs w:val="28"/>
          <w:highlight w:val="none"/>
        </w:rPr>
        <w:t>主要工程内容</w:t>
      </w:r>
      <w:r>
        <w:tab/>
      </w:r>
      <w:r>
        <w:fldChar w:fldCharType="begin"/>
      </w:r>
      <w:r>
        <w:instrText xml:space="preserve"> PAGEREF _Toc161 \h </w:instrText>
      </w:r>
      <w:r>
        <w:fldChar w:fldCharType="separate"/>
      </w:r>
      <w:r>
        <w:t>58</w:t>
      </w:r>
      <w:r>
        <w:fldChar w:fldCharType="end"/>
      </w:r>
      <w:r>
        <w:rPr>
          <w:rFonts w:hint="eastAsia" w:ascii="仿宋_GB2312" w:eastAsia="仿宋_GB2312" w:cs="仿宋_GB2312"/>
          <w:color w:val="auto"/>
          <w:szCs w:val="24"/>
        </w:rPr>
        <w:fldChar w:fldCharType="end"/>
      </w:r>
    </w:p>
    <w:p w14:paraId="0DD6B9D1">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_Toc10687 </w:instrText>
      </w:r>
      <w:r>
        <w:rPr>
          <w:rFonts w:hint="eastAsia" w:ascii="仿宋_GB2312" w:eastAsia="仿宋_GB2312" w:cs="仿宋_GB2312"/>
          <w:szCs w:val="24"/>
        </w:rPr>
        <w:fldChar w:fldCharType="separate"/>
      </w:r>
      <w:r>
        <w:rPr>
          <w:rFonts w:hint="eastAsia" w:ascii="仿宋_GB2312" w:eastAsia="仿宋_GB2312" w:cs="仿宋_GB2312"/>
          <w:szCs w:val="28"/>
          <w:highlight w:val="none"/>
          <w:lang w:val="en-US" w:eastAsia="zh-CN"/>
        </w:rPr>
        <w:t>11</w:t>
      </w:r>
      <w:r>
        <w:rPr>
          <w:rFonts w:hint="eastAsia" w:ascii="仿宋_GB2312" w:eastAsia="仿宋_GB2312" w:cs="仿宋_GB2312"/>
          <w:szCs w:val="28"/>
          <w:highlight w:val="none"/>
        </w:rPr>
        <w:t>.2建设投资估算</w:t>
      </w:r>
      <w:r>
        <w:tab/>
      </w:r>
      <w:r>
        <w:fldChar w:fldCharType="begin"/>
      </w:r>
      <w:r>
        <w:instrText xml:space="preserve"> PAGEREF _Toc10687 \h </w:instrText>
      </w:r>
      <w:r>
        <w:fldChar w:fldCharType="separate"/>
      </w:r>
      <w:r>
        <w:t>58</w:t>
      </w:r>
      <w:r>
        <w:fldChar w:fldCharType="end"/>
      </w:r>
      <w:r>
        <w:rPr>
          <w:rFonts w:hint="eastAsia" w:ascii="仿宋_GB2312" w:eastAsia="仿宋_GB2312" w:cs="仿宋_GB2312"/>
          <w:color w:val="auto"/>
          <w:szCs w:val="24"/>
        </w:rPr>
        <w:fldChar w:fldCharType="end"/>
      </w:r>
    </w:p>
    <w:p w14:paraId="551E59BE">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_Toc27264 </w:instrText>
      </w:r>
      <w:r>
        <w:rPr>
          <w:rFonts w:hint="eastAsia" w:ascii="仿宋_GB2312" w:eastAsia="仿宋_GB2312" w:cs="仿宋_GB2312"/>
          <w:szCs w:val="24"/>
        </w:rPr>
        <w:fldChar w:fldCharType="separate"/>
      </w:r>
      <w:r>
        <w:rPr>
          <w:rFonts w:hint="eastAsia" w:ascii="仿宋_GB2312" w:eastAsia="仿宋_GB2312" w:cs="仿宋_GB2312"/>
          <w:szCs w:val="28"/>
          <w:highlight w:val="none"/>
          <w:lang w:val="en-US" w:eastAsia="zh-CN"/>
        </w:rPr>
        <w:t>11</w:t>
      </w:r>
      <w:r>
        <w:rPr>
          <w:rFonts w:hint="eastAsia" w:ascii="仿宋_GB2312" w:eastAsia="仿宋_GB2312" w:cs="仿宋_GB2312"/>
          <w:szCs w:val="28"/>
          <w:highlight w:val="none"/>
        </w:rPr>
        <w:t>.3流动资金估算</w:t>
      </w:r>
      <w:r>
        <w:tab/>
      </w:r>
      <w:r>
        <w:fldChar w:fldCharType="begin"/>
      </w:r>
      <w:r>
        <w:instrText xml:space="preserve"> PAGEREF _Toc27264 \h </w:instrText>
      </w:r>
      <w:r>
        <w:fldChar w:fldCharType="separate"/>
      </w:r>
      <w:r>
        <w:t>58</w:t>
      </w:r>
      <w:r>
        <w:fldChar w:fldCharType="end"/>
      </w:r>
      <w:r>
        <w:rPr>
          <w:rFonts w:hint="eastAsia" w:ascii="仿宋_GB2312" w:eastAsia="仿宋_GB2312" w:cs="仿宋_GB2312"/>
          <w:color w:val="auto"/>
          <w:szCs w:val="24"/>
        </w:rPr>
        <w:fldChar w:fldCharType="end"/>
      </w:r>
    </w:p>
    <w:p w14:paraId="4C5A94EB">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_Toc12188 </w:instrText>
      </w:r>
      <w:r>
        <w:rPr>
          <w:rFonts w:hint="eastAsia" w:ascii="仿宋_GB2312" w:eastAsia="仿宋_GB2312" w:cs="仿宋_GB2312"/>
          <w:szCs w:val="24"/>
        </w:rPr>
        <w:fldChar w:fldCharType="separate"/>
      </w:r>
      <w:r>
        <w:rPr>
          <w:rFonts w:hint="eastAsia" w:ascii="仿宋_GB2312" w:eastAsia="仿宋_GB2312" w:cs="仿宋_GB2312"/>
          <w:szCs w:val="28"/>
          <w:highlight w:val="none"/>
          <w:lang w:val="en-US" w:eastAsia="zh-CN"/>
        </w:rPr>
        <w:t>11.4项目总投资</w:t>
      </w:r>
      <w:r>
        <w:tab/>
      </w:r>
      <w:r>
        <w:fldChar w:fldCharType="begin"/>
      </w:r>
      <w:r>
        <w:instrText xml:space="preserve"> PAGEREF _Toc12188 \h </w:instrText>
      </w:r>
      <w:r>
        <w:fldChar w:fldCharType="separate"/>
      </w:r>
      <w:r>
        <w:t>58</w:t>
      </w:r>
      <w:r>
        <w:fldChar w:fldCharType="end"/>
      </w:r>
      <w:r>
        <w:rPr>
          <w:rFonts w:hint="eastAsia" w:ascii="仿宋_GB2312" w:eastAsia="仿宋_GB2312" w:cs="仿宋_GB2312"/>
          <w:color w:val="auto"/>
          <w:szCs w:val="24"/>
        </w:rPr>
        <w:fldChar w:fldCharType="end"/>
      </w:r>
    </w:p>
    <w:p w14:paraId="79E4AECD">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_Toc22301 </w:instrText>
      </w:r>
      <w:r>
        <w:rPr>
          <w:rFonts w:hint="eastAsia" w:ascii="仿宋_GB2312" w:eastAsia="仿宋_GB2312" w:cs="仿宋_GB2312"/>
          <w:szCs w:val="24"/>
        </w:rPr>
        <w:fldChar w:fldCharType="separate"/>
      </w:r>
      <w:r>
        <w:rPr>
          <w:rFonts w:hint="eastAsia" w:ascii="仿宋_GB2312" w:eastAsia="仿宋_GB2312" w:cs="仿宋_GB2312"/>
          <w:szCs w:val="28"/>
          <w:highlight w:val="none"/>
          <w:lang w:val="en-US" w:eastAsia="zh-CN"/>
        </w:rPr>
        <w:t>11</w:t>
      </w:r>
      <w:r>
        <w:rPr>
          <w:rFonts w:hint="eastAsia" w:ascii="仿宋_GB2312" w:eastAsia="仿宋_GB2312" w:cs="仿宋_GB2312"/>
          <w:szCs w:val="28"/>
          <w:highlight w:val="none"/>
        </w:rPr>
        <w:t>.</w:t>
      </w:r>
      <w:r>
        <w:rPr>
          <w:rFonts w:hint="eastAsia" w:ascii="仿宋_GB2312" w:eastAsia="仿宋_GB2312" w:cs="仿宋_GB2312"/>
          <w:szCs w:val="28"/>
          <w:highlight w:val="none"/>
          <w:lang w:val="en-US" w:eastAsia="zh-CN"/>
        </w:rPr>
        <w:t>5</w:t>
      </w:r>
      <w:r>
        <w:rPr>
          <w:rFonts w:hint="eastAsia" w:ascii="仿宋_GB2312" w:eastAsia="仿宋_GB2312" w:cs="仿宋_GB2312"/>
          <w:szCs w:val="28"/>
          <w:highlight w:val="none"/>
        </w:rPr>
        <w:t>项目总资金及资金来源</w:t>
      </w:r>
      <w:r>
        <w:tab/>
      </w:r>
      <w:r>
        <w:fldChar w:fldCharType="begin"/>
      </w:r>
      <w:r>
        <w:instrText xml:space="preserve"> PAGEREF _Toc22301 \h </w:instrText>
      </w:r>
      <w:r>
        <w:fldChar w:fldCharType="separate"/>
      </w:r>
      <w:r>
        <w:t>58</w:t>
      </w:r>
      <w:r>
        <w:fldChar w:fldCharType="end"/>
      </w:r>
      <w:r>
        <w:rPr>
          <w:rFonts w:hint="eastAsia" w:ascii="仿宋_GB2312" w:eastAsia="仿宋_GB2312" w:cs="仿宋_GB2312"/>
          <w:color w:val="auto"/>
          <w:szCs w:val="24"/>
        </w:rPr>
        <w:fldChar w:fldCharType="end"/>
      </w:r>
    </w:p>
    <w:p w14:paraId="2223F1BD">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_Toc5451 </w:instrText>
      </w:r>
      <w:r>
        <w:rPr>
          <w:rFonts w:hint="eastAsia" w:ascii="仿宋_GB2312" w:eastAsia="仿宋_GB2312" w:cs="仿宋_GB2312"/>
          <w:szCs w:val="24"/>
        </w:rPr>
        <w:fldChar w:fldCharType="separate"/>
      </w:r>
      <w:r>
        <w:rPr>
          <w:rFonts w:ascii="仿宋_GB2312" w:eastAsia="仿宋_GB2312" w:cs="仿宋_GB2312"/>
          <w:szCs w:val="36"/>
        </w:rPr>
        <w:t xml:space="preserve">12 </w:t>
      </w:r>
      <w:r>
        <w:rPr>
          <w:rFonts w:hint="eastAsia" w:ascii="仿宋_GB2312" w:eastAsia="仿宋_GB2312" w:cs="仿宋_GB2312"/>
          <w:szCs w:val="36"/>
          <w:highlight w:val="none"/>
        </w:rPr>
        <w:t>财务分析</w:t>
      </w:r>
      <w:r>
        <w:tab/>
      </w:r>
      <w:r>
        <w:fldChar w:fldCharType="begin"/>
      </w:r>
      <w:r>
        <w:instrText xml:space="preserve"> PAGEREF _Toc5451 \h </w:instrText>
      </w:r>
      <w:r>
        <w:fldChar w:fldCharType="separate"/>
      </w:r>
      <w:r>
        <w:t>60</w:t>
      </w:r>
      <w:r>
        <w:fldChar w:fldCharType="end"/>
      </w:r>
      <w:r>
        <w:rPr>
          <w:rFonts w:hint="eastAsia" w:ascii="仿宋_GB2312" w:eastAsia="仿宋_GB2312" w:cs="仿宋_GB2312"/>
          <w:color w:val="auto"/>
          <w:szCs w:val="24"/>
        </w:rPr>
        <w:fldChar w:fldCharType="end"/>
      </w:r>
    </w:p>
    <w:p w14:paraId="64228BED">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_Toc12570 </w:instrText>
      </w:r>
      <w:r>
        <w:rPr>
          <w:rFonts w:hint="eastAsia" w:ascii="仿宋_GB2312" w:eastAsia="仿宋_GB2312" w:cs="仿宋_GB2312"/>
          <w:szCs w:val="24"/>
        </w:rPr>
        <w:fldChar w:fldCharType="separate"/>
      </w:r>
      <w:r>
        <w:rPr>
          <w:rFonts w:hint="eastAsia" w:ascii="仿宋_GB2312" w:eastAsia="仿宋_GB2312" w:cs="仿宋_GB2312"/>
          <w:szCs w:val="32"/>
          <w:highlight w:val="none"/>
          <w:lang w:val="en-US" w:eastAsia="zh-CN"/>
        </w:rPr>
        <w:t>12</w:t>
      </w:r>
      <w:r>
        <w:rPr>
          <w:rFonts w:hint="eastAsia" w:ascii="仿宋_GB2312" w:eastAsia="仿宋_GB2312" w:cs="仿宋_GB2312"/>
          <w:szCs w:val="28"/>
          <w:highlight w:val="none"/>
        </w:rPr>
        <w:t>.1说明</w:t>
      </w:r>
      <w:r>
        <w:tab/>
      </w:r>
      <w:r>
        <w:fldChar w:fldCharType="begin"/>
      </w:r>
      <w:r>
        <w:instrText xml:space="preserve"> PAGEREF _Toc12570 \h </w:instrText>
      </w:r>
      <w:r>
        <w:fldChar w:fldCharType="separate"/>
      </w:r>
      <w:r>
        <w:t>60</w:t>
      </w:r>
      <w:r>
        <w:fldChar w:fldCharType="end"/>
      </w:r>
      <w:r>
        <w:rPr>
          <w:rFonts w:hint="eastAsia" w:ascii="仿宋_GB2312" w:eastAsia="仿宋_GB2312" w:cs="仿宋_GB2312"/>
          <w:color w:val="auto"/>
          <w:szCs w:val="24"/>
        </w:rPr>
        <w:fldChar w:fldCharType="end"/>
      </w:r>
    </w:p>
    <w:p w14:paraId="690E70A9">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_Toc15699 </w:instrText>
      </w:r>
      <w:r>
        <w:rPr>
          <w:rFonts w:hint="eastAsia" w:ascii="仿宋_GB2312" w:eastAsia="仿宋_GB2312" w:cs="仿宋_GB2312"/>
          <w:szCs w:val="24"/>
        </w:rPr>
        <w:fldChar w:fldCharType="separate"/>
      </w:r>
      <w:r>
        <w:rPr>
          <w:rFonts w:hint="eastAsia" w:ascii="仿宋_GB2312" w:eastAsia="仿宋_GB2312" w:cs="仿宋_GB2312"/>
          <w:szCs w:val="28"/>
          <w:highlight w:val="none"/>
          <w:lang w:val="en-US" w:eastAsia="zh-CN"/>
        </w:rPr>
        <w:t>12</w:t>
      </w:r>
      <w:r>
        <w:rPr>
          <w:rFonts w:hint="eastAsia" w:ascii="仿宋_GB2312" w:eastAsia="仿宋_GB2312" w:cs="仿宋_GB2312"/>
          <w:szCs w:val="28"/>
          <w:highlight w:val="none"/>
        </w:rPr>
        <w:t>.2基础数据</w:t>
      </w:r>
      <w:r>
        <w:tab/>
      </w:r>
      <w:r>
        <w:fldChar w:fldCharType="begin"/>
      </w:r>
      <w:r>
        <w:instrText xml:space="preserve"> PAGEREF _Toc15699 \h </w:instrText>
      </w:r>
      <w:r>
        <w:fldChar w:fldCharType="separate"/>
      </w:r>
      <w:r>
        <w:t>60</w:t>
      </w:r>
      <w:r>
        <w:fldChar w:fldCharType="end"/>
      </w:r>
      <w:r>
        <w:rPr>
          <w:rFonts w:hint="eastAsia" w:ascii="仿宋_GB2312" w:eastAsia="仿宋_GB2312" w:cs="仿宋_GB2312"/>
          <w:color w:val="auto"/>
          <w:szCs w:val="24"/>
        </w:rPr>
        <w:fldChar w:fldCharType="end"/>
      </w:r>
    </w:p>
    <w:p w14:paraId="274D641E">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_Toc4521 </w:instrText>
      </w:r>
      <w:r>
        <w:rPr>
          <w:rFonts w:hint="eastAsia" w:ascii="仿宋_GB2312" w:eastAsia="仿宋_GB2312" w:cs="仿宋_GB2312"/>
          <w:szCs w:val="24"/>
        </w:rPr>
        <w:fldChar w:fldCharType="separate"/>
      </w:r>
      <w:r>
        <w:rPr>
          <w:rFonts w:hint="eastAsia" w:ascii="仿宋_GB2312" w:eastAsia="仿宋_GB2312" w:cs="仿宋_GB2312"/>
          <w:szCs w:val="28"/>
          <w:highlight w:val="none"/>
          <w:lang w:val="en-US" w:eastAsia="zh-CN"/>
        </w:rPr>
        <w:t>12</w:t>
      </w:r>
      <w:r>
        <w:rPr>
          <w:rFonts w:hint="eastAsia" w:ascii="仿宋_GB2312" w:eastAsia="仿宋_GB2312" w:cs="仿宋_GB2312"/>
          <w:szCs w:val="28"/>
          <w:highlight w:val="none"/>
        </w:rPr>
        <w:t>.3 财务评价</w:t>
      </w:r>
      <w:r>
        <w:tab/>
      </w:r>
      <w:r>
        <w:fldChar w:fldCharType="begin"/>
      </w:r>
      <w:r>
        <w:instrText xml:space="preserve"> PAGEREF _Toc4521 \h </w:instrText>
      </w:r>
      <w:r>
        <w:fldChar w:fldCharType="separate"/>
      </w:r>
      <w:r>
        <w:t>61</w:t>
      </w:r>
      <w:r>
        <w:fldChar w:fldCharType="end"/>
      </w:r>
      <w:r>
        <w:rPr>
          <w:rFonts w:hint="eastAsia" w:ascii="仿宋_GB2312" w:eastAsia="仿宋_GB2312" w:cs="仿宋_GB2312"/>
          <w:color w:val="auto"/>
          <w:szCs w:val="24"/>
        </w:rPr>
        <w:fldChar w:fldCharType="end"/>
      </w:r>
    </w:p>
    <w:p w14:paraId="1BD35266">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_Toc8662 </w:instrText>
      </w:r>
      <w:r>
        <w:rPr>
          <w:rFonts w:hint="eastAsia" w:ascii="仿宋_GB2312" w:eastAsia="仿宋_GB2312" w:cs="仿宋_GB2312"/>
          <w:szCs w:val="24"/>
        </w:rPr>
        <w:fldChar w:fldCharType="separate"/>
      </w:r>
      <w:r>
        <w:rPr>
          <w:rFonts w:hint="eastAsia" w:ascii="仿宋_GB2312" w:eastAsia="仿宋_GB2312" w:cs="仿宋_GB2312"/>
          <w:szCs w:val="28"/>
          <w:highlight w:val="none"/>
          <w:lang w:val="en-US" w:eastAsia="zh-CN"/>
        </w:rPr>
        <w:t>12</w:t>
      </w:r>
      <w:r>
        <w:rPr>
          <w:rFonts w:hint="eastAsia" w:ascii="仿宋_GB2312" w:eastAsia="仿宋_GB2312" w:cs="仿宋_GB2312"/>
          <w:szCs w:val="28"/>
          <w:highlight w:val="none"/>
        </w:rPr>
        <w:t>.4财务评价结论</w:t>
      </w:r>
      <w:r>
        <w:tab/>
      </w:r>
      <w:r>
        <w:fldChar w:fldCharType="begin"/>
      </w:r>
      <w:r>
        <w:instrText xml:space="preserve"> PAGEREF _Toc8662 \h </w:instrText>
      </w:r>
      <w:r>
        <w:fldChar w:fldCharType="separate"/>
      </w:r>
      <w:r>
        <w:t>62</w:t>
      </w:r>
      <w:r>
        <w:fldChar w:fldCharType="end"/>
      </w:r>
      <w:r>
        <w:rPr>
          <w:rFonts w:hint="eastAsia" w:ascii="仿宋_GB2312" w:eastAsia="仿宋_GB2312" w:cs="仿宋_GB2312"/>
          <w:color w:val="auto"/>
          <w:szCs w:val="24"/>
        </w:rPr>
        <w:fldChar w:fldCharType="end"/>
      </w:r>
    </w:p>
    <w:p w14:paraId="3BF07164">
      <w:pPr>
        <w:pStyle w:val="4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_Toc8497 </w:instrText>
      </w:r>
      <w:r>
        <w:rPr>
          <w:rFonts w:hint="eastAsia" w:ascii="仿宋_GB2312" w:eastAsia="仿宋_GB2312" w:cs="仿宋_GB2312"/>
          <w:szCs w:val="24"/>
        </w:rPr>
        <w:fldChar w:fldCharType="separate"/>
      </w:r>
      <w:r>
        <w:rPr>
          <w:rFonts w:ascii="仿宋_GB2312" w:eastAsia="仿宋_GB2312" w:cs="仿宋_GB2312"/>
          <w:szCs w:val="36"/>
        </w:rPr>
        <w:t xml:space="preserve">13 </w:t>
      </w:r>
      <w:r>
        <w:rPr>
          <w:rFonts w:hint="eastAsia" w:ascii="仿宋_GB2312" w:eastAsia="仿宋_GB2312" w:cs="仿宋_GB2312"/>
          <w:szCs w:val="36"/>
          <w:highlight w:val="none"/>
        </w:rPr>
        <w:t>开发方案简要结论</w:t>
      </w:r>
      <w:r>
        <w:tab/>
      </w:r>
      <w:r>
        <w:fldChar w:fldCharType="begin"/>
      </w:r>
      <w:r>
        <w:instrText xml:space="preserve"> PAGEREF _Toc8497 \h </w:instrText>
      </w:r>
      <w:r>
        <w:fldChar w:fldCharType="separate"/>
      </w:r>
      <w:r>
        <w:t>64</w:t>
      </w:r>
      <w:r>
        <w:fldChar w:fldCharType="end"/>
      </w:r>
      <w:r>
        <w:rPr>
          <w:rFonts w:hint="eastAsia" w:ascii="仿宋_GB2312" w:eastAsia="仿宋_GB2312" w:cs="仿宋_GB2312"/>
          <w:color w:val="auto"/>
          <w:szCs w:val="24"/>
        </w:rPr>
        <w:fldChar w:fldCharType="end"/>
      </w:r>
    </w:p>
    <w:p w14:paraId="7D2ED29B">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_Toc19753 </w:instrText>
      </w:r>
      <w:r>
        <w:rPr>
          <w:rFonts w:hint="eastAsia" w:ascii="仿宋_GB2312" w:eastAsia="仿宋_GB2312" w:cs="仿宋_GB2312"/>
          <w:szCs w:val="24"/>
        </w:rPr>
        <w:fldChar w:fldCharType="separate"/>
      </w:r>
      <w:r>
        <w:rPr>
          <w:rFonts w:hint="eastAsia" w:ascii="仿宋_GB2312" w:eastAsia="仿宋_GB2312" w:cs="仿宋_GB2312"/>
          <w:bCs w:val="0"/>
          <w:szCs w:val="28"/>
          <w:highlight w:val="none"/>
          <w:lang w:val="en-US" w:eastAsia="zh-CN"/>
        </w:rPr>
        <w:t>13</w:t>
      </w:r>
      <w:r>
        <w:rPr>
          <w:rFonts w:hint="eastAsia" w:ascii="仿宋_GB2312" w:eastAsia="仿宋_GB2312" w:cs="仿宋_GB2312"/>
          <w:bCs w:val="0"/>
          <w:szCs w:val="28"/>
          <w:highlight w:val="none"/>
        </w:rPr>
        <w:t>.1资源储量利用情况</w:t>
      </w:r>
      <w:r>
        <w:tab/>
      </w:r>
      <w:r>
        <w:fldChar w:fldCharType="begin"/>
      </w:r>
      <w:r>
        <w:instrText xml:space="preserve"> PAGEREF _Toc19753 \h </w:instrText>
      </w:r>
      <w:r>
        <w:fldChar w:fldCharType="separate"/>
      </w:r>
      <w:r>
        <w:t>64</w:t>
      </w:r>
      <w:r>
        <w:fldChar w:fldCharType="end"/>
      </w:r>
      <w:r>
        <w:rPr>
          <w:rFonts w:hint="eastAsia" w:ascii="仿宋_GB2312" w:eastAsia="仿宋_GB2312" w:cs="仿宋_GB2312"/>
          <w:color w:val="auto"/>
          <w:szCs w:val="24"/>
        </w:rPr>
        <w:fldChar w:fldCharType="end"/>
      </w:r>
    </w:p>
    <w:p w14:paraId="651EBE59">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_Toc24088 </w:instrText>
      </w:r>
      <w:r>
        <w:rPr>
          <w:rFonts w:hint="eastAsia" w:ascii="仿宋_GB2312" w:eastAsia="仿宋_GB2312" w:cs="仿宋_GB2312"/>
          <w:szCs w:val="24"/>
        </w:rPr>
        <w:fldChar w:fldCharType="separate"/>
      </w:r>
      <w:r>
        <w:rPr>
          <w:rFonts w:hint="eastAsia" w:ascii="仿宋_GB2312" w:eastAsia="仿宋_GB2312" w:cs="仿宋_GB2312"/>
          <w:bCs w:val="0"/>
          <w:szCs w:val="28"/>
          <w:highlight w:val="none"/>
        </w:rPr>
        <w:t>1</w:t>
      </w:r>
      <w:r>
        <w:rPr>
          <w:rFonts w:hint="eastAsia" w:ascii="仿宋_GB2312" w:eastAsia="仿宋_GB2312" w:cs="仿宋_GB2312"/>
          <w:bCs w:val="0"/>
          <w:szCs w:val="28"/>
          <w:highlight w:val="none"/>
          <w:lang w:val="en-US" w:eastAsia="zh-CN"/>
        </w:rPr>
        <w:t>3</w:t>
      </w:r>
      <w:r>
        <w:rPr>
          <w:rFonts w:hint="eastAsia" w:ascii="仿宋_GB2312" w:eastAsia="仿宋_GB2312" w:cs="仿宋_GB2312"/>
          <w:bCs w:val="0"/>
          <w:szCs w:val="28"/>
          <w:highlight w:val="none"/>
        </w:rPr>
        <w:t>.2生产规模及服务年限</w:t>
      </w:r>
      <w:r>
        <w:tab/>
      </w:r>
      <w:r>
        <w:fldChar w:fldCharType="begin"/>
      </w:r>
      <w:r>
        <w:instrText xml:space="preserve"> PAGEREF _Toc24088 \h </w:instrText>
      </w:r>
      <w:r>
        <w:fldChar w:fldCharType="separate"/>
      </w:r>
      <w:r>
        <w:t>64</w:t>
      </w:r>
      <w:r>
        <w:fldChar w:fldCharType="end"/>
      </w:r>
      <w:r>
        <w:rPr>
          <w:rFonts w:hint="eastAsia" w:ascii="仿宋_GB2312" w:eastAsia="仿宋_GB2312" w:cs="仿宋_GB2312"/>
          <w:color w:val="auto"/>
          <w:szCs w:val="24"/>
        </w:rPr>
        <w:fldChar w:fldCharType="end"/>
      </w:r>
    </w:p>
    <w:p w14:paraId="6DE70E0D">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_Toc29683 </w:instrText>
      </w:r>
      <w:r>
        <w:rPr>
          <w:rFonts w:hint="eastAsia" w:ascii="仿宋_GB2312" w:eastAsia="仿宋_GB2312" w:cs="仿宋_GB2312"/>
          <w:szCs w:val="24"/>
        </w:rPr>
        <w:fldChar w:fldCharType="separate"/>
      </w:r>
      <w:r>
        <w:rPr>
          <w:rFonts w:hint="eastAsia" w:ascii="仿宋_GB2312" w:eastAsia="仿宋_GB2312" w:cs="仿宋_GB2312"/>
          <w:bCs w:val="0"/>
          <w:szCs w:val="28"/>
          <w:highlight w:val="none"/>
        </w:rPr>
        <w:t>1</w:t>
      </w:r>
      <w:r>
        <w:rPr>
          <w:rFonts w:hint="eastAsia" w:ascii="仿宋_GB2312" w:eastAsia="仿宋_GB2312" w:cs="仿宋_GB2312"/>
          <w:bCs w:val="0"/>
          <w:szCs w:val="28"/>
          <w:highlight w:val="none"/>
          <w:lang w:val="en-US" w:eastAsia="zh-CN"/>
        </w:rPr>
        <w:t>3</w:t>
      </w:r>
      <w:r>
        <w:rPr>
          <w:rFonts w:hint="eastAsia" w:ascii="仿宋_GB2312" w:eastAsia="仿宋_GB2312" w:cs="仿宋_GB2312"/>
          <w:bCs w:val="0"/>
          <w:szCs w:val="28"/>
          <w:highlight w:val="none"/>
        </w:rPr>
        <w:t>.3产品方案</w:t>
      </w:r>
      <w:r>
        <w:tab/>
      </w:r>
      <w:r>
        <w:fldChar w:fldCharType="begin"/>
      </w:r>
      <w:r>
        <w:instrText xml:space="preserve"> PAGEREF _Toc29683 \h </w:instrText>
      </w:r>
      <w:r>
        <w:fldChar w:fldCharType="separate"/>
      </w:r>
      <w:r>
        <w:t>64</w:t>
      </w:r>
      <w:r>
        <w:fldChar w:fldCharType="end"/>
      </w:r>
      <w:r>
        <w:rPr>
          <w:rFonts w:hint="eastAsia" w:ascii="仿宋_GB2312" w:eastAsia="仿宋_GB2312" w:cs="仿宋_GB2312"/>
          <w:color w:val="auto"/>
          <w:szCs w:val="24"/>
        </w:rPr>
        <w:fldChar w:fldCharType="end"/>
      </w:r>
    </w:p>
    <w:p w14:paraId="4F93FFE2">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_Toc731 </w:instrText>
      </w:r>
      <w:r>
        <w:rPr>
          <w:rFonts w:hint="eastAsia" w:ascii="仿宋_GB2312" w:eastAsia="仿宋_GB2312" w:cs="仿宋_GB2312"/>
          <w:szCs w:val="24"/>
        </w:rPr>
        <w:fldChar w:fldCharType="separate"/>
      </w:r>
      <w:r>
        <w:rPr>
          <w:rFonts w:hint="eastAsia" w:ascii="仿宋_GB2312" w:eastAsia="仿宋_GB2312" w:cs="仿宋_GB2312"/>
          <w:bCs w:val="0"/>
          <w:szCs w:val="28"/>
          <w:highlight w:val="none"/>
        </w:rPr>
        <w:t>1</w:t>
      </w:r>
      <w:r>
        <w:rPr>
          <w:rFonts w:hint="eastAsia" w:ascii="仿宋_GB2312" w:eastAsia="仿宋_GB2312" w:cs="仿宋_GB2312"/>
          <w:bCs w:val="0"/>
          <w:szCs w:val="28"/>
          <w:highlight w:val="none"/>
          <w:lang w:val="en-US" w:eastAsia="zh-CN"/>
        </w:rPr>
        <w:t>3</w:t>
      </w:r>
      <w:r>
        <w:rPr>
          <w:rFonts w:hint="eastAsia" w:ascii="仿宋_GB2312" w:eastAsia="仿宋_GB2312" w:cs="仿宋_GB2312"/>
          <w:bCs w:val="0"/>
          <w:szCs w:val="28"/>
          <w:highlight w:val="none"/>
        </w:rPr>
        <w:t>.4开采方式、开拓运输</w:t>
      </w:r>
      <w:r>
        <w:tab/>
      </w:r>
      <w:r>
        <w:fldChar w:fldCharType="begin"/>
      </w:r>
      <w:r>
        <w:instrText xml:space="preserve"> PAGEREF _Toc731 \h </w:instrText>
      </w:r>
      <w:r>
        <w:fldChar w:fldCharType="separate"/>
      </w:r>
      <w:r>
        <w:t>64</w:t>
      </w:r>
      <w:r>
        <w:fldChar w:fldCharType="end"/>
      </w:r>
      <w:r>
        <w:rPr>
          <w:rFonts w:hint="eastAsia" w:ascii="仿宋_GB2312" w:eastAsia="仿宋_GB2312" w:cs="仿宋_GB2312"/>
          <w:color w:val="auto"/>
          <w:szCs w:val="24"/>
        </w:rPr>
        <w:fldChar w:fldCharType="end"/>
      </w:r>
    </w:p>
    <w:p w14:paraId="384D176E">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_Toc9579 </w:instrText>
      </w:r>
      <w:r>
        <w:rPr>
          <w:rFonts w:hint="eastAsia" w:ascii="仿宋_GB2312" w:eastAsia="仿宋_GB2312" w:cs="仿宋_GB2312"/>
          <w:szCs w:val="24"/>
        </w:rPr>
        <w:fldChar w:fldCharType="separate"/>
      </w:r>
      <w:r>
        <w:rPr>
          <w:rFonts w:hint="eastAsia" w:ascii="仿宋_GB2312" w:eastAsia="仿宋_GB2312" w:cs="仿宋_GB2312"/>
          <w:bCs w:val="0"/>
          <w:szCs w:val="28"/>
          <w:highlight w:val="none"/>
        </w:rPr>
        <w:t>1</w:t>
      </w:r>
      <w:r>
        <w:rPr>
          <w:rFonts w:hint="eastAsia" w:ascii="仿宋_GB2312" w:eastAsia="仿宋_GB2312" w:cs="仿宋_GB2312"/>
          <w:bCs w:val="0"/>
          <w:szCs w:val="28"/>
          <w:highlight w:val="none"/>
          <w:lang w:val="en-US" w:eastAsia="zh-CN"/>
        </w:rPr>
        <w:t>3</w:t>
      </w:r>
      <w:r>
        <w:rPr>
          <w:rFonts w:hint="eastAsia" w:ascii="仿宋_GB2312" w:eastAsia="仿宋_GB2312" w:cs="仿宋_GB2312"/>
          <w:bCs w:val="0"/>
          <w:szCs w:val="28"/>
          <w:highlight w:val="none"/>
        </w:rPr>
        <w:t>.5采、选工艺方案</w:t>
      </w:r>
      <w:r>
        <w:tab/>
      </w:r>
      <w:r>
        <w:fldChar w:fldCharType="begin"/>
      </w:r>
      <w:r>
        <w:instrText xml:space="preserve"> PAGEREF _Toc9579 \h </w:instrText>
      </w:r>
      <w:r>
        <w:fldChar w:fldCharType="separate"/>
      </w:r>
      <w:r>
        <w:t>64</w:t>
      </w:r>
      <w:r>
        <w:fldChar w:fldCharType="end"/>
      </w:r>
      <w:r>
        <w:rPr>
          <w:rFonts w:hint="eastAsia" w:ascii="仿宋_GB2312" w:eastAsia="仿宋_GB2312" w:cs="仿宋_GB2312"/>
          <w:color w:val="auto"/>
          <w:szCs w:val="24"/>
        </w:rPr>
        <w:fldChar w:fldCharType="end"/>
      </w:r>
    </w:p>
    <w:p w14:paraId="2E15D330">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_Toc19925 </w:instrText>
      </w:r>
      <w:r>
        <w:rPr>
          <w:rFonts w:hint="eastAsia" w:ascii="仿宋_GB2312" w:eastAsia="仿宋_GB2312" w:cs="仿宋_GB2312"/>
          <w:szCs w:val="24"/>
        </w:rPr>
        <w:fldChar w:fldCharType="separate"/>
      </w:r>
      <w:r>
        <w:rPr>
          <w:rFonts w:hint="eastAsia" w:ascii="仿宋_GB2312" w:eastAsia="仿宋_GB2312" w:cs="仿宋_GB2312"/>
          <w:bCs w:val="0"/>
          <w:szCs w:val="28"/>
          <w:highlight w:val="none"/>
        </w:rPr>
        <w:t>1</w:t>
      </w:r>
      <w:r>
        <w:rPr>
          <w:rFonts w:hint="eastAsia" w:ascii="仿宋_GB2312" w:eastAsia="仿宋_GB2312" w:cs="仿宋_GB2312"/>
          <w:bCs w:val="0"/>
          <w:szCs w:val="28"/>
          <w:highlight w:val="none"/>
          <w:lang w:val="en-US" w:eastAsia="zh-CN"/>
        </w:rPr>
        <w:t>3</w:t>
      </w:r>
      <w:r>
        <w:rPr>
          <w:rFonts w:hint="eastAsia" w:ascii="仿宋_GB2312" w:eastAsia="仿宋_GB2312" w:cs="仿宋_GB2312"/>
          <w:bCs w:val="0"/>
          <w:szCs w:val="28"/>
          <w:highlight w:val="none"/>
        </w:rPr>
        <w:t>.6综合回收、综合利用方案</w:t>
      </w:r>
      <w:r>
        <w:tab/>
      </w:r>
      <w:r>
        <w:fldChar w:fldCharType="begin"/>
      </w:r>
      <w:r>
        <w:instrText xml:space="preserve"> PAGEREF _Toc19925 \h </w:instrText>
      </w:r>
      <w:r>
        <w:fldChar w:fldCharType="separate"/>
      </w:r>
      <w:r>
        <w:t>65</w:t>
      </w:r>
      <w:r>
        <w:fldChar w:fldCharType="end"/>
      </w:r>
      <w:r>
        <w:rPr>
          <w:rFonts w:hint="eastAsia" w:ascii="仿宋_GB2312" w:eastAsia="仿宋_GB2312" w:cs="仿宋_GB2312"/>
          <w:color w:val="auto"/>
          <w:szCs w:val="24"/>
        </w:rPr>
        <w:fldChar w:fldCharType="end"/>
      </w:r>
    </w:p>
    <w:p w14:paraId="0F41161F">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_Toc27254 </w:instrText>
      </w:r>
      <w:r>
        <w:rPr>
          <w:rFonts w:hint="eastAsia" w:ascii="仿宋_GB2312" w:eastAsia="仿宋_GB2312" w:cs="仿宋_GB2312"/>
          <w:szCs w:val="24"/>
        </w:rPr>
        <w:fldChar w:fldCharType="separate"/>
      </w:r>
      <w:r>
        <w:rPr>
          <w:rFonts w:hint="eastAsia" w:ascii="仿宋_GB2312" w:eastAsia="仿宋_GB2312" w:cs="仿宋_GB2312"/>
          <w:bCs w:val="0"/>
          <w:szCs w:val="28"/>
          <w:highlight w:val="none"/>
        </w:rPr>
        <w:t>1</w:t>
      </w:r>
      <w:r>
        <w:rPr>
          <w:rFonts w:hint="eastAsia" w:ascii="仿宋_GB2312" w:eastAsia="仿宋_GB2312" w:cs="仿宋_GB2312"/>
          <w:bCs w:val="0"/>
          <w:szCs w:val="28"/>
          <w:highlight w:val="none"/>
          <w:lang w:val="en-US" w:eastAsia="zh-CN"/>
        </w:rPr>
        <w:t>3</w:t>
      </w:r>
      <w:r>
        <w:rPr>
          <w:rFonts w:hint="eastAsia" w:ascii="仿宋_GB2312" w:eastAsia="仿宋_GB2312" w:cs="仿宋_GB2312"/>
          <w:bCs w:val="0"/>
          <w:szCs w:val="28"/>
          <w:highlight w:val="none"/>
        </w:rPr>
        <w:t>.7“三率”指标对比</w:t>
      </w:r>
      <w:r>
        <w:tab/>
      </w:r>
      <w:r>
        <w:fldChar w:fldCharType="begin"/>
      </w:r>
      <w:r>
        <w:instrText xml:space="preserve"> PAGEREF _Toc27254 \h </w:instrText>
      </w:r>
      <w:r>
        <w:fldChar w:fldCharType="separate"/>
      </w:r>
      <w:r>
        <w:t>65</w:t>
      </w:r>
      <w:r>
        <w:fldChar w:fldCharType="end"/>
      </w:r>
      <w:r>
        <w:rPr>
          <w:rFonts w:hint="eastAsia" w:ascii="仿宋_GB2312" w:eastAsia="仿宋_GB2312" w:cs="仿宋_GB2312"/>
          <w:color w:val="auto"/>
          <w:szCs w:val="24"/>
        </w:rPr>
        <w:fldChar w:fldCharType="end"/>
      </w:r>
    </w:p>
    <w:p w14:paraId="1CC9655F">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_Toc16493 </w:instrText>
      </w:r>
      <w:r>
        <w:rPr>
          <w:rFonts w:hint="eastAsia" w:ascii="仿宋_GB2312" w:eastAsia="仿宋_GB2312" w:cs="仿宋_GB2312"/>
          <w:szCs w:val="24"/>
        </w:rPr>
        <w:fldChar w:fldCharType="separate"/>
      </w:r>
      <w:r>
        <w:rPr>
          <w:rFonts w:hint="eastAsia" w:ascii="仿宋_GB2312" w:eastAsia="仿宋_GB2312" w:cs="仿宋_GB2312"/>
          <w:bCs w:val="0"/>
          <w:szCs w:val="28"/>
          <w:highlight w:val="none"/>
          <w:lang w:val="en-US" w:eastAsia="zh-CN"/>
        </w:rPr>
        <w:t>13.8</w:t>
      </w:r>
      <w:r>
        <w:rPr>
          <w:rFonts w:hint="eastAsia" w:ascii="仿宋_GB2312" w:eastAsia="仿宋_GB2312" w:cs="仿宋_GB2312"/>
          <w:bCs w:val="0"/>
          <w:szCs w:val="28"/>
          <w:highlight w:val="none"/>
        </w:rPr>
        <w:t>主要综合技术经济指标</w:t>
      </w:r>
      <w:r>
        <w:tab/>
      </w:r>
      <w:r>
        <w:fldChar w:fldCharType="begin"/>
      </w:r>
      <w:r>
        <w:instrText xml:space="preserve"> PAGEREF _Toc16493 \h </w:instrText>
      </w:r>
      <w:r>
        <w:fldChar w:fldCharType="separate"/>
      </w:r>
      <w:r>
        <w:t>65</w:t>
      </w:r>
      <w:r>
        <w:fldChar w:fldCharType="end"/>
      </w:r>
      <w:r>
        <w:rPr>
          <w:rFonts w:hint="eastAsia" w:ascii="仿宋_GB2312" w:eastAsia="仿宋_GB2312" w:cs="仿宋_GB2312"/>
          <w:color w:val="auto"/>
          <w:szCs w:val="24"/>
        </w:rPr>
        <w:fldChar w:fldCharType="end"/>
      </w:r>
    </w:p>
    <w:p w14:paraId="041E6E4C">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_Toc12969 </w:instrText>
      </w:r>
      <w:r>
        <w:rPr>
          <w:rFonts w:hint="eastAsia" w:ascii="仿宋_GB2312" w:eastAsia="仿宋_GB2312" w:cs="仿宋_GB2312"/>
          <w:szCs w:val="24"/>
        </w:rPr>
        <w:fldChar w:fldCharType="separate"/>
      </w:r>
      <w:r>
        <w:rPr>
          <w:rFonts w:hint="eastAsia" w:ascii="仿宋_GB2312" w:eastAsia="仿宋_GB2312" w:cs="仿宋_GB2312"/>
          <w:bCs w:val="0"/>
          <w:szCs w:val="28"/>
          <w:highlight w:val="none"/>
          <w:lang w:val="en-US" w:eastAsia="zh-CN"/>
        </w:rPr>
        <w:t>13.9</w:t>
      </w:r>
      <w:r>
        <w:rPr>
          <w:rFonts w:hint="eastAsia" w:ascii="仿宋_GB2312" w:eastAsia="仿宋_GB2312" w:cs="仿宋_GB2312"/>
          <w:bCs w:val="0"/>
          <w:szCs w:val="28"/>
          <w:highlight w:val="none"/>
        </w:rPr>
        <w:t>工程项目扼要综合评价</w:t>
      </w:r>
      <w:r>
        <w:tab/>
      </w:r>
      <w:r>
        <w:fldChar w:fldCharType="begin"/>
      </w:r>
      <w:r>
        <w:instrText xml:space="preserve"> PAGEREF _Toc12969 \h </w:instrText>
      </w:r>
      <w:r>
        <w:fldChar w:fldCharType="separate"/>
      </w:r>
      <w:r>
        <w:t>66</w:t>
      </w:r>
      <w:r>
        <w:fldChar w:fldCharType="end"/>
      </w:r>
      <w:r>
        <w:rPr>
          <w:rFonts w:hint="eastAsia" w:ascii="仿宋_GB2312" w:eastAsia="仿宋_GB2312" w:cs="仿宋_GB2312"/>
          <w:color w:val="auto"/>
          <w:szCs w:val="24"/>
        </w:rPr>
        <w:fldChar w:fldCharType="end"/>
      </w:r>
    </w:p>
    <w:p w14:paraId="392C642A">
      <w:pPr>
        <w:pStyle w:val="52"/>
        <w:tabs>
          <w:tab w:val="right" w:leader="dot" w:pos="8958"/>
        </w:tabs>
      </w:pPr>
      <w:r>
        <w:rPr>
          <w:rFonts w:hint="eastAsia" w:ascii="仿宋_GB2312" w:eastAsia="仿宋_GB2312" w:cs="仿宋_GB2312"/>
          <w:szCs w:val="24"/>
        </w:rPr>
        <w:fldChar w:fldCharType="begin"/>
      </w:r>
      <w:r>
        <w:rPr>
          <w:rFonts w:hint="eastAsia" w:ascii="仿宋_GB2312" w:eastAsia="仿宋_GB2312" w:cs="仿宋_GB2312"/>
          <w:szCs w:val="24"/>
        </w:rPr>
        <w:instrText xml:space="preserve"> HYPERLINK \l _Toc22657 </w:instrText>
      </w:r>
      <w:r>
        <w:rPr>
          <w:rFonts w:hint="eastAsia" w:ascii="仿宋_GB2312" w:eastAsia="仿宋_GB2312" w:cs="仿宋_GB2312"/>
          <w:szCs w:val="24"/>
        </w:rPr>
        <w:fldChar w:fldCharType="separate"/>
      </w:r>
      <w:r>
        <w:rPr>
          <w:rFonts w:hint="eastAsia" w:ascii="仿宋_GB2312" w:eastAsia="仿宋_GB2312" w:cs="仿宋_GB2312"/>
          <w:bCs w:val="0"/>
          <w:szCs w:val="28"/>
          <w:highlight w:val="none"/>
          <w:lang w:val="en-US" w:eastAsia="zh-CN"/>
        </w:rPr>
        <w:t>13.10存在的主要问题及建议</w:t>
      </w:r>
      <w:r>
        <w:tab/>
      </w:r>
      <w:r>
        <w:fldChar w:fldCharType="begin"/>
      </w:r>
      <w:r>
        <w:instrText xml:space="preserve"> PAGEREF _Toc22657 \h </w:instrText>
      </w:r>
      <w:r>
        <w:fldChar w:fldCharType="separate"/>
      </w:r>
      <w:r>
        <w:t>66</w:t>
      </w:r>
      <w:r>
        <w:fldChar w:fldCharType="end"/>
      </w:r>
      <w:r>
        <w:rPr>
          <w:rFonts w:hint="eastAsia" w:ascii="仿宋_GB2312" w:eastAsia="仿宋_GB2312" w:cs="仿宋_GB2312"/>
          <w:color w:val="auto"/>
          <w:szCs w:val="24"/>
        </w:rPr>
        <w:fldChar w:fldCharType="end"/>
      </w:r>
    </w:p>
    <w:p w14:paraId="06389F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cs="仿宋_GB2312"/>
          <w:color w:val="auto"/>
          <w:szCs w:val="24"/>
        </w:rPr>
        <w:sectPr>
          <w:headerReference r:id="rId7" w:type="default"/>
          <w:footerReference r:id="rId8" w:type="default"/>
          <w:pgSz w:w="11906" w:h="16838"/>
          <w:pgMar w:top="1814" w:right="1474" w:bottom="1814" w:left="1474" w:header="1361" w:footer="1361" w:gutter="0"/>
          <w:pgNumType w:fmt="upperRoman" w:start="1"/>
          <w:cols w:space="720" w:num="1"/>
          <w:docGrid w:type="lines" w:linePitch="381" w:charSpace="0"/>
        </w:sectPr>
      </w:pPr>
      <w:r>
        <w:rPr>
          <w:rFonts w:hint="eastAsia" w:ascii="仿宋_GB2312" w:eastAsia="仿宋_GB2312" w:cs="仿宋_GB2312"/>
          <w:color w:val="auto"/>
          <w:szCs w:val="24"/>
        </w:rPr>
        <w:fldChar w:fldCharType="end"/>
      </w:r>
    </w:p>
    <w:p w14:paraId="67E005D9">
      <w:pPr>
        <w:ind w:firstLine="186" w:firstLineChars="66"/>
        <w:rPr>
          <w:rFonts w:hint="eastAsia" w:ascii="仿宋_GB2312" w:eastAsia="仿宋_GB2312" w:cs="仿宋_GB2312"/>
          <w:b/>
          <w:color w:val="auto"/>
        </w:rPr>
      </w:pPr>
      <w:r>
        <w:rPr>
          <w:rFonts w:hint="eastAsia" w:ascii="仿宋_GB2312" w:eastAsia="仿宋_GB2312" w:cs="仿宋_GB2312"/>
          <w:b/>
          <w:color w:val="auto"/>
        </w:rPr>
        <w:t>附 图</w:t>
      </w:r>
      <w:r>
        <w:rPr>
          <w:rFonts w:hint="eastAsia" w:ascii="仿宋_GB2312" w:eastAsia="仿宋_GB2312" w:cs="仿宋_GB2312"/>
          <w:b/>
          <w:color w:val="auto"/>
          <w:lang w:eastAsia="zh-CN"/>
        </w:rPr>
        <w:t>：</w:t>
      </w:r>
    </w:p>
    <w:tbl>
      <w:tblPr>
        <w:tblStyle w:val="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6219"/>
        <w:gridCol w:w="1408"/>
      </w:tblGrid>
      <w:tr w14:paraId="2AAF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pct"/>
          </w:tcPr>
          <w:p w14:paraId="2293690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序号</w:t>
            </w:r>
          </w:p>
        </w:tc>
        <w:tc>
          <w:tcPr>
            <w:tcW w:w="3389" w:type="pct"/>
          </w:tcPr>
          <w:p w14:paraId="4CF4AD2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图名</w:t>
            </w:r>
          </w:p>
        </w:tc>
        <w:tc>
          <w:tcPr>
            <w:tcW w:w="767" w:type="pct"/>
          </w:tcPr>
          <w:p w14:paraId="3C7C11C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比例尺</w:t>
            </w:r>
          </w:p>
        </w:tc>
      </w:tr>
      <w:tr w14:paraId="1CE1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pct"/>
            <w:tcBorders>
              <w:top w:val="single" w:color="auto" w:sz="4" w:space="0"/>
              <w:left w:val="single" w:color="auto" w:sz="4" w:space="0"/>
              <w:right w:val="single" w:color="auto" w:sz="4" w:space="0"/>
            </w:tcBorders>
          </w:tcPr>
          <w:p w14:paraId="209CF39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附图1</w:t>
            </w:r>
          </w:p>
        </w:tc>
        <w:tc>
          <w:tcPr>
            <w:tcW w:w="3389" w:type="pct"/>
            <w:tcBorders>
              <w:top w:val="single" w:color="auto" w:sz="4" w:space="0"/>
              <w:left w:val="single" w:color="auto" w:sz="4" w:space="0"/>
              <w:right w:val="single" w:color="auto" w:sz="4" w:space="0"/>
            </w:tcBorders>
          </w:tcPr>
          <w:p w14:paraId="78EFD83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地形地质图</w:t>
            </w:r>
          </w:p>
        </w:tc>
        <w:tc>
          <w:tcPr>
            <w:tcW w:w="767" w:type="pct"/>
            <w:tcBorders>
              <w:top w:val="single" w:color="auto" w:sz="4" w:space="0"/>
              <w:left w:val="single" w:color="auto" w:sz="4" w:space="0"/>
              <w:right w:val="single" w:color="auto" w:sz="4" w:space="0"/>
            </w:tcBorders>
          </w:tcPr>
          <w:p w14:paraId="453FBBD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1:</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000</w:t>
            </w:r>
          </w:p>
        </w:tc>
      </w:tr>
      <w:tr w14:paraId="01FD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pct"/>
            <w:tcBorders>
              <w:top w:val="single" w:color="auto" w:sz="4" w:space="0"/>
              <w:left w:val="single" w:color="auto" w:sz="4" w:space="0"/>
              <w:right w:val="single" w:color="auto" w:sz="4" w:space="0"/>
            </w:tcBorders>
          </w:tcPr>
          <w:p w14:paraId="0C36921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rPr>
              <w:t>附图2</w:t>
            </w:r>
          </w:p>
        </w:tc>
        <w:tc>
          <w:tcPr>
            <w:tcW w:w="3389" w:type="pct"/>
            <w:tcBorders>
              <w:top w:val="single" w:color="auto" w:sz="4" w:space="0"/>
              <w:left w:val="single" w:color="auto" w:sz="4" w:space="0"/>
              <w:right w:val="single" w:color="auto" w:sz="4" w:space="0"/>
            </w:tcBorders>
          </w:tcPr>
          <w:p w14:paraId="3E39822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rPr>
              <w:t>资源量估算图</w:t>
            </w:r>
          </w:p>
        </w:tc>
        <w:tc>
          <w:tcPr>
            <w:tcW w:w="767" w:type="pct"/>
            <w:tcBorders>
              <w:top w:val="single" w:color="auto" w:sz="4" w:space="0"/>
              <w:left w:val="single" w:color="auto" w:sz="4" w:space="0"/>
              <w:right w:val="single" w:color="auto" w:sz="4" w:space="0"/>
            </w:tcBorders>
          </w:tcPr>
          <w:p w14:paraId="52901A9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sz w:val="28"/>
                <w:szCs w:val="28"/>
              </w:rPr>
              <w:t>1:</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000</w:t>
            </w:r>
          </w:p>
        </w:tc>
      </w:tr>
      <w:tr w14:paraId="570C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pct"/>
            <w:tcBorders>
              <w:top w:val="single" w:color="auto" w:sz="4" w:space="0"/>
              <w:left w:val="single" w:color="auto" w:sz="4" w:space="0"/>
              <w:right w:val="single" w:color="auto" w:sz="4" w:space="0"/>
            </w:tcBorders>
          </w:tcPr>
          <w:p w14:paraId="27D137B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sz w:val="28"/>
                <w:szCs w:val="28"/>
              </w:rPr>
              <w:t>附图3</w:t>
            </w:r>
          </w:p>
        </w:tc>
        <w:tc>
          <w:tcPr>
            <w:tcW w:w="3389" w:type="pct"/>
            <w:tcBorders>
              <w:top w:val="single" w:color="auto" w:sz="4" w:space="0"/>
              <w:left w:val="single" w:color="auto" w:sz="4" w:space="0"/>
              <w:right w:val="single" w:color="auto" w:sz="4" w:space="0"/>
            </w:tcBorders>
          </w:tcPr>
          <w:p w14:paraId="1474D9A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露天开采终了平面图</w:t>
            </w:r>
          </w:p>
        </w:tc>
        <w:tc>
          <w:tcPr>
            <w:tcW w:w="767" w:type="pct"/>
            <w:tcBorders>
              <w:top w:val="single" w:color="auto" w:sz="4" w:space="0"/>
              <w:left w:val="single" w:color="auto" w:sz="4" w:space="0"/>
              <w:right w:val="single" w:color="auto" w:sz="4" w:space="0"/>
            </w:tcBorders>
          </w:tcPr>
          <w:p w14:paraId="77CAAFD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sz w:val="28"/>
                <w:szCs w:val="28"/>
              </w:rPr>
              <w:t>1:</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000</w:t>
            </w:r>
          </w:p>
        </w:tc>
      </w:tr>
      <w:tr w14:paraId="0574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pct"/>
            <w:tcBorders>
              <w:top w:val="single" w:color="auto" w:sz="4" w:space="0"/>
              <w:left w:val="single" w:color="auto" w:sz="4" w:space="0"/>
              <w:right w:val="single" w:color="auto" w:sz="4" w:space="0"/>
            </w:tcBorders>
          </w:tcPr>
          <w:p w14:paraId="607666C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sz w:val="28"/>
                <w:szCs w:val="28"/>
              </w:rPr>
              <w:t>附图4</w:t>
            </w:r>
          </w:p>
        </w:tc>
        <w:tc>
          <w:tcPr>
            <w:tcW w:w="3389" w:type="pct"/>
            <w:tcBorders>
              <w:top w:val="single" w:color="auto" w:sz="4" w:space="0"/>
              <w:left w:val="single" w:color="auto" w:sz="4" w:space="0"/>
              <w:right w:val="single" w:color="auto" w:sz="4" w:space="0"/>
            </w:tcBorders>
          </w:tcPr>
          <w:p w14:paraId="4C2CD47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总平面布置及地表防洪工程平面图</w:t>
            </w:r>
          </w:p>
        </w:tc>
        <w:tc>
          <w:tcPr>
            <w:tcW w:w="767" w:type="pct"/>
            <w:tcBorders>
              <w:top w:val="single" w:color="auto" w:sz="4" w:space="0"/>
              <w:left w:val="single" w:color="auto" w:sz="4" w:space="0"/>
              <w:right w:val="single" w:color="auto" w:sz="4" w:space="0"/>
            </w:tcBorders>
          </w:tcPr>
          <w:p w14:paraId="3BAB5C4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sz w:val="28"/>
                <w:szCs w:val="28"/>
              </w:rPr>
              <w:t>1:</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000</w:t>
            </w:r>
          </w:p>
        </w:tc>
      </w:tr>
      <w:tr w14:paraId="46CA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pct"/>
            <w:tcBorders>
              <w:top w:val="single" w:color="auto" w:sz="4" w:space="0"/>
              <w:left w:val="single" w:color="auto" w:sz="4" w:space="0"/>
              <w:right w:val="single" w:color="auto" w:sz="4" w:space="0"/>
            </w:tcBorders>
          </w:tcPr>
          <w:p w14:paraId="334B70E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rPr>
              <w:t>附图5</w:t>
            </w:r>
          </w:p>
        </w:tc>
        <w:tc>
          <w:tcPr>
            <w:tcW w:w="3389" w:type="pct"/>
            <w:tcBorders>
              <w:top w:val="single" w:color="auto" w:sz="4" w:space="0"/>
              <w:left w:val="single" w:color="auto" w:sz="4" w:space="0"/>
              <w:right w:val="single" w:color="auto" w:sz="4" w:space="0"/>
            </w:tcBorders>
          </w:tcPr>
          <w:p w14:paraId="62FC73E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rPr>
              <w:t>勘探线剖面图</w:t>
            </w:r>
          </w:p>
        </w:tc>
        <w:tc>
          <w:tcPr>
            <w:tcW w:w="767" w:type="pct"/>
            <w:tcBorders>
              <w:top w:val="single" w:color="auto" w:sz="4" w:space="0"/>
              <w:left w:val="single" w:color="auto" w:sz="4" w:space="0"/>
              <w:right w:val="single" w:color="auto" w:sz="4" w:space="0"/>
            </w:tcBorders>
          </w:tcPr>
          <w:p w14:paraId="78ECB8E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sz w:val="28"/>
                <w:szCs w:val="28"/>
              </w:rPr>
              <w:t>1:</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000</w:t>
            </w:r>
          </w:p>
        </w:tc>
      </w:tr>
      <w:tr w14:paraId="3993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pct"/>
            <w:tcBorders>
              <w:top w:val="single" w:color="auto" w:sz="4" w:space="0"/>
              <w:left w:val="single" w:color="auto" w:sz="4" w:space="0"/>
              <w:right w:val="single" w:color="auto" w:sz="4" w:space="0"/>
            </w:tcBorders>
          </w:tcPr>
          <w:p w14:paraId="21F6103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sz w:val="28"/>
                <w:szCs w:val="28"/>
              </w:rPr>
              <w:t>附图6</w:t>
            </w:r>
          </w:p>
        </w:tc>
        <w:tc>
          <w:tcPr>
            <w:tcW w:w="3389" w:type="pct"/>
            <w:tcBorders>
              <w:top w:val="single" w:color="auto" w:sz="4" w:space="0"/>
              <w:left w:val="single" w:color="auto" w:sz="4" w:space="0"/>
              <w:right w:val="single" w:color="auto" w:sz="4" w:space="0"/>
            </w:tcBorders>
          </w:tcPr>
          <w:p w14:paraId="5175DFB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sz w:val="28"/>
                <w:szCs w:val="28"/>
              </w:rPr>
              <w:t>采矿方法图</w:t>
            </w:r>
          </w:p>
        </w:tc>
        <w:tc>
          <w:tcPr>
            <w:tcW w:w="767" w:type="pct"/>
            <w:tcBorders>
              <w:top w:val="single" w:color="auto" w:sz="4" w:space="0"/>
              <w:left w:val="single" w:color="auto" w:sz="4" w:space="0"/>
              <w:right w:val="single" w:color="auto" w:sz="4" w:space="0"/>
            </w:tcBorders>
          </w:tcPr>
          <w:p w14:paraId="6FC588B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sz w:val="28"/>
                <w:szCs w:val="28"/>
              </w:rPr>
              <w:t>-</w:t>
            </w:r>
          </w:p>
        </w:tc>
      </w:tr>
    </w:tbl>
    <w:p w14:paraId="4598C197">
      <w:pPr>
        <w:adjustRightInd w:val="0"/>
        <w:snapToGrid w:val="0"/>
        <w:spacing w:line="360" w:lineRule="auto"/>
        <w:ind w:firstLine="480" w:firstLineChars="200"/>
        <w:rPr>
          <w:rFonts w:hint="eastAsia" w:ascii="仿宋_GB2312" w:eastAsia="仿宋_GB2312" w:cs="仿宋_GB2312"/>
          <w:color w:val="auto"/>
          <w:sz w:val="24"/>
          <w:szCs w:val="24"/>
        </w:rPr>
      </w:pPr>
    </w:p>
    <w:p w14:paraId="4FE4CC7D">
      <w:pPr>
        <w:adjustRightInd w:val="0"/>
        <w:snapToGrid w:val="0"/>
        <w:spacing w:line="360" w:lineRule="auto"/>
        <w:ind w:firstLine="480" w:firstLineChars="200"/>
        <w:rPr>
          <w:rFonts w:hint="eastAsia" w:ascii="仿宋_GB2312" w:eastAsia="仿宋_GB2312" w:cs="仿宋_GB2312"/>
          <w:color w:val="auto"/>
          <w:sz w:val="24"/>
          <w:szCs w:val="24"/>
        </w:rPr>
      </w:pPr>
    </w:p>
    <w:p w14:paraId="5C210154">
      <w:pPr>
        <w:rPr>
          <w:rFonts w:hint="eastAsia" w:ascii="仿宋_GB2312" w:eastAsia="仿宋_GB2312" w:cs="仿宋_GB2312"/>
          <w:color w:val="auto"/>
        </w:rPr>
        <w:sectPr>
          <w:pgSz w:w="11906" w:h="16838"/>
          <w:pgMar w:top="1814" w:right="1474" w:bottom="1814" w:left="1474" w:header="1361" w:footer="1361" w:gutter="0"/>
          <w:pgNumType w:fmt="upperRoman"/>
          <w:cols w:space="720" w:num="1"/>
          <w:docGrid w:type="lines" w:linePitch="381" w:charSpace="0"/>
        </w:sectPr>
      </w:pPr>
      <w:bookmarkStart w:id="1" w:name="_Toc138060285"/>
    </w:p>
    <w:bookmarkEnd w:id="1"/>
    <w:p w14:paraId="390C5556">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rPr>
      </w:pPr>
      <w:bookmarkStart w:id="2" w:name="_Toc29417"/>
      <w:bookmarkStart w:id="3" w:name="_Toc23810"/>
      <w:bookmarkStart w:id="4" w:name="_Toc9617"/>
      <w:bookmarkStart w:id="5" w:name="_Toc138060286"/>
      <w:r>
        <w:rPr>
          <w:rFonts w:hint="eastAsia" w:ascii="仿宋_GB2312" w:eastAsia="仿宋_GB2312" w:cs="仿宋_GB2312"/>
          <w:color w:val="auto"/>
          <w:sz w:val="36"/>
          <w:szCs w:val="36"/>
        </w:rPr>
        <w:t>概述</w:t>
      </w:r>
      <w:bookmarkEnd w:id="2"/>
      <w:bookmarkEnd w:id="3"/>
      <w:bookmarkEnd w:id="4"/>
      <w:bookmarkEnd w:id="5"/>
    </w:p>
    <w:p w14:paraId="43A404B5">
      <w:pPr>
        <w:pStyle w:val="4"/>
        <w:adjustRightInd w:val="0"/>
        <w:snapToGrid w:val="0"/>
        <w:spacing w:before="0"/>
        <w:rPr>
          <w:rFonts w:hint="eastAsia" w:ascii="仿宋_GB2312" w:eastAsia="仿宋_GB2312" w:cs="仿宋_GB2312"/>
          <w:b/>
          <w:bCs w:val="0"/>
          <w:color w:val="auto"/>
          <w:sz w:val="28"/>
          <w:szCs w:val="28"/>
        </w:rPr>
      </w:pPr>
      <w:bookmarkStart w:id="6" w:name="_Toc15055"/>
      <w:bookmarkStart w:id="7" w:name="_Toc13979"/>
      <w:bookmarkStart w:id="8" w:name="_Toc32043"/>
      <w:r>
        <w:rPr>
          <w:rFonts w:hint="eastAsia" w:ascii="仿宋_GB2312" w:eastAsia="仿宋_GB2312" w:cs="仿宋_GB2312"/>
          <w:b/>
          <w:bCs w:val="0"/>
          <w:color w:val="auto"/>
          <w:sz w:val="28"/>
          <w:szCs w:val="28"/>
        </w:rPr>
        <w:t>1.1项目名称、编制目的及矿区位置</w:t>
      </w:r>
      <w:bookmarkEnd w:id="6"/>
      <w:bookmarkEnd w:id="7"/>
      <w:bookmarkEnd w:id="8"/>
    </w:p>
    <w:p w14:paraId="2BDFBDA7">
      <w:pPr>
        <w:pStyle w:val="5"/>
        <w:adjustRightInd w:val="0"/>
        <w:snapToGrid w:val="0"/>
        <w:spacing w:before="0" w:line="360" w:lineRule="auto"/>
        <w:rPr>
          <w:rFonts w:hint="eastAsia" w:ascii="仿宋_GB2312" w:eastAsia="仿宋_GB2312" w:cs="仿宋_GB2312"/>
          <w:b/>
          <w:bCs w:val="0"/>
          <w:color w:val="auto"/>
          <w:sz w:val="28"/>
          <w:szCs w:val="28"/>
        </w:rPr>
      </w:pPr>
      <w:bookmarkStart w:id="9" w:name="_Toc30974"/>
      <w:bookmarkStart w:id="10" w:name="_Toc148957906"/>
      <w:r>
        <w:rPr>
          <w:rFonts w:hint="eastAsia" w:ascii="仿宋_GB2312" w:eastAsia="仿宋_GB2312" w:cs="仿宋_GB2312"/>
          <w:b/>
          <w:bCs w:val="0"/>
          <w:color w:val="auto"/>
          <w:sz w:val="28"/>
          <w:szCs w:val="28"/>
        </w:rPr>
        <w:t>1.1.1项目名称、建设性质</w:t>
      </w:r>
      <w:bookmarkEnd w:id="9"/>
      <w:bookmarkEnd w:id="10"/>
    </w:p>
    <w:p w14:paraId="3C42D2CA">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项目名称：</w:t>
      </w:r>
      <w:bookmarkStart w:id="11" w:name="_Hlk12613794"/>
      <w:bookmarkStart w:id="12" w:name="_Hlk12610690"/>
      <w:r>
        <w:rPr>
          <w:rFonts w:hint="eastAsia" w:ascii="仿宋_GB2312" w:eastAsia="仿宋_GB2312" w:cs="仿宋_GB2312"/>
          <w:color w:val="auto"/>
          <w:sz w:val="28"/>
          <w:szCs w:val="28"/>
          <w:lang w:eastAsia="zh-CN"/>
        </w:rPr>
        <w:t>四川省大英县汇龙桥村砖瓦用页岩矿</w:t>
      </w:r>
      <w:r>
        <w:rPr>
          <w:rFonts w:hint="eastAsia" w:ascii="仿宋_GB2312" w:eastAsia="仿宋_GB2312" w:cs="仿宋_GB2312"/>
          <w:color w:val="auto"/>
          <w:sz w:val="28"/>
          <w:szCs w:val="28"/>
        </w:rPr>
        <w:t>矿产资源开发利用方案</w:t>
      </w:r>
      <w:bookmarkEnd w:id="11"/>
      <w:bookmarkEnd w:id="12"/>
      <w:r>
        <w:rPr>
          <w:rFonts w:hint="eastAsia" w:ascii="仿宋_GB2312" w:eastAsia="仿宋_GB2312" w:cs="仿宋_GB2312"/>
          <w:color w:val="auto"/>
          <w:sz w:val="28"/>
          <w:szCs w:val="28"/>
        </w:rPr>
        <w:t>；</w:t>
      </w:r>
    </w:p>
    <w:p w14:paraId="3BFED4BE">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项目建设性质：</w:t>
      </w:r>
      <w:r>
        <w:rPr>
          <w:rFonts w:hint="eastAsia" w:ascii="仿宋_GB2312" w:eastAsia="仿宋_GB2312" w:cs="仿宋_GB2312"/>
          <w:color w:val="auto"/>
          <w:sz w:val="28"/>
          <w:szCs w:val="28"/>
          <w:lang w:val="en-US" w:eastAsia="zh-CN"/>
        </w:rPr>
        <w:t>新</w:t>
      </w:r>
      <w:r>
        <w:rPr>
          <w:rFonts w:hint="eastAsia" w:ascii="仿宋_GB2312" w:eastAsia="仿宋_GB2312" w:cs="仿宋_GB2312"/>
          <w:color w:val="auto"/>
          <w:sz w:val="28"/>
          <w:szCs w:val="28"/>
        </w:rPr>
        <w:t>建。</w:t>
      </w:r>
    </w:p>
    <w:p w14:paraId="6E4DBDBF">
      <w:pPr>
        <w:pStyle w:val="5"/>
        <w:adjustRightInd w:val="0"/>
        <w:snapToGrid w:val="0"/>
        <w:spacing w:before="0" w:line="360" w:lineRule="auto"/>
        <w:rPr>
          <w:rFonts w:hint="eastAsia" w:ascii="仿宋_GB2312" w:eastAsia="仿宋_GB2312" w:cs="仿宋_GB2312"/>
          <w:b/>
          <w:bCs w:val="0"/>
          <w:color w:val="auto"/>
          <w:sz w:val="28"/>
          <w:szCs w:val="28"/>
        </w:rPr>
      </w:pPr>
      <w:bookmarkStart w:id="13" w:name="_Toc11461"/>
      <w:bookmarkStart w:id="14" w:name="_Toc148957907"/>
      <w:r>
        <w:rPr>
          <w:rFonts w:hint="eastAsia" w:ascii="仿宋_GB2312" w:eastAsia="仿宋_GB2312" w:cs="仿宋_GB2312"/>
          <w:b/>
          <w:bCs w:val="0"/>
          <w:color w:val="auto"/>
          <w:sz w:val="28"/>
          <w:szCs w:val="28"/>
        </w:rPr>
        <w:t>1.1.2编制目的</w:t>
      </w:r>
      <w:bookmarkEnd w:id="13"/>
      <w:bookmarkEnd w:id="14"/>
    </w:p>
    <w:p w14:paraId="18C79556">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highlight w:val="none"/>
        </w:rPr>
        <w:t>2023年8月</w:t>
      </w:r>
      <w:bookmarkStart w:id="15" w:name="_Hlk143075411"/>
      <w:r>
        <w:rPr>
          <w:rFonts w:hint="eastAsia" w:ascii="仿宋_GB2312" w:eastAsia="仿宋_GB2312" w:cs="仿宋_GB2312"/>
          <w:color w:val="auto"/>
          <w:sz w:val="28"/>
          <w:szCs w:val="28"/>
        </w:rPr>
        <w:t>中国建筑西南勘察设计研究院有限公司</w:t>
      </w:r>
      <w:bookmarkEnd w:id="15"/>
      <w:r>
        <w:rPr>
          <w:rFonts w:hint="eastAsia" w:ascii="仿宋_GB2312" w:eastAsia="仿宋_GB2312" w:cs="仿宋_GB2312"/>
          <w:color w:val="auto"/>
          <w:sz w:val="28"/>
          <w:szCs w:val="28"/>
          <w:lang w:val="en-US" w:eastAsia="zh-CN"/>
        </w:rPr>
        <w:t>提交了《</w:t>
      </w:r>
      <w:r>
        <w:rPr>
          <w:rFonts w:hint="eastAsia" w:ascii="仿宋_GB2312" w:eastAsia="仿宋_GB2312" w:cs="仿宋_GB2312"/>
          <w:color w:val="auto"/>
          <w:sz w:val="28"/>
          <w:szCs w:val="28"/>
          <w:lang w:eastAsia="zh-CN"/>
        </w:rPr>
        <w:t>四川省大英县汇龙桥村砖瓦用页岩矿</w:t>
      </w:r>
      <w:r>
        <w:rPr>
          <w:rFonts w:hint="eastAsia" w:ascii="仿宋_GB2312" w:eastAsia="仿宋_GB2312" w:cs="仿宋_GB2312"/>
          <w:color w:val="auto"/>
          <w:sz w:val="28"/>
          <w:szCs w:val="28"/>
        </w:rPr>
        <w:t>勘查报告</w:t>
      </w:r>
      <w:r>
        <w:rPr>
          <w:rFonts w:hint="eastAsia" w:ascii="仿宋_GB2312" w:eastAsia="仿宋_GB2312" w:cs="仿宋_GB2312"/>
          <w:color w:val="auto"/>
          <w:sz w:val="28"/>
          <w:szCs w:val="28"/>
          <w:lang w:val="en-US" w:eastAsia="zh-CN"/>
        </w:rPr>
        <w:t>》。</w:t>
      </w:r>
      <w:bookmarkStart w:id="16" w:name="_Hlk139876394"/>
      <w:r>
        <w:rPr>
          <w:rFonts w:hint="eastAsia" w:ascii="仿宋_GB2312" w:eastAsia="仿宋_GB2312" w:cs="仿宋_GB2312"/>
          <w:color w:val="auto"/>
          <w:sz w:val="28"/>
          <w:szCs w:val="28"/>
          <w:lang w:eastAsia="zh-CN"/>
        </w:rPr>
        <w:t>为申请办理</w:t>
      </w:r>
      <w:r>
        <w:rPr>
          <w:rFonts w:hint="eastAsia" w:ascii="仿宋_GB2312" w:eastAsia="仿宋_GB2312" w:cs="仿宋_GB2312"/>
          <w:color w:val="auto"/>
          <w:sz w:val="28"/>
          <w:szCs w:val="28"/>
          <w:lang w:val="en-US" w:eastAsia="zh-CN"/>
        </w:rPr>
        <w:t>采矿许可证</w:t>
      </w:r>
      <w:r>
        <w:rPr>
          <w:rFonts w:hint="eastAsia" w:ascii="仿宋_GB2312" w:eastAsia="仿宋_GB2312" w:cs="仿宋_GB2312"/>
          <w:color w:val="auto"/>
          <w:sz w:val="28"/>
          <w:szCs w:val="28"/>
          <w:lang w:eastAsia="zh-CN"/>
        </w:rPr>
        <w:t>，对已批准备案的矿体进行开发利用方案设计，确保国家矿产资源的合理开发利用，实现安全、稳定、合理正规开采。</w:t>
      </w:r>
      <w:r>
        <w:rPr>
          <w:rFonts w:hint="eastAsia" w:ascii="仿宋_GB2312" w:eastAsia="仿宋_GB2312" w:cs="仿宋_GB2312"/>
          <w:color w:val="auto"/>
          <w:sz w:val="28"/>
          <w:szCs w:val="28"/>
          <w:lang w:val="en-US" w:eastAsia="zh-CN"/>
        </w:rPr>
        <w:t>我单位受托开展《</w:t>
      </w:r>
      <w:r>
        <w:rPr>
          <w:rFonts w:hint="eastAsia" w:ascii="仿宋_GB2312" w:eastAsia="仿宋_GB2312" w:cs="仿宋_GB2312"/>
          <w:color w:val="auto"/>
          <w:sz w:val="28"/>
          <w:szCs w:val="28"/>
          <w:lang w:eastAsia="zh-CN"/>
        </w:rPr>
        <w:t>四川省大英县汇龙桥村砖瓦用页岩矿</w:t>
      </w:r>
      <w:r>
        <w:rPr>
          <w:rFonts w:hint="eastAsia" w:ascii="仿宋_GB2312" w:eastAsia="仿宋_GB2312" w:cs="仿宋_GB2312"/>
          <w:color w:val="auto"/>
          <w:sz w:val="28"/>
          <w:szCs w:val="28"/>
        </w:rPr>
        <w:t>矿产资源开发利用方案</w:t>
      </w:r>
      <w:r>
        <w:rPr>
          <w:rFonts w:hint="eastAsia" w:ascii="仿宋_GB2312" w:eastAsia="仿宋_GB2312" w:cs="仿宋_GB2312"/>
          <w:color w:val="auto"/>
          <w:sz w:val="28"/>
          <w:szCs w:val="28"/>
          <w:lang w:val="en-US" w:eastAsia="zh-CN"/>
        </w:rPr>
        <w:t>》编制工作。</w:t>
      </w:r>
    </w:p>
    <w:p w14:paraId="71A474E7">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设计</w:t>
      </w:r>
      <w:r>
        <w:rPr>
          <w:rFonts w:hint="eastAsia" w:ascii="仿宋_GB2312" w:eastAsia="仿宋_GB2312" w:cs="仿宋_GB2312"/>
          <w:color w:val="auto"/>
          <w:sz w:val="28"/>
          <w:szCs w:val="28"/>
          <w:lang w:eastAsia="zh-CN"/>
        </w:rPr>
        <w:t>内容包括：矿床开拓运输系统、采矿方法及公用及辅助设施等。</w:t>
      </w:r>
    </w:p>
    <w:bookmarkEnd w:id="16"/>
    <w:p w14:paraId="14917A27">
      <w:pPr>
        <w:pStyle w:val="5"/>
        <w:adjustRightInd w:val="0"/>
        <w:snapToGrid w:val="0"/>
        <w:spacing w:before="0" w:line="360" w:lineRule="auto"/>
        <w:rPr>
          <w:rFonts w:hint="eastAsia" w:ascii="仿宋_GB2312" w:eastAsia="仿宋_GB2312" w:cs="仿宋_GB2312"/>
          <w:b/>
          <w:bCs w:val="0"/>
          <w:color w:val="auto"/>
          <w:sz w:val="28"/>
          <w:szCs w:val="28"/>
        </w:rPr>
      </w:pPr>
      <w:bookmarkStart w:id="17" w:name="_Toc148957908"/>
      <w:bookmarkStart w:id="18" w:name="_Toc20048"/>
      <w:r>
        <w:rPr>
          <w:rFonts w:hint="eastAsia" w:ascii="仿宋_GB2312" w:eastAsia="仿宋_GB2312" w:cs="仿宋_GB2312"/>
          <w:b/>
          <w:bCs w:val="0"/>
          <w:color w:val="auto"/>
          <w:sz w:val="28"/>
          <w:szCs w:val="28"/>
        </w:rPr>
        <w:t>1.1.3矿区位置及交通</w:t>
      </w:r>
      <w:bookmarkEnd w:id="17"/>
      <w:bookmarkEnd w:id="18"/>
    </w:p>
    <w:p w14:paraId="0E72F156">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大英县位于四川盆地中东部的长江上游北岸涪江流域中段，属遂宁市管辖。地理坐标为：东经105°15′00″～105°19′00″、北纬30°27′45″～31°30′00″。县域东西长34.3km，南北宽29.8km，幅员面积702.6km²。北接遂宁的射洪</w:t>
      </w:r>
      <w:r>
        <w:rPr>
          <w:rFonts w:ascii="仿宋_GB2312" w:eastAsia="仿宋_GB2312" w:cs="仿宋_GB2312"/>
          <w:color w:val="auto"/>
          <w:sz w:val="28"/>
          <w:szCs w:val="28"/>
          <w:lang w:eastAsia="zh-CN"/>
        </w:rPr>
        <w:t>市</w:t>
      </w:r>
      <w:r>
        <w:rPr>
          <w:rFonts w:hint="eastAsia" w:ascii="仿宋_GB2312" w:eastAsia="仿宋_GB2312" w:cs="仿宋_GB2312"/>
          <w:color w:val="auto"/>
          <w:sz w:val="28"/>
          <w:szCs w:val="28"/>
          <w:lang w:eastAsia="zh-CN"/>
        </w:rPr>
        <w:t>、南邻遂宁的安居区、西连德阳中江县及资阳市安岳县和乐至县、东北与蓬溪县隔江相望、东南与遂宁船山区接壤，县城距成都市111km、距遂宁市45km、距德阳市145km、绵阳148km。</w:t>
      </w:r>
    </w:p>
    <w:p w14:paraId="63407B92">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卓筒井镇汇龙桥村砖瓦用页岩采矿权位于大英县西南部的卓筒井镇，距镇上直距约4km，毗邻108乡道，中心点坐标X:3375870.052、Y：35522535.431（2000国家大地坐标系）。矿区由多条乡间小路相连，交通条件良好。</w:t>
      </w:r>
    </w:p>
    <w:p w14:paraId="4BDC1F19">
      <w:pPr>
        <w:pStyle w:val="732"/>
        <w:rPr>
          <w:rFonts w:hint="eastAsia" w:ascii="仿宋_GB2312" w:eastAsia="仿宋_GB2312" w:cs="仿宋_GB2312"/>
          <w:color w:val="auto"/>
        </w:rPr>
      </w:pPr>
      <w:r>
        <w:rPr>
          <w:rFonts w:hint="eastAsia" w:ascii="仿宋_GB2312" w:eastAsia="仿宋_GB2312" w:cs="仿宋_GB2312"/>
          <w:color w:val="auto"/>
        </w:rPr>
        <w:drawing>
          <wp:inline distT="0" distB="0" distL="114300" distR="114300">
            <wp:extent cx="5681980" cy="3729990"/>
            <wp:effectExtent l="14288" t="14288" r="14263" b="14325"/>
            <wp:docPr id="13"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1"/>
                    <pic:cNvPicPr>
                      <a:picLocks noChangeAspect="1"/>
                    </pic:cNvPicPr>
                  </pic:nvPicPr>
                  <pic:blipFill>
                    <a:blip r:embed="rId15"/>
                    <a:stretch>
                      <a:fillRect/>
                    </a:stretch>
                  </pic:blipFill>
                  <pic:spPr>
                    <a:xfrm>
                      <a:off x="0" y="0"/>
                      <a:ext cx="5681980" cy="3729990"/>
                    </a:xfrm>
                    <a:prstGeom prst="rect">
                      <a:avLst/>
                    </a:prstGeom>
                    <a:noFill/>
                    <a:ln w="9525" cap="flat" cmpd="sng">
                      <a:solidFill>
                        <a:srgbClr val="000000"/>
                      </a:solidFill>
                      <a:prstDash val="solid"/>
                      <a:round/>
                    </a:ln>
                  </pic:spPr>
                </pic:pic>
              </a:graphicData>
            </a:graphic>
          </wp:inline>
        </w:drawing>
      </w:r>
    </w:p>
    <w:p w14:paraId="70ECC1CC">
      <w:pPr>
        <w:pStyle w:val="626"/>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图1-1  交通位置图</w:t>
      </w:r>
    </w:p>
    <w:p w14:paraId="4A0B638C">
      <w:pPr>
        <w:pStyle w:val="4"/>
        <w:adjustRightInd w:val="0"/>
        <w:snapToGrid w:val="0"/>
        <w:spacing w:before="0"/>
        <w:rPr>
          <w:rFonts w:hint="eastAsia" w:ascii="仿宋_GB2312" w:eastAsia="仿宋_GB2312" w:cs="仿宋_GB2312"/>
          <w:b/>
          <w:bCs w:val="0"/>
          <w:color w:val="auto"/>
          <w:sz w:val="28"/>
          <w:szCs w:val="28"/>
        </w:rPr>
      </w:pPr>
      <w:bookmarkStart w:id="19" w:name="_Toc17665"/>
      <w:bookmarkStart w:id="20" w:name="_Toc27133"/>
      <w:bookmarkStart w:id="21" w:name="_Toc23777"/>
      <w:bookmarkStart w:id="22" w:name="_Toc138060288"/>
      <w:r>
        <w:rPr>
          <w:rFonts w:hint="eastAsia" w:ascii="仿宋_GB2312" w:eastAsia="仿宋_GB2312" w:cs="仿宋_GB2312"/>
          <w:b/>
          <w:bCs w:val="0"/>
          <w:color w:val="auto"/>
          <w:sz w:val="28"/>
          <w:szCs w:val="28"/>
        </w:rPr>
        <w:t>1.2矿区自然地理及经济</w:t>
      </w:r>
      <w:bookmarkEnd w:id="19"/>
      <w:bookmarkEnd w:id="20"/>
      <w:bookmarkEnd w:id="21"/>
      <w:bookmarkEnd w:id="22"/>
    </w:p>
    <w:p w14:paraId="03126B4B">
      <w:pPr>
        <w:pStyle w:val="5"/>
        <w:adjustRightInd w:val="0"/>
        <w:snapToGrid w:val="0"/>
        <w:spacing w:before="0" w:line="360" w:lineRule="auto"/>
        <w:rPr>
          <w:rFonts w:hint="eastAsia" w:ascii="仿宋_GB2312" w:eastAsia="仿宋_GB2312" w:cs="仿宋_GB2312"/>
          <w:b/>
          <w:bCs w:val="0"/>
          <w:color w:val="auto"/>
          <w:sz w:val="28"/>
          <w:szCs w:val="28"/>
          <w:lang w:eastAsia="zh-CN"/>
        </w:rPr>
      </w:pPr>
      <w:bookmarkStart w:id="23" w:name="_Toc12607"/>
      <w:bookmarkStart w:id="24" w:name="_Toc148957910"/>
      <w:r>
        <w:rPr>
          <w:rFonts w:hint="eastAsia" w:ascii="仿宋_GB2312" w:eastAsia="仿宋_GB2312" w:cs="仿宋_GB2312"/>
          <w:b/>
          <w:bCs w:val="0"/>
          <w:color w:val="auto"/>
          <w:sz w:val="28"/>
          <w:szCs w:val="28"/>
        </w:rPr>
        <w:t>1.2.1地形、地貌概况</w:t>
      </w:r>
      <w:bookmarkEnd w:id="23"/>
      <w:bookmarkEnd w:id="24"/>
    </w:p>
    <w:p w14:paraId="0082A217">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按照“四川省东部地区地貌区划”，大英县地处盆地丘陵向盆周低山过渡地带，地形差异明显，地貌上属“红色盆地”范畴。</w:t>
      </w:r>
    </w:p>
    <w:p w14:paraId="182C592B">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县域内除涪江、郪江河流两岸间续分布河流堆积阶地外，其余地区均为红层丘陵区，丘包群立，沟谷迂回，宽缓延伸，为四川盆地典型的构造剥蚀丘陵地貌，县域地势北西高，南东低，地形切割零碎。</w:t>
      </w:r>
    </w:p>
    <w:p w14:paraId="3BFEA586">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县域内地貌按成因和形态特征可分为：侵蚀堆积地形和构造剥蚀地形，侵蚀堆积地形主要分布于涪江、郪江两侧，表现为河漫滩及一至五级阶地，即平坝区，面积19.2 km²；构造剥蚀地形表现为丘陵，全区地貌类型以浅丘为主，占幅员面积的73.01 %；其次为中丘。</w:t>
      </w:r>
    </w:p>
    <w:p w14:paraId="01FC7E53">
      <w:pPr>
        <w:pStyle w:val="5"/>
        <w:adjustRightInd w:val="0"/>
        <w:snapToGrid w:val="0"/>
        <w:spacing w:before="0" w:line="360" w:lineRule="auto"/>
        <w:rPr>
          <w:rFonts w:hint="eastAsia" w:ascii="仿宋_GB2312" w:eastAsia="仿宋_GB2312" w:cs="仿宋_GB2312"/>
          <w:b/>
          <w:bCs w:val="0"/>
          <w:color w:val="auto"/>
          <w:sz w:val="28"/>
          <w:szCs w:val="28"/>
          <w:lang w:eastAsia="zh-CN"/>
        </w:rPr>
      </w:pPr>
      <w:bookmarkStart w:id="25" w:name="_Toc148957911"/>
      <w:bookmarkStart w:id="26" w:name="_Toc31502"/>
      <w:r>
        <w:rPr>
          <w:rFonts w:hint="eastAsia" w:ascii="仿宋_GB2312" w:eastAsia="仿宋_GB2312" w:cs="仿宋_GB2312"/>
          <w:b/>
          <w:bCs w:val="0"/>
          <w:color w:val="auto"/>
          <w:sz w:val="28"/>
          <w:szCs w:val="28"/>
        </w:rPr>
        <w:t>1.2.2气候</w:t>
      </w:r>
      <w:bookmarkEnd w:id="25"/>
      <w:bookmarkEnd w:id="26"/>
    </w:p>
    <w:p w14:paraId="609022E5">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大英县属川中亚热带温暖湿润气候区，季风气候显著。特征为：气候湿和，雨量充沛，四季分明，冬暖，春旱，夏热，秋凉，无霜期长。但降雨时空分配不均，雨热同季，夏季伏旱，秋季阴雨，湿度大，云雾多，日照少。区内属低日照区，平均日照数为1471小时，历年平均日照率为32%，最多年为1847.7小时，最少年为1042.6小时。</w:t>
      </w:r>
    </w:p>
    <w:p w14:paraId="2AF6BB5F">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据统计，全县平均气温17℃，极端最低气温-4.6℃；极端最高气温39.4℃。日均温皆在0℃以上，年均无霜期298天。</w:t>
      </w:r>
    </w:p>
    <w:p w14:paraId="5006DA19">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灾害性天气包括冬、春、秋季的寒潮、低温、连阴雨、干旱、冰雹、暴雨、洪涝等。区内干旱出现频繁，主要有春旱、夏旱及伏旱，尤以夏季伏旱影响范围最广，危害最大，据历年统计，年发生频率达88%。伏旱延续日数最长可达30天。</w:t>
      </w:r>
    </w:p>
    <w:p w14:paraId="05D14A89">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本区域的降雨极不均匀，降水年际差异也十分突出，最多年1371.4mm，最少年602.2mm，年际之差769mm以上，据收集50年资料，多年平均降雨量为927.6mm，据附近的中江县仓山气象点历时24小时最大降雨量达280mm，而县气象站的历史24小时最大降雨量达185mm，小时最大降雨量80mm（2007年）。</w:t>
      </w:r>
    </w:p>
    <w:p w14:paraId="39A2A11A">
      <w:pPr>
        <w:pStyle w:val="5"/>
        <w:adjustRightInd w:val="0"/>
        <w:snapToGrid w:val="0"/>
        <w:spacing w:before="0" w:line="360" w:lineRule="auto"/>
        <w:rPr>
          <w:rFonts w:hint="eastAsia" w:ascii="仿宋_GB2312" w:eastAsia="仿宋_GB2312" w:cs="仿宋_GB2312"/>
          <w:b/>
          <w:bCs w:val="0"/>
          <w:color w:val="auto"/>
          <w:sz w:val="28"/>
          <w:szCs w:val="28"/>
        </w:rPr>
      </w:pPr>
      <w:bookmarkStart w:id="27" w:name="_Toc13201"/>
      <w:r>
        <w:rPr>
          <w:rFonts w:hint="eastAsia" w:ascii="仿宋_GB2312" w:eastAsia="仿宋_GB2312" w:cs="仿宋_GB2312"/>
          <w:b/>
          <w:bCs w:val="0"/>
          <w:color w:val="auto"/>
          <w:sz w:val="28"/>
          <w:szCs w:val="28"/>
        </w:rPr>
        <w:t>1.2.</w:t>
      </w:r>
      <w:r>
        <w:rPr>
          <w:rFonts w:hint="eastAsia" w:ascii="仿宋_GB2312" w:eastAsia="仿宋_GB2312" w:cs="仿宋_GB2312"/>
          <w:b/>
          <w:bCs w:val="0"/>
          <w:color w:val="auto"/>
          <w:sz w:val="28"/>
          <w:szCs w:val="28"/>
          <w:lang w:val="en-US" w:eastAsia="zh-CN"/>
        </w:rPr>
        <w:t>3</w:t>
      </w:r>
      <w:r>
        <w:rPr>
          <w:rFonts w:hint="eastAsia" w:ascii="仿宋_GB2312" w:eastAsia="仿宋_GB2312" w:cs="仿宋_GB2312"/>
          <w:b/>
          <w:bCs w:val="0"/>
          <w:color w:val="auto"/>
          <w:sz w:val="28"/>
          <w:szCs w:val="28"/>
        </w:rPr>
        <w:t>水文特征</w:t>
      </w:r>
      <w:bookmarkEnd w:id="27"/>
    </w:p>
    <w:p w14:paraId="2450B463">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大英县境内水系发达，溪河众多，河流密度大，河沟纵横交错，为区内提供了较丰富的地表水资源。主要河流有横穿中部的郪江与县境东边穿过的涪江。因地质地貌制约，水系呈平行状、网格状、树枝状展布，干流10km以上的河流有13条，除郪江、涪江外，其余均为季节性河流，河短水急，流域面积小，保蓄能力差，水资源开发利用困难。</w:t>
      </w:r>
    </w:p>
    <w:p w14:paraId="073C734C">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项目</w:t>
      </w:r>
      <w:r>
        <w:rPr>
          <w:rFonts w:hint="eastAsia" w:ascii="仿宋_GB2312" w:eastAsia="仿宋_GB2312" w:cs="仿宋_GB2312"/>
          <w:color w:val="auto"/>
          <w:sz w:val="28"/>
          <w:szCs w:val="28"/>
          <w:lang w:eastAsia="zh-CN"/>
        </w:rPr>
        <w:t>区内无常年地表水体，仅在雨季形成少量季节性溪流，地表径流条件好。</w:t>
      </w:r>
    </w:p>
    <w:p w14:paraId="535BB252">
      <w:pPr>
        <w:pStyle w:val="5"/>
        <w:adjustRightInd w:val="0"/>
        <w:snapToGrid w:val="0"/>
        <w:spacing w:before="0" w:line="360" w:lineRule="auto"/>
        <w:rPr>
          <w:rFonts w:hint="eastAsia" w:ascii="仿宋_GB2312" w:eastAsia="仿宋_GB2312" w:cs="仿宋_GB2312"/>
          <w:b/>
          <w:bCs w:val="0"/>
          <w:color w:val="auto"/>
          <w:sz w:val="28"/>
          <w:szCs w:val="28"/>
          <w:lang w:eastAsia="zh-CN"/>
        </w:rPr>
      </w:pPr>
      <w:bookmarkStart w:id="28" w:name="_Toc10792"/>
      <w:bookmarkStart w:id="29" w:name="_Toc148957912"/>
      <w:r>
        <w:rPr>
          <w:rFonts w:hint="eastAsia" w:ascii="仿宋_GB2312" w:eastAsia="仿宋_GB2312" w:cs="仿宋_GB2312"/>
          <w:b/>
          <w:bCs w:val="0"/>
          <w:color w:val="auto"/>
          <w:sz w:val="28"/>
          <w:szCs w:val="28"/>
        </w:rPr>
        <w:t>1.2.</w:t>
      </w:r>
      <w:r>
        <w:rPr>
          <w:rFonts w:hint="eastAsia" w:ascii="仿宋_GB2312" w:eastAsia="仿宋_GB2312" w:cs="仿宋_GB2312"/>
          <w:b/>
          <w:bCs w:val="0"/>
          <w:color w:val="auto"/>
          <w:sz w:val="28"/>
          <w:szCs w:val="28"/>
          <w:lang w:val="en-US" w:eastAsia="zh-CN"/>
        </w:rPr>
        <w:t>4</w:t>
      </w:r>
      <w:r>
        <w:rPr>
          <w:rFonts w:hint="eastAsia" w:ascii="仿宋_GB2312" w:eastAsia="仿宋_GB2312" w:cs="仿宋_GB2312"/>
          <w:b/>
          <w:bCs w:val="0"/>
          <w:color w:val="auto"/>
          <w:sz w:val="28"/>
          <w:szCs w:val="28"/>
        </w:rPr>
        <w:t>地震</w:t>
      </w:r>
      <w:bookmarkEnd w:id="28"/>
      <w:bookmarkEnd w:id="29"/>
    </w:p>
    <w:p w14:paraId="5A7F1050">
      <w:pPr>
        <w:pStyle w:val="626"/>
        <w:adjustRightInd w:val="0"/>
        <w:snapToGrid w:val="0"/>
        <w:spacing w:line="360" w:lineRule="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根据《中国地震动参数区划图》（GB18306-2015）：大英县</w:t>
      </w:r>
      <w:r>
        <w:rPr>
          <w:rFonts w:hint="eastAsia" w:ascii="仿宋_GB2312" w:eastAsia="仿宋_GB2312" w:cs="仿宋_GB2312"/>
          <w:color w:val="auto"/>
          <w:sz w:val="28"/>
          <w:szCs w:val="28"/>
          <w:lang w:eastAsia="zh-CN"/>
        </w:rPr>
        <w:t>卓筒井镇</w:t>
      </w:r>
      <w:r>
        <w:rPr>
          <w:rFonts w:hint="eastAsia" w:ascii="仿宋_GB2312" w:eastAsia="仿宋_GB2312" w:cs="仿宋_GB2312"/>
          <w:color w:val="auto"/>
          <w:sz w:val="28"/>
          <w:szCs w:val="28"/>
          <w:lang w:val="en-US" w:eastAsia="zh-CN"/>
        </w:rPr>
        <w:t>峰值加速度0.05g，</w:t>
      </w:r>
      <w:r>
        <w:rPr>
          <w:rFonts w:hint="eastAsia" w:ascii="仿宋_GB2312" w:eastAsia="仿宋_GB2312" w:cs="仿宋_GB2312"/>
          <w:color w:val="auto"/>
          <w:sz w:val="28"/>
          <w:szCs w:val="28"/>
        </w:rPr>
        <w:t>反应谱特征周期0.</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rPr>
        <w:t>5s，</w:t>
      </w:r>
      <w:r>
        <w:rPr>
          <w:rFonts w:hint="eastAsia" w:ascii="仿宋_GB2312" w:eastAsia="仿宋_GB2312" w:cs="仿宋_GB2312"/>
          <w:color w:val="auto"/>
          <w:sz w:val="28"/>
          <w:szCs w:val="28"/>
          <w:lang w:val="en-US" w:eastAsia="zh-CN"/>
        </w:rPr>
        <w:t>对应《建筑抗震设计标准（2024年版）》（GB50011-2010）表3.2.2，抗震设防烈度为6度。</w:t>
      </w:r>
    </w:p>
    <w:p w14:paraId="6EBB96E7">
      <w:pPr>
        <w:pStyle w:val="5"/>
        <w:adjustRightInd w:val="0"/>
        <w:snapToGrid w:val="0"/>
        <w:spacing w:before="0" w:line="360" w:lineRule="auto"/>
        <w:rPr>
          <w:rFonts w:hint="eastAsia" w:ascii="仿宋_GB2312" w:eastAsia="仿宋_GB2312" w:cs="仿宋_GB2312"/>
          <w:b/>
          <w:bCs w:val="0"/>
          <w:color w:val="auto"/>
          <w:sz w:val="28"/>
          <w:szCs w:val="28"/>
          <w:lang w:eastAsia="zh-CN"/>
        </w:rPr>
      </w:pPr>
      <w:bookmarkStart w:id="30" w:name="_Toc148957913"/>
      <w:bookmarkStart w:id="31" w:name="_Toc47"/>
      <w:r>
        <w:rPr>
          <w:rFonts w:hint="eastAsia" w:ascii="仿宋_GB2312" w:eastAsia="仿宋_GB2312" w:cs="仿宋_GB2312"/>
          <w:b/>
          <w:bCs w:val="0"/>
          <w:color w:val="auto"/>
          <w:sz w:val="28"/>
          <w:szCs w:val="28"/>
        </w:rPr>
        <w:t>1.2.</w:t>
      </w:r>
      <w:bookmarkEnd w:id="30"/>
      <w:r>
        <w:rPr>
          <w:rFonts w:hint="eastAsia" w:ascii="仿宋_GB2312" w:eastAsia="仿宋_GB2312" w:cs="仿宋_GB2312"/>
          <w:b/>
          <w:bCs w:val="0"/>
          <w:color w:val="auto"/>
          <w:sz w:val="28"/>
          <w:szCs w:val="28"/>
          <w:lang w:val="en-US" w:eastAsia="zh-CN"/>
        </w:rPr>
        <w:t>5</w:t>
      </w:r>
      <w:r>
        <w:rPr>
          <w:rFonts w:hint="eastAsia" w:ascii="仿宋_GB2312" w:eastAsia="仿宋_GB2312" w:cs="仿宋_GB2312"/>
          <w:b/>
          <w:bCs w:val="0"/>
          <w:color w:val="auto"/>
          <w:sz w:val="28"/>
          <w:szCs w:val="28"/>
        </w:rPr>
        <w:t>区域经济概况</w:t>
      </w:r>
      <w:bookmarkEnd w:id="31"/>
    </w:p>
    <w:p w14:paraId="014AD05D">
      <w:pPr>
        <w:pStyle w:val="626"/>
        <w:adjustRightInd w:val="0"/>
        <w:snapToGrid w:val="0"/>
        <w:spacing w:line="360" w:lineRule="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2023年末，全县户籍人口51.28万人，比上年末减少0.22万人；常住人口37.3万人，比上年末减少0.6万人。常住人口城镇化率47.13%，比上年末提高1.23个百分点。</w:t>
      </w:r>
    </w:p>
    <w:p w14:paraId="165A5A3C">
      <w:pPr>
        <w:pStyle w:val="626"/>
        <w:adjustRightInd w:val="0"/>
        <w:snapToGrid w:val="0"/>
        <w:spacing w:line="360" w:lineRule="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2023年大英县全年实现地区生产总值195.96亿元、增长6%，地方一般公共预算收入10.02亿元、增长8.6%，规上工业增加值增长7.2%，全社会固定资产投资增长6.3%，社会消费品零售总额增长8.1%，城乡居民人均可支配收入分别增长4.7%、7.1%。</w:t>
      </w:r>
    </w:p>
    <w:p w14:paraId="78964A34">
      <w:pPr>
        <w:pStyle w:val="5"/>
        <w:adjustRightInd w:val="0"/>
        <w:snapToGrid w:val="0"/>
        <w:spacing w:before="0" w:line="360" w:lineRule="auto"/>
        <w:rPr>
          <w:rFonts w:hint="eastAsia" w:ascii="仿宋_GB2312" w:eastAsia="仿宋_GB2312" w:cs="仿宋_GB2312"/>
          <w:b/>
          <w:bCs w:val="0"/>
          <w:color w:val="auto"/>
          <w:sz w:val="28"/>
          <w:szCs w:val="28"/>
        </w:rPr>
      </w:pPr>
      <w:bookmarkStart w:id="32" w:name="_Toc16929"/>
      <w:bookmarkStart w:id="33" w:name="_Toc148957914"/>
      <w:r>
        <w:rPr>
          <w:rFonts w:hint="eastAsia" w:ascii="仿宋_GB2312" w:eastAsia="仿宋_GB2312" w:cs="仿宋_GB2312"/>
          <w:b/>
          <w:bCs w:val="0"/>
          <w:color w:val="auto"/>
          <w:sz w:val="28"/>
          <w:szCs w:val="28"/>
        </w:rPr>
        <w:t>1.2.</w:t>
      </w:r>
      <w:r>
        <w:rPr>
          <w:rFonts w:hint="eastAsia" w:ascii="仿宋_GB2312" w:eastAsia="仿宋_GB2312" w:cs="仿宋_GB2312"/>
          <w:b/>
          <w:bCs w:val="0"/>
          <w:color w:val="auto"/>
          <w:sz w:val="28"/>
          <w:szCs w:val="28"/>
          <w:lang w:val="en-US" w:eastAsia="zh-CN"/>
        </w:rPr>
        <w:t>6</w:t>
      </w:r>
      <w:r>
        <w:rPr>
          <w:rFonts w:hint="eastAsia" w:ascii="仿宋_GB2312" w:eastAsia="仿宋_GB2312" w:cs="仿宋_GB2312"/>
          <w:b/>
          <w:bCs w:val="0"/>
          <w:color w:val="auto"/>
          <w:sz w:val="28"/>
          <w:szCs w:val="28"/>
        </w:rPr>
        <w:t>外部建设条件</w:t>
      </w:r>
      <w:bookmarkEnd w:id="32"/>
      <w:bookmarkEnd w:id="33"/>
    </w:p>
    <w:p w14:paraId="2721692E">
      <w:pPr>
        <w:pStyle w:val="626"/>
        <w:adjustRightInd w:val="0"/>
        <w:snapToGrid w:val="0"/>
        <w:spacing w:line="360" w:lineRule="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区距卓筒井镇场镇直距约4km，毗邻108乡道，交通较为便利。目前周边架设有通讯基站、电网已接通，可满足工业、生活用电。矿山建设所需各种耗材基本可在大英县、卓筒井镇采购。当地劳动力资源较为充足。当地政府积极支持矿业合理开发。投资建厂、开发矿产资源的外部条件较为有利。</w:t>
      </w:r>
    </w:p>
    <w:p w14:paraId="4E306D01">
      <w:pPr>
        <w:pStyle w:val="4"/>
        <w:adjustRightInd w:val="0"/>
        <w:snapToGrid w:val="0"/>
        <w:spacing w:before="0"/>
        <w:rPr>
          <w:rFonts w:hint="eastAsia" w:ascii="仿宋_GB2312" w:eastAsia="仿宋_GB2312" w:cs="仿宋_GB2312"/>
          <w:b/>
          <w:bCs w:val="0"/>
          <w:color w:val="auto"/>
          <w:sz w:val="28"/>
          <w:szCs w:val="28"/>
        </w:rPr>
      </w:pPr>
      <w:bookmarkStart w:id="34" w:name="_Toc7142"/>
      <w:bookmarkStart w:id="35" w:name="_Toc4158"/>
      <w:r>
        <w:rPr>
          <w:rFonts w:hint="eastAsia" w:ascii="仿宋_GB2312" w:eastAsia="仿宋_GB2312" w:cs="仿宋_GB2312"/>
          <w:b/>
          <w:bCs w:val="0"/>
          <w:color w:val="auto"/>
          <w:sz w:val="28"/>
          <w:szCs w:val="28"/>
        </w:rPr>
        <w:t>1.3矿业权设置概况</w:t>
      </w:r>
      <w:bookmarkEnd w:id="34"/>
      <w:bookmarkEnd w:id="35"/>
    </w:p>
    <w:p w14:paraId="050CEC79">
      <w:pPr>
        <w:pStyle w:val="626"/>
        <w:adjustRightInd w:val="0"/>
        <w:snapToGrid w:val="0"/>
        <w:spacing w:line="360" w:lineRule="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根据《大英县矿产资源总体规划》(2021-2025年），拟设开采区块名称及编号：大英县汇龙桥村砖瓦用页岩开采规划区（CQ51092300005）；开采矿种：砖瓦用页岩。</w:t>
      </w:r>
    </w:p>
    <w:p w14:paraId="1F3C4D95">
      <w:pPr>
        <w:pStyle w:val="626"/>
        <w:adjustRightInd w:val="0"/>
        <w:snapToGrid w:val="0"/>
        <w:spacing w:line="360" w:lineRule="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拟设</w:t>
      </w:r>
      <w:r>
        <w:rPr>
          <w:rFonts w:hint="eastAsia" w:ascii="仿宋_GB2312" w:eastAsia="仿宋_GB2312" w:cs="仿宋_GB2312"/>
          <w:color w:val="auto"/>
          <w:kern w:val="2"/>
          <w:sz w:val="28"/>
          <w:szCs w:val="28"/>
          <w:lang w:val="en-US" w:eastAsia="zh-CN" w:bidi="ar-SA"/>
        </w:rPr>
        <w:t>大英县汇龙桥村砖瓦用页岩矿</w:t>
      </w:r>
      <w:r>
        <w:rPr>
          <w:rFonts w:hint="eastAsia" w:ascii="仿宋_GB2312" w:eastAsia="仿宋_GB2312" w:cs="仿宋_GB2312"/>
          <w:color w:val="auto"/>
          <w:sz w:val="28"/>
          <w:szCs w:val="28"/>
          <w:lang w:val="en-US" w:eastAsia="zh-CN"/>
        </w:rPr>
        <w:t>采矿权由1～6号拐点圈闭，该区块周边无矿权设置，与已设采矿权无重叠。拐点坐标见表1-1：</w:t>
      </w:r>
    </w:p>
    <w:p w14:paraId="7FCFFAEF">
      <w:pPr>
        <w:pStyle w:val="73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cs="仿宋_GB2312"/>
          <w:b w:val="0"/>
          <w:color w:val="auto"/>
          <w:kern w:val="2"/>
          <w:sz w:val="28"/>
          <w:szCs w:val="28"/>
          <w:lang w:val="en-US" w:eastAsia="zh-CN" w:bidi="ar-SA"/>
        </w:rPr>
      </w:pPr>
      <w:r>
        <w:rPr>
          <w:rFonts w:hint="eastAsia" w:ascii="仿宋_GB2312" w:eastAsia="仿宋_GB2312" w:cs="仿宋_GB2312"/>
          <w:b w:val="0"/>
          <w:color w:val="auto"/>
          <w:kern w:val="2"/>
          <w:sz w:val="28"/>
          <w:szCs w:val="28"/>
          <w:lang w:val="en-US" w:eastAsia="zh-CN" w:bidi="ar-SA"/>
        </w:rPr>
        <w:t>表1-1 拟设采矿权拐点坐标一览表</w:t>
      </w:r>
    </w:p>
    <w:tbl>
      <w:tblPr>
        <w:tblStyle w:val="6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10"/>
        <w:gridCol w:w="3611"/>
        <w:gridCol w:w="3843"/>
      </w:tblGrid>
      <w:tr w14:paraId="1991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3" w:type="pct"/>
            <w:vMerge w:val="restart"/>
            <w:tcBorders>
              <w:top w:val="single" w:color="000000" w:sz="4" w:space="0"/>
              <w:left w:val="single" w:color="000000" w:sz="4" w:space="0"/>
              <w:bottom w:val="single" w:color="000000" w:sz="4" w:space="0"/>
              <w:right w:val="single" w:color="000000" w:sz="4" w:space="0"/>
            </w:tcBorders>
            <w:noWrap/>
            <w:tcMar>
              <w:left w:w="105" w:type="dxa"/>
              <w:right w:w="105" w:type="dxa"/>
            </w:tcMar>
            <w:vAlign w:val="center"/>
          </w:tcPr>
          <w:p w14:paraId="3987F3D4">
            <w:pPr>
              <w:pStyle w:val="732"/>
              <w:rPr>
                <w:rFonts w:hint="eastAsia" w:ascii="仿宋_GB2312" w:eastAsia="仿宋_GB2312" w:cs="仿宋_GB2312"/>
                <w:color w:val="auto"/>
              </w:rPr>
            </w:pPr>
            <w:r>
              <w:rPr>
                <w:rFonts w:hint="eastAsia" w:ascii="仿宋_GB2312" w:eastAsia="仿宋_GB2312" w:cs="仿宋_GB2312"/>
                <w:color w:val="auto"/>
              </w:rPr>
              <w:t>拐点编号</w:t>
            </w:r>
          </w:p>
        </w:tc>
        <w:tc>
          <w:tcPr>
            <w:tcW w:w="4066" w:type="pct"/>
            <w:gridSpan w:val="2"/>
            <w:tcBorders>
              <w:top w:val="single" w:color="000000" w:sz="4" w:space="0"/>
              <w:left w:val="single" w:color="000000" w:sz="4" w:space="0"/>
              <w:bottom w:val="single" w:color="000000" w:sz="4" w:space="0"/>
              <w:right w:val="single" w:color="000000" w:sz="4" w:space="0"/>
            </w:tcBorders>
            <w:noWrap/>
            <w:tcMar>
              <w:left w:w="105" w:type="dxa"/>
              <w:right w:w="105" w:type="dxa"/>
            </w:tcMar>
            <w:vAlign w:val="center"/>
          </w:tcPr>
          <w:p w14:paraId="461EEC48">
            <w:pPr>
              <w:pStyle w:val="732"/>
              <w:rPr>
                <w:rFonts w:hint="eastAsia" w:ascii="仿宋_GB2312" w:eastAsia="仿宋_GB2312" w:cs="仿宋_GB2312"/>
                <w:color w:val="auto"/>
              </w:rPr>
            </w:pPr>
            <w:r>
              <w:rPr>
                <w:rFonts w:hint="eastAsia" w:ascii="仿宋_GB2312" w:eastAsia="仿宋_GB2312" w:cs="仿宋_GB2312"/>
                <w:color w:val="auto"/>
              </w:rPr>
              <w:t>2000国家大地坐标系</w:t>
            </w:r>
          </w:p>
        </w:tc>
      </w:tr>
      <w:tr w14:paraId="7874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3" w:type="pct"/>
            <w:vMerge w:val="continue"/>
            <w:tcBorders>
              <w:top w:val="single" w:color="000000" w:sz="4" w:space="0"/>
              <w:left w:val="single" w:color="000000" w:sz="4" w:space="0"/>
              <w:bottom w:val="single" w:color="000000" w:sz="4" w:space="0"/>
              <w:right w:val="single" w:color="000000" w:sz="4" w:space="0"/>
            </w:tcBorders>
            <w:noWrap/>
            <w:vAlign w:val="center"/>
          </w:tcPr>
          <w:p w14:paraId="781FD56E"/>
        </w:tc>
        <w:tc>
          <w:tcPr>
            <w:tcW w:w="1970" w:type="pct"/>
            <w:tcBorders>
              <w:left w:val="single" w:color="000000" w:sz="4" w:space="0"/>
              <w:bottom w:val="single" w:color="000000" w:sz="4" w:space="0"/>
              <w:right w:val="single" w:color="000000" w:sz="4" w:space="0"/>
            </w:tcBorders>
            <w:noWrap/>
            <w:tcMar>
              <w:left w:w="105" w:type="dxa"/>
              <w:right w:w="105" w:type="dxa"/>
            </w:tcMar>
            <w:vAlign w:val="center"/>
          </w:tcPr>
          <w:p w14:paraId="2021C944">
            <w:pPr>
              <w:pStyle w:val="732"/>
              <w:rPr>
                <w:rFonts w:hint="eastAsia" w:ascii="仿宋_GB2312" w:eastAsia="仿宋_GB2312" w:cs="仿宋_GB2312"/>
                <w:color w:val="auto"/>
              </w:rPr>
            </w:pPr>
            <w:r>
              <w:rPr>
                <w:rFonts w:hint="eastAsia" w:ascii="仿宋_GB2312" w:eastAsia="仿宋_GB2312" w:cs="仿宋_GB2312"/>
                <w:color w:val="auto"/>
              </w:rPr>
              <w:t>X(m)</w:t>
            </w:r>
          </w:p>
        </w:tc>
        <w:tc>
          <w:tcPr>
            <w:tcW w:w="2096" w:type="pct"/>
            <w:tcBorders>
              <w:left w:val="single" w:color="000000" w:sz="4" w:space="0"/>
              <w:bottom w:val="single" w:color="000000" w:sz="4" w:space="0"/>
              <w:right w:val="single" w:color="000000" w:sz="4" w:space="0"/>
            </w:tcBorders>
            <w:noWrap/>
            <w:tcMar>
              <w:left w:w="105" w:type="dxa"/>
              <w:right w:w="105" w:type="dxa"/>
            </w:tcMar>
            <w:vAlign w:val="center"/>
          </w:tcPr>
          <w:p w14:paraId="76EA44F7">
            <w:pPr>
              <w:pStyle w:val="732"/>
              <w:rPr>
                <w:rFonts w:hint="eastAsia" w:ascii="仿宋_GB2312" w:eastAsia="仿宋_GB2312" w:cs="仿宋_GB2312"/>
                <w:color w:val="auto"/>
              </w:rPr>
            </w:pPr>
            <w:r>
              <w:rPr>
                <w:rFonts w:hint="eastAsia" w:ascii="仿宋_GB2312" w:eastAsia="仿宋_GB2312" w:cs="仿宋_GB2312"/>
                <w:color w:val="auto"/>
              </w:rPr>
              <w:t>Y(m)</w:t>
            </w:r>
          </w:p>
        </w:tc>
      </w:tr>
      <w:tr w14:paraId="72ED1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3" w:type="pct"/>
            <w:tcBorders>
              <w:left w:val="single" w:color="000000" w:sz="4" w:space="0"/>
              <w:bottom w:val="single" w:color="000000" w:sz="4" w:space="0"/>
              <w:right w:val="single" w:color="000000" w:sz="4" w:space="0"/>
            </w:tcBorders>
            <w:noWrap/>
            <w:tcMar>
              <w:left w:w="105" w:type="dxa"/>
              <w:right w:w="105" w:type="dxa"/>
            </w:tcMar>
            <w:vAlign w:val="center"/>
          </w:tcPr>
          <w:p w14:paraId="583644E7">
            <w:pPr>
              <w:pStyle w:val="732"/>
              <w:rPr>
                <w:rFonts w:hint="eastAsia" w:ascii="仿宋_GB2312" w:eastAsia="仿宋_GB2312" w:cs="仿宋_GB2312"/>
                <w:color w:val="auto"/>
              </w:rPr>
            </w:pPr>
            <w:r>
              <w:rPr>
                <w:rFonts w:hint="eastAsia" w:ascii="仿宋_GB2312" w:eastAsia="仿宋_GB2312" w:cs="仿宋_GB2312"/>
                <w:color w:val="auto"/>
              </w:rPr>
              <w:t>1</w:t>
            </w:r>
          </w:p>
        </w:tc>
        <w:tc>
          <w:tcPr>
            <w:tcW w:w="1970" w:type="pct"/>
            <w:tcBorders>
              <w:left w:val="single" w:color="000000" w:sz="4" w:space="0"/>
              <w:bottom w:val="single" w:color="000000" w:sz="4" w:space="0"/>
              <w:right w:val="single" w:color="000000" w:sz="4" w:space="0"/>
            </w:tcBorders>
            <w:noWrap/>
            <w:tcMar>
              <w:left w:w="105" w:type="dxa"/>
              <w:right w:w="105" w:type="dxa"/>
            </w:tcMar>
          </w:tcPr>
          <w:p w14:paraId="02065224">
            <w:pPr>
              <w:pStyle w:val="732"/>
              <w:rPr>
                <w:rFonts w:hint="eastAsia" w:ascii="仿宋_GB2312" w:eastAsia="仿宋_GB2312" w:cs="仿宋_GB2312"/>
                <w:color w:val="auto"/>
              </w:rPr>
            </w:pPr>
            <w:r>
              <w:rPr>
                <w:rFonts w:hint="eastAsia" w:ascii="仿宋_GB2312" w:eastAsia="仿宋_GB2312" w:cs="仿宋_GB2312"/>
                <w:color w:val="auto"/>
              </w:rPr>
              <w:t>3375929.80</w:t>
            </w:r>
          </w:p>
        </w:tc>
        <w:tc>
          <w:tcPr>
            <w:tcW w:w="2096" w:type="pct"/>
            <w:tcBorders>
              <w:left w:val="single" w:color="000000" w:sz="4" w:space="0"/>
              <w:bottom w:val="single" w:color="000000" w:sz="4" w:space="0"/>
              <w:right w:val="single" w:color="auto" w:sz="4" w:space="0"/>
            </w:tcBorders>
            <w:noWrap/>
            <w:tcMar>
              <w:left w:w="105" w:type="dxa"/>
              <w:right w:w="105" w:type="dxa"/>
            </w:tcMar>
          </w:tcPr>
          <w:p w14:paraId="0B7A8DB7">
            <w:pPr>
              <w:pStyle w:val="732"/>
              <w:rPr>
                <w:rFonts w:hint="eastAsia" w:ascii="仿宋_GB2312" w:eastAsia="仿宋_GB2312" w:cs="仿宋_GB2312"/>
                <w:color w:val="auto"/>
              </w:rPr>
            </w:pPr>
            <w:r>
              <w:rPr>
                <w:rFonts w:hint="eastAsia" w:ascii="仿宋_GB2312" w:eastAsia="仿宋_GB2312" w:cs="仿宋_GB2312"/>
                <w:color w:val="auto"/>
              </w:rPr>
              <w:t>35522420.25</w:t>
            </w:r>
          </w:p>
        </w:tc>
      </w:tr>
      <w:tr w14:paraId="2AA2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3" w:type="pct"/>
            <w:tcBorders>
              <w:left w:val="single" w:color="000000" w:sz="4" w:space="0"/>
              <w:bottom w:val="single" w:color="000000" w:sz="4" w:space="0"/>
              <w:right w:val="single" w:color="000000" w:sz="4" w:space="0"/>
            </w:tcBorders>
            <w:noWrap/>
            <w:tcMar>
              <w:left w:w="105" w:type="dxa"/>
              <w:right w:w="105" w:type="dxa"/>
            </w:tcMar>
            <w:vAlign w:val="center"/>
          </w:tcPr>
          <w:p w14:paraId="4FC3BBB9">
            <w:pPr>
              <w:pStyle w:val="732"/>
              <w:rPr>
                <w:rFonts w:hint="eastAsia" w:ascii="仿宋_GB2312" w:eastAsia="仿宋_GB2312" w:cs="仿宋_GB2312"/>
                <w:color w:val="auto"/>
              </w:rPr>
            </w:pPr>
            <w:r>
              <w:rPr>
                <w:rFonts w:hint="eastAsia" w:ascii="仿宋_GB2312" w:eastAsia="仿宋_GB2312" w:cs="仿宋_GB2312"/>
                <w:color w:val="auto"/>
              </w:rPr>
              <w:t>2</w:t>
            </w:r>
          </w:p>
        </w:tc>
        <w:tc>
          <w:tcPr>
            <w:tcW w:w="1970" w:type="pct"/>
            <w:tcBorders>
              <w:left w:val="single" w:color="000000" w:sz="4" w:space="0"/>
              <w:bottom w:val="single" w:color="000000" w:sz="4" w:space="0"/>
              <w:right w:val="single" w:color="000000" w:sz="4" w:space="0"/>
            </w:tcBorders>
            <w:noWrap/>
            <w:tcMar>
              <w:left w:w="105" w:type="dxa"/>
              <w:right w:w="105" w:type="dxa"/>
            </w:tcMar>
          </w:tcPr>
          <w:p w14:paraId="49A06351">
            <w:pPr>
              <w:pStyle w:val="732"/>
              <w:rPr>
                <w:rFonts w:hint="eastAsia" w:ascii="仿宋_GB2312" w:eastAsia="仿宋_GB2312" w:cs="仿宋_GB2312"/>
                <w:color w:val="auto"/>
              </w:rPr>
            </w:pPr>
            <w:r>
              <w:rPr>
                <w:rFonts w:hint="eastAsia" w:ascii="仿宋_GB2312" w:eastAsia="仿宋_GB2312" w:cs="仿宋_GB2312"/>
                <w:color w:val="auto"/>
              </w:rPr>
              <w:t>3375905.86</w:t>
            </w:r>
          </w:p>
        </w:tc>
        <w:tc>
          <w:tcPr>
            <w:tcW w:w="2096" w:type="pct"/>
            <w:tcBorders>
              <w:left w:val="single" w:color="000000" w:sz="4" w:space="0"/>
              <w:bottom w:val="single" w:color="000000" w:sz="4" w:space="0"/>
              <w:right w:val="single" w:color="auto" w:sz="4" w:space="0"/>
            </w:tcBorders>
            <w:noWrap/>
            <w:tcMar>
              <w:left w:w="105" w:type="dxa"/>
              <w:right w:w="105" w:type="dxa"/>
            </w:tcMar>
          </w:tcPr>
          <w:p w14:paraId="0AF45004">
            <w:pPr>
              <w:pStyle w:val="732"/>
              <w:rPr>
                <w:rFonts w:hint="eastAsia" w:ascii="仿宋_GB2312" w:eastAsia="仿宋_GB2312" w:cs="仿宋_GB2312"/>
                <w:color w:val="auto"/>
              </w:rPr>
            </w:pPr>
            <w:r>
              <w:rPr>
                <w:rFonts w:hint="eastAsia" w:ascii="仿宋_GB2312" w:eastAsia="仿宋_GB2312" w:cs="仿宋_GB2312"/>
                <w:color w:val="auto"/>
              </w:rPr>
              <w:t>35522633.97</w:t>
            </w:r>
          </w:p>
        </w:tc>
      </w:tr>
      <w:tr w14:paraId="0212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3" w:type="pct"/>
            <w:tcBorders>
              <w:left w:val="single" w:color="000000" w:sz="4" w:space="0"/>
              <w:bottom w:val="single" w:color="000000" w:sz="4" w:space="0"/>
              <w:right w:val="single" w:color="000000" w:sz="4" w:space="0"/>
            </w:tcBorders>
            <w:noWrap/>
            <w:tcMar>
              <w:left w:w="105" w:type="dxa"/>
              <w:right w:w="105" w:type="dxa"/>
            </w:tcMar>
            <w:vAlign w:val="center"/>
          </w:tcPr>
          <w:p w14:paraId="7F25B309">
            <w:pPr>
              <w:pStyle w:val="732"/>
              <w:rPr>
                <w:rFonts w:hint="eastAsia" w:ascii="仿宋_GB2312" w:eastAsia="仿宋_GB2312" w:cs="仿宋_GB2312"/>
                <w:color w:val="auto"/>
              </w:rPr>
            </w:pPr>
            <w:r>
              <w:rPr>
                <w:rFonts w:hint="eastAsia" w:ascii="仿宋_GB2312" w:eastAsia="仿宋_GB2312" w:cs="仿宋_GB2312"/>
                <w:color w:val="auto"/>
              </w:rPr>
              <w:t>3</w:t>
            </w:r>
          </w:p>
        </w:tc>
        <w:tc>
          <w:tcPr>
            <w:tcW w:w="1970" w:type="pct"/>
            <w:tcBorders>
              <w:left w:val="single" w:color="000000" w:sz="4" w:space="0"/>
              <w:bottom w:val="single" w:color="000000" w:sz="4" w:space="0"/>
              <w:right w:val="single" w:color="000000" w:sz="4" w:space="0"/>
            </w:tcBorders>
            <w:noWrap/>
            <w:tcMar>
              <w:left w:w="105" w:type="dxa"/>
              <w:right w:w="105" w:type="dxa"/>
            </w:tcMar>
          </w:tcPr>
          <w:p w14:paraId="556797BC">
            <w:pPr>
              <w:pStyle w:val="732"/>
              <w:rPr>
                <w:rFonts w:hint="eastAsia" w:ascii="仿宋_GB2312" w:eastAsia="仿宋_GB2312" w:cs="仿宋_GB2312"/>
                <w:color w:val="auto"/>
              </w:rPr>
            </w:pPr>
            <w:r>
              <w:rPr>
                <w:rFonts w:hint="eastAsia" w:ascii="仿宋_GB2312" w:eastAsia="仿宋_GB2312" w:cs="仿宋_GB2312"/>
                <w:color w:val="auto"/>
              </w:rPr>
              <w:t>3375863.29</w:t>
            </w:r>
          </w:p>
        </w:tc>
        <w:tc>
          <w:tcPr>
            <w:tcW w:w="2096" w:type="pct"/>
            <w:tcBorders>
              <w:left w:val="single" w:color="000000" w:sz="4" w:space="0"/>
              <w:bottom w:val="single" w:color="000000" w:sz="4" w:space="0"/>
              <w:right w:val="single" w:color="auto" w:sz="4" w:space="0"/>
            </w:tcBorders>
            <w:noWrap/>
            <w:tcMar>
              <w:left w:w="105" w:type="dxa"/>
              <w:right w:w="105" w:type="dxa"/>
            </w:tcMar>
          </w:tcPr>
          <w:p w14:paraId="02E37613">
            <w:pPr>
              <w:pStyle w:val="732"/>
              <w:rPr>
                <w:rFonts w:hint="eastAsia" w:ascii="仿宋_GB2312" w:eastAsia="仿宋_GB2312" w:cs="仿宋_GB2312"/>
                <w:color w:val="auto"/>
              </w:rPr>
            </w:pPr>
            <w:r>
              <w:rPr>
                <w:rFonts w:hint="eastAsia" w:ascii="仿宋_GB2312" w:eastAsia="仿宋_GB2312" w:cs="仿宋_GB2312"/>
                <w:color w:val="auto"/>
              </w:rPr>
              <w:t>35522665.89</w:t>
            </w:r>
          </w:p>
        </w:tc>
      </w:tr>
      <w:tr w14:paraId="0DB5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3" w:type="pct"/>
            <w:tcBorders>
              <w:left w:val="single" w:color="000000" w:sz="4" w:space="0"/>
              <w:bottom w:val="single" w:color="000000" w:sz="4" w:space="0"/>
              <w:right w:val="single" w:color="000000" w:sz="4" w:space="0"/>
            </w:tcBorders>
            <w:noWrap/>
            <w:tcMar>
              <w:left w:w="105" w:type="dxa"/>
              <w:right w:w="105" w:type="dxa"/>
            </w:tcMar>
            <w:vAlign w:val="center"/>
          </w:tcPr>
          <w:p w14:paraId="5BC38901">
            <w:pPr>
              <w:pStyle w:val="732"/>
              <w:rPr>
                <w:rFonts w:hint="eastAsia" w:ascii="仿宋_GB2312" w:eastAsia="仿宋_GB2312" w:cs="仿宋_GB2312"/>
                <w:color w:val="auto"/>
              </w:rPr>
            </w:pPr>
            <w:r>
              <w:rPr>
                <w:rFonts w:hint="eastAsia" w:ascii="仿宋_GB2312" w:eastAsia="仿宋_GB2312" w:cs="仿宋_GB2312"/>
                <w:color w:val="auto"/>
              </w:rPr>
              <w:t>4</w:t>
            </w:r>
          </w:p>
        </w:tc>
        <w:tc>
          <w:tcPr>
            <w:tcW w:w="1970" w:type="pct"/>
            <w:tcBorders>
              <w:left w:val="single" w:color="000000" w:sz="4" w:space="0"/>
              <w:bottom w:val="single" w:color="000000" w:sz="4" w:space="0"/>
              <w:right w:val="single" w:color="000000" w:sz="4" w:space="0"/>
            </w:tcBorders>
            <w:noWrap/>
            <w:tcMar>
              <w:left w:w="105" w:type="dxa"/>
              <w:right w:w="105" w:type="dxa"/>
            </w:tcMar>
          </w:tcPr>
          <w:p w14:paraId="37ABC079">
            <w:pPr>
              <w:pStyle w:val="732"/>
              <w:rPr>
                <w:rFonts w:hint="eastAsia" w:ascii="仿宋_GB2312" w:eastAsia="仿宋_GB2312" w:cs="仿宋_GB2312"/>
                <w:color w:val="auto"/>
              </w:rPr>
            </w:pPr>
            <w:r>
              <w:rPr>
                <w:rFonts w:hint="eastAsia" w:ascii="仿宋_GB2312" w:eastAsia="仿宋_GB2312" w:cs="仿宋_GB2312"/>
                <w:color w:val="auto"/>
              </w:rPr>
              <w:t>3375766.63</w:t>
            </w:r>
          </w:p>
        </w:tc>
        <w:tc>
          <w:tcPr>
            <w:tcW w:w="2096" w:type="pct"/>
            <w:tcBorders>
              <w:left w:val="single" w:color="000000" w:sz="4" w:space="0"/>
              <w:bottom w:val="single" w:color="000000" w:sz="4" w:space="0"/>
              <w:right w:val="single" w:color="auto" w:sz="4" w:space="0"/>
            </w:tcBorders>
            <w:noWrap/>
            <w:tcMar>
              <w:left w:w="105" w:type="dxa"/>
              <w:right w:w="105" w:type="dxa"/>
            </w:tcMar>
          </w:tcPr>
          <w:p w14:paraId="5646BAD1">
            <w:pPr>
              <w:pStyle w:val="732"/>
              <w:rPr>
                <w:rFonts w:hint="eastAsia" w:ascii="仿宋_GB2312" w:eastAsia="仿宋_GB2312" w:cs="仿宋_GB2312"/>
                <w:color w:val="auto"/>
              </w:rPr>
            </w:pPr>
            <w:r>
              <w:rPr>
                <w:rFonts w:hint="eastAsia" w:ascii="仿宋_GB2312" w:eastAsia="仿宋_GB2312" w:cs="仿宋_GB2312"/>
                <w:color w:val="auto"/>
              </w:rPr>
              <w:t>35522533.76</w:t>
            </w:r>
          </w:p>
        </w:tc>
      </w:tr>
      <w:tr w14:paraId="5E323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3" w:type="pct"/>
            <w:tcBorders>
              <w:left w:val="single" w:color="000000" w:sz="4" w:space="0"/>
              <w:bottom w:val="single" w:color="000000" w:sz="4" w:space="0"/>
              <w:right w:val="single" w:color="000000" w:sz="4" w:space="0"/>
            </w:tcBorders>
            <w:noWrap/>
            <w:tcMar>
              <w:left w:w="105" w:type="dxa"/>
              <w:right w:w="105" w:type="dxa"/>
            </w:tcMar>
            <w:vAlign w:val="center"/>
          </w:tcPr>
          <w:p w14:paraId="347F1561">
            <w:pPr>
              <w:pStyle w:val="732"/>
              <w:rPr>
                <w:rFonts w:hint="eastAsia" w:ascii="仿宋_GB2312" w:eastAsia="仿宋_GB2312" w:cs="仿宋_GB2312"/>
                <w:color w:val="auto"/>
              </w:rPr>
            </w:pPr>
            <w:r>
              <w:rPr>
                <w:rFonts w:hint="eastAsia" w:ascii="仿宋_GB2312" w:eastAsia="仿宋_GB2312" w:cs="仿宋_GB2312"/>
                <w:color w:val="auto"/>
              </w:rPr>
              <w:t>5</w:t>
            </w:r>
          </w:p>
        </w:tc>
        <w:tc>
          <w:tcPr>
            <w:tcW w:w="1970" w:type="pct"/>
            <w:tcBorders>
              <w:left w:val="single" w:color="000000" w:sz="4" w:space="0"/>
              <w:bottom w:val="single" w:color="000000" w:sz="4" w:space="0"/>
              <w:right w:val="single" w:color="000000" w:sz="4" w:space="0"/>
            </w:tcBorders>
            <w:noWrap/>
            <w:tcMar>
              <w:left w:w="105" w:type="dxa"/>
              <w:right w:w="105" w:type="dxa"/>
            </w:tcMar>
          </w:tcPr>
          <w:p w14:paraId="480D7ADD">
            <w:pPr>
              <w:pStyle w:val="732"/>
              <w:rPr>
                <w:rFonts w:hint="eastAsia" w:ascii="仿宋_GB2312" w:eastAsia="仿宋_GB2312" w:cs="仿宋_GB2312"/>
                <w:color w:val="auto"/>
              </w:rPr>
            </w:pPr>
            <w:r>
              <w:rPr>
                <w:rFonts w:hint="eastAsia" w:ascii="仿宋_GB2312" w:eastAsia="仿宋_GB2312" w:cs="仿宋_GB2312"/>
                <w:color w:val="auto"/>
              </w:rPr>
              <w:t>3375857.97</w:t>
            </w:r>
          </w:p>
        </w:tc>
        <w:tc>
          <w:tcPr>
            <w:tcW w:w="2096" w:type="pct"/>
            <w:tcBorders>
              <w:left w:val="single" w:color="000000" w:sz="4" w:space="0"/>
              <w:bottom w:val="single" w:color="000000" w:sz="4" w:space="0"/>
              <w:right w:val="single" w:color="auto" w:sz="4" w:space="0"/>
            </w:tcBorders>
            <w:noWrap/>
            <w:tcMar>
              <w:left w:w="105" w:type="dxa"/>
              <w:right w:w="105" w:type="dxa"/>
            </w:tcMar>
          </w:tcPr>
          <w:p w14:paraId="04C5545E">
            <w:pPr>
              <w:pStyle w:val="732"/>
              <w:rPr>
                <w:rFonts w:hint="eastAsia" w:ascii="仿宋_GB2312" w:eastAsia="仿宋_GB2312" w:cs="仿宋_GB2312"/>
                <w:color w:val="auto"/>
              </w:rPr>
            </w:pPr>
            <w:r>
              <w:rPr>
                <w:rFonts w:hint="eastAsia" w:ascii="仿宋_GB2312" w:eastAsia="仿宋_GB2312" w:cs="仿宋_GB2312"/>
                <w:color w:val="auto"/>
              </w:rPr>
              <w:t>35522446.85</w:t>
            </w:r>
          </w:p>
        </w:tc>
      </w:tr>
      <w:tr w14:paraId="3A55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3" w:type="pct"/>
            <w:tcBorders>
              <w:left w:val="single" w:color="000000" w:sz="4" w:space="0"/>
              <w:bottom w:val="single" w:color="000000" w:sz="4" w:space="0"/>
              <w:right w:val="single" w:color="000000" w:sz="4" w:space="0"/>
            </w:tcBorders>
            <w:noWrap/>
            <w:tcMar>
              <w:left w:w="105" w:type="dxa"/>
              <w:right w:w="105" w:type="dxa"/>
            </w:tcMar>
            <w:vAlign w:val="center"/>
          </w:tcPr>
          <w:p w14:paraId="44DE43AA">
            <w:pPr>
              <w:pStyle w:val="732"/>
              <w:rPr>
                <w:rFonts w:hint="eastAsia" w:ascii="仿宋_GB2312" w:eastAsia="仿宋_GB2312" w:cs="仿宋_GB2312"/>
                <w:color w:val="auto"/>
              </w:rPr>
            </w:pPr>
            <w:r>
              <w:rPr>
                <w:rFonts w:hint="eastAsia" w:ascii="仿宋_GB2312" w:eastAsia="仿宋_GB2312" w:cs="仿宋_GB2312"/>
                <w:color w:val="auto"/>
              </w:rPr>
              <w:t>6</w:t>
            </w:r>
          </w:p>
        </w:tc>
        <w:tc>
          <w:tcPr>
            <w:tcW w:w="1970" w:type="pct"/>
            <w:tcBorders>
              <w:left w:val="single" w:color="000000" w:sz="4" w:space="0"/>
              <w:bottom w:val="single" w:color="000000" w:sz="4" w:space="0"/>
              <w:right w:val="single" w:color="000000" w:sz="4" w:space="0"/>
            </w:tcBorders>
            <w:noWrap/>
            <w:tcMar>
              <w:left w:w="105" w:type="dxa"/>
              <w:right w:w="105" w:type="dxa"/>
            </w:tcMar>
          </w:tcPr>
          <w:p w14:paraId="4A4927C6">
            <w:pPr>
              <w:pStyle w:val="732"/>
              <w:rPr>
                <w:rFonts w:hint="eastAsia" w:ascii="仿宋_GB2312" w:eastAsia="仿宋_GB2312" w:cs="仿宋_GB2312"/>
                <w:color w:val="auto"/>
              </w:rPr>
            </w:pPr>
            <w:r>
              <w:rPr>
                <w:rFonts w:hint="eastAsia" w:ascii="仿宋_GB2312" w:eastAsia="仿宋_GB2312" w:cs="仿宋_GB2312"/>
                <w:color w:val="auto"/>
              </w:rPr>
              <w:t>3375870.38</w:t>
            </w:r>
          </w:p>
        </w:tc>
        <w:tc>
          <w:tcPr>
            <w:tcW w:w="2096" w:type="pct"/>
            <w:tcBorders>
              <w:left w:val="single" w:color="000000" w:sz="4" w:space="0"/>
              <w:bottom w:val="single" w:color="000000" w:sz="4" w:space="0"/>
              <w:right w:val="single" w:color="auto" w:sz="4" w:space="0"/>
            </w:tcBorders>
            <w:noWrap/>
            <w:tcMar>
              <w:left w:w="105" w:type="dxa"/>
              <w:right w:w="105" w:type="dxa"/>
            </w:tcMar>
          </w:tcPr>
          <w:p w14:paraId="54AA7FE1">
            <w:pPr>
              <w:pStyle w:val="732"/>
              <w:rPr>
                <w:rFonts w:hint="eastAsia" w:ascii="仿宋_GB2312" w:eastAsia="仿宋_GB2312" w:cs="仿宋_GB2312"/>
                <w:color w:val="auto"/>
              </w:rPr>
            </w:pPr>
            <w:r>
              <w:rPr>
                <w:rFonts w:hint="eastAsia" w:ascii="仿宋_GB2312" w:eastAsia="仿宋_GB2312" w:cs="仿宋_GB2312"/>
                <w:color w:val="auto"/>
              </w:rPr>
              <w:t>35522376.79</w:t>
            </w:r>
          </w:p>
        </w:tc>
      </w:tr>
      <w:tr w14:paraId="0BFEC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3" w:type="pct"/>
            <w:tcBorders>
              <w:top w:val="single" w:color="auto" w:sz="4" w:space="0"/>
              <w:left w:val="single" w:color="000000" w:sz="4" w:space="0"/>
              <w:bottom w:val="single" w:color="auto" w:sz="4" w:space="0"/>
              <w:right w:val="single" w:color="auto" w:sz="4" w:space="0"/>
            </w:tcBorders>
            <w:noWrap/>
            <w:tcMar>
              <w:left w:w="105" w:type="dxa"/>
              <w:right w:w="105" w:type="dxa"/>
            </w:tcMar>
            <w:vAlign w:val="center"/>
          </w:tcPr>
          <w:p w14:paraId="2F0E3554">
            <w:pPr>
              <w:pStyle w:val="732"/>
              <w:rPr>
                <w:rFonts w:hint="eastAsia" w:ascii="仿宋_GB2312" w:eastAsia="仿宋_GB2312" w:cs="仿宋_GB2312"/>
                <w:color w:val="auto"/>
              </w:rPr>
            </w:pPr>
            <w:r>
              <w:rPr>
                <w:rFonts w:hint="eastAsia" w:ascii="仿宋_GB2312" w:eastAsia="仿宋_GB2312" w:cs="仿宋_GB2312"/>
                <w:color w:val="auto"/>
                <w:kern w:val="0"/>
                <w:sz w:val="22"/>
                <w:szCs w:val="22"/>
              </w:rPr>
              <w:t>开采深度</w:t>
            </w:r>
          </w:p>
        </w:tc>
        <w:tc>
          <w:tcPr>
            <w:tcW w:w="4066" w:type="pct"/>
            <w:gridSpan w:val="2"/>
            <w:tcBorders>
              <w:top w:val="single" w:color="auto" w:sz="4" w:space="0"/>
              <w:left w:val="single" w:color="auto" w:sz="4" w:space="0"/>
              <w:bottom w:val="single" w:color="auto" w:sz="4" w:space="0"/>
              <w:right w:val="single" w:color="auto" w:sz="4" w:space="0"/>
            </w:tcBorders>
            <w:noWrap/>
            <w:tcMar>
              <w:left w:w="105" w:type="dxa"/>
              <w:right w:w="105" w:type="dxa"/>
            </w:tcMar>
            <w:vAlign w:val="center"/>
          </w:tcPr>
          <w:p w14:paraId="5F56AECF">
            <w:pPr>
              <w:pStyle w:val="732"/>
              <w:rPr>
                <w:rFonts w:hint="eastAsia" w:ascii="仿宋_GB2312" w:eastAsia="仿宋_GB2312" w:cs="仿宋_GB2312"/>
                <w:color w:val="auto"/>
              </w:rPr>
            </w:pPr>
            <w:r>
              <w:rPr>
                <w:rFonts w:hint="eastAsia" w:ascii="仿宋_GB2312" w:eastAsia="仿宋_GB2312" w:cs="仿宋_GB2312"/>
                <w:color w:val="auto"/>
                <w:kern w:val="0"/>
                <w:sz w:val="22"/>
                <w:szCs w:val="22"/>
              </w:rPr>
              <w:t>丛</w:t>
            </w:r>
            <w:r>
              <w:rPr>
                <w:rFonts w:hint="eastAsia" w:ascii="仿宋_GB2312" w:eastAsia="仿宋_GB2312" w:cs="仿宋_GB2312"/>
                <w:color w:val="auto"/>
                <w:kern w:val="0"/>
                <w:sz w:val="22"/>
                <w:szCs w:val="22"/>
                <w:lang w:val="en-US" w:eastAsia="zh-CN"/>
              </w:rPr>
              <w:t>400</w:t>
            </w:r>
            <w:r>
              <w:rPr>
                <w:rFonts w:hint="eastAsia" w:ascii="仿宋_GB2312" w:eastAsia="仿宋_GB2312" w:cs="仿宋_GB2312"/>
                <w:color w:val="auto"/>
                <w:kern w:val="0"/>
                <w:sz w:val="22"/>
                <w:szCs w:val="22"/>
              </w:rPr>
              <w:t>米到</w:t>
            </w:r>
            <w:r>
              <w:rPr>
                <w:rFonts w:hint="eastAsia" w:ascii="仿宋_GB2312" w:eastAsia="仿宋_GB2312" w:cs="仿宋_GB2312"/>
                <w:color w:val="auto"/>
                <w:kern w:val="0"/>
                <w:sz w:val="22"/>
                <w:szCs w:val="22"/>
                <w:lang w:val="en-US" w:eastAsia="zh-CN"/>
              </w:rPr>
              <w:t>330</w:t>
            </w:r>
            <w:r>
              <w:rPr>
                <w:rFonts w:hint="eastAsia" w:ascii="仿宋_GB2312" w:eastAsia="仿宋_GB2312" w:cs="仿宋_GB2312"/>
                <w:color w:val="auto"/>
                <w:kern w:val="0"/>
                <w:sz w:val="22"/>
                <w:szCs w:val="22"/>
              </w:rPr>
              <w:t>米</w:t>
            </w:r>
          </w:p>
        </w:tc>
      </w:tr>
      <w:tr w14:paraId="6F2FE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33" w:type="pct"/>
            <w:tcBorders>
              <w:top w:val="single" w:color="auto" w:sz="4" w:space="0"/>
              <w:left w:val="single" w:color="000000" w:sz="4" w:space="0"/>
              <w:bottom w:val="single" w:color="auto" w:sz="4" w:space="0"/>
              <w:right w:val="single" w:color="auto" w:sz="4" w:space="0"/>
            </w:tcBorders>
            <w:noWrap/>
            <w:tcMar>
              <w:left w:w="105" w:type="dxa"/>
              <w:right w:w="105" w:type="dxa"/>
            </w:tcMar>
            <w:vAlign w:val="center"/>
          </w:tcPr>
          <w:p w14:paraId="2EE74F95">
            <w:pPr>
              <w:pStyle w:val="732"/>
              <w:rPr>
                <w:rFonts w:hint="eastAsia" w:ascii="仿宋_GB2312" w:eastAsia="仿宋_GB2312" w:cs="仿宋_GB2312"/>
                <w:color w:val="auto"/>
              </w:rPr>
            </w:pPr>
            <w:r>
              <w:rPr>
                <w:rFonts w:hint="eastAsia" w:ascii="仿宋_GB2312" w:eastAsia="仿宋_GB2312" w:cs="仿宋_GB2312"/>
                <w:color w:val="auto"/>
                <w:kern w:val="0"/>
                <w:sz w:val="22"/>
                <w:szCs w:val="22"/>
              </w:rPr>
              <w:t>矿区面积</w:t>
            </w:r>
          </w:p>
        </w:tc>
        <w:tc>
          <w:tcPr>
            <w:tcW w:w="4066" w:type="pct"/>
            <w:gridSpan w:val="2"/>
            <w:tcBorders>
              <w:top w:val="single" w:color="auto" w:sz="4" w:space="0"/>
              <w:left w:val="single" w:color="auto" w:sz="4" w:space="0"/>
              <w:bottom w:val="single" w:color="auto" w:sz="4" w:space="0"/>
              <w:right w:val="single" w:color="auto" w:sz="4" w:space="0"/>
            </w:tcBorders>
            <w:noWrap/>
            <w:tcMar>
              <w:left w:w="105" w:type="dxa"/>
              <w:right w:w="105" w:type="dxa"/>
            </w:tcMar>
            <w:vAlign w:val="center"/>
          </w:tcPr>
          <w:p w14:paraId="75A3D5DA">
            <w:pPr>
              <w:pStyle w:val="732"/>
              <w:rPr>
                <w:rFonts w:hint="eastAsia" w:ascii="仿宋_GB2312" w:eastAsia="仿宋_GB2312" w:cs="仿宋_GB2312"/>
                <w:color w:val="auto"/>
                <w:lang w:eastAsia="zh-CN"/>
              </w:rPr>
            </w:pPr>
            <w:r>
              <w:rPr>
                <w:rFonts w:hint="eastAsia" w:ascii="仿宋_GB2312" w:eastAsia="仿宋_GB2312" w:cs="仿宋_GB2312"/>
                <w:color w:val="auto"/>
              </w:rPr>
              <w:t>0.0</w:t>
            </w:r>
            <w:r>
              <w:rPr>
                <w:rFonts w:hint="eastAsia" w:ascii="仿宋_GB2312" w:eastAsia="仿宋_GB2312" w:cs="仿宋_GB2312"/>
                <w:color w:val="auto"/>
                <w:lang w:val="en-US" w:eastAsia="zh-CN"/>
              </w:rPr>
              <w:t>247</w:t>
            </w:r>
            <w:r>
              <w:rPr>
                <w:rFonts w:hint="eastAsia" w:ascii="仿宋_GB2312" w:eastAsia="仿宋_GB2312" w:cs="仿宋_GB2312"/>
                <w:color w:val="auto"/>
              </w:rPr>
              <w:t>k</w:t>
            </w:r>
            <w:r>
              <w:rPr>
                <w:rFonts w:hint="eastAsia" w:ascii="仿宋_GB2312" w:eastAsia="仿宋_GB2312" w:cs="仿宋_GB2312"/>
                <w:color w:val="auto"/>
                <w:lang w:eastAsia="zh-CN"/>
              </w:rPr>
              <w:t>m²</w:t>
            </w:r>
          </w:p>
        </w:tc>
      </w:tr>
    </w:tbl>
    <w:p w14:paraId="068C2968">
      <w:pPr>
        <w:pStyle w:val="4"/>
        <w:adjustRightInd w:val="0"/>
        <w:snapToGrid w:val="0"/>
        <w:spacing w:before="0"/>
        <w:rPr>
          <w:rFonts w:hint="eastAsia" w:ascii="仿宋_GB2312" w:eastAsia="仿宋_GB2312" w:cs="仿宋_GB2312"/>
          <w:b/>
          <w:bCs w:val="0"/>
          <w:color w:val="auto"/>
          <w:sz w:val="28"/>
          <w:szCs w:val="28"/>
        </w:rPr>
      </w:pPr>
      <w:bookmarkStart w:id="36" w:name="_Toc138060291"/>
      <w:bookmarkStart w:id="37" w:name="_Toc21719"/>
      <w:bookmarkStart w:id="38" w:name="_Toc18808"/>
      <w:bookmarkStart w:id="39" w:name="_Toc11448"/>
      <w:r>
        <w:rPr>
          <w:rFonts w:hint="eastAsia" w:ascii="仿宋_GB2312" w:eastAsia="仿宋_GB2312" w:cs="仿宋_GB2312"/>
          <w:b/>
          <w:bCs w:val="0"/>
          <w:color w:val="auto"/>
          <w:sz w:val="28"/>
          <w:szCs w:val="28"/>
        </w:rPr>
        <w:t>1.</w:t>
      </w:r>
      <w:r>
        <w:rPr>
          <w:rFonts w:hint="eastAsia" w:ascii="仿宋_GB2312" w:eastAsia="仿宋_GB2312" w:cs="仿宋_GB2312"/>
          <w:b/>
          <w:bCs w:val="0"/>
          <w:color w:val="auto"/>
          <w:sz w:val="28"/>
          <w:szCs w:val="28"/>
          <w:lang w:val="en-US" w:eastAsia="zh-CN"/>
        </w:rPr>
        <w:t>4</w:t>
      </w:r>
      <w:r>
        <w:rPr>
          <w:rFonts w:hint="eastAsia" w:ascii="仿宋_GB2312" w:eastAsia="仿宋_GB2312" w:cs="仿宋_GB2312"/>
          <w:b/>
          <w:bCs w:val="0"/>
          <w:color w:val="auto"/>
          <w:sz w:val="28"/>
          <w:szCs w:val="28"/>
        </w:rPr>
        <w:t>矿山现状</w:t>
      </w:r>
      <w:bookmarkEnd w:id="36"/>
      <w:bookmarkEnd w:id="37"/>
      <w:bookmarkEnd w:id="38"/>
      <w:bookmarkEnd w:id="39"/>
    </w:p>
    <w:p w14:paraId="6CDDD8B2">
      <w:pPr>
        <w:pStyle w:val="626"/>
        <w:adjustRightInd w:val="0"/>
        <w:snapToGrid w:val="0"/>
        <w:spacing w:line="360" w:lineRule="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根</w:t>
      </w:r>
      <w:r>
        <w:rPr>
          <w:rFonts w:hint="eastAsia" w:ascii="仿宋_GB2312" w:eastAsia="仿宋_GB2312" w:cs="仿宋_GB2312"/>
          <w:color w:val="auto"/>
          <w:sz w:val="28"/>
          <w:szCs w:val="28"/>
          <w:highlight w:val="none"/>
          <w:lang w:val="en-US" w:eastAsia="zh-CN"/>
        </w:rPr>
        <w:t>据2023年8</w:t>
      </w:r>
      <w:r>
        <w:rPr>
          <w:rFonts w:hint="eastAsia" w:ascii="仿宋_GB2312" w:eastAsia="仿宋_GB2312" w:cs="仿宋_GB2312"/>
          <w:color w:val="auto"/>
          <w:sz w:val="28"/>
          <w:szCs w:val="28"/>
          <w:lang w:val="en-US" w:eastAsia="zh-CN"/>
        </w:rPr>
        <w:t>月中国建筑西南勘察设计研究院有限公司提交的《四川省大英县汇龙桥村砖瓦用页岩矿勘查报告》，截至2023年8月30日，</w:t>
      </w:r>
      <w:r>
        <w:rPr>
          <w:rFonts w:hint="eastAsia" w:ascii="仿宋_GB2312" w:eastAsia="仿宋_GB2312" w:cs="仿宋_GB2312"/>
          <w:color w:val="auto"/>
          <w:kern w:val="2"/>
          <w:sz w:val="28"/>
          <w:szCs w:val="28"/>
          <w:lang w:val="en-US" w:eastAsia="zh-CN" w:bidi="ar-SA"/>
        </w:rPr>
        <w:t>大英县汇龙桥村砖瓦用页岩矿</w:t>
      </w:r>
      <w:r>
        <w:rPr>
          <w:rFonts w:hint="eastAsia" w:ascii="仿宋_GB2312" w:eastAsia="仿宋_GB2312" w:cs="仿宋_GB2312"/>
          <w:color w:val="auto"/>
          <w:sz w:val="28"/>
          <w:szCs w:val="28"/>
          <w:lang w:val="en-US" w:eastAsia="zh-CN"/>
        </w:rPr>
        <w:t>规划开采区块无动用资源储量。</w:t>
      </w:r>
    </w:p>
    <w:p w14:paraId="7D71D33C">
      <w:pPr>
        <w:pStyle w:val="4"/>
        <w:adjustRightInd w:val="0"/>
        <w:snapToGrid w:val="0"/>
        <w:spacing w:before="0"/>
        <w:rPr>
          <w:rFonts w:hint="eastAsia" w:ascii="仿宋_GB2312" w:eastAsia="仿宋_GB2312" w:cs="仿宋_GB2312"/>
          <w:b/>
          <w:bCs w:val="0"/>
          <w:color w:val="auto"/>
          <w:sz w:val="28"/>
          <w:szCs w:val="28"/>
        </w:rPr>
      </w:pPr>
      <w:bookmarkStart w:id="40" w:name="_Toc13192"/>
      <w:bookmarkStart w:id="41" w:name="_Toc10348"/>
      <w:bookmarkStart w:id="42" w:name="_Toc26898"/>
      <w:bookmarkStart w:id="43" w:name="_Toc138060292"/>
      <w:bookmarkStart w:id="44" w:name="_Toc365801860"/>
      <w:r>
        <w:rPr>
          <w:rFonts w:hint="eastAsia" w:ascii="仿宋_GB2312" w:eastAsia="仿宋_GB2312" w:cs="仿宋_GB2312"/>
          <w:b/>
          <w:bCs w:val="0"/>
          <w:color w:val="auto"/>
          <w:sz w:val="28"/>
          <w:szCs w:val="28"/>
        </w:rPr>
        <w:t>1.</w:t>
      </w:r>
      <w:r>
        <w:rPr>
          <w:rFonts w:hint="eastAsia" w:ascii="仿宋_GB2312" w:eastAsia="仿宋_GB2312" w:cs="仿宋_GB2312"/>
          <w:b/>
          <w:bCs w:val="0"/>
          <w:color w:val="auto"/>
          <w:sz w:val="28"/>
          <w:szCs w:val="28"/>
          <w:lang w:val="en-US" w:eastAsia="zh-CN"/>
        </w:rPr>
        <w:t>5</w:t>
      </w:r>
      <w:r>
        <w:rPr>
          <w:rFonts w:hint="eastAsia" w:ascii="仿宋_GB2312" w:eastAsia="仿宋_GB2312" w:cs="仿宋_GB2312"/>
          <w:b/>
          <w:bCs w:val="0"/>
          <w:color w:val="auto"/>
          <w:sz w:val="28"/>
          <w:szCs w:val="28"/>
        </w:rPr>
        <w:t>编制依据及设计原则</w:t>
      </w:r>
      <w:bookmarkEnd w:id="40"/>
      <w:bookmarkEnd w:id="41"/>
      <w:bookmarkEnd w:id="42"/>
      <w:bookmarkEnd w:id="43"/>
      <w:bookmarkEnd w:id="44"/>
    </w:p>
    <w:p w14:paraId="4B9959B6">
      <w:pPr>
        <w:pStyle w:val="5"/>
        <w:adjustRightInd w:val="0"/>
        <w:snapToGrid w:val="0"/>
        <w:spacing w:before="0" w:line="360" w:lineRule="auto"/>
        <w:rPr>
          <w:rFonts w:hint="eastAsia" w:ascii="仿宋_GB2312" w:eastAsia="仿宋_GB2312" w:cs="仿宋_GB2312"/>
          <w:b/>
          <w:bCs w:val="0"/>
          <w:color w:val="auto"/>
          <w:sz w:val="28"/>
          <w:szCs w:val="28"/>
        </w:rPr>
      </w:pPr>
      <w:bookmarkStart w:id="45" w:name="_Toc19463"/>
      <w:bookmarkStart w:id="46" w:name="_Toc148957921"/>
      <w:r>
        <w:rPr>
          <w:rFonts w:hint="eastAsia" w:ascii="仿宋_GB2312" w:eastAsia="仿宋_GB2312" w:cs="仿宋_GB2312"/>
          <w:b/>
          <w:bCs w:val="0"/>
          <w:color w:val="auto"/>
          <w:sz w:val="28"/>
          <w:szCs w:val="28"/>
        </w:rPr>
        <w:t>1.</w:t>
      </w:r>
      <w:r>
        <w:rPr>
          <w:rFonts w:hint="eastAsia" w:ascii="仿宋_GB2312" w:eastAsia="仿宋_GB2312" w:cs="仿宋_GB2312"/>
          <w:b/>
          <w:bCs w:val="0"/>
          <w:color w:val="auto"/>
          <w:sz w:val="28"/>
          <w:szCs w:val="28"/>
          <w:lang w:val="en-US" w:eastAsia="zh-CN"/>
        </w:rPr>
        <w:t>5</w:t>
      </w:r>
      <w:r>
        <w:rPr>
          <w:rFonts w:hint="eastAsia" w:ascii="仿宋_GB2312" w:eastAsia="仿宋_GB2312" w:cs="仿宋_GB2312"/>
          <w:b/>
          <w:bCs w:val="0"/>
          <w:color w:val="auto"/>
          <w:sz w:val="28"/>
          <w:szCs w:val="28"/>
        </w:rPr>
        <w:t>.1编制原则</w:t>
      </w:r>
      <w:bookmarkEnd w:id="45"/>
      <w:bookmarkEnd w:id="46"/>
    </w:p>
    <w:p w14:paraId="774DF774">
      <w:pPr>
        <w:pStyle w:val="7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根据国家有关经济建设的方针政策，结合矿山工程的实际情况，使项目建设取得预期的经济效益和社会效益，确定下列设计原则：</w:t>
      </w:r>
    </w:p>
    <w:p w14:paraId="5BB97AC3">
      <w:pPr>
        <w:pStyle w:val="7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1、方案编制各专业符合国家有关设计规范的要求和相关的技术、质量、标准体系；</w:t>
      </w:r>
    </w:p>
    <w:p w14:paraId="4E7BD329">
      <w:pPr>
        <w:pStyle w:val="7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2、贯彻矿产资源法和在保护中开发，在开发中保护矿产资源政策，坚持合理开采顺序，实现资源开发的可持续发展；</w:t>
      </w:r>
    </w:p>
    <w:p w14:paraId="3FED8B43">
      <w:pPr>
        <w:pStyle w:val="7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3、方案编制达到“矿产资源开发利用方案编写内容”深度要求；</w:t>
      </w:r>
    </w:p>
    <w:p w14:paraId="35A8D9FB">
      <w:pPr>
        <w:pStyle w:val="7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4、从实际出发，采用技术先进、经济适用、安全可靠的生产工艺流程和设备，提高效率，确保矿山持续稳定正常生产；</w:t>
      </w:r>
    </w:p>
    <w:p w14:paraId="670702F2">
      <w:pPr>
        <w:pStyle w:val="7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5、在满足工艺要求及安全生产的前提下，尽量节省投资。</w:t>
      </w:r>
    </w:p>
    <w:p w14:paraId="68A8E3B1">
      <w:pPr>
        <w:pStyle w:val="5"/>
        <w:adjustRightInd w:val="0"/>
        <w:snapToGrid w:val="0"/>
        <w:spacing w:before="0" w:line="360" w:lineRule="auto"/>
        <w:rPr>
          <w:rFonts w:hint="eastAsia" w:ascii="仿宋_GB2312" w:eastAsia="仿宋_GB2312" w:cs="仿宋_GB2312"/>
          <w:b/>
          <w:bCs w:val="0"/>
          <w:color w:val="auto"/>
          <w:sz w:val="28"/>
          <w:szCs w:val="28"/>
        </w:rPr>
      </w:pPr>
      <w:bookmarkStart w:id="47" w:name="_Toc148957922"/>
      <w:bookmarkStart w:id="48" w:name="_Toc28105"/>
      <w:r>
        <w:rPr>
          <w:rFonts w:hint="eastAsia" w:ascii="仿宋_GB2312" w:eastAsia="仿宋_GB2312" w:cs="仿宋_GB2312"/>
          <w:b/>
          <w:bCs w:val="0"/>
          <w:color w:val="auto"/>
          <w:sz w:val="28"/>
          <w:szCs w:val="28"/>
        </w:rPr>
        <w:t>1.</w:t>
      </w:r>
      <w:r>
        <w:rPr>
          <w:rFonts w:hint="eastAsia" w:ascii="仿宋_GB2312" w:eastAsia="仿宋_GB2312" w:cs="仿宋_GB2312"/>
          <w:b/>
          <w:bCs w:val="0"/>
          <w:color w:val="auto"/>
          <w:sz w:val="28"/>
          <w:szCs w:val="28"/>
          <w:lang w:val="en-US" w:eastAsia="zh-CN"/>
        </w:rPr>
        <w:t>5</w:t>
      </w:r>
      <w:r>
        <w:rPr>
          <w:rFonts w:hint="eastAsia" w:ascii="仿宋_GB2312" w:eastAsia="仿宋_GB2312" w:cs="仿宋_GB2312"/>
          <w:b/>
          <w:bCs w:val="0"/>
          <w:color w:val="auto"/>
          <w:sz w:val="28"/>
          <w:szCs w:val="28"/>
        </w:rPr>
        <w:t>.2编制依据</w:t>
      </w:r>
      <w:bookmarkEnd w:id="47"/>
      <w:bookmarkEnd w:id="48"/>
    </w:p>
    <w:p w14:paraId="36E2DD52">
      <w:pPr>
        <w:pStyle w:val="6"/>
        <w:adjustRightInd w:val="0"/>
        <w:snapToGrid w:val="0"/>
        <w:spacing w:before="0" w:line="360" w:lineRule="auto"/>
        <w:rPr>
          <w:rFonts w:hint="eastAsia" w:ascii="仿宋_GB2312" w:eastAsia="仿宋_GB2312" w:cs="仿宋_GB2312"/>
          <w:b/>
          <w:bCs w:val="0"/>
          <w:color w:val="auto"/>
          <w:sz w:val="28"/>
          <w:szCs w:val="28"/>
        </w:rPr>
      </w:pPr>
      <w:r>
        <w:rPr>
          <w:rFonts w:hint="eastAsia" w:ascii="仿宋_GB2312" w:eastAsia="仿宋_GB2312" w:cs="仿宋_GB2312"/>
          <w:b/>
          <w:bCs w:val="0"/>
          <w:color w:val="auto"/>
          <w:sz w:val="28"/>
          <w:szCs w:val="28"/>
        </w:rPr>
        <w:t>1.</w:t>
      </w:r>
      <w:r>
        <w:rPr>
          <w:rFonts w:hint="eastAsia" w:ascii="仿宋_GB2312" w:eastAsia="仿宋_GB2312" w:cs="仿宋_GB2312"/>
          <w:b/>
          <w:bCs w:val="0"/>
          <w:color w:val="auto"/>
          <w:sz w:val="28"/>
          <w:szCs w:val="28"/>
          <w:lang w:val="en-US" w:eastAsia="zh-CN"/>
        </w:rPr>
        <w:t>5</w:t>
      </w:r>
      <w:r>
        <w:rPr>
          <w:rFonts w:hint="eastAsia" w:ascii="仿宋_GB2312" w:eastAsia="仿宋_GB2312" w:cs="仿宋_GB2312"/>
          <w:b/>
          <w:bCs w:val="0"/>
          <w:color w:val="auto"/>
          <w:sz w:val="28"/>
          <w:szCs w:val="28"/>
        </w:rPr>
        <w:t>.2.1法律法规及规范性文件</w:t>
      </w:r>
    </w:p>
    <w:p w14:paraId="6606625D">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rPr>
        <w:t>1、《中华人民共和国安全生产法》（中华人民共和国主席令</w:t>
      </w:r>
      <w:r>
        <w:rPr>
          <w:rFonts w:hint="eastAsia" w:ascii="仿宋_GB2312" w:eastAsia="仿宋_GB2312" w:cs="仿宋_GB2312"/>
          <w:color w:val="auto"/>
          <w:sz w:val="28"/>
          <w:szCs w:val="28"/>
          <w:lang w:eastAsia="zh-CN"/>
        </w:rPr>
        <w:t>〔2021〕</w:t>
      </w:r>
      <w:r>
        <w:rPr>
          <w:rFonts w:hint="eastAsia" w:ascii="仿宋_GB2312" w:eastAsia="仿宋_GB2312" w:cs="仿宋_GB2312"/>
          <w:color w:val="auto"/>
          <w:sz w:val="28"/>
          <w:szCs w:val="28"/>
        </w:rPr>
        <w:t>第88号，2021年6月10日公布，2021年9月1日实施）；</w:t>
      </w:r>
    </w:p>
    <w:p w14:paraId="071EC02E">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rPr>
        <w:t>2、《中华人民共和国劳动法》（2018年12月29日第十三届全国人民代表大会常务委员会第七次会议修正）；</w:t>
      </w:r>
    </w:p>
    <w:p w14:paraId="2DEAF4FC">
      <w:pPr>
        <w:adjustRightInd w:val="0"/>
        <w:snapToGrid w:val="0"/>
        <w:spacing w:line="360" w:lineRule="auto"/>
        <w:ind w:firstLine="560" w:firstLineChars="20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rPr>
        <w:t>、《中华人民共和国矿山安全法（2009年修订）》（中华人民共和国主席令</w:t>
      </w:r>
      <w:r>
        <w:rPr>
          <w:rFonts w:hint="eastAsia" w:ascii="仿宋_GB2312" w:eastAsia="仿宋_GB2312" w:cs="仿宋_GB2312"/>
          <w:color w:val="auto"/>
          <w:sz w:val="28"/>
          <w:szCs w:val="28"/>
          <w:lang w:eastAsia="zh-CN"/>
        </w:rPr>
        <w:t>〔2009〕</w:t>
      </w:r>
      <w:r>
        <w:rPr>
          <w:rFonts w:hint="eastAsia" w:ascii="仿宋_GB2312" w:eastAsia="仿宋_GB2312" w:cs="仿宋_GB2312"/>
          <w:color w:val="auto"/>
          <w:sz w:val="28"/>
          <w:szCs w:val="28"/>
        </w:rPr>
        <w:t>第十八号，2009年8月27日公布、施行）</w:t>
      </w:r>
      <w:r>
        <w:rPr>
          <w:rFonts w:hint="eastAsia" w:ascii="仿宋_GB2312" w:eastAsia="仿宋_GB2312" w:cs="仿宋_GB2312"/>
          <w:color w:val="auto"/>
          <w:sz w:val="28"/>
          <w:szCs w:val="28"/>
          <w:lang w:eastAsia="zh-CN"/>
        </w:rPr>
        <w:t>；</w:t>
      </w:r>
    </w:p>
    <w:p w14:paraId="7D63084E">
      <w:pPr>
        <w:adjustRightInd w:val="0"/>
        <w:snapToGrid w:val="0"/>
        <w:spacing w:line="360" w:lineRule="auto"/>
        <w:ind w:firstLine="560" w:firstLineChars="20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、《中华人民共和国矿山安全法实施条例》（中华人民共和国国务院授权劳动部发布，劳动部令［1996］第4号，1996年10月30日发布、施行）</w:t>
      </w:r>
      <w:r>
        <w:rPr>
          <w:rFonts w:hint="eastAsia" w:ascii="仿宋_GB2312" w:eastAsia="仿宋_GB2312" w:cs="仿宋_GB2312"/>
          <w:color w:val="auto"/>
          <w:sz w:val="28"/>
          <w:szCs w:val="28"/>
          <w:lang w:eastAsia="zh-CN"/>
        </w:rPr>
        <w:t>；</w:t>
      </w:r>
    </w:p>
    <w:p w14:paraId="7713EBC8">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5</w:t>
      </w:r>
      <w:r>
        <w:rPr>
          <w:rFonts w:hint="eastAsia" w:ascii="仿宋_GB2312" w:eastAsia="仿宋_GB2312" w:cs="仿宋_GB2312"/>
          <w:color w:val="auto"/>
          <w:sz w:val="28"/>
          <w:szCs w:val="28"/>
        </w:rPr>
        <w:t>、《中华人民共和国矿产资源法》（主席令十一届第18号修正，自2009年8月27日起施行）；</w:t>
      </w:r>
    </w:p>
    <w:p w14:paraId="3D3A6B36">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6</w:t>
      </w:r>
      <w:r>
        <w:rPr>
          <w:rFonts w:hint="eastAsia" w:ascii="仿宋_GB2312" w:eastAsia="仿宋_GB2312" w:cs="仿宋_GB2312"/>
          <w:color w:val="auto"/>
          <w:sz w:val="28"/>
          <w:szCs w:val="28"/>
        </w:rPr>
        <w:t>、《矿产资源开采登记管理办法（2014修订）》（中华人民共和国国务院令第653号，自2014年7月29日）；</w:t>
      </w:r>
    </w:p>
    <w:p w14:paraId="66451A74">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7、</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中共中央办公厅</w:t>
      </w:r>
      <w:r>
        <w:rPr>
          <w:rFonts w:hint="eastAsia" w:ascii="仿宋_GB2312" w:eastAsia="仿宋_GB2312" w:cs="仿宋_GB2312"/>
          <w:color w:val="auto"/>
          <w:sz w:val="28"/>
          <w:szCs w:val="28"/>
          <w:lang w:val="en-US" w:eastAsia="zh-CN"/>
        </w:rPr>
        <w:t xml:space="preserve"> </w:t>
      </w:r>
      <w:r>
        <w:rPr>
          <w:rFonts w:hint="eastAsia" w:ascii="仿宋_GB2312" w:eastAsia="仿宋_GB2312" w:cs="仿宋_GB2312"/>
          <w:color w:val="auto"/>
          <w:sz w:val="28"/>
          <w:szCs w:val="28"/>
        </w:rPr>
        <w:t>国务院办公厅关于进一步加强矿山安全生产工作的意见</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2023</w:t>
      </w:r>
      <w:r>
        <w:rPr>
          <w:rFonts w:hint="eastAsia" w:ascii="仿宋_GB2312" w:eastAsia="仿宋_GB2312" w:cs="仿宋_GB2312"/>
          <w:color w:val="auto"/>
          <w:sz w:val="28"/>
          <w:szCs w:val="28"/>
          <w:lang w:val="en-US" w:eastAsia="zh-CN"/>
        </w:rPr>
        <w:t>年</w:t>
      </w:r>
      <w:r>
        <w:rPr>
          <w:rFonts w:hint="eastAsia" w:ascii="仿宋_GB2312" w:eastAsia="仿宋_GB2312" w:cs="仿宋_GB2312"/>
          <w:color w:val="auto"/>
          <w:sz w:val="28"/>
          <w:szCs w:val="28"/>
        </w:rPr>
        <w:t>9</w:t>
      </w:r>
      <w:r>
        <w:rPr>
          <w:rFonts w:hint="eastAsia" w:ascii="仿宋_GB2312" w:eastAsia="仿宋_GB2312" w:cs="仿宋_GB2312"/>
          <w:color w:val="auto"/>
          <w:sz w:val="28"/>
          <w:szCs w:val="28"/>
          <w:lang w:val="en-US" w:eastAsia="zh-CN"/>
        </w:rPr>
        <w:t>月</w:t>
      </w:r>
      <w:r>
        <w:rPr>
          <w:rFonts w:hint="eastAsia" w:ascii="仿宋_GB2312" w:eastAsia="仿宋_GB2312" w:cs="仿宋_GB2312"/>
          <w:color w:val="auto"/>
          <w:sz w:val="28"/>
          <w:szCs w:val="28"/>
        </w:rPr>
        <w:t>6</w:t>
      </w:r>
      <w:r>
        <w:rPr>
          <w:rFonts w:hint="eastAsia" w:ascii="仿宋_GB2312" w:eastAsia="仿宋_GB2312" w:cs="仿宋_GB2312"/>
          <w:color w:val="auto"/>
          <w:sz w:val="28"/>
          <w:szCs w:val="28"/>
          <w:lang w:val="en-US" w:eastAsia="zh-CN"/>
        </w:rPr>
        <w:t>日</w:t>
      </w:r>
      <w:r>
        <w:rPr>
          <w:rFonts w:hint="eastAsia" w:ascii="仿宋_GB2312" w:eastAsia="仿宋_GB2312" w:cs="仿宋_GB2312"/>
          <w:color w:val="auto"/>
          <w:sz w:val="28"/>
          <w:szCs w:val="28"/>
          <w:lang w:eastAsia="zh-CN"/>
        </w:rPr>
        <w:t>）；</w:t>
      </w:r>
    </w:p>
    <w:p w14:paraId="079777BD">
      <w:pPr>
        <w:adjustRightInd w:val="0"/>
        <w:snapToGrid w:val="0"/>
        <w:spacing w:line="360" w:lineRule="auto"/>
        <w:ind w:firstLine="560" w:firstLineChars="20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8、</w:t>
      </w:r>
      <w:r>
        <w:rPr>
          <w:rFonts w:hint="eastAsia" w:ascii="仿宋_GB2312" w:eastAsia="仿宋_GB2312" w:cs="仿宋_GB2312"/>
          <w:color w:val="auto"/>
          <w:sz w:val="28"/>
          <w:szCs w:val="28"/>
          <w:lang w:eastAsia="zh-CN"/>
        </w:rPr>
        <w:t>《自然资源部关于进一步完善矿产资源勘查开采登记管理的通知》（自然资规〔2023〕4号）；</w:t>
      </w:r>
    </w:p>
    <w:p w14:paraId="216506AC">
      <w:pPr>
        <w:adjustRightInd w:val="0"/>
        <w:snapToGrid w:val="0"/>
        <w:spacing w:line="360" w:lineRule="auto"/>
        <w:ind w:firstLine="560" w:firstLineChars="20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9、</w:t>
      </w:r>
      <w:r>
        <w:rPr>
          <w:rFonts w:hint="eastAsia" w:ascii="仿宋_GB2312" w:eastAsia="仿宋_GB2312" w:cs="仿宋_GB2312"/>
          <w:color w:val="auto"/>
          <w:sz w:val="28"/>
          <w:szCs w:val="28"/>
          <w:lang w:eastAsia="zh-CN"/>
        </w:rPr>
        <w:t>《自然资源部关于进一步加强矿山安全生产工作的通知》（自然资发〔2023〕239号）；</w:t>
      </w:r>
    </w:p>
    <w:p w14:paraId="4C4FE4CA">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10、</w:t>
      </w:r>
      <w:r>
        <w:rPr>
          <w:rFonts w:hint="eastAsia" w:ascii="仿宋_GB2312" w:eastAsia="仿宋_GB2312" w:cs="仿宋_GB2312"/>
          <w:color w:val="auto"/>
          <w:sz w:val="28"/>
          <w:szCs w:val="28"/>
        </w:rPr>
        <w:t>《自然资源部关于粉石英等矿产资源合理开发利用“三率”最低指标要求（试行）的公告》（20</w:t>
      </w:r>
      <w:r>
        <w:rPr>
          <w:rFonts w:hint="eastAsia" w:ascii="仿宋_GB2312" w:eastAsia="仿宋_GB2312" w:cs="仿宋_GB2312"/>
          <w:color w:val="auto"/>
          <w:sz w:val="28"/>
          <w:szCs w:val="28"/>
          <w:lang w:val="en-US" w:eastAsia="zh-CN"/>
        </w:rPr>
        <w:t>21</w:t>
      </w:r>
      <w:r>
        <w:rPr>
          <w:rFonts w:hint="eastAsia" w:ascii="仿宋_GB2312" w:eastAsia="仿宋_GB2312" w:cs="仿宋_GB2312"/>
          <w:color w:val="auto"/>
          <w:sz w:val="28"/>
          <w:szCs w:val="28"/>
        </w:rPr>
        <w:t>年第</w:t>
      </w:r>
      <w:r>
        <w:rPr>
          <w:rFonts w:hint="eastAsia" w:ascii="仿宋_GB2312" w:eastAsia="仿宋_GB2312" w:cs="仿宋_GB2312"/>
          <w:color w:val="auto"/>
          <w:sz w:val="28"/>
          <w:szCs w:val="28"/>
          <w:lang w:val="en-US" w:eastAsia="zh-CN"/>
        </w:rPr>
        <w:t>21</w:t>
      </w:r>
      <w:r>
        <w:rPr>
          <w:rFonts w:hint="eastAsia" w:ascii="仿宋_GB2312" w:eastAsia="仿宋_GB2312" w:cs="仿宋_GB2312"/>
          <w:color w:val="auto"/>
          <w:sz w:val="28"/>
          <w:szCs w:val="28"/>
        </w:rPr>
        <w:t>号）；</w:t>
      </w:r>
    </w:p>
    <w:p w14:paraId="09546524">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11、</w:t>
      </w:r>
      <w:r>
        <w:rPr>
          <w:rFonts w:hint="eastAsia" w:ascii="仿宋_GB2312" w:eastAsia="仿宋_GB2312" w:cs="仿宋_GB2312"/>
          <w:color w:val="auto"/>
          <w:sz w:val="28"/>
          <w:szCs w:val="28"/>
          <w:lang w:eastAsia="zh-CN"/>
        </w:rPr>
        <w:t>《自然资源部</w:t>
      </w:r>
      <w:r>
        <w:rPr>
          <w:rFonts w:hint="eastAsia" w:ascii="仿宋_GB2312" w:eastAsia="仿宋_GB2312" w:cs="仿宋_GB2312"/>
          <w:color w:val="auto"/>
          <w:sz w:val="28"/>
          <w:szCs w:val="28"/>
          <w:lang w:val="en-US" w:eastAsia="zh-CN"/>
        </w:rPr>
        <w:t xml:space="preserve"> </w:t>
      </w:r>
      <w:r>
        <w:rPr>
          <w:rFonts w:hint="eastAsia" w:ascii="仿宋_GB2312" w:eastAsia="仿宋_GB2312" w:cs="仿宋_GB2312"/>
          <w:color w:val="auto"/>
          <w:sz w:val="28"/>
          <w:szCs w:val="28"/>
          <w:lang w:eastAsia="zh-CN"/>
        </w:rPr>
        <w:t>农业农村部关于加强和改进永久基本农田保护工作的通知》（自然资规〔2019〕1号）；</w:t>
      </w:r>
    </w:p>
    <w:p w14:paraId="3B801557">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12</w:t>
      </w:r>
      <w:r>
        <w:rPr>
          <w:rFonts w:hint="eastAsia" w:ascii="仿宋_GB2312" w:eastAsia="仿宋_GB2312" w:cs="仿宋_GB2312"/>
          <w:color w:val="auto"/>
          <w:sz w:val="28"/>
          <w:szCs w:val="28"/>
        </w:rPr>
        <w:t>、原国土资源部等国家六部委《关于加快建设绿色矿山的实施意见》（国土资规〔2017〕4号）；</w:t>
      </w:r>
    </w:p>
    <w:p w14:paraId="1A321E21">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13</w:t>
      </w:r>
      <w:r>
        <w:rPr>
          <w:rFonts w:hint="eastAsia" w:ascii="仿宋_GB2312" w:eastAsia="仿宋_GB2312" w:cs="仿宋_GB2312"/>
          <w:color w:val="auto"/>
          <w:sz w:val="28"/>
          <w:szCs w:val="28"/>
        </w:rPr>
        <w:t>、原国土资源部《关于加强对矿产资源开发利用方案审查的通知》（1999年4月19日国土资发〔1999〕98号）和省厅的有关规定；</w:t>
      </w:r>
    </w:p>
    <w:p w14:paraId="3D68535A">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14</w:t>
      </w:r>
      <w:r>
        <w:rPr>
          <w:rFonts w:hint="eastAsia" w:ascii="仿宋_GB2312" w:eastAsia="仿宋_GB2312" w:cs="仿宋_GB2312"/>
          <w:color w:val="auto"/>
          <w:sz w:val="28"/>
          <w:szCs w:val="28"/>
        </w:rPr>
        <w:t>、国家矿山安全监察局关于印发《关于加强非煤矿山安全生产工作的指导意见》的通知（矿安〔2022〕4号）；</w:t>
      </w:r>
    </w:p>
    <w:p w14:paraId="628A9F97">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15</w:t>
      </w:r>
      <w:r>
        <w:rPr>
          <w:rFonts w:hint="eastAsia" w:ascii="仿宋_GB2312" w:eastAsia="仿宋_GB2312" w:cs="仿宋_GB2312"/>
          <w:color w:val="auto"/>
          <w:sz w:val="28"/>
          <w:szCs w:val="28"/>
        </w:rPr>
        <w:t>、《金属非金属矿山禁止使用的设备及工艺</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第二批</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》（安监总管一〔2015〕13号，2015年2月13日）；</w:t>
      </w:r>
    </w:p>
    <w:p w14:paraId="2CB30394">
      <w:pPr>
        <w:adjustRightInd w:val="0"/>
        <w:snapToGrid w:val="0"/>
        <w:spacing w:line="360" w:lineRule="auto"/>
        <w:ind w:firstLine="560" w:firstLineChars="20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16</w:t>
      </w:r>
      <w:r>
        <w:rPr>
          <w:rFonts w:hint="eastAsia" w:ascii="仿宋_GB2312" w:eastAsia="仿宋_GB2312" w:cs="仿宋_GB2312"/>
          <w:color w:val="auto"/>
          <w:sz w:val="28"/>
          <w:szCs w:val="28"/>
        </w:rPr>
        <w:t>、《金属非金属矿山禁止使用的设备及工艺目录（第一批）》（原安监总管一〔2013〕第101号颁布，2013年9月6日实施）</w:t>
      </w:r>
      <w:r>
        <w:rPr>
          <w:rFonts w:hint="eastAsia" w:ascii="仿宋_GB2312" w:eastAsia="仿宋_GB2312" w:cs="仿宋_GB2312"/>
          <w:color w:val="auto"/>
          <w:sz w:val="28"/>
          <w:szCs w:val="28"/>
          <w:lang w:eastAsia="zh-CN"/>
        </w:rPr>
        <w:t>；</w:t>
      </w:r>
    </w:p>
    <w:p w14:paraId="1EDBDA44">
      <w:pPr>
        <w:adjustRightInd w:val="0"/>
        <w:snapToGrid w:val="0"/>
        <w:spacing w:line="360" w:lineRule="auto"/>
        <w:ind w:firstLine="560" w:firstLineChars="20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17、</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四川省自然资源厅关于进一步规范矿业权管理的通知</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川自然资规〔2024）2号</w:t>
      </w:r>
      <w:r>
        <w:rPr>
          <w:rFonts w:hint="eastAsia" w:ascii="仿宋_GB2312" w:eastAsia="仿宋_GB2312" w:cs="仿宋_GB2312"/>
          <w:color w:val="auto"/>
          <w:sz w:val="28"/>
          <w:szCs w:val="28"/>
          <w:lang w:eastAsia="zh-CN"/>
        </w:rPr>
        <w:t>）；</w:t>
      </w:r>
    </w:p>
    <w:p w14:paraId="655AD6C9">
      <w:pPr>
        <w:adjustRightInd w:val="0"/>
        <w:snapToGrid w:val="0"/>
        <w:spacing w:line="360" w:lineRule="auto"/>
        <w:ind w:firstLine="560" w:firstLineChars="20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18、</w:t>
      </w:r>
      <w:r>
        <w:rPr>
          <w:rFonts w:hint="eastAsia" w:ascii="仿宋_GB2312" w:eastAsia="仿宋_GB2312" w:cs="仿宋_GB2312"/>
          <w:color w:val="auto"/>
          <w:sz w:val="28"/>
          <w:szCs w:val="28"/>
          <w:lang w:eastAsia="zh-CN"/>
        </w:rPr>
        <w:t>四川省自然资源厅关于贯彻落实《自然资源部关于推进矿产资源管理改革若干事项的意见（试行）》的通知（川自然资规〔2020〕9号）；</w:t>
      </w:r>
    </w:p>
    <w:p w14:paraId="2A0832F4">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19</w:t>
      </w:r>
      <w:r>
        <w:rPr>
          <w:rFonts w:hint="eastAsia" w:ascii="仿宋_GB2312" w:eastAsia="仿宋_GB2312" w:cs="仿宋_GB2312"/>
          <w:color w:val="auto"/>
          <w:sz w:val="28"/>
          <w:szCs w:val="28"/>
        </w:rPr>
        <w:t>、四川省自然资源厅关于印发《四川省矿产资源管理突出问题专项整治工作方案》的通知（川自然资函</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2023</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332号）</w:t>
      </w:r>
      <w:r>
        <w:rPr>
          <w:rFonts w:hint="eastAsia" w:ascii="仿宋_GB2312" w:eastAsia="仿宋_GB2312" w:cs="仿宋_GB2312"/>
          <w:color w:val="auto"/>
          <w:sz w:val="28"/>
          <w:szCs w:val="28"/>
          <w:lang w:eastAsia="zh-CN"/>
        </w:rPr>
        <w:t>；</w:t>
      </w:r>
    </w:p>
    <w:p w14:paraId="5824726E">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20</w:t>
      </w:r>
      <w:r>
        <w:rPr>
          <w:rFonts w:hint="eastAsia" w:ascii="仿宋_GB2312" w:eastAsia="仿宋_GB2312" w:cs="仿宋_GB2312"/>
          <w:color w:val="auto"/>
          <w:sz w:val="28"/>
          <w:szCs w:val="28"/>
        </w:rPr>
        <w:t>、《企业安全生产费用提取和使用管理办法》（财资〔2022〕136号，自2022年11月21日起施行）；</w:t>
      </w:r>
    </w:p>
    <w:p w14:paraId="717CD1B3">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21</w:t>
      </w:r>
      <w:r>
        <w:rPr>
          <w:rFonts w:hint="eastAsia" w:ascii="仿宋_GB2312" w:eastAsia="仿宋_GB2312" w:cs="仿宋_GB2312"/>
          <w:color w:val="auto"/>
          <w:sz w:val="28"/>
          <w:szCs w:val="28"/>
        </w:rPr>
        <w:t>、《关于加强生态文明建设促进矿产资源绿色勘查开发的通知》</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川国土资发〔2017〕54号</w:t>
      </w:r>
      <w:r>
        <w:rPr>
          <w:rFonts w:hint="eastAsia" w:ascii="仿宋_GB2312" w:eastAsia="仿宋_GB2312" w:cs="仿宋_GB2312"/>
          <w:color w:val="auto"/>
          <w:sz w:val="28"/>
          <w:szCs w:val="28"/>
          <w:lang w:eastAsia="zh-CN"/>
        </w:rPr>
        <w:t>）；</w:t>
      </w:r>
    </w:p>
    <w:p w14:paraId="2771280C">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22、《小型露天采石场安全管理与监督检查规定》（2015年修改）（原国家安全生产监督管理总局令第39号公布）。</w:t>
      </w:r>
    </w:p>
    <w:p w14:paraId="0155F3FE">
      <w:pPr>
        <w:pStyle w:val="6"/>
        <w:adjustRightInd w:val="0"/>
        <w:snapToGrid w:val="0"/>
        <w:spacing w:before="0" w:line="360" w:lineRule="auto"/>
        <w:rPr>
          <w:rFonts w:hint="eastAsia" w:ascii="仿宋_GB2312" w:eastAsia="仿宋_GB2312" w:cs="仿宋_GB2312"/>
          <w:b/>
          <w:bCs w:val="0"/>
          <w:color w:val="auto"/>
          <w:sz w:val="28"/>
          <w:szCs w:val="28"/>
        </w:rPr>
      </w:pPr>
      <w:bookmarkStart w:id="49" w:name="_Toc475968611"/>
      <w:bookmarkStart w:id="50" w:name="_Toc138579688"/>
      <w:bookmarkStart w:id="51" w:name="_Toc23278241"/>
      <w:bookmarkStart w:id="52" w:name="_Toc34751649"/>
      <w:bookmarkStart w:id="53" w:name="_Toc23278413"/>
      <w:r>
        <w:rPr>
          <w:rFonts w:hint="eastAsia" w:ascii="仿宋_GB2312" w:eastAsia="仿宋_GB2312" w:cs="仿宋_GB2312"/>
          <w:b/>
          <w:bCs w:val="0"/>
          <w:color w:val="auto"/>
          <w:sz w:val="28"/>
          <w:szCs w:val="28"/>
        </w:rPr>
        <w:t>1.</w:t>
      </w:r>
      <w:r>
        <w:rPr>
          <w:rFonts w:hint="eastAsia" w:ascii="仿宋_GB2312" w:eastAsia="仿宋_GB2312" w:cs="仿宋_GB2312"/>
          <w:b/>
          <w:bCs w:val="0"/>
          <w:color w:val="auto"/>
          <w:sz w:val="28"/>
          <w:szCs w:val="28"/>
          <w:lang w:val="en-US" w:eastAsia="zh-CN"/>
        </w:rPr>
        <w:t>5</w:t>
      </w:r>
      <w:r>
        <w:rPr>
          <w:rFonts w:hint="eastAsia" w:ascii="仿宋_GB2312" w:eastAsia="仿宋_GB2312" w:cs="仿宋_GB2312"/>
          <w:b/>
          <w:bCs w:val="0"/>
          <w:color w:val="auto"/>
          <w:sz w:val="28"/>
          <w:szCs w:val="28"/>
        </w:rPr>
        <w:t>.2.2设计采用的主要技术标准</w:t>
      </w:r>
      <w:bookmarkEnd w:id="49"/>
      <w:bookmarkEnd w:id="50"/>
      <w:bookmarkEnd w:id="51"/>
      <w:bookmarkEnd w:id="52"/>
      <w:bookmarkEnd w:id="53"/>
    </w:p>
    <w:p w14:paraId="226A1E07">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bookmarkStart w:id="54" w:name="_Hlk34338572"/>
      <w:r>
        <w:rPr>
          <w:rFonts w:hint="eastAsia" w:ascii="仿宋_GB2312" w:eastAsia="仿宋_GB2312" w:cs="仿宋_GB2312"/>
          <w:color w:val="auto"/>
          <w:sz w:val="28"/>
          <w:szCs w:val="28"/>
          <w:lang w:val="en-US" w:eastAsia="zh-CN"/>
        </w:rPr>
        <w:t>1、《金属非金属矿山安全规程》（GBl6423-2020）；</w:t>
      </w:r>
    </w:p>
    <w:p w14:paraId="0D8FDA3A">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2、《矿山电力设计标准》（GB50070-2020）；</w:t>
      </w:r>
    </w:p>
    <w:p w14:paraId="71848FAA">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3、《中国地震动参数区划图》（GB 18306-2015）；</w:t>
      </w:r>
    </w:p>
    <w:p w14:paraId="02752F23">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4、《非煤露天矿边坡工程技术规范》（GB51016-2014）；</w:t>
      </w:r>
    </w:p>
    <w:p w14:paraId="7D11D01B">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5、《防洪标准》（GB50201-2014）；</w:t>
      </w:r>
    </w:p>
    <w:p w14:paraId="126661BD">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6、《供配电系统设计规范》（GB50052-2009）；</w:t>
      </w:r>
    </w:p>
    <w:p w14:paraId="52A3FA63">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7、《矿山安全标志》（GB14161-2008）；</w:t>
      </w:r>
    </w:p>
    <w:p w14:paraId="176B359F">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8、《厂矿道路设计规范》（GBJ22-1987）；</w:t>
      </w:r>
    </w:p>
    <w:p w14:paraId="67DD34CD">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9、《非金属矿行业绿色矿山建设规范》（DZ/T0312-2018）；</w:t>
      </w:r>
    </w:p>
    <w:p w14:paraId="77768411">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10、《建筑抗震设计标准（2024年版）》(GB50011-2010)。</w:t>
      </w:r>
    </w:p>
    <w:p w14:paraId="4BA34D86">
      <w:pPr>
        <w:pStyle w:val="6"/>
        <w:adjustRightInd w:val="0"/>
        <w:snapToGrid w:val="0"/>
        <w:spacing w:before="0" w:line="360" w:lineRule="auto"/>
        <w:rPr>
          <w:rFonts w:hint="eastAsia" w:ascii="仿宋_GB2312" w:eastAsia="仿宋_GB2312" w:cs="仿宋_GB2312"/>
          <w:b/>
          <w:bCs w:val="0"/>
          <w:color w:val="auto"/>
          <w:sz w:val="28"/>
          <w:szCs w:val="28"/>
        </w:rPr>
      </w:pPr>
      <w:r>
        <w:rPr>
          <w:rFonts w:hint="eastAsia" w:ascii="仿宋_GB2312" w:eastAsia="仿宋_GB2312" w:cs="仿宋_GB2312"/>
          <w:b/>
          <w:bCs w:val="0"/>
          <w:color w:val="auto"/>
          <w:sz w:val="28"/>
          <w:szCs w:val="28"/>
        </w:rPr>
        <w:t>1.</w:t>
      </w:r>
      <w:r>
        <w:rPr>
          <w:rFonts w:hint="eastAsia" w:ascii="仿宋_GB2312" w:eastAsia="仿宋_GB2312" w:cs="仿宋_GB2312"/>
          <w:b/>
          <w:bCs w:val="0"/>
          <w:color w:val="auto"/>
          <w:sz w:val="28"/>
          <w:szCs w:val="28"/>
          <w:lang w:val="en-US" w:eastAsia="zh-CN"/>
        </w:rPr>
        <w:t>5</w:t>
      </w:r>
      <w:r>
        <w:rPr>
          <w:rFonts w:hint="eastAsia" w:ascii="仿宋_GB2312" w:eastAsia="仿宋_GB2312" w:cs="仿宋_GB2312"/>
          <w:b/>
          <w:bCs w:val="0"/>
          <w:color w:val="auto"/>
          <w:sz w:val="28"/>
          <w:szCs w:val="28"/>
        </w:rPr>
        <w:t>.2.3其他必要的设计依据</w:t>
      </w:r>
    </w:p>
    <w:p w14:paraId="394727B9">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rPr>
        <w:t>1、营业执照；</w:t>
      </w:r>
    </w:p>
    <w:p w14:paraId="1561727A">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w:t>
      </w:r>
      <w:r>
        <w:rPr>
          <w:rFonts w:hint="eastAsia" w:ascii="仿宋_GB2312" w:eastAsia="仿宋_GB2312" w:cs="仿宋_GB2312"/>
          <w:color w:val="auto"/>
          <w:sz w:val="28"/>
          <w:szCs w:val="28"/>
          <w:lang w:eastAsia="zh-CN"/>
        </w:rPr>
        <w:t>四川省大英县汇龙桥村砖瓦用页岩矿</w:t>
      </w:r>
      <w:r>
        <w:rPr>
          <w:rFonts w:hint="eastAsia" w:ascii="仿宋_GB2312" w:eastAsia="仿宋_GB2312" w:cs="仿宋_GB2312"/>
          <w:color w:val="auto"/>
          <w:sz w:val="28"/>
          <w:szCs w:val="28"/>
        </w:rPr>
        <w:t>勘查报告</w:t>
      </w:r>
      <w:r>
        <w:rPr>
          <w:rFonts w:hint="eastAsia" w:ascii="仿宋_GB2312" w:eastAsia="仿宋_GB2312" w:cs="仿宋_GB2312"/>
          <w:color w:val="auto"/>
          <w:sz w:val="28"/>
          <w:szCs w:val="28"/>
          <w:lang w:val="en-US" w:eastAsia="zh-CN"/>
        </w:rPr>
        <w:t>》（</w:t>
      </w:r>
      <w:r>
        <w:rPr>
          <w:rFonts w:hint="eastAsia" w:ascii="仿宋_GB2312" w:eastAsia="仿宋_GB2312" w:cs="仿宋_GB2312"/>
          <w:color w:val="auto"/>
          <w:sz w:val="28"/>
          <w:szCs w:val="28"/>
        </w:rPr>
        <w:t>中国建筑西南勘察设计研究院有限公司</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highlight w:val="none"/>
        </w:rPr>
        <w:t>2023年8月</w:t>
      </w:r>
      <w:r>
        <w:rPr>
          <w:rFonts w:hint="eastAsia" w:ascii="仿宋_GB2312" w:eastAsia="仿宋_GB2312" w:cs="仿宋_GB2312"/>
          <w:color w:val="auto"/>
          <w:sz w:val="28"/>
          <w:szCs w:val="28"/>
          <w:lang w:val="en-US" w:eastAsia="zh-CN"/>
        </w:rPr>
        <w:t>）</w:t>
      </w:r>
      <w:r>
        <w:rPr>
          <w:rFonts w:hint="eastAsia" w:ascii="仿宋_GB2312" w:eastAsia="仿宋_GB2312" w:cs="仿宋_GB2312"/>
          <w:color w:val="auto"/>
          <w:sz w:val="28"/>
          <w:szCs w:val="28"/>
        </w:rPr>
        <w:t>；</w:t>
      </w:r>
    </w:p>
    <w:p w14:paraId="389DB667">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eastAsia="zh-CN"/>
        </w:rPr>
        <w:t>其他相关</w:t>
      </w:r>
      <w:r>
        <w:rPr>
          <w:rFonts w:hint="eastAsia" w:ascii="仿宋_GB2312" w:eastAsia="仿宋_GB2312" w:cs="仿宋_GB2312"/>
          <w:color w:val="auto"/>
          <w:sz w:val="28"/>
          <w:szCs w:val="28"/>
        </w:rPr>
        <w:t>设计资料。</w:t>
      </w:r>
    </w:p>
    <w:bookmarkEnd w:id="54"/>
    <w:p w14:paraId="72F8CC45">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rPr>
      </w:pPr>
      <w:bookmarkStart w:id="55" w:name="_Toc12433"/>
      <w:bookmarkStart w:id="56" w:name="_Toc20803"/>
      <w:bookmarkStart w:id="57" w:name="_Toc19217"/>
      <w:bookmarkStart w:id="58" w:name="_Toc138060293"/>
      <w:r>
        <w:rPr>
          <w:rFonts w:hint="eastAsia" w:ascii="仿宋_GB2312" w:eastAsia="仿宋_GB2312" w:cs="仿宋_GB2312"/>
          <w:color w:val="auto"/>
          <w:sz w:val="36"/>
          <w:szCs w:val="36"/>
        </w:rPr>
        <w:t>矿产品需求现状与预测</w:t>
      </w:r>
      <w:bookmarkEnd w:id="55"/>
      <w:bookmarkEnd w:id="56"/>
      <w:bookmarkEnd w:id="57"/>
      <w:bookmarkEnd w:id="58"/>
    </w:p>
    <w:p w14:paraId="5A0FB5C7">
      <w:pPr>
        <w:pStyle w:val="4"/>
        <w:adjustRightInd w:val="0"/>
        <w:snapToGrid w:val="0"/>
        <w:spacing w:before="0"/>
        <w:rPr>
          <w:rFonts w:hint="eastAsia" w:ascii="仿宋_GB2312" w:eastAsia="仿宋_GB2312" w:cs="仿宋_GB2312"/>
          <w:b/>
          <w:bCs w:val="0"/>
          <w:color w:val="auto"/>
          <w:sz w:val="28"/>
          <w:szCs w:val="28"/>
        </w:rPr>
      </w:pPr>
      <w:bookmarkStart w:id="59" w:name="_Toc6210"/>
      <w:bookmarkStart w:id="60" w:name="_Toc5355"/>
      <w:r>
        <w:rPr>
          <w:rFonts w:hint="eastAsia" w:ascii="仿宋_GB2312" w:eastAsia="仿宋_GB2312" w:cs="仿宋_GB2312"/>
          <w:b/>
          <w:bCs w:val="0"/>
          <w:color w:val="auto"/>
          <w:sz w:val="28"/>
          <w:szCs w:val="28"/>
        </w:rPr>
        <w:t>2.1页岩矿用途</w:t>
      </w:r>
      <w:bookmarkEnd w:id="59"/>
      <w:bookmarkEnd w:id="60"/>
    </w:p>
    <w:p w14:paraId="121FD3CF">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矿山生产页岩矿主要用于烧制砖瓦。</w:t>
      </w:r>
    </w:p>
    <w:p w14:paraId="322FC585">
      <w:pPr>
        <w:pStyle w:val="4"/>
        <w:adjustRightInd w:val="0"/>
        <w:snapToGrid w:val="0"/>
        <w:spacing w:before="0"/>
        <w:rPr>
          <w:rFonts w:hint="eastAsia" w:ascii="仿宋_GB2312" w:eastAsia="仿宋_GB2312" w:cs="仿宋_GB2312"/>
          <w:b/>
          <w:bCs w:val="0"/>
          <w:color w:val="auto"/>
          <w:sz w:val="28"/>
          <w:szCs w:val="28"/>
        </w:rPr>
      </w:pPr>
      <w:bookmarkStart w:id="61" w:name="_Toc185066832"/>
      <w:bookmarkStart w:id="62" w:name="_Toc217725035"/>
      <w:bookmarkStart w:id="63" w:name="_Toc6272"/>
      <w:bookmarkStart w:id="64" w:name="_Toc21652"/>
      <w:r>
        <w:rPr>
          <w:rFonts w:hint="eastAsia" w:ascii="仿宋_GB2312" w:eastAsia="仿宋_GB2312" w:cs="仿宋_GB2312"/>
          <w:b/>
          <w:bCs w:val="0"/>
          <w:color w:val="auto"/>
          <w:sz w:val="28"/>
          <w:szCs w:val="28"/>
        </w:rPr>
        <w:t>2.</w:t>
      </w:r>
      <w:bookmarkEnd w:id="61"/>
      <w:bookmarkEnd w:id="62"/>
      <w:r>
        <w:rPr>
          <w:rFonts w:hint="eastAsia" w:ascii="仿宋_GB2312" w:eastAsia="仿宋_GB2312" w:cs="仿宋_GB2312"/>
          <w:b/>
          <w:bCs w:val="0"/>
          <w:color w:val="auto"/>
          <w:sz w:val="28"/>
          <w:szCs w:val="28"/>
          <w:lang w:val="en-US" w:eastAsia="zh-CN"/>
        </w:rPr>
        <w:t>2</w:t>
      </w:r>
      <w:r>
        <w:rPr>
          <w:rFonts w:hint="eastAsia" w:ascii="仿宋_GB2312" w:eastAsia="仿宋_GB2312" w:cs="仿宋_GB2312"/>
          <w:b/>
          <w:bCs w:val="0"/>
          <w:color w:val="auto"/>
          <w:sz w:val="28"/>
          <w:szCs w:val="28"/>
        </w:rPr>
        <w:t>产品需求情况</w:t>
      </w:r>
      <w:bookmarkEnd w:id="63"/>
      <w:bookmarkEnd w:id="64"/>
    </w:p>
    <w:p w14:paraId="7F1FB173">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按照国家产业政策，页岩砖属于新型墙体材料。我国页岩砖的产量逐年有所增长，产品多以实心砖和多孔砖为主，该产品主要销往大英县及矿区周边村镇。</w:t>
      </w:r>
    </w:p>
    <w:p w14:paraId="46948D52">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随着国家经济的高速发展，城镇建设规模不断加大，加之国家西部大开发政策的实施。如新区开发、旧城改造、道路改扩建、新农村建设等，均需要大量以页岩矿为主要原料的页岩制品。</w:t>
      </w:r>
    </w:p>
    <w:p w14:paraId="3F33D545">
      <w:pPr>
        <w:pStyle w:val="4"/>
        <w:adjustRightInd w:val="0"/>
        <w:snapToGrid w:val="0"/>
        <w:spacing w:before="0"/>
        <w:rPr>
          <w:rFonts w:hint="eastAsia" w:ascii="仿宋_GB2312" w:eastAsia="仿宋_GB2312" w:cs="仿宋_GB2312"/>
          <w:b/>
          <w:bCs w:val="0"/>
          <w:color w:val="auto"/>
          <w:sz w:val="28"/>
          <w:szCs w:val="28"/>
        </w:rPr>
      </w:pPr>
      <w:bookmarkStart w:id="65" w:name="_Toc26149"/>
      <w:bookmarkStart w:id="66" w:name="_Toc23434"/>
      <w:r>
        <w:rPr>
          <w:rFonts w:hint="eastAsia" w:ascii="仿宋_GB2312" w:eastAsia="仿宋_GB2312" w:cs="仿宋_GB2312"/>
          <w:b/>
          <w:bCs w:val="0"/>
          <w:color w:val="auto"/>
          <w:sz w:val="28"/>
          <w:szCs w:val="28"/>
        </w:rPr>
        <w:t>2.</w:t>
      </w:r>
      <w:r>
        <w:rPr>
          <w:rFonts w:hint="eastAsia" w:ascii="仿宋_GB2312" w:eastAsia="仿宋_GB2312" w:cs="仿宋_GB2312"/>
          <w:b/>
          <w:bCs w:val="0"/>
          <w:color w:val="auto"/>
          <w:sz w:val="28"/>
          <w:szCs w:val="28"/>
          <w:lang w:val="en-US" w:eastAsia="zh-CN"/>
        </w:rPr>
        <w:t>3</w:t>
      </w:r>
      <w:r>
        <w:rPr>
          <w:rFonts w:hint="eastAsia" w:ascii="仿宋_GB2312" w:eastAsia="仿宋_GB2312" w:cs="仿宋_GB2312"/>
          <w:b/>
          <w:bCs w:val="0"/>
          <w:color w:val="auto"/>
          <w:sz w:val="28"/>
          <w:szCs w:val="28"/>
        </w:rPr>
        <w:t>产品价格分析</w:t>
      </w:r>
      <w:bookmarkEnd w:id="65"/>
      <w:bookmarkEnd w:id="66"/>
    </w:p>
    <w:p w14:paraId="71BDA874">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该区域建筑用页岩矿属于低附加值的非金属矿，由于当地房地产建设需求量大，加上该建筑用砖供应稳定，因此，价格也相对稳定。</w:t>
      </w:r>
    </w:p>
    <w:p w14:paraId="3CA11C43">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本矿山生产页岩矿用于烧制砖瓦，成品砖销售价格为0.35元/匹。根据业主委托，本方案设计范围不包括砖窑，本方案设计产品方案为页岩矿原矿。参照临近同类矿山目前生产实际情况，将产品价格折合原矿价格为25元/吨。</w:t>
      </w:r>
    </w:p>
    <w:p w14:paraId="1510EEC1">
      <w:pPr>
        <w:pStyle w:val="4"/>
        <w:adjustRightInd w:val="0"/>
        <w:snapToGrid w:val="0"/>
        <w:spacing w:before="0"/>
        <w:rPr>
          <w:rFonts w:hint="eastAsia" w:ascii="仿宋_GB2312" w:eastAsia="仿宋_GB2312" w:cs="仿宋_GB2312"/>
          <w:b/>
          <w:bCs w:val="0"/>
          <w:color w:val="auto"/>
          <w:sz w:val="28"/>
          <w:szCs w:val="28"/>
        </w:rPr>
      </w:pPr>
      <w:bookmarkStart w:id="67" w:name="_Toc463904271"/>
      <w:bookmarkStart w:id="68" w:name="_Toc11903"/>
      <w:bookmarkStart w:id="69" w:name="_Toc18958"/>
      <w:r>
        <w:rPr>
          <w:rFonts w:hint="eastAsia" w:ascii="仿宋_GB2312" w:eastAsia="仿宋_GB2312" w:cs="仿宋_GB2312"/>
          <w:b/>
          <w:bCs w:val="0"/>
          <w:color w:val="auto"/>
          <w:sz w:val="28"/>
          <w:szCs w:val="28"/>
        </w:rPr>
        <w:t>2.</w:t>
      </w:r>
      <w:r>
        <w:rPr>
          <w:rFonts w:hint="eastAsia" w:ascii="仿宋_GB2312" w:eastAsia="仿宋_GB2312" w:cs="仿宋_GB2312"/>
          <w:b/>
          <w:bCs w:val="0"/>
          <w:color w:val="auto"/>
          <w:sz w:val="28"/>
          <w:szCs w:val="28"/>
          <w:lang w:val="en-US" w:eastAsia="zh-CN"/>
        </w:rPr>
        <w:t>4</w:t>
      </w:r>
      <w:r>
        <w:rPr>
          <w:rFonts w:hint="eastAsia" w:ascii="仿宋_GB2312" w:eastAsia="仿宋_GB2312" w:cs="仿宋_GB2312"/>
          <w:b/>
          <w:bCs w:val="0"/>
          <w:color w:val="auto"/>
          <w:sz w:val="28"/>
          <w:szCs w:val="28"/>
        </w:rPr>
        <w:t xml:space="preserve"> 产品市场近期和远期需求及销售预测</w:t>
      </w:r>
      <w:bookmarkEnd w:id="67"/>
      <w:bookmarkEnd w:id="68"/>
      <w:bookmarkEnd w:id="69"/>
    </w:p>
    <w:p w14:paraId="4F97BA09">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bookmarkStart w:id="70" w:name="_Toc231619736"/>
      <w:bookmarkStart w:id="71" w:name="_Toc169226861"/>
      <w:r>
        <w:rPr>
          <w:rFonts w:hint="eastAsia" w:ascii="仿宋_GB2312" w:eastAsia="仿宋_GB2312" w:cs="仿宋_GB2312"/>
          <w:color w:val="auto"/>
          <w:sz w:val="28"/>
          <w:szCs w:val="28"/>
          <w:lang w:val="en-US" w:eastAsia="zh-CN"/>
        </w:rPr>
        <w:t>为配合区域内基础设施建设对砖瓦的需求逐年上涨。目前卓筒井镇砖瓦用页岩资源将枯竭，十分必要尽快对该规划区块进行开发利用。拟设页岩矿将会产生较好的经济效益，对卓筒井镇及大英县的经济也将起到一定的促进作用。今后的采矿活动，将会带动当地就业以及运输业和服务业的发展，从不同角度带动地方经济发展，社会效益明显。</w:t>
      </w:r>
    </w:p>
    <w:bookmarkEnd w:id="70"/>
    <w:bookmarkEnd w:id="71"/>
    <w:p w14:paraId="7A4F3741">
      <w:pPr>
        <w:rPr>
          <w:rFonts w:hint="eastAsia" w:ascii="仿宋_GB2312" w:eastAsia="仿宋_GB2312" w:cs="仿宋_GB2312"/>
          <w:color w:val="auto"/>
        </w:rPr>
      </w:pPr>
      <w:bookmarkStart w:id="72" w:name="_Toc118015186"/>
      <w:bookmarkStart w:id="73" w:name="_Toc138060298"/>
      <w:r>
        <w:rPr>
          <w:rFonts w:hint="eastAsia" w:ascii="仿宋_GB2312" w:eastAsia="仿宋_GB2312" w:cs="仿宋_GB2312"/>
          <w:color w:val="auto"/>
        </w:rPr>
        <w:br w:type="page"/>
      </w:r>
    </w:p>
    <w:p w14:paraId="46C9E578">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rPr>
      </w:pPr>
      <w:bookmarkStart w:id="74" w:name="_Toc21054"/>
      <w:bookmarkStart w:id="75" w:name="_Toc3782"/>
      <w:bookmarkStart w:id="76" w:name="_Toc9106"/>
      <w:r>
        <w:rPr>
          <w:rFonts w:hint="eastAsia" w:ascii="仿宋_GB2312" w:eastAsia="仿宋_GB2312" w:cs="仿宋_GB2312"/>
          <w:color w:val="auto"/>
          <w:sz w:val="36"/>
          <w:szCs w:val="36"/>
        </w:rPr>
        <w:t>矿产资源</w:t>
      </w:r>
      <w:bookmarkEnd w:id="72"/>
      <w:r>
        <w:rPr>
          <w:rFonts w:hint="eastAsia" w:ascii="仿宋_GB2312" w:eastAsia="仿宋_GB2312" w:cs="仿宋_GB2312"/>
          <w:color w:val="auto"/>
          <w:sz w:val="36"/>
          <w:szCs w:val="36"/>
        </w:rPr>
        <w:t>概况</w:t>
      </w:r>
      <w:bookmarkEnd w:id="73"/>
      <w:bookmarkEnd w:id="74"/>
      <w:bookmarkEnd w:id="75"/>
      <w:bookmarkEnd w:id="76"/>
    </w:p>
    <w:p w14:paraId="51C9C478">
      <w:pPr>
        <w:pStyle w:val="4"/>
        <w:adjustRightInd w:val="0"/>
        <w:snapToGrid w:val="0"/>
        <w:spacing w:before="0"/>
        <w:rPr>
          <w:rFonts w:hint="eastAsia" w:ascii="仿宋_GB2312" w:eastAsia="仿宋_GB2312" w:cs="仿宋_GB2312"/>
          <w:color w:val="auto"/>
          <w:sz w:val="28"/>
          <w:szCs w:val="28"/>
        </w:rPr>
      </w:pPr>
      <w:bookmarkStart w:id="77" w:name="_Toc81228015"/>
      <w:bookmarkStart w:id="78" w:name="_Toc11770"/>
      <w:bookmarkStart w:id="79" w:name="_Toc21710"/>
      <w:bookmarkStart w:id="80" w:name="_Toc10820"/>
      <w:bookmarkStart w:id="81" w:name="_Toc138060299"/>
      <w:r>
        <w:rPr>
          <w:rFonts w:hint="eastAsia" w:ascii="仿宋_GB2312" w:eastAsia="仿宋_GB2312" w:cs="仿宋_GB2312"/>
          <w:b/>
          <w:bCs w:val="0"/>
          <w:color w:val="auto"/>
          <w:sz w:val="28"/>
          <w:szCs w:val="28"/>
        </w:rPr>
        <w:t>3.1</w:t>
      </w:r>
      <w:bookmarkEnd w:id="77"/>
      <w:r>
        <w:rPr>
          <w:rFonts w:hint="eastAsia" w:ascii="仿宋_GB2312" w:eastAsia="仿宋_GB2312" w:cs="仿宋_GB2312"/>
          <w:b/>
          <w:bCs w:val="0"/>
          <w:color w:val="auto"/>
          <w:sz w:val="28"/>
          <w:szCs w:val="28"/>
        </w:rPr>
        <w:t>矿区总体概况</w:t>
      </w:r>
      <w:bookmarkEnd w:id="78"/>
      <w:bookmarkEnd w:id="79"/>
      <w:bookmarkEnd w:id="80"/>
      <w:bookmarkEnd w:id="81"/>
    </w:p>
    <w:p w14:paraId="2DD60D56">
      <w:pPr>
        <w:pStyle w:val="5"/>
        <w:adjustRightInd w:val="0"/>
        <w:snapToGrid w:val="0"/>
        <w:spacing w:before="0" w:line="360" w:lineRule="auto"/>
        <w:rPr>
          <w:rFonts w:hint="eastAsia" w:ascii="仿宋_GB2312" w:eastAsia="仿宋_GB2312" w:cs="仿宋_GB2312"/>
          <w:b/>
          <w:bCs w:val="0"/>
          <w:color w:val="auto"/>
          <w:sz w:val="28"/>
          <w:szCs w:val="28"/>
        </w:rPr>
      </w:pPr>
      <w:bookmarkStart w:id="82" w:name="_Toc2956"/>
      <w:bookmarkStart w:id="83" w:name="_Toc148957938"/>
      <w:r>
        <w:rPr>
          <w:rFonts w:hint="eastAsia" w:ascii="仿宋_GB2312" w:eastAsia="仿宋_GB2312" w:cs="仿宋_GB2312"/>
          <w:b/>
          <w:bCs w:val="0"/>
          <w:color w:val="auto"/>
          <w:sz w:val="28"/>
          <w:szCs w:val="28"/>
        </w:rPr>
        <w:t>3.1.1矿区总体规划情况</w:t>
      </w:r>
      <w:bookmarkEnd w:id="82"/>
      <w:bookmarkEnd w:id="83"/>
    </w:p>
    <w:p w14:paraId="740D135B">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根据《大英县矿产资源总体规划》(2021-2025年），拟设开采区块名称及编号：大英县汇龙桥村砖瓦用页岩开采规划区（CQ51092300005）；开采矿种：砖瓦用页岩；面积：0.025km²。</w:t>
      </w:r>
    </w:p>
    <w:p w14:paraId="6B837A6E">
      <w:pPr>
        <w:pStyle w:val="5"/>
        <w:adjustRightInd w:val="0"/>
        <w:snapToGrid w:val="0"/>
        <w:spacing w:before="0" w:line="360" w:lineRule="auto"/>
        <w:rPr>
          <w:rFonts w:hint="eastAsia" w:ascii="仿宋_GB2312" w:eastAsia="仿宋_GB2312" w:cs="仿宋_GB2312"/>
          <w:b/>
          <w:bCs w:val="0"/>
          <w:color w:val="auto"/>
          <w:sz w:val="28"/>
          <w:szCs w:val="28"/>
        </w:rPr>
      </w:pPr>
      <w:bookmarkStart w:id="84" w:name="_Toc14940"/>
      <w:bookmarkStart w:id="85" w:name="_Toc148957939"/>
      <w:r>
        <w:rPr>
          <w:rFonts w:hint="eastAsia" w:ascii="仿宋_GB2312" w:eastAsia="仿宋_GB2312" w:cs="仿宋_GB2312"/>
          <w:b/>
          <w:bCs w:val="0"/>
          <w:color w:val="auto"/>
          <w:sz w:val="28"/>
          <w:szCs w:val="28"/>
        </w:rPr>
        <w:t>3.1.2矿区矿产资源概况</w:t>
      </w:r>
      <w:bookmarkEnd w:id="84"/>
      <w:bookmarkEnd w:id="85"/>
    </w:p>
    <w:p w14:paraId="6D12C636">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根据中国建筑西南勘察设计研究院有限公司提交的《四川省大英县汇龙桥村砖瓦用页岩矿勘查报告》。</w:t>
      </w:r>
      <w:bookmarkStart w:id="86" w:name="_Hlk145666704"/>
      <w:r>
        <w:rPr>
          <w:rFonts w:hint="eastAsia" w:ascii="仿宋_GB2312" w:eastAsia="仿宋_GB2312" w:cs="仿宋_GB2312"/>
          <w:color w:val="auto"/>
          <w:sz w:val="28"/>
          <w:szCs w:val="28"/>
          <w:lang w:val="en-US" w:eastAsia="zh-CN"/>
        </w:rPr>
        <w:t>截至2023年8月30日，估算资源量：探明资源量44.90万立方米（折合105.06万吨）；推断资源量45.73万立方米（折合107.00万吨），合计90.63万立方米（折合212.06万吨），矿床资源量规模为小型。其中探明资源量占累计查明资源量49.54%，推断资源量占累计查明资源量50.46%。</w:t>
      </w:r>
    </w:p>
    <w:bookmarkEnd w:id="86"/>
    <w:p w14:paraId="021C9CE3">
      <w:pPr>
        <w:pStyle w:val="5"/>
        <w:adjustRightInd w:val="0"/>
        <w:snapToGrid w:val="0"/>
        <w:spacing w:before="0" w:line="360" w:lineRule="auto"/>
        <w:rPr>
          <w:rFonts w:hint="eastAsia" w:ascii="仿宋_GB2312" w:eastAsia="仿宋_GB2312" w:cs="仿宋_GB2312"/>
          <w:b/>
          <w:bCs w:val="0"/>
          <w:color w:val="auto"/>
          <w:sz w:val="28"/>
          <w:szCs w:val="28"/>
        </w:rPr>
      </w:pPr>
      <w:bookmarkStart w:id="87" w:name="_Toc148957940"/>
      <w:bookmarkStart w:id="88" w:name="_Toc1052"/>
      <w:bookmarkStart w:id="89" w:name="_Toc11487"/>
      <w:bookmarkStart w:id="90" w:name="_Toc11301"/>
      <w:r>
        <w:rPr>
          <w:rFonts w:hint="eastAsia" w:ascii="仿宋_GB2312" w:eastAsia="仿宋_GB2312" w:cs="仿宋_GB2312"/>
          <w:b/>
          <w:bCs w:val="0"/>
          <w:color w:val="auto"/>
          <w:sz w:val="28"/>
          <w:szCs w:val="28"/>
        </w:rPr>
        <w:t>3.1.3该设计与矿区总体开发的关系</w:t>
      </w:r>
      <w:bookmarkEnd w:id="87"/>
      <w:bookmarkEnd w:id="88"/>
      <w:bookmarkEnd w:id="89"/>
      <w:bookmarkEnd w:id="90"/>
    </w:p>
    <w:p w14:paraId="278C2282">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本次设计针对</w:t>
      </w:r>
      <w:r>
        <w:rPr>
          <w:rFonts w:hint="eastAsia" w:ascii="仿宋_GB2312" w:eastAsia="仿宋_GB2312" w:cs="仿宋_GB2312"/>
          <w:color w:val="auto"/>
          <w:sz w:val="28"/>
          <w:szCs w:val="28"/>
          <w:lang w:val="en-US" w:eastAsia="zh-CN"/>
        </w:rPr>
        <w:t>拟设采矿权</w:t>
      </w:r>
      <w:r>
        <w:rPr>
          <w:rFonts w:hint="eastAsia" w:ascii="仿宋_GB2312" w:eastAsia="仿宋_GB2312" w:cs="仿宋_GB2312"/>
          <w:color w:val="auto"/>
          <w:sz w:val="28"/>
          <w:szCs w:val="28"/>
        </w:rPr>
        <w:t>范围内的资源进行统一规划、协调开采。坚持合理开采顺序，有效保护和合理利用综合回收资源，实现资源开发的可持续发展。</w:t>
      </w:r>
    </w:p>
    <w:p w14:paraId="50315CC8">
      <w:pPr>
        <w:pStyle w:val="4"/>
        <w:adjustRightInd w:val="0"/>
        <w:snapToGrid w:val="0"/>
        <w:spacing w:before="0"/>
        <w:rPr>
          <w:rFonts w:hint="eastAsia" w:ascii="仿宋_GB2312" w:eastAsia="仿宋_GB2312" w:cs="仿宋_GB2312"/>
          <w:b/>
          <w:bCs w:val="0"/>
          <w:color w:val="auto"/>
          <w:sz w:val="28"/>
          <w:szCs w:val="28"/>
        </w:rPr>
      </w:pPr>
      <w:bookmarkStart w:id="91" w:name="_Toc14734"/>
      <w:bookmarkStart w:id="92" w:name="_Toc138060300"/>
      <w:bookmarkStart w:id="93" w:name="_Toc222983913"/>
      <w:bookmarkStart w:id="94" w:name="_Toc5925"/>
      <w:bookmarkStart w:id="95" w:name="_Toc26086"/>
      <w:bookmarkStart w:id="96" w:name="_Toc24781"/>
      <w:r>
        <w:rPr>
          <w:rFonts w:hint="eastAsia" w:ascii="仿宋_GB2312" w:eastAsia="仿宋_GB2312" w:cs="仿宋_GB2312"/>
          <w:b/>
          <w:bCs w:val="0"/>
          <w:color w:val="auto"/>
          <w:sz w:val="28"/>
          <w:szCs w:val="28"/>
        </w:rPr>
        <w:t>3.2资源概况</w:t>
      </w:r>
      <w:bookmarkEnd w:id="91"/>
      <w:bookmarkEnd w:id="92"/>
      <w:bookmarkEnd w:id="93"/>
      <w:bookmarkEnd w:id="94"/>
      <w:bookmarkEnd w:id="95"/>
      <w:bookmarkEnd w:id="96"/>
    </w:p>
    <w:p w14:paraId="5C2E6E35">
      <w:pPr>
        <w:pStyle w:val="5"/>
        <w:adjustRightInd w:val="0"/>
        <w:snapToGrid w:val="0"/>
        <w:spacing w:before="0" w:line="360" w:lineRule="auto"/>
        <w:rPr>
          <w:rFonts w:hint="eastAsia" w:ascii="仿宋_GB2312" w:eastAsia="仿宋_GB2312" w:cs="仿宋_GB2312"/>
          <w:b/>
          <w:bCs w:val="0"/>
          <w:color w:val="auto"/>
          <w:sz w:val="28"/>
          <w:szCs w:val="28"/>
        </w:rPr>
      </w:pPr>
      <w:bookmarkStart w:id="97" w:name="_Toc4273"/>
      <w:bookmarkStart w:id="98" w:name="_Toc148957942"/>
      <w:r>
        <w:rPr>
          <w:rFonts w:hint="eastAsia" w:ascii="仿宋_GB2312" w:eastAsia="仿宋_GB2312" w:cs="仿宋_GB2312"/>
          <w:b/>
          <w:bCs w:val="0"/>
          <w:color w:val="auto"/>
          <w:sz w:val="28"/>
          <w:szCs w:val="28"/>
        </w:rPr>
        <w:t>3.2.1依据地质资料</w:t>
      </w:r>
      <w:bookmarkEnd w:id="97"/>
      <w:bookmarkEnd w:id="98"/>
    </w:p>
    <w:p w14:paraId="258F4AE7">
      <w:pPr>
        <w:adjustRightInd w:val="0"/>
        <w:snapToGrid w:val="0"/>
        <w:spacing w:line="360" w:lineRule="auto"/>
        <w:ind w:firstLine="560" w:firstLineChars="200"/>
        <w:rPr>
          <w:rFonts w:hint="eastAsia" w:ascii="仿宋_GB2312" w:eastAsia="仿宋_GB2312" w:cs="仿宋_GB2312"/>
          <w:color w:val="auto"/>
          <w:sz w:val="32"/>
          <w:szCs w:val="32"/>
        </w:rPr>
      </w:pPr>
      <w:r>
        <w:rPr>
          <w:rFonts w:hint="eastAsia" w:ascii="仿宋_GB2312" w:eastAsia="仿宋_GB2312" w:cs="仿宋_GB2312"/>
          <w:color w:val="auto"/>
          <w:sz w:val="28"/>
          <w:szCs w:val="28"/>
          <w:lang w:val="en-US" w:eastAsia="zh-CN"/>
        </w:rPr>
        <w:t>本次设计依据的地质资料为2023年8月中国建筑西南勘察设计研究院有限公司提交的《四川省大英县汇龙桥村砖瓦用页岩矿勘查报告》</w:t>
      </w:r>
      <w:r>
        <w:rPr>
          <w:rFonts w:hint="eastAsia" w:ascii="仿宋_GB2312" w:eastAsia="仿宋_GB2312" w:cs="仿宋_GB2312"/>
          <w:color w:val="auto"/>
          <w:sz w:val="28"/>
          <w:szCs w:val="28"/>
        </w:rPr>
        <w:t>。</w:t>
      </w:r>
    </w:p>
    <w:p w14:paraId="4A07C43E">
      <w:pPr>
        <w:adjustRightInd w:val="0"/>
        <w:snapToGrid w:val="0"/>
        <w:spacing w:line="360" w:lineRule="auto"/>
        <w:outlineLvl w:val="2"/>
        <w:rPr>
          <w:rFonts w:hint="eastAsia" w:ascii="仿宋_GB2312" w:eastAsia="仿宋_GB2312" w:cs="仿宋_GB2312"/>
          <w:b/>
          <w:color w:val="auto"/>
          <w:sz w:val="28"/>
          <w:szCs w:val="28"/>
        </w:rPr>
      </w:pPr>
      <w:bookmarkStart w:id="99" w:name="_Toc22048"/>
      <w:bookmarkStart w:id="100" w:name="_Toc17638"/>
      <w:bookmarkStart w:id="101" w:name="_Toc148957943"/>
      <w:r>
        <w:rPr>
          <w:rFonts w:hint="eastAsia" w:ascii="仿宋_GB2312" w:eastAsia="仿宋_GB2312" w:cs="仿宋_GB2312"/>
          <w:b/>
          <w:color w:val="auto"/>
          <w:sz w:val="28"/>
          <w:szCs w:val="28"/>
        </w:rPr>
        <w:t>3.2.2矿区地质</w:t>
      </w:r>
      <w:bookmarkEnd w:id="99"/>
      <w:bookmarkEnd w:id="100"/>
      <w:bookmarkEnd w:id="101"/>
    </w:p>
    <w:p w14:paraId="32F5BFC1">
      <w:pPr>
        <w:adjustRightInd w:val="0"/>
        <w:snapToGrid w:val="0"/>
        <w:spacing w:line="360" w:lineRule="auto"/>
        <w:outlineLvl w:val="3"/>
        <w:rPr>
          <w:rFonts w:hint="eastAsia" w:ascii="仿宋_GB2312" w:eastAsia="仿宋_GB2312" w:cs="仿宋_GB2312"/>
          <w:b/>
          <w:color w:val="auto"/>
          <w:sz w:val="28"/>
          <w:szCs w:val="28"/>
        </w:rPr>
      </w:pPr>
      <w:r>
        <w:rPr>
          <w:rFonts w:hint="eastAsia" w:ascii="仿宋_GB2312" w:eastAsia="仿宋_GB2312" w:cs="仿宋_GB2312"/>
          <w:b/>
          <w:color w:val="auto"/>
          <w:sz w:val="28"/>
          <w:szCs w:val="28"/>
        </w:rPr>
        <w:t>3.2.2.1矿区地层</w:t>
      </w:r>
    </w:p>
    <w:p w14:paraId="24734D8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矿区出露地层主要为侏罗系上统蓬莱镇组一段（J</w:t>
      </w:r>
      <w:r>
        <w:rPr>
          <w:rFonts w:hint="eastAsia" w:ascii="仿宋_GB2312" w:eastAsia="仿宋_GB2312" w:cs="仿宋_GB2312"/>
          <w:color w:val="auto"/>
          <w:vertAlign w:val="subscript"/>
        </w:rPr>
        <w:t>3</w:t>
      </w:r>
      <w:r>
        <w:rPr>
          <w:rFonts w:hint="eastAsia" w:ascii="仿宋_GB2312" w:eastAsia="仿宋_GB2312" w:cs="仿宋_GB2312"/>
          <w:i/>
          <w:iCs/>
          <w:color w:val="auto"/>
        </w:rPr>
        <w:t>p</w:t>
      </w:r>
      <w:r>
        <w:rPr>
          <w:rFonts w:hint="eastAsia" w:ascii="仿宋_GB2312" w:eastAsia="仿宋_GB2312" w:cs="仿宋_GB2312"/>
          <w:color w:val="auto"/>
          <w:vertAlign w:val="superscript"/>
        </w:rPr>
        <w:t>1</w:t>
      </w:r>
      <w:r>
        <w:rPr>
          <w:rFonts w:hint="eastAsia" w:ascii="仿宋_GB2312" w:eastAsia="仿宋_GB2312" w:cs="仿宋_GB2312"/>
          <w:color w:val="auto"/>
        </w:rPr>
        <w:t>）和第四系残坡积层（Q</w:t>
      </w:r>
      <w:r>
        <w:rPr>
          <w:rFonts w:hint="eastAsia" w:ascii="仿宋_GB2312" w:eastAsia="仿宋_GB2312" w:cs="仿宋_GB2312"/>
          <w:color w:val="auto"/>
          <w:vertAlign w:val="subscript"/>
        </w:rPr>
        <w:t>4</w:t>
      </w:r>
      <w:r>
        <w:rPr>
          <w:rFonts w:hint="eastAsia" w:ascii="仿宋_GB2312" w:eastAsia="仿宋_GB2312" w:cs="仿宋_GB2312"/>
          <w:i/>
          <w:iCs/>
          <w:color w:val="auto"/>
          <w:vertAlign w:val="superscript"/>
        </w:rPr>
        <w:t>el+dl</w:t>
      </w:r>
      <w:r>
        <w:rPr>
          <w:rFonts w:hint="eastAsia" w:ascii="仿宋_GB2312" w:eastAsia="仿宋_GB2312" w:cs="仿宋_GB2312"/>
          <w:color w:val="auto"/>
        </w:rPr>
        <w:t>）。</w:t>
      </w:r>
    </w:p>
    <w:p w14:paraId="34E7D61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蓬莱镇组一段（J</w:t>
      </w:r>
      <w:r>
        <w:rPr>
          <w:rFonts w:hint="eastAsia" w:ascii="仿宋_GB2312" w:eastAsia="仿宋_GB2312" w:cs="仿宋_GB2312"/>
          <w:color w:val="auto"/>
          <w:vertAlign w:val="subscript"/>
        </w:rPr>
        <w:t>3</w:t>
      </w:r>
      <w:r>
        <w:rPr>
          <w:rFonts w:hint="eastAsia" w:ascii="仿宋_GB2312" w:eastAsia="仿宋_GB2312" w:cs="仿宋_GB2312"/>
          <w:i/>
          <w:iCs/>
          <w:color w:val="auto"/>
        </w:rPr>
        <w:t>p</w:t>
      </w:r>
      <w:r>
        <w:rPr>
          <w:rFonts w:hint="eastAsia" w:ascii="仿宋_GB2312" w:eastAsia="仿宋_GB2312" w:cs="仿宋_GB2312"/>
          <w:color w:val="auto"/>
          <w:vertAlign w:val="superscript"/>
        </w:rPr>
        <w:t>1</w:t>
      </w:r>
      <w:r>
        <w:rPr>
          <w:rFonts w:hint="eastAsia" w:ascii="仿宋_GB2312" w:eastAsia="仿宋_GB2312" w:cs="仿宋_GB2312"/>
          <w:color w:val="auto"/>
        </w:rPr>
        <w:t>）：下部为紫灰、灰紫色中层至块状细粒长石石英砂岩与紫红色粉砂岩、泥岩组成2～3个不等厚韵律，中上部紫红色中-薄层状粉砂岩与同色泥岩互层，夹凸透镜长石石英砂岩和灰绿色砂质条带。矿区内可见主要为蓬莱镇组一段（J</w:t>
      </w:r>
      <w:r>
        <w:rPr>
          <w:rFonts w:hint="eastAsia" w:ascii="仿宋_GB2312" w:eastAsia="仿宋_GB2312" w:cs="仿宋_GB2312"/>
          <w:color w:val="auto"/>
          <w:vertAlign w:val="subscript"/>
        </w:rPr>
        <w:t>3</w:t>
      </w:r>
      <w:r>
        <w:rPr>
          <w:rFonts w:hint="eastAsia" w:ascii="仿宋_GB2312" w:eastAsia="仿宋_GB2312" w:cs="仿宋_GB2312"/>
          <w:i/>
          <w:iCs/>
          <w:color w:val="auto"/>
        </w:rPr>
        <w:t>p</w:t>
      </w:r>
      <w:r>
        <w:rPr>
          <w:rFonts w:hint="eastAsia" w:ascii="仿宋_GB2312" w:eastAsia="仿宋_GB2312" w:cs="仿宋_GB2312"/>
          <w:color w:val="auto"/>
          <w:vertAlign w:val="superscript"/>
        </w:rPr>
        <w:t>1</w:t>
      </w:r>
      <w:r>
        <w:rPr>
          <w:rFonts w:hint="eastAsia" w:ascii="仿宋_GB2312" w:eastAsia="仿宋_GB2312" w:cs="仿宋_GB2312"/>
          <w:color w:val="auto"/>
        </w:rPr>
        <w:t>）的上部地层，岩性主要为紫红色泥岩夹中-薄层状粉砂岩和灰绿色砂质条带，粉砂岩夹层厚约0.5～2m。岩层近水平，倾向西北，倾角一般1～3°。</w:t>
      </w:r>
    </w:p>
    <w:p w14:paraId="13ED85C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第四系残坡积层（Q</w:t>
      </w:r>
      <w:r>
        <w:rPr>
          <w:rFonts w:hint="eastAsia" w:ascii="仿宋_GB2312" w:eastAsia="仿宋_GB2312" w:cs="仿宋_GB2312"/>
          <w:color w:val="auto"/>
          <w:vertAlign w:val="subscript"/>
        </w:rPr>
        <w:t>4</w:t>
      </w:r>
      <w:r>
        <w:rPr>
          <w:rFonts w:hint="eastAsia" w:ascii="仿宋_GB2312" w:eastAsia="仿宋_GB2312" w:cs="仿宋_GB2312"/>
          <w:i/>
          <w:iCs/>
          <w:color w:val="auto"/>
          <w:vertAlign w:val="superscript"/>
        </w:rPr>
        <w:t>el+dl</w:t>
      </w:r>
      <w:r>
        <w:rPr>
          <w:rFonts w:hint="eastAsia" w:ascii="仿宋_GB2312" w:eastAsia="仿宋_GB2312" w:cs="仿宋_GB2312"/>
          <w:color w:val="auto"/>
        </w:rPr>
        <w:t>）：浅黄、灰红色松散砂、岩石碎块及粘土，厚度0～0.5m不等，主要分布在坡脚和洼地，坡顶较薄。</w:t>
      </w:r>
    </w:p>
    <w:p w14:paraId="36AD9E7E">
      <w:pPr>
        <w:adjustRightInd w:val="0"/>
        <w:snapToGrid w:val="0"/>
        <w:spacing w:line="360" w:lineRule="auto"/>
        <w:outlineLvl w:val="3"/>
        <w:rPr>
          <w:rFonts w:hint="eastAsia" w:ascii="仿宋_GB2312" w:eastAsia="仿宋_GB2312" w:cs="仿宋_GB2312"/>
          <w:b/>
          <w:color w:val="auto"/>
          <w:sz w:val="28"/>
          <w:szCs w:val="28"/>
        </w:rPr>
      </w:pPr>
      <w:r>
        <w:rPr>
          <w:rFonts w:hint="eastAsia" w:ascii="仿宋_GB2312" w:eastAsia="仿宋_GB2312" w:cs="仿宋_GB2312"/>
          <w:b/>
          <w:color w:val="auto"/>
          <w:sz w:val="28"/>
          <w:szCs w:val="28"/>
        </w:rPr>
        <w:t>3.2.2.2矿区构造</w:t>
      </w:r>
    </w:p>
    <w:p w14:paraId="55431C9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矿区位于蓬莱镇向斜的南翼，整体为一单斜构造。矿区内未见断裂、褶皱等强烈构造活动，岩石整体完整性较好。</w:t>
      </w:r>
    </w:p>
    <w:p w14:paraId="2C52C724">
      <w:pPr>
        <w:adjustRightInd w:val="0"/>
        <w:snapToGrid w:val="0"/>
        <w:spacing w:line="360" w:lineRule="auto"/>
        <w:outlineLvl w:val="3"/>
        <w:rPr>
          <w:rFonts w:hint="eastAsia" w:ascii="仿宋_GB2312" w:eastAsia="仿宋_GB2312" w:cs="仿宋_GB2312"/>
          <w:b/>
          <w:color w:val="auto"/>
          <w:sz w:val="28"/>
          <w:szCs w:val="28"/>
          <w:lang w:val="en-US" w:eastAsia="zh-CN"/>
        </w:rPr>
      </w:pPr>
      <w:r>
        <w:rPr>
          <w:rFonts w:hint="eastAsia" w:ascii="仿宋_GB2312" w:eastAsia="仿宋_GB2312" w:cs="仿宋_GB2312"/>
          <w:b/>
          <w:color w:val="auto"/>
          <w:sz w:val="28"/>
          <w:szCs w:val="28"/>
        </w:rPr>
        <w:t>3.2.2.3岩浆岩</w:t>
      </w:r>
      <w:r>
        <w:rPr>
          <w:rFonts w:hint="eastAsia" w:ascii="仿宋_GB2312" w:eastAsia="仿宋_GB2312" w:cs="仿宋_GB2312"/>
          <w:b/>
          <w:color w:val="auto"/>
          <w:sz w:val="28"/>
          <w:szCs w:val="28"/>
          <w:lang w:val="en-US" w:eastAsia="zh-CN"/>
        </w:rPr>
        <w:t>及</w:t>
      </w:r>
      <w:r>
        <w:rPr>
          <w:rFonts w:hint="eastAsia" w:ascii="仿宋_GB2312" w:eastAsia="仿宋_GB2312" w:cs="仿宋_GB2312"/>
          <w:b/>
          <w:color w:val="auto"/>
          <w:sz w:val="28"/>
          <w:szCs w:val="28"/>
        </w:rPr>
        <w:t>变质作用</w:t>
      </w:r>
    </w:p>
    <w:p w14:paraId="2AB1C10C">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rPr>
        <w:t>矿区内未见岩浆岩出露。矿区内变质作用不明显。</w:t>
      </w:r>
    </w:p>
    <w:p w14:paraId="4787189B">
      <w:pPr>
        <w:adjustRightInd w:val="0"/>
        <w:snapToGrid w:val="0"/>
        <w:spacing w:line="360" w:lineRule="auto"/>
        <w:outlineLvl w:val="2"/>
        <w:rPr>
          <w:rFonts w:hint="eastAsia" w:ascii="仿宋_GB2312" w:eastAsia="仿宋_GB2312" w:cs="仿宋_GB2312"/>
          <w:b/>
          <w:color w:val="auto"/>
          <w:sz w:val="28"/>
          <w:szCs w:val="28"/>
        </w:rPr>
      </w:pPr>
      <w:bookmarkStart w:id="102" w:name="_Toc2684"/>
      <w:bookmarkStart w:id="103" w:name="_Toc148957944"/>
      <w:r>
        <w:rPr>
          <w:rFonts w:hint="eastAsia" w:ascii="仿宋_GB2312" w:eastAsia="仿宋_GB2312" w:cs="仿宋_GB2312"/>
          <w:b/>
          <w:color w:val="auto"/>
          <w:sz w:val="28"/>
          <w:szCs w:val="28"/>
        </w:rPr>
        <w:t>3.2.3矿床特征</w:t>
      </w:r>
      <w:bookmarkEnd w:id="102"/>
      <w:bookmarkEnd w:id="103"/>
    </w:p>
    <w:p w14:paraId="6443152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区内矿体赋存于侏罗系上统蓬莱镇组（J</w:t>
      </w:r>
      <w:r>
        <w:rPr>
          <w:rFonts w:hint="eastAsia" w:ascii="仿宋_GB2312" w:eastAsia="仿宋_GB2312" w:cs="仿宋_GB2312"/>
          <w:color w:val="auto"/>
          <w:vertAlign w:val="subscript"/>
        </w:rPr>
        <w:t>3</w:t>
      </w:r>
      <w:r>
        <w:rPr>
          <w:rFonts w:hint="eastAsia" w:ascii="仿宋_GB2312" w:eastAsia="仿宋_GB2312" w:cs="仿宋_GB2312"/>
          <w:i/>
          <w:iCs/>
          <w:color w:val="auto"/>
        </w:rPr>
        <w:t>p</w:t>
      </w:r>
      <w:r>
        <w:rPr>
          <w:rFonts w:hint="eastAsia" w:ascii="仿宋_GB2312" w:eastAsia="仿宋_GB2312" w:cs="仿宋_GB2312"/>
          <w:color w:val="auto"/>
        </w:rPr>
        <w:t>）中，主要为紫红色泥岩。</w:t>
      </w:r>
    </w:p>
    <w:p w14:paraId="4661504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矿体分布于整个工作区内，为砖瓦用页岩，呈近水平层状产出。矿区中间高四周低，东西向长度约200m，最宽度处约170m，最窄处约80m，相对高差约40m，矿体总体形态简单，无夹石，分布面积广，厚度稳定。</w:t>
      </w:r>
    </w:p>
    <w:p w14:paraId="58CCBC8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区内矿体连续，分布于整个工作区，按大英县自然资源和规划局规划设立的矿区范围，拟设开采标高+330～+400m，根据钻孔揭露矿体厚度45.7～62.1m，未见底。</w:t>
      </w:r>
    </w:p>
    <w:p w14:paraId="4DE5B5D0">
      <w:pPr>
        <w:adjustRightInd w:val="0"/>
        <w:snapToGrid w:val="0"/>
        <w:spacing w:line="360" w:lineRule="auto"/>
        <w:outlineLvl w:val="2"/>
        <w:rPr>
          <w:rFonts w:hint="eastAsia" w:ascii="仿宋_GB2312" w:eastAsia="仿宋_GB2312" w:cs="仿宋_GB2312"/>
          <w:b/>
          <w:color w:val="auto"/>
          <w:sz w:val="28"/>
          <w:szCs w:val="28"/>
        </w:rPr>
      </w:pPr>
      <w:bookmarkStart w:id="104" w:name="_Toc145567910"/>
      <w:bookmarkStart w:id="105" w:name="_Toc28635"/>
      <w:r>
        <w:rPr>
          <w:rFonts w:hint="eastAsia" w:ascii="仿宋_GB2312" w:eastAsia="仿宋_GB2312" w:cs="仿宋_GB2312"/>
          <w:b/>
          <w:color w:val="auto"/>
          <w:sz w:val="28"/>
          <w:szCs w:val="28"/>
          <w:lang w:val="en-US" w:eastAsia="zh-CN"/>
        </w:rPr>
        <w:t>3.2.4</w:t>
      </w:r>
      <w:r>
        <w:rPr>
          <w:rFonts w:hint="eastAsia" w:ascii="仿宋_GB2312" w:eastAsia="仿宋_GB2312" w:cs="仿宋_GB2312"/>
          <w:b/>
          <w:color w:val="auto"/>
          <w:sz w:val="28"/>
          <w:szCs w:val="28"/>
        </w:rPr>
        <w:t>矿石特征</w:t>
      </w:r>
      <w:bookmarkEnd w:id="104"/>
      <w:bookmarkEnd w:id="105"/>
    </w:p>
    <w:p w14:paraId="7D36013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矿石主要为紫红色泥岩、粉砂质泥岩，矿物成分主要为高岭石、水云母，少量方解石、石英。矿石组分含量：SiO</w:t>
      </w:r>
      <w:r>
        <w:rPr>
          <w:rFonts w:hint="eastAsia" w:ascii="仿宋_GB2312" w:eastAsia="仿宋_GB2312" w:cs="仿宋_GB2312"/>
          <w:color w:val="auto"/>
          <w:vertAlign w:val="subscript"/>
        </w:rPr>
        <w:t xml:space="preserve">2 </w:t>
      </w:r>
      <w:r>
        <w:rPr>
          <w:rFonts w:hint="eastAsia" w:ascii="仿宋_GB2312" w:eastAsia="仿宋_GB2312" w:cs="仿宋_GB2312"/>
          <w:color w:val="auto"/>
        </w:rPr>
        <w:t>48.51%～68.28%，Al</w:t>
      </w:r>
      <w:r>
        <w:rPr>
          <w:rFonts w:hint="eastAsia" w:ascii="仿宋_GB2312" w:eastAsia="仿宋_GB2312" w:cs="仿宋_GB2312"/>
          <w:color w:val="auto"/>
          <w:vertAlign w:val="subscript"/>
        </w:rPr>
        <w:t>2</w:t>
      </w:r>
      <w:r>
        <w:rPr>
          <w:rFonts w:hint="eastAsia" w:ascii="仿宋_GB2312" w:eastAsia="仿宋_GB2312" w:cs="仿宋_GB2312"/>
          <w:color w:val="auto"/>
        </w:rPr>
        <w:t>O</w:t>
      </w:r>
      <w:r>
        <w:rPr>
          <w:rFonts w:hint="eastAsia" w:ascii="仿宋_GB2312" w:eastAsia="仿宋_GB2312" w:cs="仿宋_GB2312"/>
          <w:color w:val="auto"/>
          <w:vertAlign w:val="subscript"/>
        </w:rPr>
        <w:t xml:space="preserve">3 </w:t>
      </w:r>
      <w:r>
        <w:rPr>
          <w:rFonts w:hint="eastAsia" w:ascii="仿宋_GB2312" w:eastAsia="仿宋_GB2312" w:cs="仿宋_GB2312"/>
          <w:color w:val="auto"/>
        </w:rPr>
        <w:t>12.11%～17.06%， Fe</w:t>
      </w:r>
      <w:r>
        <w:rPr>
          <w:rFonts w:hint="eastAsia" w:ascii="仿宋_GB2312" w:eastAsia="仿宋_GB2312" w:cs="仿宋_GB2312"/>
          <w:color w:val="auto"/>
          <w:vertAlign w:val="subscript"/>
        </w:rPr>
        <w:t>2</w:t>
      </w:r>
      <w:r>
        <w:rPr>
          <w:rFonts w:hint="eastAsia" w:ascii="仿宋_GB2312" w:eastAsia="仿宋_GB2312" w:cs="仿宋_GB2312"/>
          <w:color w:val="auto"/>
        </w:rPr>
        <w:t>O</w:t>
      </w:r>
      <w:r>
        <w:rPr>
          <w:rFonts w:hint="eastAsia" w:ascii="仿宋_GB2312" w:eastAsia="仿宋_GB2312" w:cs="仿宋_GB2312"/>
          <w:color w:val="auto"/>
          <w:vertAlign w:val="subscript"/>
        </w:rPr>
        <w:t xml:space="preserve">3 </w:t>
      </w:r>
      <w:r>
        <w:rPr>
          <w:rFonts w:hint="eastAsia" w:ascii="仿宋_GB2312" w:eastAsia="仿宋_GB2312" w:cs="仿宋_GB2312"/>
          <w:color w:val="auto"/>
        </w:rPr>
        <w:t>2.68%～8.35%，CaO 4.75%～8.90%，MgO 1.31%～3.71%，SO</w:t>
      </w:r>
      <w:r>
        <w:rPr>
          <w:rFonts w:hint="eastAsia" w:ascii="仿宋_GB2312" w:eastAsia="仿宋_GB2312" w:cs="仿宋_GB2312"/>
          <w:color w:val="auto"/>
          <w:vertAlign w:val="subscript"/>
        </w:rPr>
        <w:t>3</w:t>
      </w:r>
      <w:r>
        <w:rPr>
          <w:rFonts w:hint="eastAsia" w:ascii="仿宋_GB2312" w:eastAsia="仿宋_GB2312" w:cs="仿宋_GB2312"/>
          <w:color w:val="auto"/>
        </w:rPr>
        <w:t xml:space="preserve"> 0.058%～0.88%，K</w:t>
      </w:r>
      <w:r>
        <w:rPr>
          <w:rFonts w:hint="eastAsia" w:ascii="仿宋_GB2312" w:eastAsia="仿宋_GB2312" w:cs="仿宋_GB2312"/>
          <w:color w:val="auto"/>
          <w:vertAlign w:val="subscript"/>
        </w:rPr>
        <w:t>2</w:t>
      </w:r>
      <w:r>
        <w:rPr>
          <w:rFonts w:hint="eastAsia" w:ascii="仿宋_GB2312" w:eastAsia="仿宋_GB2312" w:cs="仿宋_GB2312"/>
          <w:color w:val="auto"/>
        </w:rPr>
        <w:t>O+Na</w:t>
      </w:r>
      <w:r>
        <w:rPr>
          <w:rFonts w:hint="eastAsia" w:ascii="仿宋_GB2312" w:eastAsia="仿宋_GB2312" w:cs="仿宋_GB2312"/>
          <w:color w:val="auto"/>
          <w:vertAlign w:val="subscript"/>
        </w:rPr>
        <w:t>2</w:t>
      </w:r>
      <w:r>
        <w:rPr>
          <w:rFonts w:hint="eastAsia" w:ascii="仿宋_GB2312" w:eastAsia="仿宋_GB2312" w:cs="仿宋_GB2312"/>
          <w:color w:val="auto"/>
        </w:rPr>
        <w:t>O 4.13%～4.49%，塑性指数15.0～18.0。</w:t>
      </w:r>
    </w:p>
    <w:p w14:paraId="7E0B0D8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矿石结构：泥状结构、粉砂泥状结构。</w:t>
      </w:r>
    </w:p>
    <w:p w14:paraId="644CA0B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矿石构造：层状构造。</w:t>
      </w:r>
    </w:p>
    <w:p w14:paraId="5FA21B41">
      <w:pPr>
        <w:adjustRightInd w:val="0"/>
        <w:snapToGrid w:val="0"/>
        <w:spacing w:line="360" w:lineRule="auto"/>
        <w:outlineLvl w:val="2"/>
        <w:rPr>
          <w:rFonts w:hint="eastAsia" w:ascii="仿宋_GB2312" w:eastAsia="仿宋_GB2312" w:cs="仿宋_GB2312"/>
          <w:b/>
          <w:color w:val="auto"/>
          <w:sz w:val="28"/>
          <w:szCs w:val="28"/>
          <w:lang w:val="en-US" w:eastAsia="zh-CN"/>
        </w:rPr>
      </w:pPr>
      <w:bookmarkStart w:id="106" w:name="_Toc18195"/>
      <w:bookmarkStart w:id="107" w:name="_Toc145567913"/>
      <w:r>
        <w:rPr>
          <w:rFonts w:hint="eastAsia" w:ascii="仿宋_GB2312" w:eastAsia="仿宋_GB2312" w:cs="仿宋_GB2312"/>
          <w:b/>
          <w:color w:val="auto"/>
          <w:sz w:val="28"/>
          <w:szCs w:val="28"/>
          <w:lang w:val="en-US" w:eastAsia="zh-CN"/>
        </w:rPr>
        <w:t>3.2.5矿石物理力学性能</w:t>
      </w:r>
      <w:bookmarkEnd w:id="106"/>
      <w:bookmarkEnd w:id="107"/>
    </w:p>
    <w:p w14:paraId="5E751A8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放射性</w:t>
      </w:r>
      <w:r>
        <w:rPr>
          <w:rFonts w:hint="eastAsia" w:ascii="仿宋_GB2312" w:eastAsia="仿宋_GB2312" w:cs="仿宋_GB2312"/>
          <w:color w:val="auto"/>
          <w:lang w:eastAsia="zh-CN"/>
        </w:rPr>
        <w:t>：</w:t>
      </w:r>
      <w:bookmarkStart w:id="108" w:name="_Hlk145548293"/>
      <w:r>
        <w:rPr>
          <w:rFonts w:hint="eastAsia" w:ascii="仿宋_GB2312" w:eastAsia="仿宋_GB2312" w:cs="仿宋_GB2312"/>
          <w:color w:val="auto"/>
        </w:rPr>
        <w:t>勘查区内砖瓦用页岩的内照射指数IRa=0.2，外照射指数Iγ=0.4，满足《建筑材料放射性核素限量》（GB6566-2010）中建筑主体材料的要求。</w:t>
      </w:r>
    </w:p>
    <w:bookmarkEnd w:id="108"/>
    <w:p w14:paraId="42D3A9A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塑性指数</w:t>
      </w:r>
      <w:r>
        <w:rPr>
          <w:rFonts w:hint="eastAsia" w:ascii="仿宋_GB2312" w:eastAsia="仿宋_GB2312" w:cs="仿宋_GB2312"/>
          <w:color w:val="auto"/>
          <w:lang w:eastAsia="zh-CN"/>
        </w:rPr>
        <w:t>：</w:t>
      </w:r>
      <w:r>
        <w:rPr>
          <w:rFonts w:hint="eastAsia" w:ascii="仿宋_GB2312" w:eastAsia="仿宋_GB2312" w:cs="仿宋_GB2312"/>
          <w:color w:val="auto"/>
        </w:rPr>
        <w:t>泥岩塑性指数最小15.0，最大19.9，平均16.83。</w:t>
      </w:r>
    </w:p>
    <w:p w14:paraId="298ED05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烧失量</w:t>
      </w:r>
      <w:r>
        <w:rPr>
          <w:rFonts w:hint="eastAsia" w:ascii="仿宋_GB2312" w:eastAsia="仿宋_GB2312" w:cs="仿宋_GB2312"/>
          <w:color w:val="auto"/>
          <w:lang w:eastAsia="zh-CN"/>
        </w:rPr>
        <w:t>：</w:t>
      </w:r>
      <w:r>
        <w:rPr>
          <w:rFonts w:hint="eastAsia" w:ascii="仿宋_GB2312" w:eastAsia="仿宋_GB2312" w:cs="仿宋_GB2312"/>
          <w:color w:val="auto"/>
        </w:rPr>
        <w:t>泥岩烧失量最小10.09%，最大12.40%，平均11.30%。</w:t>
      </w:r>
    </w:p>
    <w:p w14:paraId="7C3F717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块体密度</w:t>
      </w:r>
      <w:r>
        <w:rPr>
          <w:rFonts w:hint="eastAsia" w:ascii="仿宋_GB2312" w:eastAsia="仿宋_GB2312" w:cs="仿宋_GB2312"/>
          <w:color w:val="auto"/>
          <w:lang w:eastAsia="zh-CN"/>
        </w:rPr>
        <w:t>：</w:t>
      </w:r>
      <w:r>
        <w:rPr>
          <w:rFonts w:hint="eastAsia" w:ascii="仿宋_GB2312" w:eastAsia="仿宋_GB2312" w:cs="仿宋_GB2312"/>
          <w:color w:val="auto"/>
        </w:rPr>
        <w:t>平均2.34g/c</w:t>
      </w:r>
      <w:r>
        <w:rPr>
          <w:rFonts w:hint="eastAsia" w:ascii="仿宋_GB2312" w:eastAsia="仿宋_GB2312" w:cs="仿宋_GB2312"/>
          <w:color w:val="auto"/>
          <w:lang w:eastAsia="zh-CN"/>
        </w:rPr>
        <w:t>m³</w:t>
      </w:r>
      <w:r>
        <w:rPr>
          <w:rFonts w:hint="eastAsia" w:ascii="仿宋_GB2312" w:eastAsia="仿宋_GB2312" w:cs="仿宋_GB2312"/>
          <w:color w:val="auto"/>
        </w:rPr>
        <w:t>。</w:t>
      </w:r>
    </w:p>
    <w:p w14:paraId="717A9B5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抗拉、抗剪强度</w:t>
      </w:r>
      <w:r>
        <w:rPr>
          <w:rFonts w:hint="eastAsia" w:ascii="仿宋_GB2312" w:eastAsia="仿宋_GB2312" w:cs="仿宋_GB2312"/>
          <w:color w:val="auto"/>
          <w:lang w:eastAsia="zh-CN"/>
        </w:rPr>
        <w:t>：</w:t>
      </w:r>
      <w:bookmarkStart w:id="109" w:name="_Hlk144148055"/>
      <w:r>
        <w:rPr>
          <w:rFonts w:hint="eastAsia" w:ascii="仿宋_GB2312" w:eastAsia="仿宋_GB2312" w:cs="仿宋_GB2312"/>
          <w:color w:val="auto"/>
        </w:rPr>
        <w:t>泥岩天然抗拉强度一般0.97MPa；天然抗剪强度一般C值0.91MPa，内摩擦角φ值37.3°。</w:t>
      </w:r>
    </w:p>
    <w:p w14:paraId="5D3E435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eastAsia="zh-CN"/>
        </w:rPr>
      </w:pPr>
      <w:r>
        <w:rPr>
          <w:rFonts w:hint="eastAsia" w:ascii="仿宋_GB2312" w:eastAsia="仿宋_GB2312" w:cs="仿宋_GB2312"/>
          <w:color w:val="auto"/>
        </w:rPr>
        <w:t>抗压强度</w:t>
      </w:r>
      <w:r>
        <w:rPr>
          <w:rFonts w:hint="eastAsia" w:ascii="仿宋_GB2312" w:eastAsia="仿宋_GB2312" w:cs="仿宋_GB2312"/>
          <w:color w:val="auto"/>
          <w:lang w:eastAsia="zh-CN"/>
        </w:rPr>
        <w:t>：</w:t>
      </w:r>
      <w:r>
        <w:rPr>
          <w:rFonts w:hint="eastAsia" w:ascii="仿宋_GB2312" w:eastAsia="仿宋_GB2312" w:cs="仿宋_GB2312"/>
          <w:color w:val="auto"/>
        </w:rPr>
        <w:t>&lt;30Mpa</w:t>
      </w:r>
      <w:r>
        <w:rPr>
          <w:rFonts w:hint="eastAsia" w:ascii="仿宋_GB2312" w:eastAsia="仿宋_GB2312" w:cs="仿宋_GB2312"/>
          <w:color w:val="auto"/>
          <w:lang w:eastAsia="zh-CN"/>
        </w:rPr>
        <w:t>。</w:t>
      </w:r>
    </w:p>
    <w:p w14:paraId="2B43820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eastAsia="zh-CN"/>
        </w:rPr>
      </w:pPr>
      <w:r>
        <w:rPr>
          <w:rFonts w:hint="eastAsia" w:ascii="仿宋_GB2312" w:eastAsia="仿宋_GB2312" w:cs="仿宋_GB2312"/>
          <w:color w:val="auto"/>
        </w:rPr>
        <w:t>软化系数</w:t>
      </w:r>
      <w:r>
        <w:rPr>
          <w:rFonts w:hint="eastAsia" w:ascii="仿宋_GB2312" w:eastAsia="仿宋_GB2312" w:cs="仿宋_GB2312"/>
          <w:color w:val="auto"/>
          <w:lang w:eastAsia="zh-CN"/>
        </w:rPr>
        <w:t>：</w:t>
      </w:r>
      <w:r>
        <w:rPr>
          <w:rFonts w:hint="eastAsia" w:ascii="仿宋_GB2312" w:eastAsia="仿宋_GB2312" w:cs="仿宋_GB2312"/>
          <w:color w:val="auto"/>
        </w:rPr>
        <w:t>&lt;0.5</w:t>
      </w:r>
      <w:r>
        <w:rPr>
          <w:rFonts w:hint="eastAsia" w:ascii="仿宋_GB2312" w:eastAsia="仿宋_GB2312" w:cs="仿宋_GB2312"/>
          <w:color w:val="auto"/>
          <w:lang w:eastAsia="zh-CN"/>
        </w:rPr>
        <w:t>。</w:t>
      </w:r>
    </w:p>
    <w:p w14:paraId="582E6E2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坚固系数</w:t>
      </w:r>
      <w:r>
        <w:rPr>
          <w:rFonts w:hint="eastAsia" w:ascii="仿宋_GB2312" w:eastAsia="仿宋_GB2312" w:cs="仿宋_GB2312"/>
          <w:color w:val="auto"/>
          <w:lang w:eastAsia="zh-CN"/>
        </w:rPr>
        <w:t>：</w:t>
      </w:r>
      <w:r>
        <w:rPr>
          <w:rFonts w:hint="eastAsia" w:ascii="仿宋_GB2312" w:eastAsia="仿宋_GB2312" w:cs="仿宋_GB2312"/>
          <w:color w:val="auto"/>
        </w:rPr>
        <w:t>&lt;3。</w:t>
      </w:r>
    </w:p>
    <w:bookmarkEnd w:id="109"/>
    <w:p w14:paraId="16CDC311">
      <w:pPr>
        <w:adjustRightInd w:val="0"/>
        <w:snapToGrid w:val="0"/>
        <w:spacing w:line="360" w:lineRule="auto"/>
        <w:outlineLvl w:val="2"/>
        <w:rPr>
          <w:rFonts w:hint="eastAsia" w:ascii="仿宋_GB2312" w:eastAsia="仿宋_GB2312" w:cs="仿宋_GB2312"/>
          <w:b/>
          <w:color w:val="auto"/>
          <w:sz w:val="28"/>
          <w:szCs w:val="28"/>
          <w:lang w:val="en-US" w:eastAsia="zh-CN"/>
        </w:rPr>
      </w:pPr>
      <w:bookmarkStart w:id="110" w:name="_Toc145567914"/>
      <w:bookmarkStart w:id="111" w:name="_Toc16224"/>
      <w:r>
        <w:rPr>
          <w:rFonts w:hint="eastAsia" w:ascii="仿宋_GB2312" w:eastAsia="仿宋_GB2312" w:cs="仿宋_GB2312"/>
          <w:b/>
          <w:color w:val="auto"/>
          <w:sz w:val="28"/>
          <w:szCs w:val="28"/>
          <w:lang w:val="en-US" w:eastAsia="zh-CN"/>
        </w:rPr>
        <w:t>3.2.6风（氧）化特征</w:t>
      </w:r>
      <w:bookmarkEnd w:id="110"/>
      <w:bookmarkEnd w:id="111"/>
    </w:p>
    <w:p w14:paraId="5F8B4AF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矿区内泥岩出露地表大多风化严重，分布于第四系残坡积物之下、中风化带以上。根据钻孔揭露厚度为2.00～3.00m，平均2.5m。颜色紫红色，强风化已呈土状。</w:t>
      </w:r>
    </w:p>
    <w:p w14:paraId="1C754AB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下部泥岩矿体为原生泥岩矿体，岩石风化程度微弱，部分节理裂隙较发育，钻孔岩心整体较完整。</w:t>
      </w:r>
    </w:p>
    <w:p w14:paraId="6C5543E2">
      <w:pPr>
        <w:adjustRightInd w:val="0"/>
        <w:snapToGrid w:val="0"/>
        <w:spacing w:line="360" w:lineRule="auto"/>
        <w:outlineLvl w:val="2"/>
        <w:rPr>
          <w:rFonts w:hint="eastAsia" w:ascii="仿宋_GB2312" w:eastAsia="仿宋_GB2312" w:cs="仿宋_GB2312"/>
          <w:b/>
          <w:color w:val="auto"/>
          <w:sz w:val="28"/>
          <w:szCs w:val="28"/>
          <w:lang w:val="en-US" w:eastAsia="zh-CN"/>
        </w:rPr>
      </w:pPr>
      <w:bookmarkStart w:id="112" w:name="_Toc24783"/>
      <w:bookmarkStart w:id="113" w:name="_Toc145567915"/>
      <w:r>
        <w:rPr>
          <w:rFonts w:hint="eastAsia" w:ascii="仿宋_GB2312" w:eastAsia="仿宋_GB2312" w:cs="仿宋_GB2312"/>
          <w:b/>
          <w:color w:val="auto"/>
          <w:sz w:val="28"/>
          <w:szCs w:val="28"/>
          <w:lang w:val="en-US" w:eastAsia="zh-CN"/>
        </w:rPr>
        <w:t>3.2.7矿石类型和品级</w:t>
      </w:r>
      <w:bookmarkEnd w:id="112"/>
      <w:bookmarkEnd w:id="113"/>
    </w:p>
    <w:p w14:paraId="59F1283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矿石自然类型为薄层状紫红色泥岩、粉砂质泥岩。矿区矿石质量较好，生产出的砖质量合格。矿石未分品级。</w:t>
      </w:r>
    </w:p>
    <w:p w14:paraId="0DD6C04A">
      <w:pPr>
        <w:adjustRightInd w:val="0"/>
        <w:snapToGrid w:val="0"/>
        <w:spacing w:line="360" w:lineRule="auto"/>
        <w:outlineLvl w:val="2"/>
        <w:rPr>
          <w:rFonts w:hint="eastAsia" w:ascii="仿宋_GB2312" w:eastAsia="仿宋_GB2312" w:cs="仿宋_GB2312"/>
          <w:b/>
          <w:color w:val="auto"/>
          <w:sz w:val="28"/>
          <w:szCs w:val="28"/>
          <w:lang w:val="en-US" w:eastAsia="zh-CN"/>
        </w:rPr>
      </w:pPr>
      <w:bookmarkStart w:id="114" w:name="_Toc4335"/>
      <w:bookmarkStart w:id="115" w:name="_Toc145567916"/>
      <w:r>
        <w:rPr>
          <w:rFonts w:hint="eastAsia" w:ascii="仿宋_GB2312" w:eastAsia="仿宋_GB2312" w:cs="仿宋_GB2312"/>
          <w:b/>
          <w:color w:val="auto"/>
          <w:sz w:val="28"/>
          <w:szCs w:val="28"/>
          <w:lang w:val="en-US" w:eastAsia="zh-CN"/>
        </w:rPr>
        <w:t>3.2.8矿体（层）围岩和夹石</w:t>
      </w:r>
      <w:bookmarkEnd w:id="114"/>
      <w:bookmarkEnd w:id="115"/>
    </w:p>
    <w:p w14:paraId="631A452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矿体产于侏罗系上统蓬莱镇组（J</w:t>
      </w:r>
      <w:r>
        <w:rPr>
          <w:rFonts w:hint="eastAsia" w:ascii="仿宋_GB2312" w:eastAsia="仿宋_GB2312" w:cs="仿宋_GB2312"/>
          <w:color w:val="auto"/>
          <w:vertAlign w:val="subscript"/>
        </w:rPr>
        <w:t>3</w:t>
      </w:r>
      <w:r>
        <w:rPr>
          <w:rFonts w:hint="eastAsia" w:ascii="仿宋_GB2312" w:eastAsia="仿宋_GB2312" w:cs="仿宋_GB2312"/>
          <w:i/>
          <w:iCs/>
          <w:color w:val="auto"/>
        </w:rPr>
        <w:t>p</w:t>
      </w:r>
      <w:r>
        <w:rPr>
          <w:rFonts w:hint="eastAsia" w:ascii="仿宋_GB2312" w:eastAsia="仿宋_GB2312" w:cs="仿宋_GB2312"/>
          <w:color w:val="auto"/>
        </w:rPr>
        <w:t>）中，围岩仍为蓬莱镇组泥岩。</w:t>
      </w:r>
    </w:p>
    <w:p w14:paraId="408A17A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勘查区内矿体无直接顶板，矿体表面多为第四系风化残坡积物，主要为浅黄、灰红色松散砂、岩石碎块及粘土，厚度0～0.5m不等。可直接掺拌于矿体中作制砖原料，地表无耕植腐殖土，对矿石质量影响较小，开采时不需剥离。资源量估算范围内矿体控制在+330m（拟设最低开采标高）标高以上，资源量估算范围内，底板仍为泥岩。</w:t>
      </w:r>
    </w:p>
    <w:p w14:paraId="7591D26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eastAsia="zh-CN"/>
        </w:rPr>
      </w:pPr>
      <w:r>
        <w:rPr>
          <w:rFonts w:hint="eastAsia" w:ascii="仿宋_GB2312" w:eastAsia="仿宋_GB2312" w:cs="仿宋_GB2312"/>
          <w:color w:val="auto"/>
        </w:rPr>
        <w:t>夹石</w:t>
      </w:r>
      <w:r>
        <w:rPr>
          <w:rFonts w:hint="eastAsia" w:ascii="仿宋_GB2312" w:eastAsia="仿宋_GB2312" w:cs="仿宋_GB2312"/>
          <w:color w:val="auto"/>
          <w:lang w:eastAsia="zh-CN"/>
        </w:rPr>
        <w:t>：</w:t>
      </w:r>
      <w:r>
        <w:rPr>
          <w:rFonts w:hint="eastAsia" w:ascii="仿宋_GB2312" w:eastAsia="仿宋_GB2312" w:cs="仿宋_GB2312"/>
          <w:color w:val="auto"/>
        </w:rPr>
        <w:t>矿体总体连续，局部夹粉砂岩凸镜体和绿色砂质条带，厚度0.1～0.5m，但不连续，达不到夹石剔除厚度。另在矿层中偶见钙质泥岩夹层，厚0.1～0.2m，达不到夹石剔除厚度。</w:t>
      </w:r>
    </w:p>
    <w:p w14:paraId="2669B93E">
      <w:pPr>
        <w:adjustRightInd w:val="0"/>
        <w:snapToGrid w:val="0"/>
        <w:spacing w:line="360" w:lineRule="auto"/>
        <w:outlineLvl w:val="2"/>
        <w:rPr>
          <w:rFonts w:hint="eastAsia" w:ascii="仿宋_GB2312" w:eastAsia="仿宋_GB2312" w:cs="仿宋_GB2312"/>
          <w:b/>
          <w:color w:val="auto"/>
          <w:sz w:val="28"/>
          <w:szCs w:val="28"/>
          <w:lang w:val="en-US" w:eastAsia="zh-CN"/>
        </w:rPr>
      </w:pPr>
      <w:bookmarkStart w:id="116" w:name="_Toc26869"/>
      <w:bookmarkStart w:id="117" w:name="_Toc145567917"/>
      <w:r>
        <w:rPr>
          <w:rFonts w:hint="eastAsia" w:ascii="仿宋_GB2312" w:eastAsia="仿宋_GB2312" w:cs="仿宋_GB2312"/>
          <w:b/>
          <w:color w:val="auto"/>
          <w:sz w:val="28"/>
          <w:szCs w:val="28"/>
          <w:lang w:val="en-US" w:eastAsia="zh-CN"/>
        </w:rPr>
        <w:t>3.2.9矿床（共）伴生矿产</w:t>
      </w:r>
      <w:bookmarkEnd w:id="116"/>
      <w:bookmarkEnd w:id="117"/>
    </w:p>
    <w:p w14:paraId="6C976CD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未发现其它共（伴）生矿产。</w:t>
      </w:r>
    </w:p>
    <w:p w14:paraId="512010B8">
      <w:pPr>
        <w:adjustRightInd w:val="0"/>
        <w:snapToGrid w:val="0"/>
        <w:spacing w:line="360" w:lineRule="auto"/>
        <w:outlineLvl w:val="2"/>
        <w:rPr>
          <w:rFonts w:hint="eastAsia" w:ascii="仿宋_GB2312" w:eastAsia="仿宋_GB2312" w:cs="仿宋_GB2312"/>
          <w:b/>
          <w:color w:val="auto"/>
          <w:sz w:val="28"/>
          <w:szCs w:val="28"/>
          <w:lang w:val="en-US" w:eastAsia="zh-CN"/>
        </w:rPr>
      </w:pPr>
      <w:bookmarkStart w:id="118" w:name="_Toc30368"/>
      <w:r>
        <w:rPr>
          <w:rFonts w:hint="eastAsia" w:ascii="仿宋_GB2312" w:eastAsia="仿宋_GB2312" w:cs="仿宋_GB2312"/>
          <w:b/>
          <w:color w:val="auto"/>
          <w:sz w:val="28"/>
          <w:szCs w:val="28"/>
          <w:lang w:val="en-US" w:eastAsia="zh-CN"/>
        </w:rPr>
        <w:t>3.2.10矿石加工选冶技术性能</w:t>
      </w:r>
      <w:bookmarkEnd w:id="118"/>
    </w:p>
    <w:p w14:paraId="37DB350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矿体产于侏罗系上统蓬莱镇组中，为薄层状泥岩、粉砂质泥岩，是理想的制砖原料。</w:t>
      </w:r>
    </w:p>
    <w:p w14:paraId="4C4115D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矿石质软，可用挖掘机直接开采，无需爆破作业，机械破碎性能好，对机械磨损少，遇水易松散，属易加工矿石。</w:t>
      </w:r>
    </w:p>
    <w:p w14:paraId="7C97DAC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矿山采用露天机械化挖掘式开采，采出的矿石经破碎装车外运销售或自用制砖。</w:t>
      </w:r>
    </w:p>
    <w:p w14:paraId="6A5B78FC">
      <w:pPr>
        <w:adjustRightInd w:val="0"/>
        <w:snapToGrid w:val="0"/>
        <w:spacing w:line="360" w:lineRule="auto"/>
        <w:outlineLvl w:val="1"/>
        <w:rPr>
          <w:rFonts w:hint="eastAsia" w:ascii="仿宋_GB2312" w:eastAsia="仿宋_GB2312" w:cs="仿宋_GB2312"/>
          <w:b/>
          <w:color w:val="auto"/>
          <w:sz w:val="28"/>
          <w:szCs w:val="28"/>
        </w:rPr>
      </w:pPr>
      <w:bookmarkStart w:id="119" w:name="_Toc323208961"/>
      <w:bookmarkStart w:id="120" w:name="_Toc249108591"/>
      <w:bookmarkStart w:id="121" w:name="_Toc30655"/>
      <w:bookmarkStart w:id="122" w:name="_Toc64710491"/>
      <w:bookmarkStart w:id="123" w:name="_Toc24477"/>
      <w:bookmarkStart w:id="124" w:name="_Toc162838344"/>
      <w:bookmarkStart w:id="125" w:name="_Toc3259"/>
      <w:r>
        <w:rPr>
          <w:rFonts w:hint="eastAsia" w:ascii="仿宋_GB2312" w:eastAsia="仿宋_GB2312" w:cs="仿宋_GB2312"/>
          <w:b/>
          <w:color w:val="auto"/>
          <w:sz w:val="28"/>
          <w:szCs w:val="28"/>
        </w:rPr>
        <w:t>3.3矿床开采技术条件</w:t>
      </w:r>
      <w:bookmarkEnd w:id="119"/>
      <w:bookmarkEnd w:id="120"/>
      <w:bookmarkEnd w:id="121"/>
      <w:bookmarkEnd w:id="122"/>
      <w:bookmarkEnd w:id="123"/>
      <w:bookmarkEnd w:id="124"/>
      <w:bookmarkEnd w:id="125"/>
    </w:p>
    <w:p w14:paraId="4500800D">
      <w:pPr>
        <w:adjustRightInd w:val="0"/>
        <w:snapToGrid w:val="0"/>
        <w:spacing w:line="360" w:lineRule="auto"/>
        <w:outlineLvl w:val="2"/>
        <w:rPr>
          <w:rFonts w:hint="eastAsia" w:ascii="仿宋_GB2312" w:eastAsia="仿宋_GB2312" w:cs="仿宋_GB2312"/>
          <w:b/>
          <w:color w:val="auto"/>
          <w:sz w:val="28"/>
          <w:szCs w:val="28"/>
        </w:rPr>
      </w:pPr>
      <w:bookmarkStart w:id="126" w:name="_Toc148957946"/>
      <w:bookmarkStart w:id="127" w:name="_Toc13594"/>
      <w:r>
        <w:rPr>
          <w:rFonts w:hint="eastAsia" w:ascii="仿宋_GB2312" w:eastAsia="仿宋_GB2312" w:cs="仿宋_GB2312"/>
          <w:b/>
          <w:color w:val="auto"/>
          <w:sz w:val="28"/>
          <w:szCs w:val="28"/>
        </w:rPr>
        <w:t>3.3.1水文地质条件</w:t>
      </w:r>
      <w:bookmarkEnd w:id="126"/>
      <w:bookmarkEnd w:id="127"/>
    </w:p>
    <w:p w14:paraId="092BF9D1">
      <w:pPr>
        <w:adjustRightInd w:val="0"/>
        <w:snapToGrid w:val="0"/>
        <w:spacing w:line="360" w:lineRule="auto"/>
        <w:outlineLvl w:val="3"/>
        <w:rPr>
          <w:rFonts w:hint="eastAsia" w:ascii="仿宋_GB2312" w:eastAsia="仿宋_GB2312" w:cs="仿宋_GB2312"/>
          <w:b/>
          <w:color w:val="auto"/>
          <w:sz w:val="28"/>
          <w:szCs w:val="28"/>
        </w:rPr>
      </w:pPr>
      <w:r>
        <w:rPr>
          <w:rFonts w:hint="eastAsia" w:ascii="仿宋_GB2312" w:eastAsia="仿宋_GB2312" w:cs="仿宋_GB2312"/>
          <w:b/>
          <w:color w:val="auto"/>
          <w:sz w:val="28"/>
          <w:szCs w:val="28"/>
          <w:lang w:val="en-US" w:eastAsia="zh-CN"/>
        </w:rPr>
        <w:t>3.3.1.1</w:t>
      </w:r>
      <w:r>
        <w:rPr>
          <w:rFonts w:hint="eastAsia" w:ascii="仿宋_GB2312" w:eastAsia="仿宋_GB2312" w:cs="仿宋_GB2312"/>
          <w:b/>
          <w:color w:val="auto"/>
          <w:sz w:val="28"/>
          <w:szCs w:val="28"/>
        </w:rPr>
        <w:t xml:space="preserve"> 岩（矿）层的富水性</w:t>
      </w:r>
    </w:p>
    <w:p w14:paraId="56C4E4D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矿区内岩（矿）层主要为侏罗系上统蓬莱镇组一段（J</w:t>
      </w:r>
      <w:r>
        <w:rPr>
          <w:rFonts w:hint="eastAsia" w:ascii="仿宋_GB2312" w:eastAsia="仿宋_GB2312" w:cs="仿宋_GB2312"/>
          <w:color w:val="auto"/>
          <w:vertAlign w:val="subscript"/>
        </w:rPr>
        <w:t>3</w:t>
      </w:r>
      <w:r>
        <w:rPr>
          <w:rFonts w:hint="eastAsia" w:ascii="仿宋_GB2312" w:eastAsia="仿宋_GB2312" w:cs="仿宋_GB2312"/>
          <w:i/>
          <w:iCs/>
          <w:color w:val="auto"/>
        </w:rPr>
        <w:t>p</w:t>
      </w:r>
      <w:r>
        <w:rPr>
          <w:rFonts w:hint="eastAsia" w:ascii="仿宋_GB2312" w:eastAsia="仿宋_GB2312" w:cs="仿宋_GB2312"/>
          <w:color w:val="auto"/>
          <w:vertAlign w:val="superscript"/>
        </w:rPr>
        <w:t>1</w:t>
      </w:r>
      <w:r>
        <w:rPr>
          <w:rFonts w:hint="eastAsia" w:ascii="仿宋_GB2312" w:eastAsia="仿宋_GB2312" w:cs="仿宋_GB2312"/>
          <w:color w:val="auto"/>
        </w:rPr>
        <w:t>）的泥岩、粉砂质泥岩和第四系残坡积层（Q</w:t>
      </w:r>
      <w:r>
        <w:rPr>
          <w:rFonts w:hint="eastAsia" w:ascii="仿宋_GB2312" w:eastAsia="仿宋_GB2312" w:cs="仿宋_GB2312"/>
          <w:color w:val="auto"/>
          <w:vertAlign w:val="subscript"/>
        </w:rPr>
        <w:t>4</w:t>
      </w:r>
      <w:r>
        <w:rPr>
          <w:rFonts w:hint="eastAsia" w:ascii="仿宋_GB2312" w:eastAsia="仿宋_GB2312" w:cs="仿宋_GB2312"/>
          <w:color w:val="auto"/>
          <w:vertAlign w:val="superscript"/>
        </w:rPr>
        <w:t>el+dl</w:t>
      </w:r>
      <w:r>
        <w:rPr>
          <w:rFonts w:hint="eastAsia" w:ascii="仿宋_GB2312" w:eastAsia="仿宋_GB2312" w:cs="仿宋_GB2312"/>
          <w:color w:val="auto"/>
        </w:rPr>
        <w:t>）粉质粘土。均位于当地侵蚀基准面以上，自然排水条件好。第四系坡残积层透水性好，动态变化大，富水性微弱。侏罗系上统蓬莱镇组紫红色泥页岩夹薄层粉砂岩致密、孔隙度小，节理裂隙不发育，含水性弱，透水性差，是区内相对隔水层。</w:t>
      </w:r>
    </w:p>
    <w:p w14:paraId="1FB5880D">
      <w:pPr>
        <w:adjustRightInd w:val="0"/>
        <w:snapToGrid w:val="0"/>
        <w:spacing w:line="360" w:lineRule="auto"/>
        <w:outlineLvl w:val="3"/>
        <w:rPr>
          <w:rFonts w:hint="eastAsia" w:ascii="仿宋_GB2312" w:eastAsia="仿宋_GB2312" w:cs="仿宋_GB2312"/>
          <w:b/>
          <w:color w:val="auto"/>
          <w:sz w:val="28"/>
          <w:szCs w:val="28"/>
        </w:rPr>
      </w:pPr>
      <w:r>
        <w:rPr>
          <w:rFonts w:hint="eastAsia" w:ascii="仿宋_GB2312" w:eastAsia="仿宋_GB2312" w:cs="仿宋_GB2312"/>
          <w:b/>
          <w:color w:val="auto"/>
          <w:sz w:val="28"/>
          <w:szCs w:val="28"/>
          <w:lang w:val="en-US" w:eastAsia="zh-CN"/>
        </w:rPr>
        <w:t>3.3.1.2</w:t>
      </w:r>
      <w:r>
        <w:rPr>
          <w:rFonts w:hint="eastAsia" w:ascii="仿宋_GB2312" w:eastAsia="仿宋_GB2312" w:cs="仿宋_GB2312"/>
          <w:b/>
          <w:color w:val="auto"/>
          <w:sz w:val="28"/>
          <w:szCs w:val="28"/>
        </w:rPr>
        <w:t xml:space="preserve"> 地表水特征</w:t>
      </w:r>
    </w:p>
    <w:p w14:paraId="6D9264A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区内无常年地表水体，仅在雨季形成少量季节性溪流，</w:t>
      </w:r>
      <w:r>
        <w:rPr>
          <w:rFonts w:hint="eastAsia" w:ascii="仿宋_GB2312" w:eastAsia="仿宋_GB2312" w:cs="仿宋_GB2312"/>
          <w:color w:val="auto"/>
          <w:lang w:eastAsia="zh-CN"/>
        </w:rPr>
        <w:t>地表径流</w:t>
      </w:r>
      <w:r>
        <w:rPr>
          <w:rFonts w:hint="eastAsia" w:ascii="仿宋_GB2312" w:eastAsia="仿宋_GB2312" w:cs="仿宋_GB2312"/>
          <w:color w:val="auto"/>
        </w:rPr>
        <w:t>条件好。</w:t>
      </w:r>
    </w:p>
    <w:p w14:paraId="21B7FFE1">
      <w:pPr>
        <w:adjustRightInd w:val="0"/>
        <w:snapToGrid w:val="0"/>
        <w:spacing w:line="360" w:lineRule="auto"/>
        <w:outlineLvl w:val="3"/>
        <w:rPr>
          <w:rFonts w:hint="eastAsia" w:ascii="仿宋_GB2312" w:eastAsia="仿宋_GB2312" w:cs="仿宋_GB2312"/>
          <w:b/>
          <w:color w:val="auto"/>
          <w:sz w:val="28"/>
          <w:szCs w:val="28"/>
        </w:rPr>
      </w:pPr>
      <w:r>
        <w:rPr>
          <w:rFonts w:hint="eastAsia" w:ascii="仿宋_GB2312" w:eastAsia="仿宋_GB2312" w:cs="仿宋_GB2312"/>
          <w:b/>
          <w:color w:val="auto"/>
          <w:sz w:val="28"/>
          <w:szCs w:val="28"/>
          <w:lang w:val="en-US" w:eastAsia="zh-CN"/>
        </w:rPr>
        <w:t>3.3.1.3</w:t>
      </w:r>
      <w:r>
        <w:rPr>
          <w:rFonts w:hint="eastAsia" w:ascii="仿宋_GB2312" w:eastAsia="仿宋_GB2312" w:cs="仿宋_GB2312"/>
          <w:b/>
          <w:color w:val="auto"/>
          <w:sz w:val="28"/>
          <w:szCs w:val="28"/>
        </w:rPr>
        <w:t xml:space="preserve"> 地下水动态及其补给、径流与排泄</w:t>
      </w:r>
    </w:p>
    <w:p w14:paraId="534039B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地下水主要由大气降水补给，大气降水大多通过地表径流排出采场，仅小部分通过裂隙、落水洞等通道渗入地下形成地下水，矿区地下水贫乏，矿山位置位于当地最低侵蚀基准面以上，斜坡地形有利于地下水排泄，地下水的自然排泄条件好。</w:t>
      </w:r>
    </w:p>
    <w:p w14:paraId="3C735AC0">
      <w:pPr>
        <w:adjustRightInd w:val="0"/>
        <w:snapToGrid w:val="0"/>
        <w:spacing w:line="360" w:lineRule="auto"/>
        <w:outlineLvl w:val="3"/>
        <w:rPr>
          <w:rFonts w:hint="eastAsia" w:ascii="仿宋_GB2312" w:eastAsia="仿宋_GB2312" w:cs="仿宋_GB2312"/>
          <w:b/>
          <w:color w:val="auto"/>
          <w:sz w:val="28"/>
          <w:szCs w:val="28"/>
        </w:rPr>
      </w:pPr>
      <w:r>
        <w:rPr>
          <w:rFonts w:hint="eastAsia" w:ascii="仿宋_GB2312" w:eastAsia="仿宋_GB2312" w:cs="仿宋_GB2312"/>
          <w:b/>
          <w:color w:val="auto"/>
          <w:sz w:val="28"/>
          <w:szCs w:val="28"/>
          <w:lang w:val="en-US" w:eastAsia="zh-CN"/>
        </w:rPr>
        <w:t>3.3.1.4</w:t>
      </w:r>
      <w:r>
        <w:rPr>
          <w:rFonts w:hint="eastAsia" w:ascii="仿宋_GB2312" w:eastAsia="仿宋_GB2312" w:cs="仿宋_GB2312"/>
          <w:b/>
          <w:color w:val="auto"/>
          <w:sz w:val="28"/>
          <w:szCs w:val="28"/>
        </w:rPr>
        <w:t xml:space="preserve"> 充水因素分析</w:t>
      </w:r>
    </w:p>
    <w:p w14:paraId="4125EB6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大气降雨以直接方式进入矿坑，为主要的充水因素，矿体位于潜水面以上，排泄条件好，大气降水在开采初期，采场正常涌水量只相当于降雨量以及孔隙含水层的径流量，后期由于露天采场范围的不断扩大，破坏了岩体原有的应力平衡，会产生新裂隙和原生裂隙扩大，随着裂隙不断延伸，连通含水层中地下水渗入采场，大气降水沿裂隙通道入渗补给，且采场涌水量随着开采的不断进行，采空区面积增加，涌水量也随之增大；矿区地形有利于地表水的自然排泄。矿山未来露天采场充水因素主要为大气降水，含水层地下水对露天采场充水影响较小。</w:t>
      </w:r>
    </w:p>
    <w:p w14:paraId="14759145">
      <w:pPr>
        <w:adjustRightInd w:val="0"/>
        <w:snapToGrid w:val="0"/>
        <w:spacing w:line="360" w:lineRule="auto"/>
        <w:outlineLvl w:val="3"/>
        <w:rPr>
          <w:rFonts w:hint="eastAsia" w:ascii="仿宋_GB2312" w:eastAsia="仿宋_GB2312" w:cs="仿宋_GB2312"/>
          <w:b/>
          <w:color w:val="auto"/>
          <w:sz w:val="28"/>
          <w:szCs w:val="28"/>
        </w:rPr>
      </w:pPr>
      <w:bookmarkStart w:id="128" w:name="_Hlk145548589"/>
      <w:r>
        <w:rPr>
          <w:rFonts w:hint="eastAsia" w:ascii="仿宋_GB2312" w:eastAsia="仿宋_GB2312" w:cs="仿宋_GB2312"/>
          <w:b/>
          <w:color w:val="auto"/>
          <w:sz w:val="28"/>
          <w:szCs w:val="28"/>
          <w:lang w:val="en-US" w:eastAsia="zh-CN"/>
        </w:rPr>
        <w:t>3.3.1.5</w:t>
      </w:r>
      <w:r>
        <w:rPr>
          <w:rFonts w:hint="eastAsia" w:ascii="仿宋_GB2312" w:eastAsia="仿宋_GB2312" w:cs="仿宋_GB2312"/>
          <w:b/>
          <w:color w:val="auto"/>
          <w:sz w:val="28"/>
          <w:szCs w:val="28"/>
        </w:rPr>
        <w:t>露天采场涌水量</w:t>
      </w:r>
    </w:p>
    <w:p w14:paraId="461B6B12">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预测方法及公式选定</w:t>
      </w:r>
    </w:p>
    <w:p w14:paraId="4C2659C3">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根据矿区水文地质特征的分析，矿床充水方式主要有以下几种：</w:t>
      </w:r>
    </w:p>
    <w:p w14:paraId="1F411713">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1）含水层对矿床充水：矿床开采揭露泥岩裂隙含水层时，其地下水对矿床直接充水。由于矿体分布于最低侵蚀基准面以上且位于区域最高点，根据勘探期间钻孔简易水文观测记录，该层无稳定地下水充入矿床，仅有少量层间裂隙充入，充水强度弱，对矿坑充水影响小，可忽略不计。</w:t>
      </w:r>
    </w:p>
    <w:p w14:paraId="4E8D21C5">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（2）大气降水对矿床充水：由于矿体处于区域最高点，大气降水直接对矿床充水，也通过裂隙以缓慢渗透的形式对矿床间接充水，大气降水为主要充水因素。根据《矿坑涌水量预测计算规程》（DZ／T 0342-2020），采用降水渗入采坑水量计算公式进行露天矿坑的涌水量计算。</w:t>
      </w:r>
    </w:p>
    <w:p w14:paraId="5ABC96D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（3）矿坑涌水量分别对年平均涌水量、雨季日平均涌水量及最大日涌水量予以计算。</w:t>
      </w:r>
    </w:p>
    <w:p w14:paraId="7D67A28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（4）估算方法和估算公式</w:t>
      </w:r>
    </w:p>
    <w:p w14:paraId="3805C68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1）年（日）平均降水量估算公式：</w:t>
      </w:r>
    </w:p>
    <w:p w14:paraId="3ECA08CE">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right"/>
        <w:textAlignment w:val="auto"/>
        <w:rPr>
          <w:rFonts w:hint="eastAsia" w:ascii="仿宋_GB2312" w:eastAsia="仿宋_GB2312" w:cs="仿宋_GB2312"/>
          <w:color w:val="auto"/>
        </w:rPr>
      </w:pPr>
      <w:r>
        <w:rPr>
          <w:rFonts w:hint="eastAsia" w:ascii="仿宋_GB2312" w:eastAsia="仿宋_GB2312" w:cs="仿宋_GB2312"/>
          <w:i/>
          <w:color w:val="auto"/>
        </w:rPr>
        <w:t>Q</w:t>
      </w:r>
      <w:r>
        <w:rPr>
          <w:rFonts w:hint="eastAsia" w:ascii="仿宋_GB2312" w:eastAsia="仿宋_GB2312" w:cs="仿宋_GB2312"/>
          <w:color w:val="auto"/>
        </w:rPr>
        <w:t>=</w:t>
      </w:r>
      <w:r>
        <w:rPr>
          <w:rFonts w:hint="eastAsia" w:ascii="仿宋_GB2312" w:eastAsia="仿宋_GB2312" w:cs="仿宋_GB2312"/>
          <w:i/>
          <w:color w:val="auto"/>
        </w:rPr>
        <w:t xml:space="preserve">F·X </w:t>
      </w:r>
      <w:r>
        <w:rPr>
          <w:rFonts w:hint="eastAsia" w:ascii="仿宋_GB2312" w:eastAsia="仿宋_GB2312" w:cs="仿宋_GB2312"/>
          <w:color w:val="auto"/>
        </w:rPr>
        <w:t xml:space="preserve"> ……………………①</w:t>
      </w:r>
    </w:p>
    <w:p w14:paraId="22F43265">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式中符号代表意义：</w:t>
      </w:r>
    </w:p>
    <w:p w14:paraId="5C30B9DD">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Q：降水渗入采坑水量，单位为m</w:t>
      </w:r>
      <w:r>
        <w:rPr>
          <w:rFonts w:hint="eastAsia" w:ascii="仿宋_GB2312" w:eastAsia="仿宋_GB2312" w:cs="仿宋_GB2312"/>
          <w:color w:val="auto"/>
          <w:vertAlign w:val="superscript"/>
        </w:rPr>
        <w:t>3</w:t>
      </w:r>
      <w:r>
        <w:rPr>
          <w:rFonts w:hint="eastAsia" w:ascii="仿宋_GB2312" w:eastAsia="仿宋_GB2312" w:cs="仿宋_GB2312"/>
          <w:color w:val="auto"/>
        </w:rPr>
        <w:t>。</w:t>
      </w:r>
    </w:p>
    <w:p w14:paraId="499E44F3">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F：露天矿坑的面积，单位为m</w:t>
      </w:r>
      <w:r>
        <w:rPr>
          <w:rFonts w:hint="eastAsia" w:ascii="仿宋_GB2312" w:eastAsia="仿宋_GB2312" w:cs="仿宋_GB2312"/>
          <w:color w:val="auto"/>
          <w:vertAlign w:val="superscript"/>
        </w:rPr>
        <w:t>2</w:t>
      </w:r>
      <w:r>
        <w:rPr>
          <w:rFonts w:hint="eastAsia" w:ascii="仿宋_GB2312" w:eastAsia="仿宋_GB2312" w:cs="仿宋_GB2312"/>
          <w:color w:val="auto"/>
        </w:rPr>
        <w:t>；</w:t>
      </w:r>
    </w:p>
    <w:p w14:paraId="630BF0C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X：年平均降水量（或雨季日均降水量），单位为m。</w:t>
      </w:r>
    </w:p>
    <w:p w14:paraId="253F01D9">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2）最大日降水量估算公式：</w:t>
      </w:r>
    </w:p>
    <w:p w14:paraId="28456C39">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right"/>
        <w:textAlignment w:val="auto"/>
        <w:rPr>
          <w:rFonts w:hint="eastAsia" w:ascii="仿宋_GB2312" w:eastAsia="仿宋_GB2312" w:cs="仿宋_GB2312"/>
          <w:color w:val="auto"/>
        </w:rPr>
      </w:pPr>
      <w:r>
        <w:rPr>
          <w:rFonts w:hint="eastAsia" w:ascii="仿宋_GB2312" w:eastAsia="仿宋_GB2312" w:cs="仿宋_GB2312"/>
          <w:color w:val="auto"/>
        </w:rPr>
        <w:fldChar w:fldCharType="begin"/>
      </w:r>
      <w:r>
        <w:rPr>
          <w:rFonts w:hint="eastAsia" w:ascii="仿宋_GB2312" w:eastAsia="仿宋_GB2312" w:cs="仿宋_GB2312"/>
          <w:color w:val="auto"/>
        </w:rPr>
        <w:instrText xml:space="preserve">QUOTE  </w:instrText>
      </w:r>
      <w:r>
        <w:rPr>
          <w:rFonts w:hint="eastAsia" w:ascii="仿宋_GB2312" w:eastAsia="仿宋_GB2312" w:cs="仿宋_GB2312"/>
          <w:color w:val="auto"/>
        </w:rPr>
        <w:fldChar w:fldCharType="separate"/>
      </w:r>
      <w:r>
        <w:rPr>
          <w:rFonts w:hint="eastAsia" w:ascii="仿宋_GB2312" w:eastAsia="仿宋_GB2312" w:cs="仿宋_GB2312"/>
          <w:color w:val="auto"/>
          <w:position w:val="-27"/>
        </w:rPr>
        <w:drawing>
          <wp:inline distT="0" distB="0" distL="113665" distR="113665">
            <wp:extent cx="967105" cy="334645"/>
            <wp:effectExtent l="0" t="0" r="14" b="4"/>
            <wp:docPr id="16" name="_x0000_i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_x0000_i1026"/>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967739" cy="335279"/>
                    </a:xfrm>
                    <a:prstGeom prst="rect">
                      <a:avLst/>
                    </a:prstGeom>
                    <a:noFill/>
                    <a:ln w="9525" cap="flat" cmpd="sng">
                      <a:noFill/>
                      <a:prstDash val="solid"/>
                      <a:miter/>
                    </a:ln>
                  </pic:spPr>
                </pic:pic>
              </a:graphicData>
            </a:graphic>
          </wp:inline>
        </w:drawing>
      </w:r>
      <w:r>
        <w:rPr>
          <w:rFonts w:hint="eastAsia" w:ascii="仿宋_GB2312" w:eastAsia="仿宋_GB2312" w:cs="仿宋_GB2312"/>
          <w:color w:val="auto"/>
        </w:rPr>
        <w:fldChar w:fldCharType="end"/>
      </w:r>
      <w:r>
        <w:rPr>
          <w:rFonts w:hint="eastAsia" w:ascii="仿宋_GB2312" w:eastAsia="仿宋_GB2312" w:cs="仿宋_GB2312"/>
          <w:color w:val="auto"/>
        </w:rPr>
        <w:t>……………………②</w:t>
      </w:r>
    </w:p>
    <w:p w14:paraId="7B875C5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式中符号代表意义：</w:t>
      </w:r>
    </w:p>
    <w:p w14:paraId="2BC4796D">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Q</w:t>
      </w:r>
      <w:r>
        <w:rPr>
          <w:rFonts w:hint="eastAsia" w:ascii="仿宋_GB2312" w:eastAsia="仿宋_GB2312" w:cs="仿宋_GB2312"/>
          <w:color w:val="auto"/>
          <w:vertAlign w:val="subscript"/>
        </w:rPr>
        <w:t>p</w:t>
      </w:r>
      <w:r>
        <w:rPr>
          <w:rFonts w:hint="eastAsia" w:ascii="仿宋_GB2312" w:eastAsia="仿宋_GB2312" w:cs="仿宋_GB2312"/>
          <w:color w:val="auto"/>
        </w:rPr>
        <w:t>：设计频率暴雨径流量，单位为m</w:t>
      </w:r>
      <w:r>
        <w:rPr>
          <w:rFonts w:hint="eastAsia" w:ascii="仿宋_GB2312" w:eastAsia="仿宋_GB2312" w:cs="仿宋_GB2312"/>
          <w:color w:val="auto"/>
          <w:vertAlign w:val="superscript"/>
        </w:rPr>
        <w:t>3</w:t>
      </w:r>
      <w:r>
        <w:rPr>
          <w:rFonts w:hint="eastAsia" w:ascii="仿宋_GB2312" w:eastAsia="仿宋_GB2312" w:cs="仿宋_GB2312"/>
          <w:color w:val="auto"/>
        </w:rPr>
        <w:t>/d；</w:t>
      </w:r>
    </w:p>
    <w:p w14:paraId="142CE06F">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F：露天矿坑的面积，单位为m</w:t>
      </w:r>
      <w:r>
        <w:rPr>
          <w:rFonts w:hint="eastAsia" w:ascii="仿宋_GB2312" w:eastAsia="仿宋_GB2312" w:cs="仿宋_GB2312"/>
          <w:color w:val="auto"/>
          <w:vertAlign w:val="superscript"/>
        </w:rPr>
        <w:t>2</w:t>
      </w:r>
      <w:r>
        <w:rPr>
          <w:rFonts w:hint="eastAsia" w:ascii="仿宋_GB2312" w:eastAsia="仿宋_GB2312" w:cs="仿宋_GB2312"/>
          <w:color w:val="auto"/>
        </w:rPr>
        <w:t>；</w:t>
      </w:r>
    </w:p>
    <w:p w14:paraId="5AC9C526">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H</w:t>
      </w:r>
      <w:r>
        <w:rPr>
          <w:rFonts w:hint="eastAsia" w:ascii="仿宋_GB2312" w:eastAsia="仿宋_GB2312" w:cs="仿宋_GB2312"/>
          <w:color w:val="auto"/>
          <w:vertAlign w:val="subscript"/>
        </w:rPr>
        <w:t>p</w:t>
      </w:r>
      <w:r>
        <w:rPr>
          <w:rFonts w:hint="eastAsia" w:ascii="仿宋_GB2312" w:eastAsia="仿宋_GB2312" w:cs="仿宋_GB2312"/>
          <w:color w:val="auto"/>
        </w:rPr>
        <w:t>：设计频率暴雨量，单位为m；</w:t>
      </w:r>
    </w:p>
    <w:p w14:paraId="48689D6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right"/>
        <w:textAlignment w:val="auto"/>
        <w:rPr>
          <w:rFonts w:hint="eastAsia" w:ascii="仿宋_GB2312" w:eastAsia="仿宋_GB2312" w:cs="仿宋_GB2312"/>
          <w:color w:val="auto"/>
          <w:szCs w:val="24"/>
        </w:rPr>
      </w:pPr>
      <w:r>
        <w:rPr>
          <w:rFonts w:hint="eastAsia" w:ascii="仿宋_GB2312" w:eastAsia="仿宋_GB2312" w:cs="仿宋_GB2312"/>
          <w:color w:val="auto"/>
        </w:rPr>
        <w:fldChar w:fldCharType="begin"/>
      </w:r>
      <w:r>
        <w:rPr>
          <w:rFonts w:hint="eastAsia" w:ascii="仿宋_GB2312" w:eastAsia="仿宋_GB2312" w:cs="仿宋_GB2312"/>
          <w:color w:val="auto"/>
        </w:rPr>
        <w:instrText xml:space="preserve">QUOTE  </w:instrText>
      </w:r>
      <w:r>
        <w:rPr>
          <w:rFonts w:hint="eastAsia" w:ascii="仿宋_GB2312" w:eastAsia="仿宋_GB2312" w:cs="仿宋_GB2312"/>
          <w:color w:val="auto"/>
        </w:rPr>
        <w:fldChar w:fldCharType="separate"/>
      </w:r>
      <w:r>
        <w:rPr>
          <w:rFonts w:hint="eastAsia" w:ascii="仿宋_GB2312" w:eastAsia="仿宋_GB2312" w:cs="仿宋_GB2312"/>
          <w:color w:val="auto"/>
          <w:position w:val="-10"/>
          <w:sz w:val="21"/>
          <w:szCs w:val="24"/>
        </w:rPr>
        <w:drawing>
          <wp:inline distT="0" distB="0" distL="113665" distR="113665">
            <wp:extent cx="952500" cy="228600"/>
            <wp:effectExtent l="0" t="0" r="15" b="4"/>
            <wp:docPr id="19" name="_x0000_i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_x0000_i1028"/>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952500" cy="228600"/>
                    </a:xfrm>
                    <a:prstGeom prst="rect">
                      <a:avLst/>
                    </a:prstGeom>
                    <a:noFill/>
                    <a:ln w="9525" cap="flat" cmpd="sng">
                      <a:noFill/>
                      <a:prstDash val="solid"/>
                      <a:miter/>
                    </a:ln>
                  </pic:spPr>
                </pic:pic>
              </a:graphicData>
            </a:graphic>
          </wp:inline>
        </w:drawing>
      </w:r>
      <w:r>
        <w:rPr>
          <w:rFonts w:hint="eastAsia" w:ascii="仿宋_GB2312" w:eastAsia="仿宋_GB2312" w:cs="仿宋_GB2312"/>
          <w:color w:val="auto"/>
        </w:rPr>
        <w:fldChar w:fldCharType="end"/>
      </w:r>
      <w:r>
        <w:rPr>
          <w:rFonts w:hint="eastAsia" w:ascii="仿宋_GB2312" w:eastAsia="仿宋_GB2312" w:cs="仿宋_GB2312"/>
          <w:color w:val="auto"/>
        </w:rPr>
        <w:t>…………………………</w:t>
      </w:r>
      <w:r>
        <w:rPr>
          <w:rFonts w:hint="eastAsia" w:ascii="仿宋_GB2312" w:eastAsia="仿宋_GB2312" w:cs="仿宋_GB2312"/>
          <w:color w:val="auto"/>
          <w:szCs w:val="24"/>
        </w:rPr>
        <w:t>③</w:t>
      </w:r>
    </w:p>
    <w:p w14:paraId="44D67C85">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right"/>
        <w:textAlignment w:val="auto"/>
        <w:rPr>
          <w:rFonts w:hint="eastAsia" w:ascii="仿宋_GB2312" w:eastAsia="仿宋_GB2312" w:cs="仿宋_GB2312"/>
          <w:color w:val="auto"/>
          <w:szCs w:val="24"/>
        </w:rPr>
      </w:pPr>
      <w:r>
        <w:rPr>
          <w:rFonts w:hint="eastAsia" w:ascii="仿宋_GB2312" w:eastAsia="仿宋_GB2312" w:cs="仿宋_GB2312"/>
          <w:color w:val="auto"/>
        </w:rPr>
        <w:fldChar w:fldCharType="begin"/>
      </w:r>
      <w:r>
        <w:rPr>
          <w:rFonts w:hint="eastAsia" w:ascii="仿宋_GB2312" w:eastAsia="仿宋_GB2312" w:cs="仿宋_GB2312"/>
          <w:color w:val="auto"/>
        </w:rPr>
        <w:instrText xml:space="preserve">QUOTE  </w:instrText>
      </w:r>
      <w:r>
        <w:rPr>
          <w:rFonts w:hint="eastAsia" w:ascii="仿宋_GB2312" w:eastAsia="仿宋_GB2312" w:cs="仿宋_GB2312"/>
          <w:color w:val="auto"/>
        </w:rPr>
        <w:fldChar w:fldCharType="separate"/>
      </w:r>
      <w:r>
        <w:rPr>
          <w:rFonts w:hint="eastAsia" w:ascii="仿宋_GB2312" w:eastAsia="仿宋_GB2312" w:cs="仿宋_GB2312"/>
          <w:color w:val="auto"/>
          <w:position w:val="-20"/>
          <w:sz w:val="21"/>
          <w:szCs w:val="24"/>
        </w:rPr>
        <w:drawing>
          <wp:inline distT="0" distB="0" distL="113665" distR="113665">
            <wp:extent cx="1135380" cy="350520"/>
            <wp:effectExtent l="0" t="0" r="18" b="6"/>
            <wp:docPr id="22" name="_x0000_i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_x0000_i1030"/>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1135380" cy="350520"/>
                    </a:xfrm>
                    <a:prstGeom prst="rect">
                      <a:avLst/>
                    </a:prstGeom>
                    <a:noFill/>
                    <a:ln w="9525" cap="flat" cmpd="sng">
                      <a:noFill/>
                      <a:prstDash val="solid"/>
                      <a:miter/>
                    </a:ln>
                  </pic:spPr>
                </pic:pic>
              </a:graphicData>
            </a:graphic>
          </wp:inline>
        </w:drawing>
      </w:r>
      <w:r>
        <w:rPr>
          <w:rFonts w:hint="eastAsia" w:ascii="仿宋_GB2312" w:eastAsia="仿宋_GB2312" w:cs="仿宋_GB2312"/>
          <w:color w:val="auto"/>
        </w:rPr>
        <w:fldChar w:fldCharType="end"/>
      </w:r>
      <w:r>
        <w:rPr>
          <w:rFonts w:hint="eastAsia" w:ascii="仿宋_GB2312" w:eastAsia="仿宋_GB2312" w:cs="仿宋_GB2312"/>
          <w:color w:val="auto"/>
        </w:rPr>
        <w:t>………………………</w:t>
      </w:r>
      <w:r>
        <w:rPr>
          <w:rFonts w:hint="eastAsia" w:ascii="仿宋_GB2312" w:eastAsia="仿宋_GB2312" w:cs="仿宋_GB2312"/>
          <w:color w:val="auto"/>
          <w:szCs w:val="24"/>
        </w:rPr>
        <w:t>④</w:t>
      </w:r>
    </w:p>
    <w:p w14:paraId="16F0D00E">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式中符号代表意义：</w:t>
      </w:r>
    </w:p>
    <w:p w14:paraId="7E0DA164">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S</w:t>
      </w:r>
      <w:r>
        <w:rPr>
          <w:rFonts w:hint="eastAsia" w:ascii="仿宋_GB2312" w:eastAsia="仿宋_GB2312" w:cs="仿宋_GB2312"/>
          <w:color w:val="auto"/>
          <w:vertAlign w:val="subscript"/>
        </w:rPr>
        <w:t>p</w:t>
      </w:r>
      <w:r>
        <w:rPr>
          <w:rFonts w:hint="eastAsia" w:ascii="仿宋_GB2312" w:eastAsia="仿宋_GB2312" w:cs="仿宋_GB2312"/>
          <w:color w:val="auto"/>
        </w:rPr>
        <w:t>：频率为P的暴雨强度，单位为mm/min；</w:t>
      </w:r>
    </w:p>
    <w:p w14:paraId="39CCFD4D">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t：降水历时，单位为min，如记录为日最大降水量，则t=24×60=1440min；</w:t>
      </w:r>
    </w:p>
    <w:p w14:paraId="196B86F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n：暴雨强度递减指数；</w:t>
      </w:r>
    </w:p>
    <w:p w14:paraId="65C71414">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fldChar w:fldCharType="begin"/>
      </w:r>
      <w:r>
        <w:rPr>
          <w:rFonts w:hint="eastAsia" w:ascii="仿宋_GB2312" w:eastAsia="仿宋_GB2312" w:cs="仿宋_GB2312"/>
          <w:color w:val="auto"/>
        </w:rPr>
        <w:instrText xml:space="preserve">QUOTE  </w:instrText>
      </w:r>
      <w:r>
        <w:rPr>
          <w:rFonts w:hint="eastAsia" w:ascii="仿宋_GB2312" w:eastAsia="仿宋_GB2312" w:cs="仿宋_GB2312"/>
          <w:color w:val="auto"/>
        </w:rPr>
        <w:fldChar w:fldCharType="separate"/>
      </w:r>
      <w:r>
        <w:rPr>
          <w:rFonts w:hint="eastAsia" w:ascii="仿宋_GB2312" w:eastAsia="仿宋_GB2312" w:cs="仿宋_GB2312"/>
          <w:color w:val="auto"/>
          <w:position w:val="-23"/>
        </w:rPr>
        <w:drawing>
          <wp:inline distT="0" distB="0" distL="113665" distR="113665">
            <wp:extent cx="137160" cy="320040"/>
            <wp:effectExtent l="0" t="0" r="3" b="5"/>
            <wp:docPr id="25" name="_x0000_i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_x0000_i1032"/>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137160" cy="320040"/>
                    </a:xfrm>
                    <a:prstGeom prst="rect">
                      <a:avLst/>
                    </a:prstGeom>
                    <a:noFill/>
                    <a:ln w="9525" cap="flat" cmpd="sng">
                      <a:noFill/>
                      <a:prstDash val="solid"/>
                      <a:miter/>
                    </a:ln>
                  </pic:spPr>
                </pic:pic>
              </a:graphicData>
            </a:graphic>
          </wp:inline>
        </w:drawing>
      </w:r>
      <w:r>
        <w:rPr>
          <w:rFonts w:hint="eastAsia" w:ascii="仿宋_GB2312" w:eastAsia="仿宋_GB2312" w:cs="仿宋_GB2312"/>
          <w:color w:val="auto"/>
        </w:rPr>
        <w:fldChar w:fldCharType="end"/>
      </w:r>
      <w:r>
        <w:rPr>
          <w:rFonts w:hint="eastAsia" w:ascii="仿宋_GB2312" w:eastAsia="仿宋_GB2312" w:cs="仿宋_GB2312"/>
          <w:color w:val="auto"/>
        </w:rPr>
        <w:t>：历年日最大降雨量平均值，单位为m；</w:t>
      </w:r>
    </w:p>
    <w:p w14:paraId="60C992C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fldChar w:fldCharType="begin"/>
      </w:r>
      <w:r>
        <w:rPr>
          <w:rFonts w:hint="eastAsia" w:ascii="仿宋_GB2312" w:eastAsia="仿宋_GB2312" w:cs="仿宋_GB2312"/>
          <w:color w:val="auto"/>
        </w:rPr>
        <w:instrText xml:space="preserve">QUOTE  </w:instrText>
      </w:r>
      <w:r>
        <w:rPr>
          <w:rFonts w:hint="eastAsia" w:ascii="仿宋_GB2312" w:eastAsia="仿宋_GB2312" w:cs="仿宋_GB2312"/>
          <w:color w:val="auto"/>
        </w:rPr>
        <w:fldChar w:fldCharType="separate"/>
      </w:r>
      <w:r>
        <w:rPr>
          <w:rFonts w:hint="eastAsia" w:ascii="仿宋_GB2312" w:eastAsia="仿宋_GB2312" w:cs="仿宋_GB2312"/>
          <w:color w:val="auto"/>
          <w:position w:val="-23"/>
        </w:rPr>
        <w:drawing>
          <wp:inline distT="0" distB="0" distL="113665" distR="113665">
            <wp:extent cx="137160" cy="312420"/>
            <wp:effectExtent l="0" t="0" r="3" b="5"/>
            <wp:docPr id="28" name="_x0000_i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_x0000_i1034"/>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137160" cy="312420"/>
                    </a:xfrm>
                    <a:prstGeom prst="rect">
                      <a:avLst/>
                    </a:prstGeom>
                    <a:noFill/>
                    <a:ln w="9525" cap="flat" cmpd="sng">
                      <a:noFill/>
                      <a:prstDash val="solid"/>
                      <a:miter/>
                    </a:ln>
                  </pic:spPr>
                </pic:pic>
              </a:graphicData>
            </a:graphic>
          </wp:inline>
        </w:drawing>
      </w:r>
      <w:r>
        <w:rPr>
          <w:rFonts w:hint="eastAsia" w:ascii="仿宋_GB2312" w:eastAsia="仿宋_GB2312" w:cs="仿宋_GB2312"/>
          <w:color w:val="auto"/>
        </w:rPr>
        <w:fldChar w:fldCharType="end"/>
      </w:r>
      <w:r>
        <w:rPr>
          <w:rFonts w:hint="eastAsia" w:ascii="仿宋_GB2312" w:eastAsia="仿宋_GB2312" w:cs="仿宋_GB2312"/>
          <w:color w:val="auto"/>
        </w:rPr>
        <w:t>：皮尔逊Ⅲ型曲线(P-Ⅲ型曲线)的离均系数，为频率P与C</w:t>
      </w:r>
      <w:r>
        <w:rPr>
          <w:rFonts w:hint="eastAsia" w:ascii="仿宋_GB2312" w:eastAsia="仿宋_GB2312" w:cs="仿宋_GB2312"/>
          <w:color w:val="auto"/>
          <w:vertAlign w:val="subscript"/>
        </w:rPr>
        <w:t>s</w:t>
      </w:r>
      <w:r>
        <w:rPr>
          <w:rFonts w:hint="eastAsia" w:ascii="仿宋_GB2312" w:eastAsia="仿宋_GB2312" w:cs="仿宋_GB2312"/>
          <w:color w:val="auto"/>
        </w:rPr>
        <w:t>的函数；</w:t>
      </w:r>
    </w:p>
    <w:p w14:paraId="1F77886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C</w:t>
      </w:r>
      <w:r>
        <w:rPr>
          <w:rFonts w:hint="eastAsia" w:ascii="仿宋_GB2312" w:eastAsia="仿宋_GB2312" w:cs="仿宋_GB2312"/>
          <w:color w:val="auto"/>
          <w:vertAlign w:val="subscript"/>
        </w:rPr>
        <w:t>s</w:t>
      </w:r>
      <w:r>
        <w:rPr>
          <w:rFonts w:hint="eastAsia" w:ascii="仿宋_GB2312" w:eastAsia="仿宋_GB2312" w:cs="仿宋_GB2312"/>
          <w:color w:val="auto"/>
        </w:rPr>
        <w:t>：偏差系数；</w:t>
      </w:r>
    </w:p>
    <w:p w14:paraId="3052C92A">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C</w:t>
      </w:r>
      <w:r>
        <w:rPr>
          <w:rFonts w:hint="eastAsia" w:ascii="仿宋_GB2312" w:eastAsia="仿宋_GB2312" w:cs="仿宋_GB2312"/>
          <w:color w:val="auto"/>
          <w:vertAlign w:val="subscript"/>
        </w:rPr>
        <w:t>v</w:t>
      </w:r>
      <w:r>
        <w:rPr>
          <w:rFonts w:hint="eastAsia" w:ascii="仿宋_GB2312" w:eastAsia="仿宋_GB2312" w:cs="仿宋_GB2312"/>
          <w:color w:val="auto"/>
        </w:rPr>
        <w:t>：变差系数；</w:t>
      </w:r>
    </w:p>
    <w:p w14:paraId="5124FCCB">
      <w:pPr>
        <w:keepNext w:val="0"/>
        <w:keepLines w:val="0"/>
        <w:pageBreakBefore w:val="0"/>
        <w:widowControl w:val="0"/>
        <w:tabs>
          <w:tab w:val="left" w:pos="560"/>
        </w:tabs>
        <w:kinsoku/>
        <w:wordWrap/>
        <w:overflowPunct/>
        <w:topLinePunct w:val="0"/>
        <w:autoSpaceDE/>
        <w:autoSpaceDN/>
        <w:bidi w:val="0"/>
        <w:adjustRightInd w:val="0"/>
        <w:snapToGrid w:val="0"/>
        <w:spacing w:line="360" w:lineRule="auto"/>
        <w:ind w:left="0" w:firstLine="560" w:firstLineChars="200"/>
        <w:jc w:val="right"/>
        <w:textAlignment w:val="auto"/>
        <w:rPr>
          <w:rFonts w:hint="eastAsia" w:ascii="仿宋_GB2312" w:eastAsia="仿宋_GB2312" w:cs="仿宋_GB2312"/>
          <w:color w:val="auto"/>
          <w:szCs w:val="24"/>
        </w:rPr>
      </w:pPr>
      <w:r>
        <w:rPr>
          <w:rFonts w:hint="eastAsia" w:ascii="仿宋_GB2312" w:eastAsia="仿宋_GB2312" w:cs="仿宋_GB2312"/>
          <w:color w:val="auto"/>
        </w:rPr>
        <w:fldChar w:fldCharType="begin"/>
      </w:r>
      <w:r>
        <w:rPr>
          <w:rFonts w:hint="eastAsia" w:ascii="仿宋_GB2312" w:eastAsia="仿宋_GB2312" w:cs="仿宋_GB2312"/>
          <w:color w:val="auto"/>
        </w:rPr>
        <w:instrText xml:space="preserve">QUOTE  </w:instrText>
      </w:r>
      <w:r>
        <w:rPr>
          <w:rFonts w:hint="eastAsia" w:ascii="仿宋_GB2312" w:eastAsia="仿宋_GB2312" w:cs="仿宋_GB2312"/>
          <w:color w:val="auto"/>
        </w:rPr>
        <w:fldChar w:fldCharType="separate"/>
      </w:r>
      <w:r>
        <w:rPr>
          <w:rFonts w:hint="eastAsia" w:ascii="仿宋_GB2312" w:eastAsia="仿宋_GB2312" w:cs="仿宋_GB2312"/>
          <w:color w:val="auto"/>
          <w:position w:val="-21"/>
          <w:sz w:val="21"/>
          <w:szCs w:val="24"/>
        </w:rPr>
        <w:drawing>
          <wp:inline distT="0" distB="0" distL="113665" distR="113665">
            <wp:extent cx="1066800" cy="434340"/>
            <wp:effectExtent l="0" t="0" r="16" b="7"/>
            <wp:docPr id="31" name="_x0000_i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_x0000_i1036"/>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1066800" cy="434340"/>
                    </a:xfrm>
                    <a:prstGeom prst="rect">
                      <a:avLst/>
                    </a:prstGeom>
                    <a:noFill/>
                    <a:ln w="9525" cap="flat" cmpd="sng">
                      <a:noFill/>
                      <a:prstDash val="solid"/>
                      <a:miter/>
                    </a:ln>
                  </pic:spPr>
                </pic:pic>
              </a:graphicData>
            </a:graphic>
          </wp:inline>
        </w:drawing>
      </w:r>
      <w:r>
        <w:rPr>
          <w:rFonts w:hint="eastAsia" w:ascii="仿宋_GB2312" w:eastAsia="仿宋_GB2312" w:cs="仿宋_GB2312"/>
          <w:color w:val="auto"/>
        </w:rPr>
        <w:fldChar w:fldCharType="end"/>
      </w:r>
      <w:r>
        <w:rPr>
          <w:rFonts w:hint="eastAsia" w:ascii="仿宋_GB2312" w:eastAsia="仿宋_GB2312" w:cs="仿宋_GB2312"/>
          <w:color w:val="auto"/>
        </w:rPr>
        <w:t>……………………</w:t>
      </w:r>
      <w:r>
        <w:rPr>
          <w:rFonts w:hint="eastAsia" w:ascii="仿宋_GB2312" w:eastAsia="仿宋_GB2312" w:cs="仿宋_GB2312"/>
          <w:color w:val="auto"/>
          <w:szCs w:val="24"/>
        </w:rPr>
        <w:t>⑤</w:t>
      </w:r>
    </w:p>
    <w:p w14:paraId="38000299">
      <w:pPr>
        <w:keepNext w:val="0"/>
        <w:keepLines w:val="0"/>
        <w:pageBreakBefore w:val="0"/>
        <w:widowControl w:val="0"/>
        <w:tabs>
          <w:tab w:val="left" w:pos="560"/>
        </w:tabs>
        <w:kinsoku/>
        <w:wordWrap/>
        <w:overflowPunct/>
        <w:topLinePunct w:val="0"/>
        <w:autoSpaceDE/>
        <w:autoSpaceDN/>
        <w:bidi w:val="0"/>
        <w:adjustRightInd w:val="0"/>
        <w:snapToGrid w:val="0"/>
        <w:spacing w:line="360" w:lineRule="auto"/>
        <w:ind w:left="0" w:firstLine="560" w:firstLineChars="200"/>
        <w:jc w:val="right"/>
        <w:textAlignment w:val="auto"/>
        <w:rPr>
          <w:rFonts w:hint="eastAsia" w:ascii="仿宋_GB2312" w:eastAsia="仿宋_GB2312" w:cs="仿宋_GB2312"/>
          <w:color w:val="auto"/>
          <w:szCs w:val="24"/>
        </w:rPr>
      </w:pPr>
      <w:r>
        <w:rPr>
          <w:rFonts w:hint="eastAsia" w:ascii="仿宋_GB2312" w:eastAsia="仿宋_GB2312" w:cs="仿宋_GB2312"/>
          <w:color w:val="auto"/>
        </w:rPr>
        <w:fldChar w:fldCharType="begin"/>
      </w:r>
      <w:r>
        <w:rPr>
          <w:rFonts w:hint="eastAsia" w:ascii="仿宋_GB2312" w:eastAsia="仿宋_GB2312" w:cs="仿宋_GB2312"/>
          <w:color w:val="auto"/>
        </w:rPr>
        <w:instrText xml:space="preserve">QUOTE  </w:instrText>
      </w:r>
      <w:r>
        <w:rPr>
          <w:rFonts w:hint="eastAsia" w:ascii="仿宋_GB2312" w:eastAsia="仿宋_GB2312" w:cs="仿宋_GB2312"/>
          <w:color w:val="auto"/>
        </w:rPr>
        <w:fldChar w:fldCharType="separate"/>
      </w:r>
      <w:r>
        <w:rPr>
          <w:rFonts w:hint="eastAsia" w:ascii="仿宋_GB2312" w:eastAsia="仿宋_GB2312" w:cs="仿宋_GB2312"/>
          <w:color w:val="auto"/>
          <w:position w:val="-18"/>
          <w:sz w:val="21"/>
          <w:szCs w:val="24"/>
        </w:rPr>
        <w:drawing>
          <wp:inline distT="0" distB="0" distL="113665" distR="113665">
            <wp:extent cx="586740" cy="327660"/>
            <wp:effectExtent l="0" t="0" r="9" b="5"/>
            <wp:docPr id="34" name="_x0000_i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_x0000_i1038"/>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586740" cy="327660"/>
                    </a:xfrm>
                    <a:prstGeom prst="rect">
                      <a:avLst/>
                    </a:prstGeom>
                    <a:noFill/>
                    <a:ln w="9525" cap="flat" cmpd="sng">
                      <a:noFill/>
                      <a:prstDash val="solid"/>
                      <a:miter/>
                    </a:ln>
                  </pic:spPr>
                </pic:pic>
              </a:graphicData>
            </a:graphic>
          </wp:inline>
        </w:drawing>
      </w:r>
      <w:r>
        <w:rPr>
          <w:rFonts w:hint="eastAsia" w:ascii="仿宋_GB2312" w:eastAsia="仿宋_GB2312" w:cs="仿宋_GB2312"/>
          <w:color w:val="auto"/>
        </w:rPr>
        <w:fldChar w:fldCharType="end"/>
      </w:r>
      <w:r>
        <w:rPr>
          <w:rFonts w:hint="eastAsia" w:ascii="仿宋_GB2312" w:eastAsia="仿宋_GB2312" w:cs="仿宋_GB2312"/>
          <w:color w:val="auto"/>
        </w:rPr>
        <w:t>………………………</w:t>
      </w:r>
      <w:r>
        <w:rPr>
          <w:rFonts w:hint="eastAsia" w:ascii="仿宋_GB2312" w:eastAsia="仿宋_GB2312" w:cs="仿宋_GB2312"/>
          <w:color w:val="auto"/>
          <w:szCs w:val="24"/>
        </w:rPr>
        <w:t>⑥</w:t>
      </w:r>
    </w:p>
    <w:p w14:paraId="2CBC57C6">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式中符号代表意义：</w:t>
      </w:r>
    </w:p>
    <w:p w14:paraId="33F5C91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K：变率；</w:t>
      </w:r>
    </w:p>
    <w:p w14:paraId="347AC39F">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H：统计系列中某年最大降雨量，单位为m；</w:t>
      </w:r>
    </w:p>
    <w:p w14:paraId="5E9C9F5A">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N：统计年数，单位为a。</w:t>
      </w:r>
    </w:p>
    <w:p w14:paraId="141B4EB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lang w:val="en-US" w:eastAsia="zh-CN"/>
        </w:rPr>
        <w:t>2、</w:t>
      </w:r>
      <w:r>
        <w:rPr>
          <w:rFonts w:hint="eastAsia" w:ascii="仿宋_GB2312" w:eastAsia="仿宋_GB2312" w:cs="仿宋_GB2312"/>
          <w:color w:val="auto"/>
        </w:rPr>
        <w:t>参数选定</w:t>
      </w:r>
    </w:p>
    <w:p w14:paraId="5CFAD49D">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（1）设计频率：选取10年一遇暴雨频率。。</w:t>
      </w:r>
    </w:p>
    <w:p w14:paraId="2D45DC6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（2）历年降雨量来源于自大英县气象局收集的2012-2022年十年统计数据。</w:t>
      </w:r>
    </w:p>
    <w:p w14:paraId="39F3EF2E">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年平均降水量（X）：1056.6mm/a。</w:t>
      </w:r>
    </w:p>
    <w:p w14:paraId="68B1485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雨季日平均降雨量（X）：5～9月雨季日平均降雨量5.48mm/d。</w:t>
      </w:r>
    </w:p>
    <w:p w14:paraId="02D32EF6">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历年日最大降雨量平均值（</w:t>
      </w:r>
      <w:r>
        <w:rPr>
          <w:rFonts w:hint="eastAsia" w:ascii="仿宋_GB2312" w:eastAsia="仿宋_GB2312" w:cs="仿宋_GB2312"/>
          <w:color w:val="auto"/>
        </w:rPr>
        <w:fldChar w:fldCharType="begin"/>
      </w:r>
      <w:r>
        <w:rPr>
          <w:rFonts w:hint="eastAsia" w:ascii="仿宋_GB2312" w:eastAsia="仿宋_GB2312" w:cs="仿宋_GB2312"/>
          <w:color w:val="auto"/>
        </w:rPr>
        <w:instrText xml:space="preserve">QUOTE  </w:instrText>
      </w:r>
      <w:r>
        <w:rPr>
          <w:rFonts w:hint="eastAsia" w:ascii="仿宋_GB2312" w:eastAsia="仿宋_GB2312" w:cs="仿宋_GB2312"/>
          <w:color w:val="auto"/>
        </w:rPr>
        <w:fldChar w:fldCharType="separate"/>
      </w:r>
      <w:r>
        <w:rPr>
          <w:rFonts w:hint="eastAsia" w:ascii="仿宋_GB2312" w:eastAsia="仿宋_GB2312" w:cs="仿宋_GB2312"/>
          <w:color w:val="auto"/>
          <w:position w:val="-23"/>
        </w:rPr>
        <w:drawing>
          <wp:inline distT="0" distB="0" distL="113665" distR="113665">
            <wp:extent cx="137160" cy="320040"/>
            <wp:effectExtent l="0" t="0" r="3" b="5"/>
            <wp:docPr id="37" name="_x0000_i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_x0000_i1040"/>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137160" cy="320040"/>
                    </a:xfrm>
                    <a:prstGeom prst="rect">
                      <a:avLst/>
                    </a:prstGeom>
                    <a:noFill/>
                    <a:ln w="9525" cap="flat" cmpd="sng">
                      <a:noFill/>
                      <a:prstDash val="solid"/>
                      <a:miter/>
                    </a:ln>
                  </pic:spPr>
                </pic:pic>
              </a:graphicData>
            </a:graphic>
          </wp:inline>
        </w:drawing>
      </w:r>
      <w:r>
        <w:rPr>
          <w:rFonts w:hint="eastAsia" w:ascii="仿宋_GB2312" w:eastAsia="仿宋_GB2312" w:cs="仿宋_GB2312"/>
          <w:color w:val="auto"/>
        </w:rPr>
        <w:fldChar w:fldCharType="end"/>
      </w:r>
      <w:r>
        <w:rPr>
          <w:rFonts w:hint="eastAsia" w:ascii="仿宋_GB2312" w:eastAsia="仿宋_GB2312" w:cs="仿宋_GB2312"/>
          <w:color w:val="auto"/>
        </w:rPr>
        <w:t>）为147.82mm。</w:t>
      </w:r>
    </w:p>
    <w:p w14:paraId="4735D87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（3）露天采坑面积F从平面图上直接量取；量取面积为24690m</w:t>
      </w:r>
      <w:r>
        <w:rPr>
          <w:rFonts w:hint="eastAsia" w:ascii="仿宋_GB2312" w:eastAsia="仿宋_GB2312" w:cs="仿宋_GB2312"/>
          <w:color w:val="auto"/>
          <w:vertAlign w:val="superscript"/>
        </w:rPr>
        <w:t>2</w:t>
      </w:r>
      <w:r>
        <w:rPr>
          <w:rFonts w:hint="eastAsia" w:ascii="仿宋_GB2312" w:eastAsia="仿宋_GB2312" w:cs="仿宋_GB2312"/>
          <w:color w:val="auto"/>
        </w:rPr>
        <w:t>。</w:t>
      </w:r>
    </w:p>
    <w:p w14:paraId="353EEBC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w:t>
      </w:r>
      <w:r>
        <w:rPr>
          <w:rFonts w:ascii="仿宋_GB2312" w:eastAsia="仿宋_GB2312" w:cs="仿宋_GB2312"/>
          <w:color w:val="auto"/>
          <w:lang w:val="en-US" w:eastAsia="zh-CN"/>
        </w:rPr>
        <w:t>4</w:t>
      </w:r>
      <w:r>
        <w:rPr>
          <w:rFonts w:hint="eastAsia" w:ascii="仿宋_GB2312" w:eastAsia="仿宋_GB2312" w:cs="仿宋_GB2312"/>
          <w:color w:val="auto"/>
          <w:lang w:val="en-US" w:eastAsia="zh-CN"/>
        </w:rPr>
        <w:t>）预测计算及结果评述</w:t>
      </w:r>
    </w:p>
    <w:p w14:paraId="6CA397C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根据计算，预测结果如下：</w:t>
      </w:r>
    </w:p>
    <w:p w14:paraId="19927E50">
      <w:pPr>
        <w:pStyle w:val="733"/>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b w:val="0"/>
          <w:color w:val="auto"/>
          <w:kern w:val="2"/>
          <w:sz w:val="28"/>
          <w:szCs w:val="28"/>
          <w:lang w:val="en-US" w:eastAsia="zh-CN" w:bidi="ar-SA"/>
        </w:rPr>
      </w:pPr>
      <w:r>
        <w:rPr>
          <w:rFonts w:hint="eastAsia" w:ascii="仿宋_GB2312" w:eastAsia="仿宋_GB2312" w:cs="仿宋_GB2312"/>
          <w:b w:val="0"/>
          <w:color w:val="auto"/>
          <w:kern w:val="2"/>
          <w:sz w:val="28"/>
          <w:szCs w:val="28"/>
          <w:lang w:val="en-US" w:eastAsia="zh-CN" w:bidi="ar-SA"/>
        </w:rPr>
        <w:t>表3-1  露采矿坑涌水量估算结果表</w:t>
      </w:r>
    </w:p>
    <w:tbl>
      <w:tblPr>
        <w:tblStyle w:val="6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2456"/>
        <w:gridCol w:w="1896"/>
        <w:gridCol w:w="1030"/>
        <w:gridCol w:w="2354"/>
      </w:tblGrid>
      <w:tr w14:paraId="7EC5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pct"/>
            <w:shd w:val="clear" w:color="auto" w:fill="auto"/>
            <w:noWrap/>
            <w:vAlign w:val="center"/>
          </w:tcPr>
          <w:p w14:paraId="60C5EF88">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项目</w:t>
            </w:r>
          </w:p>
        </w:tc>
        <w:tc>
          <w:tcPr>
            <w:tcW w:w="1174" w:type="pct"/>
            <w:shd w:val="clear" w:color="auto" w:fill="auto"/>
            <w:noWrap/>
            <w:vAlign w:val="center"/>
          </w:tcPr>
          <w:p w14:paraId="246ABF82">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露天矿坑的面积F （m</w:t>
            </w:r>
            <w:r>
              <w:rPr>
                <w:rFonts w:hint="eastAsia" w:ascii="仿宋_GB2312" w:eastAsia="仿宋_GB2312" w:cs="仿宋_GB2312"/>
                <w:color w:val="auto"/>
                <w:sz w:val="21"/>
                <w:szCs w:val="22"/>
                <w:vertAlign w:val="superscript"/>
              </w:rPr>
              <w:t>2</w:t>
            </w:r>
            <w:r>
              <w:rPr>
                <w:rFonts w:hint="eastAsia" w:ascii="仿宋_GB2312" w:eastAsia="仿宋_GB2312" w:cs="仿宋_GB2312"/>
                <w:color w:val="auto"/>
                <w:sz w:val="21"/>
                <w:szCs w:val="22"/>
              </w:rPr>
              <w:t>）</w:t>
            </w:r>
          </w:p>
        </w:tc>
        <w:tc>
          <w:tcPr>
            <w:tcW w:w="938" w:type="pct"/>
            <w:shd w:val="clear" w:color="auto" w:fill="auto"/>
            <w:noWrap/>
            <w:vAlign w:val="center"/>
          </w:tcPr>
          <w:p w14:paraId="1A8E3B37">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平均降水量X（m）</w:t>
            </w:r>
          </w:p>
        </w:tc>
        <w:tc>
          <w:tcPr>
            <w:tcW w:w="783" w:type="pct"/>
            <w:shd w:val="clear" w:color="auto" w:fill="auto"/>
            <w:noWrap/>
            <w:vAlign w:val="center"/>
          </w:tcPr>
          <w:p w14:paraId="400FB81D">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预算公式</w:t>
            </w:r>
          </w:p>
        </w:tc>
        <w:tc>
          <w:tcPr>
            <w:tcW w:w="1169" w:type="pct"/>
            <w:shd w:val="clear" w:color="auto" w:fill="auto"/>
            <w:noWrap/>
            <w:vAlign w:val="center"/>
          </w:tcPr>
          <w:p w14:paraId="0C73835D">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降水渗入采坑水量Q(m</w:t>
            </w:r>
            <w:r>
              <w:rPr>
                <w:rFonts w:hint="eastAsia" w:ascii="仿宋_GB2312" w:eastAsia="仿宋_GB2312" w:cs="仿宋_GB2312"/>
                <w:color w:val="auto"/>
                <w:sz w:val="21"/>
                <w:szCs w:val="22"/>
                <w:vertAlign w:val="superscript"/>
              </w:rPr>
              <w:t>3</w:t>
            </w:r>
            <w:r>
              <w:rPr>
                <w:rFonts w:hint="eastAsia" w:ascii="仿宋_GB2312" w:eastAsia="仿宋_GB2312" w:cs="仿宋_GB2312"/>
                <w:color w:val="auto"/>
                <w:sz w:val="21"/>
                <w:szCs w:val="22"/>
              </w:rPr>
              <w:t>)</w:t>
            </w:r>
          </w:p>
        </w:tc>
      </w:tr>
      <w:tr w14:paraId="29E5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pct"/>
            <w:tcBorders>
              <w:top w:val="single" w:color="auto" w:sz="4" w:space="0"/>
              <w:left w:val="single" w:color="auto" w:sz="4" w:space="0"/>
              <w:right w:val="single" w:color="auto" w:sz="4" w:space="0"/>
            </w:tcBorders>
            <w:shd w:val="clear" w:color="auto" w:fill="auto"/>
            <w:noWrap/>
            <w:vAlign w:val="center"/>
          </w:tcPr>
          <w:p w14:paraId="3E39F681">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年均</w:t>
            </w:r>
          </w:p>
        </w:tc>
        <w:tc>
          <w:tcPr>
            <w:tcW w:w="1174" w:type="pct"/>
            <w:vMerge w:val="restart"/>
            <w:tcBorders>
              <w:top w:val="single" w:color="auto" w:sz="4" w:space="0"/>
              <w:left w:val="single" w:color="auto" w:sz="4" w:space="0"/>
              <w:right w:val="single" w:color="auto" w:sz="4" w:space="0"/>
            </w:tcBorders>
            <w:shd w:val="clear" w:color="auto" w:fill="auto"/>
            <w:noWrap/>
            <w:vAlign w:val="center"/>
          </w:tcPr>
          <w:p w14:paraId="55A3B19F">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24690</w:t>
            </w:r>
          </w:p>
        </w:tc>
        <w:tc>
          <w:tcPr>
            <w:tcW w:w="938" w:type="pct"/>
            <w:tcBorders>
              <w:top w:val="single" w:color="auto" w:sz="4" w:space="0"/>
              <w:left w:val="single" w:color="auto" w:sz="4" w:space="0"/>
              <w:right w:val="single" w:color="auto" w:sz="4" w:space="0"/>
            </w:tcBorders>
            <w:shd w:val="clear" w:color="auto" w:fill="auto"/>
            <w:noWrap/>
            <w:vAlign w:val="center"/>
          </w:tcPr>
          <w:p w14:paraId="6DA4E6DC">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1.0566m/a</w:t>
            </w:r>
          </w:p>
        </w:tc>
        <w:tc>
          <w:tcPr>
            <w:tcW w:w="783" w:type="pct"/>
            <w:tcBorders>
              <w:top w:val="single" w:color="auto" w:sz="4" w:space="0"/>
              <w:left w:val="single" w:color="auto" w:sz="4" w:space="0"/>
              <w:right w:val="single" w:color="auto" w:sz="4" w:space="0"/>
            </w:tcBorders>
            <w:shd w:val="clear" w:color="auto" w:fill="auto"/>
            <w:noWrap/>
            <w:vAlign w:val="center"/>
          </w:tcPr>
          <w:p w14:paraId="40A267D4">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①</w:t>
            </w:r>
          </w:p>
        </w:tc>
        <w:tc>
          <w:tcPr>
            <w:tcW w:w="1169" w:type="pct"/>
            <w:tcBorders>
              <w:top w:val="single" w:color="auto" w:sz="4" w:space="0"/>
              <w:left w:val="single" w:color="auto" w:sz="4" w:space="0"/>
              <w:right w:val="single" w:color="auto" w:sz="4" w:space="0"/>
            </w:tcBorders>
            <w:shd w:val="clear" w:color="auto" w:fill="auto"/>
            <w:noWrap/>
          </w:tcPr>
          <w:p w14:paraId="6ED45932">
            <w:pPr>
              <w:pStyle w:val="732"/>
              <w:rPr>
                <w:rFonts w:hint="eastAsia" w:ascii="仿宋_GB2312" w:eastAsia="仿宋_GB2312" w:cs="仿宋_GB2312"/>
                <w:color w:val="auto"/>
              </w:rPr>
            </w:pPr>
            <w:bookmarkStart w:id="129" w:name="_Hlk147600368"/>
            <w:r>
              <w:rPr>
                <w:rFonts w:hint="eastAsia" w:ascii="仿宋_GB2312" w:eastAsia="仿宋_GB2312" w:cs="仿宋_GB2312"/>
                <w:color w:val="auto"/>
              </w:rPr>
              <w:t>26087.5</w:t>
            </w:r>
            <w:bookmarkEnd w:id="129"/>
            <w:r>
              <w:rPr>
                <w:rFonts w:hint="eastAsia" w:ascii="仿宋_GB2312" w:eastAsia="仿宋_GB2312" w:cs="仿宋_GB2312"/>
                <w:color w:val="auto"/>
              </w:rPr>
              <w:t xml:space="preserve"> </w:t>
            </w:r>
          </w:p>
        </w:tc>
      </w:tr>
      <w:tr w14:paraId="3D9D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pct"/>
            <w:tcBorders>
              <w:top w:val="single" w:color="auto" w:sz="4" w:space="0"/>
              <w:left w:val="single" w:color="auto" w:sz="4" w:space="0"/>
              <w:right w:val="single" w:color="auto" w:sz="4" w:space="0"/>
            </w:tcBorders>
            <w:shd w:val="clear" w:color="auto" w:fill="auto"/>
            <w:noWrap/>
            <w:vAlign w:val="center"/>
          </w:tcPr>
          <w:p w14:paraId="4849175D">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雨季日均</w:t>
            </w:r>
          </w:p>
        </w:tc>
        <w:tc>
          <w:tcPr>
            <w:tcW w:w="1174" w:type="pct"/>
            <w:vMerge w:val="continue"/>
            <w:tcBorders>
              <w:top w:val="single" w:color="auto" w:sz="4" w:space="0"/>
              <w:left w:val="single" w:color="auto" w:sz="4" w:space="0"/>
              <w:right w:val="single" w:color="auto" w:sz="4" w:space="0"/>
            </w:tcBorders>
            <w:shd w:val="clear" w:color="auto" w:fill="auto"/>
            <w:noWrap/>
            <w:vAlign w:val="center"/>
          </w:tcPr>
          <w:p w14:paraId="532985A3"/>
        </w:tc>
        <w:tc>
          <w:tcPr>
            <w:tcW w:w="938" w:type="pct"/>
            <w:tcBorders>
              <w:top w:val="single" w:color="auto" w:sz="4" w:space="0"/>
              <w:left w:val="single" w:color="auto" w:sz="4" w:space="0"/>
              <w:right w:val="single" w:color="auto" w:sz="4" w:space="0"/>
            </w:tcBorders>
            <w:shd w:val="clear" w:color="auto" w:fill="auto"/>
            <w:noWrap/>
            <w:vAlign w:val="center"/>
          </w:tcPr>
          <w:p w14:paraId="4D2D35EB">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0.00548 m/d</w:t>
            </w:r>
          </w:p>
        </w:tc>
        <w:tc>
          <w:tcPr>
            <w:tcW w:w="783" w:type="pct"/>
            <w:tcBorders>
              <w:top w:val="single" w:color="auto" w:sz="4" w:space="0"/>
              <w:left w:val="single" w:color="auto" w:sz="4" w:space="0"/>
              <w:right w:val="single" w:color="auto" w:sz="4" w:space="0"/>
            </w:tcBorders>
            <w:shd w:val="clear" w:color="auto" w:fill="auto"/>
            <w:noWrap/>
            <w:vAlign w:val="center"/>
          </w:tcPr>
          <w:p w14:paraId="4F0613C1">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①</w:t>
            </w:r>
          </w:p>
        </w:tc>
        <w:tc>
          <w:tcPr>
            <w:tcW w:w="1169" w:type="pct"/>
            <w:tcBorders>
              <w:top w:val="single" w:color="auto" w:sz="4" w:space="0"/>
              <w:left w:val="single" w:color="auto" w:sz="4" w:space="0"/>
              <w:right w:val="single" w:color="auto" w:sz="4" w:space="0"/>
            </w:tcBorders>
            <w:shd w:val="clear" w:color="auto" w:fill="auto"/>
            <w:noWrap/>
          </w:tcPr>
          <w:p w14:paraId="408262C2">
            <w:pPr>
              <w:pStyle w:val="732"/>
              <w:rPr>
                <w:rFonts w:hint="eastAsia" w:ascii="仿宋_GB2312" w:eastAsia="仿宋_GB2312" w:cs="仿宋_GB2312"/>
                <w:color w:val="auto"/>
              </w:rPr>
            </w:pPr>
            <w:bookmarkStart w:id="130" w:name="_Hlk147600375"/>
            <w:r>
              <w:rPr>
                <w:rFonts w:hint="eastAsia" w:ascii="仿宋_GB2312" w:eastAsia="仿宋_GB2312" w:cs="仿宋_GB2312"/>
                <w:color w:val="auto"/>
              </w:rPr>
              <w:t>135.3</w:t>
            </w:r>
            <w:bookmarkEnd w:id="130"/>
            <w:r>
              <w:rPr>
                <w:rFonts w:hint="eastAsia" w:ascii="仿宋_GB2312" w:eastAsia="仿宋_GB2312" w:cs="仿宋_GB2312"/>
                <w:color w:val="auto"/>
              </w:rPr>
              <w:t xml:space="preserve"> </w:t>
            </w:r>
          </w:p>
        </w:tc>
      </w:tr>
      <w:tr w14:paraId="619D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pct"/>
            <w:tcBorders>
              <w:top w:val="single" w:color="auto" w:sz="4" w:space="0"/>
              <w:left w:val="single" w:color="auto" w:sz="4" w:space="0"/>
              <w:right w:val="single" w:color="auto" w:sz="4" w:space="0"/>
            </w:tcBorders>
            <w:shd w:val="clear" w:color="auto" w:fill="auto"/>
            <w:noWrap/>
            <w:vAlign w:val="center"/>
          </w:tcPr>
          <w:p w14:paraId="68BA789A">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最大日降水量</w:t>
            </w:r>
          </w:p>
        </w:tc>
        <w:tc>
          <w:tcPr>
            <w:tcW w:w="1174" w:type="pct"/>
            <w:vMerge w:val="continue"/>
            <w:tcBorders>
              <w:top w:val="single" w:color="auto" w:sz="4" w:space="0"/>
              <w:left w:val="single" w:color="auto" w:sz="4" w:space="0"/>
              <w:right w:val="single" w:color="auto" w:sz="4" w:space="0"/>
            </w:tcBorders>
            <w:shd w:val="clear" w:color="auto" w:fill="auto"/>
            <w:noWrap/>
            <w:vAlign w:val="center"/>
          </w:tcPr>
          <w:p w14:paraId="50DA628F"/>
        </w:tc>
        <w:tc>
          <w:tcPr>
            <w:tcW w:w="938" w:type="pct"/>
            <w:tcBorders>
              <w:top w:val="single" w:color="auto" w:sz="4" w:space="0"/>
              <w:left w:val="single" w:color="auto" w:sz="4" w:space="0"/>
              <w:right w:val="single" w:color="auto" w:sz="4" w:space="0"/>
            </w:tcBorders>
            <w:shd w:val="clear" w:color="auto" w:fill="auto"/>
            <w:noWrap/>
            <w:vAlign w:val="center"/>
          </w:tcPr>
          <w:p w14:paraId="2D2E28BE">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w:t>
            </w:r>
          </w:p>
        </w:tc>
        <w:tc>
          <w:tcPr>
            <w:tcW w:w="783" w:type="pct"/>
            <w:tcBorders>
              <w:top w:val="single" w:color="auto" w:sz="4" w:space="0"/>
              <w:left w:val="single" w:color="auto" w:sz="4" w:space="0"/>
              <w:right w:val="single" w:color="auto" w:sz="4" w:space="0"/>
            </w:tcBorders>
            <w:shd w:val="clear" w:color="auto" w:fill="auto"/>
            <w:noWrap/>
            <w:vAlign w:val="center"/>
          </w:tcPr>
          <w:p w14:paraId="279DF278">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②～⑥</w:t>
            </w:r>
          </w:p>
        </w:tc>
        <w:tc>
          <w:tcPr>
            <w:tcW w:w="1169" w:type="pct"/>
            <w:tcBorders>
              <w:top w:val="single" w:color="auto" w:sz="4" w:space="0"/>
              <w:left w:val="single" w:color="auto" w:sz="4" w:space="0"/>
              <w:right w:val="single" w:color="auto" w:sz="4" w:space="0"/>
            </w:tcBorders>
            <w:shd w:val="clear" w:color="auto" w:fill="auto"/>
            <w:noWrap/>
          </w:tcPr>
          <w:p w14:paraId="42467799">
            <w:pPr>
              <w:pStyle w:val="732"/>
              <w:rPr>
                <w:rFonts w:hint="eastAsia" w:ascii="仿宋_GB2312" w:eastAsia="仿宋_GB2312" w:cs="仿宋_GB2312"/>
                <w:color w:val="auto"/>
              </w:rPr>
            </w:pPr>
            <w:r>
              <w:rPr>
                <w:rFonts w:hint="eastAsia" w:ascii="仿宋_GB2312" w:eastAsia="仿宋_GB2312" w:cs="仿宋_GB2312"/>
                <w:color w:val="auto"/>
              </w:rPr>
              <w:t xml:space="preserve">4744.6 </w:t>
            </w:r>
          </w:p>
        </w:tc>
      </w:tr>
    </w:tbl>
    <w:p w14:paraId="4D4E894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根据估算结果，矿坑年均涌水量Q</w:t>
      </w:r>
      <w:r>
        <w:rPr>
          <w:rFonts w:hint="eastAsia" w:ascii="仿宋_GB2312" w:eastAsia="仿宋_GB2312" w:cs="仿宋_GB2312"/>
          <w:color w:val="auto"/>
          <w:vertAlign w:val="subscript"/>
        </w:rPr>
        <w:t>年</w:t>
      </w:r>
      <w:r>
        <w:rPr>
          <w:rFonts w:hint="eastAsia" w:ascii="仿宋_GB2312" w:eastAsia="仿宋_GB2312" w:cs="仿宋_GB2312"/>
          <w:color w:val="auto"/>
        </w:rPr>
        <w:t>=26087.5 m</w:t>
      </w:r>
      <w:r>
        <w:rPr>
          <w:rFonts w:hint="eastAsia" w:ascii="仿宋_GB2312" w:eastAsia="仿宋_GB2312" w:cs="仿宋_GB2312"/>
          <w:color w:val="auto"/>
          <w:vertAlign w:val="superscript"/>
        </w:rPr>
        <w:t>3</w:t>
      </w:r>
      <w:r>
        <w:rPr>
          <w:rFonts w:hint="eastAsia" w:ascii="仿宋_GB2312" w:eastAsia="仿宋_GB2312" w:cs="仿宋_GB2312"/>
          <w:color w:val="auto"/>
        </w:rPr>
        <w:t>/a，雨季日平均涌水量Q</w:t>
      </w:r>
      <w:r>
        <w:rPr>
          <w:rFonts w:hint="eastAsia" w:ascii="仿宋_GB2312" w:eastAsia="仿宋_GB2312" w:cs="仿宋_GB2312"/>
          <w:color w:val="auto"/>
          <w:vertAlign w:val="subscript"/>
        </w:rPr>
        <w:t>雨</w:t>
      </w:r>
      <w:r>
        <w:rPr>
          <w:rFonts w:hint="eastAsia" w:ascii="仿宋_GB2312" w:eastAsia="仿宋_GB2312" w:cs="仿宋_GB2312"/>
          <w:color w:val="auto"/>
        </w:rPr>
        <w:t>=</w:t>
      </w:r>
      <w:bookmarkStart w:id="131" w:name="_Hlk147600445"/>
      <w:r>
        <w:rPr>
          <w:rFonts w:hint="eastAsia" w:ascii="仿宋_GB2312" w:eastAsia="仿宋_GB2312" w:cs="仿宋_GB2312"/>
          <w:color w:val="auto"/>
        </w:rPr>
        <w:t>135.3</w:t>
      </w:r>
      <w:bookmarkEnd w:id="131"/>
      <w:r>
        <w:rPr>
          <w:rFonts w:hint="eastAsia" w:ascii="仿宋_GB2312" w:eastAsia="仿宋_GB2312" w:cs="仿宋_GB2312"/>
          <w:color w:val="auto"/>
        </w:rPr>
        <w:t>m</w:t>
      </w:r>
      <w:r>
        <w:rPr>
          <w:rFonts w:hint="eastAsia" w:ascii="仿宋_GB2312" w:eastAsia="仿宋_GB2312" w:cs="仿宋_GB2312"/>
          <w:color w:val="auto"/>
          <w:vertAlign w:val="superscript"/>
        </w:rPr>
        <w:t>3</w:t>
      </w:r>
      <w:r>
        <w:rPr>
          <w:rFonts w:hint="eastAsia" w:ascii="仿宋_GB2312" w:eastAsia="仿宋_GB2312" w:cs="仿宋_GB2312"/>
          <w:color w:val="auto"/>
        </w:rPr>
        <w:t>/d，Q</w:t>
      </w:r>
      <w:r>
        <w:rPr>
          <w:rFonts w:hint="eastAsia" w:ascii="仿宋_GB2312" w:eastAsia="仿宋_GB2312" w:cs="仿宋_GB2312"/>
          <w:color w:val="auto"/>
          <w:vertAlign w:val="subscript"/>
        </w:rPr>
        <w:t>p</w:t>
      </w:r>
      <w:r>
        <w:rPr>
          <w:rFonts w:hint="eastAsia" w:ascii="仿宋_GB2312" w:eastAsia="仿宋_GB2312" w:cs="仿宋_GB2312"/>
          <w:color w:val="auto"/>
        </w:rPr>
        <w:t>=</w:t>
      </w:r>
      <w:bookmarkStart w:id="132" w:name="_Hlk147600456"/>
      <w:r>
        <w:rPr>
          <w:rFonts w:hint="eastAsia" w:ascii="仿宋_GB2312" w:eastAsia="仿宋_GB2312" w:cs="仿宋_GB2312"/>
          <w:color w:val="auto"/>
        </w:rPr>
        <w:t>4744.6</w:t>
      </w:r>
      <w:bookmarkEnd w:id="132"/>
      <w:r>
        <w:rPr>
          <w:rFonts w:hint="eastAsia" w:ascii="仿宋_GB2312" w:eastAsia="仿宋_GB2312" w:cs="仿宋_GB2312"/>
          <w:color w:val="auto"/>
        </w:rPr>
        <w:t>m</w:t>
      </w:r>
      <w:r>
        <w:rPr>
          <w:rFonts w:hint="eastAsia" w:ascii="仿宋_GB2312" w:eastAsia="仿宋_GB2312" w:cs="仿宋_GB2312"/>
          <w:color w:val="auto"/>
          <w:vertAlign w:val="superscript"/>
        </w:rPr>
        <w:t>3</w:t>
      </w:r>
      <w:r>
        <w:rPr>
          <w:rFonts w:hint="eastAsia" w:ascii="仿宋_GB2312" w:eastAsia="仿宋_GB2312" w:cs="仿宋_GB2312"/>
          <w:color w:val="auto"/>
        </w:rPr>
        <w:t>/d。</w:t>
      </w:r>
    </w:p>
    <w:bookmarkEnd w:id="128"/>
    <w:p w14:paraId="57ECF1B6">
      <w:pPr>
        <w:adjustRightInd w:val="0"/>
        <w:snapToGrid w:val="0"/>
        <w:spacing w:line="360" w:lineRule="auto"/>
        <w:outlineLvl w:val="3"/>
        <w:rPr>
          <w:rFonts w:hint="eastAsia" w:ascii="仿宋_GB2312" w:eastAsia="仿宋_GB2312" w:cs="仿宋_GB2312"/>
          <w:b/>
          <w:color w:val="auto"/>
          <w:sz w:val="28"/>
          <w:szCs w:val="28"/>
          <w:lang w:val="en-US" w:eastAsia="zh-CN"/>
        </w:rPr>
      </w:pPr>
      <w:r>
        <w:rPr>
          <w:rFonts w:hint="eastAsia" w:ascii="仿宋_GB2312" w:eastAsia="仿宋_GB2312" w:cs="仿宋_GB2312"/>
          <w:b/>
          <w:color w:val="auto"/>
          <w:sz w:val="28"/>
          <w:szCs w:val="28"/>
          <w:lang w:val="en-US" w:eastAsia="zh-CN"/>
        </w:rPr>
        <w:t>3.3.1.6 供水水源</w:t>
      </w:r>
    </w:p>
    <w:p w14:paraId="2CD756B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参考附近原有砖厂的供水情况，矿区工业供水主要由矿区东侧的低洼处抽取地下水供给，但枯水期将会面临用水紧张的问题，因此，需要建设蓄水工程，以解决旱季缺水的问题。生活用水需架设供水设施，从</w:t>
      </w:r>
      <w:r>
        <w:rPr>
          <w:rFonts w:hint="eastAsia" w:ascii="仿宋_GB2312" w:eastAsia="仿宋_GB2312" w:cs="仿宋_GB2312"/>
          <w:color w:val="auto"/>
          <w:sz w:val="28"/>
          <w:szCs w:val="28"/>
          <w:lang w:val="en-US" w:eastAsia="zh-CN"/>
        </w:rPr>
        <w:t>卓筒井镇</w:t>
      </w:r>
      <w:r>
        <w:rPr>
          <w:rFonts w:hint="eastAsia" w:ascii="仿宋_GB2312" w:eastAsia="仿宋_GB2312" w:cs="仿宋_GB2312"/>
          <w:color w:val="auto"/>
        </w:rPr>
        <w:t>引入矿山用作生活用水。</w:t>
      </w:r>
    </w:p>
    <w:p w14:paraId="17A13FE6">
      <w:pPr>
        <w:adjustRightInd w:val="0"/>
        <w:snapToGrid w:val="0"/>
        <w:spacing w:line="360" w:lineRule="auto"/>
        <w:outlineLvl w:val="3"/>
        <w:rPr>
          <w:rFonts w:hint="eastAsia" w:ascii="仿宋_GB2312" w:eastAsia="仿宋_GB2312" w:cs="仿宋_GB2312"/>
          <w:b/>
          <w:color w:val="auto"/>
          <w:sz w:val="28"/>
          <w:szCs w:val="28"/>
          <w:lang w:val="en-US" w:eastAsia="zh-CN"/>
        </w:rPr>
      </w:pPr>
      <w:r>
        <w:rPr>
          <w:rFonts w:hint="eastAsia" w:ascii="仿宋_GB2312" w:eastAsia="仿宋_GB2312" w:cs="仿宋_GB2312"/>
          <w:b/>
          <w:color w:val="auto"/>
          <w:sz w:val="28"/>
          <w:szCs w:val="28"/>
          <w:lang w:val="en-US" w:eastAsia="zh-CN"/>
        </w:rPr>
        <w:t>3.3.1.7 矿床水文地质类型</w:t>
      </w:r>
    </w:p>
    <w:p w14:paraId="76515F5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区为低山丘陵区，沟谷发育，多为坡面水，季节性沟系发育。矿层均位于当地侵蚀基准面以上，自然排水条件好。第四系坡残积层透水性好，动态变化大，富水性微弱；侏罗系上统蓬莱镇组泥页岩夹薄层粉砂岩节理裂隙不发育，含水性弱，透水性差，是区内相对隔水层。区内无常年地表水体，地表迳流条件好。地下水主要由大气降水补给，大气降水大多通过地表径流排出采场。矿区地下水贫乏，矿山位于当地最低侵蚀基准面以上，斜坡地形有利于地表水和地下水排泄，地表及地下水的自然排泄条件好。综上所述，矿区范围内排水通畅，地下水贫乏，水文地质类型属以基岩裂隙含水层充水为主的简单类型（II-1型）。</w:t>
      </w:r>
    </w:p>
    <w:p w14:paraId="13659CD5">
      <w:pPr>
        <w:adjustRightInd w:val="0"/>
        <w:snapToGrid w:val="0"/>
        <w:spacing w:line="360" w:lineRule="auto"/>
        <w:outlineLvl w:val="2"/>
        <w:rPr>
          <w:rFonts w:hint="eastAsia" w:ascii="仿宋_GB2312" w:eastAsia="仿宋_GB2312" w:cs="仿宋_GB2312"/>
          <w:b/>
          <w:color w:val="auto"/>
          <w:sz w:val="28"/>
          <w:szCs w:val="28"/>
        </w:rPr>
      </w:pPr>
      <w:bookmarkStart w:id="133" w:name="_Toc148957947"/>
      <w:bookmarkStart w:id="134" w:name="_Toc28665"/>
      <w:r>
        <w:rPr>
          <w:rFonts w:hint="eastAsia" w:ascii="仿宋_GB2312" w:eastAsia="仿宋_GB2312" w:cs="仿宋_GB2312"/>
          <w:b/>
          <w:color w:val="auto"/>
          <w:sz w:val="28"/>
          <w:szCs w:val="28"/>
        </w:rPr>
        <w:t>3.3.2工程地质条件</w:t>
      </w:r>
      <w:bookmarkEnd w:id="133"/>
      <w:bookmarkEnd w:id="134"/>
    </w:p>
    <w:p w14:paraId="2EDDD2B6">
      <w:pPr>
        <w:adjustRightInd w:val="0"/>
        <w:snapToGrid w:val="0"/>
        <w:spacing w:line="360" w:lineRule="auto"/>
        <w:outlineLvl w:val="3"/>
        <w:rPr>
          <w:rFonts w:hint="eastAsia" w:ascii="仿宋_GB2312" w:eastAsia="仿宋_GB2312" w:cs="仿宋_GB2312"/>
          <w:b/>
          <w:color w:val="auto"/>
          <w:sz w:val="28"/>
          <w:szCs w:val="28"/>
          <w:lang w:val="en-US" w:eastAsia="zh-CN"/>
        </w:rPr>
      </w:pPr>
      <w:r>
        <w:rPr>
          <w:rFonts w:hint="eastAsia" w:ascii="仿宋_GB2312" w:eastAsia="仿宋_GB2312" w:cs="仿宋_GB2312"/>
          <w:b/>
          <w:color w:val="auto"/>
          <w:sz w:val="28"/>
          <w:szCs w:val="28"/>
          <w:lang w:val="en-US" w:eastAsia="zh-CN"/>
        </w:rPr>
        <w:t>3.3.2.1工程地质岩组</w:t>
      </w:r>
    </w:p>
    <w:p w14:paraId="6D8CE22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bookmarkStart w:id="135" w:name="_Toc226103618"/>
      <w:r>
        <w:rPr>
          <w:rFonts w:hint="eastAsia" w:ascii="仿宋_GB2312" w:eastAsia="仿宋_GB2312" w:cs="仿宋_GB2312"/>
          <w:color w:val="auto"/>
        </w:rPr>
        <w:t>矿区内出露地层简单，岩性单一。根据出露地层的岩性组合及物理、力学特征，可将区内地层划分为2个工程地质岩组，即第四系松散工程地质岩组和侏罗系上统碎屑岩类软弱工程地质岩组。</w:t>
      </w:r>
    </w:p>
    <w:p w14:paraId="7A143CB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1、第四系松散工程地质岩组（Ⅰ）</w:t>
      </w:r>
    </w:p>
    <w:p w14:paraId="0401499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该岩组主要为第四系残坡积层（Q</w:t>
      </w:r>
      <w:r>
        <w:rPr>
          <w:rFonts w:hint="eastAsia" w:ascii="仿宋_GB2312" w:eastAsia="仿宋_GB2312" w:cs="仿宋_GB2312"/>
          <w:color w:val="auto"/>
          <w:vertAlign w:val="subscript"/>
        </w:rPr>
        <w:t>4</w:t>
      </w:r>
      <w:r>
        <w:rPr>
          <w:rFonts w:hint="eastAsia" w:ascii="仿宋_GB2312" w:eastAsia="仿宋_GB2312" w:cs="仿宋_GB2312"/>
          <w:color w:val="auto"/>
          <w:vertAlign w:val="superscript"/>
        </w:rPr>
        <w:t>dl+el</w:t>
      </w:r>
      <w:r>
        <w:rPr>
          <w:rFonts w:hint="eastAsia" w:ascii="仿宋_GB2312" w:eastAsia="仿宋_GB2312" w:cs="仿宋_GB2312"/>
          <w:color w:val="auto"/>
        </w:rPr>
        <w:t>），主要由浅黄、灰红色松散砂、岩石碎块及粘土组成，厚度0～0.5m不等，主要分布在坡脚和洼地，坡顶较薄。钻孔第四系岩心潮湿，硬塑-可塑，结构松散，未胶结，遇水易软化崩解，压缩量大，力学强度低，属第四系松散工程地质岩组（Ⅰ）。</w:t>
      </w:r>
    </w:p>
    <w:p w14:paraId="42AEB9A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2、侏罗系上统碎屑岩类软弱工程地质岩组（Ⅱ）</w:t>
      </w:r>
    </w:p>
    <w:p w14:paraId="291E73C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rPr>
        <w:t>主要为侏罗系上统蓬莱镇组泥岩、粉砂岩等组成的碎屑岩组，岩体物理力学性能较低，抗压强度&lt;30Mpa，软化系数&lt;0.5，坚固系数&lt;3。泥岩遇水易软化崩解，表层风化严重，易产生表层滑坡、顺层滑坡和水土流失。</w:t>
      </w:r>
      <w:bookmarkEnd w:id="135"/>
    </w:p>
    <w:p w14:paraId="47B574E2">
      <w:pPr>
        <w:adjustRightInd w:val="0"/>
        <w:snapToGrid w:val="0"/>
        <w:spacing w:line="360" w:lineRule="auto"/>
        <w:outlineLvl w:val="3"/>
        <w:rPr>
          <w:rFonts w:hint="eastAsia" w:ascii="仿宋_GB2312" w:eastAsia="仿宋_GB2312" w:cs="仿宋_GB2312"/>
          <w:b/>
          <w:color w:val="auto"/>
          <w:sz w:val="28"/>
          <w:szCs w:val="28"/>
          <w:lang w:val="en-US" w:eastAsia="zh-CN"/>
        </w:rPr>
      </w:pPr>
      <w:bookmarkStart w:id="136" w:name="_Hlk145549670"/>
      <w:r>
        <w:rPr>
          <w:rFonts w:hint="eastAsia" w:ascii="仿宋_GB2312" w:eastAsia="仿宋_GB2312" w:cs="仿宋_GB2312"/>
          <w:b/>
          <w:color w:val="auto"/>
          <w:sz w:val="28"/>
          <w:szCs w:val="28"/>
          <w:lang w:val="en-US" w:eastAsia="zh-CN"/>
        </w:rPr>
        <w:t>3.3.2.2岩体质量</w:t>
      </w:r>
    </w:p>
    <w:p w14:paraId="3FB7ADA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矿区根据泥岩工程地质岩组的岩石质量指标（RQD），对岩体质量进行评价，采用两种计算方法进行对比评价，即岩体质量系数法和岩体质量指标法。</w:t>
      </w:r>
    </w:p>
    <w:p w14:paraId="669D8BED">
      <w:pPr>
        <w:pStyle w:val="733"/>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b w:val="0"/>
          <w:color w:val="auto"/>
          <w:kern w:val="2"/>
          <w:sz w:val="28"/>
          <w:szCs w:val="28"/>
          <w:lang w:val="en-US" w:eastAsia="zh-CN" w:bidi="ar-SA"/>
        </w:rPr>
      </w:pPr>
      <w:r>
        <w:rPr>
          <w:rFonts w:hint="eastAsia" w:ascii="仿宋_GB2312" w:eastAsia="仿宋_GB2312" w:cs="仿宋_GB2312"/>
          <w:b w:val="0"/>
          <w:color w:val="auto"/>
          <w:kern w:val="2"/>
          <w:sz w:val="28"/>
          <w:szCs w:val="28"/>
          <w:lang w:val="en-US" w:eastAsia="zh-CN" w:bidi="ar-SA"/>
        </w:rPr>
        <w:t>表3-2  矿区泥岩工程特征统计表</w:t>
      </w:r>
    </w:p>
    <w:tbl>
      <w:tblPr>
        <w:tblStyle w:val="6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529"/>
        <w:gridCol w:w="1262"/>
        <w:gridCol w:w="813"/>
        <w:gridCol w:w="844"/>
        <w:gridCol w:w="844"/>
        <w:gridCol w:w="1213"/>
        <w:gridCol w:w="771"/>
        <w:gridCol w:w="1942"/>
      </w:tblGrid>
      <w:tr w14:paraId="2E2F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gridSpan w:val="2"/>
            <w:vMerge w:val="restart"/>
            <w:noWrap/>
            <w:vAlign w:val="center"/>
          </w:tcPr>
          <w:p w14:paraId="007D6CD9">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工程地质岩组</w:t>
            </w:r>
          </w:p>
        </w:tc>
        <w:tc>
          <w:tcPr>
            <w:gridSpan w:val="2"/>
            <w:vMerge w:val="restart"/>
            <w:noWrap/>
            <w:vAlign w:val="center"/>
          </w:tcPr>
          <w:p w14:paraId="50348441">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单轴饱和抗压强度（Mpa）</w:t>
            </w:r>
          </w:p>
        </w:tc>
        <w:tc>
          <w:tcPr>
            <w:gridSpan w:val="2"/>
            <w:noWrap/>
            <w:vAlign w:val="center"/>
          </w:tcPr>
          <w:p w14:paraId="79E8D24B">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天然抗剪强度</w:t>
            </w:r>
          </w:p>
        </w:tc>
        <w:tc>
          <w:tcPr>
            <w:tcW w:w="1551" w:type="dxa"/>
            <w:vMerge w:val="restart"/>
            <w:noWrap/>
            <w:vAlign w:val="center"/>
          </w:tcPr>
          <w:p w14:paraId="0451D9EC">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岩石质量指标(RQD)(%)</w:t>
            </w:r>
          </w:p>
        </w:tc>
        <w:tc>
          <w:tcPr>
            <w:tcW w:w="959" w:type="dxa"/>
            <w:vMerge w:val="restart"/>
            <w:noWrap/>
            <w:vAlign w:val="center"/>
          </w:tcPr>
          <w:p w14:paraId="34422DF0">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岩体结构</w:t>
            </w:r>
          </w:p>
        </w:tc>
        <w:tc>
          <w:tcPr>
            <w:vMerge w:val="restart"/>
            <w:noWrap/>
            <w:vAlign w:val="center"/>
          </w:tcPr>
          <w:p w14:paraId="0E2B7444">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含水性</w:t>
            </w:r>
          </w:p>
        </w:tc>
      </w:tr>
      <w:tr w14:paraId="1DE5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gridSpan w:val="2"/>
            <w:vMerge w:val="continue"/>
            <w:tcBorders>
              <w:top w:val="single" w:color="auto" w:sz="4" w:space="0"/>
              <w:left w:val="single" w:color="auto" w:sz="4" w:space="0"/>
              <w:right w:val="single" w:color="auto" w:sz="4" w:space="0"/>
            </w:tcBorders>
            <w:noWrap/>
            <w:vAlign w:val="center"/>
          </w:tcPr>
          <w:p w14:paraId="2A5685A0"/>
        </w:tc>
        <w:tc>
          <w:tcPr>
            <w:gridSpan w:val="2"/>
            <w:vMerge w:val="continue"/>
            <w:tcBorders>
              <w:top w:val="single" w:color="auto" w:sz="4" w:space="0"/>
              <w:left w:val="single" w:color="auto" w:sz="4" w:space="0"/>
              <w:right w:val="single" w:color="auto" w:sz="4" w:space="0"/>
            </w:tcBorders>
            <w:noWrap/>
            <w:vAlign w:val="center"/>
          </w:tcPr>
          <w:p w14:paraId="26469EB9"/>
        </w:tc>
        <w:tc>
          <w:tcPr>
            <w:tcBorders>
              <w:top w:val="single" w:color="auto" w:sz="4" w:space="0"/>
              <w:left w:val="single" w:color="auto" w:sz="4" w:space="0"/>
              <w:right w:val="single" w:color="auto" w:sz="4" w:space="0"/>
            </w:tcBorders>
            <w:noWrap/>
            <w:vAlign w:val="center"/>
          </w:tcPr>
          <w:p w14:paraId="4DA27CF8">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C（MPa）</w:t>
            </w:r>
          </w:p>
        </w:tc>
        <w:tc>
          <w:tcPr>
            <w:tcBorders>
              <w:top w:val="single" w:color="auto" w:sz="4" w:space="0"/>
              <w:left w:val="single" w:color="auto" w:sz="4" w:space="0"/>
              <w:right w:val="single" w:color="auto" w:sz="4" w:space="0"/>
            </w:tcBorders>
            <w:noWrap/>
            <w:vAlign w:val="center"/>
          </w:tcPr>
          <w:p w14:paraId="06C4B3E3">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Ψ（°）</w:t>
            </w:r>
          </w:p>
        </w:tc>
        <w:tc>
          <w:tcPr>
            <w:tcW w:w="1551" w:type="dxa"/>
            <w:vMerge w:val="continue"/>
            <w:tcBorders>
              <w:top w:val="single" w:color="auto" w:sz="4" w:space="0"/>
              <w:left w:val="single" w:color="auto" w:sz="4" w:space="0"/>
              <w:right w:val="single" w:color="auto" w:sz="4" w:space="0"/>
            </w:tcBorders>
            <w:noWrap/>
            <w:vAlign w:val="center"/>
          </w:tcPr>
          <w:p w14:paraId="332D5EEF"/>
        </w:tc>
        <w:tc>
          <w:tcPr>
            <w:tcW w:w="959" w:type="dxa"/>
            <w:vMerge w:val="continue"/>
            <w:tcBorders>
              <w:top w:val="single" w:color="auto" w:sz="4" w:space="0"/>
              <w:left w:val="single" w:color="auto" w:sz="4" w:space="0"/>
              <w:right w:val="single" w:color="auto" w:sz="4" w:space="0"/>
            </w:tcBorders>
            <w:noWrap/>
            <w:vAlign w:val="center"/>
          </w:tcPr>
          <w:p w14:paraId="16D7AC5A"/>
        </w:tc>
        <w:tc>
          <w:tcPr>
            <w:vMerge w:val="continue"/>
            <w:tcBorders>
              <w:top w:val="single" w:color="auto" w:sz="4" w:space="0"/>
              <w:left w:val="single" w:color="auto" w:sz="4" w:space="0"/>
              <w:right w:val="single" w:color="auto" w:sz="4" w:space="0"/>
            </w:tcBorders>
            <w:noWrap/>
            <w:vAlign w:val="center"/>
          </w:tcPr>
          <w:p w14:paraId="5B939B35"/>
        </w:tc>
      </w:tr>
      <w:tr w14:paraId="0018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vMerge w:val="restart"/>
            <w:tcBorders>
              <w:top w:val="single" w:color="auto" w:sz="4" w:space="0"/>
              <w:left w:val="single" w:color="auto" w:sz="4" w:space="0"/>
              <w:right w:val="single" w:color="auto" w:sz="4" w:space="0"/>
            </w:tcBorders>
            <w:noWrap/>
            <w:vAlign w:val="center"/>
          </w:tcPr>
          <w:p w14:paraId="3EE94CF5">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软弱岩组</w:t>
            </w:r>
          </w:p>
        </w:tc>
        <w:tc>
          <w:tcPr>
            <w:vMerge w:val="restart"/>
            <w:tcBorders>
              <w:top w:val="single" w:color="auto" w:sz="4" w:space="0"/>
              <w:left w:val="single" w:color="auto" w:sz="4" w:space="0"/>
              <w:right w:val="single" w:color="auto" w:sz="4" w:space="0"/>
            </w:tcBorders>
            <w:noWrap/>
            <w:vAlign w:val="center"/>
          </w:tcPr>
          <w:p w14:paraId="20A962F3">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泥岩</w:t>
            </w:r>
          </w:p>
        </w:tc>
        <w:tc>
          <w:tcPr>
            <w:tcBorders>
              <w:top w:val="single" w:color="auto" w:sz="4" w:space="0"/>
              <w:left w:val="single" w:color="auto" w:sz="4" w:space="0"/>
              <w:right w:val="single" w:color="auto" w:sz="4" w:space="0"/>
            </w:tcBorders>
            <w:noWrap/>
            <w:vAlign w:val="center"/>
          </w:tcPr>
          <w:p w14:paraId="1D6CC656">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最小值</w:t>
            </w:r>
          </w:p>
        </w:tc>
        <w:tc>
          <w:tcPr>
            <w:tcBorders>
              <w:top w:val="single" w:color="auto" w:sz="4" w:space="0"/>
              <w:left w:val="single" w:color="auto" w:sz="4" w:space="0"/>
              <w:right w:val="single" w:color="auto" w:sz="4" w:space="0"/>
            </w:tcBorders>
            <w:noWrap/>
            <w:vAlign w:val="center"/>
          </w:tcPr>
          <w:p w14:paraId="37196D37">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3.5</w:t>
            </w:r>
          </w:p>
        </w:tc>
        <w:tc>
          <w:tcPr>
            <w:tcBorders>
              <w:top w:val="single" w:color="auto" w:sz="4" w:space="0"/>
              <w:left w:val="single" w:color="auto" w:sz="4" w:space="0"/>
              <w:right w:val="single" w:color="auto" w:sz="4" w:space="0"/>
            </w:tcBorders>
            <w:noWrap/>
            <w:vAlign w:val="center"/>
          </w:tcPr>
          <w:p w14:paraId="4E6778FF">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0.91</w:t>
            </w:r>
          </w:p>
        </w:tc>
        <w:tc>
          <w:tcPr>
            <w:tcBorders>
              <w:top w:val="single" w:color="auto" w:sz="4" w:space="0"/>
              <w:left w:val="single" w:color="auto" w:sz="4" w:space="0"/>
              <w:right w:val="single" w:color="auto" w:sz="4" w:space="0"/>
            </w:tcBorders>
            <w:noWrap/>
            <w:vAlign w:val="center"/>
          </w:tcPr>
          <w:p w14:paraId="5BAC3F77">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36.6</w:t>
            </w:r>
          </w:p>
        </w:tc>
        <w:tc>
          <w:tcPr>
            <w:tcW w:w="1551" w:type="dxa"/>
            <w:vMerge w:val="restart"/>
            <w:tcBorders>
              <w:top w:val="single" w:color="auto" w:sz="4" w:space="0"/>
              <w:left w:val="single" w:color="auto" w:sz="4" w:space="0"/>
              <w:right w:val="single" w:color="auto" w:sz="4" w:space="0"/>
            </w:tcBorders>
            <w:noWrap/>
            <w:vAlign w:val="center"/>
          </w:tcPr>
          <w:p w14:paraId="1181C4F3">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66.7</w:t>
            </w:r>
          </w:p>
        </w:tc>
        <w:tc>
          <w:tcPr>
            <w:tcW w:w="959" w:type="dxa"/>
            <w:vMerge w:val="restart"/>
            <w:tcBorders>
              <w:top w:val="single" w:color="auto" w:sz="4" w:space="0"/>
              <w:left w:val="single" w:color="auto" w:sz="4" w:space="0"/>
              <w:right w:val="single" w:color="auto" w:sz="4" w:space="0"/>
            </w:tcBorders>
            <w:noWrap/>
            <w:vAlign w:val="center"/>
          </w:tcPr>
          <w:p w14:paraId="24F0458D">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薄层状结构</w:t>
            </w:r>
          </w:p>
        </w:tc>
        <w:tc>
          <w:tcPr>
            <w:vMerge w:val="restart"/>
            <w:tcBorders>
              <w:top w:val="single" w:color="auto" w:sz="4" w:space="0"/>
              <w:left w:val="single" w:color="auto" w:sz="4" w:space="0"/>
              <w:right w:val="single" w:color="auto" w:sz="4" w:space="0"/>
            </w:tcBorders>
            <w:noWrap/>
            <w:vAlign w:val="center"/>
          </w:tcPr>
          <w:p w14:paraId="678E5954">
            <w:pPr>
              <w:spacing w:line="240" w:lineRule="atLeast"/>
              <w:ind w:firstLine="0"/>
              <w:jc w:val="center"/>
              <w:rPr>
                <w:rFonts w:hint="eastAsia" w:ascii="仿宋_GB2312" w:eastAsia="仿宋_GB2312" w:cs="仿宋_GB2312"/>
                <w:color w:val="auto"/>
                <w:sz w:val="21"/>
                <w:szCs w:val="22"/>
              </w:rPr>
            </w:pPr>
            <w:r>
              <w:rPr>
                <w:rFonts w:hint="eastAsia" w:ascii="仿宋_GB2312" w:eastAsia="仿宋_GB2312" w:cs="仿宋_GB2312"/>
                <w:color w:val="auto"/>
                <w:sz w:val="21"/>
                <w:szCs w:val="22"/>
              </w:rPr>
              <w:t>含基岩裂隙水，富水性弱</w:t>
            </w:r>
          </w:p>
        </w:tc>
      </w:tr>
      <w:tr w14:paraId="398B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vMerge w:val="continue"/>
            <w:tcBorders>
              <w:top w:val="single" w:color="auto" w:sz="4" w:space="0"/>
              <w:left w:val="single" w:color="auto" w:sz="4" w:space="0"/>
              <w:right w:val="single" w:color="auto" w:sz="4" w:space="0"/>
            </w:tcBorders>
            <w:noWrap/>
            <w:vAlign w:val="center"/>
          </w:tcPr>
          <w:p w14:paraId="18004A5A"/>
        </w:tc>
        <w:tc>
          <w:tcPr>
            <w:vMerge w:val="continue"/>
            <w:tcBorders>
              <w:top w:val="single" w:color="auto" w:sz="4" w:space="0"/>
              <w:left w:val="single" w:color="auto" w:sz="4" w:space="0"/>
              <w:right w:val="single" w:color="auto" w:sz="4" w:space="0"/>
            </w:tcBorders>
            <w:noWrap/>
            <w:vAlign w:val="center"/>
          </w:tcPr>
          <w:p w14:paraId="139B86A0"/>
        </w:tc>
        <w:tc>
          <w:tcPr>
            <w:tcBorders>
              <w:top w:val="single" w:color="auto" w:sz="4" w:space="0"/>
              <w:left w:val="single" w:color="auto" w:sz="4" w:space="0"/>
              <w:right w:val="single" w:color="auto" w:sz="4" w:space="0"/>
            </w:tcBorders>
            <w:noWrap/>
            <w:vAlign w:val="center"/>
          </w:tcPr>
          <w:p w14:paraId="30926DD5">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最大值</w:t>
            </w:r>
          </w:p>
        </w:tc>
        <w:tc>
          <w:tcPr>
            <w:tcBorders>
              <w:top w:val="single" w:color="auto" w:sz="4" w:space="0"/>
              <w:left w:val="single" w:color="auto" w:sz="4" w:space="0"/>
              <w:right w:val="single" w:color="auto" w:sz="4" w:space="0"/>
            </w:tcBorders>
            <w:noWrap/>
            <w:vAlign w:val="center"/>
          </w:tcPr>
          <w:p w14:paraId="7CB9E0DB">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5.4</w:t>
            </w:r>
          </w:p>
        </w:tc>
        <w:tc>
          <w:tcPr>
            <w:tcBorders>
              <w:top w:val="single" w:color="auto" w:sz="4" w:space="0"/>
              <w:left w:val="single" w:color="auto" w:sz="4" w:space="0"/>
              <w:right w:val="single" w:color="auto" w:sz="4" w:space="0"/>
            </w:tcBorders>
            <w:noWrap/>
            <w:vAlign w:val="center"/>
          </w:tcPr>
          <w:p w14:paraId="58B78998">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1.36</w:t>
            </w:r>
          </w:p>
        </w:tc>
        <w:tc>
          <w:tcPr>
            <w:tcBorders>
              <w:top w:val="single" w:color="auto" w:sz="4" w:space="0"/>
              <w:left w:val="single" w:color="auto" w:sz="4" w:space="0"/>
              <w:right w:val="single" w:color="auto" w:sz="4" w:space="0"/>
            </w:tcBorders>
            <w:noWrap/>
            <w:vAlign w:val="center"/>
          </w:tcPr>
          <w:p w14:paraId="6DABACAE">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37.4</w:t>
            </w:r>
          </w:p>
        </w:tc>
        <w:tc>
          <w:tcPr>
            <w:tcW w:w="1551" w:type="dxa"/>
            <w:vMerge w:val="continue"/>
            <w:tcBorders>
              <w:top w:val="single" w:color="auto" w:sz="4" w:space="0"/>
              <w:left w:val="single" w:color="auto" w:sz="4" w:space="0"/>
              <w:right w:val="single" w:color="auto" w:sz="4" w:space="0"/>
            </w:tcBorders>
            <w:noWrap/>
            <w:vAlign w:val="center"/>
          </w:tcPr>
          <w:p w14:paraId="46730EEF"/>
        </w:tc>
        <w:tc>
          <w:tcPr>
            <w:tcW w:w="959" w:type="dxa"/>
            <w:vMerge w:val="continue"/>
            <w:tcBorders>
              <w:top w:val="single" w:color="auto" w:sz="4" w:space="0"/>
              <w:left w:val="single" w:color="auto" w:sz="4" w:space="0"/>
              <w:right w:val="single" w:color="auto" w:sz="4" w:space="0"/>
            </w:tcBorders>
            <w:noWrap/>
            <w:vAlign w:val="center"/>
          </w:tcPr>
          <w:p w14:paraId="289E7351"/>
        </w:tc>
        <w:tc>
          <w:tcPr>
            <w:vMerge w:val="continue"/>
            <w:tcBorders>
              <w:top w:val="single" w:color="auto" w:sz="4" w:space="0"/>
              <w:left w:val="single" w:color="auto" w:sz="4" w:space="0"/>
              <w:right w:val="single" w:color="auto" w:sz="4" w:space="0"/>
            </w:tcBorders>
            <w:noWrap/>
            <w:vAlign w:val="center"/>
          </w:tcPr>
          <w:p w14:paraId="18324FBB"/>
        </w:tc>
      </w:tr>
      <w:tr w14:paraId="606C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vMerge w:val="continue"/>
            <w:tcBorders>
              <w:top w:val="single" w:color="auto" w:sz="4" w:space="0"/>
              <w:left w:val="single" w:color="auto" w:sz="4" w:space="0"/>
              <w:right w:val="single" w:color="auto" w:sz="4" w:space="0"/>
            </w:tcBorders>
            <w:noWrap/>
            <w:vAlign w:val="center"/>
          </w:tcPr>
          <w:p w14:paraId="73C6DC26"/>
        </w:tc>
        <w:tc>
          <w:tcPr>
            <w:vMerge w:val="continue"/>
            <w:tcBorders>
              <w:top w:val="single" w:color="auto" w:sz="4" w:space="0"/>
              <w:left w:val="single" w:color="auto" w:sz="4" w:space="0"/>
              <w:right w:val="single" w:color="auto" w:sz="4" w:space="0"/>
            </w:tcBorders>
            <w:noWrap/>
            <w:vAlign w:val="center"/>
          </w:tcPr>
          <w:p w14:paraId="448E78A5"/>
        </w:tc>
        <w:tc>
          <w:tcPr>
            <w:tcBorders>
              <w:top w:val="single" w:color="auto" w:sz="4" w:space="0"/>
              <w:left w:val="single" w:color="auto" w:sz="4" w:space="0"/>
              <w:right w:val="single" w:color="auto" w:sz="4" w:space="0"/>
            </w:tcBorders>
            <w:noWrap/>
            <w:vAlign w:val="center"/>
          </w:tcPr>
          <w:p w14:paraId="61C446E0">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平均</w:t>
            </w:r>
          </w:p>
        </w:tc>
        <w:tc>
          <w:tcPr>
            <w:tcBorders>
              <w:top w:val="single" w:color="auto" w:sz="4" w:space="0"/>
              <w:left w:val="single" w:color="auto" w:sz="4" w:space="0"/>
              <w:right w:val="single" w:color="auto" w:sz="4" w:space="0"/>
            </w:tcBorders>
            <w:noWrap/>
            <w:vAlign w:val="center"/>
          </w:tcPr>
          <w:p w14:paraId="44BCC4D6">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3.8</w:t>
            </w:r>
          </w:p>
        </w:tc>
        <w:tc>
          <w:tcPr>
            <w:tcBorders>
              <w:top w:val="single" w:color="auto" w:sz="4" w:space="0"/>
              <w:left w:val="single" w:color="auto" w:sz="4" w:space="0"/>
              <w:right w:val="single" w:color="auto" w:sz="4" w:space="0"/>
            </w:tcBorders>
            <w:noWrap/>
            <w:vAlign w:val="center"/>
          </w:tcPr>
          <w:p w14:paraId="3981BF99">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1.09</w:t>
            </w:r>
          </w:p>
        </w:tc>
        <w:tc>
          <w:tcPr>
            <w:tcBorders>
              <w:top w:val="single" w:color="auto" w:sz="4" w:space="0"/>
              <w:left w:val="single" w:color="auto" w:sz="4" w:space="0"/>
              <w:right w:val="single" w:color="auto" w:sz="4" w:space="0"/>
            </w:tcBorders>
            <w:noWrap/>
            <w:vAlign w:val="center"/>
          </w:tcPr>
          <w:p w14:paraId="728DE1BF">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37.1</w:t>
            </w:r>
          </w:p>
        </w:tc>
        <w:tc>
          <w:tcPr>
            <w:tcW w:w="1551" w:type="dxa"/>
            <w:vMerge w:val="continue"/>
            <w:tcBorders>
              <w:top w:val="single" w:color="auto" w:sz="4" w:space="0"/>
              <w:left w:val="single" w:color="auto" w:sz="4" w:space="0"/>
              <w:right w:val="single" w:color="auto" w:sz="4" w:space="0"/>
            </w:tcBorders>
            <w:noWrap/>
            <w:vAlign w:val="center"/>
          </w:tcPr>
          <w:p w14:paraId="0325A3DD"/>
        </w:tc>
        <w:tc>
          <w:tcPr>
            <w:tcW w:w="959" w:type="dxa"/>
            <w:vMerge w:val="continue"/>
            <w:tcBorders>
              <w:top w:val="single" w:color="auto" w:sz="4" w:space="0"/>
              <w:left w:val="single" w:color="auto" w:sz="4" w:space="0"/>
              <w:right w:val="single" w:color="auto" w:sz="4" w:space="0"/>
            </w:tcBorders>
            <w:noWrap/>
            <w:vAlign w:val="center"/>
          </w:tcPr>
          <w:p w14:paraId="1FA6FF5C"/>
        </w:tc>
        <w:tc>
          <w:tcPr>
            <w:vMerge w:val="continue"/>
            <w:tcBorders>
              <w:top w:val="single" w:color="auto" w:sz="4" w:space="0"/>
              <w:left w:val="single" w:color="auto" w:sz="4" w:space="0"/>
              <w:right w:val="single" w:color="auto" w:sz="4" w:space="0"/>
            </w:tcBorders>
            <w:noWrap/>
            <w:vAlign w:val="center"/>
          </w:tcPr>
          <w:p w14:paraId="2FC47D26"/>
        </w:tc>
      </w:tr>
    </w:tbl>
    <w:p w14:paraId="68F57E9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（1）岩体质量系数（Z）：按下式计算</w:t>
      </w:r>
    </w:p>
    <w:p w14:paraId="4133CD5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Z=I×f×S；</w:t>
      </w:r>
    </w:p>
    <w:p w14:paraId="30F755D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S=Rc/10；</w:t>
      </w:r>
    </w:p>
    <w:p w14:paraId="5F1DF30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式中：Z—岩体质量系数；</w:t>
      </w:r>
    </w:p>
    <w:p w14:paraId="7584369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 xml:space="preserve">      I—岩体完整系数（无资料时可用RQD值代替，取值</w:t>
      </w:r>
      <w:r>
        <w:rPr>
          <w:rFonts w:hint="eastAsia" w:ascii="仿宋_GB2312" w:eastAsia="仿宋_GB2312" w:cs="仿宋_GB2312"/>
          <w:color w:val="auto"/>
          <w:lang w:val="en-US" w:eastAsia="zh-CN"/>
        </w:rPr>
        <w:t>66.7</w:t>
      </w:r>
      <w:r>
        <w:rPr>
          <w:rFonts w:hint="eastAsia" w:ascii="仿宋_GB2312" w:eastAsia="仿宋_GB2312" w:cs="仿宋_GB2312"/>
          <w:color w:val="auto"/>
        </w:rPr>
        <w:t>%）；</w:t>
      </w:r>
    </w:p>
    <w:p w14:paraId="4730057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 xml:space="preserve">      f—结构面摩擦系数，取经验值0.5；</w:t>
      </w:r>
    </w:p>
    <w:p w14:paraId="310ED9E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 xml:space="preserve">      S—岩块坚硬系数；</w:t>
      </w:r>
    </w:p>
    <w:p w14:paraId="4161C8D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 xml:space="preserve">      Rc—岩石饱和抗压强度（MPa），取3.8MPa；</w:t>
      </w:r>
    </w:p>
    <w:p w14:paraId="25CBACE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泥岩岩组经计算，岩体质量系数为0.13，岩体主要以薄层状结构为主，根据岩体Z值范围及其优劣分级表的划分标准，矿区的岩体质量等级总体为坏（Ⅳ级）。</w:t>
      </w:r>
    </w:p>
    <w:p w14:paraId="2F7D5DB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（2）岩体质量指标（M）：按武汉水电学院法计算</w:t>
      </w:r>
    </w:p>
    <w:p w14:paraId="308DE7C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drawing>
          <wp:inline distT="0" distB="0" distL="114300" distR="114300">
            <wp:extent cx="1009650" cy="361950"/>
            <wp:effectExtent l="0" t="0" r="16" b="6"/>
            <wp:docPr id="3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1"/>
                    <pic:cNvPicPr>
                      <a:picLocks noChangeAspect="1"/>
                    </pic:cNvPicPr>
                  </pic:nvPicPr>
                  <pic:blipFill>
                    <a:blip r:embed="rId23"/>
                    <a:stretch>
                      <a:fillRect/>
                    </a:stretch>
                  </pic:blipFill>
                  <pic:spPr>
                    <a:xfrm>
                      <a:off x="0" y="0"/>
                      <a:ext cx="1009650" cy="361950"/>
                    </a:xfrm>
                    <a:prstGeom prst="rect">
                      <a:avLst/>
                    </a:prstGeom>
                    <a:noFill/>
                    <a:ln w="9525" cap="flat" cmpd="sng">
                      <a:noFill/>
                      <a:prstDash val="solid"/>
                      <a:round/>
                    </a:ln>
                  </pic:spPr>
                </pic:pic>
              </a:graphicData>
            </a:graphic>
          </wp:inline>
        </w:drawing>
      </w:r>
    </w:p>
    <w:p w14:paraId="75100B2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式中：Ｍ—岩体质量指标；</w:t>
      </w:r>
    </w:p>
    <w:p w14:paraId="5BC221B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 xml:space="preserve">      Rc—岩石饱和抗压强度（MPa）。</w:t>
      </w:r>
    </w:p>
    <w:p w14:paraId="03CCA96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经计算，泥岩岩组岩体质量指标为0.08</w:t>
      </w:r>
      <w:r>
        <w:rPr>
          <w:rFonts w:hint="eastAsia" w:ascii="仿宋_GB2312" w:eastAsia="仿宋_GB2312" w:cs="仿宋_GB2312"/>
          <w:color w:val="auto"/>
          <w:lang w:val="en-US" w:eastAsia="zh-CN"/>
        </w:rPr>
        <w:t>4</w:t>
      </w:r>
      <w:r>
        <w:rPr>
          <w:rFonts w:hint="eastAsia" w:ascii="仿宋_GB2312" w:eastAsia="仿宋_GB2312" w:cs="仿宋_GB2312"/>
          <w:color w:val="auto"/>
          <w:lang w:eastAsia="zh-CN"/>
        </w:rPr>
        <w:t>。</w:t>
      </w:r>
      <w:r>
        <w:rPr>
          <w:rFonts w:hint="eastAsia" w:ascii="仿宋_GB2312" w:eastAsia="仿宋_GB2312" w:cs="仿宋_GB2312"/>
          <w:color w:val="auto"/>
        </w:rPr>
        <w:t>岩体主要以薄层状结构为主，根据岩体M值范围及其优劣分级表的划分标准，矿区的岩体质量等级总体为差（Ⅳ级）。</w:t>
      </w:r>
    </w:p>
    <w:bookmarkEnd w:id="136"/>
    <w:p w14:paraId="7DD29483">
      <w:pPr>
        <w:adjustRightInd w:val="0"/>
        <w:snapToGrid w:val="0"/>
        <w:spacing w:line="360" w:lineRule="auto"/>
        <w:outlineLvl w:val="3"/>
        <w:rPr>
          <w:rFonts w:hint="eastAsia" w:ascii="仿宋_GB2312" w:eastAsia="仿宋_GB2312" w:cs="仿宋_GB2312"/>
          <w:b/>
          <w:color w:val="auto"/>
          <w:sz w:val="28"/>
          <w:szCs w:val="28"/>
          <w:lang w:val="en-US" w:eastAsia="zh-CN"/>
        </w:rPr>
      </w:pPr>
      <w:r>
        <w:rPr>
          <w:rFonts w:hint="eastAsia" w:ascii="仿宋_GB2312" w:eastAsia="仿宋_GB2312" w:cs="仿宋_GB2312"/>
          <w:b/>
          <w:color w:val="auto"/>
          <w:sz w:val="28"/>
          <w:szCs w:val="28"/>
          <w:lang w:val="en-US" w:eastAsia="zh-CN"/>
        </w:rPr>
        <w:t>3.3.2.2 工程地质勘查类型</w:t>
      </w:r>
    </w:p>
    <w:p w14:paraId="721C79D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勘查区为一简单的浅丘地貌形态。矿体及围岩为侏罗系上统蓬莱镇组泥岩、粉砂岩等组成的碎屑岩类软弱工程地质岩组。岩石强度交底，遇水易软化崩解，表层易风化。矿区工程地质条件属中等。</w:t>
      </w:r>
    </w:p>
    <w:p w14:paraId="701984DB">
      <w:pPr>
        <w:adjustRightInd w:val="0"/>
        <w:snapToGrid w:val="0"/>
        <w:spacing w:line="360" w:lineRule="auto"/>
        <w:outlineLvl w:val="2"/>
        <w:rPr>
          <w:rFonts w:hint="eastAsia" w:ascii="仿宋_GB2312" w:eastAsia="仿宋_GB2312" w:cs="仿宋_GB2312"/>
          <w:b/>
          <w:color w:val="auto"/>
          <w:sz w:val="28"/>
          <w:szCs w:val="28"/>
        </w:rPr>
      </w:pPr>
      <w:bookmarkStart w:id="137" w:name="_Toc148957948"/>
      <w:bookmarkStart w:id="138" w:name="_Toc1867"/>
      <w:r>
        <w:rPr>
          <w:rFonts w:hint="eastAsia" w:ascii="仿宋_GB2312" w:eastAsia="仿宋_GB2312" w:cs="仿宋_GB2312"/>
          <w:b/>
          <w:color w:val="auto"/>
          <w:sz w:val="28"/>
          <w:szCs w:val="28"/>
        </w:rPr>
        <w:t>3.3.3环境地质条件</w:t>
      </w:r>
      <w:bookmarkEnd w:id="137"/>
      <w:bookmarkEnd w:id="138"/>
    </w:p>
    <w:p w14:paraId="0FD70EDF">
      <w:pPr>
        <w:adjustRightInd w:val="0"/>
        <w:snapToGrid w:val="0"/>
        <w:spacing w:line="360" w:lineRule="auto"/>
        <w:outlineLvl w:val="3"/>
        <w:rPr>
          <w:rFonts w:hint="eastAsia" w:ascii="仿宋_GB2312" w:eastAsia="仿宋_GB2312" w:cs="仿宋_GB2312"/>
          <w:b/>
          <w:color w:val="auto"/>
          <w:sz w:val="28"/>
          <w:szCs w:val="28"/>
          <w:lang w:val="en-US" w:eastAsia="zh-CN"/>
        </w:rPr>
      </w:pPr>
      <w:r>
        <w:rPr>
          <w:rFonts w:hint="eastAsia" w:ascii="仿宋_GB2312" w:eastAsia="仿宋_GB2312" w:cs="仿宋_GB2312"/>
          <w:b/>
          <w:color w:val="auto"/>
          <w:sz w:val="28"/>
          <w:szCs w:val="28"/>
          <w:lang w:val="en-US" w:eastAsia="zh-CN"/>
        </w:rPr>
        <w:t>3.3.3.1 区域稳定性评价</w:t>
      </w:r>
    </w:p>
    <w:p w14:paraId="3C679CA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区域内新构造运动不强烈，总的特点为大面积整体间歇性上升为主，伴生断裂复活及地震活动，差异性运动及下降运动不明显。从各河流阶地级数稳定、高度亦稳定的事实，说明各地上升幅度差异不大，为大面积均衡间歇性上升。从涪江及其支流的河漫滩、超河漫滩、河心滩、河心岛等较为发育，表明在全新世地壳仍在不断上升。由于构造平缓，岩层倾角小，构造应力弱，致使表层风化裂隙普遍发育。</w:t>
      </w:r>
    </w:p>
    <w:p w14:paraId="794DDAB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lang w:val="en-US" w:eastAsia="zh-CN"/>
        </w:rPr>
        <w:t>根据《中国地震动参数区划图》（GB18306-2015）：大英县</w:t>
      </w:r>
      <w:r>
        <w:rPr>
          <w:rFonts w:hint="eastAsia" w:ascii="仿宋_GB2312" w:eastAsia="仿宋_GB2312" w:cs="仿宋_GB2312"/>
          <w:color w:val="auto"/>
          <w:sz w:val="28"/>
          <w:szCs w:val="28"/>
          <w:lang w:val="en-US" w:eastAsia="zh-CN"/>
        </w:rPr>
        <w:t>卓筒井镇</w:t>
      </w:r>
      <w:r>
        <w:rPr>
          <w:rFonts w:hint="eastAsia" w:ascii="仿宋_GB2312" w:eastAsia="仿宋_GB2312" w:cs="仿宋_GB2312"/>
          <w:color w:val="auto"/>
          <w:lang w:val="en-US" w:eastAsia="zh-CN"/>
        </w:rPr>
        <w:t>峰值加速度0.05g，</w:t>
      </w:r>
      <w:r>
        <w:rPr>
          <w:rFonts w:hint="eastAsia" w:ascii="仿宋_GB2312" w:eastAsia="仿宋_GB2312" w:cs="仿宋_GB2312"/>
          <w:color w:val="auto"/>
        </w:rPr>
        <w:t>反应谱特征周期0.</w:t>
      </w:r>
      <w:r>
        <w:rPr>
          <w:rFonts w:hint="eastAsia" w:ascii="仿宋_GB2312" w:eastAsia="仿宋_GB2312" w:cs="仿宋_GB2312"/>
          <w:color w:val="auto"/>
          <w:lang w:val="en-US" w:eastAsia="zh-CN"/>
        </w:rPr>
        <w:t>3</w:t>
      </w:r>
      <w:r>
        <w:rPr>
          <w:rFonts w:hint="eastAsia" w:ascii="仿宋_GB2312" w:eastAsia="仿宋_GB2312" w:cs="仿宋_GB2312"/>
          <w:color w:val="auto"/>
        </w:rPr>
        <w:t>5s，</w:t>
      </w:r>
      <w:r>
        <w:rPr>
          <w:rFonts w:hint="eastAsia" w:ascii="仿宋_GB2312" w:eastAsia="仿宋_GB2312" w:cs="仿宋_GB2312"/>
          <w:color w:val="auto"/>
          <w:lang w:val="en-US" w:eastAsia="zh-CN"/>
        </w:rPr>
        <w:t>对应《建筑抗震设计标准(2024年版)》（GB50011-2010）表3.2.2，抗震设防烈度为6度。</w:t>
      </w:r>
    </w:p>
    <w:p w14:paraId="308B014B">
      <w:pPr>
        <w:adjustRightInd w:val="0"/>
        <w:snapToGrid w:val="0"/>
        <w:spacing w:line="360" w:lineRule="auto"/>
        <w:outlineLvl w:val="3"/>
        <w:rPr>
          <w:rFonts w:hint="eastAsia" w:ascii="仿宋_GB2312" w:eastAsia="仿宋_GB2312" w:cs="仿宋_GB2312"/>
          <w:b/>
          <w:color w:val="auto"/>
          <w:sz w:val="28"/>
          <w:szCs w:val="28"/>
          <w:lang w:val="en-US" w:eastAsia="zh-CN"/>
        </w:rPr>
      </w:pPr>
      <w:r>
        <w:rPr>
          <w:rFonts w:hint="eastAsia" w:ascii="仿宋_GB2312" w:eastAsia="仿宋_GB2312" w:cs="仿宋_GB2312"/>
          <w:b/>
          <w:color w:val="auto"/>
          <w:sz w:val="28"/>
          <w:szCs w:val="28"/>
          <w:lang w:val="en-US" w:eastAsia="zh-CN"/>
        </w:rPr>
        <w:t>3.3.3.2 地质环境现状</w:t>
      </w:r>
    </w:p>
    <w:p w14:paraId="3C30A9F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地质灾害：未发现崩塌、滑坡、泥石流、塌陷、地裂缝、地面沉降等不良地质作用及地质灾害。</w:t>
      </w:r>
    </w:p>
    <w:p w14:paraId="48E90B9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水质及污染：未见地表水发育，仅有季节性冲沟，地下水未受到污染。</w:t>
      </w:r>
    </w:p>
    <w:p w14:paraId="23456D9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土壤及污染：区内土地利用类型为林地，耕地，无自然保护区，且不在耕地红线范围内。壤未受到外来污染。</w:t>
      </w:r>
    </w:p>
    <w:p w14:paraId="2CE6226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地热及放射性：不存在地热异常区，未发现放射性异常。</w:t>
      </w:r>
    </w:p>
    <w:p w14:paraId="21BFD568">
      <w:pPr>
        <w:adjustRightInd w:val="0"/>
        <w:snapToGrid w:val="0"/>
        <w:spacing w:line="360" w:lineRule="auto"/>
        <w:outlineLvl w:val="3"/>
        <w:rPr>
          <w:rFonts w:hint="eastAsia" w:ascii="仿宋_GB2312" w:eastAsia="仿宋_GB2312" w:cs="仿宋_GB2312"/>
          <w:b/>
          <w:color w:val="auto"/>
          <w:sz w:val="28"/>
          <w:szCs w:val="28"/>
          <w:lang w:val="en-US" w:eastAsia="zh-CN"/>
        </w:rPr>
      </w:pPr>
      <w:r>
        <w:rPr>
          <w:rFonts w:hint="eastAsia" w:ascii="仿宋_GB2312" w:eastAsia="仿宋_GB2312" w:cs="仿宋_GB2312"/>
          <w:b/>
          <w:color w:val="auto"/>
          <w:sz w:val="28"/>
          <w:szCs w:val="28"/>
          <w:lang w:val="en-US" w:eastAsia="zh-CN"/>
        </w:rPr>
        <w:t>3.3.3.3 矿山开采地质环境影响预测</w:t>
      </w:r>
    </w:p>
    <w:p w14:paraId="1B14B76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矿产开发将涉及矿山基础设施建设、矿山公路建设、形成大面积的采坑、废水排放等。因此，预测矿产开发可能造成以下环境地质问题：</w:t>
      </w:r>
    </w:p>
    <w:p w14:paraId="036769E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1、人类工程活动加剧，大量损毁和压占土地</w:t>
      </w:r>
    </w:p>
    <w:p w14:paraId="381177C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矿产开发项目相关配套设施建设，需要征占一定面积的土地。开采境界范围内林地将全部遭受毁坏。</w:t>
      </w:r>
    </w:p>
    <w:p w14:paraId="648F01A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2、大量工程开挖，破坏自然地貌景观</w:t>
      </w:r>
    </w:p>
    <w:p w14:paraId="1D6A872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采矿过程中的场地平整，道路施工，边坡开挖，地面硬化等都将造成地貌的改变。</w:t>
      </w:r>
    </w:p>
    <w:p w14:paraId="1B5F2D4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3、形成新的边坡问题或存在酿成地质灾害的风险</w:t>
      </w:r>
    </w:p>
    <w:p w14:paraId="62C0272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大面积的采坑逐步形成，既形成新的边坡形态，造就新的边坡问题，形成的边坡在降雨、地震等外动力因素影响下，可能诱发边坡失稳。</w:t>
      </w:r>
    </w:p>
    <w:p w14:paraId="26125E1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4、矿山开采带来的其它影响</w:t>
      </w:r>
    </w:p>
    <w:p w14:paraId="2B79036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机械漏油会对土壤及水体产生污染，生活垃圾处理不当同样会对自然环境造成污染。矿山开采及矿石运输产生的粉尘、废气、废水、废渣、噪音等都会对周边环境造成一定的污染。</w:t>
      </w:r>
    </w:p>
    <w:p w14:paraId="0614EA08">
      <w:pPr>
        <w:adjustRightInd w:val="0"/>
        <w:snapToGrid w:val="0"/>
        <w:spacing w:line="360" w:lineRule="auto"/>
        <w:outlineLvl w:val="3"/>
        <w:rPr>
          <w:rFonts w:hint="eastAsia" w:ascii="仿宋_GB2312" w:eastAsia="仿宋_GB2312" w:cs="仿宋_GB2312"/>
          <w:b/>
          <w:color w:val="auto"/>
          <w:sz w:val="28"/>
          <w:szCs w:val="28"/>
          <w:lang w:val="en-US" w:eastAsia="zh-CN"/>
        </w:rPr>
      </w:pPr>
      <w:r>
        <w:rPr>
          <w:rFonts w:hint="eastAsia" w:ascii="仿宋_GB2312" w:eastAsia="仿宋_GB2312" w:cs="仿宋_GB2312"/>
          <w:b/>
          <w:color w:val="auto"/>
          <w:sz w:val="28"/>
          <w:szCs w:val="28"/>
          <w:lang w:val="en-US" w:eastAsia="zh-CN"/>
        </w:rPr>
        <w:t>3.3.3.4 矿区地质环境质量类型</w:t>
      </w:r>
    </w:p>
    <w:p w14:paraId="19F9954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目前矿区未见有规模的不良工程地质现象，但矿床的开采会对地形地貌、土地等资源造成破坏，今后将有可能引发滑坡、崩塌、泥石流等地质灾害；废石、废渣的堆放和废水的排放会对地表环境产生不利影响；区内基本无污染源，地表、地下水水质好，附近水体污染程度很低。按《矿区水文地质工程地质勘探规范》(GB12719-2021)，矿区地质环境类型为第二类即中等类型。</w:t>
      </w:r>
    </w:p>
    <w:p w14:paraId="2052035E">
      <w:pPr>
        <w:adjustRightInd w:val="0"/>
        <w:snapToGrid w:val="0"/>
        <w:spacing w:line="360" w:lineRule="auto"/>
        <w:outlineLvl w:val="2"/>
        <w:rPr>
          <w:rFonts w:hint="eastAsia" w:ascii="仿宋_GB2312" w:eastAsia="仿宋_GB2312" w:cs="仿宋_GB2312"/>
          <w:b/>
          <w:color w:val="auto"/>
          <w:sz w:val="28"/>
          <w:szCs w:val="28"/>
        </w:rPr>
      </w:pPr>
      <w:bookmarkStart w:id="139" w:name="_Toc15287"/>
      <w:bookmarkStart w:id="140" w:name="_Toc145567923"/>
      <w:r>
        <w:rPr>
          <w:rFonts w:hint="eastAsia" w:ascii="仿宋_GB2312" w:eastAsia="仿宋_GB2312" w:cs="仿宋_GB2312"/>
          <w:b/>
          <w:color w:val="auto"/>
          <w:sz w:val="28"/>
          <w:szCs w:val="28"/>
          <w:lang w:val="en-US" w:eastAsia="zh-CN"/>
        </w:rPr>
        <w:t>3.3.4</w:t>
      </w:r>
      <w:r>
        <w:rPr>
          <w:rFonts w:hint="eastAsia" w:ascii="仿宋_GB2312" w:eastAsia="仿宋_GB2312" w:cs="仿宋_GB2312"/>
          <w:b/>
          <w:color w:val="auto"/>
          <w:sz w:val="28"/>
          <w:szCs w:val="28"/>
        </w:rPr>
        <w:t>开采技术条件小结</w:t>
      </w:r>
      <w:bookmarkEnd w:id="139"/>
      <w:bookmarkEnd w:id="140"/>
    </w:p>
    <w:p w14:paraId="6CD71C50">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rPr>
        <w:t>综上所述，矿区是水文地质条件简单的矿床，是以碎屑岩类软弱工程地质岩组为主的工程地质条件中等的矿床，是地质环境中等的矿床，因此，拟设矿区开采技术条件勘查类型为开采技术条件中等的以工程地质、环境地质复合问题为主的矿床，即开采技术条件Ⅱ-4型矿床。</w:t>
      </w:r>
    </w:p>
    <w:p w14:paraId="3072A73A">
      <w:pPr>
        <w:pStyle w:val="4"/>
        <w:adjustRightInd w:val="0"/>
        <w:snapToGrid w:val="0"/>
        <w:spacing w:before="0"/>
        <w:rPr>
          <w:rFonts w:hint="eastAsia" w:ascii="仿宋_GB2312" w:eastAsia="仿宋_GB2312" w:cs="仿宋_GB2312"/>
          <w:b/>
          <w:bCs w:val="0"/>
          <w:color w:val="auto"/>
          <w:sz w:val="28"/>
          <w:szCs w:val="28"/>
        </w:rPr>
      </w:pPr>
      <w:bookmarkStart w:id="141" w:name="_Toc1764"/>
      <w:bookmarkStart w:id="142" w:name="_Toc30905"/>
      <w:bookmarkStart w:id="143" w:name="_Toc3588"/>
      <w:bookmarkStart w:id="144" w:name="_Toc154889119"/>
      <w:bookmarkStart w:id="145" w:name="_Toc138060302"/>
      <w:bookmarkStart w:id="146" w:name="_Toc17930"/>
      <w:bookmarkStart w:id="147" w:name="_Toc148501846"/>
      <w:bookmarkStart w:id="148" w:name="_Toc62647873"/>
      <w:bookmarkStart w:id="149" w:name="_Toc81228020"/>
      <w:r>
        <w:rPr>
          <w:rFonts w:hint="eastAsia" w:ascii="仿宋_GB2312" w:eastAsia="仿宋_GB2312" w:cs="仿宋_GB2312"/>
          <w:b/>
          <w:bCs w:val="0"/>
          <w:color w:val="auto"/>
          <w:sz w:val="28"/>
          <w:szCs w:val="28"/>
        </w:rPr>
        <w:t>3.4矿区资源量</w:t>
      </w:r>
      <w:bookmarkEnd w:id="141"/>
      <w:bookmarkEnd w:id="142"/>
      <w:bookmarkEnd w:id="143"/>
      <w:bookmarkEnd w:id="144"/>
      <w:bookmarkEnd w:id="145"/>
      <w:bookmarkEnd w:id="146"/>
      <w:bookmarkEnd w:id="147"/>
    </w:p>
    <w:p w14:paraId="6795A30E">
      <w:pPr>
        <w:pStyle w:val="5"/>
        <w:adjustRightInd w:val="0"/>
        <w:snapToGrid w:val="0"/>
        <w:spacing w:before="0" w:line="360" w:lineRule="auto"/>
        <w:rPr>
          <w:rFonts w:hint="eastAsia" w:ascii="仿宋_GB2312" w:eastAsia="仿宋_GB2312" w:cs="仿宋_GB2312"/>
          <w:b/>
          <w:bCs w:val="0"/>
          <w:color w:val="auto"/>
          <w:sz w:val="28"/>
          <w:szCs w:val="28"/>
        </w:rPr>
      </w:pPr>
      <w:bookmarkStart w:id="150" w:name="_Toc7986"/>
      <w:bookmarkStart w:id="151" w:name="_Toc148957951"/>
      <w:bookmarkStart w:id="152" w:name="_Toc5779"/>
      <w:bookmarkStart w:id="153" w:name="_Toc21307"/>
      <w:r>
        <w:rPr>
          <w:rFonts w:hint="eastAsia" w:ascii="仿宋_GB2312" w:eastAsia="仿宋_GB2312" w:cs="仿宋_GB2312"/>
          <w:b/>
          <w:bCs w:val="0"/>
          <w:color w:val="auto"/>
          <w:sz w:val="28"/>
          <w:szCs w:val="28"/>
        </w:rPr>
        <w:t>3.4.1工业指标</w:t>
      </w:r>
      <w:bookmarkEnd w:id="150"/>
      <w:bookmarkEnd w:id="151"/>
      <w:bookmarkEnd w:id="152"/>
      <w:bookmarkEnd w:id="153"/>
    </w:p>
    <w:bookmarkEnd w:id="148"/>
    <w:bookmarkEnd w:id="149"/>
    <w:p w14:paraId="3EDB050F">
      <w:pPr>
        <w:pStyle w:val="25"/>
        <w:adjustRightInd w:val="0"/>
        <w:snapToGrid w:val="0"/>
        <w:spacing w:line="360" w:lineRule="auto"/>
        <w:rPr>
          <w:rFonts w:hint="eastAsia" w:ascii="仿宋_GB2312" w:eastAsia="仿宋_GB2312" w:cs="仿宋_GB2312"/>
          <w:color w:val="auto"/>
          <w:spacing w:val="-8"/>
          <w:sz w:val="28"/>
          <w:szCs w:val="28"/>
        </w:rPr>
      </w:pPr>
      <w:r>
        <w:rPr>
          <w:rFonts w:hint="eastAsia" w:ascii="仿宋_GB2312" w:eastAsia="仿宋_GB2312" w:cs="仿宋_GB2312"/>
          <w:color w:val="auto"/>
          <w:spacing w:val="-8"/>
          <w:sz w:val="28"/>
          <w:szCs w:val="28"/>
        </w:rPr>
        <w:t>根据相关地质规范，对矿山露天开采工业指标和开技术条件的一般要求见表</w:t>
      </w:r>
      <w:r>
        <w:rPr>
          <w:rFonts w:hint="eastAsia" w:ascii="仿宋_GB2312" w:eastAsia="仿宋_GB2312" w:cs="仿宋_GB2312"/>
          <w:color w:val="auto"/>
          <w:spacing w:val="-8"/>
          <w:sz w:val="28"/>
          <w:szCs w:val="28"/>
          <w:lang w:val="en-US" w:eastAsia="zh-CN"/>
        </w:rPr>
        <w:t>3-3</w:t>
      </w:r>
      <w:r>
        <w:rPr>
          <w:rFonts w:hint="eastAsia" w:ascii="仿宋_GB2312" w:eastAsia="仿宋_GB2312" w:cs="仿宋_GB2312"/>
          <w:color w:val="auto"/>
          <w:spacing w:val="-8"/>
          <w:sz w:val="28"/>
          <w:szCs w:val="28"/>
        </w:rPr>
        <w:t>及</w:t>
      </w:r>
      <w:r>
        <w:rPr>
          <w:rFonts w:hint="eastAsia" w:ascii="仿宋_GB2312" w:eastAsia="仿宋_GB2312" w:cs="仿宋_GB2312"/>
          <w:color w:val="auto"/>
          <w:spacing w:val="-8"/>
          <w:sz w:val="28"/>
          <w:szCs w:val="28"/>
          <w:lang w:val="en-US" w:eastAsia="zh-CN"/>
        </w:rPr>
        <w:t>3-4</w:t>
      </w:r>
      <w:r>
        <w:rPr>
          <w:rFonts w:hint="eastAsia" w:ascii="仿宋_GB2312" w:eastAsia="仿宋_GB2312" w:cs="仿宋_GB2312"/>
          <w:color w:val="auto"/>
          <w:spacing w:val="-8"/>
          <w:sz w:val="28"/>
          <w:szCs w:val="28"/>
        </w:rPr>
        <w:t>：</w:t>
      </w:r>
    </w:p>
    <w:p w14:paraId="540DFC35">
      <w:pPr>
        <w:pStyle w:val="733"/>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b w:val="0"/>
          <w:color w:val="auto"/>
          <w:kern w:val="2"/>
          <w:sz w:val="28"/>
          <w:szCs w:val="28"/>
          <w:lang w:val="en-US" w:eastAsia="zh-CN" w:bidi="ar-SA"/>
        </w:rPr>
      </w:pPr>
      <w:r>
        <w:rPr>
          <w:rFonts w:hint="eastAsia" w:ascii="仿宋_GB2312" w:eastAsia="仿宋_GB2312" w:cs="仿宋_GB2312"/>
          <w:b w:val="0"/>
          <w:color w:val="auto"/>
          <w:kern w:val="2"/>
          <w:sz w:val="28"/>
          <w:szCs w:val="28"/>
          <w:lang w:val="en-US" w:eastAsia="zh-CN" w:bidi="ar-SA"/>
        </w:rPr>
        <w:t>表3-3 资源量估算工业指标一般要求</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581"/>
        <w:gridCol w:w="846"/>
        <w:gridCol w:w="1109"/>
        <w:gridCol w:w="1161"/>
        <w:gridCol w:w="1056"/>
        <w:gridCol w:w="2211"/>
      </w:tblGrid>
      <w:tr w14:paraId="5682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6" w:type="dxa"/>
            <w:shd w:val="clear" w:color="auto" w:fill="auto"/>
            <w:noWrap/>
            <w:vAlign w:val="center"/>
          </w:tcPr>
          <w:p w14:paraId="723CCC95">
            <w:pPr>
              <w:pStyle w:val="732"/>
              <w:ind w:firstLine="0"/>
              <w:rPr>
                <w:rFonts w:hint="eastAsia" w:ascii="仿宋_GB2312" w:eastAsia="仿宋_GB2312" w:cs="仿宋_GB2312"/>
                <w:color w:val="auto"/>
              </w:rPr>
            </w:pPr>
            <w:r>
              <w:rPr>
                <w:rFonts w:hint="eastAsia" w:ascii="仿宋_GB2312" w:eastAsia="仿宋_GB2312" w:cs="仿宋_GB2312"/>
                <w:color w:val="auto"/>
              </w:rPr>
              <w:t>指标</w:t>
            </w:r>
          </w:p>
        </w:tc>
        <w:tc>
          <w:tcPr>
            <w:tcW w:w="1581" w:type="dxa"/>
            <w:shd w:val="clear" w:color="auto" w:fill="auto"/>
            <w:noWrap/>
            <w:vAlign w:val="center"/>
          </w:tcPr>
          <w:p w14:paraId="3A2517F3">
            <w:pPr>
              <w:pStyle w:val="732"/>
              <w:ind w:firstLine="0"/>
              <w:rPr>
                <w:rFonts w:hint="eastAsia" w:ascii="仿宋_GB2312" w:eastAsia="仿宋_GB2312" w:cs="仿宋_GB2312"/>
                <w:color w:val="auto"/>
              </w:rPr>
            </w:pPr>
            <w:r>
              <w:rPr>
                <w:rFonts w:hint="eastAsia" w:ascii="仿宋_GB2312" w:eastAsia="仿宋_GB2312" w:cs="仿宋_GB2312"/>
                <w:color w:val="auto"/>
              </w:rPr>
              <w:t>塑性指数（%）</w:t>
            </w:r>
          </w:p>
        </w:tc>
        <w:tc>
          <w:tcPr>
            <w:tcW w:w="846" w:type="dxa"/>
            <w:shd w:val="clear" w:color="auto" w:fill="auto"/>
            <w:noWrap/>
            <w:vAlign w:val="center"/>
          </w:tcPr>
          <w:p w14:paraId="51C61039">
            <w:pPr>
              <w:pStyle w:val="732"/>
              <w:ind w:firstLine="0"/>
              <w:rPr>
                <w:rFonts w:hint="eastAsia" w:ascii="仿宋_GB2312" w:eastAsia="仿宋_GB2312" w:cs="仿宋_GB2312"/>
                <w:color w:val="auto"/>
              </w:rPr>
            </w:pPr>
            <w:r>
              <w:rPr>
                <w:rFonts w:hint="eastAsia" w:ascii="仿宋_GB2312" w:eastAsia="仿宋_GB2312" w:cs="仿宋_GB2312"/>
                <w:color w:val="auto"/>
              </w:rPr>
              <w:t>烧失量</w:t>
            </w:r>
          </w:p>
        </w:tc>
        <w:tc>
          <w:tcPr>
            <w:tcW w:w="1109" w:type="dxa"/>
            <w:shd w:val="clear" w:color="auto" w:fill="auto"/>
            <w:noWrap/>
            <w:vAlign w:val="center"/>
          </w:tcPr>
          <w:p w14:paraId="5B7D4A84">
            <w:pPr>
              <w:pStyle w:val="732"/>
              <w:ind w:firstLine="0"/>
              <w:rPr>
                <w:rFonts w:hint="eastAsia" w:ascii="仿宋_GB2312" w:eastAsia="仿宋_GB2312" w:cs="仿宋_GB2312"/>
                <w:color w:val="auto"/>
              </w:rPr>
            </w:pPr>
            <w:r>
              <w:rPr>
                <w:rFonts w:hint="eastAsia" w:ascii="仿宋_GB2312" w:eastAsia="仿宋_GB2312" w:cs="仿宋_GB2312"/>
                <w:color w:val="auto"/>
              </w:rPr>
              <w:t>SiO</w:t>
            </w:r>
            <w:r>
              <w:rPr>
                <w:rFonts w:hint="eastAsia" w:ascii="仿宋_GB2312" w:eastAsia="仿宋_GB2312" w:cs="仿宋_GB2312"/>
                <w:color w:val="auto"/>
                <w:vertAlign w:val="subscript"/>
              </w:rPr>
              <w:t>2</w:t>
            </w:r>
            <w:r>
              <w:rPr>
                <w:rFonts w:hint="eastAsia" w:ascii="仿宋_GB2312" w:eastAsia="仿宋_GB2312" w:cs="仿宋_GB2312"/>
                <w:color w:val="auto"/>
              </w:rPr>
              <w:t>（%）</w:t>
            </w:r>
          </w:p>
        </w:tc>
        <w:tc>
          <w:tcPr>
            <w:tcW w:w="1161" w:type="dxa"/>
            <w:shd w:val="clear" w:color="auto" w:fill="auto"/>
            <w:noWrap/>
            <w:vAlign w:val="center"/>
          </w:tcPr>
          <w:p w14:paraId="36A937E5">
            <w:pPr>
              <w:pStyle w:val="732"/>
              <w:ind w:firstLine="0"/>
              <w:rPr>
                <w:rFonts w:hint="eastAsia" w:ascii="仿宋_GB2312" w:eastAsia="仿宋_GB2312" w:cs="仿宋_GB2312"/>
                <w:color w:val="auto"/>
              </w:rPr>
            </w:pPr>
            <w:r>
              <w:rPr>
                <w:rFonts w:hint="eastAsia" w:ascii="仿宋_GB2312" w:eastAsia="仿宋_GB2312" w:cs="仿宋_GB2312"/>
                <w:color w:val="auto"/>
              </w:rPr>
              <w:t>Al</w:t>
            </w:r>
            <w:r>
              <w:rPr>
                <w:rFonts w:hint="eastAsia" w:ascii="仿宋_GB2312" w:eastAsia="仿宋_GB2312" w:cs="仿宋_GB2312"/>
                <w:color w:val="auto"/>
                <w:vertAlign w:val="subscript"/>
              </w:rPr>
              <w:t>2</w:t>
            </w:r>
            <w:r>
              <w:rPr>
                <w:rFonts w:hint="eastAsia" w:ascii="仿宋_GB2312" w:eastAsia="仿宋_GB2312" w:cs="仿宋_GB2312"/>
                <w:color w:val="auto"/>
              </w:rPr>
              <w:t>O</w:t>
            </w:r>
            <w:r>
              <w:rPr>
                <w:rFonts w:hint="eastAsia" w:ascii="仿宋_GB2312" w:eastAsia="仿宋_GB2312" w:cs="仿宋_GB2312"/>
                <w:color w:val="auto"/>
                <w:vertAlign w:val="subscript"/>
              </w:rPr>
              <w:t>3</w:t>
            </w:r>
            <w:r>
              <w:rPr>
                <w:rFonts w:hint="eastAsia" w:ascii="仿宋_GB2312" w:eastAsia="仿宋_GB2312" w:cs="仿宋_GB2312"/>
                <w:color w:val="auto"/>
              </w:rPr>
              <w:t>（%）</w:t>
            </w:r>
          </w:p>
        </w:tc>
        <w:tc>
          <w:tcPr>
            <w:tcW w:w="1056" w:type="dxa"/>
            <w:shd w:val="clear" w:color="auto" w:fill="auto"/>
            <w:noWrap/>
            <w:vAlign w:val="center"/>
          </w:tcPr>
          <w:p w14:paraId="6DC319EF">
            <w:pPr>
              <w:pStyle w:val="732"/>
              <w:ind w:firstLine="0"/>
              <w:rPr>
                <w:rFonts w:hint="eastAsia" w:ascii="仿宋_GB2312" w:eastAsia="仿宋_GB2312" w:cs="仿宋_GB2312"/>
                <w:color w:val="auto"/>
              </w:rPr>
            </w:pPr>
            <w:r>
              <w:rPr>
                <w:rFonts w:hint="eastAsia" w:ascii="仿宋_GB2312" w:eastAsia="仿宋_GB2312" w:cs="仿宋_GB2312"/>
                <w:color w:val="auto"/>
              </w:rPr>
              <w:t>CaO（%）</w:t>
            </w:r>
          </w:p>
        </w:tc>
        <w:tc>
          <w:tcPr>
            <w:tcW w:w="2211" w:type="dxa"/>
            <w:shd w:val="clear" w:color="auto" w:fill="auto"/>
            <w:noWrap/>
            <w:vAlign w:val="center"/>
          </w:tcPr>
          <w:p w14:paraId="26F703A9">
            <w:pPr>
              <w:pStyle w:val="732"/>
              <w:ind w:firstLine="0"/>
              <w:rPr>
                <w:rFonts w:hint="eastAsia" w:ascii="仿宋_GB2312" w:eastAsia="仿宋_GB2312" w:cs="仿宋_GB2312"/>
                <w:color w:val="auto"/>
              </w:rPr>
            </w:pPr>
            <w:r>
              <w:rPr>
                <w:rFonts w:hint="eastAsia" w:ascii="仿宋_GB2312" w:eastAsia="仿宋_GB2312" w:cs="仿宋_GB2312"/>
                <w:color w:val="auto"/>
              </w:rPr>
              <w:t>放射性强度（Bg/kg）</w:t>
            </w:r>
          </w:p>
        </w:tc>
      </w:tr>
      <w:tr w14:paraId="72F1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6" w:type="dxa"/>
            <w:tcBorders>
              <w:top w:val="single" w:color="auto" w:sz="4" w:space="0"/>
              <w:left w:val="single" w:color="auto" w:sz="4" w:space="0"/>
              <w:right w:val="single" w:color="auto" w:sz="4" w:space="0"/>
            </w:tcBorders>
            <w:shd w:val="clear" w:color="auto" w:fill="auto"/>
            <w:noWrap/>
            <w:vAlign w:val="center"/>
          </w:tcPr>
          <w:p w14:paraId="0ACC457B">
            <w:pPr>
              <w:pStyle w:val="732"/>
              <w:ind w:firstLine="0"/>
              <w:rPr>
                <w:rFonts w:hint="eastAsia" w:ascii="仿宋_GB2312" w:eastAsia="仿宋_GB2312" w:cs="仿宋_GB2312"/>
                <w:color w:val="auto"/>
              </w:rPr>
            </w:pPr>
            <w:r>
              <w:rPr>
                <w:rFonts w:hint="eastAsia" w:ascii="仿宋_GB2312" w:eastAsia="仿宋_GB2312" w:cs="仿宋_GB2312"/>
                <w:color w:val="auto"/>
              </w:rPr>
              <w:t>一般要求</w:t>
            </w:r>
          </w:p>
        </w:tc>
        <w:tc>
          <w:tcPr>
            <w:tcW w:w="1581" w:type="dxa"/>
            <w:tcBorders>
              <w:top w:val="single" w:color="auto" w:sz="4" w:space="0"/>
              <w:left w:val="single" w:color="auto" w:sz="4" w:space="0"/>
              <w:right w:val="single" w:color="auto" w:sz="4" w:space="0"/>
            </w:tcBorders>
            <w:shd w:val="clear" w:color="auto" w:fill="auto"/>
            <w:noWrap/>
            <w:vAlign w:val="center"/>
          </w:tcPr>
          <w:p w14:paraId="753EABC8">
            <w:pPr>
              <w:pStyle w:val="732"/>
              <w:ind w:firstLine="0"/>
              <w:rPr>
                <w:rFonts w:hint="eastAsia" w:ascii="仿宋_GB2312" w:eastAsia="仿宋_GB2312" w:cs="仿宋_GB2312"/>
                <w:color w:val="auto"/>
              </w:rPr>
            </w:pPr>
            <w:r>
              <w:rPr>
                <w:rFonts w:hint="eastAsia" w:ascii="仿宋_GB2312" w:eastAsia="仿宋_GB2312" w:cs="仿宋_GB2312"/>
                <w:color w:val="auto"/>
              </w:rPr>
              <w:t>7～18</w:t>
            </w:r>
          </w:p>
        </w:tc>
        <w:tc>
          <w:tcPr>
            <w:tcW w:w="846" w:type="dxa"/>
            <w:tcBorders>
              <w:top w:val="single" w:color="auto" w:sz="4" w:space="0"/>
              <w:left w:val="single" w:color="auto" w:sz="4" w:space="0"/>
              <w:right w:val="single" w:color="auto" w:sz="4" w:space="0"/>
            </w:tcBorders>
            <w:shd w:val="clear" w:color="auto" w:fill="auto"/>
            <w:noWrap/>
            <w:vAlign w:val="center"/>
          </w:tcPr>
          <w:p w14:paraId="5419AFBC">
            <w:pPr>
              <w:pStyle w:val="732"/>
              <w:ind w:firstLine="0"/>
              <w:rPr>
                <w:rFonts w:hint="eastAsia" w:ascii="仿宋_GB2312" w:eastAsia="仿宋_GB2312" w:cs="仿宋_GB2312"/>
                <w:color w:val="auto"/>
              </w:rPr>
            </w:pPr>
            <w:r>
              <w:rPr>
                <w:rFonts w:hint="eastAsia" w:ascii="仿宋_GB2312" w:eastAsia="仿宋_GB2312" w:cs="仿宋_GB2312"/>
                <w:color w:val="auto"/>
              </w:rPr>
              <w:t>7～15</w:t>
            </w:r>
          </w:p>
        </w:tc>
        <w:tc>
          <w:tcPr>
            <w:tcW w:w="1109" w:type="dxa"/>
            <w:tcBorders>
              <w:top w:val="single" w:color="auto" w:sz="4" w:space="0"/>
              <w:left w:val="single" w:color="auto" w:sz="4" w:space="0"/>
              <w:right w:val="single" w:color="auto" w:sz="4" w:space="0"/>
            </w:tcBorders>
            <w:shd w:val="clear" w:color="auto" w:fill="auto"/>
            <w:noWrap/>
            <w:vAlign w:val="center"/>
          </w:tcPr>
          <w:p w14:paraId="0EB86EC4">
            <w:pPr>
              <w:pStyle w:val="732"/>
              <w:ind w:firstLine="0"/>
              <w:rPr>
                <w:rFonts w:hint="eastAsia" w:ascii="仿宋_GB2312" w:eastAsia="仿宋_GB2312" w:cs="仿宋_GB2312"/>
                <w:color w:val="auto"/>
              </w:rPr>
            </w:pPr>
            <w:r>
              <w:rPr>
                <w:rFonts w:hint="eastAsia" w:ascii="仿宋_GB2312" w:eastAsia="仿宋_GB2312" w:cs="仿宋_GB2312"/>
                <w:color w:val="auto"/>
              </w:rPr>
              <w:t>53～70</w:t>
            </w:r>
          </w:p>
        </w:tc>
        <w:tc>
          <w:tcPr>
            <w:tcW w:w="1161" w:type="dxa"/>
            <w:tcBorders>
              <w:top w:val="single" w:color="auto" w:sz="4" w:space="0"/>
              <w:left w:val="single" w:color="auto" w:sz="4" w:space="0"/>
              <w:right w:val="single" w:color="auto" w:sz="4" w:space="0"/>
            </w:tcBorders>
            <w:shd w:val="clear" w:color="auto" w:fill="auto"/>
            <w:noWrap/>
            <w:vAlign w:val="center"/>
          </w:tcPr>
          <w:p w14:paraId="5197FCF1">
            <w:pPr>
              <w:pStyle w:val="732"/>
              <w:ind w:firstLine="0"/>
              <w:rPr>
                <w:rFonts w:hint="eastAsia" w:ascii="仿宋_GB2312" w:eastAsia="仿宋_GB2312" w:cs="仿宋_GB2312"/>
                <w:color w:val="auto"/>
              </w:rPr>
            </w:pPr>
            <w:r>
              <w:rPr>
                <w:rFonts w:hint="eastAsia" w:ascii="仿宋_GB2312" w:eastAsia="仿宋_GB2312" w:cs="仿宋_GB2312"/>
                <w:color w:val="auto"/>
              </w:rPr>
              <w:t>10～20</w:t>
            </w:r>
          </w:p>
        </w:tc>
        <w:tc>
          <w:tcPr>
            <w:tcW w:w="1056" w:type="dxa"/>
            <w:tcBorders>
              <w:top w:val="single" w:color="auto" w:sz="4" w:space="0"/>
              <w:left w:val="single" w:color="auto" w:sz="4" w:space="0"/>
              <w:right w:val="single" w:color="auto" w:sz="4" w:space="0"/>
            </w:tcBorders>
            <w:shd w:val="clear" w:color="auto" w:fill="auto"/>
            <w:noWrap/>
            <w:vAlign w:val="center"/>
          </w:tcPr>
          <w:p w14:paraId="21B20AFD">
            <w:pPr>
              <w:pStyle w:val="732"/>
              <w:ind w:firstLine="0"/>
              <w:rPr>
                <w:rFonts w:hint="eastAsia" w:ascii="仿宋_GB2312" w:eastAsia="仿宋_GB2312" w:cs="仿宋_GB2312"/>
                <w:color w:val="auto"/>
              </w:rPr>
            </w:pPr>
            <w:r>
              <w:rPr>
                <w:rFonts w:hint="eastAsia" w:ascii="仿宋_GB2312" w:eastAsia="仿宋_GB2312" w:cs="仿宋_GB2312"/>
                <w:color w:val="auto"/>
              </w:rPr>
              <w:t>≤15</w:t>
            </w:r>
          </w:p>
        </w:tc>
        <w:tc>
          <w:tcPr>
            <w:tcW w:w="2211" w:type="dxa"/>
            <w:tcBorders>
              <w:top w:val="single" w:color="auto" w:sz="4" w:space="0"/>
              <w:left w:val="single" w:color="auto" w:sz="4" w:space="0"/>
              <w:right w:val="single" w:color="auto" w:sz="4" w:space="0"/>
            </w:tcBorders>
            <w:shd w:val="clear" w:color="auto" w:fill="auto"/>
            <w:noWrap/>
            <w:vAlign w:val="center"/>
          </w:tcPr>
          <w:p w14:paraId="1D02C5D8">
            <w:pPr>
              <w:pStyle w:val="732"/>
              <w:ind w:firstLine="0"/>
              <w:rPr>
                <w:rFonts w:hint="eastAsia" w:ascii="仿宋_GB2312" w:eastAsia="仿宋_GB2312" w:cs="仿宋_GB2312"/>
                <w:color w:val="auto"/>
              </w:rPr>
            </w:pPr>
            <w:r>
              <w:rPr>
                <w:rFonts w:hint="eastAsia" w:ascii="仿宋_GB2312" w:eastAsia="仿宋_GB2312" w:cs="仿宋_GB2312"/>
                <w:color w:val="auto"/>
              </w:rPr>
              <w:t>＜350</w:t>
            </w:r>
          </w:p>
        </w:tc>
      </w:tr>
      <w:tr w14:paraId="381D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6" w:type="dxa"/>
            <w:tcBorders>
              <w:top w:val="single" w:color="auto" w:sz="4" w:space="0"/>
              <w:left w:val="single" w:color="auto" w:sz="4" w:space="0"/>
              <w:right w:val="single" w:color="auto" w:sz="4" w:space="0"/>
            </w:tcBorders>
            <w:shd w:val="clear" w:color="auto" w:fill="auto"/>
            <w:noWrap/>
            <w:vAlign w:val="center"/>
          </w:tcPr>
          <w:p w14:paraId="0A5CD1AE">
            <w:pPr>
              <w:pStyle w:val="732"/>
              <w:ind w:firstLine="0"/>
              <w:rPr>
                <w:rFonts w:hint="eastAsia" w:ascii="仿宋_GB2312" w:eastAsia="仿宋_GB2312" w:cs="仿宋_GB2312"/>
                <w:color w:val="auto"/>
              </w:rPr>
            </w:pPr>
            <w:r>
              <w:rPr>
                <w:rFonts w:hint="eastAsia" w:ascii="仿宋_GB2312" w:eastAsia="仿宋_GB2312" w:cs="仿宋_GB2312"/>
                <w:color w:val="auto"/>
              </w:rPr>
              <w:t>本次使用</w:t>
            </w:r>
          </w:p>
        </w:tc>
        <w:tc>
          <w:tcPr>
            <w:tcW w:w="1581" w:type="dxa"/>
            <w:tcBorders>
              <w:top w:val="single" w:color="auto" w:sz="4" w:space="0"/>
              <w:left w:val="single" w:color="auto" w:sz="4" w:space="0"/>
              <w:right w:val="single" w:color="auto" w:sz="4" w:space="0"/>
            </w:tcBorders>
            <w:shd w:val="clear" w:color="auto" w:fill="auto"/>
            <w:noWrap/>
            <w:vAlign w:val="center"/>
          </w:tcPr>
          <w:p w14:paraId="5418E74D">
            <w:pPr>
              <w:pStyle w:val="732"/>
              <w:ind w:firstLine="0"/>
              <w:rPr>
                <w:rFonts w:hint="eastAsia" w:ascii="仿宋_GB2312" w:eastAsia="仿宋_GB2312" w:cs="仿宋_GB2312"/>
                <w:color w:val="auto"/>
              </w:rPr>
            </w:pPr>
            <w:r>
              <w:rPr>
                <w:rFonts w:hint="eastAsia" w:ascii="仿宋_GB2312" w:eastAsia="仿宋_GB2312" w:cs="仿宋_GB2312"/>
                <w:color w:val="auto"/>
              </w:rPr>
              <w:t>7～18</w:t>
            </w:r>
          </w:p>
        </w:tc>
        <w:tc>
          <w:tcPr>
            <w:tcW w:w="846" w:type="dxa"/>
            <w:tcBorders>
              <w:top w:val="single" w:color="auto" w:sz="4" w:space="0"/>
              <w:left w:val="single" w:color="auto" w:sz="4" w:space="0"/>
              <w:right w:val="single" w:color="auto" w:sz="4" w:space="0"/>
            </w:tcBorders>
            <w:shd w:val="clear" w:color="auto" w:fill="auto"/>
            <w:noWrap/>
            <w:vAlign w:val="center"/>
          </w:tcPr>
          <w:p w14:paraId="2B447F7A">
            <w:pPr>
              <w:pStyle w:val="732"/>
              <w:ind w:firstLine="0"/>
              <w:rPr>
                <w:rFonts w:hint="eastAsia" w:ascii="仿宋_GB2312" w:eastAsia="仿宋_GB2312" w:cs="仿宋_GB2312"/>
                <w:color w:val="auto"/>
              </w:rPr>
            </w:pPr>
            <w:r>
              <w:rPr>
                <w:rFonts w:hint="eastAsia" w:ascii="仿宋_GB2312" w:eastAsia="仿宋_GB2312" w:cs="仿宋_GB2312"/>
                <w:color w:val="auto"/>
              </w:rPr>
              <w:t>7～15</w:t>
            </w:r>
          </w:p>
        </w:tc>
        <w:tc>
          <w:tcPr>
            <w:tcW w:w="1109" w:type="dxa"/>
            <w:tcBorders>
              <w:top w:val="single" w:color="auto" w:sz="4" w:space="0"/>
              <w:left w:val="single" w:color="auto" w:sz="4" w:space="0"/>
              <w:right w:val="single" w:color="auto" w:sz="4" w:space="0"/>
            </w:tcBorders>
            <w:shd w:val="clear" w:color="auto" w:fill="auto"/>
            <w:noWrap/>
            <w:vAlign w:val="center"/>
          </w:tcPr>
          <w:p w14:paraId="2C799802">
            <w:pPr>
              <w:pStyle w:val="732"/>
              <w:ind w:firstLine="0"/>
              <w:rPr>
                <w:rFonts w:hint="eastAsia" w:ascii="仿宋_GB2312" w:eastAsia="仿宋_GB2312" w:cs="仿宋_GB2312"/>
                <w:color w:val="auto"/>
              </w:rPr>
            </w:pPr>
            <w:r>
              <w:rPr>
                <w:rFonts w:hint="eastAsia" w:ascii="仿宋_GB2312" w:eastAsia="仿宋_GB2312" w:cs="仿宋_GB2312"/>
                <w:color w:val="auto"/>
              </w:rPr>
              <w:t>53～70</w:t>
            </w:r>
          </w:p>
        </w:tc>
        <w:tc>
          <w:tcPr>
            <w:tcW w:w="1161" w:type="dxa"/>
            <w:tcBorders>
              <w:top w:val="single" w:color="auto" w:sz="4" w:space="0"/>
              <w:left w:val="single" w:color="auto" w:sz="4" w:space="0"/>
              <w:right w:val="single" w:color="auto" w:sz="4" w:space="0"/>
            </w:tcBorders>
            <w:shd w:val="clear" w:color="auto" w:fill="auto"/>
            <w:noWrap/>
            <w:vAlign w:val="center"/>
          </w:tcPr>
          <w:p w14:paraId="33BB2088">
            <w:pPr>
              <w:pStyle w:val="732"/>
              <w:ind w:firstLine="0"/>
              <w:rPr>
                <w:rFonts w:hint="eastAsia" w:ascii="仿宋_GB2312" w:eastAsia="仿宋_GB2312" w:cs="仿宋_GB2312"/>
                <w:color w:val="auto"/>
              </w:rPr>
            </w:pPr>
            <w:r>
              <w:rPr>
                <w:rFonts w:hint="eastAsia" w:ascii="仿宋_GB2312" w:eastAsia="仿宋_GB2312" w:cs="仿宋_GB2312"/>
                <w:color w:val="auto"/>
              </w:rPr>
              <w:t>10～20</w:t>
            </w:r>
          </w:p>
        </w:tc>
        <w:tc>
          <w:tcPr>
            <w:tcW w:w="1056" w:type="dxa"/>
            <w:tcBorders>
              <w:top w:val="single" w:color="auto" w:sz="4" w:space="0"/>
              <w:left w:val="single" w:color="auto" w:sz="4" w:space="0"/>
              <w:right w:val="single" w:color="auto" w:sz="4" w:space="0"/>
            </w:tcBorders>
            <w:shd w:val="clear" w:color="auto" w:fill="auto"/>
            <w:noWrap/>
            <w:vAlign w:val="center"/>
          </w:tcPr>
          <w:p w14:paraId="2ACEBABC">
            <w:pPr>
              <w:pStyle w:val="732"/>
              <w:ind w:firstLine="0"/>
              <w:rPr>
                <w:rFonts w:hint="eastAsia" w:ascii="仿宋_GB2312" w:eastAsia="仿宋_GB2312" w:cs="仿宋_GB2312"/>
                <w:color w:val="auto"/>
              </w:rPr>
            </w:pPr>
            <w:r>
              <w:rPr>
                <w:rFonts w:hint="eastAsia" w:ascii="仿宋_GB2312" w:eastAsia="仿宋_GB2312" w:cs="仿宋_GB2312"/>
                <w:color w:val="auto"/>
              </w:rPr>
              <w:t>≤15</w:t>
            </w:r>
          </w:p>
        </w:tc>
        <w:tc>
          <w:tcPr>
            <w:tcW w:w="2211" w:type="dxa"/>
            <w:tcBorders>
              <w:top w:val="single" w:color="auto" w:sz="4" w:space="0"/>
              <w:left w:val="single" w:color="auto" w:sz="4" w:space="0"/>
              <w:right w:val="single" w:color="auto" w:sz="4" w:space="0"/>
            </w:tcBorders>
            <w:shd w:val="clear" w:color="auto" w:fill="auto"/>
            <w:noWrap/>
            <w:vAlign w:val="center"/>
          </w:tcPr>
          <w:p w14:paraId="1D398296">
            <w:pPr>
              <w:pStyle w:val="732"/>
              <w:ind w:firstLine="0"/>
              <w:rPr>
                <w:rFonts w:hint="eastAsia" w:ascii="仿宋_GB2312" w:eastAsia="仿宋_GB2312" w:cs="仿宋_GB2312"/>
                <w:color w:val="auto"/>
              </w:rPr>
            </w:pPr>
            <w:r>
              <w:rPr>
                <w:rFonts w:hint="eastAsia" w:ascii="仿宋_GB2312" w:eastAsia="仿宋_GB2312" w:cs="仿宋_GB2312"/>
                <w:color w:val="auto"/>
              </w:rPr>
              <w:t>＜350</w:t>
            </w:r>
          </w:p>
        </w:tc>
      </w:tr>
    </w:tbl>
    <w:p w14:paraId="591A71B6">
      <w:pPr>
        <w:pStyle w:val="733"/>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b w:val="0"/>
          <w:color w:val="auto"/>
          <w:kern w:val="2"/>
          <w:sz w:val="28"/>
          <w:szCs w:val="28"/>
          <w:lang w:val="en-US" w:eastAsia="zh-CN" w:bidi="ar-SA"/>
        </w:rPr>
      </w:pPr>
      <w:r>
        <w:rPr>
          <w:rFonts w:hint="eastAsia" w:ascii="仿宋_GB2312" w:eastAsia="仿宋_GB2312" w:cs="仿宋_GB2312"/>
          <w:b w:val="0"/>
          <w:color w:val="auto"/>
          <w:kern w:val="2"/>
          <w:sz w:val="28"/>
          <w:szCs w:val="28"/>
          <w:lang w:val="en-US" w:eastAsia="zh-CN" w:bidi="ar-SA"/>
        </w:rPr>
        <w:t>表3-4 资源量估算范围开采技术条件的一般要求</w:t>
      </w:r>
    </w:p>
    <w:tbl>
      <w:tblPr>
        <w:tblStyle w:val="6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1476"/>
        <w:gridCol w:w="1896"/>
        <w:gridCol w:w="2316"/>
        <w:gridCol w:w="1844"/>
      </w:tblGrid>
      <w:tr w14:paraId="0A18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22" w:type="pct"/>
            <w:shd w:val="clear" w:color="auto" w:fill="auto"/>
            <w:noWrap/>
            <w:vAlign w:val="center"/>
          </w:tcPr>
          <w:p w14:paraId="5D6FE974">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指标</w:t>
            </w:r>
          </w:p>
        </w:tc>
        <w:tc>
          <w:tcPr>
            <w:tcW w:w="869" w:type="pct"/>
            <w:shd w:val="clear" w:color="auto" w:fill="auto"/>
            <w:noWrap/>
            <w:vAlign w:val="center"/>
          </w:tcPr>
          <w:p w14:paraId="7941CC47">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最小可采厚度</w:t>
            </w:r>
          </w:p>
        </w:tc>
        <w:tc>
          <w:tcPr>
            <w:tcW w:w="1116" w:type="pct"/>
            <w:shd w:val="clear" w:color="auto" w:fill="auto"/>
            <w:noWrap/>
            <w:vAlign w:val="center"/>
          </w:tcPr>
          <w:p w14:paraId="34C53036">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最小夹石剔除厚度</w:t>
            </w:r>
          </w:p>
        </w:tc>
        <w:tc>
          <w:tcPr>
            <w:tcW w:w="1364" w:type="pct"/>
            <w:shd w:val="clear" w:color="auto" w:fill="auto"/>
            <w:noWrap/>
            <w:vAlign w:val="center"/>
          </w:tcPr>
          <w:p w14:paraId="56138D1D">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最低开采</w:t>
            </w:r>
          </w:p>
          <w:p w14:paraId="49027171">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标高</w:t>
            </w:r>
          </w:p>
        </w:tc>
        <w:tc>
          <w:tcPr>
            <w:tcW w:w="1027" w:type="pct"/>
            <w:shd w:val="clear" w:color="auto" w:fill="auto"/>
            <w:noWrap/>
            <w:vAlign w:val="center"/>
          </w:tcPr>
          <w:p w14:paraId="62E835AC">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剥采比</w:t>
            </w:r>
          </w:p>
        </w:tc>
      </w:tr>
      <w:tr w14:paraId="60E7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52" w:type="pct"/>
            <w:tcBorders>
              <w:top w:val="single" w:color="auto" w:sz="4" w:space="0"/>
              <w:left w:val="single" w:color="auto" w:sz="4" w:space="0"/>
              <w:right w:val="single" w:color="auto" w:sz="4" w:space="0"/>
            </w:tcBorders>
            <w:shd w:val="clear" w:color="auto" w:fill="auto"/>
            <w:noWrap/>
            <w:vAlign w:val="center"/>
          </w:tcPr>
          <w:p w14:paraId="7716BA13">
            <w:pPr>
              <w:pStyle w:val="732"/>
              <w:ind w:firstLine="0"/>
              <w:rPr>
                <w:rFonts w:hint="eastAsia" w:ascii="仿宋_GB2312" w:eastAsia="仿宋_GB2312" w:cs="仿宋_GB2312"/>
                <w:color w:val="auto"/>
              </w:rPr>
            </w:pPr>
            <w:r>
              <w:rPr>
                <w:rFonts w:hint="eastAsia" w:ascii="仿宋_GB2312" w:eastAsia="仿宋_GB2312" w:cs="仿宋_GB2312"/>
                <w:color w:val="auto"/>
              </w:rPr>
              <w:t>一般要求</w:t>
            </w:r>
          </w:p>
        </w:tc>
        <w:tc>
          <w:tcPr>
            <w:tcW w:w="3985" w:type="pct"/>
            <w:tcBorders>
              <w:top w:val="single" w:color="auto" w:sz="4" w:space="0"/>
              <w:left w:val="single" w:color="auto" w:sz="4" w:space="0"/>
              <w:right w:val="single" w:color="auto" w:sz="4" w:space="0"/>
            </w:tcBorders>
            <w:shd w:val="clear" w:color="auto" w:fill="auto"/>
            <w:noWrap/>
            <w:vAlign w:val="center"/>
          </w:tcPr>
          <w:p w14:paraId="581BE837">
            <w:pPr>
              <w:pStyle w:val="732"/>
              <w:ind w:firstLine="0"/>
              <w:rPr>
                <w:rFonts w:hint="eastAsia" w:ascii="仿宋_GB2312" w:eastAsia="仿宋_GB2312" w:cs="仿宋_GB2312"/>
                <w:color w:val="auto"/>
              </w:rPr>
            </w:pPr>
            <w:r>
              <w:rPr>
                <w:rFonts w:hint="eastAsia" w:ascii="仿宋_GB2312" w:eastAsia="仿宋_GB2312" w:cs="仿宋_GB2312"/>
                <w:color w:val="auto"/>
              </w:rPr>
              <w:t>2m</w:t>
            </w:r>
          </w:p>
        </w:tc>
        <w:tc>
          <w:tcPr>
            <w:tcW w:w="5000" w:type="pct"/>
            <w:tcBorders>
              <w:top w:val="single" w:color="auto" w:sz="4" w:space="0"/>
              <w:left w:val="single" w:color="auto" w:sz="4" w:space="0"/>
              <w:right w:val="single" w:color="auto" w:sz="4" w:space="0"/>
            </w:tcBorders>
            <w:shd w:val="clear" w:color="auto" w:fill="auto"/>
            <w:noWrap/>
            <w:vAlign w:val="center"/>
          </w:tcPr>
          <w:p w14:paraId="0028DD12">
            <w:pPr>
              <w:pStyle w:val="732"/>
              <w:ind w:firstLine="0"/>
              <w:rPr>
                <w:rFonts w:hint="eastAsia" w:ascii="仿宋_GB2312" w:eastAsia="仿宋_GB2312" w:cs="仿宋_GB2312"/>
                <w:color w:val="auto"/>
              </w:rPr>
            </w:pPr>
            <w:r>
              <w:rPr>
                <w:rFonts w:hint="eastAsia" w:ascii="仿宋_GB2312" w:eastAsia="仿宋_GB2312" w:cs="仿宋_GB2312"/>
                <w:color w:val="auto"/>
              </w:rPr>
              <w:t>1m</w:t>
            </w:r>
          </w:p>
        </w:tc>
        <w:tc>
          <w:tcPr>
            <w:tcW w:w="1364" w:type="pct"/>
            <w:tcBorders>
              <w:top w:val="single" w:color="auto" w:sz="4" w:space="0"/>
              <w:left w:val="single" w:color="auto" w:sz="4" w:space="0"/>
              <w:right w:val="single" w:color="auto" w:sz="4" w:space="0"/>
            </w:tcBorders>
            <w:shd w:val="clear" w:color="auto" w:fill="auto"/>
            <w:noWrap/>
            <w:vAlign w:val="center"/>
          </w:tcPr>
          <w:p w14:paraId="27FD22DA">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不低于当地侵蚀基准面</w:t>
            </w:r>
          </w:p>
        </w:tc>
        <w:tc>
          <w:tcPr>
            <w:tcW w:w="1027" w:type="pct"/>
            <w:tcBorders>
              <w:top w:val="single" w:color="auto" w:sz="4" w:space="0"/>
              <w:left w:val="single" w:color="auto" w:sz="4" w:space="0"/>
              <w:right w:val="single" w:color="auto" w:sz="4" w:space="0"/>
            </w:tcBorders>
            <w:shd w:val="clear" w:color="auto" w:fill="auto"/>
            <w:noWrap/>
            <w:vAlign w:val="center"/>
          </w:tcPr>
          <w:p w14:paraId="6AD1F519">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一般不大于0.5:1</w:t>
            </w:r>
          </w:p>
        </w:tc>
      </w:tr>
      <w:tr w14:paraId="5B84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52" w:type="pct"/>
            <w:tcBorders>
              <w:top w:val="single" w:color="auto" w:sz="4" w:space="0"/>
              <w:left w:val="single" w:color="auto" w:sz="4" w:space="0"/>
              <w:right w:val="single" w:color="auto" w:sz="4" w:space="0"/>
            </w:tcBorders>
            <w:shd w:val="clear" w:color="auto" w:fill="auto"/>
            <w:noWrap/>
            <w:vAlign w:val="center"/>
          </w:tcPr>
          <w:p w14:paraId="51C8A5D8">
            <w:pPr>
              <w:pStyle w:val="732"/>
              <w:ind w:firstLine="0"/>
              <w:rPr>
                <w:rFonts w:hint="eastAsia" w:ascii="仿宋_GB2312" w:eastAsia="仿宋_GB2312" w:cs="仿宋_GB2312"/>
                <w:color w:val="auto"/>
              </w:rPr>
            </w:pPr>
            <w:r>
              <w:rPr>
                <w:rFonts w:hint="eastAsia" w:ascii="仿宋_GB2312" w:eastAsia="仿宋_GB2312" w:cs="仿宋_GB2312"/>
                <w:color w:val="auto"/>
              </w:rPr>
              <w:t>本次采用</w:t>
            </w:r>
          </w:p>
        </w:tc>
        <w:tc>
          <w:tcPr>
            <w:tcW w:w="3985" w:type="pct"/>
            <w:tcBorders>
              <w:top w:val="single" w:color="auto" w:sz="4" w:space="0"/>
              <w:left w:val="single" w:color="auto" w:sz="4" w:space="0"/>
              <w:right w:val="single" w:color="auto" w:sz="4" w:space="0"/>
            </w:tcBorders>
            <w:shd w:val="clear" w:color="auto" w:fill="auto"/>
            <w:noWrap/>
            <w:vAlign w:val="center"/>
          </w:tcPr>
          <w:p w14:paraId="67381615">
            <w:pPr>
              <w:pStyle w:val="732"/>
              <w:ind w:firstLine="0"/>
              <w:rPr>
                <w:rFonts w:hint="eastAsia" w:ascii="仿宋_GB2312" w:eastAsia="仿宋_GB2312" w:cs="仿宋_GB2312"/>
                <w:color w:val="auto"/>
              </w:rPr>
            </w:pPr>
            <w:r>
              <w:rPr>
                <w:rFonts w:hint="eastAsia" w:ascii="仿宋_GB2312" w:eastAsia="仿宋_GB2312" w:cs="仿宋_GB2312"/>
                <w:color w:val="auto"/>
              </w:rPr>
              <w:t>2m</w:t>
            </w:r>
          </w:p>
        </w:tc>
        <w:tc>
          <w:tcPr>
            <w:tcW w:w="5000" w:type="pct"/>
            <w:tcBorders>
              <w:top w:val="single" w:color="auto" w:sz="4" w:space="0"/>
              <w:left w:val="single" w:color="auto" w:sz="4" w:space="0"/>
              <w:right w:val="single" w:color="auto" w:sz="4" w:space="0"/>
            </w:tcBorders>
            <w:shd w:val="clear" w:color="auto" w:fill="auto"/>
            <w:noWrap/>
            <w:vAlign w:val="center"/>
          </w:tcPr>
          <w:p w14:paraId="2C4C992A">
            <w:pPr>
              <w:pStyle w:val="732"/>
              <w:ind w:firstLine="0"/>
              <w:rPr>
                <w:rFonts w:hint="eastAsia" w:ascii="仿宋_GB2312" w:eastAsia="仿宋_GB2312" w:cs="仿宋_GB2312"/>
                <w:color w:val="auto"/>
              </w:rPr>
            </w:pPr>
            <w:r>
              <w:rPr>
                <w:rFonts w:hint="eastAsia" w:ascii="仿宋_GB2312" w:eastAsia="仿宋_GB2312" w:cs="仿宋_GB2312"/>
                <w:color w:val="auto"/>
              </w:rPr>
              <w:t>1m</w:t>
            </w:r>
          </w:p>
        </w:tc>
        <w:tc>
          <w:tcPr>
            <w:tcW w:w="1364" w:type="pct"/>
            <w:tcBorders>
              <w:top w:val="single" w:color="auto" w:sz="4" w:space="0"/>
              <w:left w:val="single" w:color="auto" w:sz="4" w:space="0"/>
              <w:right w:val="single" w:color="auto" w:sz="4" w:space="0"/>
            </w:tcBorders>
            <w:shd w:val="clear" w:color="auto" w:fill="auto"/>
            <w:noWrap/>
            <w:vAlign w:val="center"/>
          </w:tcPr>
          <w:p w14:paraId="02FFA3A8">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+3</w:t>
            </w:r>
            <w:r>
              <w:rPr>
                <w:rFonts w:hint="eastAsia" w:ascii="仿宋_GB2312" w:eastAsia="仿宋_GB2312" w:cs="仿宋_GB2312"/>
                <w:color w:val="auto"/>
                <w:lang w:val="en-US" w:eastAsia="zh-CN"/>
              </w:rPr>
              <w:t>3</w:t>
            </w:r>
            <w:r>
              <w:rPr>
                <w:rFonts w:hint="eastAsia" w:ascii="仿宋_GB2312" w:eastAsia="仿宋_GB2312" w:cs="仿宋_GB2312"/>
                <w:color w:val="auto"/>
              </w:rPr>
              <w:t>0m</w:t>
            </w:r>
          </w:p>
          <w:p w14:paraId="1D7CE2A9">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（高于侵蚀基准面）</w:t>
            </w:r>
          </w:p>
        </w:tc>
        <w:tc>
          <w:tcPr>
            <w:tcW w:w="1027" w:type="pct"/>
            <w:tcBorders>
              <w:top w:val="single" w:color="auto" w:sz="4" w:space="0"/>
              <w:left w:val="single" w:color="auto" w:sz="4" w:space="0"/>
              <w:right w:val="single" w:color="auto" w:sz="4" w:space="0"/>
            </w:tcBorders>
            <w:shd w:val="clear" w:color="auto" w:fill="auto"/>
            <w:noWrap/>
            <w:vAlign w:val="center"/>
          </w:tcPr>
          <w:p w14:paraId="77DBFFCD">
            <w:pPr>
              <w:pStyle w:val="73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cs="仿宋_GB2312"/>
                <w:color w:val="auto"/>
              </w:rPr>
            </w:pPr>
            <w:r>
              <w:rPr>
                <w:rFonts w:hint="eastAsia" w:ascii="仿宋_GB2312" w:eastAsia="仿宋_GB2312" w:cs="仿宋_GB2312"/>
                <w:color w:val="auto"/>
              </w:rPr>
              <w:t>＜0.5:1</w:t>
            </w:r>
          </w:p>
        </w:tc>
      </w:tr>
    </w:tbl>
    <w:p w14:paraId="718AEB1B">
      <w:pPr>
        <w:pStyle w:val="5"/>
        <w:adjustRightInd w:val="0"/>
        <w:snapToGrid w:val="0"/>
        <w:spacing w:before="0" w:line="360" w:lineRule="auto"/>
        <w:rPr>
          <w:rFonts w:hint="eastAsia" w:ascii="仿宋_GB2312" w:eastAsia="仿宋_GB2312" w:cs="仿宋_GB2312"/>
          <w:b/>
          <w:bCs w:val="0"/>
          <w:color w:val="auto"/>
          <w:sz w:val="28"/>
          <w:szCs w:val="28"/>
        </w:rPr>
      </w:pPr>
      <w:bookmarkStart w:id="154" w:name="_Toc148957952"/>
      <w:bookmarkStart w:id="155" w:name="_Toc2015"/>
      <w:bookmarkStart w:id="156" w:name="_Toc21333"/>
      <w:bookmarkStart w:id="157" w:name="_Toc27958"/>
      <w:r>
        <w:rPr>
          <w:rFonts w:hint="eastAsia" w:ascii="仿宋_GB2312" w:eastAsia="仿宋_GB2312" w:cs="仿宋_GB2312"/>
          <w:b/>
          <w:bCs w:val="0"/>
          <w:color w:val="auto"/>
          <w:sz w:val="28"/>
          <w:szCs w:val="28"/>
        </w:rPr>
        <w:t>3.4.2资源量估算</w:t>
      </w:r>
      <w:bookmarkEnd w:id="154"/>
      <w:bookmarkEnd w:id="155"/>
      <w:bookmarkEnd w:id="156"/>
      <w:bookmarkEnd w:id="157"/>
    </w:p>
    <w:p w14:paraId="6ED89073">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eastAsia="zh-CN"/>
        </w:rPr>
        <w:t>截至2023年</w:t>
      </w:r>
      <w:r>
        <w:rPr>
          <w:rFonts w:hint="eastAsia" w:ascii="仿宋_GB2312" w:eastAsia="仿宋_GB2312" w:cs="仿宋_GB2312"/>
          <w:color w:val="auto"/>
          <w:sz w:val="28"/>
          <w:szCs w:val="28"/>
        </w:rPr>
        <w:t>8月30日，大英县卓筒井镇汇龙桥村砖瓦用页岩矿拟设采矿权范围内60°边坡角以上砖瓦用页岩矿估算资源量为：探明资源量44.90万立方米（折合105.06万吨）；推断资源量45.73万立方米（折合107.00万吨），合计90.63万立方米（折合212.06万吨），矿床资源量规模为小型。其中探明资源量占累计查明资源量49.54%，推断资源量占累计查明资源量50.46%。</w:t>
      </w:r>
    </w:p>
    <w:p w14:paraId="62AC3BC6">
      <w:pPr>
        <w:pStyle w:val="4"/>
        <w:adjustRightInd w:val="0"/>
        <w:snapToGrid w:val="0"/>
        <w:spacing w:before="0"/>
        <w:rPr>
          <w:rFonts w:hint="eastAsia" w:ascii="仿宋_GB2312" w:eastAsia="仿宋_GB2312" w:cs="仿宋_GB2312"/>
          <w:b/>
          <w:bCs w:val="0"/>
          <w:color w:val="auto"/>
          <w:sz w:val="28"/>
          <w:szCs w:val="28"/>
        </w:rPr>
      </w:pPr>
      <w:bookmarkStart w:id="158" w:name="_Toc138060303"/>
      <w:bookmarkStart w:id="159" w:name="_Toc72175169"/>
      <w:bookmarkStart w:id="160" w:name="_Toc22059"/>
      <w:bookmarkStart w:id="161" w:name="_Toc16711"/>
      <w:bookmarkStart w:id="162" w:name="_Toc13627"/>
      <w:bookmarkStart w:id="163" w:name="_Toc23378"/>
      <w:r>
        <w:rPr>
          <w:rFonts w:hint="eastAsia" w:ascii="仿宋_GB2312" w:eastAsia="仿宋_GB2312" w:cs="仿宋_GB2312"/>
          <w:b/>
          <w:bCs w:val="0"/>
          <w:color w:val="auto"/>
          <w:sz w:val="28"/>
          <w:szCs w:val="28"/>
        </w:rPr>
        <w:t>3.5矿区地质工作综合评述</w:t>
      </w:r>
      <w:bookmarkEnd w:id="158"/>
      <w:bookmarkEnd w:id="159"/>
      <w:bookmarkEnd w:id="160"/>
      <w:bookmarkEnd w:id="161"/>
      <w:bookmarkEnd w:id="162"/>
      <w:bookmarkEnd w:id="163"/>
    </w:p>
    <w:p w14:paraId="7DD3E976">
      <w:pPr>
        <w:pStyle w:val="79"/>
        <w:adjustRightInd w:val="0"/>
        <w:snapToGrid w:val="0"/>
        <w:spacing w:line="360" w:lineRule="auto"/>
        <w:rPr>
          <w:rFonts w:hint="eastAsia" w:ascii="仿宋_GB2312" w:eastAsia="仿宋_GB2312" w:cs="仿宋_GB2312"/>
          <w:color w:val="auto"/>
        </w:rPr>
      </w:pPr>
      <w:r>
        <w:rPr>
          <w:rFonts w:hint="eastAsia" w:ascii="仿宋_GB2312" w:eastAsia="仿宋_GB2312" w:cs="仿宋_GB2312"/>
          <w:color w:val="auto"/>
          <w:sz w:val="28"/>
          <w:szCs w:val="28"/>
        </w:rPr>
        <w:t>2023年8月中国建筑西南勘察设计研究院有限公司</w:t>
      </w:r>
      <w:r>
        <w:rPr>
          <w:rFonts w:hint="eastAsia" w:ascii="仿宋_GB2312" w:eastAsia="仿宋_GB2312" w:cs="仿宋_GB2312"/>
          <w:color w:val="auto"/>
          <w:sz w:val="28"/>
          <w:szCs w:val="28"/>
          <w:lang w:val="en-US" w:eastAsia="zh-CN"/>
        </w:rPr>
        <w:t>提交的《</w:t>
      </w:r>
      <w:r>
        <w:rPr>
          <w:rFonts w:hint="eastAsia" w:ascii="仿宋_GB2312" w:eastAsia="仿宋_GB2312" w:cs="仿宋_GB2312"/>
          <w:color w:val="auto"/>
          <w:sz w:val="28"/>
          <w:szCs w:val="28"/>
          <w:lang w:eastAsia="zh-CN"/>
        </w:rPr>
        <w:t>四川省大英县汇龙桥村砖瓦用页岩矿</w:t>
      </w:r>
      <w:r>
        <w:rPr>
          <w:rFonts w:hint="eastAsia" w:ascii="仿宋_GB2312" w:eastAsia="仿宋_GB2312" w:cs="仿宋_GB2312"/>
          <w:color w:val="auto"/>
          <w:sz w:val="28"/>
          <w:szCs w:val="28"/>
        </w:rPr>
        <w:t>勘查报告</w:t>
      </w:r>
      <w:r>
        <w:rPr>
          <w:rFonts w:hint="eastAsia" w:ascii="仿宋_GB2312" w:eastAsia="仿宋_GB2312" w:cs="仿宋_GB2312"/>
          <w:color w:val="auto"/>
          <w:sz w:val="28"/>
          <w:szCs w:val="28"/>
          <w:lang w:val="en-US" w:eastAsia="zh-CN"/>
        </w:rPr>
        <w:t>》</w:t>
      </w:r>
      <w:r>
        <w:rPr>
          <w:rFonts w:hint="eastAsia" w:ascii="仿宋_GB2312" w:eastAsia="仿宋_GB2312" w:cs="仿宋_GB2312"/>
          <w:color w:val="auto"/>
          <w:sz w:val="28"/>
          <w:szCs w:val="28"/>
        </w:rPr>
        <w:t>详细查明了勘查区地质特征及勘查区内3</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rPr>
        <w:t>0m以上矿体地质特征，详细查明了矿体形态、规模、厚度、空间位置；详细查明了矿石类型、品级、分布；详细查明了矿石矿物成分、化学成分、结构与构造、放射性水平、物理力学性能等；确定了矿石质量特征，确定了矿体的连续性。详细查明了矿山开采技术条件及矿石加工选冶技术性能，</w:t>
      </w:r>
      <w:r>
        <w:rPr>
          <w:rFonts w:hint="eastAsia" w:ascii="仿宋_GB2312" w:eastAsia="仿宋_GB2312" w:cs="仿宋_GB2312"/>
          <w:color w:val="auto"/>
          <w:sz w:val="28"/>
          <w:szCs w:val="28"/>
          <w:lang w:val="en-US" w:eastAsia="zh-CN"/>
        </w:rPr>
        <w:t>可作为本次开发利用方案设计的依据</w:t>
      </w:r>
      <w:r>
        <w:rPr>
          <w:rFonts w:hint="eastAsia" w:ascii="仿宋_GB2312" w:eastAsia="仿宋_GB2312" w:cs="仿宋_GB2312"/>
          <w:color w:val="auto"/>
          <w:sz w:val="28"/>
          <w:szCs w:val="28"/>
        </w:rPr>
        <w:t>。</w:t>
      </w:r>
      <w:bookmarkStart w:id="164" w:name="_Toc118015173"/>
      <w:bookmarkStart w:id="165" w:name="_Toc138060304"/>
      <w:r>
        <w:rPr>
          <w:rFonts w:hint="eastAsia" w:ascii="仿宋_GB2312" w:eastAsia="仿宋_GB2312" w:cs="仿宋_GB2312"/>
          <w:color w:val="auto"/>
        </w:rPr>
        <w:br w:type="page"/>
      </w:r>
    </w:p>
    <w:p w14:paraId="435F984A">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rPr>
      </w:pPr>
      <w:bookmarkStart w:id="166" w:name="_Toc17663"/>
      <w:bookmarkStart w:id="167" w:name="_Toc833"/>
      <w:bookmarkStart w:id="168" w:name="_Toc28507"/>
      <w:r>
        <w:rPr>
          <w:rFonts w:hint="eastAsia" w:ascii="仿宋_GB2312" w:eastAsia="仿宋_GB2312" w:cs="仿宋_GB2312"/>
          <w:color w:val="auto"/>
          <w:sz w:val="36"/>
          <w:szCs w:val="36"/>
        </w:rPr>
        <w:t>主要建设方案</w:t>
      </w:r>
      <w:bookmarkEnd w:id="164"/>
      <w:bookmarkEnd w:id="165"/>
      <w:bookmarkEnd w:id="166"/>
      <w:bookmarkEnd w:id="167"/>
      <w:bookmarkEnd w:id="168"/>
    </w:p>
    <w:p w14:paraId="350B6CCA">
      <w:pPr>
        <w:pStyle w:val="4"/>
        <w:adjustRightInd w:val="0"/>
        <w:snapToGrid w:val="0"/>
        <w:spacing w:before="0"/>
        <w:rPr>
          <w:rFonts w:hint="eastAsia" w:ascii="仿宋_GB2312" w:eastAsia="仿宋_GB2312" w:cs="仿宋_GB2312"/>
          <w:b/>
          <w:bCs w:val="0"/>
          <w:color w:val="auto"/>
          <w:sz w:val="28"/>
          <w:szCs w:val="28"/>
        </w:rPr>
      </w:pPr>
      <w:bookmarkStart w:id="169" w:name="_Toc24468"/>
      <w:bookmarkStart w:id="170" w:name="_Toc138060305"/>
      <w:bookmarkStart w:id="171" w:name="_Toc3517"/>
      <w:bookmarkStart w:id="172" w:name="_Toc14349"/>
      <w:r>
        <w:rPr>
          <w:rFonts w:hint="eastAsia" w:ascii="仿宋_GB2312" w:eastAsia="仿宋_GB2312" w:cs="仿宋_GB2312"/>
          <w:b/>
          <w:bCs w:val="0"/>
          <w:color w:val="auto"/>
          <w:sz w:val="28"/>
          <w:szCs w:val="28"/>
        </w:rPr>
        <w:t>4.1开采范围的确定</w:t>
      </w:r>
      <w:bookmarkEnd w:id="169"/>
      <w:bookmarkEnd w:id="170"/>
      <w:bookmarkEnd w:id="171"/>
      <w:bookmarkEnd w:id="172"/>
    </w:p>
    <w:p w14:paraId="29B288F0">
      <w:pPr>
        <w:pStyle w:val="626"/>
        <w:adjustRightInd w:val="0"/>
        <w:snapToGrid w:val="0"/>
        <w:spacing w:line="360" w:lineRule="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拟设</w:t>
      </w:r>
      <w:r>
        <w:rPr>
          <w:rFonts w:hint="eastAsia" w:ascii="仿宋_GB2312" w:eastAsia="仿宋_GB2312" w:cs="仿宋_GB2312"/>
          <w:color w:val="auto"/>
          <w:sz w:val="28"/>
          <w:szCs w:val="28"/>
          <w:lang w:eastAsia="zh-CN"/>
        </w:rPr>
        <w:t>大英县汇龙桥村砖瓦用页岩</w:t>
      </w:r>
      <w:r>
        <w:rPr>
          <w:rFonts w:hint="eastAsia" w:ascii="仿宋_GB2312" w:eastAsia="仿宋_GB2312" w:cs="仿宋_GB2312"/>
          <w:color w:val="auto"/>
          <w:sz w:val="28"/>
          <w:szCs w:val="28"/>
          <w:lang w:val="en-US" w:eastAsia="zh-CN"/>
        </w:rPr>
        <w:t>采矿权，由1～6号拐点圈闭，标高范围400m-330m，面积</w:t>
      </w:r>
      <w:r>
        <w:rPr>
          <w:rFonts w:hint="eastAsia" w:ascii="仿宋_GB2312" w:eastAsia="仿宋_GB2312" w:cs="仿宋_GB2312"/>
          <w:color w:val="auto"/>
        </w:rPr>
        <w:t>0.0</w:t>
      </w:r>
      <w:r>
        <w:rPr>
          <w:rFonts w:hint="eastAsia" w:ascii="仿宋_GB2312" w:eastAsia="仿宋_GB2312" w:cs="仿宋_GB2312"/>
          <w:color w:val="auto"/>
          <w:lang w:val="en-US" w:eastAsia="zh-CN"/>
        </w:rPr>
        <w:t>247</w:t>
      </w:r>
      <w:r>
        <w:rPr>
          <w:rFonts w:hint="eastAsia" w:ascii="仿宋_GB2312" w:eastAsia="仿宋_GB2312" w:cs="仿宋_GB2312"/>
          <w:color w:val="auto"/>
        </w:rPr>
        <w:t>k</w:t>
      </w:r>
      <w:r>
        <w:rPr>
          <w:rFonts w:hint="eastAsia" w:ascii="仿宋_GB2312" w:eastAsia="仿宋_GB2312" w:cs="仿宋_GB2312"/>
          <w:color w:val="auto"/>
          <w:lang w:eastAsia="zh-CN"/>
        </w:rPr>
        <w:t>m²</w:t>
      </w:r>
      <w:r>
        <w:rPr>
          <w:rFonts w:hint="eastAsia" w:ascii="仿宋_GB2312" w:eastAsia="仿宋_GB2312" w:cs="仿宋_GB2312"/>
          <w:color w:val="auto"/>
          <w:sz w:val="28"/>
          <w:szCs w:val="28"/>
          <w:lang w:val="en-US" w:eastAsia="zh-CN"/>
        </w:rPr>
        <w:t>。本次设计开采范围为拟设采矿权范围内保有资源储量。</w:t>
      </w:r>
    </w:p>
    <w:p w14:paraId="79FB295F">
      <w:pPr>
        <w:pStyle w:val="4"/>
        <w:adjustRightInd w:val="0"/>
        <w:snapToGrid w:val="0"/>
        <w:spacing w:before="0"/>
        <w:rPr>
          <w:rFonts w:hint="eastAsia" w:ascii="仿宋_GB2312" w:eastAsia="仿宋_GB2312" w:cs="仿宋_GB2312"/>
          <w:b/>
          <w:bCs w:val="0"/>
          <w:color w:val="auto"/>
          <w:sz w:val="28"/>
          <w:szCs w:val="28"/>
        </w:rPr>
      </w:pPr>
      <w:bookmarkStart w:id="173" w:name="_Toc10493"/>
      <w:bookmarkStart w:id="174" w:name="_Toc138060306"/>
      <w:bookmarkStart w:id="175" w:name="_Toc16239"/>
      <w:bookmarkStart w:id="176" w:name="_Toc16927"/>
      <w:r>
        <w:rPr>
          <w:rFonts w:hint="eastAsia" w:ascii="仿宋_GB2312" w:eastAsia="仿宋_GB2312" w:cs="仿宋_GB2312"/>
          <w:b/>
          <w:bCs w:val="0"/>
          <w:color w:val="auto"/>
          <w:sz w:val="28"/>
          <w:szCs w:val="28"/>
        </w:rPr>
        <w:t>4.2可利用资源量和采出资源量的确定</w:t>
      </w:r>
      <w:bookmarkEnd w:id="173"/>
      <w:bookmarkEnd w:id="174"/>
      <w:bookmarkEnd w:id="175"/>
      <w:bookmarkEnd w:id="176"/>
    </w:p>
    <w:p w14:paraId="24C36707">
      <w:pPr>
        <w:pStyle w:val="5"/>
        <w:adjustRightInd w:val="0"/>
        <w:snapToGrid w:val="0"/>
        <w:spacing w:before="0" w:line="360" w:lineRule="auto"/>
        <w:rPr>
          <w:rFonts w:hint="eastAsia" w:ascii="仿宋_GB2312" w:eastAsia="仿宋_GB2312" w:cs="仿宋_GB2312"/>
          <w:b/>
          <w:bCs w:val="0"/>
          <w:color w:val="auto"/>
          <w:sz w:val="28"/>
          <w:szCs w:val="28"/>
        </w:rPr>
      </w:pPr>
      <w:bookmarkStart w:id="177" w:name="_Toc22874"/>
      <w:bookmarkStart w:id="178" w:name="_Toc148957959"/>
      <w:r>
        <w:rPr>
          <w:rFonts w:hint="eastAsia" w:ascii="仿宋_GB2312" w:eastAsia="仿宋_GB2312" w:cs="仿宋_GB2312"/>
          <w:b/>
          <w:bCs w:val="0"/>
          <w:color w:val="auto"/>
          <w:sz w:val="28"/>
          <w:szCs w:val="28"/>
        </w:rPr>
        <w:t>4.2.1矿区保有资源量</w:t>
      </w:r>
      <w:bookmarkEnd w:id="177"/>
      <w:bookmarkEnd w:id="178"/>
    </w:p>
    <w:p w14:paraId="4105DB00">
      <w:pPr>
        <w:pStyle w:val="626"/>
        <w:adjustRightInd w:val="0"/>
        <w:snapToGrid w:val="0"/>
        <w:spacing w:line="360" w:lineRule="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截至2023年8月30日，</w:t>
      </w:r>
      <w:r>
        <w:rPr>
          <w:rFonts w:hint="eastAsia" w:ascii="仿宋_GB2312" w:eastAsia="仿宋_GB2312" w:cs="仿宋_GB2312"/>
          <w:color w:val="auto"/>
          <w:sz w:val="28"/>
          <w:szCs w:val="28"/>
        </w:rPr>
        <w:t>大英县卓筒井镇汇龙桥村砖瓦用页岩矿拟设采矿权范围内60°边坡角以上砖瓦用页岩矿估算资源量为：探明资源量44.90万立方米（折合105.06万吨）；推断资源量45.73万立方米（折合107.00万吨），合计90.63万立方米（折合212.06万吨）</w:t>
      </w:r>
      <w:r>
        <w:rPr>
          <w:rFonts w:hint="eastAsia" w:ascii="仿宋_GB2312" w:eastAsia="仿宋_GB2312" w:cs="仿宋_GB2312"/>
          <w:color w:val="auto"/>
          <w:sz w:val="28"/>
          <w:szCs w:val="28"/>
          <w:lang w:val="en-US" w:eastAsia="zh-CN"/>
        </w:rPr>
        <w:t>。</w:t>
      </w:r>
    </w:p>
    <w:p w14:paraId="32D1DBB8">
      <w:pPr>
        <w:pStyle w:val="5"/>
        <w:adjustRightInd w:val="0"/>
        <w:snapToGrid w:val="0"/>
        <w:spacing w:before="0" w:line="360" w:lineRule="auto"/>
        <w:rPr>
          <w:rFonts w:hint="eastAsia" w:ascii="仿宋_GB2312" w:eastAsia="仿宋_GB2312" w:cs="仿宋_GB2312"/>
          <w:b/>
          <w:bCs w:val="0"/>
          <w:color w:val="auto"/>
          <w:sz w:val="28"/>
          <w:szCs w:val="28"/>
        </w:rPr>
      </w:pPr>
      <w:bookmarkStart w:id="179" w:name="_Toc148957960"/>
      <w:bookmarkStart w:id="180" w:name="_Toc5622"/>
      <w:r>
        <w:rPr>
          <w:rFonts w:hint="eastAsia" w:ascii="仿宋_GB2312" w:eastAsia="仿宋_GB2312" w:cs="仿宋_GB2312"/>
          <w:b/>
          <w:bCs w:val="0"/>
          <w:color w:val="auto"/>
          <w:sz w:val="28"/>
          <w:szCs w:val="28"/>
        </w:rPr>
        <w:t>4.2.2设计利用资源量</w:t>
      </w:r>
      <w:bookmarkEnd w:id="179"/>
      <w:bookmarkEnd w:id="180"/>
    </w:p>
    <w:p w14:paraId="119BC3A3">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rPr>
        <w:t>结合矿床特征、工程控制情况及资源储量估算中矿体边界选取情况，本次推断的内蕴经济资源储量可信度系数为</w:t>
      </w:r>
      <w:r>
        <w:rPr>
          <w:rFonts w:hint="eastAsia" w:ascii="仿宋_GB2312" w:eastAsia="仿宋_GB2312" w:cs="仿宋_GB2312"/>
          <w:color w:val="auto"/>
          <w:sz w:val="28"/>
          <w:szCs w:val="28"/>
          <w:lang w:val="en-US" w:eastAsia="zh-CN"/>
        </w:rPr>
        <w:t>1.0</w:t>
      </w:r>
      <w:r>
        <w:rPr>
          <w:rFonts w:hint="eastAsia" w:ascii="仿宋_GB2312" w:eastAsia="仿宋_GB2312" w:cs="仿宋_GB2312"/>
          <w:color w:val="auto"/>
          <w:sz w:val="28"/>
          <w:szCs w:val="28"/>
        </w:rPr>
        <w:t>。</w:t>
      </w:r>
    </w:p>
    <w:p w14:paraId="21C0200A">
      <w:pPr>
        <w:pStyle w:val="17"/>
        <w:adjustRightInd w:val="0"/>
        <w:snapToGrid w:val="0"/>
        <w:spacing w:line="360" w:lineRule="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根据</w:t>
      </w:r>
      <w:r>
        <w:rPr>
          <w:rFonts w:hint="eastAsia" w:ascii="仿宋_GB2312" w:eastAsia="仿宋_GB2312" w:cs="仿宋_GB2312"/>
          <w:color w:val="auto"/>
          <w:sz w:val="28"/>
          <w:szCs w:val="28"/>
        </w:rPr>
        <w:t>圈定露天开采终了境界（具体境界圈定见5.1节），设计损失主要为挂帮矿，</w:t>
      </w:r>
      <w:r>
        <w:rPr>
          <w:rFonts w:hint="eastAsia" w:ascii="仿宋_GB2312" w:eastAsia="仿宋_GB2312" w:cs="仿宋_GB2312"/>
          <w:color w:val="auto"/>
          <w:sz w:val="28"/>
          <w:szCs w:val="28"/>
          <w:lang w:val="en-US" w:eastAsia="zh-CN"/>
        </w:rPr>
        <w:t>经计算</w:t>
      </w:r>
      <w:r>
        <w:rPr>
          <w:rFonts w:hint="eastAsia" w:ascii="仿宋_GB2312" w:eastAsia="仿宋_GB2312" w:cs="仿宋_GB2312"/>
          <w:color w:val="auto"/>
          <w:sz w:val="28"/>
          <w:szCs w:val="28"/>
        </w:rPr>
        <w:t>挂帮矿量</w:t>
      </w:r>
      <w:r>
        <w:rPr>
          <w:rFonts w:hint="eastAsia" w:ascii="仿宋_GB2312" w:eastAsia="仿宋_GB2312" w:cs="仿宋_GB2312"/>
          <w:color w:val="auto"/>
          <w:sz w:val="28"/>
          <w:szCs w:val="28"/>
          <w:lang w:val="en-US" w:eastAsia="zh-CN"/>
        </w:rPr>
        <w:t>66.03万吨</w:t>
      </w:r>
      <w:r>
        <w:rPr>
          <w:rFonts w:hint="eastAsia" w:ascii="仿宋_GB2312" w:eastAsia="仿宋_GB2312" w:cs="仿宋_GB2312"/>
          <w:color w:val="auto"/>
          <w:sz w:val="28"/>
          <w:szCs w:val="28"/>
        </w:rPr>
        <w:t>。露天开采终了境界内矿资源量见表4-</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设计利用率为69%。</w:t>
      </w:r>
    </w:p>
    <w:p w14:paraId="5C891793">
      <w:pPr>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表4-</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 xml:space="preserve">  设计利用资源储量</w:t>
      </w:r>
    </w:p>
    <w:tbl>
      <w:tblPr>
        <w:tblStyle w:val="6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7"/>
        <w:gridCol w:w="6009"/>
        <w:gridCol w:w="936"/>
      </w:tblGrid>
      <w:tr w14:paraId="7148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35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台阶标高</w:t>
            </w:r>
          </w:p>
        </w:tc>
        <w:tc>
          <w:tcPr>
            <w:tcW w:w="3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7D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矿石</w:t>
            </w:r>
          </w:p>
        </w:tc>
      </w:tr>
      <w:tr w14:paraId="4B52C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B1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（m）</w:t>
            </w:r>
          </w:p>
        </w:tc>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FD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万立方米</w:t>
            </w:r>
          </w:p>
        </w:tc>
        <w:tc>
          <w:tcPr>
            <w:tcW w:w="5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0D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万吨</w:t>
            </w:r>
          </w:p>
        </w:tc>
      </w:tr>
      <w:tr w14:paraId="439F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A5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390</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EB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0.70</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2A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1.64</w:t>
            </w:r>
          </w:p>
        </w:tc>
      </w:tr>
      <w:tr w14:paraId="078F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BD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378</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DC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10.11</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CF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23.65</w:t>
            </w:r>
          </w:p>
        </w:tc>
      </w:tr>
      <w:tr w14:paraId="1A49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4A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366</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C6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19.33</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31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45.23</w:t>
            </w:r>
          </w:p>
        </w:tc>
      </w:tr>
      <w:tr w14:paraId="5215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E5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354</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E7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19.85</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16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46.46</w:t>
            </w:r>
          </w:p>
        </w:tc>
      </w:tr>
      <w:tr w14:paraId="47DA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58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342</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D8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9.79</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42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22.90</w:t>
            </w:r>
          </w:p>
        </w:tc>
      </w:tr>
      <w:tr w14:paraId="1B05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2F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330</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F3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2.85</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4F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6.66</w:t>
            </w:r>
          </w:p>
        </w:tc>
      </w:tr>
      <w:tr w14:paraId="23F3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96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合计</w:t>
            </w: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E4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62.63</w:t>
            </w:r>
          </w:p>
        </w:tc>
        <w:tc>
          <w:tcPr>
            <w:tcW w:w="1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84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146.54</w:t>
            </w:r>
          </w:p>
        </w:tc>
      </w:tr>
    </w:tbl>
    <w:p w14:paraId="653118D9">
      <w:pPr>
        <w:adjustRightInd w:val="0"/>
        <w:snapToGrid w:val="0"/>
        <w:spacing w:line="240" w:lineRule="auto"/>
        <w:jc w:val="center"/>
        <w:rPr>
          <w:rFonts w:hint="eastAsia" w:ascii="仿宋_GB2312" w:eastAsia="仿宋_GB2312" w:cs="仿宋_GB2312"/>
          <w:color w:val="auto"/>
          <w:sz w:val="28"/>
          <w:szCs w:val="28"/>
        </w:rPr>
      </w:pPr>
    </w:p>
    <w:p w14:paraId="57819D13">
      <w:pPr>
        <w:pStyle w:val="5"/>
        <w:adjustRightInd w:val="0"/>
        <w:snapToGrid w:val="0"/>
        <w:spacing w:before="0" w:line="360" w:lineRule="auto"/>
        <w:rPr>
          <w:rFonts w:hint="eastAsia" w:ascii="仿宋_GB2312" w:eastAsia="仿宋_GB2312" w:cs="仿宋_GB2312"/>
          <w:b/>
          <w:bCs w:val="0"/>
          <w:color w:val="auto"/>
          <w:sz w:val="28"/>
          <w:szCs w:val="28"/>
        </w:rPr>
      </w:pPr>
      <w:bookmarkStart w:id="181" w:name="_Toc15084"/>
      <w:bookmarkStart w:id="182" w:name="_Toc148957961"/>
      <w:r>
        <w:rPr>
          <w:rFonts w:hint="eastAsia" w:ascii="仿宋_GB2312" w:eastAsia="仿宋_GB2312" w:cs="仿宋_GB2312"/>
          <w:b/>
          <w:bCs w:val="0"/>
          <w:color w:val="auto"/>
          <w:sz w:val="28"/>
          <w:szCs w:val="28"/>
        </w:rPr>
        <w:t>4.2.3采出资源量</w:t>
      </w:r>
      <w:bookmarkEnd w:id="181"/>
      <w:bookmarkEnd w:id="182"/>
    </w:p>
    <w:p w14:paraId="4E9B6DF1">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参考类似矿山生产指标，</w:t>
      </w:r>
      <w:r>
        <w:rPr>
          <w:rFonts w:hint="eastAsia" w:ascii="仿宋_GB2312" w:eastAsia="仿宋_GB2312" w:cs="仿宋_GB2312"/>
          <w:color w:val="auto"/>
          <w:sz w:val="28"/>
          <w:szCs w:val="28"/>
        </w:rPr>
        <w:t>设计</w:t>
      </w:r>
      <w:r>
        <w:rPr>
          <w:rFonts w:hint="eastAsia" w:ascii="仿宋_GB2312" w:eastAsia="仿宋_GB2312" w:cs="仿宋_GB2312"/>
          <w:color w:val="auto"/>
          <w:sz w:val="28"/>
          <w:szCs w:val="28"/>
          <w:lang w:val="en-US" w:eastAsia="zh-CN"/>
        </w:rPr>
        <w:t>回采率98</w:t>
      </w:r>
      <w:r>
        <w:rPr>
          <w:rFonts w:hint="eastAsia" w:ascii="仿宋_GB2312" w:eastAsia="仿宋_GB2312" w:cs="仿宋_GB2312"/>
          <w:color w:val="auto"/>
          <w:sz w:val="28"/>
          <w:szCs w:val="28"/>
        </w:rPr>
        <w:t>%、废石混入率为</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可采矿量143.61万吨，</w:t>
      </w:r>
      <w:r>
        <w:rPr>
          <w:rFonts w:hint="eastAsia" w:ascii="仿宋_GB2312" w:eastAsia="仿宋_GB2312" w:cs="仿宋_GB2312"/>
          <w:color w:val="auto"/>
          <w:sz w:val="28"/>
          <w:szCs w:val="28"/>
        </w:rPr>
        <w:t>采出</w:t>
      </w:r>
      <w:r>
        <w:rPr>
          <w:rFonts w:hint="eastAsia" w:ascii="仿宋_GB2312" w:eastAsia="仿宋_GB2312" w:cs="仿宋_GB2312"/>
          <w:color w:val="auto"/>
          <w:sz w:val="28"/>
          <w:szCs w:val="28"/>
          <w:lang w:val="en-US" w:eastAsia="zh-CN"/>
        </w:rPr>
        <w:t>矿量149.60万吨</w:t>
      </w:r>
      <w:r>
        <w:rPr>
          <w:rFonts w:hint="eastAsia" w:ascii="仿宋_GB2312" w:eastAsia="仿宋_GB2312" w:cs="仿宋_GB2312"/>
          <w:color w:val="auto"/>
          <w:sz w:val="28"/>
          <w:szCs w:val="28"/>
        </w:rPr>
        <w:t>。</w:t>
      </w:r>
    </w:p>
    <w:p w14:paraId="4CBB6061">
      <w:pPr>
        <w:pStyle w:val="4"/>
        <w:adjustRightInd w:val="0"/>
        <w:snapToGrid w:val="0"/>
        <w:spacing w:before="0"/>
        <w:rPr>
          <w:rFonts w:hint="eastAsia" w:ascii="仿宋_GB2312" w:eastAsia="仿宋_GB2312" w:cs="仿宋_GB2312"/>
          <w:b/>
          <w:bCs w:val="0"/>
          <w:color w:val="auto"/>
          <w:sz w:val="28"/>
          <w:szCs w:val="28"/>
        </w:rPr>
      </w:pPr>
      <w:bookmarkStart w:id="183" w:name="_Toc138060307"/>
      <w:bookmarkStart w:id="184" w:name="_Toc27173"/>
      <w:bookmarkStart w:id="185" w:name="_Toc8754"/>
      <w:bookmarkStart w:id="186" w:name="_Toc22171"/>
      <w:r>
        <w:rPr>
          <w:rFonts w:hint="eastAsia" w:ascii="仿宋_GB2312" w:eastAsia="仿宋_GB2312" w:cs="仿宋_GB2312"/>
          <w:b/>
          <w:bCs w:val="0"/>
          <w:color w:val="auto"/>
          <w:sz w:val="28"/>
          <w:szCs w:val="28"/>
        </w:rPr>
        <w:t>4.3矿床开采方式</w:t>
      </w:r>
      <w:bookmarkEnd w:id="183"/>
      <w:bookmarkEnd w:id="184"/>
      <w:bookmarkEnd w:id="185"/>
      <w:bookmarkEnd w:id="186"/>
    </w:p>
    <w:p w14:paraId="5F9F5D32">
      <w:pPr>
        <w:pStyle w:val="5"/>
        <w:adjustRightInd w:val="0"/>
        <w:snapToGrid w:val="0"/>
        <w:spacing w:before="0" w:line="360" w:lineRule="auto"/>
        <w:rPr>
          <w:rFonts w:hint="eastAsia" w:ascii="仿宋_GB2312" w:eastAsia="仿宋_GB2312" w:cs="仿宋_GB2312"/>
          <w:b/>
          <w:bCs w:val="0"/>
          <w:color w:val="auto"/>
          <w:sz w:val="28"/>
          <w:szCs w:val="28"/>
        </w:rPr>
      </w:pPr>
      <w:bookmarkStart w:id="187" w:name="_Toc21257"/>
      <w:bookmarkStart w:id="188" w:name="_Toc148957963"/>
      <w:r>
        <w:rPr>
          <w:rFonts w:hint="eastAsia" w:ascii="仿宋_GB2312" w:eastAsia="仿宋_GB2312" w:cs="仿宋_GB2312"/>
          <w:b/>
          <w:bCs w:val="0"/>
          <w:color w:val="auto"/>
          <w:sz w:val="28"/>
          <w:szCs w:val="28"/>
        </w:rPr>
        <w:t>4.3.1矿体赋存情况</w:t>
      </w:r>
      <w:bookmarkEnd w:id="187"/>
      <w:bookmarkEnd w:id="188"/>
    </w:p>
    <w:p w14:paraId="3F7C5BDF">
      <w:pPr>
        <w:pStyle w:val="17"/>
        <w:adjustRightInd w:val="0"/>
        <w:snapToGrid w:val="0"/>
        <w:spacing w:line="360" w:lineRule="auto"/>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rPr>
        <w:t>矿体呈近水平层状产出</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矿体总体形态简单，无夹石，分布面积广，厚度稳定</w:t>
      </w:r>
      <w:r>
        <w:rPr>
          <w:rFonts w:hint="eastAsia" w:ascii="仿宋_GB2312" w:eastAsia="仿宋_GB2312" w:cs="仿宋_GB2312"/>
          <w:color w:val="auto"/>
          <w:sz w:val="28"/>
          <w:szCs w:val="28"/>
          <w:lang w:eastAsia="zh-CN"/>
        </w:rPr>
        <w:t>。</w:t>
      </w:r>
    </w:p>
    <w:p w14:paraId="2062CDFA">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矿体产于侏罗系上统蓬莱镇组中，围岩仍为蓬莱镇组泥岩。矿体无直接顶板，矿体表面多为第四系风化残坡积物，可直接掺拌于矿体中作制砖原料。</w:t>
      </w:r>
    </w:p>
    <w:p w14:paraId="2CB1CB37">
      <w:pPr>
        <w:pStyle w:val="5"/>
        <w:adjustRightInd w:val="0"/>
        <w:snapToGrid w:val="0"/>
        <w:spacing w:before="0" w:line="360" w:lineRule="auto"/>
        <w:rPr>
          <w:rFonts w:hint="eastAsia" w:ascii="仿宋_GB2312" w:eastAsia="仿宋_GB2312" w:cs="仿宋_GB2312"/>
          <w:b/>
          <w:bCs w:val="0"/>
          <w:color w:val="auto"/>
          <w:sz w:val="28"/>
          <w:szCs w:val="28"/>
        </w:rPr>
      </w:pPr>
      <w:bookmarkStart w:id="189" w:name="_Toc148957964"/>
      <w:bookmarkStart w:id="190" w:name="_Toc25024"/>
      <w:r>
        <w:rPr>
          <w:rFonts w:hint="eastAsia" w:ascii="仿宋_GB2312" w:eastAsia="仿宋_GB2312" w:cs="仿宋_GB2312"/>
          <w:b/>
          <w:bCs w:val="0"/>
          <w:color w:val="auto"/>
          <w:sz w:val="28"/>
          <w:szCs w:val="28"/>
        </w:rPr>
        <w:t>4.3.2开采技术条件</w:t>
      </w:r>
      <w:bookmarkEnd w:id="189"/>
      <w:bookmarkEnd w:id="190"/>
    </w:p>
    <w:p w14:paraId="733EA3AF">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1、地形地貌</w:t>
      </w:r>
    </w:p>
    <w:p w14:paraId="5F2DFE47">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矿区中间高四周低，东西向长度约200m，最宽度处约170m，最窄处约80m，相对高差约40m。</w:t>
      </w:r>
    </w:p>
    <w:p w14:paraId="639864F2">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2、气象概况</w:t>
      </w:r>
    </w:p>
    <w:p w14:paraId="4F7A6DF6">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大英县属川中亚热带温暖湿润气候区，季风气候显著。全县平均气温17℃，极端最低气温-4.6℃；极端最高气温39.4℃。日均温皆在0℃以上，年均无霜期298天。多年平均降雨量为927.6mm。</w:t>
      </w:r>
    </w:p>
    <w:p w14:paraId="4C73FEB5">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3、水文地质条件</w:t>
      </w:r>
    </w:p>
    <w:p w14:paraId="078525D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rPr>
      </w:pPr>
      <w:r>
        <w:rPr>
          <w:rFonts w:hint="eastAsia" w:ascii="仿宋_GB2312" w:eastAsia="仿宋_GB2312" w:cs="仿宋_GB2312"/>
          <w:color w:val="auto"/>
        </w:rPr>
        <w:t>矿层均位于当地侵蚀基准面以上，自然排水条件好。区内无常年地表水体，地表迳流条件好。矿区范围内排水通畅，地下水贫乏，水文地质类型属以基岩裂隙含水层充水为主的简单类型（II-1型）。</w:t>
      </w:r>
    </w:p>
    <w:p w14:paraId="15C4C58F">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4、工程地质条件</w:t>
      </w:r>
    </w:p>
    <w:p w14:paraId="64B7BCE4">
      <w:pPr>
        <w:pStyle w:val="17"/>
        <w:adjustRightInd w:val="0"/>
        <w:snapToGrid w:val="0"/>
        <w:spacing w:line="360" w:lineRule="auto"/>
        <w:rPr>
          <w:rFonts w:hint="eastAsia" w:ascii="仿宋_GB2312" w:eastAsia="仿宋_GB2312" w:cs="仿宋_GB2312"/>
          <w:color w:val="auto"/>
          <w:lang w:val="en-US" w:eastAsia="zh-CN"/>
        </w:rPr>
      </w:pPr>
      <w:r>
        <w:rPr>
          <w:rFonts w:hint="eastAsia" w:ascii="仿宋_GB2312" w:eastAsia="仿宋_GB2312" w:cs="仿宋_GB2312"/>
          <w:color w:val="auto"/>
          <w:lang w:val="en-US" w:eastAsia="zh-CN"/>
        </w:rPr>
        <w:t>矿体及围岩为侏罗系上统蓬莱镇组泥岩、粉砂岩等组成的碎屑岩类软弱工程地质岩组。岩石强度交底，遇水易软化崩解，表层易风化。矿区工程地质条件属中等。</w:t>
      </w:r>
    </w:p>
    <w:p w14:paraId="3CF5EF94">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5、环境地质条件</w:t>
      </w:r>
    </w:p>
    <w:p w14:paraId="0492DD6B">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lang w:val="en-US" w:eastAsia="zh-CN"/>
        </w:rPr>
        <w:t>目前矿区未见有规模的不良工程地质现象，附近水体污染程度很低。按《矿区水文地质工程地质勘探规范》(GB12719-2021)，矿区地质环境类型为第二类即中等类型。</w:t>
      </w:r>
    </w:p>
    <w:p w14:paraId="12E67226">
      <w:pPr>
        <w:pStyle w:val="5"/>
        <w:adjustRightInd w:val="0"/>
        <w:snapToGrid w:val="0"/>
        <w:spacing w:before="0" w:line="360" w:lineRule="auto"/>
        <w:rPr>
          <w:rFonts w:hint="eastAsia" w:ascii="仿宋_GB2312" w:eastAsia="仿宋_GB2312" w:cs="仿宋_GB2312"/>
          <w:b/>
          <w:bCs w:val="0"/>
          <w:color w:val="auto"/>
          <w:sz w:val="28"/>
          <w:szCs w:val="28"/>
        </w:rPr>
      </w:pPr>
      <w:bookmarkStart w:id="191" w:name="_Toc4675"/>
      <w:bookmarkStart w:id="192" w:name="_Toc148957965"/>
      <w:r>
        <w:rPr>
          <w:rFonts w:hint="eastAsia" w:ascii="仿宋_GB2312" w:eastAsia="仿宋_GB2312" w:cs="仿宋_GB2312"/>
          <w:b/>
          <w:bCs w:val="0"/>
          <w:color w:val="auto"/>
          <w:sz w:val="28"/>
          <w:szCs w:val="28"/>
        </w:rPr>
        <w:t>4.3.3开采方式的确定</w:t>
      </w:r>
      <w:bookmarkEnd w:id="191"/>
      <w:bookmarkEnd w:id="192"/>
    </w:p>
    <w:p w14:paraId="0AF088D8">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根据</w:t>
      </w:r>
      <w:r>
        <w:rPr>
          <w:rFonts w:hint="eastAsia" w:ascii="仿宋_GB2312" w:eastAsia="仿宋_GB2312" w:cs="仿宋_GB2312"/>
          <w:color w:val="auto"/>
          <w:sz w:val="28"/>
          <w:szCs w:val="28"/>
        </w:rPr>
        <w:t>矿区矿体赋存条件，确定设计范围内矿体采用露天开采方式。</w:t>
      </w:r>
    </w:p>
    <w:p w14:paraId="22AAC59F">
      <w:pPr>
        <w:pStyle w:val="4"/>
        <w:adjustRightInd w:val="0"/>
        <w:snapToGrid w:val="0"/>
        <w:spacing w:before="0"/>
        <w:rPr>
          <w:rFonts w:hint="eastAsia" w:ascii="仿宋_GB2312" w:eastAsia="仿宋_GB2312" w:cs="仿宋_GB2312"/>
          <w:b/>
          <w:bCs w:val="0"/>
          <w:color w:val="auto"/>
          <w:sz w:val="28"/>
          <w:szCs w:val="28"/>
        </w:rPr>
      </w:pPr>
      <w:bookmarkStart w:id="193" w:name="_Toc138060308"/>
      <w:bookmarkStart w:id="194" w:name="_Toc2867"/>
      <w:bookmarkStart w:id="195" w:name="_Toc20705"/>
      <w:bookmarkStart w:id="196" w:name="_Toc28848"/>
      <w:r>
        <w:rPr>
          <w:rFonts w:hint="eastAsia" w:ascii="仿宋_GB2312" w:eastAsia="仿宋_GB2312" w:cs="仿宋_GB2312"/>
          <w:b/>
          <w:bCs w:val="0"/>
          <w:color w:val="auto"/>
          <w:sz w:val="28"/>
          <w:szCs w:val="28"/>
        </w:rPr>
        <w:t>4.4建设规模及</w:t>
      </w:r>
      <w:bookmarkEnd w:id="193"/>
      <w:bookmarkEnd w:id="194"/>
      <w:r>
        <w:rPr>
          <w:rFonts w:hint="eastAsia" w:ascii="仿宋_GB2312" w:eastAsia="仿宋_GB2312" w:cs="仿宋_GB2312"/>
          <w:b/>
          <w:bCs w:val="0"/>
          <w:color w:val="auto"/>
          <w:sz w:val="28"/>
          <w:szCs w:val="28"/>
        </w:rPr>
        <w:t>产品方案</w:t>
      </w:r>
      <w:bookmarkEnd w:id="195"/>
      <w:bookmarkEnd w:id="196"/>
    </w:p>
    <w:p w14:paraId="1FCE5852">
      <w:pPr>
        <w:pStyle w:val="5"/>
        <w:adjustRightInd w:val="0"/>
        <w:snapToGrid w:val="0"/>
        <w:spacing w:before="0" w:line="360" w:lineRule="auto"/>
        <w:rPr>
          <w:rFonts w:hint="eastAsia" w:ascii="仿宋_GB2312" w:eastAsia="仿宋_GB2312" w:cs="仿宋_GB2312"/>
          <w:b/>
          <w:bCs w:val="0"/>
          <w:color w:val="auto"/>
          <w:sz w:val="28"/>
          <w:szCs w:val="28"/>
        </w:rPr>
      </w:pPr>
      <w:bookmarkStart w:id="197" w:name="_Toc13241"/>
      <w:bookmarkStart w:id="198" w:name="_Toc148957967"/>
      <w:r>
        <w:rPr>
          <w:rFonts w:hint="eastAsia" w:ascii="仿宋_GB2312" w:eastAsia="仿宋_GB2312" w:cs="仿宋_GB2312"/>
          <w:b/>
          <w:bCs w:val="0"/>
          <w:color w:val="auto"/>
          <w:sz w:val="28"/>
          <w:szCs w:val="28"/>
        </w:rPr>
        <w:t>4.4.1建设规模</w:t>
      </w:r>
      <w:bookmarkEnd w:id="197"/>
      <w:bookmarkEnd w:id="198"/>
    </w:p>
    <w:p w14:paraId="04725CE4">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根据相关产业政策、区内资源条件以及《大英县矿产资源总体规划》(2021-2025年），确定矿山拟建采选规模按20万吨/年。</w:t>
      </w:r>
    </w:p>
    <w:p w14:paraId="21E83528">
      <w:pPr>
        <w:pStyle w:val="5"/>
        <w:adjustRightInd w:val="0"/>
        <w:snapToGrid w:val="0"/>
        <w:spacing w:before="0" w:line="360" w:lineRule="auto"/>
        <w:rPr>
          <w:rFonts w:hint="eastAsia" w:ascii="仿宋_GB2312" w:eastAsia="仿宋_GB2312" w:cs="仿宋_GB2312"/>
          <w:b/>
          <w:bCs w:val="0"/>
          <w:color w:val="auto"/>
          <w:sz w:val="28"/>
          <w:szCs w:val="28"/>
        </w:rPr>
      </w:pPr>
      <w:bookmarkStart w:id="199" w:name="_Toc11521"/>
      <w:bookmarkStart w:id="200" w:name="_Toc148957968"/>
      <w:bookmarkStart w:id="201" w:name="_Toc138060310"/>
      <w:bookmarkStart w:id="202" w:name="_Toc1315"/>
      <w:r>
        <w:rPr>
          <w:rFonts w:hint="eastAsia" w:ascii="仿宋_GB2312" w:eastAsia="仿宋_GB2312" w:cs="仿宋_GB2312"/>
          <w:b/>
          <w:bCs w:val="0"/>
          <w:color w:val="auto"/>
          <w:sz w:val="28"/>
          <w:szCs w:val="28"/>
        </w:rPr>
        <w:t>4.4.2产品方案</w:t>
      </w:r>
      <w:bookmarkEnd w:id="199"/>
      <w:bookmarkEnd w:id="200"/>
      <w:bookmarkEnd w:id="201"/>
      <w:bookmarkEnd w:id="202"/>
    </w:p>
    <w:p w14:paraId="30C4D632">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设计开采矿种为</w:t>
      </w:r>
      <w:r>
        <w:rPr>
          <w:rFonts w:hint="eastAsia" w:ascii="仿宋_GB2312" w:eastAsia="仿宋_GB2312" w:cs="仿宋_GB2312"/>
          <w:color w:val="auto"/>
          <w:sz w:val="28"/>
          <w:szCs w:val="28"/>
        </w:rPr>
        <w:t>砖瓦用页岩</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采出矿石无需选矿，本次设计产品方案为</w:t>
      </w:r>
      <w:r>
        <w:rPr>
          <w:rFonts w:hint="eastAsia" w:ascii="仿宋_GB2312" w:eastAsia="仿宋_GB2312" w:cs="仿宋_GB2312"/>
          <w:color w:val="auto"/>
          <w:sz w:val="28"/>
          <w:szCs w:val="28"/>
          <w:lang w:eastAsia="zh-CN"/>
        </w:rPr>
        <w:t>原矿。</w:t>
      </w:r>
    </w:p>
    <w:p w14:paraId="525FCC73">
      <w:pPr>
        <w:pStyle w:val="4"/>
        <w:adjustRightInd w:val="0"/>
        <w:snapToGrid w:val="0"/>
        <w:spacing w:before="0"/>
        <w:rPr>
          <w:rFonts w:hint="eastAsia" w:ascii="仿宋_GB2312" w:eastAsia="仿宋_GB2312" w:cs="仿宋_GB2312"/>
          <w:b/>
          <w:bCs w:val="0"/>
          <w:color w:val="auto"/>
          <w:sz w:val="28"/>
          <w:szCs w:val="28"/>
        </w:rPr>
      </w:pPr>
      <w:bookmarkStart w:id="203" w:name="_Toc11206"/>
      <w:bookmarkStart w:id="204" w:name="_Toc138060320"/>
      <w:bookmarkStart w:id="205" w:name="_Toc4313"/>
      <w:bookmarkStart w:id="206" w:name="_Toc24839"/>
      <w:r>
        <w:rPr>
          <w:rFonts w:hint="eastAsia" w:ascii="仿宋_GB2312" w:eastAsia="仿宋_GB2312" w:cs="仿宋_GB2312"/>
          <w:b/>
          <w:bCs w:val="0"/>
          <w:color w:val="auto"/>
          <w:sz w:val="28"/>
          <w:szCs w:val="28"/>
        </w:rPr>
        <w:t>4.5防治水方案</w:t>
      </w:r>
      <w:bookmarkEnd w:id="203"/>
      <w:bookmarkEnd w:id="204"/>
      <w:bookmarkEnd w:id="205"/>
      <w:bookmarkEnd w:id="206"/>
    </w:p>
    <w:p w14:paraId="235528C8">
      <w:pPr>
        <w:pStyle w:val="5"/>
        <w:adjustRightInd w:val="0"/>
        <w:snapToGrid w:val="0"/>
        <w:spacing w:before="0" w:line="360" w:lineRule="auto"/>
        <w:rPr>
          <w:rFonts w:hint="eastAsia" w:ascii="仿宋_GB2312" w:eastAsia="仿宋_GB2312" w:cs="仿宋_GB2312"/>
          <w:b/>
          <w:bCs w:val="0"/>
          <w:color w:val="auto"/>
          <w:sz w:val="28"/>
          <w:szCs w:val="28"/>
        </w:rPr>
      </w:pPr>
      <w:bookmarkStart w:id="207" w:name="_Toc148957970"/>
      <w:bookmarkStart w:id="208" w:name="_Toc15840"/>
      <w:r>
        <w:rPr>
          <w:rFonts w:hint="eastAsia" w:ascii="仿宋_GB2312" w:eastAsia="仿宋_GB2312" w:cs="仿宋_GB2312"/>
          <w:b/>
          <w:bCs w:val="0"/>
          <w:color w:val="auto"/>
          <w:sz w:val="28"/>
          <w:szCs w:val="28"/>
        </w:rPr>
        <w:t>4.5.1矿床充水因素分析</w:t>
      </w:r>
      <w:bookmarkEnd w:id="207"/>
      <w:bookmarkEnd w:id="208"/>
    </w:p>
    <w:p w14:paraId="612EBA25">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大气降雨以直接方式进入矿坑，为主要的充水因素。矿体位于潜水面以上，排泄条件好，地下水静储量小，并在露天采场施工过程中逐步被疏干，可忽略不计。</w:t>
      </w:r>
    </w:p>
    <w:p w14:paraId="67808E5E">
      <w:pPr>
        <w:pStyle w:val="5"/>
        <w:adjustRightInd w:val="0"/>
        <w:snapToGrid w:val="0"/>
        <w:spacing w:before="0" w:line="360" w:lineRule="auto"/>
        <w:rPr>
          <w:rFonts w:hint="eastAsia" w:ascii="仿宋_GB2312" w:eastAsia="仿宋_GB2312" w:cs="仿宋_GB2312"/>
          <w:b/>
          <w:bCs w:val="0"/>
          <w:color w:val="auto"/>
          <w:sz w:val="28"/>
          <w:szCs w:val="28"/>
        </w:rPr>
      </w:pPr>
      <w:bookmarkStart w:id="209" w:name="_Toc148957971"/>
      <w:bookmarkStart w:id="210" w:name="_Toc29430"/>
      <w:r>
        <w:rPr>
          <w:rFonts w:hint="eastAsia" w:ascii="仿宋_GB2312" w:eastAsia="仿宋_GB2312" w:cs="仿宋_GB2312"/>
          <w:b/>
          <w:bCs w:val="0"/>
          <w:color w:val="auto"/>
          <w:sz w:val="28"/>
          <w:szCs w:val="28"/>
        </w:rPr>
        <w:t>4.5.2防排水方案</w:t>
      </w:r>
      <w:bookmarkEnd w:id="209"/>
      <w:bookmarkEnd w:id="210"/>
    </w:p>
    <w:p w14:paraId="7CE25C5A">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露天采场外向露天采场内的汇水</w:t>
      </w:r>
    </w:p>
    <w:p w14:paraId="741B0FE9">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本矿山开采区域高于周边地形，采场外围无汇水。</w:t>
      </w:r>
    </w:p>
    <w:p w14:paraId="608CBD92">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露天采场内防排水系统</w:t>
      </w:r>
    </w:p>
    <w:p w14:paraId="5E3B70CD">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采场内部</w:t>
      </w:r>
      <w:r>
        <w:rPr>
          <w:rFonts w:hint="eastAsia" w:ascii="仿宋_GB2312" w:eastAsia="仿宋_GB2312" w:cs="仿宋_GB2312"/>
          <w:color w:val="auto"/>
          <w:sz w:val="28"/>
          <w:szCs w:val="28"/>
          <w:lang w:val="en-US" w:eastAsia="zh-CN"/>
        </w:rPr>
        <w:t>作业平台</w:t>
      </w:r>
      <w:r>
        <w:rPr>
          <w:rFonts w:hint="eastAsia" w:ascii="仿宋_GB2312" w:eastAsia="仿宋_GB2312" w:cs="仿宋_GB2312"/>
          <w:color w:val="auto"/>
          <w:sz w:val="28"/>
          <w:szCs w:val="28"/>
        </w:rPr>
        <w:t>应开掘成3‰～5‰的坡面，保持适当流水坡。</w:t>
      </w:r>
    </w:p>
    <w:p w14:paraId="76CC8880">
      <w:pPr>
        <w:pStyle w:val="17"/>
        <w:adjustRightInd w:val="0"/>
        <w:snapToGrid w:val="0"/>
        <w:spacing w:line="360" w:lineRule="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rPr>
        <w:t>为防止雨水渗透、冲刷对开采边坡及最终边坡产生不利影响，设计对整体边坡采取分级截流。</w:t>
      </w:r>
      <w:r>
        <w:rPr>
          <w:rFonts w:hint="eastAsia" w:ascii="仿宋_GB2312" w:eastAsia="仿宋_GB2312" w:cs="仿宋_GB2312"/>
          <w:color w:val="auto"/>
          <w:sz w:val="28"/>
          <w:szCs w:val="28"/>
          <w:lang w:val="en-US" w:eastAsia="zh-CN"/>
        </w:rPr>
        <w:t>设计在各安全平台布置</w:t>
      </w:r>
      <w:r>
        <w:rPr>
          <w:rFonts w:hint="eastAsia" w:ascii="仿宋_GB2312" w:eastAsia="仿宋_GB2312" w:cs="仿宋_GB2312"/>
          <w:color w:val="auto"/>
          <w:sz w:val="28"/>
          <w:szCs w:val="28"/>
        </w:rPr>
        <w:t>截</w:t>
      </w:r>
      <w:r>
        <w:rPr>
          <w:rFonts w:hint="eastAsia" w:ascii="仿宋_GB2312" w:eastAsia="仿宋_GB2312" w:cs="仿宋_GB2312"/>
          <w:color w:val="auto"/>
          <w:sz w:val="28"/>
          <w:szCs w:val="28"/>
          <w:lang w:val="en-US" w:eastAsia="zh-CN"/>
        </w:rPr>
        <w:t>排</w:t>
      </w:r>
      <w:r>
        <w:rPr>
          <w:rFonts w:hint="eastAsia" w:ascii="仿宋_GB2312" w:eastAsia="仿宋_GB2312" w:cs="仿宋_GB2312"/>
          <w:color w:val="auto"/>
          <w:sz w:val="28"/>
          <w:szCs w:val="28"/>
        </w:rPr>
        <w:t>水沟。遇暴雨时应及时撤出采场作业人员，并将设备转移至安全区域。</w:t>
      </w:r>
      <w:r>
        <w:rPr>
          <w:rFonts w:hint="eastAsia" w:ascii="仿宋_GB2312" w:eastAsia="仿宋_GB2312" w:cs="仿宋_GB2312"/>
          <w:color w:val="auto"/>
          <w:sz w:val="28"/>
          <w:szCs w:val="28"/>
          <w:lang w:val="en-US" w:eastAsia="zh-CN"/>
        </w:rPr>
        <w:t>排水沟断面0.5×0.5m，纵坡5‰。</w:t>
      </w:r>
    </w:p>
    <w:p w14:paraId="094140D6">
      <w:pPr>
        <w:pStyle w:val="1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w:t>
      </w:r>
      <w:r>
        <w:rPr>
          <w:rFonts w:ascii="仿宋_GB2312" w:eastAsia="仿宋_GB2312" w:cs="仿宋_GB2312"/>
          <w:color w:val="auto"/>
          <w:sz w:val="28"/>
          <w:szCs w:val="28"/>
          <w:lang w:val="en-US" w:eastAsia="zh-CN"/>
        </w:rPr>
        <w:t>3</w:t>
      </w:r>
      <w:r>
        <w:rPr>
          <w:rFonts w:hint="eastAsia" w:ascii="仿宋_GB2312" w:eastAsia="仿宋_GB2312" w:cs="仿宋_GB2312"/>
          <w:color w:val="auto"/>
          <w:sz w:val="28"/>
          <w:szCs w:val="28"/>
          <w:lang w:val="en-US" w:eastAsia="zh-CN"/>
        </w:rPr>
        <w:t>）机械排水</w:t>
      </w:r>
    </w:p>
    <w:p w14:paraId="33366115">
      <w:pPr>
        <w:pStyle w:val="1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矿山开采最终形成凹陷露天采场，</w:t>
      </w:r>
      <w:bookmarkStart w:id="211" w:name="_Hlk144326627"/>
      <w:r>
        <w:rPr>
          <w:rFonts w:hint="eastAsia" w:ascii="仿宋_GB2312" w:eastAsia="仿宋_GB2312" w:cs="仿宋_GB2312"/>
          <w:color w:val="auto"/>
          <w:sz w:val="28"/>
          <w:szCs w:val="28"/>
        </w:rPr>
        <w:t>最低开采标高为+</w:t>
      </w:r>
      <w:r>
        <w:rPr>
          <w:rFonts w:hint="eastAsia" w:ascii="仿宋_GB2312" w:eastAsia="仿宋_GB2312" w:cs="仿宋_GB2312"/>
          <w:color w:val="auto"/>
          <w:sz w:val="28"/>
          <w:szCs w:val="28"/>
          <w:lang w:val="en-US" w:eastAsia="zh-CN"/>
        </w:rPr>
        <w:t>330</w:t>
      </w:r>
      <w:r>
        <w:rPr>
          <w:rFonts w:hint="eastAsia" w:ascii="仿宋_GB2312" w:eastAsia="仿宋_GB2312" w:cs="仿宋_GB2312"/>
          <w:color w:val="auto"/>
          <w:sz w:val="28"/>
          <w:szCs w:val="28"/>
        </w:rPr>
        <w:t>m，封闭圈标高</w:t>
      </w:r>
      <w:r>
        <w:rPr>
          <w:rFonts w:hint="eastAsia" w:ascii="仿宋_GB2312" w:eastAsia="仿宋_GB2312" w:cs="仿宋_GB2312"/>
          <w:color w:val="auto"/>
          <w:sz w:val="28"/>
          <w:szCs w:val="28"/>
          <w:lang w:val="en-US" w:eastAsia="zh-CN"/>
        </w:rPr>
        <w:t>360</w:t>
      </w:r>
      <w:r>
        <w:rPr>
          <w:rFonts w:hint="eastAsia" w:ascii="仿宋_GB2312" w:eastAsia="仿宋_GB2312" w:cs="仿宋_GB2312"/>
          <w:color w:val="auto"/>
          <w:sz w:val="28"/>
          <w:szCs w:val="28"/>
        </w:rPr>
        <w:t>m。</w:t>
      </w:r>
      <w:r>
        <w:rPr>
          <w:rFonts w:hint="eastAsia" w:ascii="仿宋_GB2312" w:eastAsia="仿宋_GB2312" w:cs="仿宋_GB2312"/>
          <w:color w:val="auto"/>
          <w:sz w:val="28"/>
          <w:szCs w:val="28"/>
          <w:lang w:val="en-US" w:eastAsia="zh-CN"/>
        </w:rPr>
        <w:t>366</w:t>
      </w:r>
      <w:r>
        <w:rPr>
          <w:rFonts w:hint="eastAsia" w:ascii="仿宋_GB2312" w:eastAsia="仿宋_GB2312" w:cs="仿宋_GB2312"/>
          <w:color w:val="auto"/>
          <w:sz w:val="28"/>
          <w:szCs w:val="28"/>
        </w:rPr>
        <w:t>m</w:t>
      </w:r>
      <w:r>
        <w:rPr>
          <w:rFonts w:hint="eastAsia" w:ascii="仿宋_GB2312" w:eastAsia="仿宋_GB2312" w:cs="仿宋_GB2312"/>
          <w:color w:val="auto"/>
          <w:sz w:val="28"/>
          <w:szCs w:val="28"/>
          <w:lang w:val="en-US" w:eastAsia="zh-CN"/>
        </w:rPr>
        <w:t>台阶</w:t>
      </w:r>
      <w:r>
        <w:rPr>
          <w:rFonts w:hint="eastAsia" w:ascii="仿宋_GB2312" w:eastAsia="仿宋_GB2312" w:cs="仿宋_GB2312"/>
          <w:color w:val="auto"/>
          <w:sz w:val="28"/>
          <w:szCs w:val="28"/>
        </w:rPr>
        <w:t>以下采用机械排水。</w:t>
      </w:r>
    </w:p>
    <w:p w14:paraId="48B30802">
      <w:pPr>
        <w:pStyle w:val="636"/>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color w:val="auto"/>
          <w:kern w:val="10"/>
          <w:sz w:val="28"/>
          <w:szCs w:val="28"/>
        </w:rPr>
        <w:t>采矿场受</w:t>
      </w:r>
      <w:r>
        <w:rPr>
          <w:rFonts w:hint="eastAsia" w:ascii="仿宋_GB2312" w:eastAsia="仿宋_GB2312" w:cs="仿宋_GB2312"/>
          <w:color w:val="auto"/>
          <w:sz w:val="28"/>
          <w:szCs w:val="28"/>
        </w:rPr>
        <w:t>地下水影响很小，采场内主要汇水来自大气降雨，</w:t>
      </w:r>
      <w:r>
        <w:rPr>
          <w:rFonts w:hint="eastAsia" w:ascii="仿宋_GB2312" w:eastAsia="仿宋_GB2312" w:cs="仿宋_GB2312"/>
          <w:color w:val="auto"/>
          <w:sz w:val="28"/>
          <w:szCs w:val="28"/>
          <w:lang w:val="en-US" w:eastAsia="zh-CN"/>
        </w:rPr>
        <w:t>根据“3.3.1.5露天采场涌水量”章节计算，</w:t>
      </w:r>
      <w:r>
        <w:rPr>
          <w:rFonts w:hint="eastAsia" w:ascii="仿宋_GB2312" w:eastAsia="仿宋_GB2312" w:cs="仿宋_GB2312"/>
          <w:color w:val="auto"/>
          <w:sz w:val="28"/>
          <w:szCs w:val="32"/>
        </w:rPr>
        <w:t>雨季日平均涌水量Q</w:t>
      </w:r>
      <w:r>
        <w:rPr>
          <w:rFonts w:hint="eastAsia" w:ascii="仿宋_GB2312" w:eastAsia="仿宋_GB2312" w:cs="仿宋_GB2312"/>
          <w:color w:val="auto"/>
          <w:sz w:val="28"/>
          <w:szCs w:val="32"/>
          <w:vertAlign w:val="subscript"/>
        </w:rPr>
        <w:t>雨</w:t>
      </w:r>
      <w:r>
        <w:rPr>
          <w:rFonts w:hint="eastAsia" w:ascii="仿宋_GB2312" w:eastAsia="仿宋_GB2312" w:cs="仿宋_GB2312"/>
          <w:color w:val="auto"/>
          <w:sz w:val="28"/>
          <w:szCs w:val="32"/>
        </w:rPr>
        <w:t>=135.3m</w:t>
      </w:r>
      <w:r>
        <w:rPr>
          <w:rFonts w:hint="eastAsia" w:ascii="仿宋_GB2312" w:eastAsia="仿宋_GB2312" w:cs="仿宋_GB2312"/>
          <w:color w:val="auto"/>
          <w:sz w:val="28"/>
          <w:szCs w:val="32"/>
          <w:vertAlign w:val="superscript"/>
        </w:rPr>
        <w:t>3</w:t>
      </w:r>
      <w:r>
        <w:rPr>
          <w:rFonts w:hint="eastAsia" w:ascii="仿宋_GB2312" w:eastAsia="仿宋_GB2312" w:cs="仿宋_GB2312"/>
          <w:color w:val="auto"/>
          <w:sz w:val="28"/>
          <w:szCs w:val="32"/>
        </w:rPr>
        <w:t>/d，Q</w:t>
      </w:r>
      <w:r>
        <w:rPr>
          <w:rFonts w:hint="eastAsia" w:ascii="仿宋_GB2312" w:eastAsia="仿宋_GB2312" w:cs="仿宋_GB2312"/>
          <w:color w:val="auto"/>
          <w:sz w:val="28"/>
          <w:szCs w:val="32"/>
          <w:vertAlign w:val="subscript"/>
        </w:rPr>
        <w:t>p</w:t>
      </w:r>
      <w:r>
        <w:rPr>
          <w:rFonts w:hint="eastAsia" w:ascii="仿宋_GB2312" w:eastAsia="仿宋_GB2312" w:cs="仿宋_GB2312"/>
          <w:color w:val="auto"/>
          <w:sz w:val="28"/>
          <w:szCs w:val="32"/>
        </w:rPr>
        <w:t>=4744.6m</w:t>
      </w:r>
      <w:r>
        <w:rPr>
          <w:rFonts w:hint="eastAsia" w:ascii="仿宋_GB2312" w:eastAsia="仿宋_GB2312" w:cs="仿宋_GB2312"/>
          <w:color w:val="auto"/>
          <w:sz w:val="28"/>
          <w:szCs w:val="32"/>
          <w:vertAlign w:val="superscript"/>
        </w:rPr>
        <w:t>3</w:t>
      </w:r>
      <w:r>
        <w:rPr>
          <w:rFonts w:hint="eastAsia" w:ascii="仿宋_GB2312" w:eastAsia="仿宋_GB2312" w:cs="仿宋_GB2312"/>
          <w:color w:val="auto"/>
          <w:sz w:val="28"/>
          <w:szCs w:val="32"/>
        </w:rPr>
        <w:t>/d。</w:t>
      </w:r>
    </w:p>
    <w:p w14:paraId="738F80D4">
      <w:pPr>
        <w:pStyle w:val="636"/>
        <w:ind w:firstLine="560" w:firstLineChars="200"/>
        <w:rPr>
          <w:rFonts w:hint="eastAsia" w:ascii="仿宋_GB2312" w:eastAsia="仿宋_GB2312" w:cs="仿宋_GB2312"/>
          <w:color w:val="auto"/>
          <w:kern w:val="10"/>
          <w:sz w:val="28"/>
          <w:szCs w:val="28"/>
        </w:rPr>
      </w:pPr>
      <w:r>
        <w:rPr>
          <w:rFonts w:hint="eastAsia" w:ascii="仿宋_GB2312" w:eastAsia="仿宋_GB2312" w:cs="仿宋_GB2312"/>
          <w:color w:val="auto"/>
          <w:kern w:val="10"/>
          <w:sz w:val="28"/>
          <w:szCs w:val="28"/>
        </w:rPr>
        <w:t>根据设计手册及相关规范，露天矿暴雨时允许淹没时间宜取1-7天。设计本矿山露天坑允许淹没时间按7天来考虑计算。</w:t>
      </w:r>
    </w:p>
    <w:p w14:paraId="06D21CB0">
      <w:pPr>
        <w:pStyle w:val="636"/>
        <w:ind w:firstLine="560" w:firstLineChars="200"/>
        <w:rPr>
          <w:rFonts w:hint="eastAsia" w:ascii="仿宋_GB2312" w:eastAsia="仿宋_GB2312" w:cs="仿宋_GB2312"/>
          <w:color w:val="auto"/>
          <w:kern w:val="10"/>
          <w:sz w:val="28"/>
          <w:szCs w:val="28"/>
        </w:rPr>
      </w:pPr>
      <w:r>
        <w:rPr>
          <w:rFonts w:hint="eastAsia" w:ascii="仿宋_GB2312" w:eastAsia="仿宋_GB2312" w:cs="仿宋_GB2312"/>
          <w:color w:val="auto"/>
          <w:sz w:val="28"/>
          <w:szCs w:val="28"/>
        </w:rPr>
        <w:t>计算</w:t>
      </w:r>
      <w:r>
        <w:rPr>
          <w:rFonts w:hint="eastAsia" w:ascii="仿宋_GB2312" w:eastAsia="仿宋_GB2312" w:cs="仿宋_GB2312"/>
          <w:color w:val="auto"/>
          <w:kern w:val="10"/>
          <w:sz w:val="28"/>
          <w:szCs w:val="28"/>
        </w:rPr>
        <w:t>采场内最大排水量</w:t>
      </w:r>
      <w:r>
        <w:rPr>
          <w:rFonts w:hint="eastAsia" w:ascii="仿宋_GB2312" w:eastAsia="仿宋_GB2312" w:cs="仿宋_GB2312"/>
          <w:color w:val="auto"/>
          <w:sz w:val="28"/>
          <w:szCs w:val="32"/>
          <w:lang w:val="en-US" w:eastAsia="zh-CN"/>
        </w:rPr>
        <w:t>677.7</w:t>
      </w:r>
      <w:r>
        <w:rPr>
          <w:rFonts w:hint="eastAsia" w:ascii="仿宋_GB2312" w:eastAsia="仿宋_GB2312" w:cs="仿宋_GB2312"/>
          <w:color w:val="auto"/>
          <w:kern w:val="10"/>
          <w:sz w:val="28"/>
          <w:szCs w:val="28"/>
        </w:rPr>
        <w:t>m³/d。</w:t>
      </w:r>
    </w:p>
    <w:p w14:paraId="7BBBB17B">
      <w:pPr>
        <w:ind w:firstLine="560"/>
        <w:rPr>
          <w:rFonts w:hint="eastAsia" w:ascii="仿宋_GB2312" w:eastAsia="仿宋_GB2312" w:cs="仿宋_GB2312"/>
          <w:color w:val="auto"/>
        </w:rPr>
      </w:pPr>
      <w:r>
        <w:rPr>
          <w:rFonts w:hint="eastAsia" w:ascii="仿宋_GB2312" w:eastAsia="仿宋_GB2312" w:cs="仿宋_GB2312"/>
          <w:color w:val="auto"/>
        </w:rPr>
        <w:t>按最大涌水量计算每小时所需排水能力：</w:t>
      </w:r>
    </w:p>
    <w:p w14:paraId="179CA5CD">
      <w:pPr>
        <w:ind w:firstLine="560"/>
        <w:rPr>
          <w:rFonts w:hint="eastAsia" w:ascii="仿宋_GB2312" w:eastAsia="仿宋_GB2312" w:cs="仿宋_GB2312"/>
          <w:color w:val="auto"/>
        </w:rPr>
      </w:pPr>
      <w:r>
        <w:rPr>
          <w:rFonts w:hint="eastAsia" w:ascii="仿宋_GB2312" w:eastAsia="仿宋_GB2312" w:cs="仿宋_GB2312"/>
          <w:color w:val="auto"/>
        </w:rPr>
        <w:t>Q</w:t>
      </w:r>
      <w:r>
        <w:rPr>
          <w:rFonts w:hint="eastAsia" w:ascii="仿宋_GB2312" w:eastAsia="仿宋_GB2312" w:cs="仿宋_GB2312"/>
          <w:color w:val="auto"/>
          <w:lang w:val="en-GB"/>
        </w:rPr>
        <w:t>′</w:t>
      </w:r>
      <w:r>
        <w:rPr>
          <w:rFonts w:hint="eastAsia" w:ascii="仿宋_GB2312" w:eastAsia="仿宋_GB2312" w:cs="仿宋_GB2312"/>
          <w:color w:val="auto"/>
        </w:rPr>
        <w:t>=</w:t>
      </w:r>
      <w:r>
        <w:rPr>
          <w:rFonts w:hint="eastAsia" w:ascii="仿宋_GB2312" w:eastAsia="仿宋_GB2312" w:cs="仿宋_GB2312"/>
          <w:color w:val="auto"/>
          <w:position w:val="-12"/>
        </w:rPr>
        <w:object>
          <v:shape id="_x0000_i1025" o:spt="75" type="#_x0000_t75" style="height:30pt;width:26.25pt;" o:ole="t" filled="f" o:preferrelative="t" stroked="f" coordsize="21600,21600">
            <v:path/>
            <v:fill on="f" focussize="0,0"/>
            <v:stroke on="f" color="#000000"/>
            <v:imagedata r:id="rId25" o:title="image15"/>
            <o:lock v:ext="edit" aspectratio="t"/>
            <w10:wrap type="none"/>
            <w10:anchorlock/>
          </v:shape>
          <o:OLEObject Type="Embed" ProgID="Package" ShapeID="_x0000_i1025" DrawAspect="Content" ObjectID="_1468075725" r:id="rId24">
            <o:LockedField>false</o:LockedField>
          </o:OLEObject>
        </w:object>
      </w:r>
      <w:r>
        <w:rPr>
          <w:rFonts w:hint="eastAsia" w:ascii="仿宋_GB2312" w:eastAsia="仿宋_GB2312" w:cs="仿宋_GB2312"/>
          <w:color w:val="auto"/>
        </w:rPr>
        <w:t>=</w:t>
      </w:r>
      <w:r>
        <w:rPr>
          <w:rFonts w:hint="eastAsia" w:ascii="仿宋_GB2312" w:eastAsia="仿宋_GB2312" w:cs="仿宋_GB2312"/>
          <w:color w:val="auto"/>
          <w:lang w:val="en-US" w:eastAsia="zh-CN"/>
        </w:rPr>
        <w:t>34</w:t>
      </w:r>
      <w:r>
        <w:rPr>
          <w:rFonts w:hint="eastAsia" w:ascii="仿宋_GB2312" w:eastAsia="仿宋_GB2312" w:cs="仿宋_GB2312"/>
          <w:color w:val="auto"/>
        </w:rPr>
        <w:t>m³/h</w:t>
      </w:r>
    </w:p>
    <w:p w14:paraId="0BBFD3A2">
      <w:pPr>
        <w:ind w:firstLine="560"/>
        <w:rPr>
          <w:rFonts w:hint="eastAsia" w:ascii="仿宋_GB2312" w:eastAsia="仿宋_GB2312" w:cs="仿宋_GB2312"/>
          <w:color w:val="auto"/>
        </w:rPr>
      </w:pPr>
      <w:r>
        <w:rPr>
          <w:rFonts w:hint="eastAsia" w:ascii="仿宋_GB2312" w:eastAsia="仿宋_GB2312" w:cs="仿宋_GB2312"/>
          <w:color w:val="auto"/>
        </w:rPr>
        <w:t>所需水泵扬程：</w:t>
      </w:r>
    </w:p>
    <w:p w14:paraId="5DEF9EF6">
      <w:pPr>
        <w:ind w:firstLine="560"/>
        <w:rPr>
          <w:rFonts w:hint="eastAsia" w:ascii="仿宋_GB2312" w:eastAsia="仿宋_GB2312" w:cs="仿宋_GB2312"/>
          <w:color w:val="auto"/>
        </w:rPr>
      </w:pPr>
      <w:r>
        <w:rPr>
          <w:rFonts w:hint="eastAsia" w:ascii="仿宋_GB2312" w:eastAsia="仿宋_GB2312" w:cs="仿宋_GB2312"/>
          <w:color w:val="auto"/>
        </w:rPr>
        <w:t>H′=k（H+5）=1.1×(</w:t>
      </w:r>
      <w:r>
        <w:rPr>
          <w:rFonts w:hint="eastAsia" w:ascii="仿宋_GB2312" w:eastAsia="仿宋_GB2312" w:cs="仿宋_GB2312"/>
          <w:color w:val="auto"/>
          <w:lang w:val="en-US" w:eastAsia="zh-CN"/>
        </w:rPr>
        <w:t>48</w:t>
      </w:r>
      <w:r>
        <w:rPr>
          <w:rFonts w:hint="eastAsia" w:ascii="仿宋_GB2312" w:eastAsia="仿宋_GB2312" w:cs="仿宋_GB2312"/>
          <w:color w:val="auto"/>
        </w:rPr>
        <w:t>+5)=</w:t>
      </w:r>
      <w:r>
        <w:rPr>
          <w:rFonts w:hint="eastAsia" w:ascii="仿宋_GB2312" w:eastAsia="仿宋_GB2312" w:cs="仿宋_GB2312"/>
          <w:color w:val="auto"/>
          <w:lang w:val="en-US" w:eastAsia="zh-CN"/>
        </w:rPr>
        <w:t>58.3</w:t>
      </w:r>
      <w:r>
        <w:rPr>
          <w:rFonts w:hint="eastAsia" w:ascii="仿宋_GB2312" w:eastAsia="仿宋_GB2312" w:cs="仿宋_GB2312"/>
          <w:color w:val="auto"/>
        </w:rPr>
        <w:t>m</w:t>
      </w:r>
    </w:p>
    <w:p w14:paraId="70BC2B2B">
      <w:pPr>
        <w:pStyle w:val="636"/>
        <w:ind w:firstLine="560" w:firstLineChars="200"/>
        <w:rPr>
          <w:rFonts w:hint="eastAsia" w:ascii="仿宋_GB2312" w:eastAsia="仿宋_GB2312" w:cs="仿宋_GB2312"/>
          <w:color w:val="auto"/>
          <w:lang w:val="en-US" w:eastAsia="zh-CN"/>
        </w:rPr>
      </w:pPr>
      <w:r>
        <w:rPr>
          <w:rFonts w:hint="eastAsia" w:ascii="仿宋_GB2312" w:eastAsia="仿宋_GB2312" w:cs="仿宋_GB2312"/>
          <w:color w:val="auto"/>
          <w:kern w:val="10"/>
          <w:sz w:val="28"/>
          <w:szCs w:val="28"/>
        </w:rPr>
        <w:t>选用现有3台潜水泵，布置于最低开采标高，流量</w:t>
      </w:r>
      <w:r>
        <w:rPr>
          <w:rFonts w:hint="eastAsia" w:ascii="仿宋_GB2312" w:eastAsia="仿宋_GB2312" w:cs="仿宋_GB2312"/>
          <w:color w:val="auto"/>
          <w:kern w:val="10"/>
          <w:sz w:val="28"/>
          <w:szCs w:val="28"/>
          <w:lang w:val="en-US" w:eastAsia="zh-CN"/>
        </w:rPr>
        <w:t>12</w:t>
      </w:r>
      <w:r>
        <w:rPr>
          <w:rFonts w:hint="eastAsia" w:ascii="仿宋_GB2312" w:eastAsia="仿宋_GB2312" w:cs="仿宋_GB2312"/>
          <w:color w:val="auto"/>
          <w:kern w:val="10"/>
          <w:sz w:val="28"/>
          <w:szCs w:val="28"/>
        </w:rPr>
        <w:t>m³/h，扬程</w:t>
      </w:r>
      <w:r>
        <w:rPr>
          <w:rFonts w:hint="eastAsia" w:ascii="仿宋_GB2312" w:eastAsia="仿宋_GB2312" w:cs="仿宋_GB2312"/>
          <w:color w:val="auto"/>
          <w:kern w:val="10"/>
          <w:sz w:val="28"/>
          <w:szCs w:val="28"/>
          <w:lang w:val="en-US" w:eastAsia="zh-CN"/>
        </w:rPr>
        <w:t>60</w:t>
      </w:r>
      <w:r>
        <w:rPr>
          <w:rFonts w:hint="eastAsia" w:ascii="仿宋_GB2312" w:eastAsia="仿宋_GB2312" w:cs="仿宋_GB2312"/>
          <w:color w:val="auto"/>
          <w:kern w:val="10"/>
          <w:sz w:val="28"/>
          <w:szCs w:val="28"/>
        </w:rPr>
        <w:t>m，电机功率</w:t>
      </w:r>
      <w:r>
        <w:rPr>
          <w:rFonts w:hint="eastAsia" w:ascii="仿宋_GB2312" w:eastAsia="仿宋_GB2312" w:cs="仿宋_GB2312"/>
          <w:color w:val="auto"/>
          <w:kern w:val="10"/>
          <w:sz w:val="28"/>
          <w:szCs w:val="28"/>
          <w:lang w:val="en-US" w:eastAsia="zh-CN"/>
        </w:rPr>
        <w:t>11</w:t>
      </w:r>
      <w:r>
        <w:rPr>
          <w:rFonts w:hint="eastAsia" w:ascii="仿宋_GB2312" w:eastAsia="仿宋_GB2312" w:cs="仿宋_GB2312"/>
          <w:color w:val="auto"/>
          <w:kern w:val="10"/>
          <w:sz w:val="28"/>
          <w:szCs w:val="28"/>
        </w:rPr>
        <w:t>kW。正常降水时1台工作，其余检修备用；最大降水时3台同时工作。</w:t>
      </w:r>
      <w:bookmarkEnd w:id="211"/>
      <w:r>
        <w:rPr>
          <w:rFonts w:hint="eastAsia" w:ascii="仿宋_GB2312" w:eastAsia="仿宋_GB2312" w:cs="仿宋_GB2312"/>
          <w:color w:val="auto"/>
          <w:kern w:val="10"/>
          <w:sz w:val="28"/>
          <w:szCs w:val="28"/>
          <w:lang w:val="en-US" w:eastAsia="zh-CN"/>
        </w:rPr>
        <w:t>潜水泵采用柴油发电机供电。</w:t>
      </w:r>
    </w:p>
    <w:p w14:paraId="24B3B372">
      <w:pPr>
        <w:rPr>
          <w:rFonts w:hint="eastAsia" w:ascii="仿宋_GB2312" w:eastAsia="仿宋_GB2312" w:cs="仿宋_GB2312"/>
          <w:color w:val="auto"/>
        </w:rPr>
        <w:sectPr>
          <w:pgSz w:w="11906" w:h="16838"/>
          <w:pgMar w:top="1814" w:right="1474" w:bottom="1814" w:left="1474" w:header="1361" w:footer="1361" w:gutter="0"/>
          <w:pgNumType w:start="1"/>
          <w:cols w:space="720" w:num="1"/>
          <w:docGrid w:type="lines" w:linePitch="381" w:charSpace="0"/>
        </w:sectPr>
      </w:pPr>
    </w:p>
    <w:p w14:paraId="6AE30BA4">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rPr>
      </w:pPr>
      <w:bookmarkStart w:id="212" w:name="_Toc138060311"/>
      <w:bookmarkStart w:id="213" w:name="_Toc5092"/>
      <w:bookmarkStart w:id="214" w:name="_Toc25276"/>
      <w:bookmarkStart w:id="215" w:name="_Toc22853"/>
      <w:r>
        <w:rPr>
          <w:rFonts w:hint="eastAsia" w:ascii="仿宋_GB2312" w:eastAsia="仿宋_GB2312" w:cs="仿宋_GB2312"/>
          <w:color w:val="auto"/>
          <w:sz w:val="36"/>
          <w:szCs w:val="36"/>
        </w:rPr>
        <w:t>露天开采</w:t>
      </w:r>
      <w:bookmarkEnd w:id="212"/>
      <w:bookmarkEnd w:id="213"/>
      <w:bookmarkEnd w:id="214"/>
      <w:bookmarkEnd w:id="215"/>
    </w:p>
    <w:p w14:paraId="2B6FD842">
      <w:pPr>
        <w:pStyle w:val="4"/>
        <w:adjustRightInd w:val="0"/>
        <w:snapToGrid w:val="0"/>
        <w:spacing w:before="0"/>
        <w:rPr>
          <w:rFonts w:hint="eastAsia" w:ascii="仿宋_GB2312" w:eastAsia="仿宋_GB2312" w:cs="仿宋_GB2312"/>
          <w:b/>
          <w:bCs w:val="0"/>
          <w:color w:val="auto"/>
          <w:sz w:val="28"/>
          <w:szCs w:val="28"/>
        </w:rPr>
      </w:pPr>
      <w:bookmarkStart w:id="216" w:name="_Toc18456"/>
      <w:bookmarkStart w:id="217" w:name="_Toc9509"/>
      <w:bookmarkStart w:id="218" w:name="_Toc7252"/>
      <w:bookmarkStart w:id="219" w:name="_Toc138060312"/>
      <w:r>
        <w:rPr>
          <w:rFonts w:hint="eastAsia" w:ascii="仿宋_GB2312" w:eastAsia="仿宋_GB2312" w:cs="仿宋_GB2312"/>
          <w:b/>
          <w:bCs w:val="0"/>
          <w:color w:val="auto"/>
          <w:sz w:val="28"/>
          <w:szCs w:val="28"/>
        </w:rPr>
        <w:t>5.1露天开采境界圈定</w:t>
      </w:r>
      <w:bookmarkEnd w:id="216"/>
      <w:bookmarkEnd w:id="217"/>
      <w:bookmarkEnd w:id="218"/>
      <w:bookmarkEnd w:id="219"/>
    </w:p>
    <w:p w14:paraId="18BE1B4E">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根据矿体赋存条件，矿山适宜采用露天开采。</w:t>
      </w:r>
      <w:r>
        <w:rPr>
          <w:rFonts w:hint="eastAsia" w:ascii="仿宋_GB2312" w:eastAsia="仿宋_GB2312" w:cs="仿宋_GB2312"/>
          <w:color w:val="auto"/>
          <w:sz w:val="28"/>
          <w:szCs w:val="28"/>
          <w:lang w:val="en-US" w:eastAsia="zh-CN"/>
        </w:rPr>
        <w:t>经济合理剥采比</w:t>
      </w:r>
      <w:r>
        <w:rPr>
          <w:rFonts w:hint="eastAsia" w:ascii="仿宋_GB2312" w:eastAsia="仿宋_GB2312" w:cs="仿宋_GB2312"/>
          <w:color w:val="auto"/>
          <w:sz w:val="28"/>
          <w:szCs w:val="28"/>
        </w:rPr>
        <w:t>采用盈亏平衡法确定。</w:t>
      </w:r>
    </w:p>
    <w:p w14:paraId="421C7EC8">
      <w:pPr>
        <w:pStyle w:val="5"/>
        <w:adjustRightInd w:val="0"/>
        <w:snapToGrid w:val="0"/>
        <w:spacing w:before="0" w:line="360" w:lineRule="auto"/>
        <w:rPr>
          <w:rFonts w:hint="eastAsia" w:ascii="仿宋_GB2312" w:eastAsia="仿宋_GB2312" w:cs="仿宋_GB2312"/>
          <w:b/>
          <w:bCs w:val="0"/>
          <w:color w:val="auto"/>
          <w:sz w:val="28"/>
          <w:szCs w:val="28"/>
        </w:rPr>
      </w:pPr>
      <w:bookmarkStart w:id="220" w:name="_Toc7464"/>
      <w:bookmarkStart w:id="221" w:name="_Toc148957977"/>
      <w:r>
        <w:rPr>
          <w:rFonts w:hint="eastAsia" w:ascii="仿宋_GB2312" w:eastAsia="仿宋_GB2312" w:cs="仿宋_GB2312"/>
          <w:b/>
          <w:bCs w:val="0"/>
          <w:color w:val="auto"/>
          <w:sz w:val="28"/>
          <w:szCs w:val="28"/>
        </w:rPr>
        <w:t>5.1.1露天开采境界的圈定原则</w:t>
      </w:r>
      <w:bookmarkEnd w:id="220"/>
      <w:bookmarkEnd w:id="221"/>
    </w:p>
    <w:p w14:paraId="6F58A41B">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、采用盈亏平衡法确定经济合理剥采比；</w:t>
      </w:r>
    </w:p>
    <w:p w14:paraId="39EE8F38">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rPr>
        <w:t>、充分利用资源，尽可能多</w:t>
      </w:r>
      <w:r>
        <w:rPr>
          <w:rFonts w:hint="eastAsia" w:ascii="仿宋_GB2312" w:eastAsia="仿宋_GB2312" w:cs="仿宋_GB2312"/>
          <w:color w:val="auto"/>
          <w:sz w:val="28"/>
          <w:szCs w:val="28"/>
          <w:lang w:eastAsia="zh-CN"/>
        </w:rPr>
        <w:t>地</w:t>
      </w:r>
      <w:r>
        <w:rPr>
          <w:rFonts w:hint="eastAsia" w:ascii="仿宋_GB2312" w:eastAsia="仿宋_GB2312" w:cs="仿宋_GB2312"/>
          <w:color w:val="auto"/>
          <w:sz w:val="28"/>
          <w:szCs w:val="28"/>
        </w:rPr>
        <w:t>将矿石圈定在露天开采的境界内，充分发挥露天开采的优越性；</w:t>
      </w:r>
    </w:p>
    <w:p w14:paraId="66F586EB">
      <w:pPr>
        <w:pStyle w:val="14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rPr>
        <w:t>、所圈定的露天采场的终了境界不超过</w:t>
      </w:r>
      <w:r>
        <w:rPr>
          <w:rFonts w:hint="eastAsia" w:ascii="仿宋_GB2312" w:eastAsia="仿宋_GB2312" w:cs="仿宋_GB2312"/>
          <w:color w:val="auto"/>
          <w:sz w:val="28"/>
          <w:szCs w:val="28"/>
          <w:lang w:val="en-US" w:eastAsia="zh-CN"/>
        </w:rPr>
        <w:t>拟设采</w:t>
      </w:r>
      <w:r>
        <w:rPr>
          <w:rFonts w:hint="eastAsia" w:ascii="仿宋_GB2312" w:eastAsia="仿宋_GB2312" w:cs="仿宋_GB2312"/>
          <w:color w:val="auto"/>
          <w:sz w:val="28"/>
          <w:szCs w:val="28"/>
        </w:rPr>
        <w:t>矿权范围；</w:t>
      </w:r>
    </w:p>
    <w:p w14:paraId="40EAD70D">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、所圈定的露天采场的最终边坡角不大于露天边坡稳定所允许的角度，以保证露天采矿场的安全生产。</w:t>
      </w:r>
    </w:p>
    <w:p w14:paraId="6469ACB6">
      <w:pPr>
        <w:pStyle w:val="5"/>
        <w:adjustRightInd w:val="0"/>
        <w:snapToGrid w:val="0"/>
        <w:spacing w:before="0" w:line="360" w:lineRule="auto"/>
        <w:rPr>
          <w:rFonts w:hint="eastAsia" w:ascii="仿宋_GB2312" w:eastAsia="仿宋_GB2312" w:cs="仿宋_GB2312"/>
          <w:b/>
          <w:bCs w:val="0"/>
          <w:color w:val="auto"/>
          <w:sz w:val="28"/>
          <w:szCs w:val="28"/>
        </w:rPr>
      </w:pPr>
      <w:bookmarkStart w:id="222" w:name="_Toc30936"/>
      <w:bookmarkStart w:id="223" w:name="_Toc148957978"/>
      <w:r>
        <w:rPr>
          <w:rFonts w:hint="eastAsia" w:ascii="仿宋_GB2312" w:eastAsia="仿宋_GB2312" w:cs="仿宋_GB2312"/>
          <w:b/>
          <w:bCs w:val="0"/>
          <w:color w:val="auto"/>
          <w:sz w:val="28"/>
          <w:szCs w:val="28"/>
        </w:rPr>
        <w:t>5.1.2经济合理剥采比</w:t>
      </w:r>
      <w:bookmarkEnd w:id="222"/>
      <w:bookmarkEnd w:id="223"/>
    </w:p>
    <w:p w14:paraId="348C1717">
      <w:pPr>
        <w:pStyle w:val="151"/>
        <w:spacing w:line="360" w:lineRule="auto"/>
        <w:rPr>
          <w:rFonts w:hint="eastAsia" w:ascii="仿宋_GB2312" w:eastAsia="仿宋_GB2312" w:cs="仿宋_GB2312"/>
          <w:color w:val="auto"/>
          <w:sz w:val="28"/>
          <w:szCs w:val="22"/>
        </w:rPr>
      </w:pPr>
      <w:r>
        <w:rPr>
          <w:rFonts w:hint="eastAsia" w:ascii="仿宋_GB2312" w:eastAsia="仿宋_GB2312" w:cs="仿宋_GB2312"/>
          <w:color w:val="auto"/>
          <w:sz w:val="28"/>
          <w:szCs w:val="22"/>
        </w:rPr>
        <w:t>盈亏平衡法计算经济合理剥采比的原则是露天开采的单位产品成本不高于产品的销售价格，确定经济合理剥采比计算公式：</w:t>
      </w:r>
    </w:p>
    <w:p w14:paraId="76F8B219">
      <w:pPr>
        <w:pStyle w:val="151"/>
        <w:spacing w:line="360" w:lineRule="auto"/>
        <w:rPr>
          <w:rFonts w:hint="eastAsia" w:ascii="仿宋_GB2312" w:eastAsia="仿宋_GB2312" w:cs="仿宋_GB2312"/>
          <w:color w:val="auto"/>
          <w:sz w:val="28"/>
          <w:szCs w:val="22"/>
        </w:rPr>
      </w:pPr>
      <w:r>
        <w:rPr>
          <w:rFonts w:hint="eastAsia" w:ascii="Cambria Math" w:hAnsi="Cambria Math" w:eastAsia="仿宋_GB2312" w:cs="仿宋_GB2312"/>
          <w:color w:val="auto"/>
          <w:sz w:val="28"/>
          <w:szCs w:val="22"/>
        </w:rPr>
        <w:t>Njℎ=（P/F−Z−A）/B</w:t>
      </w:r>
    </w:p>
    <w:p w14:paraId="1930EDDF">
      <w:pPr>
        <w:pStyle w:val="151"/>
        <w:spacing w:line="360" w:lineRule="auto"/>
        <w:rPr>
          <w:rFonts w:hint="eastAsia" w:ascii="仿宋_GB2312" w:eastAsia="仿宋_GB2312" w:cs="仿宋_GB2312"/>
          <w:color w:val="auto"/>
          <w:sz w:val="28"/>
          <w:szCs w:val="22"/>
        </w:rPr>
      </w:pPr>
      <w:r>
        <w:rPr>
          <w:rFonts w:hint="eastAsia" w:ascii="仿宋_GB2312" w:eastAsia="仿宋_GB2312" w:cs="仿宋_GB2312"/>
          <w:color w:val="auto"/>
          <w:sz w:val="28"/>
          <w:szCs w:val="22"/>
        </w:rPr>
        <w:t>式中：P——售价</w:t>
      </w:r>
      <w:r>
        <w:rPr>
          <w:rFonts w:hint="eastAsia" w:ascii="仿宋_GB2312" w:eastAsia="仿宋_GB2312" w:cs="仿宋_GB2312"/>
          <w:color w:val="auto"/>
          <w:sz w:val="28"/>
          <w:szCs w:val="22"/>
          <w:lang w:eastAsia="zh-CN"/>
        </w:rPr>
        <w:t>，</w:t>
      </w:r>
      <w:r>
        <w:rPr>
          <w:rFonts w:hint="eastAsia" w:ascii="仿宋_GB2312" w:eastAsia="仿宋_GB2312" w:cs="仿宋_GB2312"/>
          <w:color w:val="auto"/>
          <w:sz w:val="28"/>
          <w:szCs w:val="22"/>
          <w:lang w:val="en-US" w:eastAsia="zh-CN"/>
        </w:rPr>
        <w:t>取值25元/吨</w:t>
      </w:r>
      <w:r>
        <w:rPr>
          <w:rFonts w:hint="eastAsia" w:ascii="仿宋_GB2312" w:eastAsia="仿宋_GB2312" w:cs="仿宋_GB2312"/>
          <w:color w:val="auto"/>
          <w:sz w:val="28"/>
          <w:szCs w:val="22"/>
        </w:rPr>
        <w:t>；</w:t>
      </w:r>
    </w:p>
    <w:p w14:paraId="67774519">
      <w:pPr>
        <w:pStyle w:val="151"/>
        <w:spacing w:line="360" w:lineRule="auto"/>
        <w:ind w:firstLine="1400" w:firstLineChars="500"/>
        <w:rPr>
          <w:rFonts w:hint="eastAsia" w:ascii="仿宋_GB2312" w:eastAsia="仿宋_GB2312" w:cs="仿宋_GB2312"/>
          <w:color w:val="auto"/>
          <w:sz w:val="28"/>
          <w:szCs w:val="22"/>
        </w:rPr>
      </w:pPr>
      <w:r>
        <w:rPr>
          <w:rFonts w:hint="eastAsia" w:ascii="仿宋_GB2312" w:eastAsia="仿宋_GB2312" w:cs="仿宋_GB2312"/>
          <w:color w:val="auto"/>
          <w:sz w:val="28"/>
          <w:szCs w:val="22"/>
        </w:rPr>
        <w:t>F——选比，</w:t>
      </w:r>
      <w:r>
        <w:rPr>
          <w:rFonts w:hint="eastAsia" w:ascii="仿宋_GB2312" w:eastAsia="仿宋_GB2312" w:cs="仿宋_GB2312"/>
          <w:color w:val="auto"/>
          <w:sz w:val="28"/>
          <w:szCs w:val="22"/>
          <w:lang w:val="en-US" w:eastAsia="zh-CN"/>
        </w:rPr>
        <w:t>矿石可直接利用，无需选矿，取1</w:t>
      </w:r>
      <w:r>
        <w:rPr>
          <w:rFonts w:hint="eastAsia" w:ascii="仿宋_GB2312" w:eastAsia="仿宋_GB2312" w:cs="仿宋_GB2312"/>
          <w:color w:val="auto"/>
          <w:sz w:val="28"/>
          <w:szCs w:val="22"/>
        </w:rPr>
        <w:t>；</w:t>
      </w:r>
    </w:p>
    <w:p w14:paraId="477CA55B">
      <w:pPr>
        <w:pStyle w:val="151"/>
        <w:spacing w:line="360" w:lineRule="auto"/>
        <w:ind w:firstLine="1400" w:firstLineChars="500"/>
        <w:rPr>
          <w:rFonts w:hint="eastAsia" w:ascii="仿宋_GB2312" w:eastAsia="仿宋_GB2312" w:cs="仿宋_GB2312"/>
          <w:color w:val="auto"/>
          <w:sz w:val="28"/>
          <w:szCs w:val="22"/>
        </w:rPr>
      </w:pPr>
      <w:r>
        <w:rPr>
          <w:rFonts w:hint="eastAsia" w:ascii="仿宋_GB2312" w:eastAsia="仿宋_GB2312" w:cs="仿宋_GB2312"/>
          <w:color w:val="auto"/>
          <w:sz w:val="28"/>
          <w:szCs w:val="22"/>
        </w:rPr>
        <w:t>Z——选矿中间费，</w:t>
      </w:r>
      <w:r>
        <w:rPr>
          <w:rFonts w:hint="eastAsia" w:ascii="仿宋_GB2312" w:eastAsia="仿宋_GB2312" w:cs="仿宋_GB2312"/>
          <w:color w:val="auto"/>
          <w:sz w:val="28"/>
          <w:szCs w:val="22"/>
          <w:lang w:val="en-US" w:eastAsia="zh-CN"/>
        </w:rPr>
        <w:t>无选矿，取0</w:t>
      </w:r>
      <w:r>
        <w:rPr>
          <w:rFonts w:hint="eastAsia" w:ascii="仿宋_GB2312" w:eastAsia="仿宋_GB2312" w:cs="仿宋_GB2312"/>
          <w:color w:val="auto"/>
          <w:sz w:val="28"/>
          <w:szCs w:val="22"/>
        </w:rPr>
        <w:t>；</w:t>
      </w:r>
    </w:p>
    <w:p w14:paraId="04FC587A">
      <w:pPr>
        <w:pStyle w:val="151"/>
        <w:spacing w:line="360" w:lineRule="auto"/>
        <w:ind w:firstLine="1400" w:firstLineChars="500"/>
        <w:rPr>
          <w:rFonts w:hint="eastAsia" w:ascii="仿宋_GB2312" w:eastAsia="仿宋_GB2312" w:cs="仿宋_GB2312"/>
          <w:color w:val="auto"/>
          <w:sz w:val="28"/>
          <w:szCs w:val="22"/>
        </w:rPr>
      </w:pPr>
      <w:r>
        <w:rPr>
          <w:rFonts w:hint="eastAsia" w:ascii="Cambria Math" w:hAnsi="Cambria Math" w:eastAsia="仿宋_GB2312" w:cs="仿宋_GB2312"/>
          <w:color w:val="auto"/>
          <w:sz w:val="28"/>
          <w:szCs w:val="22"/>
        </w:rPr>
        <w:t>A</w:t>
      </w:r>
      <w:r>
        <w:rPr>
          <w:rFonts w:hint="eastAsia" w:ascii="仿宋_GB2312" w:eastAsia="仿宋_GB2312" w:cs="仿宋_GB2312"/>
          <w:color w:val="auto"/>
          <w:sz w:val="28"/>
          <w:szCs w:val="22"/>
        </w:rPr>
        <w:t>——露天开采单位矿石的采矿费用（不包括剥离费用）</w:t>
      </w:r>
      <w:r>
        <w:rPr>
          <w:rFonts w:hint="eastAsia" w:ascii="仿宋_GB2312" w:eastAsia="仿宋_GB2312" w:cs="仿宋_GB2312"/>
          <w:color w:val="auto"/>
          <w:sz w:val="28"/>
          <w:szCs w:val="22"/>
          <w:lang w:eastAsia="zh-CN"/>
        </w:rPr>
        <w:t>，</w:t>
      </w:r>
      <w:r>
        <w:rPr>
          <w:rFonts w:hint="eastAsia" w:ascii="仿宋_GB2312" w:eastAsia="仿宋_GB2312" w:cs="仿宋_GB2312"/>
          <w:color w:val="auto"/>
          <w:sz w:val="28"/>
          <w:szCs w:val="22"/>
          <w:lang w:val="en-US" w:eastAsia="zh-CN"/>
        </w:rPr>
        <w:t>14.4</w:t>
      </w:r>
      <w:r>
        <w:rPr>
          <w:rFonts w:hint="eastAsia" w:ascii="仿宋_GB2312" w:eastAsia="仿宋_GB2312" w:cs="仿宋_GB2312"/>
          <w:color w:val="auto"/>
          <w:sz w:val="28"/>
          <w:szCs w:val="22"/>
        </w:rPr>
        <w:t>元/吨；</w:t>
      </w:r>
    </w:p>
    <w:p w14:paraId="7C91311B">
      <w:pPr>
        <w:pStyle w:val="151"/>
        <w:spacing w:line="360" w:lineRule="auto"/>
        <w:ind w:firstLine="1400" w:firstLineChars="500"/>
        <w:rPr>
          <w:rFonts w:hint="eastAsia" w:ascii="仿宋_GB2312" w:eastAsia="仿宋_GB2312" w:cs="仿宋_GB2312"/>
          <w:color w:val="auto"/>
          <w:sz w:val="28"/>
          <w:szCs w:val="22"/>
        </w:rPr>
      </w:pPr>
      <w:r>
        <w:rPr>
          <w:rFonts w:hint="eastAsia" w:ascii="Cambria Math" w:hAnsi="Cambria Math" w:eastAsia="仿宋_GB2312" w:cs="仿宋_GB2312"/>
          <w:color w:val="auto"/>
          <w:sz w:val="28"/>
          <w:szCs w:val="22"/>
        </w:rPr>
        <w:t>B</w:t>
      </w:r>
      <w:r>
        <w:rPr>
          <w:rFonts w:hint="eastAsia" w:ascii="仿宋_GB2312" w:eastAsia="仿宋_GB2312" w:cs="仿宋_GB2312"/>
          <w:color w:val="auto"/>
          <w:sz w:val="28"/>
          <w:szCs w:val="22"/>
        </w:rPr>
        <w:t>——露天开采单位废石的剥离费用，</w:t>
      </w:r>
      <w:r>
        <w:rPr>
          <w:rFonts w:hint="eastAsia" w:ascii="仿宋_GB2312" w:eastAsia="仿宋_GB2312" w:cs="仿宋_GB2312"/>
          <w:color w:val="auto"/>
          <w:sz w:val="28"/>
          <w:szCs w:val="22"/>
          <w:lang w:val="en-US" w:eastAsia="zh-CN"/>
        </w:rPr>
        <w:t>8</w:t>
      </w:r>
      <w:r>
        <w:rPr>
          <w:rFonts w:hint="eastAsia" w:ascii="仿宋_GB2312" w:eastAsia="仿宋_GB2312" w:cs="仿宋_GB2312"/>
          <w:color w:val="auto"/>
          <w:sz w:val="28"/>
          <w:szCs w:val="22"/>
        </w:rPr>
        <w:t>元/吨。</w:t>
      </w:r>
    </w:p>
    <w:p w14:paraId="598748A9">
      <w:pPr>
        <w:pStyle w:val="151"/>
        <w:spacing w:line="360" w:lineRule="auto"/>
        <w:rPr>
          <w:rFonts w:hint="eastAsia" w:ascii="仿宋_GB2312" w:eastAsia="仿宋_GB2312" w:cs="仿宋_GB2312"/>
          <w:color w:val="auto"/>
          <w:sz w:val="28"/>
          <w:szCs w:val="22"/>
        </w:rPr>
      </w:pPr>
      <w:r>
        <w:rPr>
          <w:rFonts w:hint="eastAsia" w:ascii="仿宋_GB2312" w:eastAsia="仿宋_GB2312" w:cs="仿宋_GB2312"/>
          <w:color w:val="auto"/>
          <w:sz w:val="28"/>
          <w:szCs w:val="22"/>
        </w:rPr>
        <w:t>经计算确定的经济合理</w:t>
      </w:r>
      <w:r>
        <w:rPr>
          <w:rFonts w:hint="eastAsia" w:ascii="仿宋_GB2312" w:eastAsia="仿宋_GB2312" w:cs="仿宋_GB2312"/>
          <w:color w:val="auto"/>
          <w:sz w:val="28"/>
          <w:szCs w:val="22"/>
          <w:lang w:val="en-US" w:eastAsia="zh-CN"/>
        </w:rPr>
        <w:t>剥采比为1.3吨/吨</w:t>
      </w:r>
      <w:r>
        <w:rPr>
          <w:rFonts w:hint="eastAsia" w:ascii="仿宋_GB2312" w:eastAsia="仿宋_GB2312" w:cs="仿宋_GB2312"/>
          <w:color w:val="auto"/>
          <w:sz w:val="28"/>
          <w:szCs w:val="22"/>
        </w:rPr>
        <w:t>。</w:t>
      </w:r>
    </w:p>
    <w:p w14:paraId="6768CBCA">
      <w:pPr>
        <w:pStyle w:val="5"/>
        <w:adjustRightInd w:val="0"/>
        <w:snapToGrid w:val="0"/>
        <w:spacing w:before="0" w:line="360" w:lineRule="auto"/>
        <w:rPr>
          <w:rFonts w:hint="eastAsia" w:ascii="仿宋_GB2312" w:eastAsia="仿宋_GB2312" w:cs="仿宋_GB2312"/>
          <w:b/>
          <w:bCs w:val="0"/>
          <w:color w:val="auto"/>
          <w:sz w:val="28"/>
          <w:szCs w:val="28"/>
        </w:rPr>
      </w:pPr>
      <w:bookmarkStart w:id="224" w:name="_Toc138060313"/>
      <w:bookmarkStart w:id="225" w:name="_Toc16339"/>
      <w:bookmarkStart w:id="226" w:name="_Toc22195"/>
      <w:bookmarkStart w:id="227" w:name="_Toc148957980"/>
      <w:r>
        <w:rPr>
          <w:rFonts w:hint="eastAsia" w:ascii="仿宋_GB2312" w:eastAsia="仿宋_GB2312" w:cs="仿宋_GB2312"/>
          <w:b/>
          <w:bCs w:val="0"/>
          <w:color w:val="auto"/>
          <w:sz w:val="28"/>
          <w:szCs w:val="28"/>
        </w:rPr>
        <w:t>5.1.</w:t>
      </w:r>
      <w:bookmarkEnd w:id="224"/>
      <w:bookmarkEnd w:id="225"/>
      <w:r>
        <w:rPr>
          <w:rFonts w:hint="eastAsia" w:ascii="仿宋_GB2312" w:eastAsia="仿宋_GB2312" w:cs="仿宋_GB2312"/>
          <w:b/>
          <w:bCs w:val="0"/>
          <w:color w:val="auto"/>
          <w:sz w:val="28"/>
          <w:szCs w:val="28"/>
          <w:lang w:val="en-US" w:eastAsia="zh-CN"/>
        </w:rPr>
        <w:t>3</w:t>
      </w:r>
      <w:r>
        <w:rPr>
          <w:rFonts w:hint="eastAsia" w:ascii="仿宋_GB2312" w:eastAsia="仿宋_GB2312" w:cs="仿宋_GB2312"/>
          <w:b/>
          <w:bCs w:val="0"/>
          <w:color w:val="auto"/>
          <w:sz w:val="28"/>
          <w:szCs w:val="28"/>
        </w:rPr>
        <w:t>露天开采境界</w:t>
      </w:r>
      <w:bookmarkEnd w:id="226"/>
      <w:bookmarkEnd w:id="227"/>
    </w:p>
    <w:p w14:paraId="5C63B5CB">
      <w:pPr>
        <w:pStyle w:val="14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1、露天开采境界参数</w:t>
      </w:r>
    </w:p>
    <w:p w14:paraId="465F81FC">
      <w:pPr>
        <w:pStyle w:val="14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最终边坡角</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根据围岩的物理力学性质，同时参考类似矿山的岩体物理力学性质参数，采场最终边坡角为</w:t>
      </w:r>
      <w:r>
        <w:rPr>
          <w:rFonts w:hint="eastAsia" w:ascii="仿宋_GB2312" w:eastAsia="仿宋_GB2312" w:cs="仿宋_GB2312"/>
          <w:color w:val="auto"/>
          <w:sz w:val="28"/>
          <w:szCs w:val="28"/>
          <w:lang w:val="en-US" w:eastAsia="zh-CN"/>
        </w:rPr>
        <w:t>≤44</w:t>
      </w:r>
      <w:r>
        <w:rPr>
          <w:rFonts w:hint="eastAsia" w:ascii="仿宋_GB2312" w:eastAsia="仿宋_GB2312" w:cs="仿宋_GB2312"/>
          <w:color w:val="auto"/>
          <w:sz w:val="28"/>
          <w:szCs w:val="28"/>
        </w:rPr>
        <w:t>°。</w:t>
      </w:r>
    </w:p>
    <w:p w14:paraId="0E273C6C">
      <w:pPr>
        <w:pStyle w:val="14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台阶高度</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设计生产台阶高度为</w:t>
      </w:r>
      <w:r>
        <w:rPr>
          <w:rFonts w:hint="eastAsia" w:ascii="仿宋_GB2312" w:eastAsia="仿宋_GB2312" w:cs="仿宋_GB2312"/>
          <w:color w:val="auto"/>
          <w:sz w:val="28"/>
          <w:szCs w:val="28"/>
          <w:lang w:val="en-US" w:eastAsia="zh-CN"/>
        </w:rPr>
        <w:t>6</w:t>
      </w:r>
      <w:r>
        <w:rPr>
          <w:rFonts w:hint="eastAsia" w:ascii="仿宋_GB2312" w:eastAsia="仿宋_GB2312" w:cs="仿宋_GB2312"/>
          <w:color w:val="auto"/>
          <w:sz w:val="28"/>
          <w:szCs w:val="28"/>
        </w:rPr>
        <w:t>m。终了境界2个台阶一并段，并段后台阶高度为</w:t>
      </w:r>
      <w:r>
        <w:rPr>
          <w:rFonts w:hint="eastAsia" w:ascii="仿宋_GB2312" w:eastAsia="仿宋_GB2312" w:cs="仿宋_GB2312"/>
          <w:color w:val="auto"/>
          <w:sz w:val="28"/>
          <w:szCs w:val="28"/>
          <w:lang w:val="en-US" w:eastAsia="zh-CN"/>
        </w:rPr>
        <w:t>12</w:t>
      </w:r>
      <w:r>
        <w:rPr>
          <w:rFonts w:hint="eastAsia" w:ascii="仿宋_GB2312" w:eastAsia="仿宋_GB2312" w:cs="仿宋_GB2312"/>
          <w:color w:val="auto"/>
          <w:sz w:val="28"/>
          <w:szCs w:val="28"/>
        </w:rPr>
        <w:t>m。</w:t>
      </w:r>
    </w:p>
    <w:p w14:paraId="40A56541">
      <w:pPr>
        <w:pStyle w:val="14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台阶坡面角</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选取终了台阶坡面角为</w:t>
      </w:r>
      <w:r>
        <w:rPr>
          <w:rFonts w:hint="eastAsia" w:ascii="仿宋_GB2312" w:eastAsia="仿宋_GB2312" w:cs="仿宋_GB2312"/>
          <w:color w:val="auto"/>
          <w:sz w:val="28"/>
          <w:szCs w:val="28"/>
          <w:lang w:val="en-US" w:eastAsia="zh-CN"/>
        </w:rPr>
        <w:t>60</w:t>
      </w:r>
      <w:r>
        <w:rPr>
          <w:rFonts w:hint="eastAsia" w:ascii="仿宋_GB2312" w:eastAsia="仿宋_GB2312" w:cs="仿宋_GB2312"/>
          <w:color w:val="auto"/>
          <w:sz w:val="28"/>
          <w:szCs w:val="28"/>
        </w:rPr>
        <w:t>°，生产台阶坡面角为</w:t>
      </w:r>
      <w:r>
        <w:rPr>
          <w:rFonts w:hint="eastAsia" w:ascii="仿宋_GB2312" w:eastAsia="仿宋_GB2312" w:cs="仿宋_GB2312"/>
          <w:color w:val="auto"/>
          <w:sz w:val="28"/>
          <w:szCs w:val="28"/>
          <w:lang w:val="en-US" w:eastAsia="zh-CN"/>
        </w:rPr>
        <w:t>60</w:t>
      </w:r>
      <w:r>
        <w:rPr>
          <w:rFonts w:hint="eastAsia" w:ascii="仿宋_GB2312" w:eastAsia="仿宋_GB2312" w:cs="仿宋_GB2312"/>
          <w:color w:val="auto"/>
          <w:sz w:val="28"/>
          <w:szCs w:val="28"/>
        </w:rPr>
        <w:t>°。</w:t>
      </w:r>
    </w:p>
    <w:p w14:paraId="6CBAB5F9">
      <w:pPr>
        <w:pStyle w:val="149"/>
        <w:adjustRightInd w:val="0"/>
        <w:snapToGrid w:val="0"/>
        <w:spacing w:line="360" w:lineRule="auto"/>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rPr>
        <w:t>安全平台</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rPr>
        <w:t>m</w:t>
      </w:r>
      <w:r>
        <w:rPr>
          <w:rFonts w:hint="eastAsia" w:ascii="仿宋_GB2312" w:eastAsia="仿宋_GB2312" w:cs="仿宋_GB2312"/>
          <w:color w:val="auto"/>
          <w:sz w:val="28"/>
          <w:szCs w:val="28"/>
          <w:lang w:eastAsia="zh-CN"/>
        </w:rPr>
        <w:t>。</w:t>
      </w:r>
    </w:p>
    <w:p w14:paraId="60FAEE16">
      <w:pPr>
        <w:pStyle w:val="14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清扫平台</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8m，两个安全平台留设一个清扫平台。</w:t>
      </w:r>
    </w:p>
    <w:p w14:paraId="663014C6">
      <w:pPr>
        <w:pStyle w:val="14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2、境界圈定结果</w:t>
      </w:r>
    </w:p>
    <w:p w14:paraId="31E173FA">
      <w:pPr>
        <w:pStyle w:val="14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结合</w:t>
      </w:r>
      <w:r>
        <w:rPr>
          <w:rFonts w:hint="eastAsia" w:ascii="仿宋_GB2312" w:eastAsia="仿宋_GB2312" w:cs="仿宋_GB2312"/>
          <w:color w:val="auto"/>
          <w:sz w:val="28"/>
          <w:szCs w:val="28"/>
          <w:lang w:val="en-US" w:eastAsia="zh-CN"/>
        </w:rPr>
        <w:t>地形地质图</w:t>
      </w:r>
      <w:r>
        <w:rPr>
          <w:rFonts w:hint="eastAsia" w:ascii="仿宋_GB2312" w:eastAsia="仿宋_GB2312" w:cs="仿宋_GB2312"/>
          <w:color w:val="auto"/>
          <w:sz w:val="28"/>
          <w:szCs w:val="28"/>
        </w:rPr>
        <w:t>、矿岩开拓运输系统圈定终了境界。露天开采终了境界圈定结果见表5-</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，终了境界内分层矿岩量见表5-</w:t>
      </w: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rPr>
        <w:t>。</w:t>
      </w:r>
    </w:p>
    <w:p w14:paraId="5FC6E1D8">
      <w:pPr>
        <w:pStyle w:val="149"/>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sz w:val="24"/>
        </w:rPr>
      </w:pPr>
      <w:r>
        <w:rPr>
          <w:rFonts w:hint="eastAsia" w:ascii="仿宋_GB2312" w:eastAsia="仿宋_GB2312" w:cs="仿宋_GB2312"/>
          <w:color w:val="auto"/>
          <w:sz w:val="28"/>
          <w:szCs w:val="28"/>
        </w:rPr>
        <w:t>表5-</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 xml:space="preserve">  露天开采终了境界圈定结果</w:t>
      </w:r>
    </w:p>
    <w:tbl>
      <w:tblPr>
        <w:tblStyle w:val="6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550"/>
        <w:gridCol w:w="2049"/>
        <w:gridCol w:w="1550"/>
        <w:gridCol w:w="1551"/>
        <w:gridCol w:w="1551"/>
      </w:tblGrid>
      <w:tr w14:paraId="5215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500" w:type="pct"/>
            <w:shd w:val="clear" w:color="auto" w:fill="auto"/>
            <w:vAlign w:val="center"/>
          </w:tcPr>
          <w:p w14:paraId="23E6EF8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序号</w:t>
            </w:r>
          </w:p>
        </w:tc>
        <w:tc>
          <w:tcPr>
            <w:tcW w:w="1962" w:type="pct"/>
            <w:gridSpan w:val="2"/>
            <w:shd w:val="clear" w:color="auto" w:fill="auto"/>
            <w:vAlign w:val="center"/>
          </w:tcPr>
          <w:p w14:paraId="73738DF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项目名称</w:t>
            </w:r>
          </w:p>
        </w:tc>
        <w:tc>
          <w:tcPr>
            <w:tcW w:w="845" w:type="pct"/>
            <w:shd w:val="clear" w:color="auto" w:fill="auto"/>
            <w:vAlign w:val="center"/>
          </w:tcPr>
          <w:p w14:paraId="79F661B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单位</w:t>
            </w:r>
          </w:p>
        </w:tc>
        <w:tc>
          <w:tcPr>
            <w:tcW w:w="845" w:type="pct"/>
            <w:shd w:val="clear" w:color="auto" w:fill="auto"/>
            <w:vAlign w:val="center"/>
          </w:tcPr>
          <w:p w14:paraId="4881465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主要指标</w:t>
            </w:r>
          </w:p>
        </w:tc>
        <w:tc>
          <w:tcPr>
            <w:tcW w:w="845" w:type="pct"/>
            <w:shd w:val="clear" w:color="auto" w:fill="auto"/>
            <w:vAlign w:val="center"/>
          </w:tcPr>
          <w:p w14:paraId="1FB639C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备注</w:t>
            </w:r>
          </w:p>
        </w:tc>
      </w:tr>
      <w:tr w14:paraId="64A9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restart"/>
            <w:tcBorders>
              <w:top w:val="single" w:color="auto" w:sz="4" w:space="0"/>
              <w:left w:val="single" w:color="auto" w:sz="4" w:space="0"/>
              <w:right w:val="single" w:color="auto" w:sz="4" w:space="0"/>
            </w:tcBorders>
            <w:shd w:val="clear" w:color="auto" w:fill="auto"/>
            <w:vAlign w:val="center"/>
          </w:tcPr>
          <w:p w14:paraId="017D095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1</w:t>
            </w:r>
          </w:p>
        </w:tc>
        <w:tc>
          <w:tcPr>
            <w:tcW w:w="845" w:type="pct"/>
            <w:vMerge w:val="restart"/>
            <w:tcBorders>
              <w:top w:val="single" w:color="auto" w:sz="4" w:space="0"/>
              <w:left w:val="single" w:color="auto" w:sz="4" w:space="0"/>
              <w:right w:val="single" w:color="auto" w:sz="4" w:space="0"/>
            </w:tcBorders>
            <w:shd w:val="clear" w:color="auto" w:fill="auto"/>
            <w:vAlign w:val="center"/>
          </w:tcPr>
          <w:p w14:paraId="24B7D14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采场尺寸</w:t>
            </w:r>
          </w:p>
        </w:tc>
        <w:tc>
          <w:tcPr>
            <w:tcW w:w="1116" w:type="pct"/>
            <w:tcBorders>
              <w:top w:val="single" w:color="auto" w:sz="4" w:space="0"/>
              <w:left w:val="single" w:color="auto" w:sz="4" w:space="0"/>
              <w:right w:val="single" w:color="auto" w:sz="4" w:space="0"/>
            </w:tcBorders>
            <w:shd w:val="clear" w:color="auto" w:fill="auto"/>
            <w:vAlign w:val="center"/>
          </w:tcPr>
          <w:p w14:paraId="5D77DCD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上口：长×宽</w:t>
            </w:r>
          </w:p>
        </w:tc>
        <w:tc>
          <w:tcPr>
            <w:tcW w:w="845" w:type="pct"/>
            <w:tcBorders>
              <w:top w:val="single" w:color="auto" w:sz="4" w:space="0"/>
              <w:left w:val="single" w:color="auto" w:sz="4" w:space="0"/>
              <w:right w:val="single" w:color="auto" w:sz="4" w:space="0"/>
            </w:tcBorders>
            <w:shd w:val="clear" w:color="auto" w:fill="auto"/>
            <w:vAlign w:val="center"/>
          </w:tcPr>
          <w:p w14:paraId="196B49D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m</w:t>
            </w:r>
          </w:p>
        </w:tc>
        <w:tc>
          <w:tcPr>
            <w:tcW w:w="845" w:type="pct"/>
            <w:tcBorders>
              <w:top w:val="single" w:color="auto" w:sz="4" w:space="0"/>
              <w:left w:val="single" w:color="auto" w:sz="4" w:space="0"/>
              <w:right w:val="single" w:color="auto" w:sz="4" w:space="0"/>
            </w:tcBorders>
            <w:shd w:val="clear" w:color="auto" w:fill="auto"/>
            <w:vAlign w:val="center"/>
          </w:tcPr>
          <w:p w14:paraId="1BB19F7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265</w:t>
            </w:r>
            <w:r>
              <w:rPr>
                <w:rFonts w:hint="eastAsia" w:ascii="仿宋_GB2312" w:eastAsia="仿宋_GB2312" w:cs="仿宋_GB2312"/>
                <w:color w:val="auto"/>
                <w:kern w:val="0"/>
                <w:sz w:val="24"/>
                <w:szCs w:val="24"/>
              </w:rPr>
              <w:t>×</w:t>
            </w:r>
            <w:r>
              <w:rPr>
                <w:rFonts w:hint="eastAsia" w:ascii="仿宋_GB2312" w:eastAsia="仿宋_GB2312" w:cs="仿宋_GB2312"/>
                <w:color w:val="auto"/>
                <w:kern w:val="0"/>
                <w:sz w:val="24"/>
                <w:szCs w:val="24"/>
                <w:lang w:val="en-US" w:eastAsia="zh-CN"/>
              </w:rPr>
              <w:t>139</w:t>
            </w:r>
          </w:p>
        </w:tc>
        <w:tc>
          <w:tcPr>
            <w:tcW w:w="845" w:type="pct"/>
            <w:tcBorders>
              <w:top w:val="single" w:color="auto" w:sz="4" w:space="0"/>
              <w:left w:val="single" w:color="auto" w:sz="4" w:space="0"/>
              <w:right w:val="single" w:color="auto" w:sz="4" w:space="0"/>
            </w:tcBorders>
            <w:shd w:val="clear" w:color="auto" w:fill="auto"/>
            <w:vAlign w:val="center"/>
          </w:tcPr>
          <w:p w14:paraId="12F465F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p>
        </w:tc>
      </w:tr>
      <w:tr w14:paraId="21FA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continue"/>
            <w:tcBorders>
              <w:top w:val="single" w:color="auto" w:sz="4" w:space="0"/>
              <w:left w:val="single" w:color="auto" w:sz="4" w:space="0"/>
              <w:right w:val="single" w:color="auto" w:sz="4" w:space="0"/>
            </w:tcBorders>
            <w:vAlign w:val="center"/>
          </w:tcPr>
          <w:p w14:paraId="05A1761E"/>
        </w:tc>
        <w:tc>
          <w:tcPr>
            <w:tcW w:w="845" w:type="pct"/>
            <w:vMerge w:val="continue"/>
            <w:tcBorders>
              <w:top w:val="single" w:color="auto" w:sz="4" w:space="0"/>
              <w:left w:val="single" w:color="auto" w:sz="4" w:space="0"/>
              <w:right w:val="single" w:color="auto" w:sz="4" w:space="0"/>
            </w:tcBorders>
            <w:vAlign w:val="center"/>
          </w:tcPr>
          <w:p w14:paraId="08DB124F"/>
        </w:tc>
        <w:tc>
          <w:tcPr>
            <w:tcW w:w="1116" w:type="pct"/>
            <w:tcBorders>
              <w:top w:val="single" w:color="auto" w:sz="4" w:space="0"/>
              <w:left w:val="single" w:color="auto" w:sz="4" w:space="0"/>
              <w:right w:val="single" w:color="auto" w:sz="4" w:space="0"/>
            </w:tcBorders>
            <w:shd w:val="clear" w:color="auto" w:fill="auto"/>
            <w:vAlign w:val="center"/>
          </w:tcPr>
          <w:p w14:paraId="65F1F93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下口：长×宽</w:t>
            </w:r>
          </w:p>
        </w:tc>
        <w:tc>
          <w:tcPr>
            <w:tcW w:w="845" w:type="pct"/>
            <w:tcBorders>
              <w:top w:val="single" w:color="auto" w:sz="4" w:space="0"/>
              <w:left w:val="single" w:color="auto" w:sz="4" w:space="0"/>
              <w:right w:val="single" w:color="auto" w:sz="4" w:space="0"/>
            </w:tcBorders>
            <w:shd w:val="clear" w:color="auto" w:fill="auto"/>
            <w:vAlign w:val="center"/>
          </w:tcPr>
          <w:p w14:paraId="546175B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m</w:t>
            </w:r>
          </w:p>
        </w:tc>
        <w:tc>
          <w:tcPr>
            <w:tcW w:w="845" w:type="pct"/>
            <w:tcBorders>
              <w:top w:val="single" w:color="auto" w:sz="4" w:space="0"/>
              <w:left w:val="single" w:color="auto" w:sz="4" w:space="0"/>
              <w:right w:val="single" w:color="auto" w:sz="4" w:space="0"/>
            </w:tcBorders>
            <w:shd w:val="clear" w:color="auto" w:fill="auto"/>
            <w:vAlign w:val="center"/>
          </w:tcPr>
          <w:p w14:paraId="1368DE7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65</w:t>
            </w:r>
            <w:r>
              <w:rPr>
                <w:rFonts w:hint="eastAsia" w:ascii="仿宋_GB2312" w:eastAsia="仿宋_GB2312" w:cs="仿宋_GB2312"/>
                <w:color w:val="auto"/>
                <w:kern w:val="0"/>
                <w:sz w:val="24"/>
                <w:szCs w:val="24"/>
              </w:rPr>
              <w:t>×</w:t>
            </w:r>
            <w:r>
              <w:rPr>
                <w:rFonts w:hint="eastAsia" w:ascii="仿宋_GB2312" w:eastAsia="仿宋_GB2312" w:cs="仿宋_GB2312"/>
                <w:color w:val="auto"/>
                <w:kern w:val="0"/>
                <w:sz w:val="24"/>
                <w:szCs w:val="24"/>
                <w:lang w:val="en-US" w:eastAsia="zh-CN"/>
              </w:rPr>
              <w:t>30</w:t>
            </w:r>
          </w:p>
        </w:tc>
        <w:tc>
          <w:tcPr>
            <w:tcW w:w="845" w:type="pct"/>
            <w:tcBorders>
              <w:top w:val="single" w:color="auto" w:sz="4" w:space="0"/>
              <w:left w:val="single" w:color="auto" w:sz="4" w:space="0"/>
              <w:right w:val="single" w:color="auto" w:sz="4" w:space="0"/>
            </w:tcBorders>
            <w:shd w:val="clear" w:color="auto" w:fill="auto"/>
            <w:vAlign w:val="center"/>
          </w:tcPr>
          <w:p w14:paraId="66000F0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p>
        </w:tc>
      </w:tr>
      <w:tr w14:paraId="0F9D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00" w:type="pct"/>
            <w:tcBorders>
              <w:top w:val="single" w:color="auto" w:sz="4" w:space="0"/>
              <w:left w:val="single" w:color="auto" w:sz="4" w:space="0"/>
              <w:right w:val="single" w:color="auto" w:sz="4" w:space="0"/>
            </w:tcBorders>
            <w:shd w:val="clear" w:color="auto" w:fill="auto"/>
            <w:vAlign w:val="center"/>
          </w:tcPr>
          <w:p w14:paraId="0F237B4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2</w:t>
            </w:r>
          </w:p>
        </w:tc>
        <w:tc>
          <w:tcPr>
            <w:tcW w:w="1962" w:type="pct"/>
            <w:gridSpan w:val="2"/>
            <w:tcBorders>
              <w:top w:val="single" w:color="auto" w:sz="4" w:space="0"/>
              <w:left w:val="single" w:color="auto" w:sz="4" w:space="0"/>
              <w:right w:val="single" w:color="auto" w:sz="4" w:space="0"/>
            </w:tcBorders>
            <w:shd w:val="clear" w:color="auto" w:fill="auto"/>
            <w:vAlign w:val="center"/>
          </w:tcPr>
          <w:p w14:paraId="56FE8AF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境界内最高开采标高</w:t>
            </w:r>
          </w:p>
        </w:tc>
        <w:tc>
          <w:tcPr>
            <w:tcW w:w="845" w:type="pct"/>
            <w:tcBorders>
              <w:top w:val="single" w:color="auto" w:sz="4" w:space="0"/>
              <w:left w:val="single" w:color="auto" w:sz="4" w:space="0"/>
              <w:right w:val="single" w:color="auto" w:sz="4" w:space="0"/>
            </w:tcBorders>
            <w:shd w:val="clear" w:color="auto" w:fill="auto"/>
            <w:vAlign w:val="center"/>
          </w:tcPr>
          <w:p w14:paraId="1DD207C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m</w:t>
            </w:r>
          </w:p>
        </w:tc>
        <w:tc>
          <w:tcPr>
            <w:tcW w:w="845" w:type="pct"/>
            <w:tcBorders>
              <w:top w:val="single" w:color="auto" w:sz="4" w:space="0"/>
              <w:left w:val="single" w:color="auto" w:sz="4" w:space="0"/>
              <w:right w:val="single" w:color="auto" w:sz="4" w:space="0"/>
            </w:tcBorders>
            <w:shd w:val="clear" w:color="auto" w:fill="auto"/>
            <w:vAlign w:val="center"/>
          </w:tcPr>
          <w:p w14:paraId="228C34B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393.56</w:t>
            </w:r>
          </w:p>
        </w:tc>
        <w:tc>
          <w:tcPr>
            <w:tcW w:w="845" w:type="pct"/>
            <w:tcBorders>
              <w:top w:val="single" w:color="auto" w:sz="4" w:space="0"/>
              <w:left w:val="single" w:color="auto" w:sz="4" w:space="0"/>
              <w:right w:val="single" w:color="auto" w:sz="4" w:space="0"/>
            </w:tcBorders>
            <w:shd w:val="clear" w:color="auto" w:fill="auto"/>
            <w:vAlign w:val="center"/>
          </w:tcPr>
          <w:p w14:paraId="0DAA48E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p>
        </w:tc>
      </w:tr>
      <w:tr w14:paraId="5AD5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tcBorders>
              <w:top w:val="single" w:color="auto" w:sz="4" w:space="0"/>
              <w:left w:val="single" w:color="auto" w:sz="4" w:space="0"/>
              <w:right w:val="single" w:color="auto" w:sz="4" w:space="0"/>
            </w:tcBorders>
            <w:shd w:val="clear" w:color="auto" w:fill="auto"/>
            <w:vAlign w:val="center"/>
          </w:tcPr>
          <w:p w14:paraId="7474E39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3</w:t>
            </w:r>
          </w:p>
        </w:tc>
        <w:tc>
          <w:tcPr>
            <w:tcW w:w="1962" w:type="pct"/>
            <w:gridSpan w:val="2"/>
            <w:tcBorders>
              <w:top w:val="single" w:color="auto" w:sz="4" w:space="0"/>
              <w:left w:val="single" w:color="auto" w:sz="4" w:space="0"/>
              <w:right w:val="single" w:color="auto" w:sz="4" w:space="0"/>
            </w:tcBorders>
            <w:shd w:val="clear" w:color="auto" w:fill="auto"/>
            <w:vAlign w:val="center"/>
          </w:tcPr>
          <w:p w14:paraId="1DA5A67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封闭圈标高</w:t>
            </w:r>
          </w:p>
        </w:tc>
        <w:tc>
          <w:tcPr>
            <w:tcW w:w="845" w:type="pct"/>
            <w:tcBorders>
              <w:top w:val="single" w:color="auto" w:sz="4" w:space="0"/>
              <w:left w:val="single" w:color="auto" w:sz="4" w:space="0"/>
              <w:right w:val="single" w:color="auto" w:sz="4" w:space="0"/>
            </w:tcBorders>
            <w:shd w:val="clear" w:color="auto" w:fill="auto"/>
            <w:vAlign w:val="center"/>
          </w:tcPr>
          <w:p w14:paraId="5ECFDF2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m</w:t>
            </w:r>
          </w:p>
        </w:tc>
        <w:tc>
          <w:tcPr>
            <w:tcW w:w="845" w:type="pct"/>
            <w:tcBorders>
              <w:top w:val="single" w:color="auto" w:sz="4" w:space="0"/>
              <w:left w:val="single" w:color="auto" w:sz="4" w:space="0"/>
              <w:right w:val="single" w:color="auto" w:sz="4" w:space="0"/>
            </w:tcBorders>
            <w:shd w:val="clear" w:color="auto" w:fill="auto"/>
            <w:vAlign w:val="center"/>
          </w:tcPr>
          <w:p w14:paraId="30C1184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360</w:t>
            </w:r>
          </w:p>
        </w:tc>
        <w:tc>
          <w:tcPr>
            <w:tcW w:w="845" w:type="pct"/>
            <w:tcBorders>
              <w:top w:val="single" w:color="auto" w:sz="4" w:space="0"/>
              <w:left w:val="single" w:color="auto" w:sz="4" w:space="0"/>
              <w:right w:val="single" w:color="auto" w:sz="4" w:space="0"/>
            </w:tcBorders>
            <w:shd w:val="clear" w:color="auto" w:fill="auto"/>
            <w:vAlign w:val="center"/>
          </w:tcPr>
          <w:p w14:paraId="15B6F9D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val="en-US" w:eastAsia="zh-CN"/>
              </w:rPr>
            </w:pPr>
          </w:p>
        </w:tc>
      </w:tr>
      <w:tr w14:paraId="451B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tcBorders>
              <w:top w:val="single" w:color="auto" w:sz="4" w:space="0"/>
              <w:left w:val="single" w:color="auto" w:sz="4" w:space="0"/>
              <w:right w:val="single" w:color="auto" w:sz="4" w:space="0"/>
            </w:tcBorders>
            <w:shd w:val="clear" w:color="auto" w:fill="auto"/>
            <w:vAlign w:val="center"/>
          </w:tcPr>
          <w:p w14:paraId="62C5B9F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4</w:t>
            </w:r>
          </w:p>
        </w:tc>
        <w:tc>
          <w:tcPr>
            <w:tcW w:w="1962" w:type="pct"/>
            <w:gridSpan w:val="2"/>
            <w:tcBorders>
              <w:top w:val="single" w:color="auto" w:sz="4" w:space="0"/>
              <w:left w:val="single" w:color="auto" w:sz="4" w:space="0"/>
              <w:right w:val="single" w:color="auto" w:sz="4" w:space="0"/>
            </w:tcBorders>
            <w:shd w:val="clear" w:color="auto" w:fill="auto"/>
            <w:vAlign w:val="center"/>
          </w:tcPr>
          <w:p w14:paraId="289B4AB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露天底标高</w:t>
            </w:r>
          </w:p>
        </w:tc>
        <w:tc>
          <w:tcPr>
            <w:tcW w:w="845" w:type="pct"/>
            <w:tcBorders>
              <w:top w:val="single" w:color="auto" w:sz="4" w:space="0"/>
              <w:left w:val="single" w:color="auto" w:sz="4" w:space="0"/>
              <w:right w:val="single" w:color="auto" w:sz="4" w:space="0"/>
            </w:tcBorders>
            <w:shd w:val="clear" w:color="auto" w:fill="auto"/>
            <w:vAlign w:val="center"/>
          </w:tcPr>
          <w:p w14:paraId="5493CCE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m</w:t>
            </w:r>
          </w:p>
        </w:tc>
        <w:tc>
          <w:tcPr>
            <w:tcW w:w="845" w:type="pct"/>
            <w:tcBorders>
              <w:top w:val="single" w:color="auto" w:sz="4" w:space="0"/>
              <w:left w:val="single" w:color="auto" w:sz="4" w:space="0"/>
              <w:right w:val="single" w:color="auto" w:sz="4" w:space="0"/>
            </w:tcBorders>
            <w:shd w:val="clear" w:color="auto" w:fill="auto"/>
            <w:vAlign w:val="center"/>
          </w:tcPr>
          <w:p w14:paraId="45E7DE3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330</w:t>
            </w:r>
          </w:p>
        </w:tc>
        <w:tc>
          <w:tcPr>
            <w:tcW w:w="845" w:type="pct"/>
            <w:tcBorders>
              <w:top w:val="single" w:color="auto" w:sz="4" w:space="0"/>
              <w:left w:val="single" w:color="auto" w:sz="4" w:space="0"/>
              <w:right w:val="single" w:color="auto" w:sz="4" w:space="0"/>
            </w:tcBorders>
            <w:shd w:val="clear" w:color="auto" w:fill="auto"/>
            <w:vAlign w:val="center"/>
          </w:tcPr>
          <w:p w14:paraId="6E64EB7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p>
        </w:tc>
      </w:tr>
      <w:tr w14:paraId="4850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restart"/>
            <w:tcBorders>
              <w:top w:val="single" w:color="auto" w:sz="4" w:space="0"/>
              <w:left w:val="single" w:color="auto" w:sz="4" w:space="0"/>
              <w:right w:val="single" w:color="auto" w:sz="4" w:space="0"/>
            </w:tcBorders>
            <w:shd w:val="clear" w:color="auto" w:fill="auto"/>
            <w:vAlign w:val="center"/>
          </w:tcPr>
          <w:p w14:paraId="5B97581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5</w:t>
            </w:r>
          </w:p>
        </w:tc>
        <w:tc>
          <w:tcPr>
            <w:tcW w:w="1962" w:type="pct"/>
            <w:gridSpan w:val="2"/>
            <w:vMerge w:val="restart"/>
            <w:tcBorders>
              <w:top w:val="single" w:color="auto" w:sz="4" w:space="0"/>
              <w:left w:val="single" w:color="auto" w:sz="4" w:space="0"/>
              <w:right w:val="single" w:color="auto" w:sz="4" w:space="0"/>
            </w:tcBorders>
            <w:shd w:val="clear" w:color="auto" w:fill="auto"/>
            <w:vAlign w:val="center"/>
          </w:tcPr>
          <w:p w14:paraId="597FAF1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lang w:val="en-US" w:eastAsia="zh-CN"/>
              </w:rPr>
              <w:t>露天境界内</w:t>
            </w:r>
            <w:r>
              <w:rPr>
                <w:rFonts w:hint="eastAsia" w:ascii="仿宋_GB2312" w:eastAsia="仿宋_GB2312" w:cs="仿宋_GB2312"/>
                <w:color w:val="auto"/>
                <w:kern w:val="0"/>
                <w:sz w:val="24"/>
                <w:szCs w:val="24"/>
              </w:rPr>
              <w:t>矿量</w:t>
            </w:r>
          </w:p>
        </w:tc>
        <w:tc>
          <w:tcPr>
            <w:tcW w:w="845" w:type="pct"/>
            <w:tcBorders>
              <w:top w:val="single" w:color="auto" w:sz="4" w:space="0"/>
              <w:left w:val="single" w:color="auto" w:sz="4" w:space="0"/>
              <w:right w:val="single" w:color="auto" w:sz="4" w:space="0"/>
            </w:tcBorders>
            <w:shd w:val="clear" w:color="auto" w:fill="auto"/>
            <w:vAlign w:val="center"/>
          </w:tcPr>
          <w:p w14:paraId="4C95C23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eastAsia="zh-CN"/>
              </w:rPr>
            </w:pPr>
            <w:r>
              <w:rPr>
                <w:rFonts w:hint="eastAsia" w:ascii="仿宋_GB2312" w:eastAsia="仿宋_GB2312" w:cs="仿宋_GB2312"/>
                <w:color w:val="auto"/>
                <w:kern w:val="0"/>
                <w:sz w:val="24"/>
                <w:szCs w:val="24"/>
                <w:lang w:eastAsia="zh-CN"/>
              </w:rPr>
              <w:t>万立方米</w:t>
            </w:r>
          </w:p>
        </w:tc>
        <w:tc>
          <w:tcPr>
            <w:tcW w:w="845" w:type="pct"/>
            <w:tcBorders>
              <w:top w:val="single" w:color="auto" w:sz="4" w:space="0"/>
              <w:left w:val="single" w:color="auto" w:sz="4" w:space="0"/>
              <w:right w:val="single" w:color="auto" w:sz="4" w:space="0"/>
            </w:tcBorders>
            <w:shd w:val="clear" w:color="auto" w:fill="auto"/>
            <w:noWrap/>
            <w:vAlign w:val="bottom"/>
          </w:tcPr>
          <w:p w14:paraId="087F5B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color w:val="auto"/>
                <w:kern w:val="0"/>
                <w:sz w:val="24"/>
                <w:szCs w:val="24"/>
                <w:lang w:val="en-US"/>
              </w:rPr>
            </w:pPr>
            <w:r>
              <w:rPr>
                <w:rFonts w:hint="eastAsia" w:ascii="仿宋_GB2312" w:eastAsia="仿宋_GB2312" w:cs="仿宋_GB2312"/>
                <w:i w:val="0"/>
                <w:iCs w:val="0"/>
                <w:color w:val="auto"/>
                <w:kern w:val="0"/>
                <w:sz w:val="24"/>
                <w:szCs w:val="24"/>
                <w:u w:val="none"/>
                <w:lang w:val="en-US" w:eastAsia="zh-CN"/>
              </w:rPr>
              <w:t>62.63</w:t>
            </w:r>
          </w:p>
        </w:tc>
        <w:tc>
          <w:tcPr>
            <w:tcW w:w="845" w:type="pct"/>
            <w:vMerge w:val="restart"/>
            <w:tcBorders>
              <w:top w:val="single" w:color="auto" w:sz="4" w:space="0"/>
              <w:left w:val="single" w:color="auto" w:sz="4" w:space="0"/>
              <w:right w:val="single" w:color="auto" w:sz="4" w:space="0"/>
            </w:tcBorders>
            <w:shd w:val="clear" w:color="auto" w:fill="auto"/>
            <w:vAlign w:val="center"/>
          </w:tcPr>
          <w:p w14:paraId="569BD14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p>
        </w:tc>
      </w:tr>
      <w:tr w14:paraId="202D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continue"/>
            <w:tcBorders>
              <w:top w:val="single" w:color="auto" w:sz="4" w:space="0"/>
              <w:left w:val="single" w:color="auto" w:sz="4" w:space="0"/>
              <w:right w:val="single" w:color="auto" w:sz="4" w:space="0"/>
            </w:tcBorders>
            <w:vAlign w:val="center"/>
          </w:tcPr>
          <w:p w14:paraId="7393223D"/>
        </w:tc>
        <w:tc>
          <w:tcPr>
            <w:tcW w:w="1962" w:type="pct"/>
            <w:gridSpan w:val="2"/>
            <w:vMerge w:val="continue"/>
            <w:tcBorders>
              <w:top w:val="single" w:color="auto" w:sz="4" w:space="0"/>
              <w:left w:val="single" w:color="auto" w:sz="4" w:space="0"/>
              <w:right w:val="single" w:color="auto" w:sz="4" w:space="0"/>
            </w:tcBorders>
            <w:vAlign w:val="center"/>
          </w:tcPr>
          <w:p w14:paraId="22596A0F"/>
        </w:tc>
        <w:tc>
          <w:tcPr>
            <w:tcW w:w="845" w:type="pct"/>
            <w:tcBorders>
              <w:top w:val="single" w:color="auto" w:sz="4" w:space="0"/>
              <w:left w:val="single" w:color="auto" w:sz="4" w:space="0"/>
              <w:right w:val="single" w:color="auto" w:sz="4" w:space="0"/>
            </w:tcBorders>
            <w:shd w:val="clear" w:color="auto" w:fill="auto"/>
            <w:vAlign w:val="center"/>
          </w:tcPr>
          <w:p w14:paraId="2C296C4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万吨</w:t>
            </w:r>
          </w:p>
        </w:tc>
        <w:tc>
          <w:tcPr>
            <w:tcW w:w="845" w:type="pct"/>
            <w:tcBorders>
              <w:top w:val="single" w:color="auto" w:sz="4" w:space="0"/>
              <w:left w:val="single" w:color="auto" w:sz="4" w:space="0"/>
              <w:right w:val="single" w:color="auto" w:sz="4" w:space="0"/>
            </w:tcBorders>
            <w:shd w:val="clear" w:color="auto" w:fill="auto"/>
            <w:noWrap/>
            <w:vAlign w:val="bottom"/>
          </w:tcPr>
          <w:p w14:paraId="7DD995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color w:val="auto"/>
                <w:kern w:val="0"/>
                <w:sz w:val="24"/>
                <w:szCs w:val="24"/>
                <w:lang w:val="en-US"/>
              </w:rPr>
            </w:pPr>
            <w:r>
              <w:rPr>
                <w:rFonts w:hint="eastAsia" w:ascii="仿宋_GB2312" w:eastAsia="仿宋_GB2312" w:cs="仿宋_GB2312"/>
                <w:i w:val="0"/>
                <w:iCs w:val="0"/>
                <w:color w:val="auto"/>
                <w:kern w:val="0"/>
                <w:sz w:val="24"/>
                <w:szCs w:val="24"/>
                <w:u w:val="none"/>
                <w:lang w:val="en-US" w:eastAsia="zh-CN"/>
              </w:rPr>
              <w:t>146.54</w:t>
            </w:r>
          </w:p>
        </w:tc>
        <w:tc>
          <w:tcPr>
            <w:tcW w:w="845" w:type="pct"/>
            <w:vMerge w:val="continue"/>
            <w:tcBorders>
              <w:top w:val="single" w:color="auto" w:sz="4" w:space="0"/>
              <w:left w:val="single" w:color="auto" w:sz="4" w:space="0"/>
              <w:right w:val="single" w:color="auto" w:sz="4" w:space="0"/>
            </w:tcBorders>
            <w:vAlign w:val="center"/>
          </w:tcPr>
          <w:p w14:paraId="6E247864"/>
        </w:tc>
      </w:tr>
      <w:tr w14:paraId="0B5F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restart"/>
            <w:tcBorders>
              <w:top w:val="single" w:color="auto" w:sz="4" w:space="0"/>
              <w:left w:val="single" w:color="auto" w:sz="4" w:space="0"/>
              <w:right w:val="single" w:color="auto" w:sz="4" w:space="0"/>
            </w:tcBorders>
            <w:shd w:val="clear" w:color="auto" w:fill="auto"/>
            <w:vAlign w:val="center"/>
          </w:tcPr>
          <w:p w14:paraId="4351563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eastAsia="zh-CN"/>
              </w:rPr>
            </w:pPr>
            <w:r>
              <w:rPr>
                <w:rFonts w:hint="eastAsia" w:ascii="仿宋_GB2312" w:eastAsia="仿宋_GB2312" w:cs="仿宋_GB2312"/>
                <w:color w:val="auto"/>
                <w:kern w:val="0"/>
                <w:sz w:val="24"/>
                <w:szCs w:val="24"/>
                <w:lang w:val="en-US" w:eastAsia="zh-CN"/>
              </w:rPr>
              <w:t>6</w:t>
            </w:r>
          </w:p>
        </w:tc>
        <w:tc>
          <w:tcPr>
            <w:tcW w:w="1962" w:type="pct"/>
            <w:gridSpan w:val="2"/>
            <w:vMerge w:val="restart"/>
            <w:tcBorders>
              <w:top w:val="single" w:color="auto" w:sz="4" w:space="0"/>
              <w:left w:val="single" w:color="auto" w:sz="4" w:space="0"/>
              <w:right w:val="single" w:color="auto" w:sz="4" w:space="0"/>
            </w:tcBorders>
            <w:shd w:val="clear" w:color="auto" w:fill="auto"/>
            <w:vAlign w:val="center"/>
          </w:tcPr>
          <w:p w14:paraId="4689443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lang w:val="en-US" w:eastAsia="zh-CN"/>
              </w:rPr>
              <w:t>剥离表土</w:t>
            </w:r>
          </w:p>
        </w:tc>
        <w:tc>
          <w:tcPr>
            <w:tcW w:w="845" w:type="pct"/>
            <w:tcBorders>
              <w:top w:val="single" w:color="auto" w:sz="4" w:space="0"/>
              <w:left w:val="single" w:color="auto" w:sz="4" w:space="0"/>
              <w:right w:val="single" w:color="auto" w:sz="4" w:space="0"/>
            </w:tcBorders>
            <w:shd w:val="clear" w:color="auto" w:fill="auto"/>
            <w:vAlign w:val="center"/>
          </w:tcPr>
          <w:p w14:paraId="61A23C7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eastAsia="zh-CN"/>
              </w:rPr>
            </w:pPr>
            <w:r>
              <w:rPr>
                <w:rFonts w:hint="eastAsia" w:ascii="仿宋_GB2312" w:eastAsia="仿宋_GB2312" w:cs="仿宋_GB2312"/>
                <w:color w:val="auto"/>
                <w:kern w:val="0"/>
                <w:sz w:val="24"/>
                <w:szCs w:val="24"/>
                <w:lang w:eastAsia="zh-CN"/>
              </w:rPr>
              <w:t>万立方米</w:t>
            </w:r>
          </w:p>
        </w:tc>
        <w:tc>
          <w:tcPr>
            <w:tcW w:w="845" w:type="pct"/>
            <w:tcBorders>
              <w:top w:val="single" w:color="auto" w:sz="4" w:space="0"/>
              <w:left w:val="single" w:color="auto" w:sz="4" w:space="0"/>
              <w:right w:val="single" w:color="auto" w:sz="4" w:space="0"/>
            </w:tcBorders>
            <w:shd w:val="clear" w:color="auto" w:fill="auto"/>
            <w:noWrap/>
            <w:vAlign w:val="bottom"/>
          </w:tcPr>
          <w:p w14:paraId="60B17A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color w:val="auto"/>
                <w:kern w:val="0"/>
                <w:sz w:val="24"/>
                <w:szCs w:val="24"/>
                <w:lang w:val="en-US" w:eastAsia="zh-CN"/>
              </w:rPr>
            </w:pPr>
            <w:r>
              <w:rPr>
                <w:rFonts w:hint="eastAsia" w:ascii="仿宋_GB2312" w:eastAsia="仿宋_GB2312" w:cs="仿宋_GB2312"/>
                <w:i w:val="0"/>
                <w:iCs w:val="0"/>
                <w:color w:val="auto"/>
                <w:kern w:val="0"/>
                <w:sz w:val="24"/>
                <w:szCs w:val="24"/>
                <w:u w:val="none"/>
                <w:lang w:val="en-US" w:eastAsia="zh-CN"/>
              </w:rPr>
              <w:t>2.43</w:t>
            </w:r>
          </w:p>
        </w:tc>
        <w:tc>
          <w:tcPr>
            <w:tcW w:w="845" w:type="pct"/>
            <w:tcBorders>
              <w:top w:val="single" w:color="auto" w:sz="4" w:space="0"/>
              <w:left w:val="single" w:color="auto" w:sz="4" w:space="0"/>
              <w:right w:val="single" w:color="auto" w:sz="4" w:space="0"/>
            </w:tcBorders>
            <w:shd w:val="clear" w:color="auto" w:fill="auto"/>
            <w:vAlign w:val="center"/>
          </w:tcPr>
          <w:p w14:paraId="5F37F70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p>
        </w:tc>
      </w:tr>
      <w:tr w14:paraId="6B33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continue"/>
            <w:tcBorders>
              <w:top w:val="single" w:color="auto" w:sz="4" w:space="0"/>
              <w:left w:val="single" w:color="auto" w:sz="4" w:space="0"/>
              <w:right w:val="single" w:color="auto" w:sz="4" w:space="0"/>
            </w:tcBorders>
            <w:vAlign w:val="center"/>
          </w:tcPr>
          <w:p w14:paraId="6EE69256"/>
        </w:tc>
        <w:tc>
          <w:tcPr>
            <w:tcW w:w="1962" w:type="pct"/>
            <w:gridSpan w:val="2"/>
            <w:vMerge w:val="continue"/>
            <w:tcBorders>
              <w:top w:val="single" w:color="auto" w:sz="4" w:space="0"/>
              <w:left w:val="single" w:color="auto" w:sz="4" w:space="0"/>
              <w:right w:val="single" w:color="auto" w:sz="4" w:space="0"/>
            </w:tcBorders>
            <w:vAlign w:val="center"/>
          </w:tcPr>
          <w:p w14:paraId="0E09E14F"/>
        </w:tc>
        <w:tc>
          <w:tcPr>
            <w:tcW w:w="845" w:type="pct"/>
            <w:tcBorders>
              <w:top w:val="single" w:color="auto" w:sz="4" w:space="0"/>
              <w:left w:val="single" w:color="auto" w:sz="4" w:space="0"/>
              <w:right w:val="single" w:color="auto" w:sz="4" w:space="0"/>
            </w:tcBorders>
            <w:shd w:val="clear" w:color="auto" w:fill="auto"/>
            <w:vAlign w:val="center"/>
          </w:tcPr>
          <w:p w14:paraId="40ACD91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lang w:val="en-US" w:eastAsia="zh-CN"/>
              </w:rPr>
              <w:t>万吨</w:t>
            </w:r>
          </w:p>
        </w:tc>
        <w:tc>
          <w:tcPr>
            <w:tcW w:w="845" w:type="pct"/>
            <w:tcBorders>
              <w:top w:val="single" w:color="auto" w:sz="4" w:space="0"/>
              <w:left w:val="single" w:color="auto" w:sz="4" w:space="0"/>
              <w:right w:val="single" w:color="auto" w:sz="4" w:space="0"/>
            </w:tcBorders>
            <w:shd w:val="clear" w:color="auto" w:fill="auto"/>
            <w:noWrap/>
            <w:vAlign w:val="bottom"/>
          </w:tcPr>
          <w:p w14:paraId="229713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color w:val="auto"/>
                <w:kern w:val="0"/>
                <w:sz w:val="24"/>
                <w:szCs w:val="24"/>
                <w:lang w:val="en-US" w:eastAsia="zh-CN"/>
              </w:rPr>
            </w:pPr>
            <w:r>
              <w:rPr>
                <w:rFonts w:hint="eastAsia" w:ascii="仿宋_GB2312" w:eastAsia="仿宋_GB2312" w:cs="仿宋_GB2312"/>
                <w:i w:val="0"/>
                <w:iCs w:val="0"/>
                <w:color w:val="auto"/>
                <w:kern w:val="0"/>
                <w:sz w:val="24"/>
                <w:szCs w:val="24"/>
                <w:u w:val="none"/>
                <w:lang w:val="en-US" w:eastAsia="zh-CN"/>
              </w:rPr>
              <w:t>4.37</w:t>
            </w:r>
          </w:p>
        </w:tc>
        <w:tc>
          <w:tcPr>
            <w:tcW w:w="845" w:type="pct"/>
            <w:tcBorders>
              <w:top w:val="single" w:color="auto" w:sz="4" w:space="0"/>
              <w:left w:val="single" w:color="auto" w:sz="4" w:space="0"/>
              <w:right w:val="single" w:color="auto" w:sz="4" w:space="0"/>
            </w:tcBorders>
            <w:shd w:val="clear" w:color="auto" w:fill="auto"/>
            <w:vAlign w:val="center"/>
          </w:tcPr>
          <w:p w14:paraId="285B610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p>
        </w:tc>
      </w:tr>
      <w:tr w14:paraId="0AB7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restart"/>
            <w:tcBorders>
              <w:top w:val="single" w:color="auto" w:sz="4" w:space="0"/>
              <w:left w:val="single" w:color="auto" w:sz="4" w:space="0"/>
              <w:right w:val="single" w:color="auto" w:sz="4" w:space="0"/>
            </w:tcBorders>
            <w:shd w:val="clear" w:color="auto" w:fill="auto"/>
            <w:vAlign w:val="center"/>
          </w:tcPr>
          <w:p w14:paraId="1301FD7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eastAsia="zh-CN"/>
              </w:rPr>
            </w:pPr>
            <w:r>
              <w:rPr>
                <w:rFonts w:hint="eastAsia" w:ascii="仿宋_GB2312" w:eastAsia="仿宋_GB2312" w:cs="仿宋_GB2312"/>
                <w:color w:val="auto"/>
                <w:kern w:val="0"/>
                <w:sz w:val="24"/>
                <w:szCs w:val="24"/>
                <w:lang w:val="en-US" w:eastAsia="zh-CN"/>
              </w:rPr>
              <w:t>7</w:t>
            </w:r>
          </w:p>
        </w:tc>
        <w:tc>
          <w:tcPr>
            <w:tcW w:w="1962" w:type="pct"/>
            <w:gridSpan w:val="2"/>
            <w:vMerge w:val="restart"/>
            <w:tcBorders>
              <w:top w:val="single" w:color="auto" w:sz="4" w:space="0"/>
              <w:left w:val="single" w:color="auto" w:sz="4" w:space="0"/>
              <w:right w:val="single" w:color="auto" w:sz="4" w:space="0"/>
            </w:tcBorders>
            <w:shd w:val="clear" w:color="auto" w:fill="auto"/>
            <w:vAlign w:val="center"/>
          </w:tcPr>
          <w:p w14:paraId="481BC20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矿岩总量</w:t>
            </w:r>
          </w:p>
        </w:tc>
        <w:tc>
          <w:tcPr>
            <w:tcW w:w="845" w:type="pct"/>
            <w:tcBorders>
              <w:top w:val="single" w:color="auto" w:sz="4" w:space="0"/>
              <w:left w:val="single" w:color="auto" w:sz="4" w:space="0"/>
              <w:right w:val="single" w:color="auto" w:sz="4" w:space="0"/>
            </w:tcBorders>
            <w:shd w:val="clear" w:color="auto" w:fill="auto"/>
            <w:vAlign w:val="center"/>
          </w:tcPr>
          <w:p w14:paraId="4345354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eastAsia="zh-CN"/>
              </w:rPr>
            </w:pPr>
            <w:r>
              <w:rPr>
                <w:rFonts w:hint="eastAsia" w:ascii="仿宋_GB2312" w:eastAsia="仿宋_GB2312" w:cs="仿宋_GB2312"/>
                <w:color w:val="auto"/>
                <w:kern w:val="0"/>
                <w:sz w:val="24"/>
                <w:szCs w:val="24"/>
                <w:lang w:eastAsia="zh-CN"/>
              </w:rPr>
              <w:t>万立方米</w:t>
            </w:r>
          </w:p>
        </w:tc>
        <w:tc>
          <w:tcPr>
            <w:tcW w:w="845" w:type="pct"/>
            <w:tcBorders>
              <w:top w:val="single" w:color="auto" w:sz="4" w:space="0"/>
              <w:left w:val="single" w:color="auto" w:sz="4" w:space="0"/>
              <w:right w:val="single" w:color="auto" w:sz="4" w:space="0"/>
            </w:tcBorders>
            <w:shd w:val="clear" w:color="auto" w:fill="auto"/>
            <w:vAlign w:val="bottom"/>
          </w:tcPr>
          <w:p w14:paraId="7F183D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i w:val="0"/>
                <w:iCs w:val="0"/>
                <w:color w:val="auto"/>
                <w:kern w:val="2"/>
                <w:sz w:val="24"/>
                <w:szCs w:val="24"/>
                <w:u w:val="none"/>
                <w:lang w:val="en-US" w:eastAsia="zh-CN" w:bidi="ar-SA"/>
              </w:rPr>
            </w:pPr>
            <w:r>
              <w:rPr>
                <w:rFonts w:hint="eastAsia" w:ascii="仿宋_GB2312" w:eastAsia="仿宋_GB2312" w:cs="仿宋_GB2312"/>
                <w:i w:val="0"/>
                <w:iCs w:val="0"/>
                <w:color w:val="auto"/>
                <w:kern w:val="2"/>
                <w:sz w:val="24"/>
                <w:szCs w:val="24"/>
                <w:u w:val="none"/>
                <w:lang w:val="en-US" w:eastAsia="zh-CN" w:bidi="ar-SA"/>
              </w:rPr>
              <w:t>65.05</w:t>
            </w:r>
          </w:p>
        </w:tc>
        <w:tc>
          <w:tcPr>
            <w:tcW w:w="845" w:type="pct"/>
            <w:tcBorders>
              <w:top w:val="single" w:color="auto" w:sz="4" w:space="0"/>
              <w:left w:val="single" w:color="auto" w:sz="4" w:space="0"/>
              <w:right w:val="single" w:color="auto" w:sz="4" w:space="0"/>
            </w:tcBorders>
            <w:shd w:val="clear" w:color="auto" w:fill="auto"/>
            <w:vAlign w:val="center"/>
          </w:tcPr>
          <w:p w14:paraId="65C6787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p>
        </w:tc>
      </w:tr>
      <w:tr w14:paraId="7202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continue"/>
            <w:tcBorders>
              <w:top w:val="single" w:color="auto" w:sz="4" w:space="0"/>
              <w:left w:val="single" w:color="auto" w:sz="4" w:space="0"/>
              <w:right w:val="single" w:color="auto" w:sz="4" w:space="0"/>
            </w:tcBorders>
            <w:shd w:val="clear" w:color="auto" w:fill="auto"/>
            <w:vAlign w:val="center"/>
          </w:tcPr>
          <w:p w14:paraId="23B025AB"/>
        </w:tc>
        <w:tc>
          <w:tcPr>
            <w:tcW w:w="1962" w:type="pct"/>
            <w:gridSpan w:val="2"/>
            <w:vMerge w:val="continue"/>
            <w:tcBorders>
              <w:top w:val="single" w:color="auto" w:sz="4" w:space="0"/>
              <w:left w:val="single" w:color="auto" w:sz="4" w:space="0"/>
              <w:right w:val="single" w:color="auto" w:sz="4" w:space="0"/>
            </w:tcBorders>
            <w:shd w:val="clear" w:color="auto" w:fill="auto"/>
            <w:vAlign w:val="center"/>
          </w:tcPr>
          <w:p w14:paraId="2EAD19FF"/>
        </w:tc>
        <w:tc>
          <w:tcPr>
            <w:tcW w:w="845" w:type="pct"/>
            <w:tcBorders>
              <w:top w:val="single" w:color="auto" w:sz="4" w:space="0"/>
              <w:left w:val="single" w:color="auto" w:sz="4" w:space="0"/>
              <w:right w:val="single" w:color="auto" w:sz="4" w:space="0"/>
            </w:tcBorders>
            <w:shd w:val="clear" w:color="auto" w:fill="auto"/>
            <w:vAlign w:val="center"/>
          </w:tcPr>
          <w:p w14:paraId="48D76C2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lang w:val="en-US" w:eastAsia="zh-CN"/>
              </w:rPr>
              <w:t>万吨</w:t>
            </w:r>
          </w:p>
        </w:tc>
        <w:tc>
          <w:tcPr>
            <w:tcW w:w="845" w:type="pct"/>
            <w:tcBorders>
              <w:top w:val="single" w:color="auto" w:sz="4" w:space="0"/>
              <w:left w:val="single" w:color="auto" w:sz="4" w:space="0"/>
              <w:right w:val="single" w:color="auto" w:sz="4" w:space="0"/>
            </w:tcBorders>
            <w:shd w:val="clear" w:color="auto" w:fill="auto"/>
            <w:vAlign w:val="bottom"/>
          </w:tcPr>
          <w:p w14:paraId="2746FC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150.91</w:t>
            </w:r>
          </w:p>
        </w:tc>
        <w:tc>
          <w:tcPr>
            <w:tcW w:w="845" w:type="pct"/>
            <w:tcBorders>
              <w:top w:val="single" w:color="auto" w:sz="4" w:space="0"/>
              <w:left w:val="single" w:color="auto" w:sz="4" w:space="0"/>
              <w:right w:val="single" w:color="auto" w:sz="4" w:space="0"/>
            </w:tcBorders>
            <w:shd w:val="clear" w:color="auto" w:fill="auto"/>
            <w:vAlign w:val="center"/>
          </w:tcPr>
          <w:p w14:paraId="203A3D5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p>
        </w:tc>
      </w:tr>
      <w:tr w14:paraId="76DE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restart"/>
            <w:tcBorders>
              <w:top w:val="single" w:color="auto" w:sz="4" w:space="0"/>
              <w:left w:val="single" w:color="auto" w:sz="4" w:space="0"/>
              <w:right w:val="single" w:color="auto" w:sz="4" w:space="0"/>
            </w:tcBorders>
            <w:shd w:val="clear" w:color="auto" w:fill="auto"/>
            <w:vAlign w:val="center"/>
          </w:tcPr>
          <w:p w14:paraId="4952F28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eastAsia="zh-CN"/>
              </w:rPr>
            </w:pPr>
            <w:r>
              <w:rPr>
                <w:rFonts w:hint="eastAsia" w:ascii="仿宋_GB2312" w:eastAsia="仿宋_GB2312" w:cs="仿宋_GB2312"/>
                <w:color w:val="auto"/>
                <w:kern w:val="0"/>
                <w:sz w:val="24"/>
                <w:szCs w:val="24"/>
                <w:lang w:val="en-US" w:eastAsia="zh-CN"/>
              </w:rPr>
              <w:t>8</w:t>
            </w:r>
          </w:p>
        </w:tc>
        <w:tc>
          <w:tcPr>
            <w:tcW w:w="1962" w:type="pct"/>
            <w:gridSpan w:val="2"/>
            <w:vMerge w:val="restart"/>
            <w:tcBorders>
              <w:top w:val="single" w:color="auto" w:sz="4" w:space="0"/>
              <w:left w:val="single" w:color="auto" w:sz="4" w:space="0"/>
              <w:right w:val="single" w:color="auto" w:sz="4" w:space="0"/>
            </w:tcBorders>
            <w:shd w:val="clear" w:color="auto" w:fill="auto"/>
            <w:vAlign w:val="center"/>
          </w:tcPr>
          <w:p w14:paraId="7CE0147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平均剥采比</w:t>
            </w:r>
          </w:p>
        </w:tc>
        <w:tc>
          <w:tcPr>
            <w:tcW w:w="845" w:type="pct"/>
            <w:tcBorders>
              <w:top w:val="single" w:color="auto" w:sz="4" w:space="0"/>
              <w:left w:val="single" w:color="auto" w:sz="4" w:space="0"/>
              <w:right w:val="single" w:color="auto" w:sz="4" w:space="0"/>
            </w:tcBorders>
            <w:shd w:val="clear" w:color="auto" w:fill="auto"/>
            <w:vAlign w:val="center"/>
          </w:tcPr>
          <w:p w14:paraId="0A55E61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eastAsia="zh-CN"/>
              </w:rPr>
              <w:t>m³</w:t>
            </w:r>
            <w:r>
              <w:rPr>
                <w:rFonts w:hint="eastAsia" w:ascii="仿宋_GB2312" w:eastAsia="仿宋_GB2312" w:cs="仿宋_GB2312"/>
                <w:color w:val="auto"/>
                <w:kern w:val="0"/>
                <w:sz w:val="24"/>
                <w:szCs w:val="24"/>
                <w:lang w:val="en-US" w:eastAsia="zh-CN"/>
              </w:rPr>
              <w:t>/</w:t>
            </w:r>
            <w:r>
              <w:rPr>
                <w:rFonts w:hint="eastAsia" w:ascii="仿宋_GB2312" w:eastAsia="仿宋_GB2312" w:cs="仿宋_GB2312"/>
                <w:color w:val="auto"/>
                <w:kern w:val="0"/>
                <w:sz w:val="24"/>
                <w:szCs w:val="24"/>
                <w:lang w:eastAsia="zh-CN"/>
              </w:rPr>
              <w:t>m³</w:t>
            </w:r>
          </w:p>
        </w:tc>
        <w:tc>
          <w:tcPr>
            <w:tcW w:w="845" w:type="pct"/>
            <w:tcBorders>
              <w:top w:val="single" w:color="auto" w:sz="4" w:space="0"/>
              <w:left w:val="single" w:color="auto" w:sz="4" w:space="0"/>
              <w:right w:val="single" w:color="auto" w:sz="4" w:space="0"/>
            </w:tcBorders>
            <w:shd w:val="clear" w:color="auto" w:fill="auto"/>
            <w:vAlign w:val="bottom"/>
          </w:tcPr>
          <w:p w14:paraId="21F437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color w:val="auto"/>
                <w:kern w:val="0"/>
                <w:sz w:val="24"/>
                <w:szCs w:val="24"/>
                <w:lang w:val="en-US" w:eastAsia="zh-CN"/>
              </w:rPr>
            </w:pPr>
            <w:r>
              <w:rPr>
                <w:rFonts w:hint="eastAsia" w:ascii="仿宋_GB2312" w:eastAsia="仿宋_GB2312" w:cs="仿宋_GB2312"/>
                <w:i w:val="0"/>
                <w:iCs w:val="0"/>
                <w:color w:val="auto"/>
                <w:kern w:val="0"/>
                <w:sz w:val="24"/>
                <w:szCs w:val="24"/>
                <w:u w:val="none"/>
                <w:lang w:val="en-US" w:eastAsia="zh-CN"/>
              </w:rPr>
              <w:t>0.04</w:t>
            </w:r>
          </w:p>
        </w:tc>
        <w:tc>
          <w:tcPr>
            <w:tcW w:w="845" w:type="pct"/>
            <w:tcBorders>
              <w:top w:val="single" w:color="auto" w:sz="4" w:space="0"/>
              <w:left w:val="single" w:color="auto" w:sz="4" w:space="0"/>
              <w:right w:val="single" w:color="auto" w:sz="4" w:space="0"/>
            </w:tcBorders>
            <w:shd w:val="clear" w:color="auto" w:fill="auto"/>
            <w:vAlign w:val="center"/>
          </w:tcPr>
          <w:p w14:paraId="00283B6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p>
        </w:tc>
      </w:tr>
      <w:tr w14:paraId="6CDC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 w:type="pct"/>
            <w:vMerge w:val="continue"/>
            <w:tcBorders>
              <w:top w:val="single" w:color="auto" w:sz="4" w:space="0"/>
              <w:left w:val="single" w:color="auto" w:sz="4" w:space="0"/>
              <w:right w:val="single" w:color="auto" w:sz="4" w:space="0"/>
            </w:tcBorders>
            <w:shd w:val="clear" w:color="auto" w:fill="auto"/>
            <w:vAlign w:val="center"/>
          </w:tcPr>
          <w:p w14:paraId="0677B55F"/>
        </w:tc>
        <w:tc>
          <w:tcPr>
            <w:tcW w:w="1962" w:type="pct"/>
            <w:gridSpan w:val="2"/>
            <w:vMerge w:val="continue"/>
            <w:tcBorders>
              <w:top w:val="single" w:color="auto" w:sz="4" w:space="0"/>
              <w:left w:val="single" w:color="auto" w:sz="4" w:space="0"/>
              <w:right w:val="single" w:color="auto" w:sz="4" w:space="0"/>
            </w:tcBorders>
            <w:shd w:val="clear" w:color="auto" w:fill="auto"/>
            <w:vAlign w:val="center"/>
          </w:tcPr>
          <w:p w14:paraId="165A8C7A"/>
        </w:tc>
        <w:tc>
          <w:tcPr>
            <w:tcW w:w="845" w:type="pct"/>
            <w:tcBorders>
              <w:top w:val="single" w:color="auto" w:sz="4" w:space="0"/>
              <w:left w:val="single" w:color="auto" w:sz="4" w:space="0"/>
              <w:right w:val="single" w:color="auto" w:sz="4" w:space="0"/>
            </w:tcBorders>
            <w:shd w:val="clear" w:color="auto" w:fill="auto"/>
            <w:vAlign w:val="center"/>
          </w:tcPr>
          <w:p w14:paraId="6414EFD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lang w:val="en-US"/>
              </w:rPr>
            </w:pPr>
            <w:r>
              <w:rPr>
                <w:rFonts w:hint="eastAsia" w:ascii="仿宋_GB2312" w:eastAsia="仿宋_GB2312" w:cs="仿宋_GB2312"/>
                <w:color w:val="auto"/>
                <w:kern w:val="0"/>
                <w:sz w:val="24"/>
                <w:szCs w:val="24"/>
                <w:lang w:val="en-US" w:eastAsia="zh-CN"/>
              </w:rPr>
              <w:t>t/t</w:t>
            </w:r>
          </w:p>
        </w:tc>
        <w:tc>
          <w:tcPr>
            <w:tcW w:w="845" w:type="pct"/>
            <w:tcBorders>
              <w:top w:val="single" w:color="auto" w:sz="4" w:space="0"/>
              <w:left w:val="single" w:color="auto" w:sz="4" w:space="0"/>
              <w:right w:val="single" w:color="auto" w:sz="4" w:space="0"/>
            </w:tcBorders>
            <w:shd w:val="clear" w:color="auto" w:fill="auto"/>
            <w:vAlign w:val="bottom"/>
          </w:tcPr>
          <w:p w14:paraId="3F680A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i w:val="0"/>
                <w:iCs w:val="0"/>
                <w:color w:val="auto"/>
                <w:kern w:val="0"/>
                <w:sz w:val="24"/>
                <w:szCs w:val="24"/>
                <w:u w:val="none"/>
                <w:lang w:val="en-US" w:eastAsia="zh-CN"/>
              </w:rPr>
            </w:pPr>
            <w:r>
              <w:rPr>
                <w:rFonts w:hint="eastAsia" w:ascii="仿宋_GB2312" w:eastAsia="仿宋_GB2312" w:cs="仿宋_GB2312"/>
                <w:i w:val="0"/>
                <w:iCs w:val="0"/>
                <w:color w:val="auto"/>
                <w:kern w:val="0"/>
                <w:sz w:val="24"/>
                <w:szCs w:val="24"/>
                <w:u w:val="none"/>
                <w:lang w:val="en-US" w:eastAsia="zh-CN"/>
              </w:rPr>
              <w:t>0.03</w:t>
            </w:r>
          </w:p>
        </w:tc>
        <w:tc>
          <w:tcPr>
            <w:tcW w:w="845" w:type="pct"/>
            <w:tcBorders>
              <w:top w:val="single" w:color="auto" w:sz="4" w:space="0"/>
              <w:left w:val="single" w:color="auto" w:sz="4" w:space="0"/>
              <w:right w:val="single" w:color="auto" w:sz="4" w:space="0"/>
            </w:tcBorders>
            <w:shd w:val="clear" w:color="auto" w:fill="auto"/>
            <w:vAlign w:val="center"/>
          </w:tcPr>
          <w:p w14:paraId="4F262C7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color w:val="auto"/>
                <w:kern w:val="0"/>
                <w:sz w:val="24"/>
                <w:szCs w:val="24"/>
              </w:rPr>
            </w:pPr>
          </w:p>
        </w:tc>
      </w:tr>
    </w:tbl>
    <w:p w14:paraId="33EDB557">
      <w:pPr>
        <w:pStyle w:val="149"/>
        <w:adjustRightInd w:val="0"/>
        <w:snapToGrid w:val="0"/>
        <w:spacing w:line="240" w:lineRule="auto"/>
        <w:jc w:val="center"/>
        <w:rPr>
          <w:rFonts w:hint="eastAsia" w:ascii="仿宋_GB2312" w:eastAsia="仿宋_GB2312" w:cs="仿宋_GB2312"/>
          <w:color w:val="auto"/>
          <w:sz w:val="28"/>
          <w:szCs w:val="28"/>
        </w:rPr>
      </w:pPr>
    </w:p>
    <w:p w14:paraId="173B86C3">
      <w:pPr>
        <w:pStyle w:val="149"/>
        <w:adjustRightInd w:val="0"/>
        <w:snapToGrid w:val="0"/>
        <w:spacing w:line="240" w:lineRule="auto"/>
        <w:jc w:val="center"/>
        <w:rPr>
          <w:rFonts w:hint="eastAsia" w:ascii="仿宋_GB2312" w:eastAsia="仿宋_GB2312" w:cs="仿宋_GB2312"/>
          <w:color w:val="auto"/>
          <w:sz w:val="28"/>
          <w:szCs w:val="28"/>
        </w:rPr>
      </w:pPr>
    </w:p>
    <w:p w14:paraId="700602BA">
      <w:pPr>
        <w:pStyle w:val="149"/>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表5-</w:t>
      </w: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rPr>
        <w:t xml:space="preserve">  露天终了境界内分层矿岩量</w:t>
      </w:r>
    </w:p>
    <w:tbl>
      <w:tblPr>
        <w:tblStyle w:val="6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6"/>
        <w:gridCol w:w="1096"/>
        <w:gridCol w:w="876"/>
        <w:gridCol w:w="1096"/>
        <w:gridCol w:w="656"/>
        <w:gridCol w:w="1096"/>
        <w:gridCol w:w="876"/>
        <w:gridCol w:w="1133"/>
        <w:gridCol w:w="986"/>
      </w:tblGrid>
      <w:tr w14:paraId="79DD9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57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台阶标高</w:t>
            </w:r>
          </w:p>
        </w:tc>
        <w:tc>
          <w:tcPr>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80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矿石</w:t>
            </w:r>
          </w:p>
        </w:tc>
        <w:tc>
          <w:tcPr>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41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剥离表土</w:t>
            </w:r>
          </w:p>
        </w:tc>
        <w:tc>
          <w:tcPr>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CC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矿岩总量</w:t>
            </w:r>
          </w:p>
        </w:tc>
        <w:tc>
          <w:tcPr>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69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剥采比</w:t>
            </w:r>
          </w:p>
        </w:tc>
      </w:tr>
      <w:tr w14:paraId="055C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22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（m）</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87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万立方米</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06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万吨</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9E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万立方米</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37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万吨</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D0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万立方米</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D1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万吨</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59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（m³/m³）</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42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（t/t）</w:t>
            </w:r>
          </w:p>
        </w:tc>
      </w:tr>
      <w:tr w14:paraId="5BB0B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F1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390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6E1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0.70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A4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1.64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8B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0.37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EB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0.67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CC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1.07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A9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2.31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2E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14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w:t>
            </w:r>
          </w:p>
        </w:tc>
      </w:tr>
      <w:tr w14:paraId="5C290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68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378</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6B4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10.11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D9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23.65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BD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1.19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F0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2.14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2B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11.30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00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25.80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66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0.12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2F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0.09 </w:t>
            </w:r>
          </w:p>
        </w:tc>
      </w:tr>
      <w:tr w14:paraId="41BF9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83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366</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3C0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19.33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DF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45.23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FA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0.53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E5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0.96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1D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19.86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14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46.19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33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0.03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5F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0.02 </w:t>
            </w:r>
          </w:p>
        </w:tc>
      </w:tr>
      <w:tr w14:paraId="7EB6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81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354</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3ED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19.85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0F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46.46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B1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0.33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96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0.60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81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20.18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E7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47.05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49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0.02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A3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0.01 </w:t>
            </w:r>
          </w:p>
        </w:tc>
      </w:tr>
      <w:tr w14:paraId="1A6E0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CB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342</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8AA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9.79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F9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22.90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7C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0.00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76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0.00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6F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9.79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DB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22.90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EA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0.00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76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0.00 </w:t>
            </w:r>
          </w:p>
        </w:tc>
      </w:tr>
      <w:tr w14:paraId="190B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51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330</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75D2">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2.85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25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6.66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DD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0.00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D0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0.00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41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2.85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62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6.66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62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0.00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1D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0.00 </w:t>
            </w:r>
          </w:p>
        </w:tc>
      </w:tr>
      <w:tr w14:paraId="0FBEB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93E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合计</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DE95">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62.63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F39E">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146.54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280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2.43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FBA9">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4.37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9673">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65.05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305F">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150.91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1F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0.04 </w:t>
            </w:r>
          </w:p>
        </w:tc>
        <w:tc>
          <w:tcPr>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23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0.03 </w:t>
            </w:r>
          </w:p>
        </w:tc>
      </w:tr>
    </w:tbl>
    <w:p w14:paraId="65699E2D">
      <w:pPr>
        <w:pStyle w:val="4"/>
        <w:adjustRightInd w:val="0"/>
        <w:snapToGrid w:val="0"/>
        <w:spacing w:before="0"/>
        <w:rPr>
          <w:rFonts w:hint="eastAsia" w:ascii="仿宋_GB2312" w:eastAsia="仿宋_GB2312" w:cs="仿宋_GB2312"/>
          <w:b/>
          <w:color w:val="auto"/>
          <w:sz w:val="28"/>
          <w:szCs w:val="28"/>
        </w:rPr>
      </w:pPr>
      <w:bookmarkStart w:id="228" w:name="_Toc5566"/>
      <w:bookmarkStart w:id="229" w:name="_Toc2062"/>
      <w:bookmarkStart w:id="230" w:name="_Toc138060314"/>
      <w:bookmarkStart w:id="231" w:name="_Toc25576"/>
      <w:r>
        <w:rPr>
          <w:rFonts w:hint="eastAsia" w:ascii="仿宋_GB2312" w:eastAsia="仿宋_GB2312" w:cs="仿宋_GB2312"/>
          <w:b/>
          <w:color w:val="auto"/>
          <w:sz w:val="28"/>
          <w:szCs w:val="28"/>
        </w:rPr>
        <w:t>5.2资源综合利用</w:t>
      </w:r>
      <w:bookmarkEnd w:id="228"/>
      <w:bookmarkEnd w:id="229"/>
    </w:p>
    <w:p w14:paraId="31A58385">
      <w:pPr>
        <w:pStyle w:val="17"/>
        <w:adjustRightInd w:val="0"/>
        <w:snapToGrid w:val="0"/>
        <w:spacing w:line="360" w:lineRule="auto"/>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rPr>
        <w:t>共（伴）生矿产的综合利用</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矿区</w:t>
      </w:r>
      <w:r>
        <w:rPr>
          <w:rFonts w:hint="eastAsia" w:ascii="仿宋_GB2312" w:eastAsia="仿宋_GB2312" w:cs="仿宋_GB2312"/>
          <w:color w:val="auto"/>
          <w:sz w:val="28"/>
          <w:szCs w:val="28"/>
        </w:rPr>
        <w:t>未发现其它共（伴）生矿产</w:t>
      </w:r>
      <w:r>
        <w:rPr>
          <w:rFonts w:hint="eastAsia" w:ascii="仿宋_GB2312" w:eastAsia="仿宋_GB2312" w:cs="仿宋_GB2312"/>
          <w:color w:val="auto"/>
          <w:sz w:val="28"/>
          <w:szCs w:val="28"/>
          <w:lang w:eastAsia="zh-CN"/>
        </w:rPr>
        <w:t>。</w:t>
      </w:r>
    </w:p>
    <w:p w14:paraId="2BBB163F">
      <w:pPr>
        <w:pStyle w:val="17"/>
        <w:adjustRightInd w:val="0"/>
        <w:snapToGrid w:val="0"/>
        <w:spacing w:line="360" w:lineRule="auto"/>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剥离物</w:t>
      </w:r>
      <w:r>
        <w:rPr>
          <w:rFonts w:hint="eastAsia" w:ascii="仿宋_GB2312" w:eastAsia="仿宋_GB2312" w:cs="仿宋_GB2312"/>
          <w:color w:val="auto"/>
          <w:sz w:val="28"/>
          <w:szCs w:val="28"/>
        </w:rPr>
        <w:t>综合利用</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矿体无直接顶板，矿体表面多为第四系风化残坡积物，可直接掺拌于矿体中作制砖原料，对矿石质量影响较小。</w:t>
      </w:r>
      <w:r>
        <w:rPr>
          <w:rFonts w:hint="eastAsia" w:ascii="仿宋_GB2312" w:eastAsia="仿宋_GB2312" w:cs="仿宋_GB2312"/>
          <w:color w:val="auto"/>
          <w:sz w:val="28"/>
          <w:szCs w:val="28"/>
          <w:lang w:val="en-US" w:eastAsia="zh-CN"/>
        </w:rPr>
        <w:t>共剥离表土2.43万立方米，可全部</w:t>
      </w:r>
      <w:r>
        <w:rPr>
          <w:rFonts w:hint="eastAsia" w:ascii="仿宋_GB2312" w:eastAsia="仿宋_GB2312" w:cs="仿宋_GB2312"/>
          <w:color w:val="auto"/>
          <w:sz w:val="28"/>
          <w:szCs w:val="28"/>
        </w:rPr>
        <w:t>掺拌于矿体中</w:t>
      </w:r>
      <w:r>
        <w:rPr>
          <w:rFonts w:hint="eastAsia" w:ascii="仿宋_GB2312" w:eastAsia="仿宋_GB2312" w:cs="仿宋_GB2312"/>
          <w:color w:val="auto"/>
          <w:sz w:val="28"/>
          <w:szCs w:val="28"/>
          <w:lang w:val="en-US" w:eastAsia="zh-CN"/>
        </w:rPr>
        <w:t>综合利用。</w:t>
      </w:r>
    </w:p>
    <w:p w14:paraId="07F36481">
      <w:pPr>
        <w:pStyle w:val="4"/>
        <w:adjustRightInd w:val="0"/>
        <w:snapToGrid w:val="0"/>
        <w:spacing w:before="0"/>
        <w:rPr>
          <w:rFonts w:hint="eastAsia" w:ascii="仿宋_GB2312" w:eastAsia="仿宋_GB2312" w:cs="仿宋_GB2312"/>
          <w:b/>
          <w:bCs w:val="0"/>
          <w:color w:val="auto"/>
          <w:sz w:val="28"/>
          <w:szCs w:val="28"/>
        </w:rPr>
      </w:pPr>
      <w:bookmarkStart w:id="232" w:name="_Toc31271"/>
      <w:bookmarkStart w:id="233" w:name="_Toc7756"/>
      <w:r>
        <w:rPr>
          <w:rFonts w:hint="eastAsia" w:ascii="仿宋_GB2312" w:eastAsia="仿宋_GB2312" w:cs="仿宋_GB2312"/>
          <w:b/>
          <w:bCs w:val="0"/>
          <w:color w:val="auto"/>
          <w:sz w:val="28"/>
          <w:szCs w:val="28"/>
        </w:rPr>
        <w:t>5.3工作制度、生产能力</w:t>
      </w:r>
      <w:bookmarkEnd w:id="230"/>
      <w:bookmarkEnd w:id="231"/>
      <w:r>
        <w:rPr>
          <w:rFonts w:hint="eastAsia" w:ascii="仿宋_GB2312" w:eastAsia="仿宋_GB2312" w:cs="仿宋_GB2312"/>
          <w:b/>
          <w:bCs w:val="0"/>
          <w:color w:val="auto"/>
          <w:sz w:val="28"/>
          <w:szCs w:val="28"/>
        </w:rPr>
        <w:t>及服务年限</w:t>
      </w:r>
      <w:bookmarkEnd w:id="232"/>
      <w:bookmarkEnd w:id="233"/>
    </w:p>
    <w:p w14:paraId="11800AF4">
      <w:pPr>
        <w:pStyle w:val="5"/>
        <w:adjustRightInd w:val="0"/>
        <w:snapToGrid w:val="0"/>
        <w:spacing w:before="0" w:line="360" w:lineRule="auto"/>
        <w:rPr>
          <w:rFonts w:hint="eastAsia" w:ascii="仿宋_GB2312" w:eastAsia="仿宋_GB2312" w:cs="仿宋_GB2312"/>
          <w:b/>
          <w:bCs w:val="0"/>
          <w:color w:val="auto"/>
          <w:sz w:val="28"/>
          <w:szCs w:val="28"/>
        </w:rPr>
      </w:pPr>
      <w:bookmarkStart w:id="234" w:name="_Toc148957983"/>
      <w:bookmarkStart w:id="235" w:name="_Toc7311"/>
      <w:r>
        <w:rPr>
          <w:rFonts w:hint="eastAsia" w:ascii="仿宋_GB2312" w:eastAsia="仿宋_GB2312" w:cs="仿宋_GB2312"/>
          <w:b/>
          <w:bCs w:val="0"/>
          <w:color w:val="auto"/>
          <w:sz w:val="28"/>
          <w:szCs w:val="28"/>
        </w:rPr>
        <w:t>5.3.1工作制度</w:t>
      </w:r>
      <w:bookmarkEnd w:id="234"/>
      <w:bookmarkEnd w:id="235"/>
    </w:p>
    <w:p w14:paraId="61753265">
      <w:pPr>
        <w:pStyle w:val="17"/>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矿山采用连续工作制，年工作</w:t>
      </w:r>
      <w:r>
        <w:rPr>
          <w:rFonts w:hint="eastAsia" w:ascii="仿宋_GB2312" w:eastAsia="仿宋_GB2312" w:cs="仿宋_GB2312"/>
          <w:color w:val="auto"/>
          <w:sz w:val="28"/>
          <w:szCs w:val="28"/>
          <w:lang w:val="en-US" w:eastAsia="zh-CN"/>
        </w:rPr>
        <w:t>300</w:t>
      </w:r>
      <w:r>
        <w:rPr>
          <w:rFonts w:hint="eastAsia" w:ascii="仿宋_GB2312" w:eastAsia="仿宋_GB2312" w:cs="仿宋_GB2312"/>
          <w:color w:val="auto"/>
          <w:sz w:val="28"/>
          <w:szCs w:val="28"/>
        </w:rPr>
        <w:t>天，每天</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班，每班8小时。</w:t>
      </w:r>
    </w:p>
    <w:p w14:paraId="18D412ED">
      <w:pPr>
        <w:pStyle w:val="5"/>
        <w:adjustRightInd w:val="0"/>
        <w:snapToGrid w:val="0"/>
        <w:spacing w:before="0" w:line="360" w:lineRule="auto"/>
        <w:rPr>
          <w:rFonts w:hint="eastAsia" w:ascii="仿宋_GB2312" w:eastAsia="仿宋_GB2312" w:cs="仿宋_GB2312"/>
          <w:b/>
          <w:bCs w:val="0"/>
          <w:color w:val="auto"/>
          <w:sz w:val="28"/>
          <w:szCs w:val="28"/>
        </w:rPr>
      </w:pPr>
      <w:bookmarkStart w:id="236" w:name="_Toc27048"/>
      <w:bookmarkStart w:id="237" w:name="_Toc148957984"/>
      <w:r>
        <w:rPr>
          <w:rFonts w:hint="eastAsia" w:ascii="仿宋_GB2312" w:eastAsia="仿宋_GB2312" w:cs="仿宋_GB2312"/>
          <w:b/>
          <w:bCs w:val="0"/>
          <w:color w:val="auto"/>
          <w:sz w:val="28"/>
          <w:szCs w:val="28"/>
        </w:rPr>
        <w:t>5.3.2生产能力</w:t>
      </w:r>
      <w:bookmarkEnd w:id="236"/>
      <w:bookmarkEnd w:id="237"/>
    </w:p>
    <w:p w14:paraId="355AAE1E">
      <w:pPr>
        <w:pStyle w:val="151"/>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1、采场能力验证基础条件</w:t>
      </w:r>
    </w:p>
    <w:p w14:paraId="0CCA32F7">
      <w:pPr>
        <w:pStyle w:val="151"/>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拟选用1.3</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rPr>
        <w:t>液压挖掘机</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年综合效率取</w:t>
      </w:r>
      <w:r>
        <w:rPr>
          <w:rFonts w:hint="eastAsia" w:ascii="仿宋_GB2312" w:eastAsia="仿宋_GB2312" w:cs="仿宋_GB2312"/>
          <w:color w:val="auto"/>
          <w:sz w:val="28"/>
          <w:szCs w:val="28"/>
          <w:lang w:val="en-US" w:eastAsia="zh-CN"/>
        </w:rPr>
        <w:t>35</w:t>
      </w:r>
      <w:r>
        <w:rPr>
          <w:rFonts w:hint="eastAsia" w:ascii="仿宋_GB2312" w:eastAsia="仿宋_GB2312" w:cs="仿宋_GB2312"/>
          <w:color w:val="auto"/>
          <w:sz w:val="28"/>
          <w:szCs w:val="28"/>
        </w:rPr>
        <w:t>万吨/台</w:t>
      </w:r>
      <w:r>
        <w:rPr>
          <w:rFonts w:hint="eastAsia" w:ascii="仿宋_GB2312" w:eastAsia="仿宋_GB2312" w:cs="仿宋_GB2312"/>
          <w:color w:val="auto"/>
          <w:sz w:val="28"/>
          <w:szCs w:val="28"/>
          <w:lang w:val="en-US" w:eastAsia="zh-CN"/>
        </w:rPr>
        <w:t>·</w:t>
      </w:r>
      <w:r>
        <w:rPr>
          <w:rFonts w:hint="eastAsia" w:ascii="仿宋_GB2312" w:eastAsia="仿宋_GB2312" w:cs="仿宋_GB2312"/>
          <w:color w:val="auto"/>
          <w:sz w:val="28"/>
          <w:szCs w:val="28"/>
        </w:rPr>
        <w:t>年；</w:t>
      </w:r>
    </w:p>
    <w:p w14:paraId="7C0D8A20">
      <w:pPr>
        <w:pStyle w:val="151"/>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rPr>
        <w:t>）液压挖掘机最小工作线长</w:t>
      </w:r>
      <w:r>
        <w:rPr>
          <w:rFonts w:hint="eastAsia" w:ascii="仿宋_GB2312" w:eastAsia="仿宋_GB2312" w:cs="仿宋_GB2312"/>
          <w:color w:val="auto"/>
          <w:sz w:val="28"/>
          <w:szCs w:val="28"/>
          <w:lang w:val="en-US" w:eastAsia="zh-CN"/>
        </w:rPr>
        <w:t>60</w:t>
      </w:r>
      <w:r>
        <w:rPr>
          <w:rFonts w:hint="eastAsia" w:ascii="仿宋_GB2312" w:eastAsia="仿宋_GB2312" w:cs="仿宋_GB2312"/>
          <w:color w:val="auto"/>
          <w:sz w:val="28"/>
          <w:szCs w:val="28"/>
        </w:rPr>
        <w:t>m；</w:t>
      </w:r>
    </w:p>
    <w:p w14:paraId="3F47E0FC">
      <w:pPr>
        <w:pStyle w:val="151"/>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rPr>
        <w:t>）最小工作平台宽</w:t>
      </w:r>
      <w:r>
        <w:rPr>
          <w:rFonts w:hint="eastAsia" w:ascii="仿宋_GB2312" w:eastAsia="仿宋_GB2312" w:cs="仿宋_GB2312"/>
          <w:color w:val="auto"/>
          <w:sz w:val="28"/>
          <w:szCs w:val="28"/>
          <w:lang w:val="en-US" w:eastAsia="zh-CN"/>
        </w:rPr>
        <w:t>25</w:t>
      </w:r>
      <w:r>
        <w:rPr>
          <w:rFonts w:hint="eastAsia" w:ascii="仿宋_GB2312" w:eastAsia="仿宋_GB2312" w:cs="仿宋_GB2312"/>
          <w:color w:val="auto"/>
          <w:sz w:val="28"/>
          <w:szCs w:val="28"/>
        </w:rPr>
        <w:t>m；</w:t>
      </w:r>
    </w:p>
    <w:p w14:paraId="415527A8">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）矿石损失率</w:t>
      </w: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废石混入率均为</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w:t>
      </w:r>
    </w:p>
    <w:p w14:paraId="0EB478FE">
      <w:pPr>
        <w:pStyle w:val="151"/>
        <w:spacing w:line="360" w:lineRule="auto"/>
        <w:rPr>
          <w:rFonts w:hint="eastAsia" w:ascii="仿宋_GB2312" w:eastAsia="仿宋_GB2312" w:cs="仿宋_GB2312"/>
          <w:color w:val="auto"/>
          <w:sz w:val="28"/>
          <w:szCs w:val="28"/>
        </w:rPr>
      </w:pPr>
      <w:bookmarkStart w:id="238" w:name="_Toc57274630"/>
      <w:r>
        <w:rPr>
          <w:rFonts w:hint="eastAsia" w:ascii="仿宋_GB2312" w:eastAsia="仿宋_GB2312" w:cs="仿宋_GB2312"/>
          <w:color w:val="auto"/>
          <w:sz w:val="28"/>
          <w:szCs w:val="28"/>
        </w:rPr>
        <w:t>2、按年下降速度验证</w:t>
      </w:r>
      <w:bookmarkEnd w:id="238"/>
    </w:p>
    <w:p w14:paraId="008DCEDD">
      <w:pPr>
        <w:pStyle w:val="151"/>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根据露天开采终了境界分层矿岩量表，有代表性的台阶分层矿量平均为</w:t>
      </w:r>
      <w:r>
        <w:rPr>
          <w:rFonts w:hint="eastAsia" w:ascii="仿宋_GB2312" w:eastAsia="仿宋_GB2312" w:cs="仿宋_GB2312"/>
          <w:color w:val="auto"/>
          <w:sz w:val="28"/>
          <w:szCs w:val="28"/>
          <w:lang w:val="en-US" w:eastAsia="zh-CN"/>
        </w:rPr>
        <w:t>23</w:t>
      </w:r>
      <w:r>
        <w:rPr>
          <w:rFonts w:hint="eastAsia" w:ascii="仿宋_GB2312" w:eastAsia="仿宋_GB2312" w:cs="仿宋_GB2312"/>
          <w:color w:val="auto"/>
          <w:sz w:val="28"/>
          <w:szCs w:val="28"/>
        </w:rPr>
        <w:t>万吨。为了保证稳产时间，兼顾</w:t>
      </w:r>
      <w:r>
        <w:rPr>
          <w:rFonts w:hint="eastAsia" w:ascii="仿宋_GB2312" w:eastAsia="仿宋_GB2312" w:cs="仿宋_GB2312"/>
          <w:color w:val="auto"/>
          <w:sz w:val="28"/>
          <w:szCs w:val="28"/>
          <w:lang w:val="en-US" w:eastAsia="zh-CN"/>
        </w:rPr>
        <w:t>矿区规划</w:t>
      </w:r>
      <w:r>
        <w:rPr>
          <w:rFonts w:hint="eastAsia" w:ascii="仿宋_GB2312" w:eastAsia="仿宋_GB2312" w:cs="仿宋_GB2312"/>
          <w:color w:val="auto"/>
          <w:sz w:val="28"/>
          <w:szCs w:val="28"/>
        </w:rPr>
        <w:t>，确定露天采场矿石生产规模为</w:t>
      </w:r>
      <w:r>
        <w:rPr>
          <w:rFonts w:hint="eastAsia" w:ascii="仿宋_GB2312" w:eastAsia="仿宋_GB2312" w:cs="仿宋_GB2312"/>
          <w:color w:val="auto"/>
          <w:sz w:val="28"/>
          <w:szCs w:val="28"/>
          <w:lang w:val="en-US" w:eastAsia="zh-CN"/>
        </w:rPr>
        <w:t>20</w:t>
      </w:r>
      <w:r>
        <w:rPr>
          <w:rFonts w:hint="eastAsia" w:ascii="仿宋_GB2312" w:eastAsia="仿宋_GB2312" w:cs="仿宋_GB2312"/>
          <w:color w:val="auto"/>
          <w:sz w:val="28"/>
          <w:szCs w:val="28"/>
        </w:rPr>
        <w:t>万吨/年。</w:t>
      </w:r>
    </w:p>
    <w:p w14:paraId="25A1BD8F">
      <w:pPr>
        <w:pStyle w:val="149"/>
        <w:adjustRightInd w:val="0"/>
        <w:snapToGrid w:val="0"/>
        <w:spacing w:line="360" w:lineRule="auto"/>
        <w:jc w:val="center"/>
        <w:rPr>
          <w:rFonts w:hint="eastAsia" w:ascii="仿宋_GB2312" w:eastAsia="仿宋_GB2312" w:cs="仿宋_GB2312"/>
          <w:color w:val="auto"/>
          <w:sz w:val="28"/>
          <w:szCs w:val="28"/>
        </w:rPr>
      </w:pPr>
      <w:r>
        <w:rPr>
          <w:rFonts w:hint="eastAsia" w:ascii="Cambria Math" w:hAnsi="Cambria Math" w:eastAsia="仿宋_GB2312" w:cs="仿宋_GB2312"/>
          <w:color w:val="auto"/>
          <w:sz w:val="28"/>
          <w:szCs w:val="28"/>
        </w:rPr>
        <w:t>A=pvnℎ(1−e)</w:t>
      </w:r>
    </w:p>
    <w:p w14:paraId="76792B31">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rPr>
        <w:t>式中：A—可能达到生产能力；</w:t>
      </w:r>
    </w:p>
    <w:p w14:paraId="506989A1">
      <w:pPr>
        <w:adjustRightInd w:val="0"/>
        <w:snapToGrid w:val="0"/>
        <w:spacing w:line="360" w:lineRule="auto"/>
        <w:ind w:firstLine="1400" w:firstLineChars="500"/>
        <w:rPr>
          <w:rFonts w:hint="eastAsia" w:ascii="仿宋_GB2312" w:eastAsia="仿宋_GB2312" w:cs="仿宋_GB2312"/>
          <w:color w:val="auto"/>
          <w:sz w:val="28"/>
          <w:szCs w:val="28"/>
        </w:rPr>
      </w:pPr>
      <w:r>
        <w:rPr>
          <w:rFonts w:hint="eastAsia" w:ascii="仿宋_GB2312" w:eastAsia="仿宋_GB2312" w:cs="仿宋_GB2312"/>
          <w:color w:val="auto"/>
          <w:sz w:val="28"/>
          <w:szCs w:val="28"/>
        </w:rPr>
        <w:t>p—可采分层矿量，</w:t>
      </w:r>
      <w:r>
        <w:rPr>
          <w:rFonts w:hint="eastAsia" w:ascii="仿宋_GB2312" w:eastAsia="仿宋_GB2312" w:cs="仿宋_GB2312"/>
          <w:color w:val="auto"/>
          <w:sz w:val="28"/>
          <w:szCs w:val="28"/>
          <w:lang w:val="en-US" w:eastAsia="zh-CN"/>
        </w:rPr>
        <w:t>23</w:t>
      </w:r>
      <w:r>
        <w:rPr>
          <w:rFonts w:hint="eastAsia" w:ascii="仿宋_GB2312" w:eastAsia="仿宋_GB2312" w:cs="仿宋_GB2312"/>
          <w:color w:val="auto"/>
          <w:sz w:val="28"/>
          <w:szCs w:val="28"/>
        </w:rPr>
        <w:t>万吨；</w:t>
      </w:r>
    </w:p>
    <w:p w14:paraId="3CB0769C">
      <w:pPr>
        <w:adjustRightInd w:val="0"/>
        <w:snapToGrid w:val="0"/>
        <w:spacing w:line="360" w:lineRule="auto"/>
        <w:ind w:firstLine="1400" w:firstLineChars="500"/>
        <w:rPr>
          <w:rFonts w:hint="eastAsia" w:ascii="仿宋_GB2312" w:eastAsia="仿宋_GB2312" w:cs="仿宋_GB2312"/>
          <w:color w:val="auto"/>
          <w:sz w:val="28"/>
          <w:szCs w:val="28"/>
        </w:rPr>
      </w:pPr>
      <w:r>
        <w:rPr>
          <w:rFonts w:hint="eastAsia" w:ascii="仿宋_GB2312" w:eastAsia="仿宋_GB2312" w:cs="仿宋_GB2312"/>
          <w:color w:val="auto"/>
          <w:sz w:val="28"/>
          <w:szCs w:val="28"/>
        </w:rPr>
        <w:t>v—年下降速度；</w:t>
      </w:r>
    </w:p>
    <w:p w14:paraId="39AE17A3">
      <w:pPr>
        <w:adjustRightInd w:val="0"/>
        <w:snapToGrid w:val="0"/>
        <w:spacing w:line="360" w:lineRule="auto"/>
        <w:ind w:firstLine="1400" w:firstLineChars="500"/>
        <w:rPr>
          <w:rFonts w:hint="eastAsia" w:ascii="仿宋_GB2312" w:eastAsia="仿宋_GB2312" w:cs="仿宋_GB2312"/>
          <w:color w:val="auto"/>
          <w:sz w:val="28"/>
          <w:szCs w:val="28"/>
        </w:rPr>
      </w:pPr>
      <w:r>
        <w:rPr>
          <w:rFonts w:hint="eastAsia" w:ascii="仿宋_GB2312" w:eastAsia="仿宋_GB2312" w:cs="仿宋_GB2312"/>
          <w:color w:val="auto"/>
          <w:sz w:val="28"/>
          <w:szCs w:val="28"/>
        </w:rPr>
        <w:t>h—阶段高度</w:t>
      </w:r>
      <w:r>
        <w:rPr>
          <w:rFonts w:hint="eastAsia" w:ascii="仿宋_GB2312" w:eastAsia="仿宋_GB2312" w:cs="仿宋_GB2312"/>
          <w:color w:val="auto"/>
          <w:sz w:val="28"/>
          <w:szCs w:val="28"/>
          <w:lang w:val="en-US" w:eastAsia="zh-CN"/>
        </w:rPr>
        <w:t>12</w:t>
      </w:r>
      <w:r>
        <w:rPr>
          <w:rFonts w:hint="eastAsia" w:ascii="仿宋_GB2312" w:eastAsia="仿宋_GB2312" w:cs="仿宋_GB2312"/>
          <w:color w:val="auto"/>
          <w:sz w:val="28"/>
          <w:szCs w:val="28"/>
        </w:rPr>
        <w:t>m；</w:t>
      </w:r>
    </w:p>
    <w:p w14:paraId="25881BDC">
      <w:pPr>
        <w:adjustRightInd w:val="0"/>
        <w:snapToGrid w:val="0"/>
        <w:spacing w:line="360" w:lineRule="auto"/>
        <w:ind w:firstLine="1400" w:firstLineChars="500"/>
        <w:rPr>
          <w:rFonts w:hint="eastAsia" w:ascii="仿宋_GB2312" w:eastAsia="仿宋_GB2312" w:cs="仿宋_GB2312"/>
          <w:color w:val="auto"/>
          <w:sz w:val="28"/>
          <w:szCs w:val="28"/>
        </w:rPr>
      </w:pPr>
      <w:r>
        <w:rPr>
          <w:rFonts w:hint="eastAsia" w:ascii="仿宋_GB2312" w:eastAsia="仿宋_GB2312" w:cs="仿宋_GB2312"/>
          <w:color w:val="auto"/>
          <w:sz w:val="28"/>
          <w:szCs w:val="28"/>
        </w:rPr>
        <w:t>n—矿石回采率，取</w:t>
      </w:r>
      <w:r>
        <w:rPr>
          <w:rFonts w:hint="eastAsia" w:ascii="仿宋_GB2312" w:eastAsia="仿宋_GB2312" w:cs="仿宋_GB2312"/>
          <w:color w:val="auto"/>
          <w:sz w:val="28"/>
          <w:szCs w:val="28"/>
          <w:lang w:val="en-US" w:eastAsia="zh-CN"/>
        </w:rPr>
        <w:t>98</w:t>
      </w:r>
      <w:r>
        <w:rPr>
          <w:rFonts w:hint="eastAsia" w:ascii="仿宋_GB2312" w:eastAsia="仿宋_GB2312" w:cs="仿宋_GB2312"/>
          <w:color w:val="auto"/>
          <w:sz w:val="28"/>
          <w:szCs w:val="28"/>
        </w:rPr>
        <w:t>%；</w:t>
      </w:r>
    </w:p>
    <w:p w14:paraId="6ABA9A36">
      <w:pPr>
        <w:pStyle w:val="149"/>
        <w:adjustRightInd w:val="0"/>
        <w:snapToGrid w:val="0"/>
        <w:spacing w:line="360" w:lineRule="auto"/>
        <w:ind w:firstLine="1400" w:firstLineChars="500"/>
        <w:rPr>
          <w:rFonts w:hint="eastAsia" w:ascii="仿宋_GB2312" w:eastAsia="仿宋_GB2312" w:cs="仿宋_GB2312"/>
          <w:color w:val="auto"/>
          <w:sz w:val="28"/>
          <w:szCs w:val="28"/>
        </w:rPr>
      </w:pPr>
      <w:r>
        <w:rPr>
          <w:rFonts w:hint="eastAsia" w:ascii="仿宋_GB2312" w:eastAsia="仿宋_GB2312" w:cs="仿宋_GB2312"/>
          <w:color w:val="auto"/>
          <w:sz w:val="28"/>
          <w:szCs w:val="28"/>
        </w:rPr>
        <w:t>e—废石混入率，取</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w:t>
      </w:r>
    </w:p>
    <w:p w14:paraId="0743D97C">
      <w:pPr>
        <w:pStyle w:val="151"/>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经计算，露天采场完成矿石规模</w:t>
      </w:r>
      <w:r>
        <w:rPr>
          <w:rFonts w:hint="eastAsia" w:ascii="仿宋_GB2312" w:eastAsia="仿宋_GB2312" w:cs="仿宋_GB2312"/>
          <w:color w:val="auto"/>
          <w:sz w:val="28"/>
          <w:szCs w:val="28"/>
          <w:lang w:val="en-US" w:eastAsia="zh-CN"/>
        </w:rPr>
        <w:t>20</w:t>
      </w:r>
      <w:r>
        <w:rPr>
          <w:rFonts w:hint="eastAsia" w:ascii="仿宋_GB2312" w:eastAsia="仿宋_GB2312" w:cs="仿宋_GB2312"/>
          <w:color w:val="auto"/>
          <w:sz w:val="28"/>
          <w:szCs w:val="28"/>
        </w:rPr>
        <w:t>万吨/年的年下降速度为</w:t>
      </w:r>
      <w:r>
        <w:rPr>
          <w:rFonts w:hint="eastAsia" w:ascii="仿宋_GB2312" w:eastAsia="仿宋_GB2312" w:cs="仿宋_GB2312"/>
          <w:color w:val="auto"/>
          <w:sz w:val="28"/>
          <w:szCs w:val="28"/>
          <w:lang w:val="en-US" w:eastAsia="zh-CN"/>
        </w:rPr>
        <w:t>10.2</w:t>
      </w:r>
      <w:r>
        <w:rPr>
          <w:rFonts w:hint="eastAsia" w:ascii="仿宋_GB2312" w:eastAsia="仿宋_GB2312" w:cs="仿宋_GB2312"/>
          <w:color w:val="auto"/>
          <w:sz w:val="28"/>
          <w:szCs w:val="28"/>
        </w:rPr>
        <w:t>m。根据现场实际和国内同类型矿山的生产经验</w:t>
      </w:r>
      <w:r>
        <w:rPr>
          <w:rFonts w:hint="eastAsia" w:ascii="仿宋_GB2312" w:eastAsia="仿宋_GB2312" w:cs="仿宋_GB2312"/>
          <w:color w:val="auto"/>
          <w:sz w:val="28"/>
          <w:szCs w:val="28"/>
          <w:lang w:val="en-US" w:eastAsia="zh-CN"/>
        </w:rPr>
        <w:t>，</w:t>
      </w:r>
      <w:r>
        <w:rPr>
          <w:rFonts w:hint="eastAsia" w:ascii="仿宋_GB2312" w:eastAsia="仿宋_GB2312" w:cs="仿宋_GB2312"/>
          <w:color w:val="auto"/>
          <w:sz w:val="28"/>
          <w:szCs w:val="28"/>
        </w:rPr>
        <w:t>年下降</w:t>
      </w:r>
      <w:r>
        <w:rPr>
          <w:rFonts w:hint="eastAsia" w:ascii="仿宋_GB2312" w:eastAsia="仿宋_GB2312" w:cs="仿宋_GB2312"/>
          <w:color w:val="auto"/>
          <w:sz w:val="28"/>
          <w:szCs w:val="28"/>
          <w:lang w:val="en-US" w:eastAsia="zh-CN"/>
        </w:rPr>
        <w:t>10.2</w:t>
      </w:r>
      <w:r>
        <w:rPr>
          <w:rFonts w:hint="eastAsia" w:ascii="仿宋_GB2312" w:eastAsia="仿宋_GB2312" w:cs="仿宋_GB2312"/>
          <w:color w:val="auto"/>
          <w:sz w:val="28"/>
          <w:szCs w:val="28"/>
        </w:rPr>
        <w:t>m</w:t>
      </w:r>
      <w:r>
        <w:rPr>
          <w:rFonts w:hint="eastAsia" w:ascii="仿宋_GB2312" w:eastAsia="仿宋_GB2312" w:cs="仿宋_GB2312"/>
          <w:color w:val="auto"/>
          <w:sz w:val="28"/>
          <w:szCs w:val="28"/>
          <w:lang w:val="en-US" w:eastAsia="zh-CN"/>
        </w:rPr>
        <w:t>是可达到的</w:t>
      </w:r>
      <w:r>
        <w:rPr>
          <w:rFonts w:hint="eastAsia" w:ascii="仿宋_GB2312" w:eastAsia="仿宋_GB2312" w:cs="仿宋_GB2312"/>
          <w:color w:val="auto"/>
          <w:sz w:val="28"/>
          <w:szCs w:val="28"/>
        </w:rPr>
        <w:t>，即矿山露天采场可以实现矿石</w:t>
      </w:r>
      <w:r>
        <w:rPr>
          <w:rFonts w:hint="eastAsia" w:ascii="仿宋_GB2312" w:eastAsia="仿宋_GB2312" w:cs="仿宋_GB2312"/>
          <w:color w:val="auto"/>
          <w:sz w:val="28"/>
          <w:szCs w:val="28"/>
          <w:lang w:val="en-US" w:eastAsia="zh-CN"/>
        </w:rPr>
        <w:t>20</w:t>
      </w:r>
      <w:r>
        <w:rPr>
          <w:rFonts w:hint="eastAsia" w:ascii="仿宋_GB2312" w:eastAsia="仿宋_GB2312" w:cs="仿宋_GB2312"/>
          <w:color w:val="auto"/>
          <w:sz w:val="28"/>
          <w:szCs w:val="28"/>
        </w:rPr>
        <w:t>万吨/年生产规模。</w:t>
      </w:r>
    </w:p>
    <w:p w14:paraId="19EF8AEE">
      <w:pPr>
        <w:pStyle w:val="151"/>
        <w:spacing w:line="360" w:lineRule="auto"/>
        <w:rPr>
          <w:rFonts w:hint="eastAsia" w:ascii="仿宋_GB2312" w:eastAsia="仿宋_GB2312" w:cs="仿宋_GB2312"/>
          <w:color w:val="auto"/>
          <w:sz w:val="28"/>
          <w:szCs w:val="28"/>
        </w:rPr>
      </w:pPr>
      <w:bookmarkStart w:id="239" w:name="_Toc57274631"/>
      <w:r>
        <w:rPr>
          <w:rFonts w:hint="eastAsia" w:ascii="仿宋_GB2312" w:eastAsia="仿宋_GB2312" w:cs="仿宋_GB2312"/>
          <w:color w:val="auto"/>
          <w:sz w:val="28"/>
          <w:szCs w:val="28"/>
        </w:rPr>
        <w:t>3、按采矿台阶可布置液压挖掘机工作台数进行验证</w:t>
      </w:r>
      <w:bookmarkEnd w:id="239"/>
    </w:p>
    <w:p w14:paraId="228416ED">
      <w:pPr>
        <w:pStyle w:val="151"/>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矿山采用</w:t>
      </w:r>
      <w:r>
        <w:rPr>
          <w:rFonts w:hint="eastAsia" w:ascii="仿宋_GB2312" w:eastAsia="仿宋_GB2312" w:cs="仿宋_GB2312"/>
          <w:color w:val="auto"/>
          <w:sz w:val="28"/>
          <w:szCs w:val="28"/>
          <w:lang w:val="en-US" w:eastAsia="zh-CN"/>
        </w:rPr>
        <w:t>缓</w:t>
      </w:r>
      <w:r>
        <w:rPr>
          <w:rFonts w:hint="eastAsia" w:ascii="仿宋_GB2312" w:eastAsia="仿宋_GB2312" w:cs="仿宋_GB2312"/>
          <w:color w:val="auto"/>
          <w:sz w:val="28"/>
          <w:szCs w:val="28"/>
        </w:rPr>
        <w:t>帮开采工艺。根据采场尺寸</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每年</w:t>
      </w:r>
      <w:r>
        <w:rPr>
          <w:rFonts w:hint="eastAsia" w:ascii="仿宋_GB2312" w:eastAsia="仿宋_GB2312" w:cs="仿宋_GB2312"/>
          <w:color w:val="auto"/>
          <w:sz w:val="28"/>
          <w:szCs w:val="28"/>
          <w:lang w:val="en-US" w:eastAsia="zh-CN"/>
        </w:rPr>
        <w:t>按1</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rPr>
        <w:t>个台阶同时出矿，</w:t>
      </w:r>
      <w:r>
        <w:rPr>
          <w:rFonts w:hint="eastAsia" w:ascii="仿宋_GB2312" w:eastAsia="仿宋_GB2312" w:cs="仿宋_GB2312"/>
          <w:color w:val="auto"/>
          <w:sz w:val="28"/>
          <w:szCs w:val="28"/>
          <w:lang w:val="en-US" w:eastAsia="zh-CN"/>
        </w:rPr>
        <w:t>每个台阶布置1台挖掘机，</w:t>
      </w:r>
      <w:r>
        <w:rPr>
          <w:rFonts w:hint="eastAsia" w:ascii="仿宋_GB2312" w:eastAsia="仿宋_GB2312" w:cs="仿宋_GB2312"/>
          <w:color w:val="auto"/>
          <w:sz w:val="28"/>
          <w:szCs w:val="28"/>
        </w:rPr>
        <w:t>有</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rPr>
        <w:t>个采矿工作面，液压挖掘机台效</w:t>
      </w:r>
      <w:r>
        <w:rPr>
          <w:rFonts w:hint="eastAsia" w:ascii="仿宋_GB2312" w:eastAsia="仿宋_GB2312" w:cs="仿宋_GB2312"/>
          <w:color w:val="auto"/>
          <w:sz w:val="28"/>
          <w:szCs w:val="28"/>
          <w:lang w:val="en-US" w:eastAsia="zh-CN"/>
        </w:rPr>
        <w:t>35</w:t>
      </w:r>
      <w:r>
        <w:rPr>
          <w:rFonts w:hint="eastAsia" w:ascii="仿宋_GB2312" w:eastAsia="仿宋_GB2312" w:cs="仿宋_GB2312"/>
          <w:color w:val="auto"/>
          <w:sz w:val="28"/>
          <w:szCs w:val="28"/>
        </w:rPr>
        <w:t>万吨/年，矿山露天采场可以实现矿石</w:t>
      </w:r>
      <w:r>
        <w:rPr>
          <w:rFonts w:hint="eastAsia" w:ascii="仿宋_GB2312" w:eastAsia="仿宋_GB2312" w:cs="仿宋_GB2312"/>
          <w:color w:val="auto"/>
          <w:sz w:val="28"/>
          <w:szCs w:val="28"/>
          <w:lang w:val="en-US" w:eastAsia="zh-CN"/>
        </w:rPr>
        <w:t>20</w:t>
      </w:r>
      <w:r>
        <w:rPr>
          <w:rFonts w:hint="eastAsia" w:ascii="仿宋_GB2312" w:eastAsia="仿宋_GB2312" w:cs="仿宋_GB2312"/>
          <w:color w:val="auto"/>
          <w:sz w:val="28"/>
          <w:szCs w:val="28"/>
        </w:rPr>
        <w:t>万吨/年生产规模。</w:t>
      </w:r>
    </w:p>
    <w:p w14:paraId="377E3FAE">
      <w:pPr>
        <w:pStyle w:val="5"/>
        <w:adjustRightInd w:val="0"/>
        <w:snapToGrid w:val="0"/>
        <w:spacing w:before="0" w:line="360" w:lineRule="auto"/>
        <w:rPr>
          <w:rFonts w:hint="eastAsia" w:ascii="仿宋_GB2312" w:eastAsia="仿宋_GB2312" w:cs="仿宋_GB2312"/>
          <w:b/>
          <w:bCs w:val="0"/>
          <w:color w:val="auto"/>
          <w:sz w:val="28"/>
          <w:szCs w:val="28"/>
        </w:rPr>
      </w:pPr>
      <w:bookmarkStart w:id="240" w:name="_Toc18969"/>
      <w:bookmarkStart w:id="241" w:name="_Toc148957985"/>
      <w:r>
        <w:rPr>
          <w:rFonts w:hint="eastAsia" w:ascii="仿宋_GB2312" w:eastAsia="仿宋_GB2312" w:cs="仿宋_GB2312"/>
          <w:b/>
          <w:bCs w:val="0"/>
          <w:color w:val="auto"/>
          <w:sz w:val="28"/>
          <w:szCs w:val="28"/>
        </w:rPr>
        <w:t>5.3.3服务年限</w:t>
      </w:r>
      <w:bookmarkEnd w:id="240"/>
      <w:bookmarkEnd w:id="241"/>
    </w:p>
    <w:p w14:paraId="2B7B7845">
      <w:pPr>
        <w:pStyle w:val="636"/>
        <w:adjustRightInd w:val="0"/>
        <w:snapToGrid w:val="0"/>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rPr>
        <w:t>根据开采境界内矿石资源量及矿山生产能力计算，矿区计算服务年限</w:t>
      </w:r>
      <w:r>
        <w:rPr>
          <w:rFonts w:hint="eastAsia" w:ascii="仿宋_GB2312" w:eastAsia="仿宋_GB2312" w:cs="仿宋_GB2312"/>
          <w:color w:val="auto"/>
          <w:sz w:val="28"/>
          <w:szCs w:val="28"/>
          <w:lang w:val="en-US" w:eastAsia="zh-CN"/>
        </w:rPr>
        <w:t>7.5</w:t>
      </w:r>
      <w:r>
        <w:rPr>
          <w:rFonts w:hint="eastAsia" w:ascii="仿宋_GB2312" w:eastAsia="仿宋_GB2312" w:cs="仿宋_GB2312"/>
          <w:color w:val="auto"/>
          <w:sz w:val="28"/>
          <w:szCs w:val="28"/>
        </w:rPr>
        <w:t>年，经排产后，矿山设计服务年限</w:t>
      </w:r>
      <w:r>
        <w:rPr>
          <w:rFonts w:hint="eastAsia" w:ascii="仿宋_GB2312" w:eastAsia="仿宋_GB2312" w:cs="仿宋_GB2312"/>
          <w:color w:val="auto"/>
          <w:sz w:val="28"/>
          <w:szCs w:val="28"/>
          <w:lang w:val="en-US" w:eastAsia="zh-CN"/>
        </w:rPr>
        <w:t>8</w:t>
      </w:r>
      <w:r>
        <w:rPr>
          <w:rFonts w:hint="eastAsia" w:ascii="仿宋_GB2312" w:eastAsia="仿宋_GB2312" w:cs="仿宋_GB2312"/>
          <w:color w:val="auto"/>
          <w:sz w:val="28"/>
          <w:szCs w:val="28"/>
        </w:rPr>
        <w:t>年，第1年</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第</w:t>
      </w:r>
      <w:r>
        <w:rPr>
          <w:rFonts w:hint="eastAsia" w:ascii="仿宋_GB2312" w:eastAsia="仿宋_GB2312" w:cs="仿宋_GB2312"/>
          <w:color w:val="auto"/>
          <w:sz w:val="28"/>
          <w:szCs w:val="28"/>
          <w:lang w:val="en-US" w:eastAsia="zh-CN"/>
        </w:rPr>
        <w:t>7</w:t>
      </w:r>
      <w:r>
        <w:rPr>
          <w:rFonts w:hint="eastAsia" w:ascii="仿宋_GB2312" w:eastAsia="仿宋_GB2312" w:cs="仿宋_GB2312"/>
          <w:color w:val="auto"/>
          <w:sz w:val="28"/>
          <w:szCs w:val="28"/>
        </w:rPr>
        <w:t>年达产，第</w:t>
      </w:r>
      <w:r>
        <w:rPr>
          <w:rFonts w:hint="eastAsia" w:ascii="仿宋_GB2312" w:eastAsia="仿宋_GB2312" w:cs="仿宋_GB2312"/>
          <w:color w:val="auto"/>
          <w:sz w:val="28"/>
          <w:szCs w:val="28"/>
          <w:lang w:val="en-US" w:eastAsia="zh-CN"/>
        </w:rPr>
        <w:t>8</w:t>
      </w:r>
      <w:r>
        <w:rPr>
          <w:rFonts w:hint="eastAsia" w:ascii="仿宋_GB2312" w:eastAsia="仿宋_GB2312" w:cs="仿宋_GB2312"/>
          <w:color w:val="auto"/>
          <w:sz w:val="28"/>
          <w:szCs w:val="28"/>
        </w:rPr>
        <w:t>年为减产期。</w:t>
      </w:r>
    </w:p>
    <w:p w14:paraId="22F0EB17">
      <w:pPr>
        <w:pStyle w:val="636"/>
        <w:adjustRightInd w:val="0"/>
        <w:snapToGrid w:val="0"/>
        <w:ind w:firstLine="560" w:firstLineChars="200"/>
        <w:rPr>
          <w:rFonts w:hint="eastAsia" w:ascii="仿宋_GB2312" w:eastAsia="仿宋_GB2312" w:cs="仿宋_GB2312"/>
          <w:color w:val="auto"/>
          <w:sz w:val="28"/>
          <w:szCs w:val="28"/>
          <w:lang w:val="en-US" w:eastAsia="zh-CN"/>
        </w:rPr>
      </w:pPr>
      <w:r>
        <w:rPr>
          <w:rFonts w:hint="eastAsia" w:ascii="Cambria Math" w:hAnsi="Cambria Math" w:eastAsia="仿宋_GB2312" w:cs="仿宋_GB2312"/>
          <w:color w:val="auto"/>
          <w:sz w:val="28"/>
          <w:szCs w:val="28"/>
        </w:rPr>
        <w:t>T=QmηQ(1−e)</w:t>
      </w:r>
      <w:r>
        <w:rPr>
          <w:rFonts w:hint="eastAsia" w:ascii="Cambria Math" w:hAnsi="Cambria Math" w:eastAsia="仿宋_GB2312" w:cs="仿宋_GB2312"/>
          <w:color w:val="auto"/>
          <w:sz w:val="28"/>
          <w:szCs w:val="28"/>
          <w:lang w:val="en-US" w:eastAsia="zh-CN"/>
        </w:rPr>
        <w:t>=</w:t>
      </w:r>
      <w:r>
        <w:rPr>
          <w:rFonts w:hint="eastAsia" w:ascii="Cambria Math" w:hAnsi="Cambria Math" w:eastAsia="仿宋_GB2312" w:cs="仿宋_GB2312"/>
          <w:color w:val="auto"/>
          <w:sz w:val="28"/>
          <w:szCs w:val="22"/>
          <w:lang w:val="en-US" w:eastAsia="zh-CN"/>
        </w:rPr>
        <w:t>146.54</w:t>
      </w:r>
      <w:r>
        <w:rPr>
          <w:rFonts w:hint="eastAsia" w:ascii="Cambria Math" w:hAnsi="Cambria Math" w:eastAsia="仿宋_GB2312" w:cs="仿宋_GB2312"/>
          <w:color w:val="auto"/>
          <w:sz w:val="28"/>
          <w:szCs w:val="22"/>
        </w:rPr>
        <w:t>×0.9</w:t>
      </w:r>
      <w:r>
        <w:rPr>
          <w:rFonts w:hint="eastAsia" w:ascii="Cambria Math" w:hAnsi="Cambria Math" w:eastAsia="仿宋_GB2312" w:cs="仿宋_GB2312"/>
          <w:color w:val="auto"/>
          <w:sz w:val="28"/>
          <w:szCs w:val="22"/>
          <w:lang w:val="en-US" w:eastAsia="zh-CN"/>
        </w:rPr>
        <w:t>820</w:t>
      </w:r>
      <w:r>
        <w:rPr>
          <w:rFonts w:hint="eastAsia" w:ascii="Cambria Math" w:hAnsi="Cambria Math" w:eastAsia="仿宋_GB2312" w:cs="仿宋_GB2312"/>
          <w:color w:val="auto"/>
          <w:sz w:val="28"/>
          <w:szCs w:val="22"/>
        </w:rPr>
        <w:t>×(1−</w:t>
      </w:r>
      <w:r>
        <w:rPr>
          <w:rFonts w:hint="eastAsia" w:ascii="Cambria Math" w:hAnsi="Cambria Math" w:eastAsia="仿宋_GB2312" w:cs="仿宋_GB2312"/>
          <w:b w:val="0"/>
          <w:i w:val="0"/>
          <w:color w:val="auto"/>
          <w:sz w:val="28"/>
          <w:szCs w:val="22"/>
        </w:rPr>
        <w:t>0.0</w:t>
      </w:r>
      <w:r>
        <w:rPr>
          <w:rFonts w:hint="eastAsia" w:ascii="Cambria Math" w:hAnsi="Cambria Math" w:eastAsia="仿宋_GB2312" w:cs="仿宋_GB2312"/>
          <w:color w:val="auto"/>
          <w:sz w:val="28"/>
          <w:szCs w:val="22"/>
          <w:lang w:val="en-US" w:eastAsia="zh-CN"/>
        </w:rPr>
        <w:t>2</w:t>
      </w:r>
      <w:r>
        <w:rPr>
          <w:rFonts w:hint="eastAsia" w:ascii="Cambria Math" w:hAnsi="Cambria Math" w:eastAsia="仿宋_GB2312" w:cs="仿宋_GB2312"/>
          <w:color w:val="auto"/>
          <w:sz w:val="28"/>
          <w:szCs w:val="22"/>
        </w:rPr>
        <w:t>)</w:t>
      </w:r>
      <w:r>
        <w:rPr>
          <w:rFonts w:hint="eastAsia" w:ascii="Cambria Math" w:hAnsi="Cambria Math" w:eastAsia="仿宋_GB2312" w:cs="仿宋_GB2312"/>
          <w:color w:val="auto"/>
          <w:sz w:val="28"/>
          <w:szCs w:val="22"/>
          <w:lang w:val="en-US" w:eastAsia="zh-CN"/>
        </w:rPr>
        <w:t>=7.5</w:t>
      </w:r>
    </w:p>
    <w:p w14:paraId="2322C8A1">
      <w:pPr>
        <w:adjustRightInd w:val="0"/>
        <w:snapToGrid w:val="0"/>
        <w:spacing w:line="360" w:lineRule="auto"/>
        <w:ind w:firstLine="560" w:firstLineChars="200"/>
        <w:rPr>
          <w:rFonts w:hint="eastAsia" w:ascii="仿宋_GB2312" w:eastAsia="仿宋_GB2312" w:cs="仿宋_GB2312"/>
          <w:color w:val="auto"/>
          <w:kern w:val="10"/>
          <w:sz w:val="28"/>
          <w:szCs w:val="28"/>
        </w:rPr>
      </w:pPr>
      <w:r>
        <w:rPr>
          <w:rFonts w:hint="eastAsia" w:ascii="仿宋_GB2312" w:eastAsia="仿宋_GB2312" w:cs="仿宋_GB2312"/>
          <w:color w:val="auto"/>
          <w:kern w:val="10"/>
          <w:sz w:val="28"/>
          <w:szCs w:val="28"/>
        </w:rPr>
        <w:t>式中：T—矿山服务年限，a；</w:t>
      </w:r>
    </w:p>
    <w:p w14:paraId="7A088D8F">
      <w:pPr>
        <w:adjustRightInd w:val="0"/>
        <w:snapToGrid w:val="0"/>
        <w:spacing w:line="360" w:lineRule="auto"/>
        <w:ind w:firstLine="1400" w:firstLineChars="500"/>
        <w:rPr>
          <w:rFonts w:hint="eastAsia" w:ascii="仿宋_GB2312" w:eastAsia="仿宋_GB2312" w:cs="仿宋_GB2312"/>
          <w:color w:val="auto"/>
          <w:kern w:val="10"/>
          <w:sz w:val="28"/>
          <w:szCs w:val="28"/>
        </w:rPr>
      </w:pPr>
      <w:r>
        <w:rPr>
          <w:rFonts w:hint="eastAsia" w:ascii="仿宋_GB2312" w:eastAsia="仿宋_GB2312" w:cs="仿宋_GB2312"/>
          <w:color w:val="auto"/>
          <w:kern w:val="10"/>
          <w:sz w:val="28"/>
          <w:szCs w:val="28"/>
        </w:rPr>
        <w:t>Q</w:t>
      </w:r>
      <w:r>
        <w:rPr>
          <w:rFonts w:hint="eastAsia" w:ascii="仿宋_GB2312" w:eastAsia="仿宋_GB2312" w:cs="仿宋_GB2312"/>
          <w:color w:val="auto"/>
          <w:kern w:val="10"/>
          <w:sz w:val="28"/>
          <w:szCs w:val="28"/>
          <w:vertAlign w:val="subscript"/>
        </w:rPr>
        <w:t>m</w:t>
      </w:r>
      <w:r>
        <w:rPr>
          <w:rFonts w:hint="eastAsia" w:ascii="仿宋_GB2312" w:eastAsia="仿宋_GB2312" w:cs="仿宋_GB2312"/>
          <w:color w:val="auto"/>
          <w:kern w:val="10"/>
          <w:sz w:val="28"/>
          <w:szCs w:val="28"/>
        </w:rPr>
        <w:t>—境界内矿石总</w:t>
      </w:r>
      <w:r>
        <w:rPr>
          <w:rFonts w:hint="eastAsia" w:ascii="仿宋_GB2312" w:eastAsia="仿宋_GB2312" w:cs="仿宋_GB2312"/>
          <w:color w:val="auto"/>
          <w:kern w:val="0"/>
          <w:sz w:val="28"/>
          <w:szCs w:val="28"/>
          <w:lang w:val="en-US" w:eastAsia="zh-CN" w:bidi="ar-SA"/>
        </w:rPr>
        <w:t>量，146.54万吨；</w:t>
      </w:r>
    </w:p>
    <w:p w14:paraId="633CB9EC">
      <w:pPr>
        <w:adjustRightInd w:val="0"/>
        <w:snapToGrid w:val="0"/>
        <w:spacing w:line="360" w:lineRule="auto"/>
        <w:ind w:firstLine="1400" w:firstLineChars="500"/>
        <w:rPr>
          <w:rFonts w:hint="eastAsia" w:ascii="仿宋_GB2312" w:eastAsia="仿宋_GB2312" w:cs="仿宋_GB2312"/>
          <w:color w:val="auto"/>
          <w:kern w:val="10"/>
          <w:sz w:val="28"/>
          <w:szCs w:val="28"/>
        </w:rPr>
      </w:pPr>
      <w:r>
        <w:rPr>
          <w:rFonts w:hint="eastAsia" w:ascii="仿宋_GB2312" w:eastAsia="仿宋_GB2312" w:cs="仿宋_GB2312"/>
          <w:color w:val="auto"/>
          <w:kern w:val="10"/>
          <w:sz w:val="28"/>
          <w:szCs w:val="28"/>
        </w:rPr>
        <w:t>Q—采矿场生产规模，</w:t>
      </w:r>
      <w:r>
        <w:rPr>
          <w:rFonts w:hint="eastAsia" w:ascii="仿宋_GB2312" w:eastAsia="仿宋_GB2312" w:cs="仿宋_GB2312"/>
          <w:color w:val="auto"/>
          <w:kern w:val="10"/>
          <w:sz w:val="28"/>
          <w:szCs w:val="28"/>
          <w:lang w:val="en-US" w:eastAsia="zh-CN"/>
        </w:rPr>
        <w:t>20</w:t>
      </w:r>
      <w:r>
        <w:rPr>
          <w:rFonts w:hint="eastAsia" w:ascii="仿宋_GB2312" w:eastAsia="仿宋_GB2312" w:cs="仿宋_GB2312"/>
          <w:color w:val="auto"/>
          <w:kern w:val="10"/>
          <w:sz w:val="28"/>
          <w:szCs w:val="28"/>
        </w:rPr>
        <w:t>万吨/年；</w:t>
      </w:r>
    </w:p>
    <w:p w14:paraId="0492531F">
      <w:pPr>
        <w:adjustRightInd w:val="0"/>
        <w:snapToGrid w:val="0"/>
        <w:spacing w:line="360" w:lineRule="auto"/>
        <w:ind w:firstLine="1400" w:firstLineChars="500"/>
        <w:rPr>
          <w:rFonts w:hint="eastAsia" w:ascii="仿宋_GB2312" w:eastAsia="仿宋_GB2312" w:cs="仿宋_GB2312"/>
          <w:color w:val="auto"/>
          <w:kern w:val="10"/>
          <w:sz w:val="28"/>
          <w:szCs w:val="28"/>
        </w:rPr>
      </w:pPr>
      <w:r>
        <w:rPr>
          <w:rFonts w:hint="eastAsia" w:ascii="仿宋_GB2312" w:eastAsia="仿宋_GB2312" w:cs="仿宋_GB2312"/>
          <w:color w:val="auto"/>
          <w:kern w:val="10"/>
          <w:sz w:val="28"/>
          <w:szCs w:val="28"/>
        </w:rPr>
        <w:t>e—矿石贫化率，</w:t>
      </w:r>
      <w:r>
        <w:rPr>
          <w:rFonts w:hint="eastAsia" w:ascii="仿宋_GB2312" w:eastAsia="仿宋_GB2312" w:cs="仿宋_GB2312"/>
          <w:color w:val="auto"/>
          <w:kern w:val="10"/>
          <w:sz w:val="28"/>
          <w:szCs w:val="28"/>
          <w:lang w:val="en-US" w:eastAsia="zh-CN"/>
        </w:rPr>
        <w:t>2</w:t>
      </w:r>
      <w:r>
        <w:rPr>
          <w:rFonts w:hint="eastAsia" w:ascii="仿宋_GB2312" w:eastAsia="仿宋_GB2312" w:cs="仿宋_GB2312"/>
          <w:color w:val="auto"/>
          <w:kern w:val="10"/>
          <w:sz w:val="28"/>
          <w:szCs w:val="28"/>
        </w:rPr>
        <w:t>%；</w:t>
      </w:r>
    </w:p>
    <w:p w14:paraId="5E61832D">
      <w:pPr>
        <w:adjustRightInd w:val="0"/>
        <w:snapToGrid w:val="0"/>
        <w:spacing w:line="360" w:lineRule="auto"/>
        <w:ind w:firstLine="1400" w:firstLineChars="500"/>
        <w:rPr>
          <w:rFonts w:hint="eastAsia" w:ascii="仿宋_GB2312" w:eastAsia="仿宋_GB2312" w:cs="仿宋_GB2312"/>
          <w:color w:val="auto"/>
          <w:kern w:val="10"/>
          <w:sz w:val="28"/>
          <w:szCs w:val="28"/>
        </w:rPr>
      </w:pPr>
      <w:r>
        <w:rPr>
          <w:rFonts w:hint="eastAsia" w:ascii="仿宋_GB2312" w:eastAsia="仿宋_GB2312" w:cs="仿宋_GB2312"/>
          <w:i/>
          <w:color w:val="auto"/>
          <w:kern w:val="10"/>
          <w:sz w:val="28"/>
          <w:szCs w:val="28"/>
        </w:rPr>
        <w:t>η</w:t>
      </w:r>
      <w:r>
        <w:rPr>
          <w:rFonts w:hint="eastAsia" w:ascii="仿宋_GB2312" w:eastAsia="仿宋_GB2312" w:cs="仿宋_GB2312"/>
          <w:color w:val="auto"/>
          <w:kern w:val="10"/>
          <w:sz w:val="28"/>
          <w:szCs w:val="28"/>
        </w:rPr>
        <w:t>—设计回采率，9</w:t>
      </w:r>
      <w:r>
        <w:rPr>
          <w:rFonts w:hint="eastAsia" w:ascii="仿宋_GB2312" w:eastAsia="仿宋_GB2312" w:cs="仿宋_GB2312"/>
          <w:color w:val="auto"/>
          <w:kern w:val="10"/>
          <w:sz w:val="28"/>
          <w:szCs w:val="28"/>
          <w:lang w:val="en-US" w:eastAsia="zh-CN"/>
        </w:rPr>
        <w:t>8</w:t>
      </w:r>
      <w:r>
        <w:rPr>
          <w:rFonts w:hint="eastAsia" w:ascii="仿宋_GB2312" w:eastAsia="仿宋_GB2312" w:cs="仿宋_GB2312"/>
          <w:color w:val="auto"/>
          <w:kern w:val="10"/>
          <w:sz w:val="28"/>
          <w:szCs w:val="28"/>
        </w:rPr>
        <w:t>%。</w:t>
      </w:r>
    </w:p>
    <w:p w14:paraId="5805B405">
      <w:pPr>
        <w:pStyle w:val="5"/>
        <w:adjustRightInd w:val="0"/>
        <w:snapToGrid w:val="0"/>
        <w:spacing w:before="0" w:line="360" w:lineRule="auto"/>
        <w:rPr>
          <w:rFonts w:hint="eastAsia" w:ascii="仿宋_GB2312" w:eastAsia="仿宋_GB2312" w:cs="仿宋_GB2312"/>
          <w:b/>
          <w:bCs w:val="0"/>
          <w:color w:val="auto"/>
          <w:sz w:val="28"/>
          <w:szCs w:val="28"/>
        </w:rPr>
      </w:pPr>
      <w:bookmarkStart w:id="242" w:name="_Toc148957986"/>
      <w:bookmarkStart w:id="243" w:name="_Toc25475"/>
      <w:r>
        <w:rPr>
          <w:rFonts w:hint="eastAsia" w:ascii="仿宋_GB2312" w:eastAsia="仿宋_GB2312" w:cs="仿宋_GB2312"/>
          <w:b/>
          <w:bCs w:val="0"/>
          <w:color w:val="auto"/>
          <w:sz w:val="28"/>
          <w:szCs w:val="28"/>
        </w:rPr>
        <w:t>5.3.4矿山扩产及延长矿山服务年限的可能性</w:t>
      </w:r>
      <w:bookmarkEnd w:id="242"/>
      <w:bookmarkEnd w:id="243"/>
    </w:p>
    <w:p w14:paraId="6F04E7E8">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rPr>
        <w:t>矿山服务年限已经按照矿权范围内最低标高以上资源量进行计算。在此基础上，矿山无延长服务年限的可能性。</w:t>
      </w:r>
      <w:r>
        <w:rPr>
          <w:rFonts w:hint="eastAsia" w:ascii="仿宋_GB2312" w:eastAsia="仿宋_GB2312" w:cs="仿宋_GB2312"/>
          <w:color w:val="auto"/>
          <w:sz w:val="28"/>
          <w:szCs w:val="28"/>
          <w:lang w:val="en-US" w:eastAsia="zh-CN"/>
        </w:rPr>
        <w:t>矿山可布置工作线长度短，无扩大规模可能。</w:t>
      </w:r>
    </w:p>
    <w:p w14:paraId="627D22BC">
      <w:pPr>
        <w:pStyle w:val="4"/>
        <w:adjustRightInd w:val="0"/>
        <w:snapToGrid w:val="0"/>
        <w:spacing w:before="0"/>
        <w:rPr>
          <w:rFonts w:hint="eastAsia" w:ascii="仿宋_GB2312" w:eastAsia="仿宋_GB2312" w:cs="仿宋_GB2312"/>
          <w:b/>
          <w:bCs w:val="0"/>
          <w:color w:val="auto"/>
          <w:sz w:val="28"/>
          <w:szCs w:val="28"/>
        </w:rPr>
      </w:pPr>
      <w:bookmarkStart w:id="244" w:name="_Toc28992"/>
      <w:bookmarkStart w:id="245" w:name="_Toc138060315"/>
      <w:bookmarkStart w:id="246" w:name="_Toc15618"/>
      <w:bookmarkStart w:id="247" w:name="_Toc12306"/>
      <w:r>
        <w:rPr>
          <w:rFonts w:hint="eastAsia" w:ascii="仿宋_GB2312" w:eastAsia="仿宋_GB2312" w:cs="仿宋_GB2312"/>
          <w:b/>
          <w:bCs w:val="0"/>
          <w:color w:val="auto"/>
          <w:sz w:val="28"/>
          <w:szCs w:val="28"/>
        </w:rPr>
        <w:t>5.4开拓、运输方案及场址选择</w:t>
      </w:r>
      <w:bookmarkEnd w:id="244"/>
      <w:bookmarkEnd w:id="245"/>
      <w:bookmarkEnd w:id="246"/>
      <w:bookmarkEnd w:id="247"/>
    </w:p>
    <w:p w14:paraId="7EB28687">
      <w:pPr>
        <w:pStyle w:val="5"/>
        <w:adjustRightInd w:val="0"/>
        <w:snapToGrid w:val="0"/>
        <w:spacing w:before="0" w:line="360" w:lineRule="auto"/>
        <w:rPr>
          <w:rFonts w:hint="eastAsia" w:ascii="仿宋_GB2312" w:eastAsia="仿宋_GB2312" w:cs="仿宋_GB2312"/>
          <w:b/>
          <w:bCs w:val="0"/>
          <w:color w:val="auto"/>
          <w:sz w:val="28"/>
          <w:szCs w:val="28"/>
        </w:rPr>
      </w:pPr>
      <w:bookmarkStart w:id="248" w:name="_Toc23437"/>
      <w:r>
        <w:rPr>
          <w:rFonts w:hint="eastAsia" w:ascii="仿宋_GB2312" w:eastAsia="仿宋_GB2312" w:cs="仿宋_GB2312"/>
          <w:b/>
          <w:bCs w:val="0"/>
          <w:color w:val="auto"/>
          <w:sz w:val="28"/>
          <w:szCs w:val="28"/>
          <w:lang w:val="en-US" w:eastAsia="zh-CN"/>
        </w:rPr>
        <w:t>5.4.1</w:t>
      </w:r>
      <w:r>
        <w:rPr>
          <w:rFonts w:hint="eastAsia" w:ascii="仿宋_GB2312" w:eastAsia="仿宋_GB2312" w:cs="仿宋_GB2312"/>
          <w:b/>
          <w:bCs w:val="0"/>
          <w:color w:val="auto"/>
          <w:sz w:val="28"/>
          <w:szCs w:val="28"/>
        </w:rPr>
        <w:t>矿床开拓运输方案选择原则</w:t>
      </w:r>
      <w:bookmarkEnd w:id="248"/>
    </w:p>
    <w:p w14:paraId="3EEC990E">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矿山开拓方案应适合矿山特点，针对矿区地形、地貌、气候条件，结合矿山生产能力和开采方式，进行比较选择。在进行开拓方案的选择遵循以下几项原则：</w:t>
      </w:r>
    </w:p>
    <w:p w14:paraId="70465CA8">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（1）适应矿山地质地形条件、满足生产能力要求；</w:t>
      </w:r>
    </w:p>
    <w:p w14:paraId="753FDCE3">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（2）生产流程简单可靠，经营费用低；</w:t>
      </w:r>
    </w:p>
    <w:p w14:paraId="16ED0070">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（3）工程量少、施工方便；</w:t>
      </w:r>
    </w:p>
    <w:p w14:paraId="2DF9E58E">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（4）安全可靠，经济适用。</w:t>
      </w:r>
    </w:p>
    <w:p w14:paraId="6944DF09">
      <w:pPr>
        <w:pStyle w:val="5"/>
        <w:adjustRightInd w:val="0"/>
        <w:snapToGrid w:val="0"/>
        <w:spacing w:before="0" w:line="360" w:lineRule="auto"/>
        <w:rPr>
          <w:rFonts w:hint="eastAsia" w:ascii="仿宋_GB2312" w:eastAsia="仿宋_GB2312" w:cs="仿宋_GB2312"/>
          <w:b/>
          <w:bCs w:val="0"/>
          <w:color w:val="auto"/>
          <w:sz w:val="28"/>
          <w:szCs w:val="28"/>
          <w:lang w:val="en-US" w:eastAsia="zh-CN"/>
        </w:rPr>
      </w:pPr>
      <w:bookmarkStart w:id="249" w:name="_Toc15821"/>
      <w:r>
        <w:rPr>
          <w:rFonts w:hint="eastAsia" w:ascii="仿宋_GB2312" w:eastAsia="仿宋_GB2312" w:cs="仿宋_GB2312"/>
          <w:b/>
          <w:bCs w:val="0"/>
          <w:color w:val="auto"/>
          <w:sz w:val="28"/>
          <w:szCs w:val="28"/>
          <w:lang w:val="en-US" w:eastAsia="zh-CN"/>
        </w:rPr>
        <w:t>5.4.2矿床开拓运输方案</w:t>
      </w:r>
      <w:bookmarkEnd w:id="249"/>
    </w:p>
    <w:p w14:paraId="73EFE26A">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本矿山为露天矿，地形较缓；本次设计最高开采标高393.56m，最低开采标高330mm。</w:t>
      </w:r>
    </w:p>
    <w:p w14:paraId="330AB6A8">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矿石平均运输距离短，矿石无需二次破碎，不适合采用胶带机和铁路运输。设计采用公路开拓汽车运输方案。矿区内采出矿石通过汽车运至砖窑，运输距离约0.6km。</w:t>
      </w:r>
    </w:p>
    <w:p w14:paraId="1B65CB03">
      <w:pPr>
        <w:pStyle w:val="5"/>
        <w:adjustRightInd w:val="0"/>
        <w:snapToGrid w:val="0"/>
        <w:spacing w:before="0" w:line="360" w:lineRule="auto"/>
        <w:rPr>
          <w:rFonts w:hint="eastAsia" w:ascii="仿宋_GB2312" w:eastAsia="仿宋_GB2312" w:cs="仿宋_GB2312"/>
          <w:b/>
          <w:bCs w:val="0"/>
          <w:color w:val="auto"/>
          <w:sz w:val="28"/>
          <w:szCs w:val="28"/>
          <w:lang w:val="en-US" w:eastAsia="zh-CN"/>
        </w:rPr>
      </w:pPr>
      <w:bookmarkStart w:id="250" w:name="_Toc24713"/>
      <w:r>
        <w:rPr>
          <w:rFonts w:hint="eastAsia" w:ascii="仿宋_GB2312" w:eastAsia="仿宋_GB2312" w:cs="仿宋_GB2312"/>
          <w:b/>
          <w:bCs w:val="0"/>
          <w:color w:val="auto"/>
          <w:sz w:val="28"/>
          <w:szCs w:val="28"/>
          <w:lang w:val="en-US" w:eastAsia="zh-CN"/>
        </w:rPr>
        <w:t>5.4.3运输道路</w:t>
      </w:r>
      <w:bookmarkEnd w:id="250"/>
    </w:p>
    <w:p w14:paraId="407F001A">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设计选用10t自卸汽车运输，车宽2.5m，运输道路采用矿山三级道路。</w:t>
      </w:r>
    </w:p>
    <w:p w14:paraId="529C315C">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道路主要技术参数</w:t>
      </w:r>
    </w:p>
    <w:p w14:paraId="209CD38E">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道路设计等级：三级；</w:t>
      </w:r>
    </w:p>
    <w:p w14:paraId="4000D337">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rPr>
        <w:t>设计</w:t>
      </w:r>
      <w:r>
        <w:rPr>
          <w:rFonts w:hint="eastAsia" w:ascii="仿宋_GB2312" w:eastAsia="仿宋_GB2312" w:cs="仿宋_GB2312"/>
          <w:color w:val="auto"/>
          <w:sz w:val="28"/>
          <w:szCs w:val="28"/>
          <w:lang w:val="en-US" w:eastAsia="zh-CN"/>
        </w:rPr>
        <w:t>车速</w:t>
      </w:r>
      <w:r>
        <w:rPr>
          <w:rFonts w:hint="eastAsia" w:ascii="仿宋_GB2312" w:eastAsia="仿宋_GB2312" w:cs="仿宋_GB2312"/>
          <w:color w:val="auto"/>
          <w:sz w:val="28"/>
          <w:szCs w:val="28"/>
        </w:rPr>
        <w:t>：20km/h</w:t>
      </w:r>
      <w:r>
        <w:rPr>
          <w:rFonts w:hint="eastAsia" w:ascii="仿宋_GB2312" w:eastAsia="仿宋_GB2312" w:cs="仿宋_GB2312"/>
          <w:color w:val="auto"/>
          <w:sz w:val="28"/>
          <w:szCs w:val="28"/>
          <w:lang w:eastAsia="zh-CN"/>
        </w:rPr>
        <w:t>；</w:t>
      </w:r>
    </w:p>
    <w:p w14:paraId="2EB1F248">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路面宽度</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单车道</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m；</w:t>
      </w:r>
    </w:p>
    <w:p w14:paraId="546C900B">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道路内沿最小转弯半径：15.00m；</w:t>
      </w:r>
    </w:p>
    <w:p w14:paraId="5C5A46B8">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道路最大纵坡：9%；</w:t>
      </w:r>
    </w:p>
    <w:p w14:paraId="439EDD06">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道路缓坡坡段最小长度：60m；</w:t>
      </w:r>
    </w:p>
    <w:p w14:paraId="61339AD5">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道路缓坡段最大纵坡：3%。</w:t>
      </w:r>
    </w:p>
    <w:p w14:paraId="0C510DE0">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（2）道路做法</w:t>
      </w:r>
    </w:p>
    <w:p w14:paraId="5CE728B5">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道路做法采用泥结石路面，路面厚度为25cm。</w:t>
      </w:r>
    </w:p>
    <w:p w14:paraId="40F99137">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（3）路面排水</w:t>
      </w:r>
    </w:p>
    <w:p w14:paraId="1454B37D">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rPr>
        <w:t>道路横坡采用横向单坡，坡度1%，道路内侧设置道路边沟，边沟做法采用矩形边沟（0.40m×0.</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0m），沟底纵坡随道路纵坡。外侧设安全土堤。</w:t>
      </w:r>
    </w:p>
    <w:p w14:paraId="4F052DD2">
      <w:pPr>
        <w:pStyle w:val="4"/>
        <w:adjustRightInd w:val="0"/>
        <w:snapToGrid w:val="0"/>
        <w:spacing w:before="0"/>
        <w:rPr>
          <w:rFonts w:hint="eastAsia" w:ascii="仿宋_GB2312" w:eastAsia="仿宋_GB2312" w:cs="仿宋_GB2312"/>
          <w:b/>
          <w:bCs w:val="0"/>
          <w:color w:val="auto"/>
          <w:sz w:val="28"/>
          <w:szCs w:val="28"/>
        </w:rPr>
      </w:pPr>
      <w:bookmarkStart w:id="251" w:name="_Toc21776"/>
      <w:bookmarkStart w:id="252" w:name="_Toc14489"/>
      <w:r>
        <w:rPr>
          <w:rFonts w:hint="eastAsia" w:ascii="仿宋_GB2312" w:eastAsia="仿宋_GB2312" w:cs="仿宋_GB2312"/>
          <w:b/>
          <w:bCs w:val="0"/>
          <w:color w:val="auto"/>
          <w:sz w:val="28"/>
          <w:szCs w:val="28"/>
        </w:rPr>
        <w:t>5.5采矿方法</w:t>
      </w:r>
      <w:bookmarkEnd w:id="251"/>
      <w:bookmarkEnd w:id="252"/>
    </w:p>
    <w:p w14:paraId="4D7C4783">
      <w:pPr>
        <w:pStyle w:val="5"/>
        <w:adjustRightInd w:val="0"/>
        <w:snapToGrid w:val="0"/>
        <w:spacing w:before="0" w:line="360" w:lineRule="auto"/>
        <w:rPr>
          <w:rFonts w:hint="eastAsia" w:ascii="仿宋_GB2312" w:eastAsia="仿宋_GB2312" w:cs="仿宋_GB2312"/>
          <w:b/>
          <w:bCs w:val="0"/>
          <w:color w:val="auto"/>
          <w:sz w:val="28"/>
          <w:szCs w:val="28"/>
        </w:rPr>
      </w:pPr>
      <w:bookmarkStart w:id="253" w:name="_Toc30140"/>
      <w:bookmarkStart w:id="254" w:name="_Toc148957994"/>
      <w:r>
        <w:rPr>
          <w:rFonts w:hint="eastAsia" w:ascii="仿宋_GB2312" w:eastAsia="仿宋_GB2312" w:cs="仿宋_GB2312"/>
          <w:b/>
          <w:bCs w:val="0"/>
          <w:color w:val="auto"/>
          <w:sz w:val="28"/>
          <w:szCs w:val="28"/>
        </w:rPr>
        <w:t>5.5.1采矿方法选择</w:t>
      </w:r>
      <w:bookmarkEnd w:id="253"/>
      <w:bookmarkEnd w:id="254"/>
    </w:p>
    <w:p w14:paraId="29CB669A">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根据矿体赋存条件，</w:t>
      </w:r>
      <w:r>
        <w:rPr>
          <w:rFonts w:hint="eastAsia" w:ascii="仿宋_GB2312" w:eastAsia="仿宋_GB2312" w:cs="仿宋_GB2312"/>
          <w:color w:val="auto"/>
          <w:sz w:val="28"/>
          <w:szCs w:val="28"/>
        </w:rPr>
        <w:t>矿山采用自上而下水平分台阶开采法</w:t>
      </w:r>
      <w:r>
        <w:rPr>
          <w:rFonts w:hint="eastAsia" w:ascii="仿宋_GB2312" w:eastAsia="仿宋_GB2312" w:cs="仿宋_GB2312"/>
          <w:color w:val="auto"/>
          <w:sz w:val="28"/>
          <w:szCs w:val="28"/>
          <w:lang w:eastAsia="zh-CN"/>
        </w:rPr>
        <w:t>。</w:t>
      </w:r>
    </w:p>
    <w:p w14:paraId="17C3A78C">
      <w:pPr>
        <w:pStyle w:val="5"/>
        <w:adjustRightInd w:val="0"/>
        <w:snapToGrid w:val="0"/>
        <w:spacing w:before="0" w:line="360" w:lineRule="auto"/>
        <w:rPr>
          <w:rFonts w:hint="eastAsia" w:ascii="仿宋_GB2312" w:eastAsia="仿宋_GB2312" w:cs="仿宋_GB2312"/>
          <w:b/>
          <w:bCs w:val="0"/>
          <w:color w:val="auto"/>
          <w:sz w:val="28"/>
          <w:szCs w:val="28"/>
        </w:rPr>
      </w:pPr>
      <w:bookmarkStart w:id="255" w:name="_Toc7076"/>
      <w:r>
        <w:rPr>
          <w:rFonts w:hint="eastAsia" w:ascii="仿宋_GB2312" w:eastAsia="仿宋_GB2312" w:cs="仿宋_GB2312"/>
          <w:b/>
          <w:bCs w:val="0"/>
          <w:color w:val="auto"/>
          <w:sz w:val="28"/>
          <w:szCs w:val="28"/>
          <w:lang w:val="en-US" w:eastAsia="zh-CN"/>
        </w:rPr>
        <w:t>5.5.2</w:t>
      </w:r>
      <w:r>
        <w:rPr>
          <w:rFonts w:hint="eastAsia" w:ascii="仿宋_GB2312" w:eastAsia="仿宋_GB2312" w:cs="仿宋_GB2312"/>
          <w:b/>
          <w:bCs w:val="0"/>
          <w:color w:val="auto"/>
          <w:sz w:val="28"/>
          <w:szCs w:val="28"/>
        </w:rPr>
        <w:t>采矿顺序</w:t>
      </w:r>
      <w:bookmarkEnd w:id="255"/>
    </w:p>
    <w:p w14:paraId="5873F1CE">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采矿总体顺序为自上而下按6m高一个台阶逐层开采</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靠帮时2个台阶并段，并段后台阶高度12m。</w:t>
      </w:r>
    </w:p>
    <w:p w14:paraId="36578C48">
      <w:pPr>
        <w:pStyle w:val="5"/>
        <w:adjustRightInd w:val="0"/>
        <w:snapToGrid w:val="0"/>
        <w:spacing w:before="0" w:line="360" w:lineRule="auto"/>
        <w:rPr>
          <w:rFonts w:hint="eastAsia" w:ascii="仿宋_GB2312" w:eastAsia="仿宋_GB2312" w:cs="仿宋_GB2312"/>
          <w:b/>
          <w:bCs w:val="0"/>
          <w:color w:val="auto"/>
          <w:sz w:val="28"/>
          <w:szCs w:val="28"/>
          <w:lang w:val="en-US" w:eastAsia="zh-CN"/>
        </w:rPr>
      </w:pPr>
      <w:bookmarkStart w:id="256" w:name="_Toc18963"/>
      <w:r>
        <w:rPr>
          <w:rFonts w:hint="eastAsia" w:ascii="仿宋_GB2312" w:eastAsia="仿宋_GB2312" w:cs="仿宋_GB2312"/>
          <w:b/>
          <w:bCs w:val="0"/>
          <w:color w:val="auto"/>
          <w:sz w:val="28"/>
          <w:szCs w:val="28"/>
          <w:lang w:val="en-US" w:eastAsia="zh-CN"/>
        </w:rPr>
        <w:t>5.5.3采掘要素</w:t>
      </w:r>
      <w:bookmarkEnd w:id="256"/>
    </w:p>
    <w:p w14:paraId="48B99591">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台阶高度</w:t>
      </w:r>
    </w:p>
    <w:p w14:paraId="27B6EBA3">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矿体呈近水平层状产出。综合考虑矿体赋存特点</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本次设计</w:t>
      </w:r>
      <w:r>
        <w:rPr>
          <w:rFonts w:hint="eastAsia" w:ascii="仿宋_GB2312" w:eastAsia="仿宋_GB2312" w:cs="仿宋_GB2312"/>
          <w:color w:val="auto"/>
          <w:sz w:val="28"/>
          <w:szCs w:val="28"/>
          <w:lang w:val="en-US" w:eastAsia="zh-CN"/>
        </w:rPr>
        <w:t>生产</w:t>
      </w:r>
      <w:r>
        <w:rPr>
          <w:rFonts w:hint="eastAsia" w:ascii="仿宋_GB2312" w:eastAsia="仿宋_GB2312" w:cs="仿宋_GB2312"/>
          <w:color w:val="auto"/>
          <w:sz w:val="28"/>
          <w:szCs w:val="28"/>
        </w:rPr>
        <w:t>台阶高度确定为6m。</w:t>
      </w:r>
      <w:r>
        <w:rPr>
          <w:rFonts w:hint="eastAsia" w:ascii="仿宋_GB2312" w:eastAsia="仿宋_GB2312" w:cs="仿宋_GB2312"/>
          <w:color w:val="auto"/>
          <w:sz w:val="28"/>
          <w:szCs w:val="28"/>
          <w:lang w:val="en-US" w:eastAsia="zh-CN"/>
        </w:rPr>
        <w:t>选用1.3m³液压挖掘机铲装，挖掘机</w:t>
      </w:r>
      <w:r>
        <w:rPr>
          <w:rFonts w:hint="eastAsia" w:ascii="仿宋_GB2312" w:eastAsia="仿宋_GB2312" w:cs="仿宋_GB2312"/>
          <w:color w:val="auto"/>
          <w:sz w:val="28"/>
          <w:szCs w:val="28"/>
        </w:rPr>
        <w:t>挖掘高度10.</w:t>
      </w:r>
      <w:r>
        <w:rPr>
          <w:rFonts w:hint="eastAsia" w:ascii="仿宋_GB2312" w:eastAsia="仿宋_GB2312" w:cs="仿宋_GB2312"/>
          <w:color w:val="auto"/>
          <w:sz w:val="28"/>
          <w:szCs w:val="28"/>
          <w:lang w:val="en-US" w:eastAsia="zh-CN"/>
        </w:rPr>
        <w:t>6</w:t>
      </w:r>
      <w:r>
        <w:rPr>
          <w:rFonts w:hint="eastAsia" w:ascii="仿宋_GB2312" w:eastAsia="仿宋_GB2312" w:cs="仿宋_GB2312"/>
          <w:color w:val="auto"/>
          <w:sz w:val="28"/>
          <w:szCs w:val="28"/>
        </w:rPr>
        <w:t>m</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可以满足要求。</w:t>
      </w:r>
    </w:p>
    <w:p w14:paraId="05C240B1">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lang w:eastAsia="zh-CN"/>
        </w:rPr>
        <w:t>）采掘带宽度</w:t>
      </w:r>
    </w:p>
    <w:p w14:paraId="09726186">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在采掘矿岩时，若采掘带过小，会使挖掘机频繁移动，作业时间减少，从而使挖掘机生产效率降低；若过宽，挖掘机不作横向移动时会使挖掘带边缘满斗程度降低，残留矿增多。本矿采用1.</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rPr>
        <w:t>挖掘机搭配装载机装载，挖掘机最大挖掘半径分别为10.3mm，为了保证挖掘机的工作效率，采掘带宽度取12m。</w:t>
      </w:r>
    </w:p>
    <w:p w14:paraId="241E194E">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lang w:eastAsia="zh-CN"/>
        </w:rPr>
        <w:t>）最小工作线长度</w:t>
      </w:r>
    </w:p>
    <w:p w14:paraId="04E9E35B">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矿石采用挖掘机装载，采场内采用汽车运输的方式，采区工作线长度较为灵活。根据挖掘机型号、运输方式综合确定最小工作线长度取60m。</w:t>
      </w:r>
    </w:p>
    <w:p w14:paraId="29FC1BA8">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lang w:eastAsia="zh-CN"/>
        </w:rPr>
        <w:t>）最小工作平台宽度</w:t>
      </w:r>
    </w:p>
    <w:p w14:paraId="16130F67">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矿山采用</w:t>
      </w:r>
      <w:r>
        <w:rPr>
          <w:rFonts w:hint="eastAsia" w:ascii="仿宋_GB2312" w:eastAsia="仿宋_GB2312" w:cs="仿宋_GB2312"/>
          <w:color w:val="auto"/>
          <w:sz w:val="28"/>
          <w:szCs w:val="28"/>
          <w:lang w:val="en-US" w:eastAsia="zh-CN"/>
        </w:rPr>
        <w:t>10</w:t>
      </w:r>
      <w:r>
        <w:rPr>
          <w:rFonts w:hint="eastAsia" w:ascii="仿宋_GB2312" w:eastAsia="仿宋_GB2312" w:cs="仿宋_GB2312"/>
          <w:color w:val="auto"/>
          <w:sz w:val="28"/>
          <w:szCs w:val="28"/>
        </w:rPr>
        <w:t>t自卸</w:t>
      </w:r>
      <w:r>
        <w:rPr>
          <w:rFonts w:hint="eastAsia" w:ascii="仿宋_GB2312" w:eastAsia="仿宋_GB2312" w:cs="仿宋_GB2312"/>
          <w:color w:val="auto"/>
          <w:sz w:val="28"/>
          <w:szCs w:val="28"/>
          <w:lang w:val="en-US" w:eastAsia="zh-CN"/>
        </w:rPr>
        <w:t>汽车</w:t>
      </w:r>
      <w:r>
        <w:rPr>
          <w:rFonts w:hint="eastAsia" w:ascii="仿宋_GB2312" w:eastAsia="仿宋_GB2312" w:cs="仿宋_GB2312"/>
          <w:color w:val="auto"/>
          <w:sz w:val="28"/>
          <w:szCs w:val="28"/>
        </w:rPr>
        <w:t>，计算最大车宽为2.5m，矿山运输平台采用</w:t>
      </w:r>
      <w:r>
        <w:rPr>
          <w:rFonts w:hint="eastAsia" w:ascii="仿宋_GB2312" w:eastAsia="仿宋_GB2312" w:cs="仿宋_GB2312"/>
          <w:color w:val="auto"/>
          <w:sz w:val="28"/>
          <w:szCs w:val="28"/>
          <w:lang w:val="en-US" w:eastAsia="zh-CN"/>
        </w:rPr>
        <w:t>单</w:t>
      </w:r>
      <w:r>
        <w:rPr>
          <w:rFonts w:hint="eastAsia" w:ascii="仿宋_GB2312" w:eastAsia="仿宋_GB2312" w:cs="仿宋_GB2312"/>
          <w:color w:val="auto"/>
          <w:sz w:val="28"/>
          <w:szCs w:val="28"/>
        </w:rPr>
        <w:t>线布置，汽车运输道路宽度选用</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m。</w:t>
      </w:r>
    </w:p>
    <w:p w14:paraId="5C7848DA">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L=D+C+B</w:t>
      </w:r>
    </w:p>
    <w:p w14:paraId="507D309B">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式中：L——最小工作平</w:t>
      </w:r>
      <w:r>
        <w:rPr>
          <w:rFonts w:hint="eastAsia" w:ascii="仿宋_GB2312" w:eastAsia="仿宋_GB2312" w:cs="仿宋_GB2312"/>
          <w:color w:val="auto"/>
          <w:sz w:val="28"/>
          <w:szCs w:val="28"/>
          <w:lang w:val="en-US" w:eastAsia="zh-CN"/>
        </w:rPr>
        <w:t>台</w:t>
      </w:r>
      <w:r>
        <w:rPr>
          <w:rFonts w:hint="eastAsia" w:ascii="仿宋_GB2312" w:eastAsia="仿宋_GB2312" w:cs="仿宋_GB2312"/>
          <w:color w:val="auto"/>
          <w:sz w:val="28"/>
          <w:szCs w:val="28"/>
        </w:rPr>
        <w:t>宽度，m；</w:t>
      </w:r>
    </w:p>
    <w:p w14:paraId="1098767E">
      <w:pPr>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D——安全距离，取3.0；</w:t>
      </w:r>
    </w:p>
    <w:p w14:paraId="730852FA">
      <w:pPr>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C——运输道路宽度，</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m；</w:t>
      </w:r>
    </w:p>
    <w:p w14:paraId="3DB5FD5C">
      <w:pPr>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B——采用非爆破开采，取采掘带宽度计算。</w:t>
      </w:r>
    </w:p>
    <w:p w14:paraId="1F6C2ADE">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计算后得，计算L=</w:t>
      </w:r>
      <w:r>
        <w:rPr>
          <w:rFonts w:hint="eastAsia" w:ascii="仿宋_GB2312" w:eastAsia="仿宋_GB2312" w:cs="仿宋_GB2312"/>
          <w:color w:val="auto"/>
          <w:sz w:val="28"/>
          <w:szCs w:val="28"/>
          <w:lang w:val="en-US" w:eastAsia="zh-CN"/>
        </w:rPr>
        <w:t>19</w:t>
      </w:r>
      <w:r>
        <w:rPr>
          <w:rFonts w:hint="eastAsia" w:ascii="仿宋_GB2312" w:eastAsia="仿宋_GB2312" w:cs="仿宋_GB2312"/>
          <w:color w:val="auto"/>
          <w:sz w:val="28"/>
          <w:szCs w:val="28"/>
        </w:rPr>
        <w:t>m，设计取值</w:t>
      </w:r>
      <w:r>
        <w:rPr>
          <w:rFonts w:hint="eastAsia" w:ascii="仿宋_GB2312" w:eastAsia="仿宋_GB2312" w:cs="仿宋_GB2312"/>
          <w:color w:val="auto"/>
          <w:sz w:val="28"/>
          <w:szCs w:val="28"/>
          <w:lang w:val="en-US" w:eastAsia="zh-CN"/>
        </w:rPr>
        <w:t>20</w:t>
      </w:r>
      <w:r>
        <w:rPr>
          <w:rFonts w:hint="eastAsia" w:ascii="仿宋_GB2312" w:eastAsia="仿宋_GB2312" w:cs="仿宋_GB2312"/>
          <w:color w:val="auto"/>
          <w:sz w:val="28"/>
          <w:szCs w:val="28"/>
        </w:rPr>
        <w:t>m。</w:t>
      </w:r>
    </w:p>
    <w:p w14:paraId="585CAB8D">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5</w:t>
      </w:r>
      <w:r>
        <w:rPr>
          <w:rFonts w:hint="eastAsia" w:ascii="仿宋_GB2312" w:eastAsia="仿宋_GB2312" w:cs="仿宋_GB2312"/>
          <w:color w:val="auto"/>
          <w:sz w:val="28"/>
          <w:szCs w:val="28"/>
          <w:lang w:eastAsia="zh-CN"/>
        </w:rPr>
        <w:t>）台阶坡面角</w:t>
      </w:r>
    </w:p>
    <w:p w14:paraId="4123E9C4">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参考类似矿山，工作台阶坡面角取</w:t>
      </w:r>
      <w:r>
        <w:rPr>
          <w:rFonts w:hint="eastAsia" w:ascii="仿宋_GB2312" w:eastAsia="仿宋_GB2312" w:cs="仿宋_GB2312"/>
          <w:color w:val="auto"/>
          <w:sz w:val="28"/>
          <w:szCs w:val="28"/>
          <w:lang w:val="en-US" w:eastAsia="zh-CN"/>
        </w:rPr>
        <w:t>60</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终了台阶坡面角60°</w:t>
      </w:r>
      <w:r>
        <w:rPr>
          <w:rFonts w:hint="eastAsia" w:ascii="仿宋_GB2312" w:eastAsia="仿宋_GB2312" w:cs="仿宋_GB2312"/>
          <w:color w:val="auto"/>
          <w:sz w:val="28"/>
          <w:szCs w:val="28"/>
        </w:rPr>
        <w:t>。</w:t>
      </w:r>
    </w:p>
    <w:p w14:paraId="6408F8B9">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6</w:t>
      </w:r>
      <w:r>
        <w:rPr>
          <w:rFonts w:hint="eastAsia" w:ascii="仿宋_GB2312" w:eastAsia="仿宋_GB2312" w:cs="仿宋_GB2312"/>
          <w:color w:val="auto"/>
          <w:sz w:val="28"/>
          <w:szCs w:val="28"/>
          <w:lang w:eastAsia="zh-CN"/>
        </w:rPr>
        <w:t>）矿石损失与贫化</w:t>
      </w:r>
    </w:p>
    <w:p w14:paraId="1634C08C">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设计损失率为</w:t>
      </w: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rPr>
        <w:t>%（设计回采率9</w:t>
      </w:r>
      <w:r>
        <w:rPr>
          <w:rFonts w:hint="eastAsia" w:ascii="仿宋_GB2312" w:eastAsia="仿宋_GB2312" w:cs="仿宋_GB2312"/>
          <w:color w:val="auto"/>
          <w:sz w:val="28"/>
          <w:szCs w:val="28"/>
          <w:lang w:val="en-US" w:eastAsia="zh-CN"/>
        </w:rPr>
        <w:t>8</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废石混入率</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w:t>
      </w:r>
    </w:p>
    <w:p w14:paraId="5D058171">
      <w:pPr>
        <w:pStyle w:val="149"/>
        <w:adjustRightInd w:val="0"/>
        <w:snapToGrid w:val="0"/>
        <w:spacing w:line="240" w:lineRule="auto"/>
        <w:jc w:val="center"/>
        <w:rPr>
          <w:rFonts w:hint="eastAsia" w:ascii="仿宋_GB2312" w:eastAsia="仿宋_GB2312" w:cs="仿宋_GB2312"/>
          <w:color w:val="auto"/>
          <w:sz w:val="28"/>
          <w:szCs w:val="28"/>
        </w:rPr>
      </w:pPr>
    </w:p>
    <w:p w14:paraId="622F3091">
      <w:pPr>
        <w:pStyle w:val="149"/>
        <w:adjustRightInd w:val="0"/>
        <w:snapToGrid w:val="0"/>
        <w:spacing w:line="240" w:lineRule="auto"/>
        <w:jc w:val="center"/>
        <w:rPr>
          <w:rFonts w:hint="eastAsia" w:ascii="仿宋_GB2312" w:eastAsia="仿宋_GB2312" w:cs="仿宋_GB2312"/>
          <w:color w:val="auto"/>
          <w:sz w:val="28"/>
          <w:szCs w:val="28"/>
        </w:rPr>
      </w:pPr>
    </w:p>
    <w:p w14:paraId="3E7C368D">
      <w:pPr>
        <w:pStyle w:val="149"/>
        <w:adjustRightInd w:val="0"/>
        <w:snapToGrid w:val="0"/>
        <w:spacing w:line="240" w:lineRule="auto"/>
        <w:jc w:val="center"/>
        <w:rPr>
          <w:rFonts w:hint="eastAsia" w:ascii="仿宋_GB2312" w:eastAsia="仿宋_GB2312" w:cs="仿宋_GB2312"/>
          <w:color w:val="auto"/>
          <w:sz w:val="28"/>
          <w:szCs w:val="28"/>
        </w:rPr>
      </w:pPr>
    </w:p>
    <w:p w14:paraId="4D14A407">
      <w:pPr>
        <w:pStyle w:val="149"/>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表</w:t>
      </w:r>
      <w:r>
        <w:rPr>
          <w:rFonts w:hint="eastAsia" w:ascii="仿宋_GB2312" w:eastAsia="仿宋_GB2312" w:cs="仿宋_GB2312"/>
          <w:color w:val="auto"/>
          <w:sz w:val="28"/>
          <w:szCs w:val="28"/>
          <w:lang w:val="en-US" w:eastAsia="zh-CN"/>
        </w:rPr>
        <w:t>5-3</w:t>
      </w:r>
      <w:r>
        <w:rPr>
          <w:rFonts w:hint="eastAsia" w:ascii="仿宋_GB2312" w:eastAsia="仿宋_GB2312" w:cs="仿宋_GB2312"/>
          <w:color w:val="auto"/>
          <w:sz w:val="28"/>
          <w:szCs w:val="28"/>
        </w:rPr>
        <w:t xml:space="preserve">  采掘要素表</w:t>
      </w:r>
    </w:p>
    <w:tbl>
      <w:tblPr>
        <w:tblStyle w:val="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27"/>
        <w:gridCol w:w="3425"/>
        <w:gridCol w:w="927"/>
        <w:gridCol w:w="1440"/>
        <w:gridCol w:w="2295"/>
      </w:tblGrid>
      <w:tr w14:paraId="3221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trPr>
        <w:tc>
          <w:tcPr>
            <w:tcW w:w="514" w:type="pct"/>
            <w:noWrap/>
            <w:vAlign w:val="center"/>
          </w:tcPr>
          <w:p w14:paraId="41E7E7E6">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序号</w:t>
            </w:r>
          </w:p>
        </w:tc>
        <w:tc>
          <w:tcPr>
            <w:tcW w:w="1899" w:type="pct"/>
            <w:noWrap/>
            <w:vAlign w:val="center"/>
          </w:tcPr>
          <w:p w14:paraId="195AF965">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项   目</w:t>
            </w:r>
          </w:p>
        </w:tc>
        <w:tc>
          <w:tcPr>
            <w:tcW w:w="514" w:type="pct"/>
            <w:noWrap/>
            <w:vAlign w:val="center"/>
          </w:tcPr>
          <w:p w14:paraId="16D06D40">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单位</w:t>
            </w:r>
          </w:p>
        </w:tc>
        <w:tc>
          <w:tcPr>
            <w:tcW w:w="798" w:type="pct"/>
            <w:noWrap/>
            <w:vAlign w:val="center"/>
          </w:tcPr>
          <w:p w14:paraId="79EE5339">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数  值</w:t>
            </w:r>
          </w:p>
        </w:tc>
        <w:tc>
          <w:tcPr>
            <w:tcW w:w="1272" w:type="pct"/>
            <w:noWrap/>
            <w:vAlign w:val="center"/>
          </w:tcPr>
          <w:p w14:paraId="25CF014F">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备   注</w:t>
            </w:r>
          </w:p>
        </w:tc>
      </w:tr>
      <w:tr w14:paraId="4F5F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14" w:type="pct"/>
            <w:tcBorders>
              <w:top w:val="single" w:color="auto" w:sz="4" w:space="0"/>
              <w:left w:val="single" w:color="auto" w:sz="4" w:space="0"/>
              <w:right w:val="single" w:color="auto" w:sz="4" w:space="0"/>
            </w:tcBorders>
            <w:noWrap/>
            <w:vAlign w:val="center"/>
          </w:tcPr>
          <w:p w14:paraId="6F01D63E">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1</w:t>
            </w:r>
          </w:p>
        </w:tc>
        <w:tc>
          <w:tcPr>
            <w:tcW w:w="1899" w:type="pct"/>
            <w:tcBorders>
              <w:top w:val="single" w:color="auto" w:sz="4" w:space="0"/>
              <w:left w:val="single" w:color="auto" w:sz="4" w:space="0"/>
              <w:right w:val="single" w:color="auto" w:sz="4" w:space="0"/>
            </w:tcBorders>
            <w:noWrap/>
            <w:vAlign w:val="center"/>
          </w:tcPr>
          <w:p w14:paraId="243869FA">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生产台阶高度</w:t>
            </w:r>
          </w:p>
        </w:tc>
        <w:tc>
          <w:tcPr>
            <w:tcW w:w="514" w:type="pct"/>
            <w:tcBorders>
              <w:top w:val="single" w:color="auto" w:sz="4" w:space="0"/>
              <w:left w:val="single" w:color="auto" w:sz="4" w:space="0"/>
              <w:right w:val="single" w:color="auto" w:sz="4" w:space="0"/>
            </w:tcBorders>
            <w:noWrap/>
            <w:vAlign w:val="center"/>
          </w:tcPr>
          <w:p w14:paraId="61BBB78A">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m</w:t>
            </w:r>
          </w:p>
        </w:tc>
        <w:tc>
          <w:tcPr>
            <w:tcW w:w="798" w:type="pct"/>
            <w:tcBorders>
              <w:top w:val="single" w:color="auto" w:sz="4" w:space="0"/>
              <w:left w:val="single" w:color="auto" w:sz="4" w:space="0"/>
              <w:right w:val="single" w:color="auto" w:sz="4" w:space="0"/>
            </w:tcBorders>
            <w:noWrap/>
            <w:vAlign w:val="center"/>
          </w:tcPr>
          <w:p w14:paraId="389E76BB">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6</w:t>
            </w:r>
          </w:p>
        </w:tc>
        <w:tc>
          <w:tcPr>
            <w:tcW w:w="1272" w:type="pct"/>
            <w:tcBorders>
              <w:top w:val="single" w:color="auto" w:sz="4" w:space="0"/>
              <w:left w:val="single" w:color="auto" w:sz="4" w:space="0"/>
              <w:right w:val="single" w:color="auto" w:sz="4" w:space="0"/>
            </w:tcBorders>
            <w:noWrap/>
            <w:vAlign w:val="center"/>
          </w:tcPr>
          <w:p w14:paraId="1D7FE906">
            <w:pPr>
              <w:pStyle w:val="32"/>
              <w:adjustRightInd w:val="0"/>
              <w:snapToGrid w:val="0"/>
              <w:spacing w:line="240" w:lineRule="auto"/>
              <w:jc w:val="center"/>
              <w:rPr>
                <w:rFonts w:hint="eastAsia" w:ascii="仿宋_GB2312" w:eastAsia="仿宋_GB2312" w:cs="仿宋_GB2312"/>
                <w:color w:val="auto"/>
                <w:sz w:val="24"/>
                <w:szCs w:val="32"/>
                <w:lang w:val="en-US" w:eastAsia="zh-CN"/>
              </w:rPr>
            </w:pPr>
          </w:p>
        </w:tc>
      </w:tr>
      <w:tr w14:paraId="174C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14" w:type="pct"/>
            <w:tcBorders>
              <w:top w:val="single" w:color="auto" w:sz="4" w:space="0"/>
              <w:left w:val="single" w:color="auto" w:sz="4" w:space="0"/>
              <w:right w:val="single" w:color="auto" w:sz="4" w:space="0"/>
            </w:tcBorders>
            <w:noWrap/>
            <w:vAlign w:val="center"/>
          </w:tcPr>
          <w:p w14:paraId="24BE189E">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2</w:t>
            </w:r>
          </w:p>
        </w:tc>
        <w:tc>
          <w:tcPr>
            <w:tcW w:w="1899" w:type="pct"/>
            <w:tcBorders>
              <w:top w:val="single" w:color="auto" w:sz="4" w:space="0"/>
              <w:left w:val="single" w:color="auto" w:sz="4" w:space="0"/>
              <w:right w:val="single" w:color="auto" w:sz="4" w:space="0"/>
            </w:tcBorders>
            <w:noWrap/>
            <w:vAlign w:val="center"/>
          </w:tcPr>
          <w:p w14:paraId="2D75C52E">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终了台阶高度</w:t>
            </w:r>
          </w:p>
        </w:tc>
        <w:tc>
          <w:tcPr>
            <w:tcW w:w="514" w:type="pct"/>
            <w:tcBorders>
              <w:top w:val="single" w:color="auto" w:sz="4" w:space="0"/>
              <w:left w:val="single" w:color="auto" w:sz="4" w:space="0"/>
              <w:right w:val="single" w:color="auto" w:sz="4" w:space="0"/>
            </w:tcBorders>
            <w:noWrap/>
            <w:vAlign w:val="center"/>
          </w:tcPr>
          <w:p w14:paraId="4F879D84">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m</w:t>
            </w:r>
          </w:p>
        </w:tc>
        <w:tc>
          <w:tcPr>
            <w:tcW w:w="798" w:type="pct"/>
            <w:tcBorders>
              <w:top w:val="single" w:color="auto" w:sz="4" w:space="0"/>
              <w:left w:val="single" w:color="auto" w:sz="4" w:space="0"/>
              <w:right w:val="single" w:color="auto" w:sz="4" w:space="0"/>
            </w:tcBorders>
            <w:noWrap/>
            <w:vAlign w:val="center"/>
          </w:tcPr>
          <w:p w14:paraId="0E6E41DD">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12</w:t>
            </w:r>
          </w:p>
        </w:tc>
        <w:tc>
          <w:tcPr>
            <w:tcW w:w="1272" w:type="pct"/>
            <w:tcBorders>
              <w:top w:val="single" w:color="auto" w:sz="4" w:space="0"/>
              <w:left w:val="single" w:color="auto" w:sz="4" w:space="0"/>
              <w:right w:val="single" w:color="auto" w:sz="4" w:space="0"/>
            </w:tcBorders>
            <w:noWrap/>
            <w:vAlign w:val="center"/>
          </w:tcPr>
          <w:p w14:paraId="515D00B9">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2个台阶并段</w:t>
            </w:r>
          </w:p>
        </w:tc>
      </w:tr>
      <w:tr w14:paraId="597B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14" w:type="pct"/>
            <w:tcBorders>
              <w:top w:val="single" w:color="auto" w:sz="4" w:space="0"/>
              <w:left w:val="single" w:color="auto" w:sz="4" w:space="0"/>
              <w:right w:val="single" w:color="auto" w:sz="4" w:space="0"/>
            </w:tcBorders>
            <w:noWrap/>
            <w:vAlign w:val="center"/>
          </w:tcPr>
          <w:p w14:paraId="5F98F159">
            <w:pPr>
              <w:pStyle w:val="32"/>
              <w:adjustRightInd w:val="0"/>
              <w:snapToGrid w:val="0"/>
              <w:spacing w:line="240" w:lineRule="auto"/>
              <w:jc w:val="center"/>
              <w:rPr>
                <w:rFonts w:hint="eastAsia" w:ascii="仿宋_GB2312" w:eastAsia="仿宋_GB2312" w:cs="仿宋_GB2312"/>
                <w:color w:val="auto"/>
                <w:kern w:val="2"/>
                <w:sz w:val="24"/>
                <w:szCs w:val="32"/>
                <w:lang w:val="en-US" w:eastAsia="zh-CN" w:bidi="ar-SA"/>
              </w:rPr>
            </w:pPr>
            <w:r>
              <w:rPr>
                <w:rFonts w:hint="eastAsia" w:ascii="仿宋_GB2312" w:eastAsia="仿宋_GB2312" w:cs="仿宋_GB2312"/>
                <w:color w:val="auto"/>
                <w:sz w:val="24"/>
                <w:szCs w:val="32"/>
                <w:lang w:val="en-US" w:eastAsia="zh-CN"/>
              </w:rPr>
              <w:t>3</w:t>
            </w:r>
          </w:p>
        </w:tc>
        <w:tc>
          <w:tcPr>
            <w:tcW w:w="1899" w:type="pct"/>
            <w:tcBorders>
              <w:top w:val="single" w:color="auto" w:sz="4" w:space="0"/>
              <w:left w:val="single" w:color="auto" w:sz="4" w:space="0"/>
              <w:right w:val="single" w:color="auto" w:sz="4" w:space="0"/>
            </w:tcBorders>
            <w:noWrap/>
            <w:vAlign w:val="center"/>
          </w:tcPr>
          <w:p w14:paraId="2D3D20D3">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采掘带宽度</w:t>
            </w:r>
          </w:p>
        </w:tc>
        <w:tc>
          <w:tcPr>
            <w:tcW w:w="514" w:type="pct"/>
            <w:tcBorders>
              <w:top w:val="single" w:color="auto" w:sz="4" w:space="0"/>
              <w:left w:val="single" w:color="auto" w:sz="4" w:space="0"/>
              <w:right w:val="single" w:color="auto" w:sz="4" w:space="0"/>
            </w:tcBorders>
            <w:noWrap/>
            <w:vAlign w:val="center"/>
          </w:tcPr>
          <w:p w14:paraId="7BFB5A94">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m</w:t>
            </w:r>
          </w:p>
        </w:tc>
        <w:tc>
          <w:tcPr>
            <w:tcW w:w="798" w:type="pct"/>
            <w:tcBorders>
              <w:top w:val="single" w:color="auto" w:sz="4" w:space="0"/>
              <w:left w:val="single" w:color="auto" w:sz="4" w:space="0"/>
              <w:right w:val="single" w:color="auto" w:sz="4" w:space="0"/>
            </w:tcBorders>
            <w:noWrap/>
            <w:vAlign w:val="center"/>
          </w:tcPr>
          <w:p w14:paraId="7D13B725">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12</w:t>
            </w:r>
          </w:p>
        </w:tc>
        <w:tc>
          <w:tcPr>
            <w:tcW w:w="1272" w:type="pct"/>
            <w:tcBorders>
              <w:top w:val="single" w:color="auto" w:sz="4" w:space="0"/>
              <w:left w:val="single" w:color="auto" w:sz="4" w:space="0"/>
              <w:right w:val="single" w:color="auto" w:sz="4" w:space="0"/>
            </w:tcBorders>
            <w:noWrap/>
            <w:vAlign w:val="center"/>
          </w:tcPr>
          <w:p w14:paraId="5293D8A8">
            <w:pPr>
              <w:pStyle w:val="32"/>
              <w:adjustRightInd w:val="0"/>
              <w:snapToGrid w:val="0"/>
              <w:spacing w:line="240" w:lineRule="auto"/>
              <w:jc w:val="center"/>
              <w:rPr>
                <w:rFonts w:hint="eastAsia" w:ascii="仿宋_GB2312" w:eastAsia="仿宋_GB2312" w:cs="仿宋_GB2312"/>
                <w:color w:val="auto"/>
                <w:sz w:val="24"/>
                <w:szCs w:val="32"/>
                <w:lang w:val="en-US" w:eastAsia="zh-CN"/>
              </w:rPr>
            </w:pPr>
          </w:p>
        </w:tc>
      </w:tr>
      <w:tr w14:paraId="0413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14" w:type="pct"/>
            <w:tcBorders>
              <w:top w:val="single" w:color="auto" w:sz="4" w:space="0"/>
              <w:left w:val="single" w:color="auto" w:sz="4" w:space="0"/>
              <w:right w:val="single" w:color="auto" w:sz="4" w:space="0"/>
            </w:tcBorders>
            <w:noWrap/>
            <w:vAlign w:val="center"/>
          </w:tcPr>
          <w:p w14:paraId="753B0A4B">
            <w:pPr>
              <w:pStyle w:val="32"/>
              <w:adjustRightInd w:val="0"/>
              <w:snapToGrid w:val="0"/>
              <w:spacing w:line="240" w:lineRule="auto"/>
              <w:jc w:val="center"/>
              <w:rPr>
                <w:rFonts w:hint="eastAsia" w:ascii="仿宋_GB2312" w:eastAsia="仿宋_GB2312" w:cs="仿宋_GB2312"/>
                <w:color w:val="auto"/>
                <w:kern w:val="2"/>
                <w:sz w:val="24"/>
                <w:szCs w:val="32"/>
                <w:lang w:val="en-US" w:eastAsia="zh-CN" w:bidi="ar-SA"/>
              </w:rPr>
            </w:pPr>
            <w:r>
              <w:rPr>
                <w:rFonts w:hint="eastAsia" w:ascii="仿宋_GB2312" w:eastAsia="仿宋_GB2312" w:cs="仿宋_GB2312"/>
                <w:color w:val="auto"/>
                <w:sz w:val="24"/>
                <w:szCs w:val="32"/>
                <w:lang w:val="en-US" w:eastAsia="zh-CN"/>
              </w:rPr>
              <w:t>4</w:t>
            </w:r>
          </w:p>
        </w:tc>
        <w:tc>
          <w:tcPr>
            <w:tcW w:w="1899" w:type="pct"/>
            <w:tcBorders>
              <w:top w:val="single" w:color="auto" w:sz="4" w:space="0"/>
              <w:left w:val="single" w:color="auto" w:sz="4" w:space="0"/>
              <w:right w:val="single" w:color="auto" w:sz="4" w:space="0"/>
            </w:tcBorders>
            <w:noWrap/>
            <w:vAlign w:val="center"/>
          </w:tcPr>
          <w:p w14:paraId="5E731B1D">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挖掘机工作线长度</w:t>
            </w:r>
          </w:p>
        </w:tc>
        <w:tc>
          <w:tcPr>
            <w:tcW w:w="514" w:type="pct"/>
            <w:tcBorders>
              <w:top w:val="single" w:color="auto" w:sz="4" w:space="0"/>
              <w:left w:val="single" w:color="auto" w:sz="4" w:space="0"/>
              <w:right w:val="single" w:color="auto" w:sz="4" w:space="0"/>
            </w:tcBorders>
            <w:noWrap/>
            <w:vAlign w:val="center"/>
          </w:tcPr>
          <w:p w14:paraId="73FF38D8">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m</w:t>
            </w:r>
          </w:p>
        </w:tc>
        <w:tc>
          <w:tcPr>
            <w:tcW w:w="798" w:type="pct"/>
            <w:tcBorders>
              <w:top w:val="single" w:color="auto" w:sz="4" w:space="0"/>
              <w:left w:val="single" w:color="auto" w:sz="4" w:space="0"/>
              <w:right w:val="single" w:color="auto" w:sz="4" w:space="0"/>
            </w:tcBorders>
            <w:noWrap/>
            <w:vAlign w:val="center"/>
          </w:tcPr>
          <w:p w14:paraId="495A2728">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60</w:t>
            </w:r>
          </w:p>
        </w:tc>
        <w:tc>
          <w:tcPr>
            <w:tcW w:w="1272" w:type="pct"/>
            <w:tcBorders>
              <w:top w:val="single" w:color="auto" w:sz="4" w:space="0"/>
              <w:left w:val="single" w:color="auto" w:sz="4" w:space="0"/>
              <w:right w:val="single" w:color="auto" w:sz="4" w:space="0"/>
            </w:tcBorders>
            <w:noWrap/>
            <w:vAlign w:val="center"/>
          </w:tcPr>
          <w:p w14:paraId="305EAE4C">
            <w:pPr>
              <w:pStyle w:val="32"/>
              <w:adjustRightInd w:val="0"/>
              <w:snapToGrid w:val="0"/>
              <w:spacing w:line="240" w:lineRule="auto"/>
              <w:jc w:val="center"/>
              <w:rPr>
                <w:rFonts w:hint="eastAsia" w:ascii="仿宋_GB2312" w:eastAsia="仿宋_GB2312" w:cs="仿宋_GB2312"/>
                <w:color w:val="auto"/>
                <w:sz w:val="24"/>
                <w:szCs w:val="32"/>
                <w:lang w:val="en-US" w:eastAsia="zh-CN"/>
              </w:rPr>
            </w:pPr>
          </w:p>
        </w:tc>
      </w:tr>
      <w:tr w14:paraId="010A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14" w:type="pct"/>
            <w:tcBorders>
              <w:top w:val="single" w:color="auto" w:sz="4" w:space="0"/>
              <w:left w:val="single" w:color="auto" w:sz="4" w:space="0"/>
              <w:right w:val="single" w:color="auto" w:sz="4" w:space="0"/>
            </w:tcBorders>
            <w:noWrap/>
            <w:vAlign w:val="center"/>
          </w:tcPr>
          <w:p w14:paraId="1C1ED3AA">
            <w:pPr>
              <w:pStyle w:val="32"/>
              <w:adjustRightInd w:val="0"/>
              <w:snapToGrid w:val="0"/>
              <w:spacing w:line="240" w:lineRule="auto"/>
              <w:jc w:val="center"/>
              <w:rPr>
                <w:rFonts w:hint="eastAsia" w:ascii="仿宋_GB2312" w:eastAsia="仿宋_GB2312" w:cs="仿宋_GB2312"/>
                <w:color w:val="auto"/>
                <w:kern w:val="2"/>
                <w:sz w:val="24"/>
                <w:szCs w:val="32"/>
                <w:lang w:val="en-US" w:eastAsia="zh-CN" w:bidi="ar-SA"/>
              </w:rPr>
            </w:pPr>
            <w:r>
              <w:rPr>
                <w:rFonts w:hint="eastAsia" w:ascii="仿宋_GB2312" w:eastAsia="仿宋_GB2312" w:cs="仿宋_GB2312"/>
                <w:color w:val="auto"/>
                <w:sz w:val="24"/>
                <w:szCs w:val="32"/>
                <w:lang w:val="en-US" w:eastAsia="zh-CN"/>
              </w:rPr>
              <w:t>5</w:t>
            </w:r>
          </w:p>
        </w:tc>
        <w:tc>
          <w:tcPr>
            <w:tcW w:w="1899" w:type="pct"/>
            <w:tcBorders>
              <w:top w:val="single" w:color="auto" w:sz="4" w:space="0"/>
              <w:left w:val="single" w:color="auto" w:sz="4" w:space="0"/>
              <w:right w:val="single" w:color="auto" w:sz="4" w:space="0"/>
            </w:tcBorders>
            <w:noWrap/>
            <w:vAlign w:val="center"/>
          </w:tcPr>
          <w:p w14:paraId="4CEDE82E">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最小工作平台宽度</w:t>
            </w:r>
          </w:p>
        </w:tc>
        <w:tc>
          <w:tcPr>
            <w:tcW w:w="514" w:type="pct"/>
            <w:tcBorders>
              <w:top w:val="single" w:color="auto" w:sz="4" w:space="0"/>
              <w:left w:val="single" w:color="auto" w:sz="4" w:space="0"/>
              <w:right w:val="single" w:color="auto" w:sz="4" w:space="0"/>
            </w:tcBorders>
            <w:noWrap/>
            <w:vAlign w:val="center"/>
          </w:tcPr>
          <w:p w14:paraId="3F7F8629">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m</w:t>
            </w:r>
          </w:p>
        </w:tc>
        <w:tc>
          <w:tcPr>
            <w:tcW w:w="798" w:type="pct"/>
            <w:tcBorders>
              <w:top w:val="single" w:color="auto" w:sz="4" w:space="0"/>
              <w:left w:val="single" w:color="auto" w:sz="4" w:space="0"/>
              <w:right w:val="single" w:color="auto" w:sz="4" w:space="0"/>
            </w:tcBorders>
            <w:noWrap/>
            <w:vAlign w:val="center"/>
          </w:tcPr>
          <w:p w14:paraId="26591DE9">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20</w:t>
            </w:r>
          </w:p>
        </w:tc>
        <w:tc>
          <w:tcPr>
            <w:tcW w:w="1272" w:type="pct"/>
            <w:tcBorders>
              <w:top w:val="single" w:color="auto" w:sz="4" w:space="0"/>
              <w:left w:val="single" w:color="auto" w:sz="4" w:space="0"/>
              <w:right w:val="single" w:color="auto" w:sz="4" w:space="0"/>
            </w:tcBorders>
            <w:noWrap/>
            <w:vAlign w:val="center"/>
          </w:tcPr>
          <w:p w14:paraId="33BC9A55">
            <w:pPr>
              <w:pStyle w:val="32"/>
              <w:adjustRightInd w:val="0"/>
              <w:snapToGrid w:val="0"/>
              <w:spacing w:line="240" w:lineRule="auto"/>
              <w:jc w:val="center"/>
              <w:rPr>
                <w:rFonts w:hint="eastAsia" w:ascii="仿宋_GB2312" w:eastAsia="仿宋_GB2312" w:cs="仿宋_GB2312"/>
                <w:color w:val="auto"/>
                <w:sz w:val="24"/>
                <w:szCs w:val="32"/>
                <w:lang w:val="en-US" w:eastAsia="zh-CN"/>
              </w:rPr>
            </w:pPr>
          </w:p>
        </w:tc>
      </w:tr>
      <w:tr w14:paraId="2EE7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14" w:type="pct"/>
            <w:tcBorders>
              <w:top w:val="single" w:color="auto" w:sz="4" w:space="0"/>
              <w:left w:val="single" w:color="auto" w:sz="4" w:space="0"/>
              <w:right w:val="single" w:color="auto" w:sz="4" w:space="0"/>
            </w:tcBorders>
            <w:noWrap/>
            <w:vAlign w:val="center"/>
          </w:tcPr>
          <w:p w14:paraId="513CF424">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6</w:t>
            </w:r>
          </w:p>
        </w:tc>
        <w:tc>
          <w:tcPr>
            <w:tcW w:w="1899" w:type="pct"/>
            <w:tcBorders>
              <w:top w:val="single" w:color="auto" w:sz="4" w:space="0"/>
              <w:left w:val="single" w:color="auto" w:sz="4" w:space="0"/>
              <w:right w:val="single" w:color="auto" w:sz="4" w:space="0"/>
            </w:tcBorders>
            <w:noWrap/>
            <w:vAlign w:val="center"/>
          </w:tcPr>
          <w:p w14:paraId="7E5EC5B9">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生产台阶坡面角</w:t>
            </w:r>
          </w:p>
        </w:tc>
        <w:tc>
          <w:tcPr>
            <w:tcW w:w="514" w:type="pct"/>
            <w:tcBorders>
              <w:top w:val="single" w:color="auto" w:sz="4" w:space="0"/>
              <w:left w:val="single" w:color="auto" w:sz="4" w:space="0"/>
              <w:right w:val="single" w:color="auto" w:sz="4" w:space="0"/>
            </w:tcBorders>
            <w:noWrap/>
            <w:vAlign w:val="center"/>
          </w:tcPr>
          <w:p w14:paraId="5BE17BE8">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度</w:t>
            </w:r>
          </w:p>
        </w:tc>
        <w:tc>
          <w:tcPr>
            <w:tcW w:w="798" w:type="pct"/>
            <w:tcBorders>
              <w:top w:val="single" w:color="auto" w:sz="4" w:space="0"/>
              <w:left w:val="single" w:color="auto" w:sz="4" w:space="0"/>
              <w:right w:val="single" w:color="auto" w:sz="4" w:space="0"/>
            </w:tcBorders>
            <w:noWrap/>
            <w:vAlign w:val="center"/>
          </w:tcPr>
          <w:p w14:paraId="560E5AF4">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60</w:t>
            </w:r>
          </w:p>
        </w:tc>
        <w:tc>
          <w:tcPr>
            <w:tcW w:w="1272" w:type="pct"/>
            <w:tcBorders>
              <w:top w:val="single" w:color="auto" w:sz="4" w:space="0"/>
              <w:left w:val="single" w:color="auto" w:sz="4" w:space="0"/>
              <w:right w:val="single" w:color="auto" w:sz="4" w:space="0"/>
            </w:tcBorders>
            <w:noWrap/>
            <w:vAlign w:val="center"/>
          </w:tcPr>
          <w:p w14:paraId="3FC371B3">
            <w:pPr>
              <w:pStyle w:val="32"/>
              <w:adjustRightInd w:val="0"/>
              <w:snapToGrid w:val="0"/>
              <w:spacing w:line="240" w:lineRule="auto"/>
              <w:jc w:val="center"/>
              <w:rPr>
                <w:rFonts w:hint="eastAsia" w:ascii="仿宋_GB2312" w:eastAsia="仿宋_GB2312" w:cs="仿宋_GB2312"/>
                <w:color w:val="auto"/>
                <w:sz w:val="24"/>
                <w:szCs w:val="32"/>
                <w:lang w:val="en-US" w:eastAsia="zh-CN"/>
              </w:rPr>
            </w:pPr>
          </w:p>
        </w:tc>
      </w:tr>
      <w:tr w14:paraId="491E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14" w:type="pct"/>
            <w:tcBorders>
              <w:top w:val="single" w:color="auto" w:sz="4" w:space="0"/>
              <w:left w:val="single" w:color="auto" w:sz="4" w:space="0"/>
              <w:right w:val="single" w:color="auto" w:sz="4" w:space="0"/>
            </w:tcBorders>
            <w:noWrap/>
            <w:vAlign w:val="center"/>
          </w:tcPr>
          <w:p w14:paraId="37387101">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7</w:t>
            </w:r>
          </w:p>
        </w:tc>
        <w:tc>
          <w:tcPr>
            <w:tcW w:w="1899" w:type="pct"/>
            <w:tcBorders>
              <w:top w:val="single" w:color="auto" w:sz="4" w:space="0"/>
              <w:left w:val="single" w:color="auto" w:sz="4" w:space="0"/>
              <w:right w:val="single" w:color="auto" w:sz="4" w:space="0"/>
            </w:tcBorders>
            <w:noWrap/>
            <w:vAlign w:val="center"/>
          </w:tcPr>
          <w:p w14:paraId="0AEAA1BF">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终了台阶坡面角</w:t>
            </w:r>
          </w:p>
        </w:tc>
        <w:tc>
          <w:tcPr>
            <w:tcW w:w="514" w:type="pct"/>
            <w:tcBorders>
              <w:top w:val="single" w:color="auto" w:sz="4" w:space="0"/>
              <w:left w:val="single" w:color="auto" w:sz="4" w:space="0"/>
              <w:right w:val="single" w:color="auto" w:sz="4" w:space="0"/>
            </w:tcBorders>
            <w:noWrap/>
            <w:vAlign w:val="center"/>
          </w:tcPr>
          <w:p w14:paraId="25922BB5">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度</w:t>
            </w:r>
          </w:p>
        </w:tc>
        <w:tc>
          <w:tcPr>
            <w:tcW w:w="798" w:type="pct"/>
            <w:tcBorders>
              <w:top w:val="single" w:color="auto" w:sz="4" w:space="0"/>
              <w:left w:val="single" w:color="auto" w:sz="4" w:space="0"/>
              <w:right w:val="single" w:color="auto" w:sz="4" w:space="0"/>
            </w:tcBorders>
            <w:noWrap/>
            <w:vAlign w:val="center"/>
          </w:tcPr>
          <w:p w14:paraId="1799DC1B">
            <w:pPr>
              <w:pStyle w:val="32"/>
              <w:adjustRightInd w:val="0"/>
              <w:snapToGrid w:val="0"/>
              <w:spacing w:line="240" w:lineRule="auto"/>
              <w:jc w:val="center"/>
              <w:rPr>
                <w:rFonts w:hint="eastAsia" w:ascii="仿宋_GB2312" w:eastAsia="仿宋_GB2312" w:cs="仿宋_GB2312"/>
                <w:color w:val="auto"/>
                <w:sz w:val="24"/>
                <w:szCs w:val="32"/>
                <w:lang w:val="en-US" w:eastAsia="zh-CN"/>
              </w:rPr>
            </w:pPr>
            <w:r>
              <w:rPr>
                <w:rFonts w:hint="eastAsia" w:ascii="仿宋_GB2312" w:eastAsia="仿宋_GB2312" w:cs="仿宋_GB2312"/>
                <w:color w:val="auto"/>
                <w:sz w:val="24"/>
                <w:szCs w:val="32"/>
                <w:lang w:val="en-US" w:eastAsia="zh-CN"/>
              </w:rPr>
              <w:t>60</w:t>
            </w:r>
          </w:p>
        </w:tc>
        <w:tc>
          <w:tcPr>
            <w:tcW w:w="1272" w:type="pct"/>
            <w:tcBorders>
              <w:top w:val="single" w:color="auto" w:sz="4" w:space="0"/>
              <w:left w:val="single" w:color="auto" w:sz="4" w:space="0"/>
              <w:right w:val="single" w:color="auto" w:sz="4" w:space="0"/>
            </w:tcBorders>
            <w:noWrap/>
            <w:vAlign w:val="center"/>
          </w:tcPr>
          <w:p w14:paraId="1784F1A1">
            <w:pPr>
              <w:pStyle w:val="32"/>
              <w:adjustRightInd w:val="0"/>
              <w:snapToGrid w:val="0"/>
              <w:spacing w:line="240" w:lineRule="auto"/>
              <w:jc w:val="center"/>
              <w:rPr>
                <w:rFonts w:hint="eastAsia" w:ascii="仿宋_GB2312" w:eastAsia="仿宋_GB2312" w:cs="仿宋_GB2312"/>
                <w:color w:val="auto"/>
                <w:sz w:val="24"/>
                <w:szCs w:val="32"/>
                <w:lang w:val="en-US" w:eastAsia="zh-CN"/>
              </w:rPr>
            </w:pPr>
          </w:p>
        </w:tc>
      </w:tr>
    </w:tbl>
    <w:p w14:paraId="3E5CC3EF">
      <w:pPr>
        <w:pStyle w:val="4"/>
        <w:adjustRightInd w:val="0"/>
        <w:snapToGrid w:val="0"/>
        <w:spacing w:before="0"/>
        <w:rPr>
          <w:rFonts w:hint="eastAsia" w:ascii="仿宋_GB2312" w:eastAsia="仿宋_GB2312" w:cs="仿宋_GB2312"/>
          <w:b/>
          <w:bCs w:val="0"/>
          <w:color w:val="auto"/>
          <w:sz w:val="28"/>
          <w:szCs w:val="28"/>
        </w:rPr>
      </w:pPr>
      <w:bookmarkStart w:id="257" w:name="_Toc30334"/>
      <w:bookmarkStart w:id="258" w:name="_Toc25833"/>
      <w:r>
        <w:rPr>
          <w:rFonts w:hint="eastAsia" w:ascii="仿宋_GB2312" w:eastAsia="仿宋_GB2312" w:cs="仿宋_GB2312"/>
          <w:b/>
          <w:bCs w:val="0"/>
          <w:color w:val="auto"/>
          <w:sz w:val="28"/>
          <w:szCs w:val="28"/>
          <w:lang w:val="en-US" w:eastAsia="zh-CN"/>
        </w:rPr>
        <w:t>5.6</w:t>
      </w:r>
      <w:r>
        <w:rPr>
          <w:rFonts w:hint="eastAsia" w:ascii="仿宋_GB2312" w:eastAsia="仿宋_GB2312" w:cs="仿宋_GB2312"/>
          <w:b/>
          <w:bCs w:val="0"/>
          <w:color w:val="auto"/>
          <w:sz w:val="28"/>
          <w:szCs w:val="28"/>
        </w:rPr>
        <w:t>采矿工艺</w:t>
      </w:r>
      <w:bookmarkEnd w:id="257"/>
      <w:bookmarkEnd w:id="258"/>
    </w:p>
    <w:p w14:paraId="2D6EE805">
      <w:pPr>
        <w:pStyle w:val="5"/>
        <w:adjustRightInd w:val="0"/>
        <w:snapToGrid w:val="0"/>
        <w:spacing w:before="0" w:line="360" w:lineRule="auto"/>
        <w:rPr>
          <w:rFonts w:hint="eastAsia" w:ascii="仿宋_GB2312" w:eastAsia="仿宋_GB2312" w:cs="仿宋_GB2312"/>
          <w:b/>
          <w:bCs w:val="0"/>
          <w:color w:val="auto"/>
          <w:sz w:val="28"/>
          <w:szCs w:val="28"/>
          <w:lang w:val="en-US" w:eastAsia="zh-CN"/>
        </w:rPr>
      </w:pPr>
      <w:bookmarkStart w:id="259" w:name="_Toc16777"/>
      <w:r>
        <w:rPr>
          <w:rFonts w:hint="eastAsia" w:ascii="仿宋_GB2312" w:eastAsia="仿宋_GB2312" w:cs="仿宋_GB2312"/>
          <w:b/>
          <w:bCs w:val="0"/>
          <w:color w:val="auto"/>
          <w:sz w:val="28"/>
          <w:szCs w:val="28"/>
          <w:lang w:val="en-US" w:eastAsia="zh-CN"/>
        </w:rPr>
        <w:t>5.6.1采矿</w:t>
      </w:r>
      <w:bookmarkEnd w:id="259"/>
    </w:p>
    <w:p w14:paraId="7DDD8C7F">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eastAsia="zh-CN"/>
        </w:rPr>
        <w:t>岩体物理力学性能较低，抗压强度&lt;30Mpa，软化系数&lt;0.5，坚固系数&lt;3。根据设计经验，</w:t>
      </w:r>
      <w:r>
        <w:rPr>
          <w:rFonts w:hint="eastAsia" w:ascii="仿宋_GB2312" w:eastAsia="仿宋_GB2312" w:cs="仿宋_GB2312"/>
          <w:color w:val="auto"/>
          <w:sz w:val="28"/>
          <w:szCs w:val="28"/>
          <w:lang w:val="en-US" w:eastAsia="zh-CN"/>
        </w:rPr>
        <w:t>本矿山</w:t>
      </w:r>
      <w:r>
        <w:rPr>
          <w:rFonts w:hint="eastAsia" w:ascii="仿宋_GB2312" w:eastAsia="仿宋_GB2312" w:cs="仿宋_GB2312"/>
          <w:color w:val="auto"/>
          <w:sz w:val="28"/>
          <w:szCs w:val="28"/>
          <w:lang w:eastAsia="zh-CN"/>
        </w:rPr>
        <w:t>无需采用穿孔爆破开采，设计采用挖掘机直接采装。</w:t>
      </w:r>
      <w:r>
        <w:rPr>
          <w:rFonts w:hint="eastAsia" w:ascii="仿宋_GB2312" w:eastAsia="仿宋_GB2312" w:cs="仿宋_GB2312"/>
          <w:color w:val="auto"/>
          <w:sz w:val="28"/>
          <w:szCs w:val="28"/>
          <w:lang w:val="en-US" w:eastAsia="zh-CN"/>
        </w:rPr>
        <w:t>局部开挖困难区域可采用破碎锤</w:t>
      </w:r>
      <w:r>
        <w:rPr>
          <w:rFonts w:hint="eastAsia" w:ascii="仿宋_GB2312" w:eastAsia="仿宋_GB2312" w:cs="仿宋_GB2312"/>
          <w:color w:val="auto"/>
          <w:sz w:val="28"/>
          <w:szCs w:val="28"/>
          <w:lang w:eastAsia="zh-CN"/>
        </w:rPr>
        <w:t>落矿。</w:t>
      </w:r>
    </w:p>
    <w:p w14:paraId="32BEB1CA">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采矿工艺顺序为：测量放线—清理工作平台—（机械落矿）—装载—运输。</w:t>
      </w:r>
    </w:p>
    <w:p w14:paraId="370CE987">
      <w:pPr>
        <w:pStyle w:val="5"/>
        <w:adjustRightInd w:val="0"/>
        <w:snapToGrid w:val="0"/>
        <w:spacing w:before="0" w:line="360" w:lineRule="auto"/>
        <w:rPr>
          <w:rFonts w:hint="eastAsia" w:ascii="仿宋_GB2312" w:eastAsia="仿宋_GB2312" w:cs="仿宋_GB2312"/>
          <w:b/>
          <w:bCs w:val="0"/>
          <w:color w:val="auto"/>
          <w:sz w:val="28"/>
          <w:szCs w:val="28"/>
          <w:lang w:val="en-US" w:eastAsia="zh-CN"/>
        </w:rPr>
      </w:pPr>
      <w:bookmarkStart w:id="260" w:name="_Toc18742"/>
      <w:r>
        <w:rPr>
          <w:rFonts w:hint="eastAsia" w:ascii="仿宋_GB2312" w:eastAsia="仿宋_GB2312" w:cs="仿宋_GB2312"/>
          <w:b/>
          <w:bCs w:val="0"/>
          <w:color w:val="auto"/>
          <w:sz w:val="28"/>
          <w:szCs w:val="28"/>
          <w:lang w:val="en-US" w:eastAsia="zh-CN"/>
        </w:rPr>
        <w:t>5.6.2装载</w:t>
      </w:r>
      <w:bookmarkEnd w:id="260"/>
    </w:p>
    <w:p w14:paraId="616D3B5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设计利用1.</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lang w:val="en-US" w:eastAsia="zh-CN"/>
        </w:rPr>
        <w:t>液压</w:t>
      </w:r>
      <w:r>
        <w:rPr>
          <w:rFonts w:hint="eastAsia" w:ascii="仿宋_GB2312" w:eastAsia="仿宋_GB2312" w:cs="仿宋_GB2312"/>
          <w:color w:val="auto"/>
          <w:sz w:val="28"/>
          <w:szCs w:val="28"/>
        </w:rPr>
        <w:t>挖掘机采装。挖掘机的台班生产能力如下：</w:t>
      </w:r>
    </w:p>
    <w:p w14:paraId="76DB33D6">
      <w:pPr>
        <w:pStyle w:val="656"/>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eastAsia="仿宋_GB2312" w:cs="仿宋_GB2312"/>
          <w:color w:val="auto"/>
          <w:szCs w:val="28"/>
          <w:vertAlign w:val="superscript"/>
        </w:rPr>
      </w:pPr>
      <w:r>
        <w:rPr>
          <w:rFonts w:hint="eastAsia" w:ascii="仿宋_GB2312" w:eastAsia="仿宋_GB2312" w:cs="仿宋_GB2312"/>
          <w:color w:val="auto"/>
          <w:position w:val="-30"/>
          <w:szCs w:val="28"/>
        </w:rPr>
        <w:object>
          <v:shape id="_x0000_i1026" o:spt="75" type="#_x0000_t75" style="height:34.5pt;width:91.5pt;" o:ole="t" filled="f" o:preferrelative="t" stroked="f" coordsize="21600,21600">
            <v:path/>
            <v:fill on="f" focussize="0,0"/>
            <v:stroke on="f" color="#000000"/>
            <v:imagedata r:id="rId27" o:title="image16"/>
            <o:lock v:ext="edit" aspectratio="t"/>
            <w10:wrap type="none"/>
            <w10:anchorlock/>
          </v:shape>
          <o:OLEObject Type="Embed" ProgID="Package" ShapeID="_x0000_i1026" DrawAspect="Content" ObjectID="_1468075726" r:id="rId26">
            <o:LockedField>false</o:LockedField>
          </o:OLEObject>
        </w:object>
      </w:r>
    </w:p>
    <w:p w14:paraId="648685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式中：Q</w:t>
      </w:r>
      <w:r>
        <w:rPr>
          <w:rFonts w:hint="eastAsia" w:ascii="仿宋_GB2312" w:eastAsia="仿宋_GB2312" w:cs="仿宋_GB2312"/>
          <w:color w:val="auto"/>
          <w:sz w:val="28"/>
          <w:szCs w:val="28"/>
          <w:vertAlign w:val="subscript"/>
        </w:rPr>
        <w:t>b</w:t>
      </w:r>
      <w:r>
        <w:rPr>
          <w:rFonts w:hint="eastAsia" w:ascii="仿宋_GB2312" w:eastAsia="仿宋_GB2312" w:cs="仿宋_GB2312"/>
          <w:color w:val="auto"/>
          <w:sz w:val="28"/>
          <w:szCs w:val="28"/>
        </w:rPr>
        <w:t>—挖掘机台班生产能力，t/台班；</w:t>
      </w:r>
    </w:p>
    <w:p w14:paraId="68E25BAE">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E—挖掘机铲斗容积，</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rPr>
        <w:t>；</w:t>
      </w:r>
    </w:p>
    <w:p w14:paraId="799C6CBE">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K</w:t>
      </w:r>
      <w:r>
        <w:rPr>
          <w:rFonts w:hint="eastAsia" w:ascii="仿宋_GB2312" w:eastAsia="仿宋_GB2312" w:cs="仿宋_GB2312"/>
          <w:color w:val="auto"/>
          <w:sz w:val="28"/>
          <w:szCs w:val="28"/>
          <w:vertAlign w:val="subscript"/>
        </w:rPr>
        <w:t xml:space="preserve">H </w:t>
      </w:r>
      <w:r>
        <w:rPr>
          <w:rFonts w:hint="eastAsia" w:ascii="仿宋_GB2312" w:eastAsia="仿宋_GB2312" w:cs="仿宋_GB2312"/>
          <w:color w:val="auto"/>
          <w:sz w:val="28"/>
          <w:szCs w:val="28"/>
        </w:rPr>
        <w:t>—挖掘机铲斗满斗系数，0.9；</w:t>
      </w:r>
    </w:p>
    <w:p w14:paraId="516E4851">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K</w:t>
      </w:r>
      <w:r>
        <w:rPr>
          <w:rFonts w:hint="eastAsia" w:ascii="仿宋_GB2312" w:eastAsia="仿宋_GB2312" w:cs="仿宋_GB2312"/>
          <w:color w:val="auto"/>
          <w:sz w:val="28"/>
          <w:szCs w:val="28"/>
          <w:vertAlign w:val="subscript"/>
        </w:rPr>
        <w:t>P</w:t>
      </w:r>
      <w:r>
        <w:rPr>
          <w:rFonts w:hint="eastAsia" w:ascii="仿宋_GB2312" w:eastAsia="仿宋_GB2312" w:cs="仿宋_GB2312"/>
          <w:color w:val="auto"/>
          <w:sz w:val="28"/>
          <w:szCs w:val="28"/>
        </w:rPr>
        <w:t>—矿岩在铲斗中的松散系数，1.4；</w:t>
      </w:r>
    </w:p>
    <w:p w14:paraId="705E671C">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t—挖掘机班工作时间，8h；</w:t>
      </w:r>
    </w:p>
    <w:p w14:paraId="3B26753B">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t</w:t>
      </w:r>
      <w:r>
        <w:rPr>
          <w:rFonts w:hint="eastAsia" w:ascii="仿宋_GB2312" w:eastAsia="仿宋_GB2312" w:cs="仿宋_GB2312"/>
          <w:color w:val="auto"/>
          <w:sz w:val="28"/>
          <w:szCs w:val="28"/>
          <w:vertAlign w:val="subscript"/>
        </w:rPr>
        <w:t>1</w:t>
      </w:r>
      <w:r>
        <w:rPr>
          <w:rFonts w:hint="eastAsia" w:ascii="仿宋_GB2312" w:eastAsia="仿宋_GB2312" w:cs="仿宋_GB2312"/>
          <w:color w:val="auto"/>
          <w:sz w:val="28"/>
          <w:szCs w:val="28"/>
        </w:rPr>
        <w:t>—挖掘机铲斗循环时间，34s；</w:t>
      </w:r>
    </w:p>
    <w:p w14:paraId="12F11F7F">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η—班工作时间利用系数，0.75；</w:t>
      </w:r>
    </w:p>
    <w:p w14:paraId="4019B13C">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3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ɣ—矿石比重，</w:t>
      </w:r>
      <w:r>
        <w:rPr>
          <w:rFonts w:hint="eastAsia" w:ascii="仿宋_GB2312" w:eastAsia="仿宋_GB2312" w:cs="仿宋_GB2312"/>
          <w:color w:val="auto"/>
          <w:sz w:val="28"/>
          <w:szCs w:val="28"/>
          <w:lang w:val="en-US" w:eastAsia="zh-CN"/>
        </w:rPr>
        <w:t>2.34</w:t>
      </w:r>
      <w:r>
        <w:rPr>
          <w:rFonts w:hint="eastAsia" w:ascii="仿宋_GB2312" w:eastAsia="仿宋_GB2312" w:cs="仿宋_GB2312"/>
          <w:color w:val="auto"/>
          <w:sz w:val="28"/>
          <w:szCs w:val="28"/>
        </w:rPr>
        <w:t>t/</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rPr>
        <w:t>。</w:t>
      </w:r>
    </w:p>
    <w:p w14:paraId="709D17A7">
      <w:pPr>
        <w:pStyle w:val="149"/>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表</w:t>
      </w:r>
      <w:r>
        <w:rPr>
          <w:rFonts w:hint="eastAsia" w:ascii="仿宋_GB2312" w:eastAsia="仿宋_GB2312" w:cs="仿宋_GB2312"/>
          <w:color w:val="auto"/>
          <w:sz w:val="28"/>
          <w:szCs w:val="28"/>
          <w:lang w:val="en-US" w:eastAsia="zh-CN"/>
        </w:rPr>
        <w:t>5-4</w:t>
      </w:r>
      <w:r>
        <w:rPr>
          <w:rFonts w:hint="eastAsia" w:ascii="仿宋_GB2312" w:eastAsia="仿宋_GB2312" w:cs="仿宋_GB2312"/>
          <w:color w:val="auto"/>
          <w:sz w:val="28"/>
          <w:szCs w:val="28"/>
        </w:rPr>
        <w:t xml:space="preserve">  挖掘机生产能力表</w:t>
      </w:r>
    </w:p>
    <w:tbl>
      <w:tblPr>
        <w:tblStyle w:val="6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687"/>
        <w:gridCol w:w="2973"/>
        <w:gridCol w:w="816"/>
        <w:gridCol w:w="696"/>
      </w:tblGrid>
      <w:tr w14:paraId="3E26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47" w:type="pct"/>
            <w:shd w:val="clear" w:color="auto" w:fill="auto"/>
            <w:vAlign w:val="center"/>
          </w:tcPr>
          <w:p w14:paraId="473E58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斗容</w:t>
            </w:r>
          </w:p>
        </w:tc>
        <w:tc>
          <w:tcPr>
            <w:tcW w:w="1450" w:type="pct"/>
            <w:shd w:val="clear" w:color="auto" w:fill="auto"/>
            <w:vAlign w:val="center"/>
          </w:tcPr>
          <w:p w14:paraId="12ED39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计算台班生产能力</w:t>
            </w:r>
          </w:p>
        </w:tc>
        <w:tc>
          <w:tcPr>
            <w:tcW w:w="1450" w:type="pct"/>
            <w:shd w:val="clear" w:color="auto" w:fill="auto"/>
            <w:vAlign w:val="center"/>
          </w:tcPr>
          <w:p w14:paraId="432522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计算台年生产能力</w:t>
            </w:r>
          </w:p>
        </w:tc>
        <w:tc>
          <w:tcPr>
            <w:tcW w:w="1450" w:type="pct"/>
            <w:shd w:val="clear" w:color="auto" w:fill="auto"/>
            <w:vAlign w:val="center"/>
          </w:tcPr>
          <w:p w14:paraId="4A5B83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台年生产能力取值</w:t>
            </w:r>
          </w:p>
        </w:tc>
      </w:tr>
      <w:tr w14:paraId="4825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647" w:type="pct"/>
            <w:tcBorders>
              <w:top w:val="single" w:color="auto" w:sz="4" w:space="0"/>
              <w:left w:val="single" w:color="auto" w:sz="4" w:space="0"/>
              <w:right w:val="single" w:color="auto" w:sz="4" w:space="0"/>
            </w:tcBorders>
            <w:shd w:val="clear" w:color="auto" w:fill="auto"/>
            <w:vAlign w:val="center"/>
          </w:tcPr>
          <w:p w14:paraId="1E3FAB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（m³）</w:t>
            </w:r>
          </w:p>
        </w:tc>
        <w:tc>
          <w:tcPr>
            <w:tcW w:w="1450" w:type="pct"/>
            <w:tcBorders>
              <w:top w:val="single" w:color="auto" w:sz="4" w:space="0"/>
              <w:left w:val="single" w:color="auto" w:sz="4" w:space="0"/>
              <w:right w:val="single" w:color="auto" w:sz="4" w:space="0"/>
            </w:tcBorders>
            <w:shd w:val="clear" w:color="auto" w:fill="auto"/>
            <w:vAlign w:val="center"/>
          </w:tcPr>
          <w:p w14:paraId="674AC7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（t/台班）</w:t>
            </w:r>
          </w:p>
        </w:tc>
        <w:tc>
          <w:tcPr>
            <w:tcW w:w="1450" w:type="pct"/>
            <w:tcBorders>
              <w:top w:val="single" w:color="auto" w:sz="4" w:space="0"/>
              <w:left w:val="single" w:color="auto" w:sz="4" w:space="0"/>
              <w:right w:val="single" w:color="auto" w:sz="4" w:space="0"/>
            </w:tcBorders>
            <w:shd w:val="clear" w:color="auto" w:fill="auto"/>
            <w:vAlign w:val="center"/>
          </w:tcPr>
          <w:p w14:paraId="53F4E8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（万吨/台年）</w:t>
            </w:r>
          </w:p>
        </w:tc>
        <w:tc>
          <w:tcPr>
            <w:tcW w:w="1450" w:type="pct"/>
            <w:tcBorders>
              <w:top w:val="single" w:color="auto" w:sz="4" w:space="0"/>
              <w:left w:val="single" w:color="auto" w:sz="4" w:space="0"/>
              <w:right w:val="single" w:color="auto" w:sz="4" w:space="0"/>
            </w:tcBorders>
            <w:shd w:val="clear" w:color="auto" w:fill="auto"/>
            <w:vAlign w:val="center"/>
          </w:tcPr>
          <w:p w14:paraId="65098D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（万吨/台年）</w:t>
            </w:r>
          </w:p>
        </w:tc>
      </w:tr>
      <w:tr w14:paraId="3F50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2967" w:type="pct"/>
            <w:tcBorders>
              <w:top w:val="single" w:color="auto" w:sz="4" w:space="0"/>
              <w:left w:val="single" w:color="auto" w:sz="4" w:space="0"/>
              <w:right w:val="single" w:color="auto" w:sz="4" w:space="0"/>
            </w:tcBorders>
            <w:shd w:val="clear" w:color="auto" w:fill="auto"/>
            <w:vAlign w:val="center"/>
          </w:tcPr>
          <w:p w14:paraId="486A39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1.3</w:t>
            </w:r>
          </w:p>
        </w:tc>
        <w:tc>
          <w:tcPr>
            <w:tcW w:w="5000" w:type="pct"/>
            <w:tcBorders>
              <w:top w:val="single" w:color="auto" w:sz="4" w:space="0"/>
              <w:left w:val="single" w:color="auto" w:sz="4" w:space="0"/>
              <w:right w:val="single" w:color="auto" w:sz="4" w:space="0"/>
            </w:tcBorders>
            <w:shd w:val="clear" w:color="auto" w:fill="auto"/>
            <w:noWrap/>
            <w:vAlign w:val="center"/>
          </w:tcPr>
          <w:p w14:paraId="72962D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1242</w:t>
            </w:r>
          </w:p>
        </w:tc>
        <w:tc>
          <w:tcPr>
            <w:tcW w:w="5000" w:type="pct"/>
            <w:tcBorders>
              <w:top w:val="single" w:color="auto" w:sz="4" w:space="0"/>
              <w:left w:val="single" w:color="auto" w:sz="4" w:space="0"/>
              <w:right w:val="single" w:color="auto" w:sz="4" w:space="0"/>
            </w:tcBorders>
            <w:shd w:val="clear" w:color="auto" w:fill="auto"/>
            <w:noWrap/>
            <w:vAlign w:val="center"/>
          </w:tcPr>
          <w:p w14:paraId="516695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37.27</w:t>
            </w:r>
          </w:p>
        </w:tc>
        <w:tc>
          <w:tcPr>
            <w:tcW w:w="5000" w:type="pct"/>
            <w:tcBorders>
              <w:top w:val="single" w:color="auto" w:sz="4" w:space="0"/>
              <w:left w:val="single" w:color="auto" w:sz="4" w:space="0"/>
              <w:right w:val="single" w:color="auto" w:sz="4" w:space="0"/>
            </w:tcBorders>
            <w:shd w:val="clear" w:color="auto" w:fill="auto"/>
            <w:noWrap/>
            <w:vAlign w:val="center"/>
          </w:tcPr>
          <w:p w14:paraId="4E0922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35</w:t>
            </w:r>
          </w:p>
        </w:tc>
      </w:tr>
    </w:tbl>
    <w:p w14:paraId="467C372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通过上述计算取值，矿山</w:t>
      </w:r>
      <w:r>
        <w:rPr>
          <w:rFonts w:hint="eastAsia" w:ascii="仿宋_GB2312" w:eastAsia="仿宋_GB2312" w:cs="仿宋_GB2312"/>
          <w:color w:val="auto"/>
          <w:sz w:val="28"/>
          <w:szCs w:val="28"/>
          <w:lang w:val="en-US" w:eastAsia="zh-CN"/>
        </w:rPr>
        <w:t>设计选用</w:t>
      </w:r>
      <w:r>
        <w:rPr>
          <w:rFonts w:hint="eastAsia" w:ascii="仿宋_GB2312" w:eastAsia="仿宋_GB2312" w:cs="仿宋_GB2312"/>
          <w:color w:val="auto"/>
          <w:sz w:val="28"/>
          <w:szCs w:val="28"/>
        </w:rPr>
        <w:t>1台1.</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rPr>
        <w:t>挖掘机</w:t>
      </w:r>
      <w:r>
        <w:rPr>
          <w:rFonts w:hint="eastAsia" w:ascii="仿宋_GB2312" w:eastAsia="仿宋_GB2312" w:cs="仿宋_GB2312"/>
          <w:color w:val="auto"/>
          <w:sz w:val="28"/>
          <w:szCs w:val="28"/>
          <w:lang w:val="en-US" w:eastAsia="zh-CN"/>
        </w:rPr>
        <w:t>可满足20</w:t>
      </w:r>
      <w:r>
        <w:rPr>
          <w:rFonts w:hint="eastAsia" w:ascii="仿宋_GB2312" w:eastAsia="仿宋_GB2312" w:cs="仿宋_GB2312"/>
          <w:color w:val="auto"/>
          <w:sz w:val="28"/>
          <w:szCs w:val="28"/>
          <w:lang w:eastAsia="zh-CN"/>
        </w:rPr>
        <w:t>万吨</w:t>
      </w:r>
      <w:r>
        <w:rPr>
          <w:rFonts w:hint="eastAsia" w:ascii="仿宋_GB2312" w:eastAsia="仿宋_GB2312" w:cs="仿宋_GB2312"/>
          <w:color w:val="auto"/>
          <w:sz w:val="28"/>
          <w:szCs w:val="28"/>
        </w:rPr>
        <w:t>/a</w:t>
      </w:r>
      <w:r>
        <w:rPr>
          <w:rFonts w:hint="eastAsia" w:ascii="仿宋_GB2312" w:eastAsia="仿宋_GB2312" w:cs="仿宋_GB2312"/>
          <w:color w:val="auto"/>
          <w:sz w:val="28"/>
          <w:szCs w:val="28"/>
          <w:lang w:val="en-US" w:eastAsia="zh-CN"/>
        </w:rPr>
        <w:t>生产能力</w:t>
      </w:r>
      <w:r>
        <w:rPr>
          <w:rFonts w:hint="eastAsia" w:ascii="仿宋_GB2312" w:eastAsia="仿宋_GB2312" w:cs="仿宋_GB2312"/>
          <w:color w:val="auto"/>
          <w:sz w:val="28"/>
          <w:szCs w:val="28"/>
        </w:rPr>
        <w:t>。</w:t>
      </w:r>
    </w:p>
    <w:p w14:paraId="0B4A044A">
      <w:pPr>
        <w:pStyle w:val="5"/>
        <w:adjustRightInd w:val="0"/>
        <w:snapToGrid w:val="0"/>
        <w:spacing w:before="0" w:line="360" w:lineRule="auto"/>
        <w:rPr>
          <w:rFonts w:hint="eastAsia" w:ascii="仿宋_GB2312" w:eastAsia="仿宋_GB2312" w:cs="仿宋_GB2312"/>
          <w:b/>
          <w:bCs w:val="0"/>
          <w:color w:val="auto"/>
          <w:sz w:val="28"/>
          <w:szCs w:val="28"/>
          <w:lang w:val="en-US" w:eastAsia="zh-CN"/>
        </w:rPr>
      </w:pPr>
      <w:bookmarkStart w:id="261" w:name="_Toc10927"/>
      <w:r>
        <w:rPr>
          <w:rFonts w:hint="eastAsia" w:ascii="仿宋_GB2312" w:eastAsia="仿宋_GB2312" w:cs="仿宋_GB2312"/>
          <w:b/>
          <w:bCs w:val="0"/>
          <w:color w:val="auto"/>
          <w:sz w:val="28"/>
          <w:szCs w:val="28"/>
          <w:lang w:val="en-US" w:eastAsia="zh-CN"/>
        </w:rPr>
        <w:t>5.6.3剥离</w:t>
      </w:r>
      <w:bookmarkEnd w:id="261"/>
    </w:p>
    <w:p w14:paraId="57261DA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表土可混入矿石中综合利用，无需单独剥离</w:t>
      </w:r>
      <w:r>
        <w:rPr>
          <w:rFonts w:hint="eastAsia" w:ascii="仿宋_GB2312" w:eastAsia="仿宋_GB2312" w:cs="仿宋_GB2312"/>
          <w:color w:val="auto"/>
          <w:sz w:val="28"/>
          <w:szCs w:val="28"/>
        </w:rPr>
        <w:t>。</w:t>
      </w:r>
    </w:p>
    <w:p w14:paraId="522C8647">
      <w:pPr>
        <w:pStyle w:val="5"/>
        <w:adjustRightInd w:val="0"/>
        <w:snapToGrid w:val="0"/>
        <w:spacing w:before="0" w:line="360" w:lineRule="auto"/>
        <w:rPr>
          <w:rFonts w:hint="eastAsia" w:ascii="仿宋_GB2312" w:eastAsia="仿宋_GB2312" w:cs="仿宋_GB2312"/>
          <w:b/>
          <w:bCs w:val="0"/>
          <w:color w:val="auto"/>
          <w:sz w:val="28"/>
          <w:szCs w:val="28"/>
          <w:lang w:val="en-US" w:eastAsia="zh-CN"/>
        </w:rPr>
      </w:pPr>
      <w:bookmarkStart w:id="262" w:name="_Toc17397"/>
      <w:r>
        <w:rPr>
          <w:rFonts w:hint="eastAsia" w:ascii="仿宋_GB2312" w:eastAsia="仿宋_GB2312" w:cs="仿宋_GB2312"/>
          <w:b/>
          <w:bCs w:val="0"/>
          <w:color w:val="auto"/>
          <w:sz w:val="28"/>
          <w:szCs w:val="28"/>
          <w:lang w:val="en-US" w:eastAsia="zh-CN"/>
        </w:rPr>
        <w:t>5.6.4矿山运输</w:t>
      </w:r>
      <w:bookmarkEnd w:id="262"/>
    </w:p>
    <w:p w14:paraId="48F4CE7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矿山运输方案为露天采场开采矿石经过汽车运输至</w:t>
      </w:r>
      <w:r>
        <w:rPr>
          <w:rFonts w:hint="eastAsia" w:ascii="仿宋_GB2312" w:eastAsia="仿宋_GB2312" w:cs="仿宋_GB2312"/>
          <w:color w:val="auto"/>
          <w:sz w:val="28"/>
          <w:lang w:val="en-US" w:eastAsia="zh-CN"/>
        </w:rPr>
        <w:t>砖窑</w:t>
      </w:r>
      <w:r>
        <w:rPr>
          <w:rFonts w:hint="eastAsia" w:ascii="仿宋_GB2312" w:eastAsia="仿宋_GB2312" w:cs="仿宋_GB2312"/>
          <w:color w:val="auto"/>
          <w:sz w:val="28"/>
          <w:szCs w:val="28"/>
        </w:rPr>
        <w:t>。</w:t>
      </w:r>
    </w:p>
    <w:p w14:paraId="4B50F56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采场内部道路采用按照</w:t>
      </w:r>
      <w:r>
        <w:rPr>
          <w:rFonts w:hint="eastAsia" w:ascii="仿宋_GB2312" w:eastAsia="仿宋_GB2312" w:cs="仿宋_GB2312"/>
          <w:color w:val="auto"/>
          <w:sz w:val="28"/>
          <w:szCs w:val="28"/>
          <w:lang w:val="en-US" w:eastAsia="zh-CN"/>
        </w:rPr>
        <w:t>单车道三</w:t>
      </w:r>
      <w:r>
        <w:rPr>
          <w:rFonts w:hint="eastAsia" w:ascii="仿宋_GB2312" w:eastAsia="仿宋_GB2312" w:cs="仿宋_GB2312"/>
          <w:color w:val="auto"/>
          <w:sz w:val="28"/>
          <w:szCs w:val="28"/>
        </w:rPr>
        <w:t>级标准设计，泥结碎石路面；路面宽度</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rPr>
        <w:t>m；转弯半径15m</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道路最大纵坡不大于9%。</w:t>
      </w:r>
    </w:p>
    <w:p w14:paraId="17A1FD7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设计选用10t自卸汽车</w:t>
      </w:r>
      <w:r>
        <w:rPr>
          <w:rFonts w:hint="eastAsia" w:ascii="仿宋_GB2312" w:eastAsia="仿宋_GB2312" w:cs="仿宋_GB2312"/>
          <w:color w:val="auto"/>
          <w:sz w:val="28"/>
          <w:szCs w:val="28"/>
        </w:rPr>
        <w:t>，矿石运距</w:t>
      </w:r>
      <w:r>
        <w:rPr>
          <w:rFonts w:hint="eastAsia" w:ascii="仿宋_GB2312" w:eastAsia="仿宋_GB2312" w:cs="仿宋_GB2312"/>
          <w:color w:val="auto"/>
          <w:sz w:val="28"/>
          <w:szCs w:val="28"/>
          <w:lang w:val="en-US" w:eastAsia="zh-CN"/>
        </w:rPr>
        <w:t>0.6</w:t>
      </w:r>
      <w:r>
        <w:rPr>
          <w:rFonts w:hint="eastAsia" w:ascii="仿宋_GB2312" w:eastAsia="仿宋_GB2312" w:cs="仿宋_GB2312"/>
          <w:color w:val="auto"/>
          <w:sz w:val="28"/>
          <w:szCs w:val="28"/>
        </w:rPr>
        <w:t>km，矿车平均行车速度20km/h。</w:t>
      </w:r>
    </w:p>
    <w:p w14:paraId="13C1DA0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确定有效载重Qy:</w:t>
      </w:r>
    </w:p>
    <w:p w14:paraId="382732B7">
      <w:pPr>
        <w:pStyle w:val="634"/>
        <w:keepNext w:val="0"/>
        <w:keepLines w:val="0"/>
        <w:pageBreakBefore w:val="0"/>
        <w:widowControl w:val="0"/>
        <w:kinsoku/>
        <w:wordWrap/>
        <w:overflowPunct/>
        <w:topLinePunct w:val="0"/>
        <w:autoSpaceDE/>
        <w:autoSpaceDN/>
        <w:bidi w:val="0"/>
        <w:adjustRightInd w:val="0"/>
        <w:snapToGrid w:val="0"/>
        <w:spacing w:line="360" w:lineRule="auto"/>
        <w:ind w:firstLine="561"/>
        <w:jc w:val="center"/>
        <w:textAlignment w:val="auto"/>
        <w:rPr>
          <w:rFonts w:hint="eastAsia" w:ascii="仿宋_GB2312" w:eastAsia="仿宋_GB2312" w:cs="仿宋_GB2312"/>
          <w:color w:val="auto"/>
        </w:rPr>
      </w:pPr>
      <w:r>
        <w:rPr>
          <w:rFonts w:hint="eastAsia" w:ascii="仿宋_GB2312" w:eastAsia="仿宋_GB2312" w:cs="仿宋_GB2312"/>
          <w:color w:val="auto"/>
          <w:position w:val="-12"/>
        </w:rPr>
        <w:object>
          <v:shape id="_x0000_i1027" o:spt="75" type="#_x0000_t75" style="height:18.55pt;width:51.3pt;" o:ole="t" filled="f" o:preferrelative="t" stroked="f" coordsize="21600,21600">
            <v:path/>
            <v:fill on="f" focussize="0,0"/>
            <v:stroke on="f" color="#000000"/>
            <v:imagedata r:id="rId29" o:title="image17"/>
            <o:lock v:ext="edit" aspectratio="t"/>
            <w10:wrap type="none"/>
            <w10:anchorlock/>
          </v:shape>
          <o:OLEObject Type="Embed" ProgID="Package" ShapeID="_x0000_i1027" DrawAspect="Content" ObjectID="_1468075727" r:id="rId28">
            <o:LockedField>false</o:LockedField>
          </o:OLEObject>
        </w:object>
      </w:r>
    </w:p>
    <w:p w14:paraId="3297E4A8">
      <w:pPr>
        <w:pStyle w:val="634"/>
        <w:keepNext w:val="0"/>
        <w:keepLines w:val="0"/>
        <w:pageBreakBefore w:val="0"/>
        <w:widowControl w:val="0"/>
        <w:kinsoku/>
        <w:wordWrap/>
        <w:overflowPunct/>
        <w:topLinePunct w:val="0"/>
        <w:autoSpaceDE/>
        <w:autoSpaceDN/>
        <w:bidi w:val="0"/>
        <w:adjustRightInd w:val="0"/>
        <w:snapToGrid w:val="0"/>
        <w:spacing w:line="360" w:lineRule="auto"/>
        <w:ind w:firstLine="561"/>
        <w:jc w:val="center"/>
        <w:textAlignment w:val="auto"/>
        <w:rPr>
          <w:rFonts w:hint="eastAsia" w:ascii="仿宋_GB2312" w:eastAsia="仿宋_GB2312" w:cs="仿宋_GB2312"/>
          <w:color w:val="auto"/>
          <w:position w:val="-30"/>
        </w:rPr>
      </w:pPr>
      <w:r>
        <w:rPr>
          <w:rFonts w:hint="eastAsia" w:ascii="仿宋_GB2312" w:eastAsia="仿宋_GB2312" w:cs="仿宋_GB2312"/>
          <w:color w:val="auto"/>
          <w:position w:val="-24"/>
        </w:rPr>
        <w:object>
          <v:shape id="_x0000_i1028" o:spt="75" type="#_x0000_t75" style="height:31.2pt;width:60pt;" o:ole="t" filled="f" o:preferrelative="t" stroked="f" coordsize="21600,21600">
            <v:path/>
            <v:fill on="f" focussize="0,0"/>
            <v:stroke on="f" color="#000000"/>
            <v:imagedata r:id="rId31" o:title="image18"/>
            <o:lock v:ext="edit" aspectratio="t"/>
            <w10:wrap type="none"/>
            <w10:anchorlock/>
          </v:shape>
          <o:OLEObject Type="Embed" ProgID="Package" ShapeID="_x0000_i1028" DrawAspect="Content" ObjectID="_1468075728" r:id="rId30">
            <o:LockedField>false</o:LockedField>
          </o:OLEObject>
        </w:object>
      </w:r>
    </w:p>
    <w:p w14:paraId="4981A526">
      <w:pPr>
        <w:pStyle w:val="634"/>
        <w:keepNext w:val="0"/>
        <w:keepLines w:val="0"/>
        <w:pageBreakBefore w:val="0"/>
        <w:widowControl w:val="0"/>
        <w:kinsoku/>
        <w:wordWrap/>
        <w:overflowPunct/>
        <w:topLinePunct w:val="0"/>
        <w:autoSpaceDE/>
        <w:autoSpaceDN/>
        <w:bidi w:val="0"/>
        <w:adjustRightInd w:val="0"/>
        <w:snapToGrid w:val="0"/>
        <w:spacing w:line="360" w:lineRule="auto"/>
        <w:ind w:firstLine="561"/>
        <w:textAlignment w:val="auto"/>
        <w:rPr>
          <w:rFonts w:hint="eastAsia" w:ascii="仿宋_GB2312" w:eastAsia="仿宋_GB2312" w:cs="仿宋_GB2312"/>
          <w:color w:val="auto"/>
          <w:position w:val="-30"/>
        </w:rPr>
      </w:pPr>
      <w:r>
        <w:rPr>
          <w:rFonts w:hint="eastAsia" w:ascii="仿宋_GB2312" w:eastAsia="仿宋_GB2312" w:cs="仿宋_GB2312"/>
          <w:color w:val="auto"/>
          <w:position w:val="-30"/>
        </w:rPr>
        <w:t>式中：</w:t>
      </w:r>
    </w:p>
    <w:p w14:paraId="11B9676A">
      <w:pPr>
        <w:pStyle w:val="634"/>
        <w:keepNext w:val="0"/>
        <w:keepLines w:val="0"/>
        <w:pageBreakBefore w:val="0"/>
        <w:widowControl w:val="0"/>
        <w:kinsoku/>
        <w:wordWrap/>
        <w:overflowPunct/>
        <w:topLinePunct w:val="0"/>
        <w:autoSpaceDE/>
        <w:autoSpaceDN/>
        <w:bidi w:val="0"/>
        <w:adjustRightInd w:val="0"/>
        <w:snapToGrid w:val="0"/>
        <w:spacing w:line="360" w:lineRule="auto"/>
        <w:ind w:firstLine="561"/>
        <w:textAlignment w:val="auto"/>
        <w:rPr>
          <w:rFonts w:hint="eastAsia" w:ascii="仿宋_GB2312" w:eastAsia="仿宋_GB2312" w:cs="仿宋_GB2312"/>
          <w:color w:val="auto"/>
          <w:lang w:eastAsia="zh-CN"/>
        </w:rPr>
      </w:pPr>
      <w:r>
        <w:rPr>
          <w:rFonts w:hint="eastAsia" w:ascii="仿宋_GB2312" w:eastAsia="仿宋_GB2312" w:cs="仿宋_GB2312"/>
          <w:color w:val="auto"/>
          <w:position w:val="-12"/>
        </w:rPr>
        <w:object>
          <v:shape id="_x0000_i1029" o:spt="75" type="#_x0000_t75" style="height:19pt;width:15pt;" o:ole="t" filled="f" o:preferrelative="t" stroked="f" coordsize="21600,21600">
            <v:path/>
            <v:fill on="f" focussize="0,0"/>
            <v:stroke on="f" color="#000000"/>
            <v:imagedata r:id="rId33" o:title="image19"/>
            <o:lock v:ext="edit" aspectratio="t"/>
            <w10:wrap type="none"/>
            <w10:anchorlock/>
          </v:shape>
          <o:OLEObject Type="Embed" ProgID="Package" ShapeID="_x0000_i1029" DrawAspect="Content" ObjectID="_1468075729" r:id="rId32">
            <o:LockedField>false</o:LockedField>
          </o:OLEObject>
        </w:object>
      </w:r>
      <w:r>
        <w:rPr>
          <w:rFonts w:hint="eastAsia" w:ascii="仿宋_GB2312" w:eastAsia="仿宋_GB2312" w:cs="仿宋_GB2312"/>
          <w:color w:val="auto"/>
        </w:rPr>
        <w:t>——汽车有效载重（t）</w:t>
      </w:r>
      <w:r>
        <w:rPr>
          <w:rFonts w:hint="eastAsia" w:ascii="仿宋_GB2312" w:eastAsia="仿宋_GB2312" w:cs="仿宋_GB2312"/>
          <w:color w:val="auto"/>
          <w:lang w:eastAsia="zh-CN"/>
        </w:rPr>
        <w:t>；</w:t>
      </w:r>
    </w:p>
    <w:p w14:paraId="1040409D">
      <w:pPr>
        <w:pStyle w:val="634"/>
        <w:keepNext w:val="0"/>
        <w:keepLines w:val="0"/>
        <w:pageBreakBefore w:val="0"/>
        <w:widowControl w:val="0"/>
        <w:kinsoku/>
        <w:wordWrap/>
        <w:overflowPunct/>
        <w:topLinePunct w:val="0"/>
        <w:autoSpaceDE/>
        <w:autoSpaceDN/>
        <w:bidi w:val="0"/>
        <w:adjustRightInd w:val="0"/>
        <w:snapToGrid w:val="0"/>
        <w:spacing w:line="360" w:lineRule="auto"/>
        <w:ind w:firstLine="561"/>
        <w:textAlignment w:val="auto"/>
        <w:rPr>
          <w:rFonts w:hint="eastAsia" w:ascii="仿宋_GB2312" w:eastAsia="仿宋_GB2312" w:cs="仿宋_GB2312"/>
          <w:color w:val="auto"/>
          <w:lang w:eastAsia="zh-CN"/>
        </w:rPr>
      </w:pPr>
      <w:r>
        <w:rPr>
          <w:rFonts w:hint="eastAsia" w:ascii="仿宋_GB2312" w:eastAsia="仿宋_GB2312" w:cs="仿宋_GB2312"/>
          <w:color w:val="auto"/>
        </w:rPr>
        <w:t>Z——装车铲数</w:t>
      </w:r>
      <w:r>
        <w:rPr>
          <w:rFonts w:hint="eastAsia" w:ascii="仿宋_GB2312" w:eastAsia="仿宋_GB2312" w:cs="仿宋_GB2312"/>
          <w:color w:val="auto"/>
          <w:lang w:eastAsia="zh-CN"/>
        </w:rPr>
        <w:t>；</w:t>
      </w:r>
    </w:p>
    <w:p w14:paraId="60EC585D">
      <w:pPr>
        <w:pStyle w:val="634"/>
        <w:keepNext w:val="0"/>
        <w:keepLines w:val="0"/>
        <w:pageBreakBefore w:val="0"/>
        <w:widowControl w:val="0"/>
        <w:kinsoku/>
        <w:wordWrap/>
        <w:overflowPunct/>
        <w:topLinePunct w:val="0"/>
        <w:autoSpaceDE/>
        <w:autoSpaceDN/>
        <w:bidi w:val="0"/>
        <w:adjustRightInd w:val="0"/>
        <w:snapToGrid w:val="0"/>
        <w:spacing w:line="360" w:lineRule="auto"/>
        <w:ind w:firstLine="561"/>
        <w:textAlignment w:val="auto"/>
        <w:rPr>
          <w:rFonts w:hint="eastAsia" w:ascii="仿宋_GB2312" w:eastAsia="仿宋_GB2312" w:cs="仿宋_GB2312"/>
          <w:color w:val="auto"/>
          <w:lang w:eastAsia="zh-CN"/>
        </w:rPr>
      </w:pPr>
      <w:r>
        <w:rPr>
          <w:rFonts w:hint="eastAsia" w:ascii="仿宋_GB2312" w:eastAsia="仿宋_GB2312" w:cs="仿宋_GB2312"/>
          <w:color w:val="auto"/>
          <w:position w:val="-10"/>
        </w:rPr>
        <w:object>
          <v:shape id="_x0000_i1030" o:spt="75" type="#_x0000_t75" style="height:18pt;width:13.95pt;" o:ole="t" filled="f" o:preferrelative="t" stroked="f" coordsize="21600,21600">
            <v:path/>
            <v:fill on="f" focussize="0,0"/>
            <v:stroke on="f" color="#000000"/>
            <v:imagedata r:id="rId35" o:title="image20"/>
            <o:lock v:ext="edit" aspectratio="t"/>
            <w10:wrap type="none"/>
            <w10:anchorlock/>
          </v:shape>
          <o:OLEObject Type="Embed" ProgID="Package" ShapeID="_x0000_i1030" DrawAspect="Content" ObjectID="_1468075730" r:id="rId34">
            <o:LockedField>false</o:LockedField>
          </o:OLEObject>
        </w:object>
      </w:r>
      <w:r>
        <w:rPr>
          <w:rFonts w:hint="eastAsia" w:ascii="仿宋_GB2312" w:eastAsia="仿宋_GB2312" w:cs="仿宋_GB2312"/>
          <w:color w:val="auto"/>
        </w:rPr>
        <w:t>——铲斗的实际装矿岩量（t）</w:t>
      </w:r>
      <w:r>
        <w:rPr>
          <w:rFonts w:hint="eastAsia" w:ascii="仿宋_GB2312" w:eastAsia="仿宋_GB2312" w:cs="仿宋_GB2312"/>
          <w:color w:val="auto"/>
          <w:lang w:eastAsia="zh-CN"/>
        </w:rPr>
        <w:t>；</w:t>
      </w:r>
    </w:p>
    <w:p w14:paraId="64EFEC83">
      <w:pPr>
        <w:pStyle w:val="634"/>
        <w:keepNext w:val="0"/>
        <w:keepLines w:val="0"/>
        <w:pageBreakBefore w:val="0"/>
        <w:widowControl w:val="0"/>
        <w:kinsoku/>
        <w:wordWrap/>
        <w:overflowPunct/>
        <w:topLinePunct w:val="0"/>
        <w:autoSpaceDE/>
        <w:autoSpaceDN/>
        <w:bidi w:val="0"/>
        <w:adjustRightInd w:val="0"/>
        <w:snapToGrid w:val="0"/>
        <w:spacing w:line="360" w:lineRule="auto"/>
        <w:ind w:firstLine="561"/>
        <w:textAlignment w:val="auto"/>
        <w:rPr>
          <w:rFonts w:hint="eastAsia" w:ascii="仿宋_GB2312" w:eastAsia="仿宋_GB2312" w:cs="仿宋_GB2312"/>
          <w:color w:val="auto"/>
          <w:lang w:eastAsia="zh-CN"/>
        </w:rPr>
      </w:pPr>
      <w:r>
        <w:rPr>
          <w:rFonts w:hint="eastAsia" w:ascii="仿宋_GB2312" w:eastAsia="仿宋_GB2312" w:cs="仿宋_GB2312"/>
          <w:color w:val="auto"/>
        </w:rPr>
        <w:t>E——铲斗容积（</w:t>
      </w:r>
      <w:r>
        <w:rPr>
          <w:rFonts w:hint="eastAsia" w:ascii="仿宋_GB2312" w:eastAsia="仿宋_GB2312" w:cs="仿宋_GB2312"/>
          <w:color w:val="auto"/>
          <w:lang w:eastAsia="zh-CN"/>
        </w:rPr>
        <w:t>m³</w:t>
      </w:r>
      <w:r>
        <w:rPr>
          <w:rFonts w:hint="eastAsia" w:ascii="仿宋_GB2312" w:eastAsia="仿宋_GB2312" w:cs="仿宋_GB2312"/>
          <w:color w:val="auto"/>
        </w:rPr>
        <w:t>）</w:t>
      </w:r>
      <w:r>
        <w:rPr>
          <w:rFonts w:hint="eastAsia" w:ascii="仿宋_GB2312" w:eastAsia="仿宋_GB2312" w:cs="仿宋_GB2312"/>
          <w:color w:val="auto"/>
          <w:lang w:eastAsia="zh-CN"/>
        </w:rPr>
        <w:t>；</w:t>
      </w:r>
    </w:p>
    <w:p w14:paraId="3918FC52">
      <w:pPr>
        <w:pStyle w:val="634"/>
        <w:keepNext w:val="0"/>
        <w:keepLines w:val="0"/>
        <w:pageBreakBefore w:val="0"/>
        <w:widowControl w:val="0"/>
        <w:kinsoku/>
        <w:wordWrap/>
        <w:overflowPunct/>
        <w:topLinePunct w:val="0"/>
        <w:autoSpaceDE/>
        <w:autoSpaceDN/>
        <w:bidi w:val="0"/>
        <w:adjustRightInd w:val="0"/>
        <w:snapToGrid w:val="0"/>
        <w:spacing w:line="360" w:lineRule="auto"/>
        <w:ind w:firstLine="561"/>
        <w:textAlignment w:val="auto"/>
        <w:rPr>
          <w:rFonts w:hint="eastAsia" w:ascii="仿宋_GB2312" w:eastAsia="仿宋_GB2312" w:cs="仿宋_GB2312"/>
          <w:color w:val="auto"/>
          <w:lang w:eastAsia="zh-CN"/>
        </w:rPr>
      </w:pPr>
      <w:r>
        <w:rPr>
          <w:rFonts w:hint="eastAsia" w:ascii="仿宋_GB2312" w:eastAsia="仿宋_GB2312" w:cs="仿宋_GB2312"/>
          <w:color w:val="auto"/>
          <w:position w:val="-10"/>
        </w:rPr>
        <w:object>
          <v:shape id="_x0000_i1031" o:spt="75" type="#_x0000_t75" style="height:18pt;width:17pt;" o:ole="t" filled="f" o:preferrelative="t" stroked="f" coordsize="21600,21600">
            <v:path/>
            <v:fill on="f" focussize="0,0"/>
            <v:stroke on="f" color="#000000"/>
            <v:imagedata r:id="rId37" o:title="image21"/>
            <o:lock v:ext="edit" aspectratio="t"/>
            <w10:wrap type="none"/>
            <w10:anchorlock/>
          </v:shape>
          <o:OLEObject Type="Embed" ProgID="Package" ShapeID="_x0000_i1031" DrawAspect="Content" ObjectID="_1468075731" r:id="rId36">
            <o:LockedField>false</o:LockedField>
          </o:OLEObject>
        </w:object>
      </w:r>
      <w:r>
        <w:rPr>
          <w:rFonts w:hint="eastAsia" w:ascii="仿宋_GB2312" w:eastAsia="仿宋_GB2312" w:cs="仿宋_GB2312"/>
          <w:color w:val="auto"/>
        </w:rPr>
        <w:t>——满斗系数</w:t>
      </w:r>
      <w:r>
        <w:rPr>
          <w:rFonts w:hint="eastAsia" w:ascii="仿宋_GB2312" w:eastAsia="仿宋_GB2312" w:cs="仿宋_GB2312"/>
          <w:color w:val="auto"/>
          <w:lang w:eastAsia="zh-CN"/>
        </w:rPr>
        <w:t>；</w:t>
      </w:r>
    </w:p>
    <w:p w14:paraId="48AC148C">
      <w:pPr>
        <w:pStyle w:val="634"/>
        <w:keepNext w:val="0"/>
        <w:keepLines w:val="0"/>
        <w:pageBreakBefore w:val="0"/>
        <w:widowControl w:val="0"/>
        <w:kinsoku/>
        <w:wordWrap/>
        <w:overflowPunct/>
        <w:topLinePunct w:val="0"/>
        <w:autoSpaceDE/>
        <w:autoSpaceDN/>
        <w:bidi w:val="0"/>
        <w:adjustRightInd w:val="0"/>
        <w:snapToGrid w:val="0"/>
        <w:spacing w:line="360" w:lineRule="auto"/>
        <w:ind w:firstLine="561"/>
        <w:textAlignment w:val="auto"/>
        <w:rPr>
          <w:rFonts w:hint="eastAsia" w:ascii="仿宋_GB2312" w:eastAsia="仿宋_GB2312" w:cs="仿宋_GB2312"/>
          <w:color w:val="auto"/>
          <w:lang w:eastAsia="zh-CN"/>
        </w:rPr>
      </w:pPr>
      <w:r>
        <w:rPr>
          <w:rFonts w:hint="eastAsia" w:ascii="仿宋_GB2312" w:eastAsia="仿宋_GB2312" w:cs="仿宋_GB2312"/>
          <w:color w:val="auto"/>
          <w:position w:val="-10"/>
        </w:rPr>
        <w:object>
          <v:shape id="_x0000_i1032" o:spt="75" type="#_x0000_t75" style="height:13pt;width:10pt;" o:ole="t" filled="f" o:preferrelative="t" stroked="f" coordsize="21600,21600">
            <v:path/>
            <v:fill on="f" focussize="0,0"/>
            <v:stroke on="f" color="#000000"/>
            <v:imagedata r:id="rId39" o:title="image22"/>
            <o:lock v:ext="edit" aspectratio="t"/>
            <w10:wrap type="none"/>
            <w10:anchorlock/>
          </v:shape>
          <o:OLEObject Type="Embed" ProgID="Package" ShapeID="_x0000_i1032" DrawAspect="Content" ObjectID="_1468075732" r:id="rId38">
            <o:LockedField>false</o:LockedField>
          </o:OLEObject>
        </w:object>
      </w:r>
      <w:r>
        <w:rPr>
          <w:rFonts w:hint="eastAsia" w:ascii="仿宋_GB2312" w:eastAsia="仿宋_GB2312" w:cs="仿宋_GB2312"/>
          <w:color w:val="auto"/>
        </w:rPr>
        <w:t>——矿岩密度（t/</w:t>
      </w:r>
      <w:r>
        <w:rPr>
          <w:rFonts w:hint="eastAsia" w:ascii="仿宋_GB2312" w:eastAsia="仿宋_GB2312" w:cs="仿宋_GB2312"/>
          <w:color w:val="auto"/>
          <w:lang w:eastAsia="zh-CN"/>
        </w:rPr>
        <w:t>m³</w:t>
      </w:r>
      <w:r>
        <w:rPr>
          <w:rFonts w:hint="eastAsia" w:ascii="仿宋_GB2312" w:eastAsia="仿宋_GB2312" w:cs="仿宋_GB2312"/>
          <w:color w:val="auto"/>
        </w:rPr>
        <w:t>）</w:t>
      </w:r>
      <w:r>
        <w:rPr>
          <w:rFonts w:hint="eastAsia" w:ascii="仿宋_GB2312" w:eastAsia="仿宋_GB2312" w:cs="仿宋_GB2312"/>
          <w:color w:val="auto"/>
          <w:lang w:eastAsia="zh-CN"/>
        </w:rPr>
        <w:t>；</w:t>
      </w:r>
    </w:p>
    <w:p w14:paraId="0B87E846">
      <w:pPr>
        <w:pStyle w:val="634"/>
        <w:keepNext w:val="0"/>
        <w:keepLines w:val="0"/>
        <w:pageBreakBefore w:val="0"/>
        <w:widowControl w:val="0"/>
        <w:kinsoku/>
        <w:wordWrap/>
        <w:overflowPunct/>
        <w:topLinePunct w:val="0"/>
        <w:autoSpaceDE/>
        <w:autoSpaceDN/>
        <w:bidi w:val="0"/>
        <w:adjustRightInd w:val="0"/>
        <w:snapToGrid w:val="0"/>
        <w:spacing w:line="360" w:lineRule="auto"/>
        <w:ind w:firstLine="561"/>
        <w:textAlignment w:val="auto"/>
        <w:rPr>
          <w:rFonts w:hint="eastAsia" w:ascii="仿宋_GB2312" w:eastAsia="仿宋_GB2312" w:cs="仿宋_GB2312"/>
          <w:color w:val="auto"/>
          <w:lang w:eastAsia="zh-CN"/>
        </w:rPr>
      </w:pPr>
      <w:r>
        <w:rPr>
          <w:rFonts w:hint="eastAsia" w:ascii="仿宋_GB2312" w:eastAsia="仿宋_GB2312" w:cs="仿宋_GB2312"/>
          <w:color w:val="auto"/>
        </w:rPr>
        <w:t>K——矿岩松散系数</w:t>
      </w:r>
      <w:r>
        <w:rPr>
          <w:rFonts w:hint="eastAsia" w:ascii="仿宋_GB2312" w:eastAsia="仿宋_GB2312" w:cs="仿宋_GB2312"/>
          <w:color w:val="auto"/>
          <w:lang w:eastAsia="zh-CN"/>
        </w:rPr>
        <w:t>。</w:t>
      </w:r>
    </w:p>
    <w:p w14:paraId="7EC4C905">
      <w:pPr>
        <w:pStyle w:val="149"/>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表</w:t>
      </w:r>
      <w:r>
        <w:rPr>
          <w:rFonts w:hint="eastAsia" w:ascii="仿宋_GB2312" w:eastAsia="仿宋_GB2312" w:cs="仿宋_GB2312"/>
          <w:color w:val="auto"/>
          <w:sz w:val="28"/>
          <w:szCs w:val="28"/>
          <w:lang w:val="en-US" w:eastAsia="zh-CN"/>
        </w:rPr>
        <w:t>5-5</w:t>
      </w:r>
      <w:r>
        <w:rPr>
          <w:rFonts w:hint="eastAsia" w:ascii="仿宋_GB2312" w:eastAsia="仿宋_GB2312" w:cs="仿宋_GB2312"/>
          <w:color w:val="auto"/>
          <w:sz w:val="28"/>
          <w:szCs w:val="28"/>
        </w:rPr>
        <w:t xml:space="preserve">  有效载重计算表</w:t>
      </w:r>
    </w:p>
    <w:tbl>
      <w:tblPr>
        <w:tblStyle w:val="6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2"/>
        <w:gridCol w:w="4971"/>
        <w:gridCol w:w="2361"/>
        <w:gridCol w:w="696"/>
      </w:tblGrid>
      <w:tr w14:paraId="3FE9C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56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序号</w:t>
            </w:r>
          </w:p>
        </w:tc>
        <w:tc>
          <w:tcPr>
            <w:tcW w:w="2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39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项目</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B5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参数</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16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备注</w:t>
            </w:r>
          </w:p>
        </w:tc>
      </w:tr>
      <w:tr w14:paraId="08D97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2C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1</w:t>
            </w:r>
          </w:p>
        </w:tc>
        <w:tc>
          <w:tcPr>
            <w:tcW w:w="2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EB0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铲斗容积（m³）</w:t>
            </w:r>
          </w:p>
        </w:tc>
        <w:tc>
          <w:tcPr>
            <w:tcW w:w="3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19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1.3</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E6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p>
        </w:tc>
      </w:tr>
      <w:tr w14:paraId="4361C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30E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2</w:t>
            </w:r>
          </w:p>
        </w:tc>
        <w:tc>
          <w:tcPr>
            <w:tcW w:w="2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B4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铲斗装满系数</w:t>
            </w:r>
          </w:p>
        </w:tc>
        <w:tc>
          <w:tcPr>
            <w:tcW w:w="3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B1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0.9</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02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p>
        </w:tc>
      </w:tr>
      <w:tr w14:paraId="25540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03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3</w:t>
            </w:r>
          </w:p>
        </w:tc>
        <w:tc>
          <w:tcPr>
            <w:tcW w:w="2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5C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矿岩密度（t/m³）</w:t>
            </w:r>
          </w:p>
        </w:tc>
        <w:tc>
          <w:tcPr>
            <w:tcW w:w="3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47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2.34</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D6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p>
        </w:tc>
      </w:tr>
      <w:tr w14:paraId="3427F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1BC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4</w:t>
            </w:r>
          </w:p>
        </w:tc>
        <w:tc>
          <w:tcPr>
            <w:tcW w:w="2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4AD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松散系数</w:t>
            </w:r>
          </w:p>
        </w:tc>
        <w:tc>
          <w:tcPr>
            <w:tcW w:w="3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4D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1.4</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6A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p>
        </w:tc>
      </w:tr>
      <w:tr w14:paraId="53597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2B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5</w:t>
            </w:r>
          </w:p>
        </w:tc>
        <w:tc>
          <w:tcPr>
            <w:tcW w:w="2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AB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铲斗的实际装矿岩量（t）</w:t>
            </w:r>
          </w:p>
        </w:tc>
        <w:tc>
          <w:tcPr>
            <w:tcW w:w="3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B9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1.96</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9E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p>
        </w:tc>
      </w:tr>
      <w:tr w14:paraId="71796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3F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6</w:t>
            </w:r>
          </w:p>
        </w:tc>
        <w:tc>
          <w:tcPr>
            <w:tcW w:w="2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2F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搭配矿车载重（t）</w:t>
            </w:r>
          </w:p>
        </w:tc>
        <w:tc>
          <w:tcPr>
            <w:tcW w:w="3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74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10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19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p>
        </w:tc>
      </w:tr>
      <w:tr w14:paraId="68CE1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7C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7</w:t>
            </w:r>
          </w:p>
        </w:tc>
        <w:tc>
          <w:tcPr>
            <w:tcW w:w="2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20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装车铲数</w:t>
            </w:r>
          </w:p>
        </w:tc>
        <w:tc>
          <w:tcPr>
            <w:tcW w:w="3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02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5</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DD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p>
        </w:tc>
      </w:tr>
      <w:tr w14:paraId="7831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9B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8</w:t>
            </w:r>
          </w:p>
        </w:tc>
        <w:tc>
          <w:tcPr>
            <w:tcW w:w="2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31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有效载重（t）</w:t>
            </w:r>
          </w:p>
        </w:tc>
        <w:tc>
          <w:tcPr>
            <w:tcW w:w="3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13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9.78</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39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仿宋_GB2312" w:eastAsia="仿宋_GB2312" w:cs="仿宋_GB2312"/>
                <w:b w:val="0"/>
                <w:bCs w:val="0"/>
                <w:i w:val="0"/>
                <w:iCs w:val="0"/>
                <w:color w:val="auto"/>
                <w:kern w:val="0"/>
                <w:sz w:val="24"/>
                <w:szCs w:val="24"/>
                <w:u w:val="none"/>
                <w:lang w:val="en-US" w:eastAsia="zh-CN"/>
              </w:rPr>
            </w:pPr>
          </w:p>
        </w:tc>
      </w:tr>
    </w:tbl>
    <w:p w14:paraId="290E00E8">
      <w:pPr>
        <w:pStyle w:val="63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eastAsia="仿宋_GB2312" w:cs="仿宋_GB2312"/>
          <w:color w:val="auto"/>
        </w:rPr>
      </w:pPr>
      <w:r>
        <w:rPr>
          <w:rFonts w:hint="eastAsia" w:ascii="仿宋_GB2312" w:eastAsia="仿宋_GB2312" w:cs="仿宋_GB2312"/>
          <w:color w:val="auto"/>
          <w:lang w:eastAsia="zh-CN"/>
        </w:rPr>
        <w:t>（</w:t>
      </w:r>
      <w:r>
        <w:rPr>
          <w:rFonts w:hint="eastAsia" w:ascii="仿宋_GB2312" w:eastAsia="仿宋_GB2312" w:cs="仿宋_GB2312"/>
          <w:color w:val="auto"/>
          <w:lang w:val="en-US" w:eastAsia="zh-CN"/>
        </w:rPr>
        <w:t>2</w:t>
      </w:r>
      <w:r>
        <w:rPr>
          <w:rFonts w:hint="eastAsia" w:ascii="仿宋_GB2312" w:eastAsia="仿宋_GB2312" w:cs="仿宋_GB2312"/>
          <w:color w:val="auto"/>
          <w:lang w:eastAsia="zh-CN"/>
        </w:rPr>
        <w:t>）</w:t>
      </w:r>
      <w:r>
        <w:rPr>
          <w:rFonts w:hint="eastAsia" w:ascii="仿宋_GB2312" w:eastAsia="仿宋_GB2312" w:cs="仿宋_GB2312"/>
          <w:color w:val="auto"/>
        </w:rPr>
        <w:t>汽车数量计算：</w:t>
      </w:r>
    </w:p>
    <w:p w14:paraId="1B72EA78">
      <w:pPr>
        <w:pStyle w:val="634"/>
        <w:keepNext w:val="0"/>
        <w:keepLines w:val="0"/>
        <w:pageBreakBefore w:val="0"/>
        <w:widowControl w:val="0"/>
        <w:kinsoku/>
        <w:wordWrap/>
        <w:overflowPunct/>
        <w:topLinePunct w:val="0"/>
        <w:autoSpaceDE/>
        <w:autoSpaceDN/>
        <w:bidi w:val="0"/>
        <w:adjustRightInd w:val="0"/>
        <w:snapToGrid w:val="0"/>
        <w:spacing w:line="240" w:lineRule="auto"/>
        <w:ind w:firstLine="561"/>
        <w:jc w:val="center"/>
        <w:textAlignment w:val="auto"/>
        <w:rPr>
          <w:rFonts w:hint="eastAsia" w:ascii="仿宋_GB2312" w:eastAsia="仿宋_GB2312" w:cs="仿宋_GB2312"/>
          <w:color w:val="auto"/>
          <w:position w:val="-30"/>
        </w:rPr>
      </w:pPr>
      <w:r>
        <w:rPr>
          <w:rFonts w:hint="eastAsia" w:ascii="仿宋_GB2312" w:eastAsia="仿宋_GB2312" w:cs="仿宋_GB2312"/>
          <w:color w:val="auto"/>
          <w:position w:val="-24"/>
        </w:rPr>
        <w:object>
          <v:shape id="_x0000_i1033" o:spt="75" type="#_x0000_t75" style="height:32.25pt;width:64.85pt;" o:ole="t" filled="f" o:preferrelative="t" stroked="f" coordsize="21600,21600">
            <v:path/>
            <v:fill on="f" focussize="0,0"/>
            <v:stroke on="f" color="#000000"/>
            <v:imagedata r:id="rId41" o:title="image23"/>
            <o:lock v:ext="edit" aspectratio="t"/>
            <w10:wrap type="none"/>
            <w10:anchorlock/>
          </v:shape>
          <o:OLEObject Type="Embed" ProgID="Package" ShapeID="_x0000_i1033" DrawAspect="Content" ObjectID="_1468075733" r:id="rId40">
            <o:LockedField>false</o:LockedField>
          </o:OLEObject>
        </w:object>
      </w:r>
    </w:p>
    <w:p w14:paraId="17AFB465">
      <w:pPr>
        <w:pStyle w:val="634"/>
        <w:keepNext w:val="0"/>
        <w:keepLines w:val="0"/>
        <w:pageBreakBefore w:val="0"/>
        <w:widowControl w:val="0"/>
        <w:kinsoku/>
        <w:wordWrap/>
        <w:overflowPunct/>
        <w:topLinePunct w:val="0"/>
        <w:autoSpaceDE/>
        <w:autoSpaceDN/>
        <w:bidi w:val="0"/>
        <w:adjustRightInd w:val="0"/>
        <w:snapToGrid w:val="0"/>
        <w:spacing w:line="240" w:lineRule="auto"/>
        <w:ind w:firstLine="561"/>
        <w:jc w:val="center"/>
        <w:textAlignment w:val="auto"/>
        <w:rPr>
          <w:rFonts w:hint="eastAsia" w:ascii="仿宋_GB2312" w:eastAsia="仿宋_GB2312" w:cs="仿宋_GB2312"/>
          <w:color w:val="auto"/>
        </w:rPr>
      </w:pPr>
      <w:r>
        <w:rPr>
          <w:rFonts w:hint="eastAsia" w:ascii="仿宋_GB2312" w:eastAsia="仿宋_GB2312" w:cs="仿宋_GB2312"/>
          <w:color w:val="auto"/>
          <w:position w:val="-24"/>
        </w:rPr>
        <w:object>
          <v:shape id="_x0000_i1034" o:spt="75" type="#_x0000_t75" style="height:31.2pt;width:50.35pt;" o:ole="t" filled="f" o:preferrelative="t" stroked="f" coordsize="21600,21600">
            <v:path/>
            <v:fill on="f" focussize="0,0"/>
            <v:stroke on="f" color="#000000"/>
            <v:imagedata r:id="rId43" o:title="image24"/>
            <o:lock v:ext="edit" aspectratio="t"/>
            <w10:wrap type="none"/>
            <w10:anchorlock/>
          </v:shape>
          <o:OLEObject Type="Embed" ProgID="Package" ShapeID="_x0000_i1034" DrawAspect="Content" ObjectID="_1468075734" r:id="rId42">
            <o:LockedField>false</o:LockedField>
          </o:OLEObject>
        </w:object>
      </w:r>
    </w:p>
    <w:p w14:paraId="4A7EBB6D">
      <w:pPr>
        <w:pStyle w:val="634"/>
        <w:keepNext w:val="0"/>
        <w:keepLines w:val="0"/>
        <w:pageBreakBefore w:val="0"/>
        <w:widowControl w:val="0"/>
        <w:kinsoku/>
        <w:wordWrap/>
        <w:overflowPunct/>
        <w:topLinePunct w:val="0"/>
        <w:autoSpaceDE/>
        <w:autoSpaceDN/>
        <w:bidi w:val="0"/>
        <w:adjustRightInd w:val="0"/>
        <w:snapToGrid w:val="0"/>
        <w:spacing w:line="360" w:lineRule="auto"/>
        <w:ind w:firstLine="561"/>
        <w:textAlignment w:val="auto"/>
        <w:rPr>
          <w:rFonts w:hint="eastAsia" w:ascii="仿宋_GB2312" w:eastAsia="仿宋_GB2312" w:cs="仿宋_GB2312"/>
          <w:color w:val="auto"/>
          <w:szCs w:val="24"/>
          <w:lang w:eastAsia="zh-CN"/>
        </w:rPr>
      </w:pPr>
      <w:r>
        <w:rPr>
          <w:rFonts w:hint="eastAsia" w:ascii="仿宋_GB2312" w:eastAsia="仿宋_GB2312" w:cs="仿宋_GB2312"/>
          <w:color w:val="auto"/>
          <w:szCs w:val="24"/>
        </w:rPr>
        <w:t>式中：A——汽车实际生产能力（t/台班）</w:t>
      </w:r>
      <w:r>
        <w:rPr>
          <w:rFonts w:hint="eastAsia" w:ascii="仿宋_GB2312" w:eastAsia="仿宋_GB2312" w:cs="仿宋_GB2312"/>
          <w:color w:val="auto"/>
          <w:szCs w:val="24"/>
          <w:lang w:eastAsia="zh-CN"/>
        </w:rPr>
        <w:t>；</w:t>
      </w:r>
    </w:p>
    <w:p w14:paraId="6FD9722E">
      <w:pPr>
        <w:pStyle w:val="634"/>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Cs w:val="24"/>
          <w:lang w:eastAsia="zh-CN"/>
        </w:rPr>
      </w:pPr>
      <w:r>
        <w:rPr>
          <w:rFonts w:hint="eastAsia" w:ascii="仿宋_GB2312" w:eastAsia="仿宋_GB2312" w:cs="仿宋_GB2312"/>
          <w:color w:val="auto"/>
          <w:szCs w:val="24"/>
        </w:rPr>
        <w:t>t——班工作小时数（h）</w:t>
      </w:r>
      <w:r>
        <w:rPr>
          <w:rFonts w:hint="eastAsia" w:ascii="仿宋_GB2312" w:eastAsia="仿宋_GB2312" w:cs="仿宋_GB2312"/>
          <w:color w:val="auto"/>
          <w:szCs w:val="24"/>
          <w:lang w:eastAsia="zh-CN"/>
        </w:rPr>
        <w:t>；</w:t>
      </w:r>
    </w:p>
    <w:p w14:paraId="4387FD63">
      <w:pPr>
        <w:pStyle w:val="634"/>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Cs w:val="24"/>
          <w:lang w:eastAsia="zh-CN"/>
        </w:rPr>
      </w:pPr>
      <w:r>
        <w:rPr>
          <w:rFonts w:hint="eastAsia" w:ascii="仿宋_GB2312" w:eastAsia="仿宋_GB2312" w:cs="仿宋_GB2312"/>
          <w:color w:val="auto"/>
          <w:szCs w:val="24"/>
        </w:rPr>
        <w:t>K——班工作时间利用系数</w:t>
      </w:r>
      <w:r>
        <w:rPr>
          <w:rFonts w:hint="eastAsia" w:ascii="仿宋_GB2312" w:eastAsia="仿宋_GB2312" w:cs="仿宋_GB2312"/>
          <w:color w:val="auto"/>
          <w:szCs w:val="24"/>
          <w:lang w:eastAsia="zh-CN"/>
        </w:rPr>
        <w:t>；</w:t>
      </w:r>
    </w:p>
    <w:p w14:paraId="596EB312">
      <w:pPr>
        <w:pStyle w:val="634"/>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Cs w:val="24"/>
          <w:lang w:eastAsia="zh-CN"/>
        </w:rPr>
      </w:pPr>
      <w:r>
        <w:rPr>
          <w:rFonts w:hint="eastAsia" w:ascii="仿宋_GB2312" w:eastAsia="仿宋_GB2312" w:cs="仿宋_GB2312"/>
          <w:color w:val="auto"/>
          <w:szCs w:val="24"/>
        </w:rPr>
        <w:t>T——汽车运转循环时间（min）</w:t>
      </w:r>
      <w:r>
        <w:rPr>
          <w:rFonts w:hint="eastAsia" w:ascii="仿宋_GB2312" w:eastAsia="仿宋_GB2312" w:cs="仿宋_GB2312"/>
          <w:color w:val="auto"/>
          <w:szCs w:val="24"/>
          <w:lang w:eastAsia="zh-CN"/>
        </w:rPr>
        <w:t>；</w:t>
      </w:r>
    </w:p>
    <w:p w14:paraId="5891EA3B">
      <w:pPr>
        <w:pStyle w:val="634"/>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Cs w:val="24"/>
          <w:lang w:eastAsia="zh-CN"/>
        </w:rPr>
      </w:pPr>
      <w:r>
        <w:rPr>
          <w:rFonts w:hint="eastAsia" w:ascii="仿宋_GB2312" w:eastAsia="仿宋_GB2312" w:cs="仿宋_GB2312"/>
          <w:color w:val="auto"/>
          <w:szCs w:val="24"/>
        </w:rPr>
        <w:t>N——汽车工作台数（台）</w:t>
      </w:r>
      <w:r>
        <w:rPr>
          <w:rFonts w:hint="eastAsia" w:ascii="仿宋_GB2312" w:eastAsia="仿宋_GB2312" w:cs="仿宋_GB2312"/>
          <w:color w:val="auto"/>
          <w:szCs w:val="24"/>
          <w:lang w:eastAsia="zh-CN"/>
        </w:rPr>
        <w:t>；</w:t>
      </w:r>
    </w:p>
    <w:p w14:paraId="3655B762">
      <w:pPr>
        <w:pStyle w:val="634"/>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Cs w:val="24"/>
          <w:lang w:eastAsia="zh-CN"/>
        </w:rPr>
      </w:pPr>
      <w:r>
        <w:rPr>
          <w:rFonts w:hint="eastAsia" w:ascii="仿宋_GB2312" w:eastAsia="仿宋_GB2312" w:cs="仿宋_GB2312"/>
          <w:color w:val="auto"/>
          <w:szCs w:val="24"/>
        </w:rPr>
        <w:t>Q——年运输量（t）</w:t>
      </w:r>
      <w:r>
        <w:rPr>
          <w:rFonts w:hint="eastAsia" w:ascii="仿宋_GB2312" w:eastAsia="仿宋_GB2312" w:cs="仿宋_GB2312"/>
          <w:color w:val="auto"/>
          <w:szCs w:val="24"/>
          <w:lang w:eastAsia="zh-CN"/>
        </w:rPr>
        <w:t>；</w:t>
      </w:r>
    </w:p>
    <w:p w14:paraId="09A98A22">
      <w:pPr>
        <w:pStyle w:val="634"/>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Cs w:val="24"/>
          <w:lang w:eastAsia="zh-CN"/>
        </w:rPr>
      </w:pPr>
      <w:r>
        <w:rPr>
          <w:rFonts w:hint="eastAsia" w:ascii="仿宋_GB2312" w:eastAsia="仿宋_GB2312" w:cs="仿宋_GB2312"/>
          <w:color w:val="auto"/>
          <w:szCs w:val="24"/>
        </w:rPr>
        <w:t>C——不均衡系数</w:t>
      </w:r>
      <w:r>
        <w:rPr>
          <w:rFonts w:hint="eastAsia" w:ascii="仿宋_GB2312" w:eastAsia="仿宋_GB2312" w:cs="仿宋_GB2312"/>
          <w:color w:val="auto"/>
          <w:szCs w:val="24"/>
          <w:lang w:eastAsia="zh-CN"/>
        </w:rPr>
        <w:t>；</w:t>
      </w:r>
    </w:p>
    <w:p w14:paraId="49CC204B">
      <w:pPr>
        <w:pStyle w:val="634"/>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Cs w:val="24"/>
          <w:lang w:eastAsia="zh-CN"/>
        </w:rPr>
      </w:pPr>
      <w:r>
        <w:rPr>
          <w:rFonts w:hint="eastAsia" w:ascii="仿宋_GB2312" w:eastAsia="仿宋_GB2312" w:cs="仿宋_GB2312"/>
          <w:color w:val="auto"/>
          <w:szCs w:val="24"/>
        </w:rPr>
        <w:t>D——</w:t>
      </w:r>
      <w:r>
        <w:rPr>
          <w:rFonts w:hint="eastAsia" w:ascii="仿宋_GB2312" w:eastAsia="仿宋_GB2312" w:cs="仿宋_GB2312"/>
          <w:color w:val="auto"/>
          <w:kern w:val="0"/>
          <w:szCs w:val="24"/>
        </w:rPr>
        <w:t>年工作天数</w:t>
      </w:r>
      <w:r>
        <w:rPr>
          <w:rFonts w:hint="eastAsia" w:ascii="仿宋_GB2312" w:eastAsia="仿宋_GB2312" w:cs="仿宋_GB2312"/>
          <w:color w:val="auto"/>
          <w:kern w:val="0"/>
          <w:szCs w:val="24"/>
          <w:lang w:eastAsia="zh-CN"/>
        </w:rPr>
        <w:t>；</w:t>
      </w:r>
    </w:p>
    <w:p w14:paraId="36AB3F0C">
      <w:pPr>
        <w:pStyle w:val="634"/>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Cs w:val="24"/>
          <w:lang w:eastAsia="zh-CN"/>
        </w:rPr>
      </w:pPr>
      <w:r>
        <w:rPr>
          <w:rFonts w:hint="eastAsia" w:ascii="仿宋_GB2312" w:eastAsia="仿宋_GB2312" w:cs="仿宋_GB2312"/>
          <w:color w:val="auto"/>
          <w:szCs w:val="24"/>
        </w:rPr>
        <w:t>n——</w:t>
      </w:r>
      <w:r>
        <w:rPr>
          <w:rFonts w:hint="eastAsia" w:ascii="仿宋_GB2312" w:eastAsia="仿宋_GB2312" w:cs="仿宋_GB2312"/>
          <w:color w:val="auto"/>
          <w:kern w:val="0"/>
          <w:szCs w:val="24"/>
        </w:rPr>
        <w:t>每天工作班数</w:t>
      </w:r>
      <w:r>
        <w:rPr>
          <w:rFonts w:hint="eastAsia" w:ascii="仿宋_GB2312" w:eastAsia="仿宋_GB2312" w:cs="仿宋_GB2312"/>
          <w:color w:val="auto"/>
          <w:kern w:val="0"/>
          <w:szCs w:val="24"/>
          <w:lang w:eastAsia="zh-CN"/>
        </w:rPr>
        <w:t>；</w:t>
      </w:r>
    </w:p>
    <w:p w14:paraId="3AA46BF1">
      <w:pPr>
        <w:pStyle w:val="634"/>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kern w:val="0"/>
          <w:szCs w:val="24"/>
          <w:lang w:eastAsia="zh-CN"/>
        </w:rPr>
      </w:pPr>
      <w:r>
        <w:rPr>
          <w:rFonts w:hint="eastAsia" w:ascii="仿宋_GB2312" w:eastAsia="仿宋_GB2312" w:cs="仿宋_GB2312"/>
          <w:color w:val="auto"/>
          <w:szCs w:val="24"/>
        </w:rPr>
        <w:t>K——</w:t>
      </w:r>
      <w:r>
        <w:rPr>
          <w:rFonts w:hint="eastAsia" w:ascii="仿宋_GB2312" w:eastAsia="仿宋_GB2312" w:cs="仿宋_GB2312"/>
          <w:color w:val="auto"/>
          <w:kern w:val="0"/>
          <w:szCs w:val="24"/>
        </w:rPr>
        <w:t>汽车出车率</w:t>
      </w:r>
      <w:r>
        <w:rPr>
          <w:rFonts w:hint="eastAsia" w:ascii="仿宋_GB2312" w:eastAsia="仿宋_GB2312" w:cs="仿宋_GB2312"/>
          <w:color w:val="auto"/>
          <w:kern w:val="0"/>
          <w:szCs w:val="24"/>
          <w:lang w:eastAsia="zh-CN"/>
        </w:rPr>
        <w:t>。</w:t>
      </w:r>
    </w:p>
    <w:p w14:paraId="3C058FB2">
      <w:pPr>
        <w:pStyle w:val="149"/>
        <w:adjustRightInd w:val="0"/>
        <w:snapToGrid w:val="0"/>
        <w:spacing w:line="240" w:lineRule="auto"/>
        <w:jc w:val="center"/>
        <w:rPr>
          <w:rFonts w:hint="eastAsia" w:ascii="仿宋_GB2312" w:eastAsia="仿宋_GB2312" w:cs="仿宋_GB2312"/>
          <w:color w:val="auto"/>
          <w:sz w:val="28"/>
          <w:szCs w:val="28"/>
        </w:rPr>
      </w:pPr>
    </w:p>
    <w:p w14:paraId="0ED24602">
      <w:pPr>
        <w:pStyle w:val="149"/>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表</w:t>
      </w:r>
      <w:r>
        <w:rPr>
          <w:rFonts w:hint="eastAsia" w:ascii="仿宋_GB2312" w:eastAsia="仿宋_GB2312" w:cs="仿宋_GB2312"/>
          <w:color w:val="auto"/>
          <w:sz w:val="28"/>
          <w:szCs w:val="28"/>
          <w:lang w:val="en-US" w:eastAsia="zh-CN"/>
        </w:rPr>
        <w:t>5</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6</w:t>
      </w:r>
      <w:r>
        <w:rPr>
          <w:rFonts w:hint="eastAsia" w:ascii="仿宋_GB2312" w:eastAsia="仿宋_GB2312" w:cs="仿宋_GB2312"/>
          <w:color w:val="auto"/>
          <w:sz w:val="28"/>
          <w:szCs w:val="28"/>
        </w:rPr>
        <w:t xml:space="preserve">  汽车数量计算表</w:t>
      </w:r>
    </w:p>
    <w:tbl>
      <w:tblPr>
        <w:tblStyle w:val="6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08"/>
        <w:gridCol w:w="1605"/>
        <w:gridCol w:w="2801"/>
        <w:gridCol w:w="456"/>
      </w:tblGrid>
      <w:tr w14:paraId="0EEA4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D5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项     目</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A6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单位</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39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参数</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BA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r>
              <w:rPr>
                <w:rFonts w:hint="eastAsia" w:ascii="仿宋_GB2312" w:eastAsia="仿宋_GB2312" w:cs="仿宋_GB2312"/>
                <w:b w:val="0"/>
                <w:bCs w:val="0"/>
                <w:i w:val="0"/>
                <w:iCs w:val="0"/>
                <w:color w:val="auto"/>
                <w:kern w:val="0"/>
                <w:sz w:val="24"/>
                <w:szCs w:val="24"/>
                <w:u w:val="none"/>
                <w:lang w:val="en-US" w:eastAsia="zh-CN"/>
              </w:rPr>
              <w:t>备注</w:t>
            </w:r>
          </w:p>
        </w:tc>
      </w:tr>
      <w:tr w14:paraId="762A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714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sz w:val="22"/>
                <w:szCs w:val="22"/>
                <w:u w:val="none"/>
              </w:rPr>
            </w:pPr>
            <w:r>
              <w:rPr>
                <w:rFonts w:hint="eastAsia" w:ascii="仿宋_GB2312" w:eastAsia="仿宋_GB2312" w:cs="仿宋_GB2312"/>
                <w:b w:val="0"/>
                <w:bCs w:val="0"/>
                <w:i w:val="0"/>
                <w:iCs w:val="0"/>
                <w:color w:val="auto"/>
                <w:kern w:val="0"/>
                <w:sz w:val="22"/>
                <w:szCs w:val="22"/>
                <w:u w:val="none"/>
                <w:lang w:val="en-US" w:eastAsia="zh-CN"/>
              </w:rPr>
              <w:t>铲运机斗容</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C2C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m³</w:t>
            </w:r>
          </w:p>
        </w:tc>
        <w:tc>
          <w:tcPr>
            <w:tcW w:w="41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E62A74">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bottom"/>
              <w:rPr>
                <w:rFonts w:hint="eastAsia" w:ascii="仿宋_GB2312" w:eastAsia="仿宋_GB2312" w:cs="仿宋_GB2312"/>
                <w:b w:val="0"/>
                <w:bCs w:val="0"/>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1.3</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77F98">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bottom"/>
              <w:rPr>
                <w:rFonts w:hint="eastAsia" w:ascii="仿宋_GB2312" w:eastAsia="仿宋_GB2312" w:cs="仿宋_GB2312"/>
                <w:b w:val="0"/>
                <w:bCs w:val="0"/>
                <w:i w:val="0"/>
                <w:iCs w:val="0"/>
                <w:color w:val="auto"/>
                <w:kern w:val="0"/>
                <w:sz w:val="22"/>
                <w:szCs w:val="22"/>
                <w:u w:val="none"/>
                <w:lang w:val="en-US" w:eastAsia="zh-CN"/>
              </w:rPr>
            </w:pPr>
          </w:p>
        </w:tc>
      </w:tr>
      <w:tr w14:paraId="5A3E0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AD12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sz w:val="22"/>
                <w:szCs w:val="22"/>
                <w:u w:val="none"/>
              </w:rPr>
            </w:pPr>
            <w:r>
              <w:rPr>
                <w:rFonts w:hint="eastAsia" w:ascii="仿宋_GB2312" w:eastAsia="仿宋_GB2312" w:cs="仿宋_GB2312"/>
                <w:b w:val="0"/>
                <w:bCs w:val="0"/>
                <w:i w:val="0"/>
                <w:iCs w:val="0"/>
                <w:color w:val="auto"/>
                <w:kern w:val="0"/>
                <w:sz w:val="22"/>
                <w:szCs w:val="22"/>
                <w:u w:val="none"/>
                <w:lang w:val="en-US" w:eastAsia="zh-CN"/>
              </w:rPr>
              <w:t>搭配汽车</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98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t</w:t>
            </w:r>
          </w:p>
        </w:tc>
        <w:tc>
          <w:tcPr>
            <w:tcW w:w="41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0E1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10t</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D0D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kern w:val="0"/>
                <w:sz w:val="22"/>
                <w:szCs w:val="22"/>
                <w:u w:val="none"/>
                <w:lang w:val="en-US" w:eastAsia="zh-CN"/>
              </w:rPr>
            </w:pPr>
          </w:p>
        </w:tc>
      </w:tr>
      <w:tr w14:paraId="533E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75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平均单程运输距离</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83D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km</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F6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0.6</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D5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5FF12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D3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平均运行速度</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557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km/h</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61C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20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B5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6781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B7D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铲斗循环时间</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3F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s</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214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34</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8A2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233B1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50B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sz w:val="21"/>
                <w:szCs w:val="21"/>
                <w:u w:val="none"/>
              </w:rPr>
            </w:pPr>
            <w:r>
              <w:rPr>
                <w:rFonts w:hint="eastAsia" w:ascii="仿宋_GB2312" w:eastAsia="仿宋_GB2312" w:cs="仿宋_GB2312"/>
                <w:b w:val="0"/>
                <w:bCs w:val="0"/>
                <w:i w:val="0"/>
                <w:iCs w:val="0"/>
                <w:color w:val="auto"/>
                <w:kern w:val="0"/>
                <w:sz w:val="21"/>
                <w:szCs w:val="21"/>
                <w:u w:val="none"/>
                <w:lang w:val="en-US" w:eastAsia="zh-CN"/>
              </w:rPr>
              <w:t>装车铲数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0EBF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b w:val="0"/>
                <w:bCs w:val="0"/>
                <w:i w:val="0"/>
                <w:iCs w:val="0"/>
                <w:color w:val="auto"/>
                <w:sz w:val="24"/>
                <w:szCs w:val="24"/>
                <w:u w:val="none"/>
              </w:rPr>
            </w:pP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21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5</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485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2408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8C1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sz w:val="21"/>
                <w:szCs w:val="21"/>
                <w:u w:val="none"/>
              </w:rPr>
            </w:pPr>
            <w:r>
              <w:rPr>
                <w:rFonts w:hint="eastAsia" w:ascii="仿宋_GB2312" w:eastAsia="仿宋_GB2312" w:cs="仿宋_GB2312"/>
                <w:b w:val="0"/>
                <w:bCs w:val="0"/>
                <w:i w:val="0"/>
                <w:iCs w:val="0"/>
                <w:color w:val="auto"/>
                <w:kern w:val="0"/>
                <w:sz w:val="21"/>
                <w:szCs w:val="21"/>
                <w:u w:val="none"/>
                <w:lang w:val="en-US" w:eastAsia="zh-CN"/>
              </w:rPr>
              <w:t>汽车换入时间</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B66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s</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74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20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6F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67EB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30A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汽车装载时间</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F93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h</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07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0.053</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08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63A53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887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汽车运行时间</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EE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h</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E77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0.060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443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52ABA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1E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卸载时间</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6C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h</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D9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0.017</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79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76F8C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4BB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等车及调车时间</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BE1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h</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730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0.05</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70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4D31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1F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汽车周转一次时间</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61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h</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95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0.18</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E5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0B527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1B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汽车实际载重</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FD6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t</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F62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9.78 </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698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0E310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4E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每班工作时间</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C09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h</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CC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8</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7F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5C33E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8A3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班工作时间利用系数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EC45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b w:val="0"/>
                <w:bCs w:val="0"/>
                <w:i w:val="0"/>
                <w:iCs w:val="0"/>
                <w:color w:val="auto"/>
                <w:sz w:val="24"/>
                <w:szCs w:val="24"/>
                <w:u w:val="none"/>
              </w:rPr>
            </w:pP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41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0.85</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FEA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536C2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44D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汽车实际生产能力</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6B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t/台班</w:t>
            </w:r>
          </w:p>
        </w:tc>
        <w:tc>
          <w:tcPr>
            <w:tcW w:w="41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F811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370.53</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459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kern w:val="0"/>
                <w:sz w:val="22"/>
                <w:szCs w:val="22"/>
                <w:u w:val="none"/>
                <w:lang w:val="en-US" w:eastAsia="zh-CN"/>
              </w:rPr>
            </w:pPr>
          </w:p>
        </w:tc>
      </w:tr>
      <w:tr w14:paraId="5561E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C0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汽车年运输量</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E8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万吨/a</w:t>
            </w:r>
          </w:p>
        </w:tc>
        <w:tc>
          <w:tcPr>
            <w:tcW w:w="41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3D8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20</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271F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kern w:val="0"/>
                <w:sz w:val="22"/>
                <w:szCs w:val="22"/>
                <w:u w:val="none"/>
                <w:lang w:val="en-US" w:eastAsia="zh-CN"/>
              </w:rPr>
            </w:pPr>
          </w:p>
        </w:tc>
      </w:tr>
      <w:tr w14:paraId="477F0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01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运输不均衡系数</w:t>
            </w:r>
          </w:p>
        </w:tc>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CF59F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b w:val="0"/>
                <w:bCs w:val="0"/>
                <w:i w:val="0"/>
                <w:iCs w:val="0"/>
                <w:color w:val="auto"/>
                <w:sz w:val="22"/>
                <w:szCs w:val="22"/>
                <w:u w:val="none"/>
              </w:rPr>
            </w:pPr>
          </w:p>
        </w:tc>
        <w:tc>
          <w:tcPr>
            <w:tcW w:w="41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F5F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564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kern w:val="0"/>
                <w:sz w:val="22"/>
                <w:szCs w:val="22"/>
                <w:u w:val="none"/>
                <w:lang w:val="en-US" w:eastAsia="zh-CN"/>
              </w:rPr>
            </w:pPr>
          </w:p>
        </w:tc>
      </w:tr>
      <w:tr w14:paraId="3066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15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年工作天数</w:t>
            </w:r>
          </w:p>
        </w:tc>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7A06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b w:val="0"/>
                <w:bCs w:val="0"/>
                <w:i w:val="0"/>
                <w:iCs w:val="0"/>
                <w:color w:val="auto"/>
                <w:sz w:val="22"/>
                <w:szCs w:val="22"/>
                <w:u w:val="none"/>
              </w:rPr>
            </w:pPr>
          </w:p>
        </w:tc>
        <w:tc>
          <w:tcPr>
            <w:tcW w:w="41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BFF6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300</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C073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kern w:val="0"/>
                <w:sz w:val="22"/>
                <w:szCs w:val="22"/>
                <w:u w:val="none"/>
                <w:lang w:val="en-US" w:eastAsia="zh-CN"/>
              </w:rPr>
            </w:pPr>
          </w:p>
        </w:tc>
      </w:tr>
      <w:tr w14:paraId="15A86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324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每天工作班数</w:t>
            </w:r>
          </w:p>
        </w:tc>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691E8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b w:val="0"/>
                <w:bCs w:val="0"/>
                <w:i w:val="0"/>
                <w:iCs w:val="0"/>
                <w:color w:val="auto"/>
                <w:sz w:val="22"/>
                <w:szCs w:val="22"/>
                <w:u w:val="none"/>
              </w:rPr>
            </w:pPr>
          </w:p>
        </w:tc>
        <w:tc>
          <w:tcPr>
            <w:tcW w:w="41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A669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FAF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kern w:val="0"/>
                <w:sz w:val="22"/>
                <w:szCs w:val="22"/>
                <w:u w:val="none"/>
                <w:lang w:val="en-US" w:eastAsia="zh-CN"/>
              </w:rPr>
            </w:pPr>
          </w:p>
        </w:tc>
      </w:tr>
      <w:tr w14:paraId="44B6E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42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实际作业台数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47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台</w:t>
            </w:r>
          </w:p>
        </w:tc>
        <w:tc>
          <w:tcPr>
            <w:tcW w:w="41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9B8B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1.98</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CFA6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kern w:val="0"/>
                <w:sz w:val="22"/>
                <w:szCs w:val="22"/>
                <w:u w:val="none"/>
                <w:lang w:val="en-US" w:eastAsia="zh-CN"/>
              </w:rPr>
            </w:pPr>
          </w:p>
        </w:tc>
      </w:tr>
      <w:tr w14:paraId="3AE12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29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汽车出车率</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05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w:t>
            </w:r>
          </w:p>
        </w:tc>
        <w:tc>
          <w:tcPr>
            <w:tcW w:w="41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19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85</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96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kern w:val="0"/>
                <w:sz w:val="24"/>
                <w:szCs w:val="24"/>
                <w:u w:val="none"/>
                <w:lang w:val="en-US" w:eastAsia="zh-CN"/>
              </w:rPr>
            </w:pPr>
          </w:p>
        </w:tc>
      </w:tr>
      <w:tr w14:paraId="7B33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47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在册台数</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1B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b w:val="0"/>
                <w:bCs w:val="0"/>
                <w:i w:val="0"/>
                <w:iCs w:val="0"/>
                <w:color w:val="auto"/>
                <w:sz w:val="24"/>
                <w:szCs w:val="24"/>
                <w:u w:val="none"/>
              </w:rPr>
            </w:pPr>
            <w:r>
              <w:rPr>
                <w:rFonts w:hint="eastAsia" w:ascii="仿宋_GB2312" w:eastAsia="仿宋_GB2312" w:cs="仿宋_GB2312"/>
                <w:b w:val="0"/>
                <w:bCs w:val="0"/>
                <w:i w:val="0"/>
                <w:iCs w:val="0"/>
                <w:color w:val="auto"/>
                <w:kern w:val="0"/>
                <w:sz w:val="24"/>
                <w:szCs w:val="24"/>
                <w:u w:val="none"/>
                <w:lang w:val="en-US" w:eastAsia="zh-CN"/>
              </w:rPr>
              <w:t>台</w:t>
            </w:r>
          </w:p>
        </w:tc>
        <w:tc>
          <w:tcPr>
            <w:tcW w:w="411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9427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464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b w:val="0"/>
                <w:bCs w:val="0"/>
                <w:i w:val="0"/>
                <w:iCs w:val="0"/>
                <w:color w:val="auto"/>
                <w:kern w:val="0"/>
                <w:sz w:val="22"/>
                <w:szCs w:val="22"/>
                <w:u w:val="none"/>
                <w:lang w:val="en-US" w:eastAsia="zh-CN"/>
              </w:rPr>
            </w:pPr>
          </w:p>
        </w:tc>
      </w:tr>
    </w:tbl>
    <w:p w14:paraId="2D3A2AB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道路行车密度计算</w:t>
      </w:r>
    </w:p>
    <w:p w14:paraId="27D4E5E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center"/>
        <w:textAlignment w:val="auto"/>
        <w:rPr>
          <w:rFonts w:hint="eastAsia" w:ascii="仿宋_GB2312" w:eastAsia="仿宋_GB2312" w:cs="仿宋_GB2312"/>
          <w:color w:val="auto"/>
          <w:sz w:val="28"/>
          <w:szCs w:val="28"/>
        </w:rPr>
      </w:pPr>
      <w:r>
        <w:rPr>
          <w:rFonts w:hint="eastAsia" w:ascii="仿宋_GB2312" w:eastAsia="仿宋_GB2312" w:cs="仿宋_GB2312"/>
          <w:color w:val="auto"/>
          <w:position w:val="-32"/>
        </w:rPr>
        <w:object>
          <v:shape id="_x0000_i1035" o:spt="75" type="#_x0000_t75" style="height:35.15pt;width:81.3pt;" o:ole="t" filled="f" o:preferrelative="t" stroked="f" coordsize="21600,21600">
            <v:path/>
            <v:fill on="f" focussize="0,0"/>
            <v:stroke on="f" color="#000000"/>
            <v:imagedata r:id="rId45" o:title="image25"/>
            <o:lock v:ext="edit" aspectratio="t"/>
            <w10:wrap type="none"/>
            <w10:anchorlock/>
          </v:shape>
          <o:OLEObject Type="Embed" ProgID="Package" ShapeID="_x0000_i1035" DrawAspect="Content" ObjectID="_1468075735" r:id="rId44">
            <o:LockedField>false</o:LockedField>
          </o:OLEObject>
        </w:object>
      </w:r>
    </w:p>
    <w:p w14:paraId="4D6F62C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式中：N——行车密度，辆/时；</w:t>
      </w:r>
    </w:p>
    <w:p w14:paraId="662DDB2A">
      <w:pPr>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object>
          <v:shape id="_x0000_i1036" o:spt="75" type="#_x0000_t75" style="height:18pt;width:13.95pt;" o:ole="t" filled="f" o:preferrelative="t" stroked="f" coordsize="21600,21600">
            <v:path/>
            <v:fill on="f" focussize="0,0"/>
            <v:stroke on="f" color="#000000"/>
            <v:imagedata r:id="rId47" o:title="image26"/>
            <o:lock v:ext="edit" aspectratio="t"/>
            <w10:wrap type="none"/>
            <w10:anchorlock/>
          </v:shape>
          <o:OLEObject Type="Embed" ProgID="Package" ShapeID="_x0000_i1036" DrawAspect="Content" ObjectID="_1468075736" r:id="rId46">
            <o:LockedField>false</o:LockedField>
          </o:OLEObject>
        </w:object>
      </w:r>
      <w:r>
        <w:rPr>
          <w:rFonts w:hint="eastAsia" w:ascii="仿宋_GB2312" w:eastAsia="仿宋_GB2312" w:cs="仿宋_GB2312"/>
          <w:color w:val="auto"/>
          <w:sz w:val="28"/>
          <w:szCs w:val="28"/>
        </w:rPr>
        <w:t>——年运量，矿石</w:t>
      </w:r>
      <w:r>
        <w:rPr>
          <w:rFonts w:hint="eastAsia" w:ascii="仿宋_GB2312" w:eastAsia="仿宋_GB2312" w:cs="仿宋_GB2312"/>
          <w:color w:val="auto"/>
          <w:sz w:val="28"/>
          <w:szCs w:val="28"/>
          <w:lang w:val="en-US" w:eastAsia="zh-CN"/>
        </w:rPr>
        <w:t>20</w:t>
      </w:r>
      <w:r>
        <w:rPr>
          <w:rFonts w:hint="eastAsia" w:ascii="仿宋_GB2312" w:eastAsia="仿宋_GB2312" w:cs="仿宋_GB2312"/>
          <w:color w:val="auto"/>
          <w:sz w:val="28"/>
          <w:szCs w:val="28"/>
        </w:rPr>
        <w:t>万吨；</w:t>
      </w:r>
    </w:p>
    <w:p w14:paraId="532AB3A2">
      <w:pPr>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rPr>
        <w:t>C——富裕系数，1.1</w:t>
      </w:r>
      <w:r>
        <w:rPr>
          <w:rFonts w:hint="eastAsia" w:ascii="仿宋_GB2312" w:eastAsia="仿宋_GB2312" w:cs="仿宋_GB2312"/>
          <w:color w:val="auto"/>
          <w:sz w:val="28"/>
          <w:szCs w:val="28"/>
          <w:lang w:eastAsia="zh-CN"/>
        </w:rPr>
        <w:t>；</w:t>
      </w:r>
    </w:p>
    <w:p w14:paraId="7D8CB04C">
      <w:pPr>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rPr>
        <w:t>n——每日工作班制，1班</w:t>
      </w:r>
      <w:r>
        <w:rPr>
          <w:rFonts w:hint="eastAsia" w:ascii="仿宋_GB2312" w:eastAsia="仿宋_GB2312" w:cs="仿宋_GB2312"/>
          <w:color w:val="auto"/>
          <w:sz w:val="28"/>
          <w:szCs w:val="28"/>
          <w:lang w:eastAsia="zh-CN"/>
        </w:rPr>
        <w:t>；</w:t>
      </w:r>
    </w:p>
    <w:p w14:paraId="2FCB5E5E">
      <w:pPr>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rPr>
        <w:object>
          <v:shape id="_x0000_i1037" o:spt="75" type="#_x0000_t75" style="height:18pt;width:13pt;" o:ole="t" filled="f" o:preferrelative="t" stroked="f" coordsize="21600,21600">
            <v:path/>
            <v:fill on="f" focussize="0,0"/>
            <v:stroke on="f" color="#000000"/>
            <v:imagedata r:id="rId49" o:title="image27"/>
            <o:lock v:ext="edit" aspectratio="t"/>
            <w10:wrap type="none"/>
            <w10:anchorlock/>
          </v:shape>
          <o:OLEObject Type="Embed" ProgID="Package" ShapeID="_x0000_i1037" DrawAspect="Content" ObjectID="_1468075737" r:id="rId48">
            <o:LockedField>false</o:LockedField>
          </o:OLEObject>
        </w:object>
      </w:r>
      <w:r>
        <w:rPr>
          <w:rFonts w:hint="eastAsia" w:ascii="仿宋_GB2312" w:eastAsia="仿宋_GB2312" w:cs="仿宋_GB2312"/>
          <w:color w:val="auto"/>
          <w:sz w:val="28"/>
          <w:szCs w:val="28"/>
        </w:rPr>
        <w:t>——矿山年工作日数，300天</w:t>
      </w:r>
      <w:r>
        <w:rPr>
          <w:rFonts w:hint="eastAsia" w:ascii="仿宋_GB2312" w:eastAsia="仿宋_GB2312" w:cs="仿宋_GB2312"/>
          <w:color w:val="auto"/>
          <w:sz w:val="28"/>
          <w:szCs w:val="28"/>
          <w:lang w:eastAsia="zh-CN"/>
        </w:rPr>
        <w:t>；</w:t>
      </w:r>
    </w:p>
    <w:p w14:paraId="3655861B">
      <w:pPr>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rPr>
        <w:object>
          <v:shape id="_x0000_i1038" o:spt="75" type="#_x0000_t75" style="height:19pt;width:18pt;" o:ole="t" filled="f" o:preferrelative="t" stroked="f" coordsize="21600,21600">
            <v:path/>
            <v:fill on="f" focussize="0,0"/>
            <v:stroke on="f" color="#000000"/>
            <v:imagedata r:id="rId51" o:title="image28"/>
            <o:lock v:ext="edit" aspectratio="t"/>
            <w10:wrap type="none"/>
            <w10:anchorlock/>
          </v:shape>
          <o:OLEObject Type="Embed" ProgID="Package" ShapeID="_x0000_i1038" DrawAspect="Content" ObjectID="_1468075738" r:id="rId50">
            <o:LockedField>false</o:LockedField>
          </o:OLEObject>
        </w:object>
      </w:r>
      <w:r>
        <w:rPr>
          <w:rFonts w:hint="eastAsia" w:ascii="仿宋_GB2312" w:eastAsia="仿宋_GB2312" w:cs="仿宋_GB2312"/>
          <w:color w:val="auto"/>
          <w:sz w:val="28"/>
          <w:szCs w:val="28"/>
        </w:rPr>
        <w:t>——汽车有效载重量，</w:t>
      </w:r>
      <w:r>
        <w:rPr>
          <w:rFonts w:hint="eastAsia" w:ascii="仿宋_GB2312" w:eastAsia="仿宋_GB2312" w:cs="仿宋_GB2312"/>
          <w:color w:val="auto"/>
          <w:sz w:val="28"/>
          <w:szCs w:val="28"/>
          <w:lang w:val="en-US" w:eastAsia="zh-CN"/>
        </w:rPr>
        <w:t>9.78</w:t>
      </w:r>
      <w:r>
        <w:rPr>
          <w:rFonts w:hint="eastAsia" w:ascii="仿宋_GB2312" w:eastAsia="仿宋_GB2312" w:cs="仿宋_GB2312"/>
          <w:color w:val="auto"/>
          <w:sz w:val="28"/>
          <w:szCs w:val="28"/>
        </w:rPr>
        <w:t>吨</w:t>
      </w:r>
      <w:r>
        <w:rPr>
          <w:rFonts w:hint="eastAsia" w:ascii="仿宋_GB2312" w:eastAsia="仿宋_GB2312" w:cs="仿宋_GB2312"/>
          <w:color w:val="auto"/>
          <w:sz w:val="28"/>
          <w:szCs w:val="28"/>
          <w:lang w:eastAsia="zh-CN"/>
        </w:rPr>
        <w:t>；</w:t>
      </w:r>
    </w:p>
    <w:p w14:paraId="2B972F43">
      <w:pPr>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rPr>
        <w:object>
          <v:shape id="_x0000_i1039" o:spt="75" type="#_x0000_t75" style="height:18pt;width:15pt;" o:ole="t" filled="f" o:preferrelative="t" stroked="f" coordsize="21600,21600">
            <v:path/>
            <v:fill on="f" focussize="0,0"/>
            <v:stroke on="f" color="#000000"/>
            <v:imagedata r:id="rId53" o:title="image29"/>
            <o:lock v:ext="edit" aspectratio="t"/>
            <w10:wrap type="none"/>
            <w10:anchorlock/>
          </v:shape>
          <o:OLEObject Type="Embed" ProgID="Package" ShapeID="_x0000_i1039" DrawAspect="Content" ObjectID="_1468075739" r:id="rId52">
            <o:LockedField>false</o:LockedField>
          </o:OLEObject>
        </w:object>
      </w:r>
      <w:r>
        <w:rPr>
          <w:rFonts w:hint="eastAsia" w:ascii="仿宋_GB2312" w:eastAsia="仿宋_GB2312" w:cs="仿宋_GB2312"/>
          <w:color w:val="auto"/>
          <w:sz w:val="28"/>
          <w:szCs w:val="28"/>
        </w:rPr>
        <w:t>——工作时间利用系数，0.85</w:t>
      </w:r>
      <w:r>
        <w:rPr>
          <w:rFonts w:hint="eastAsia" w:ascii="仿宋_GB2312" w:eastAsia="仿宋_GB2312" w:cs="仿宋_GB2312"/>
          <w:color w:val="auto"/>
          <w:sz w:val="28"/>
          <w:szCs w:val="28"/>
          <w:lang w:eastAsia="zh-CN"/>
        </w:rPr>
        <w:t>。</w:t>
      </w:r>
    </w:p>
    <w:p w14:paraId="2DF29DB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经计算，运输道路行车密度为</w:t>
      </w:r>
      <w:r>
        <w:rPr>
          <w:rFonts w:hint="eastAsia" w:ascii="仿宋_GB2312" w:eastAsia="仿宋_GB2312" w:cs="仿宋_GB2312"/>
          <w:color w:val="auto"/>
          <w:sz w:val="28"/>
          <w:szCs w:val="28"/>
          <w:lang w:val="en-US" w:eastAsia="zh-CN"/>
        </w:rPr>
        <w:t>11</w:t>
      </w:r>
      <w:r>
        <w:rPr>
          <w:rFonts w:hint="eastAsia" w:ascii="仿宋_GB2312" w:eastAsia="仿宋_GB2312" w:cs="仿宋_GB2312"/>
          <w:color w:val="auto"/>
          <w:sz w:val="28"/>
          <w:szCs w:val="28"/>
        </w:rPr>
        <w:t>辆/时，</w:t>
      </w:r>
      <w:r>
        <w:rPr>
          <w:rFonts w:hint="eastAsia" w:ascii="仿宋_GB2312" w:eastAsia="仿宋_GB2312" w:cs="仿宋_GB2312"/>
          <w:color w:val="auto"/>
          <w:sz w:val="28"/>
          <w:szCs w:val="28"/>
          <w:lang w:val="en-US" w:eastAsia="zh-CN"/>
        </w:rPr>
        <w:t>三级道路可满足矿山运输要求。</w:t>
      </w:r>
    </w:p>
    <w:p w14:paraId="76C5034F">
      <w:pPr>
        <w:pStyle w:val="5"/>
        <w:adjustRightInd w:val="0"/>
        <w:snapToGrid w:val="0"/>
        <w:spacing w:before="0" w:line="360" w:lineRule="auto"/>
        <w:rPr>
          <w:rFonts w:hint="eastAsia" w:ascii="仿宋_GB2312" w:eastAsia="仿宋_GB2312" w:cs="仿宋_GB2312"/>
          <w:b/>
          <w:bCs w:val="0"/>
          <w:color w:val="auto"/>
          <w:sz w:val="28"/>
          <w:szCs w:val="28"/>
          <w:lang w:val="en-US" w:eastAsia="zh-CN"/>
        </w:rPr>
      </w:pPr>
      <w:bookmarkStart w:id="263" w:name="_Toc2435"/>
      <w:r>
        <w:rPr>
          <w:rFonts w:hint="eastAsia" w:ascii="仿宋_GB2312" w:eastAsia="仿宋_GB2312" w:cs="仿宋_GB2312"/>
          <w:b/>
          <w:bCs w:val="0"/>
          <w:color w:val="auto"/>
          <w:sz w:val="28"/>
          <w:szCs w:val="28"/>
          <w:lang w:val="en-US" w:eastAsia="zh-CN"/>
        </w:rPr>
        <w:t>5.6.5辅助作业</w:t>
      </w:r>
      <w:bookmarkEnd w:id="263"/>
    </w:p>
    <w:p w14:paraId="23C9769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为使挖掘机、自卸汽车等设备能充分发挥其效率，提高矿山的整体能力，降低作业劳动强度，改善作业环境，各工作面需进行平场、清道、洒水等辅助作业。辅助作业采用洒水车1台</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装载机1台、0.5m³挖掘机1台、皮卡车1台</w:t>
      </w:r>
      <w:r>
        <w:rPr>
          <w:rFonts w:hint="eastAsia" w:ascii="仿宋_GB2312" w:eastAsia="仿宋_GB2312" w:cs="仿宋_GB2312"/>
          <w:color w:val="auto"/>
          <w:sz w:val="28"/>
          <w:szCs w:val="28"/>
        </w:rPr>
        <w:t>。</w:t>
      </w:r>
    </w:p>
    <w:p w14:paraId="74D55FF1">
      <w:pPr>
        <w:pStyle w:val="5"/>
        <w:adjustRightInd w:val="0"/>
        <w:snapToGrid w:val="0"/>
        <w:spacing w:before="0" w:line="360" w:lineRule="auto"/>
        <w:rPr>
          <w:rFonts w:hint="eastAsia" w:ascii="仿宋_GB2312" w:eastAsia="仿宋_GB2312" w:cs="仿宋_GB2312"/>
          <w:b/>
          <w:bCs w:val="0"/>
          <w:color w:val="auto"/>
          <w:sz w:val="28"/>
          <w:szCs w:val="28"/>
          <w:lang w:val="en-US" w:eastAsia="zh-CN"/>
        </w:rPr>
      </w:pPr>
      <w:bookmarkStart w:id="264" w:name="_Toc25960"/>
      <w:r>
        <w:rPr>
          <w:rFonts w:hint="eastAsia" w:ascii="仿宋_GB2312" w:eastAsia="仿宋_GB2312" w:cs="仿宋_GB2312"/>
          <w:b/>
          <w:bCs w:val="0"/>
          <w:color w:val="auto"/>
          <w:sz w:val="28"/>
          <w:szCs w:val="28"/>
          <w:lang w:val="en-US" w:eastAsia="zh-CN"/>
        </w:rPr>
        <w:t>5.6.6主要采矿设备表及材料消耗</w:t>
      </w:r>
      <w:bookmarkEnd w:id="264"/>
    </w:p>
    <w:p w14:paraId="6E1690DE">
      <w:pPr>
        <w:pStyle w:val="149"/>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表</w:t>
      </w:r>
      <w:r>
        <w:rPr>
          <w:rFonts w:hint="eastAsia" w:ascii="仿宋_GB2312" w:eastAsia="仿宋_GB2312" w:cs="仿宋_GB2312"/>
          <w:color w:val="auto"/>
          <w:sz w:val="28"/>
          <w:szCs w:val="28"/>
          <w:lang w:val="en-US" w:eastAsia="zh-CN"/>
        </w:rPr>
        <w:t>5</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7</w:t>
      </w:r>
      <w:r>
        <w:rPr>
          <w:rFonts w:hint="eastAsia" w:ascii="仿宋_GB2312" w:eastAsia="仿宋_GB2312" w:cs="仿宋_GB2312"/>
          <w:color w:val="auto"/>
          <w:sz w:val="28"/>
          <w:szCs w:val="28"/>
        </w:rPr>
        <w:t xml:space="preserve">  主要采矿设备表</w:t>
      </w:r>
    </w:p>
    <w:tbl>
      <w:tblPr>
        <w:tblStyle w:val="6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10"/>
        <w:gridCol w:w="3083"/>
        <w:gridCol w:w="2075"/>
        <w:gridCol w:w="990"/>
        <w:gridCol w:w="2330"/>
      </w:tblGrid>
      <w:tr w14:paraId="30F71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blHeader/>
        </w:trPr>
        <w:tc>
          <w:tcPr>
            <w:tcW w:w="3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48AC4">
            <w:pPr>
              <w:widowControl/>
              <w:spacing w:line="320" w:lineRule="exact"/>
              <w:jc w:val="center"/>
              <w:textAlignment w:val="center"/>
              <w:rPr>
                <w:rFonts w:hint="eastAsia" w:ascii="仿宋_GB2312" w:eastAsia="仿宋_GB2312" w:cs="仿宋_GB2312"/>
                <w:color w:val="auto"/>
                <w:sz w:val="24"/>
                <w:szCs w:val="24"/>
              </w:rPr>
            </w:pPr>
            <w:r>
              <w:rPr>
                <w:rFonts w:hint="eastAsia" w:ascii="仿宋_GB2312" w:eastAsia="仿宋_GB2312" w:cs="仿宋_GB2312"/>
                <w:color w:val="auto"/>
                <w:kern w:val="0"/>
                <w:sz w:val="24"/>
                <w:szCs w:val="24"/>
              </w:rPr>
              <w:t>序号</w:t>
            </w:r>
          </w:p>
        </w:tc>
        <w:tc>
          <w:tcPr>
            <w:tcW w:w="17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EC4800">
            <w:pPr>
              <w:widowControl/>
              <w:spacing w:line="320" w:lineRule="exact"/>
              <w:jc w:val="center"/>
              <w:textAlignment w:val="center"/>
              <w:rPr>
                <w:rFonts w:hint="eastAsia" w:ascii="仿宋_GB2312" w:eastAsia="仿宋_GB2312" w:cs="仿宋_GB2312"/>
                <w:color w:val="auto"/>
                <w:sz w:val="24"/>
                <w:szCs w:val="24"/>
              </w:rPr>
            </w:pPr>
            <w:r>
              <w:rPr>
                <w:rFonts w:hint="eastAsia" w:ascii="仿宋_GB2312" w:eastAsia="仿宋_GB2312" w:cs="仿宋_GB2312"/>
                <w:color w:val="auto"/>
                <w:kern w:val="0"/>
                <w:sz w:val="24"/>
                <w:szCs w:val="24"/>
              </w:rPr>
              <w:t>设</w:t>
            </w:r>
            <w:r>
              <w:rPr>
                <w:rFonts w:hint="eastAsia" w:ascii="仿宋_GB2312" w:eastAsia="仿宋_GB2312" w:cs="仿宋_GB2312"/>
                <w:color w:val="auto"/>
                <w:sz w:val="24"/>
                <w:szCs w:val="24"/>
              </w:rPr>
              <w:t xml:space="preserve">   </w:t>
            </w:r>
            <w:r>
              <w:rPr>
                <w:rStyle w:val="289"/>
                <w:rFonts w:hint="eastAsia" w:ascii="仿宋_GB2312" w:eastAsia="仿宋_GB2312" w:cs="仿宋_GB2312"/>
                <w:color w:val="auto"/>
                <w:sz w:val="24"/>
                <w:szCs w:val="24"/>
              </w:rPr>
              <w:t>备</w:t>
            </w:r>
            <w:r>
              <w:rPr>
                <w:rFonts w:hint="eastAsia" w:ascii="仿宋_GB2312" w:eastAsia="仿宋_GB2312" w:cs="仿宋_GB2312"/>
                <w:color w:val="auto"/>
                <w:sz w:val="24"/>
                <w:szCs w:val="24"/>
              </w:rPr>
              <w:t xml:space="preserve">   </w:t>
            </w:r>
            <w:r>
              <w:rPr>
                <w:rStyle w:val="289"/>
                <w:rFonts w:hint="eastAsia" w:ascii="仿宋_GB2312" w:eastAsia="仿宋_GB2312" w:cs="仿宋_GB2312"/>
                <w:color w:val="auto"/>
                <w:sz w:val="24"/>
                <w:szCs w:val="24"/>
              </w:rPr>
              <w:t>名</w:t>
            </w:r>
            <w:r>
              <w:rPr>
                <w:rFonts w:hint="eastAsia" w:ascii="仿宋_GB2312" w:eastAsia="仿宋_GB2312" w:cs="仿宋_GB2312"/>
                <w:color w:val="auto"/>
                <w:sz w:val="24"/>
                <w:szCs w:val="24"/>
              </w:rPr>
              <w:t xml:space="preserve">   </w:t>
            </w:r>
            <w:r>
              <w:rPr>
                <w:rStyle w:val="289"/>
                <w:rFonts w:hint="eastAsia" w:ascii="仿宋_GB2312" w:eastAsia="仿宋_GB2312" w:cs="仿宋_GB2312"/>
                <w:color w:val="auto"/>
                <w:sz w:val="24"/>
                <w:szCs w:val="24"/>
              </w:rPr>
              <w:t>称</w:t>
            </w:r>
          </w:p>
        </w:tc>
        <w:tc>
          <w:tcPr>
            <w:tcW w:w="12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2A8BEB">
            <w:pPr>
              <w:widowControl/>
              <w:spacing w:line="320" w:lineRule="exact"/>
              <w:jc w:val="center"/>
              <w:textAlignment w:val="center"/>
              <w:rPr>
                <w:rFonts w:hint="eastAsia" w:ascii="仿宋_GB2312" w:eastAsia="仿宋_GB2312" w:cs="仿宋_GB2312"/>
                <w:color w:val="auto"/>
                <w:sz w:val="24"/>
                <w:szCs w:val="24"/>
              </w:rPr>
            </w:pPr>
            <w:r>
              <w:rPr>
                <w:rFonts w:hint="eastAsia" w:ascii="仿宋_GB2312" w:eastAsia="仿宋_GB2312" w:cs="仿宋_GB2312"/>
                <w:color w:val="auto"/>
                <w:kern w:val="0"/>
                <w:sz w:val="24"/>
                <w:szCs w:val="24"/>
              </w:rPr>
              <w:t>规格</w:t>
            </w:r>
          </w:p>
        </w:tc>
        <w:tc>
          <w:tcPr>
            <w:tcW w:w="3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949BBE">
            <w:pPr>
              <w:widowControl/>
              <w:spacing w:line="320" w:lineRule="exact"/>
              <w:jc w:val="center"/>
              <w:textAlignment w:val="center"/>
              <w:rPr>
                <w:rFonts w:hint="eastAsia" w:ascii="仿宋_GB2312" w:eastAsia="仿宋_GB2312" w:cs="仿宋_GB2312"/>
                <w:color w:val="auto"/>
                <w:sz w:val="24"/>
                <w:szCs w:val="24"/>
              </w:rPr>
            </w:pPr>
            <w:r>
              <w:rPr>
                <w:rFonts w:hint="eastAsia" w:ascii="仿宋_GB2312" w:eastAsia="仿宋_GB2312" w:cs="仿宋_GB2312"/>
                <w:color w:val="auto"/>
                <w:kern w:val="0"/>
                <w:sz w:val="24"/>
                <w:szCs w:val="24"/>
              </w:rPr>
              <w:t>需求数量</w:t>
            </w:r>
          </w:p>
        </w:tc>
        <w:tc>
          <w:tcPr>
            <w:tcW w:w="12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1B9DDA">
            <w:pPr>
              <w:widowControl/>
              <w:spacing w:line="320" w:lineRule="exact"/>
              <w:jc w:val="center"/>
              <w:textAlignment w:val="center"/>
              <w:rPr>
                <w:rFonts w:hint="eastAsia" w:ascii="仿宋_GB2312" w:eastAsia="仿宋_GB2312" w:cs="仿宋_GB2312"/>
                <w:color w:val="auto"/>
                <w:sz w:val="24"/>
                <w:szCs w:val="24"/>
              </w:rPr>
            </w:pPr>
            <w:r>
              <w:rPr>
                <w:rFonts w:hint="eastAsia" w:ascii="仿宋_GB2312" w:eastAsia="仿宋_GB2312" w:cs="仿宋_GB2312"/>
                <w:color w:val="auto"/>
                <w:kern w:val="0"/>
                <w:sz w:val="24"/>
                <w:szCs w:val="24"/>
              </w:rPr>
              <w:t>备注</w:t>
            </w:r>
          </w:p>
        </w:tc>
      </w:tr>
      <w:tr w14:paraId="09398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3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25EF9C">
            <w:pPr>
              <w:widowControl/>
              <w:spacing w:line="320" w:lineRule="exact"/>
              <w:jc w:val="center"/>
              <w:textAlignment w:val="center"/>
              <w:rPr>
                <w:rFonts w:hint="eastAsia" w:ascii="仿宋_GB2312" w:eastAsia="仿宋_GB2312" w:cs="仿宋_GB2312"/>
                <w:color w:val="auto"/>
                <w:sz w:val="24"/>
                <w:szCs w:val="24"/>
              </w:rPr>
            </w:pPr>
            <w:r>
              <w:rPr>
                <w:rFonts w:hint="eastAsia" w:ascii="仿宋_GB2312" w:eastAsia="仿宋_GB2312" w:cs="仿宋_GB2312"/>
                <w:color w:val="auto"/>
                <w:kern w:val="0"/>
                <w:sz w:val="24"/>
                <w:szCs w:val="24"/>
              </w:rPr>
              <w:t>1</w:t>
            </w:r>
          </w:p>
        </w:tc>
        <w:tc>
          <w:tcPr>
            <w:tcW w:w="17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677F8A">
            <w:pPr>
              <w:pStyle w:val="634"/>
              <w:spacing w:line="240" w:lineRule="auto"/>
              <w:ind w:firstLine="0"/>
              <w:jc w:val="center"/>
              <w:rPr>
                <w:rFonts w:hint="eastAsia" w:ascii="仿宋_GB2312" w:eastAsia="仿宋_GB2312" w:cs="仿宋_GB2312"/>
                <w:color w:val="auto"/>
                <w:sz w:val="24"/>
                <w:szCs w:val="24"/>
              </w:rPr>
            </w:pPr>
            <w:r>
              <w:rPr>
                <w:rFonts w:hint="eastAsia" w:ascii="仿宋_GB2312" w:eastAsia="仿宋_GB2312" w:cs="仿宋_GB2312"/>
                <w:color w:val="auto"/>
                <w:kern w:val="0"/>
                <w:sz w:val="24"/>
                <w:szCs w:val="24"/>
                <w:lang w:val="en-US" w:eastAsia="zh-CN"/>
              </w:rPr>
              <w:t>液压</w:t>
            </w:r>
            <w:r>
              <w:rPr>
                <w:rFonts w:hint="eastAsia" w:ascii="仿宋_GB2312" w:eastAsia="仿宋_GB2312" w:cs="仿宋_GB2312"/>
                <w:color w:val="auto"/>
                <w:kern w:val="0"/>
                <w:sz w:val="24"/>
                <w:szCs w:val="24"/>
              </w:rPr>
              <w:t>挖掘机</w:t>
            </w:r>
          </w:p>
        </w:tc>
        <w:tc>
          <w:tcPr>
            <w:tcW w:w="12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3F2316">
            <w:pPr>
              <w:pStyle w:val="634"/>
              <w:spacing w:line="240" w:lineRule="auto"/>
              <w:ind w:firstLine="0"/>
              <w:jc w:val="center"/>
              <w:rPr>
                <w:rFonts w:hint="eastAsia" w:ascii="仿宋_GB2312" w:eastAsia="仿宋_GB2312" w:cs="仿宋_GB2312"/>
                <w:color w:val="auto"/>
                <w:sz w:val="24"/>
                <w:szCs w:val="24"/>
                <w:lang w:eastAsia="zh-CN"/>
              </w:rPr>
            </w:pPr>
            <w:r>
              <w:rPr>
                <w:rFonts w:hint="eastAsia" w:ascii="仿宋_GB2312" w:eastAsia="仿宋_GB2312" w:cs="仿宋_GB2312"/>
                <w:color w:val="auto"/>
                <w:sz w:val="24"/>
                <w:szCs w:val="24"/>
                <w:lang w:val="en-US" w:eastAsia="zh-CN"/>
              </w:rPr>
              <w:t>1.3</w:t>
            </w:r>
            <w:r>
              <w:rPr>
                <w:rFonts w:hint="eastAsia" w:ascii="仿宋_GB2312" w:eastAsia="仿宋_GB2312" w:cs="仿宋_GB2312"/>
                <w:color w:val="auto"/>
                <w:kern w:val="0"/>
                <w:sz w:val="24"/>
                <w:szCs w:val="24"/>
                <w:lang w:eastAsia="zh-CN"/>
              </w:rPr>
              <w:t>m³</w:t>
            </w:r>
          </w:p>
        </w:tc>
        <w:tc>
          <w:tcPr>
            <w:tcW w:w="3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A1DA79">
            <w:pPr>
              <w:widowControl/>
              <w:spacing w:line="320" w:lineRule="exact"/>
              <w:jc w:val="center"/>
              <w:textAlignment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1</w:t>
            </w:r>
          </w:p>
        </w:tc>
        <w:tc>
          <w:tcPr>
            <w:tcW w:w="12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32B461">
            <w:pPr>
              <w:widowControl/>
              <w:spacing w:line="320" w:lineRule="exact"/>
              <w:jc w:val="center"/>
              <w:textAlignment w:val="center"/>
              <w:rPr>
                <w:rFonts w:hint="eastAsia" w:ascii="仿宋_GB2312" w:eastAsia="仿宋_GB2312" w:cs="仿宋_GB2312"/>
                <w:color w:val="auto"/>
                <w:kern w:val="0"/>
                <w:sz w:val="24"/>
                <w:szCs w:val="24"/>
              </w:rPr>
            </w:pPr>
          </w:p>
        </w:tc>
      </w:tr>
      <w:tr w14:paraId="512DC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3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2099FC">
            <w:pPr>
              <w:widowControl/>
              <w:spacing w:line="320" w:lineRule="exact"/>
              <w:jc w:val="center"/>
              <w:textAlignment w:val="center"/>
              <w:rPr>
                <w:rFonts w:hint="eastAsia" w:ascii="仿宋_GB2312" w:eastAsia="仿宋_GB2312" w:cs="仿宋_GB2312"/>
                <w:color w:val="auto"/>
                <w:sz w:val="24"/>
                <w:szCs w:val="24"/>
              </w:rPr>
            </w:pPr>
            <w:r>
              <w:rPr>
                <w:rFonts w:hint="eastAsia" w:ascii="仿宋_GB2312" w:eastAsia="仿宋_GB2312" w:cs="仿宋_GB2312"/>
                <w:color w:val="auto"/>
                <w:kern w:val="0"/>
                <w:sz w:val="24"/>
                <w:szCs w:val="24"/>
              </w:rPr>
              <w:t>2</w:t>
            </w:r>
          </w:p>
        </w:tc>
        <w:tc>
          <w:tcPr>
            <w:tcW w:w="17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D7579E">
            <w:pPr>
              <w:pStyle w:val="634"/>
              <w:spacing w:line="240" w:lineRule="auto"/>
              <w:ind w:firstLine="0"/>
              <w:jc w:val="center"/>
              <w:rPr>
                <w:rFonts w:hint="eastAsia" w:ascii="仿宋_GB2312" w:eastAsia="仿宋_GB2312" w:cs="仿宋_GB2312"/>
                <w:color w:val="auto"/>
                <w:sz w:val="24"/>
                <w:szCs w:val="24"/>
              </w:rPr>
            </w:pPr>
            <w:r>
              <w:rPr>
                <w:rFonts w:hint="eastAsia" w:ascii="仿宋_GB2312" w:eastAsia="仿宋_GB2312" w:cs="仿宋_GB2312"/>
                <w:color w:val="auto"/>
                <w:kern w:val="0"/>
                <w:sz w:val="24"/>
                <w:szCs w:val="24"/>
              </w:rPr>
              <w:t>挖掘机</w:t>
            </w:r>
          </w:p>
        </w:tc>
        <w:tc>
          <w:tcPr>
            <w:tcW w:w="12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9F09F">
            <w:pPr>
              <w:pStyle w:val="634"/>
              <w:spacing w:line="240" w:lineRule="auto"/>
              <w:ind w:firstLine="0"/>
              <w:jc w:val="center"/>
              <w:rPr>
                <w:rFonts w:hint="eastAsia" w:ascii="仿宋_GB2312" w:eastAsia="仿宋_GB2312" w:cs="仿宋_GB2312"/>
                <w:color w:val="auto"/>
                <w:sz w:val="24"/>
                <w:szCs w:val="24"/>
                <w:lang w:eastAsia="zh-CN"/>
              </w:rPr>
            </w:pPr>
            <w:r>
              <w:rPr>
                <w:rFonts w:hint="eastAsia" w:ascii="仿宋_GB2312" w:eastAsia="仿宋_GB2312" w:cs="仿宋_GB2312"/>
                <w:color w:val="auto"/>
                <w:sz w:val="24"/>
                <w:szCs w:val="24"/>
                <w:lang w:val="en-US" w:eastAsia="zh-CN"/>
              </w:rPr>
              <w:t>0.5</w:t>
            </w:r>
            <w:r>
              <w:rPr>
                <w:rFonts w:hint="eastAsia" w:ascii="仿宋_GB2312" w:eastAsia="仿宋_GB2312" w:cs="仿宋_GB2312"/>
                <w:color w:val="auto"/>
                <w:kern w:val="0"/>
                <w:sz w:val="24"/>
                <w:szCs w:val="24"/>
                <w:lang w:eastAsia="zh-CN"/>
              </w:rPr>
              <w:t>m³</w:t>
            </w:r>
          </w:p>
        </w:tc>
        <w:tc>
          <w:tcPr>
            <w:tcW w:w="3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1E1C69">
            <w:pPr>
              <w:widowControl/>
              <w:spacing w:line="320" w:lineRule="exact"/>
              <w:jc w:val="center"/>
              <w:textAlignment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1</w:t>
            </w:r>
          </w:p>
        </w:tc>
        <w:tc>
          <w:tcPr>
            <w:tcW w:w="12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690D9A">
            <w:pPr>
              <w:widowControl/>
              <w:spacing w:line="320" w:lineRule="exact"/>
              <w:jc w:val="center"/>
              <w:textAlignment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rPr>
              <w:t>配破碎锤</w:t>
            </w:r>
            <w:r>
              <w:rPr>
                <w:rFonts w:hint="eastAsia" w:ascii="仿宋_GB2312" w:eastAsia="仿宋_GB2312" w:cs="仿宋_GB2312"/>
                <w:color w:val="auto"/>
                <w:kern w:val="0"/>
                <w:sz w:val="24"/>
                <w:szCs w:val="24"/>
                <w:lang w:val="en-US" w:eastAsia="zh-CN"/>
              </w:rPr>
              <w:t>和</w:t>
            </w:r>
            <w:r>
              <w:rPr>
                <w:rFonts w:hint="eastAsia" w:ascii="仿宋_GB2312" w:eastAsia="仿宋_GB2312" w:cs="仿宋_GB2312"/>
                <w:color w:val="auto"/>
                <w:sz w:val="24"/>
                <w:szCs w:val="24"/>
                <w:lang w:val="en-US" w:eastAsia="zh-CN"/>
              </w:rPr>
              <w:t>0.5</w:t>
            </w:r>
            <w:r>
              <w:rPr>
                <w:rFonts w:hint="eastAsia" w:ascii="仿宋_GB2312" w:eastAsia="仿宋_GB2312" w:cs="仿宋_GB2312"/>
                <w:color w:val="auto"/>
                <w:kern w:val="0"/>
                <w:sz w:val="24"/>
                <w:szCs w:val="24"/>
                <w:lang w:eastAsia="zh-CN"/>
              </w:rPr>
              <w:t>m³</w:t>
            </w:r>
            <w:r>
              <w:rPr>
                <w:rFonts w:hint="eastAsia" w:ascii="仿宋_GB2312" w:eastAsia="仿宋_GB2312" w:cs="仿宋_GB2312"/>
                <w:color w:val="auto"/>
                <w:kern w:val="0"/>
                <w:sz w:val="24"/>
                <w:szCs w:val="24"/>
                <w:lang w:val="en-US" w:eastAsia="zh-CN"/>
              </w:rPr>
              <w:t>铲斗</w:t>
            </w:r>
          </w:p>
        </w:tc>
      </w:tr>
      <w:tr w14:paraId="4700E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3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D19B9">
            <w:pPr>
              <w:widowControl/>
              <w:spacing w:line="320" w:lineRule="exact"/>
              <w:jc w:val="center"/>
              <w:textAlignment w:val="center"/>
              <w:rPr>
                <w:rFonts w:hint="eastAsia" w:ascii="仿宋_GB2312" w:eastAsia="仿宋_GB2312" w:cs="仿宋_GB2312"/>
                <w:color w:val="auto"/>
                <w:sz w:val="24"/>
                <w:szCs w:val="24"/>
                <w:lang w:eastAsia="zh-CN"/>
              </w:rPr>
            </w:pPr>
            <w:r>
              <w:rPr>
                <w:rFonts w:hint="eastAsia" w:ascii="仿宋_GB2312" w:eastAsia="仿宋_GB2312" w:cs="仿宋_GB2312"/>
                <w:color w:val="auto"/>
                <w:kern w:val="0"/>
                <w:sz w:val="24"/>
                <w:szCs w:val="24"/>
                <w:lang w:val="en-US" w:eastAsia="zh-CN"/>
              </w:rPr>
              <w:t>3</w:t>
            </w:r>
          </w:p>
        </w:tc>
        <w:tc>
          <w:tcPr>
            <w:tcW w:w="17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3901C">
            <w:pPr>
              <w:widowControl/>
              <w:spacing w:line="320" w:lineRule="exact"/>
              <w:jc w:val="center"/>
              <w:textAlignment w:val="center"/>
              <w:rPr>
                <w:rFonts w:hint="eastAsia" w:ascii="仿宋_GB2312" w:eastAsia="仿宋_GB2312" w:cs="仿宋_GB2312"/>
                <w:color w:val="auto"/>
                <w:kern w:val="0"/>
                <w:sz w:val="24"/>
                <w:szCs w:val="24"/>
                <w:lang w:eastAsia="zh-CN"/>
              </w:rPr>
            </w:pPr>
            <w:r>
              <w:rPr>
                <w:rFonts w:hint="eastAsia" w:ascii="仿宋_GB2312" w:eastAsia="仿宋_GB2312" w:cs="仿宋_GB2312"/>
                <w:color w:val="auto"/>
                <w:kern w:val="0"/>
                <w:sz w:val="24"/>
                <w:szCs w:val="24"/>
              </w:rPr>
              <w:t>自卸</w:t>
            </w:r>
            <w:r>
              <w:rPr>
                <w:rFonts w:hint="eastAsia" w:ascii="仿宋_GB2312" w:eastAsia="仿宋_GB2312" w:cs="仿宋_GB2312"/>
                <w:color w:val="auto"/>
                <w:kern w:val="0"/>
                <w:sz w:val="24"/>
                <w:szCs w:val="24"/>
                <w:lang w:val="en-US" w:eastAsia="zh-CN"/>
              </w:rPr>
              <w:t>汽车</w:t>
            </w:r>
          </w:p>
        </w:tc>
        <w:tc>
          <w:tcPr>
            <w:tcW w:w="12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DBACC9">
            <w:pPr>
              <w:widowControl/>
              <w:spacing w:line="320" w:lineRule="exact"/>
              <w:jc w:val="center"/>
              <w:textAlignment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lang w:val="en-US" w:eastAsia="zh-CN"/>
              </w:rPr>
              <w:t>10</w:t>
            </w:r>
            <w:r>
              <w:rPr>
                <w:rFonts w:hint="eastAsia" w:ascii="仿宋_GB2312" w:eastAsia="仿宋_GB2312" w:cs="仿宋_GB2312"/>
                <w:color w:val="auto"/>
                <w:kern w:val="0"/>
                <w:sz w:val="24"/>
                <w:szCs w:val="24"/>
              </w:rPr>
              <w:t>t</w:t>
            </w:r>
          </w:p>
        </w:tc>
        <w:tc>
          <w:tcPr>
            <w:tcW w:w="3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7CEDF7">
            <w:pPr>
              <w:widowControl/>
              <w:spacing w:line="320" w:lineRule="exact"/>
              <w:jc w:val="center"/>
              <w:textAlignment w:val="center"/>
              <w:rPr>
                <w:rFonts w:hint="eastAsia" w:ascii="仿宋_GB2312" w:eastAsia="仿宋_GB2312" w:cs="仿宋_GB2312"/>
                <w:color w:val="auto"/>
                <w:kern w:val="0"/>
                <w:sz w:val="24"/>
                <w:szCs w:val="24"/>
                <w:lang w:eastAsia="zh-CN"/>
              </w:rPr>
            </w:pPr>
            <w:r>
              <w:rPr>
                <w:rFonts w:hint="eastAsia" w:ascii="仿宋_GB2312" w:eastAsia="仿宋_GB2312" w:cs="仿宋_GB2312"/>
                <w:color w:val="auto"/>
                <w:kern w:val="0"/>
                <w:sz w:val="24"/>
                <w:szCs w:val="24"/>
                <w:lang w:val="en-US" w:eastAsia="zh-CN"/>
              </w:rPr>
              <w:t>3</w:t>
            </w:r>
          </w:p>
        </w:tc>
        <w:tc>
          <w:tcPr>
            <w:tcW w:w="12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FEAED8">
            <w:pPr>
              <w:widowControl/>
              <w:spacing w:line="320" w:lineRule="exact"/>
              <w:jc w:val="center"/>
              <w:textAlignment w:val="center"/>
              <w:rPr>
                <w:rFonts w:hint="eastAsia" w:ascii="仿宋_GB2312" w:eastAsia="仿宋_GB2312" w:cs="仿宋_GB2312"/>
                <w:color w:val="auto"/>
                <w:kern w:val="0"/>
                <w:sz w:val="24"/>
                <w:szCs w:val="24"/>
              </w:rPr>
            </w:pPr>
          </w:p>
        </w:tc>
      </w:tr>
      <w:tr w14:paraId="52019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3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60A8D6">
            <w:pPr>
              <w:widowControl/>
              <w:spacing w:line="320" w:lineRule="exact"/>
              <w:jc w:val="center"/>
              <w:textAlignment w:val="center"/>
              <w:rPr>
                <w:rFonts w:hint="eastAsia" w:ascii="仿宋_GB2312" w:eastAsia="仿宋_GB2312" w:cs="仿宋_GB2312"/>
                <w:color w:val="auto"/>
                <w:sz w:val="24"/>
                <w:szCs w:val="24"/>
                <w:lang w:eastAsia="zh-CN"/>
              </w:rPr>
            </w:pPr>
            <w:r>
              <w:rPr>
                <w:rFonts w:hint="eastAsia" w:ascii="仿宋_GB2312" w:eastAsia="仿宋_GB2312" w:cs="仿宋_GB2312"/>
                <w:color w:val="auto"/>
                <w:kern w:val="0"/>
                <w:sz w:val="24"/>
                <w:szCs w:val="24"/>
                <w:lang w:val="en-US" w:eastAsia="zh-CN"/>
              </w:rPr>
              <w:t>4</w:t>
            </w:r>
          </w:p>
        </w:tc>
        <w:tc>
          <w:tcPr>
            <w:tcW w:w="17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E062B">
            <w:pPr>
              <w:widowControl/>
              <w:spacing w:line="320" w:lineRule="exact"/>
              <w:jc w:val="center"/>
              <w:textAlignment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破碎锤</w:t>
            </w:r>
          </w:p>
        </w:tc>
        <w:tc>
          <w:tcPr>
            <w:tcW w:w="12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8B1CFA">
            <w:pPr>
              <w:widowControl/>
              <w:spacing w:line="320" w:lineRule="exact"/>
              <w:jc w:val="center"/>
              <w:textAlignment w:val="center"/>
              <w:rPr>
                <w:rFonts w:hint="eastAsia" w:ascii="仿宋_GB2312" w:eastAsia="仿宋_GB2312" w:cs="仿宋_GB2312"/>
                <w:color w:val="auto"/>
                <w:kern w:val="0"/>
                <w:sz w:val="24"/>
                <w:szCs w:val="24"/>
              </w:rPr>
            </w:pPr>
          </w:p>
        </w:tc>
        <w:tc>
          <w:tcPr>
            <w:tcW w:w="3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8320EF">
            <w:pPr>
              <w:widowControl/>
              <w:spacing w:line="320" w:lineRule="exact"/>
              <w:jc w:val="center"/>
              <w:textAlignment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1</w:t>
            </w:r>
          </w:p>
        </w:tc>
        <w:tc>
          <w:tcPr>
            <w:tcW w:w="12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77AF1A">
            <w:pPr>
              <w:widowControl/>
              <w:spacing w:line="320" w:lineRule="exact"/>
              <w:jc w:val="center"/>
              <w:textAlignment w:val="center"/>
              <w:rPr>
                <w:rFonts w:hint="eastAsia" w:ascii="仿宋_GB2312" w:eastAsia="仿宋_GB2312" w:cs="仿宋_GB2312"/>
                <w:color w:val="auto"/>
                <w:kern w:val="0"/>
                <w:sz w:val="24"/>
                <w:szCs w:val="24"/>
              </w:rPr>
            </w:pPr>
          </w:p>
        </w:tc>
      </w:tr>
      <w:tr w14:paraId="64919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3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6DEE60">
            <w:pPr>
              <w:widowControl/>
              <w:spacing w:line="320" w:lineRule="exact"/>
              <w:jc w:val="center"/>
              <w:textAlignment w:val="center"/>
              <w:rPr>
                <w:rFonts w:hint="eastAsia" w:ascii="仿宋_GB2312" w:eastAsia="仿宋_GB2312" w:cs="仿宋_GB2312"/>
                <w:color w:val="auto"/>
                <w:sz w:val="24"/>
                <w:szCs w:val="24"/>
                <w:lang w:eastAsia="zh-CN"/>
              </w:rPr>
            </w:pPr>
            <w:r>
              <w:rPr>
                <w:rFonts w:hint="eastAsia" w:ascii="仿宋_GB2312" w:eastAsia="仿宋_GB2312" w:cs="仿宋_GB2312"/>
                <w:color w:val="auto"/>
                <w:kern w:val="0"/>
                <w:sz w:val="24"/>
                <w:szCs w:val="24"/>
                <w:lang w:val="en-US" w:eastAsia="zh-CN"/>
              </w:rPr>
              <w:t>5</w:t>
            </w:r>
          </w:p>
        </w:tc>
        <w:tc>
          <w:tcPr>
            <w:tcW w:w="17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31334">
            <w:pPr>
              <w:widowControl/>
              <w:adjustRightInd w:val="0"/>
              <w:snapToGrid w:val="0"/>
              <w:spacing w:line="240" w:lineRule="auto"/>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洒水车</w:t>
            </w:r>
          </w:p>
        </w:tc>
        <w:tc>
          <w:tcPr>
            <w:tcW w:w="12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D46C0C">
            <w:pPr>
              <w:widowControl/>
              <w:spacing w:line="320" w:lineRule="exact"/>
              <w:jc w:val="center"/>
              <w:textAlignment w:val="center"/>
              <w:rPr>
                <w:rFonts w:hint="eastAsia" w:ascii="仿宋_GB2312" w:eastAsia="仿宋_GB2312" w:cs="仿宋_GB2312"/>
                <w:color w:val="auto"/>
                <w:kern w:val="0"/>
                <w:sz w:val="24"/>
                <w:szCs w:val="24"/>
              </w:rPr>
            </w:pPr>
          </w:p>
        </w:tc>
        <w:tc>
          <w:tcPr>
            <w:tcW w:w="3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9EB4C3">
            <w:pPr>
              <w:widowControl/>
              <w:spacing w:line="320" w:lineRule="exact"/>
              <w:jc w:val="center"/>
              <w:textAlignment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1</w:t>
            </w:r>
          </w:p>
        </w:tc>
        <w:tc>
          <w:tcPr>
            <w:tcW w:w="12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E48A70">
            <w:pPr>
              <w:widowControl/>
              <w:spacing w:line="320" w:lineRule="exact"/>
              <w:jc w:val="center"/>
              <w:textAlignment w:val="center"/>
              <w:rPr>
                <w:rFonts w:hint="eastAsia" w:ascii="仿宋_GB2312" w:eastAsia="仿宋_GB2312" w:cs="仿宋_GB2312"/>
                <w:color w:val="auto"/>
                <w:kern w:val="0"/>
                <w:sz w:val="24"/>
                <w:szCs w:val="24"/>
              </w:rPr>
            </w:pPr>
          </w:p>
        </w:tc>
      </w:tr>
      <w:tr w14:paraId="61AE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3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90B1E">
            <w:pPr>
              <w:widowControl/>
              <w:spacing w:line="320" w:lineRule="exact"/>
              <w:jc w:val="center"/>
              <w:textAlignment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6</w:t>
            </w:r>
          </w:p>
        </w:tc>
        <w:tc>
          <w:tcPr>
            <w:tcW w:w="17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141CF1">
            <w:pPr>
              <w:widowControl/>
              <w:spacing w:line="320" w:lineRule="exact"/>
              <w:jc w:val="center"/>
              <w:textAlignment w:val="center"/>
              <w:rPr>
                <w:rFonts w:hint="eastAsia" w:ascii="仿宋_GB2312" w:eastAsia="仿宋_GB2312" w:cs="仿宋_GB2312"/>
                <w:color w:val="auto"/>
                <w:kern w:val="0"/>
                <w:sz w:val="24"/>
                <w:szCs w:val="24"/>
              </w:rPr>
            </w:pPr>
            <w:r>
              <w:rPr>
                <w:rFonts w:hint="eastAsia" w:ascii="仿宋_GB2312" w:eastAsia="仿宋_GB2312" w:cs="仿宋_GB2312"/>
                <w:color w:val="auto"/>
                <w:sz w:val="24"/>
                <w:szCs w:val="24"/>
                <w:lang w:val="en-US" w:eastAsia="zh-CN"/>
              </w:rPr>
              <w:t>装载机</w:t>
            </w:r>
          </w:p>
        </w:tc>
        <w:tc>
          <w:tcPr>
            <w:tcW w:w="12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7994E9">
            <w:pPr>
              <w:widowControl/>
              <w:spacing w:line="320" w:lineRule="exact"/>
              <w:jc w:val="center"/>
              <w:textAlignment w:val="center"/>
              <w:rPr>
                <w:rFonts w:hint="eastAsia" w:ascii="仿宋_GB2312" w:eastAsia="仿宋_GB2312" w:cs="仿宋_GB2312"/>
                <w:color w:val="auto"/>
                <w:kern w:val="0"/>
                <w:sz w:val="24"/>
                <w:szCs w:val="24"/>
              </w:rPr>
            </w:pPr>
          </w:p>
        </w:tc>
        <w:tc>
          <w:tcPr>
            <w:tcW w:w="3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48F939">
            <w:pPr>
              <w:widowControl/>
              <w:spacing w:line="320" w:lineRule="exact"/>
              <w:jc w:val="center"/>
              <w:textAlignment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1</w:t>
            </w:r>
          </w:p>
        </w:tc>
        <w:tc>
          <w:tcPr>
            <w:tcW w:w="12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F5BDAA">
            <w:pPr>
              <w:widowControl/>
              <w:spacing w:line="320" w:lineRule="exact"/>
              <w:jc w:val="center"/>
              <w:textAlignment w:val="center"/>
              <w:rPr>
                <w:rFonts w:hint="eastAsia" w:ascii="仿宋_GB2312" w:eastAsia="仿宋_GB2312" w:cs="仿宋_GB2312"/>
                <w:color w:val="auto"/>
                <w:kern w:val="0"/>
                <w:sz w:val="24"/>
                <w:szCs w:val="24"/>
              </w:rPr>
            </w:pPr>
          </w:p>
        </w:tc>
      </w:tr>
      <w:tr w14:paraId="55B25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3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D95F32">
            <w:pPr>
              <w:widowControl/>
              <w:spacing w:line="320" w:lineRule="exact"/>
              <w:jc w:val="center"/>
              <w:textAlignment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7</w:t>
            </w:r>
          </w:p>
        </w:tc>
        <w:tc>
          <w:tcPr>
            <w:tcW w:w="17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0BBF7">
            <w:pPr>
              <w:widowControl/>
              <w:spacing w:line="320" w:lineRule="exact"/>
              <w:jc w:val="center"/>
              <w:textAlignment w:val="center"/>
              <w:rPr>
                <w:rFonts w:hint="eastAsia"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en-US" w:eastAsia="zh-CN"/>
              </w:rPr>
              <w:t>皮卡车</w:t>
            </w:r>
          </w:p>
        </w:tc>
        <w:tc>
          <w:tcPr>
            <w:tcW w:w="12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008F7C">
            <w:pPr>
              <w:widowControl/>
              <w:spacing w:line="320" w:lineRule="exact"/>
              <w:jc w:val="center"/>
              <w:textAlignment w:val="center"/>
              <w:rPr>
                <w:rFonts w:hint="eastAsia" w:ascii="仿宋_GB2312" w:eastAsia="仿宋_GB2312" w:cs="仿宋_GB2312"/>
                <w:color w:val="auto"/>
                <w:kern w:val="0"/>
                <w:sz w:val="24"/>
                <w:szCs w:val="24"/>
              </w:rPr>
            </w:pPr>
          </w:p>
        </w:tc>
        <w:tc>
          <w:tcPr>
            <w:tcW w:w="3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8E9FC9">
            <w:pPr>
              <w:widowControl/>
              <w:spacing w:line="320" w:lineRule="exact"/>
              <w:jc w:val="center"/>
              <w:textAlignment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1</w:t>
            </w:r>
          </w:p>
        </w:tc>
        <w:tc>
          <w:tcPr>
            <w:tcW w:w="12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24FCF7">
            <w:pPr>
              <w:widowControl/>
              <w:spacing w:line="320" w:lineRule="exact"/>
              <w:jc w:val="center"/>
              <w:textAlignment w:val="center"/>
              <w:rPr>
                <w:rFonts w:hint="eastAsia" w:ascii="仿宋_GB2312" w:eastAsia="仿宋_GB2312" w:cs="仿宋_GB2312"/>
                <w:color w:val="auto"/>
                <w:kern w:val="0"/>
                <w:sz w:val="24"/>
                <w:szCs w:val="24"/>
              </w:rPr>
            </w:pPr>
          </w:p>
        </w:tc>
      </w:tr>
      <w:tr w14:paraId="70C8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3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B23051">
            <w:pPr>
              <w:widowControl/>
              <w:spacing w:line="320" w:lineRule="exact"/>
              <w:jc w:val="center"/>
              <w:textAlignment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8</w:t>
            </w:r>
          </w:p>
        </w:tc>
        <w:tc>
          <w:tcPr>
            <w:tcW w:w="17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5F1892">
            <w:pPr>
              <w:widowControl/>
              <w:spacing w:line="320" w:lineRule="exact"/>
              <w:jc w:val="center"/>
              <w:textAlignment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柴油发电机</w:t>
            </w:r>
          </w:p>
        </w:tc>
        <w:tc>
          <w:tcPr>
            <w:tcW w:w="12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CFF356">
            <w:pPr>
              <w:widowControl/>
              <w:spacing w:line="320" w:lineRule="exact"/>
              <w:jc w:val="center"/>
              <w:textAlignment w:val="center"/>
              <w:rPr>
                <w:rFonts w:hint="eastAsia" w:ascii="仿宋_GB2312" w:eastAsia="仿宋_GB2312" w:cs="仿宋_GB2312"/>
                <w:color w:val="auto"/>
                <w:kern w:val="0"/>
                <w:sz w:val="24"/>
                <w:szCs w:val="24"/>
              </w:rPr>
            </w:pPr>
          </w:p>
        </w:tc>
        <w:tc>
          <w:tcPr>
            <w:tcW w:w="3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7C3490">
            <w:pPr>
              <w:widowControl/>
              <w:spacing w:line="320" w:lineRule="exact"/>
              <w:jc w:val="center"/>
              <w:textAlignment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1</w:t>
            </w:r>
          </w:p>
        </w:tc>
        <w:tc>
          <w:tcPr>
            <w:tcW w:w="12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8E5974">
            <w:pPr>
              <w:widowControl/>
              <w:spacing w:line="320" w:lineRule="exact"/>
              <w:jc w:val="center"/>
              <w:textAlignment w:val="center"/>
              <w:rPr>
                <w:rFonts w:hint="eastAsia" w:ascii="仿宋_GB2312" w:eastAsia="仿宋_GB2312" w:cs="仿宋_GB2312"/>
                <w:color w:val="auto"/>
                <w:kern w:val="0"/>
                <w:sz w:val="24"/>
                <w:szCs w:val="24"/>
              </w:rPr>
            </w:pPr>
          </w:p>
        </w:tc>
      </w:tr>
      <w:tr w14:paraId="537EC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3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814C31">
            <w:pPr>
              <w:widowControl/>
              <w:spacing w:line="320" w:lineRule="exact"/>
              <w:jc w:val="center"/>
              <w:textAlignment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9</w:t>
            </w:r>
          </w:p>
        </w:tc>
        <w:tc>
          <w:tcPr>
            <w:tcW w:w="17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6FF6F2">
            <w:pPr>
              <w:widowControl/>
              <w:spacing w:line="320" w:lineRule="exact"/>
              <w:jc w:val="center"/>
              <w:textAlignment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潜水泵</w:t>
            </w:r>
          </w:p>
        </w:tc>
        <w:tc>
          <w:tcPr>
            <w:tcW w:w="12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F38EF7">
            <w:pPr>
              <w:widowControl/>
              <w:spacing w:line="320" w:lineRule="exact"/>
              <w:jc w:val="center"/>
              <w:textAlignment w:val="center"/>
              <w:rPr>
                <w:rFonts w:hint="eastAsia" w:ascii="仿宋_GB2312" w:eastAsia="仿宋_GB2312" w:cs="仿宋_GB2312"/>
                <w:color w:val="auto"/>
                <w:kern w:val="0"/>
                <w:sz w:val="24"/>
                <w:szCs w:val="24"/>
              </w:rPr>
            </w:pPr>
          </w:p>
        </w:tc>
        <w:tc>
          <w:tcPr>
            <w:tcW w:w="3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86CF47">
            <w:pPr>
              <w:widowControl/>
              <w:spacing w:line="320" w:lineRule="exact"/>
              <w:jc w:val="center"/>
              <w:textAlignment w:val="center"/>
              <w:rPr>
                <w:rFonts w:hint="eastAsia" w:ascii="仿宋_GB2312" w:eastAsia="仿宋_GB2312" w:cs="仿宋_GB2312"/>
                <w:color w:val="auto"/>
                <w:kern w:val="0"/>
                <w:sz w:val="24"/>
                <w:szCs w:val="24"/>
                <w:lang w:val="en-US" w:eastAsia="zh-CN"/>
              </w:rPr>
            </w:pPr>
            <w:r>
              <w:rPr>
                <w:rFonts w:hint="eastAsia" w:ascii="仿宋_GB2312" w:eastAsia="仿宋_GB2312" w:cs="仿宋_GB2312"/>
                <w:color w:val="auto"/>
                <w:kern w:val="0"/>
                <w:sz w:val="24"/>
                <w:szCs w:val="24"/>
                <w:lang w:val="en-US" w:eastAsia="zh-CN"/>
              </w:rPr>
              <w:t>3</w:t>
            </w:r>
          </w:p>
        </w:tc>
        <w:tc>
          <w:tcPr>
            <w:tcW w:w="12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B5BDBA">
            <w:pPr>
              <w:widowControl/>
              <w:spacing w:line="320" w:lineRule="exact"/>
              <w:jc w:val="center"/>
              <w:textAlignment w:val="center"/>
              <w:rPr>
                <w:rFonts w:hint="eastAsia" w:ascii="仿宋_GB2312" w:eastAsia="仿宋_GB2312" w:cs="仿宋_GB2312"/>
                <w:color w:val="auto"/>
                <w:kern w:val="0"/>
                <w:sz w:val="24"/>
                <w:szCs w:val="24"/>
              </w:rPr>
            </w:pPr>
          </w:p>
        </w:tc>
      </w:tr>
    </w:tbl>
    <w:p w14:paraId="6126F00E">
      <w:pPr>
        <w:pStyle w:val="149"/>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表</w:t>
      </w:r>
      <w:r>
        <w:rPr>
          <w:rFonts w:hint="eastAsia" w:ascii="仿宋_GB2312" w:eastAsia="仿宋_GB2312" w:cs="仿宋_GB2312"/>
          <w:color w:val="auto"/>
          <w:sz w:val="28"/>
          <w:szCs w:val="28"/>
          <w:lang w:val="en-US" w:eastAsia="zh-CN"/>
        </w:rPr>
        <w:t>5</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8</w:t>
      </w:r>
      <w:r>
        <w:rPr>
          <w:rFonts w:hint="eastAsia" w:ascii="仿宋_GB2312" w:eastAsia="仿宋_GB2312" w:cs="仿宋_GB2312"/>
          <w:color w:val="auto"/>
          <w:sz w:val="28"/>
          <w:szCs w:val="28"/>
        </w:rPr>
        <w:t xml:space="preserve">  采、剥工作主要原材料消耗表</w:t>
      </w:r>
    </w:p>
    <w:tbl>
      <w:tblPr>
        <w:tblStyle w:val="6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4"/>
        <w:gridCol w:w="2210"/>
        <w:gridCol w:w="1438"/>
        <w:gridCol w:w="2267"/>
        <w:gridCol w:w="2059"/>
      </w:tblGrid>
      <w:tr w14:paraId="0689A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CF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序号</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40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项  目</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76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单 位</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75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单耗(/kt)</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C7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年耗(/a)</w:t>
            </w:r>
          </w:p>
        </w:tc>
      </w:tr>
      <w:tr w14:paraId="1D7F5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1B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1</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0B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铲齿</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85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个</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E9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0.142</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E0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28.4</w:t>
            </w:r>
          </w:p>
        </w:tc>
      </w:tr>
      <w:tr w14:paraId="5EBD5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90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2</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C9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液压油</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66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kg</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DAA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0.162</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15E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32.4</w:t>
            </w:r>
          </w:p>
        </w:tc>
      </w:tr>
      <w:tr w14:paraId="7D54C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B4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3</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43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机油</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0E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m</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87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2.46</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B3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492</w:t>
            </w:r>
          </w:p>
        </w:tc>
      </w:tr>
      <w:tr w14:paraId="7569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2A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4</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98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其他油类</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94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kg</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3C8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3.06</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4E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612</w:t>
            </w:r>
          </w:p>
        </w:tc>
      </w:tr>
      <w:tr w14:paraId="4A6EB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FE2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6</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1E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高压油管</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1E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根</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56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0.016</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36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3.2</w:t>
            </w:r>
          </w:p>
        </w:tc>
      </w:tr>
      <w:tr w14:paraId="40A1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D9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7</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59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油封</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03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个</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48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0.022</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07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4.4</w:t>
            </w:r>
          </w:p>
        </w:tc>
      </w:tr>
      <w:tr w14:paraId="336B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53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8</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29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轮胎</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BF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个</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A7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0.045</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CA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9</w:t>
            </w:r>
          </w:p>
        </w:tc>
      </w:tr>
      <w:tr w14:paraId="2BCF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26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u w:val="none"/>
              </w:rPr>
            </w:pPr>
            <w:r>
              <w:rPr>
                <w:rFonts w:hint="eastAsia" w:ascii="仿宋_GB2312" w:eastAsia="仿宋_GB2312" w:cs="仿宋_GB2312"/>
                <w:i w:val="0"/>
                <w:iCs w:val="0"/>
                <w:color w:val="auto"/>
                <w:kern w:val="0"/>
                <w:sz w:val="21"/>
                <w:szCs w:val="21"/>
                <w:u w:val="none"/>
                <w:lang w:val="en-US" w:eastAsia="zh-CN"/>
              </w:rPr>
              <w:t>9</w:t>
            </w:r>
          </w:p>
        </w:tc>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BF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柴油</w:t>
            </w: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3A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t</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3B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82.875</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96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16.5</w:t>
            </w:r>
          </w:p>
        </w:tc>
      </w:tr>
    </w:tbl>
    <w:p w14:paraId="6D938220">
      <w:pPr>
        <w:pStyle w:val="4"/>
        <w:adjustRightInd w:val="0"/>
        <w:snapToGrid w:val="0"/>
        <w:spacing w:before="0"/>
        <w:rPr>
          <w:rFonts w:hint="eastAsia" w:ascii="仿宋_GB2312" w:eastAsia="仿宋_GB2312" w:cs="仿宋_GB2312"/>
          <w:b/>
          <w:bCs w:val="0"/>
          <w:color w:val="auto"/>
          <w:sz w:val="28"/>
          <w:szCs w:val="28"/>
        </w:rPr>
      </w:pPr>
      <w:bookmarkStart w:id="265" w:name="_Toc20476"/>
      <w:bookmarkStart w:id="266" w:name="_Toc31137"/>
      <w:bookmarkStart w:id="267" w:name="_Toc64710508"/>
      <w:r>
        <w:rPr>
          <w:rFonts w:hint="eastAsia" w:ascii="仿宋_GB2312" w:eastAsia="仿宋_GB2312" w:cs="仿宋_GB2312"/>
          <w:b/>
          <w:bCs w:val="0"/>
          <w:color w:val="auto"/>
          <w:sz w:val="28"/>
          <w:szCs w:val="28"/>
        </w:rPr>
        <w:t>5.</w:t>
      </w:r>
      <w:r>
        <w:rPr>
          <w:rFonts w:hint="eastAsia" w:ascii="仿宋_GB2312" w:eastAsia="仿宋_GB2312" w:cs="仿宋_GB2312"/>
          <w:b/>
          <w:bCs w:val="0"/>
          <w:color w:val="auto"/>
          <w:sz w:val="28"/>
          <w:szCs w:val="28"/>
          <w:lang w:val="en-US" w:eastAsia="zh-CN"/>
        </w:rPr>
        <w:t>7</w:t>
      </w:r>
      <w:r>
        <w:rPr>
          <w:rFonts w:hint="eastAsia" w:ascii="仿宋_GB2312" w:eastAsia="仿宋_GB2312" w:cs="仿宋_GB2312"/>
          <w:b/>
          <w:bCs w:val="0"/>
          <w:color w:val="auto"/>
          <w:sz w:val="28"/>
          <w:szCs w:val="28"/>
        </w:rPr>
        <w:t>基建及生产进度计划</w:t>
      </w:r>
      <w:bookmarkEnd w:id="265"/>
      <w:bookmarkEnd w:id="266"/>
      <w:bookmarkEnd w:id="267"/>
    </w:p>
    <w:p w14:paraId="0D51BDED">
      <w:pPr>
        <w:pStyle w:val="5"/>
        <w:adjustRightInd w:val="0"/>
        <w:snapToGrid w:val="0"/>
        <w:spacing w:before="0" w:line="360" w:lineRule="auto"/>
        <w:rPr>
          <w:rFonts w:hint="eastAsia" w:ascii="仿宋_GB2312" w:eastAsia="仿宋_GB2312" w:cs="仿宋_GB2312"/>
          <w:b/>
          <w:bCs w:val="0"/>
          <w:color w:val="auto"/>
          <w:sz w:val="28"/>
          <w:szCs w:val="28"/>
        </w:rPr>
      </w:pPr>
      <w:bookmarkStart w:id="268" w:name="_Toc32759"/>
      <w:bookmarkStart w:id="269" w:name="_Toc148958008"/>
      <w:r>
        <w:rPr>
          <w:rFonts w:hint="eastAsia" w:ascii="仿宋_GB2312" w:eastAsia="仿宋_GB2312" w:cs="仿宋_GB2312"/>
          <w:b/>
          <w:bCs w:val="0"/>
          <w:color w:val="auto"/>
          <w:sz w:val="28"/>
          <w:szCs w:val="28"/>
        </w:rPr>
        <w:t>5.</w:t>
      </w:r>
      <w:r>
        <w:rPr>
          <w:rFonts w:hint="eastAsia" w:ascii="仿宋_GB2312" w:eastAsia="仿宋_GB2312" w:cs="仿宋_GB2312"/>
          <w:b/>
          <w:bCs w:val="0"/>
          <w:color w:val="auto"/>
          <w:sz w:val="28"/>
          <w:szCs w:val="28"/>
          <w:lang w:val="en-US" w:eastAsia="zh-CN"/>
        </w:rPr>
        <w:t>7</w:t>
      </w:r>
      <w:r>
        <w:rPr>
          <w:rFonts w:hint="eastAsia" w:ascii="仿宋_GB2312" w:eastAsia="仿宋_GB2312" w:cs="仿宋_GB2312"/>
          <w:b/>
          <w:bCs w:val="0"/>
          <w:color w:val="auto"/>
          <w:sz w:val="28"/>
          <w:szCs w:val="28"/>
        </w:rPr>
        <w:t>.1基建工程量及基建时间</w:t>
      </w:r>
      <w:bookmarkEnd w:id="268"/>
      <w:bookmarkEnd w:id="269"/>
    </w:p>
    <w:p w14:paraId="63BC961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（1）矿山基建采剥工程量</w:t>
      </w:r>
    </w:p>
    <w:p w14:paraId="37B1E48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基建工程量包括投产时所需完成的堑沟开掘、初始工作面形成等工作。</w:t>
      </w:r>
      <w:r>
        <w:rPr>
          <w:rFonts w:hint="eastAsia" w:ascii="仿宋_GB2312" w:eastAsia="仿宋_GB2312" w:cs="仿宋_GB2312"/>
          <w:color w:val="auto"/>
          <w:sz w:val="28"/>
          <w:szCs w:val="28"/>
          <w:lang w:val="en-US" w:eastAsia="zh-CN"/>
        </w:rPr>
        <w:t>基建完成390m台阶剥离，378m台阶形成工作平台。</w:t>
      </w:r>
      <w:r>
        <w:rPr>
          <w:rFonts w:hint="eastAsia" w:ascii="仿宋_GB2312" w:eastAsia="仿宋_GB2312" w:cs="仿宋_GB2312"/>
          <w:color w:val="auto"/>
          <w:sz w:val="28"/>
          <w:szCs w:val="28"/>
        </w:rPr>
        <w:t>经计算，基建采剥量为</w:t>
      </w:r>
      <w:r>
        <w:rPr>
          <w:rFonts w:hint="eastAsia" w:ascii="仿宋_GB2312" w:eastAsia="仿宋_GB2312" w:cs="仿宋_GB2312"/>
          <w:color w:val="auto"/>
          <w:sz w:val="28"/>
          <w:szCs w:val="28"/>
          <w:lang w:val="en-US" w:eastAsia="zh-CN"/>
        </w:rPr>
        <w:t>4.89</w:t>
      </w:r>
      <w:r>
        <w:rPr>
          <w:rFonts w:hint="eastAsia" w:ascii="仿宋_GB2312" w:eastAsia="仿宋_GB2312" w:cs="仿宋_GB2312"/>
          <w:color w:val="auto"/>
          <w:sz w:val="28"/>
          <w:szCs w:val="28"/>
          <w:lang w:eastAsia="zh-CN"/>
        </w:rPr>
        <w:t>万吨</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2.2</w:t>
      </w:r>
      <w:r>
        <w:rPr>
          <w:rFonts w:hint="eastAsia" w:ascii="仿宋_GB2312" w:eastAsia="仿宋_GB2312" w:cs="仿宋_GB2312"/>
          <w:color w:val="auto"/>
          <w:sz w:val="28"/>
          <w:szCs w:val="28"/>
          <w:lang w:eastAsia="zh-CN"/>
        </w:rPr>
        <w:t>万立方米</w:t>
      </w:r>
      <w:r>
        <w:rPr>
          <w:rFonts w:hint="eastAsia" w:ascii="仿宋_GB2312" w:eastAsia="仿宋_GB2312" w:cs="仿宋_GB2312"/>
          <w:color w:val="auto"/>
          <w:sz w:val="28"/>
          <w:szCs w:val="28"/>
        </w:rPr>
        <w:t>）；其中采出矿石</w:t>
      </w:r>
      <w:r>
        <w:rPr>
          <w:rFonts w:hint="eastAsia" w:ascii="仿宋_GB2312" w:eastAsia="仿宋_GB2312" w:cs="仿宋_GB2312"/>
          <w:color w:val="auto"/>
          <w:sz w:val="28"/>
          <w:szCs w:val="28"/>
          <w:lang w:val="en-US" w:eastAsia="zh-CN"/>
        </w:rPr>
        <w:t>4.01</w:t>
      </w:r>
      <w:r>
        <w:rPr>
          <w:rFonts w:hint="eastAsia" w:ascii="仿宋_GB2312" w:eastAsia="仿宋_GB2312" w:cs="仿宋_GB2312"/>
          <w:color w:val="auto"/>
          <w:sz w:val="28"/>
          <w:szCs w:val="28"/>
          <w:lang w:eastAsia="zh-CN"/>
        </w:rPr>
        <w:t>万吨</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1.71</w:t>
      </w:r>
      <w:r>
        <w:rPr>
          <w:rFonts w:hint="eastAsia" w:ascii="仿宋_GB2312" w:eastAsia="仿宋_GB2312" w:cs="仿宋_GB2312"/>
          <w:color w:val="auto"/>
          <w:sz w:val="28"/>
          <w:szCs w:val="28"/>
          <w:lang w:eastAsia="zh-CN"/>
        </w:rPr>
        <w:t>万立方米</w:t>
      </w:r>
      <w:r>
        <w:rPr>
          <w:rFonts w:hint="eastAsia" w:ascii="仿宋_GB2312" w:eastAsia="仿宋_GB2312" w:cs="仿宋_GB2312"/>
          <w:color w:val="auto"/>
          <w:sz w:val="28"/>
          <w:szCs w:val="28"/>
        </w:rPr>
        <w:t>），剥离</w:t>
      </w:r>
      <w:r>
        <w:rPr>
          <w:rFonts w:hint="eastAsia" w:ascii="仿宋_GB2312" w:eastAsia="仿宋_GB2312" w:cs="仿宋_GB2312"/>
          <w:color w:val="auto"/>
          <w:sz w:val="28"/>
          <w:szCs w:val="28"/>
          <w:lang w:val="en-US" w:eastAsia="zh-CN"/>
        </w:rPr>
        <w:t>0.88</w:t>
      </w:r>
      <w:r>
        <w:rPr>
          <w:rFonts w:hint="eastAsia" w:ascii="仿宋_GB2312" w:eastAsia="仿宋_GB2312" w:cs="仿宋_GB2312"/>
          <w:color w:val="auto"/>
          <w:sz w:val="28"/>
          <w:szCs w:val="28"/>
          <w:lang w:eastAsia="zh-CN"/>
        </w:rPr>
        <w:t>万吨</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0.49</w:t>
      </w:r>
      <w:r>
        <w:rPr>
          <w:rFonts w:hint="eastAsia" w:ascii="仿宋_GB2312" w:eastAsia="仿宋_GB2312" w:cs="仿宋_GB2312"/>
          <w:color w:val="auto"/>
          <w:sz w:val="28"/>
          <w:szCs w:val="28"/>
          <w:lang w:eastAsia="zh-CN"/>
        </w:rPr>
        <w:t>万立方米</w:t>
      </w:r>
      <w:r>
        <w:rPr>
          <w:rFonts w:hint="eastAsia" w:ascii="仿宋_GB2312" w:eastAsia="仿宋_GB2312" w:cs="仿宋_GB2312"/>
          <w:color w:val="auto"/>
          <w:sz w:val="28"/>
          <w:szCs w:val="28"/>
        </w:rPr>
        <w:t>）。基建剥采比为</w:t>
      </w:r>
      <w:r>
        <w:rPr>
          <w:rFonts w:hint="eastAsia" w:ascii="仿宋_GB2312" w:eastAsia="仿宋_GB2312" w:cs="仿宋_GB2312"/>
          <w:color w:val="auto"/>
          <w:sz w:val="28"/>
          <w:szCs w:val="28"/>
          <w:lang w:val="en-US" w:eastAsia="zh-CN"/>
        </w:rPr>
        <w:t>0.29</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rPr>
        <w:t>。</w:t>
      </w:r>
    </w:p>
    <w:p w14:paraId="49261A2D">
      <w:pPr>
        <w:pStyle w:val="149"/>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表</w:t>
      </w:r>
      <w:r>
        <w:rPr>
          <w:rFonts w:hint="eastAsia" w:ascii="仿宋_GB2312" w:eastAsia="仿宋_GB2312" w:cs="仿宋_GB2312"/>
          <w:color w:val="auto"/>
          <w:sz w:val="28"/>
          <w:szCs w:val="28"/>
          <w:lang w:val="en-US" w:eastAsia="zh-CN"/>
        </w:rPr>
        <w:t>5</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9</w:t>
      </w:r>
      <w:r>
        <w:rPr>
          <w:rFonts w:hint="eastAsia" w:ascii="仿宋_GB2312" w:eastAsia="仿宋_GB2312" w:cs="仿宋_GB2312"/>
          <w:color w:val="auto"/>
          <w:sz w:val="28"/>
          <w:szCs w:val="28"/>
        </w:rPr>
        <w:t xml:space="preserve">  基建工程量表</w:t>
      </w:r>
    </w:p>
    <w:tbl>
      <w:tblPr>
        <w:tblStyle w:val="6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3"/>
        <w:gridCol w:w="1176"/>
        <w:gridCol w:w="696"/>
        <w:gridCol w:w="1176"/>
        <w:gridCol w:w="696"/>
        <w:gridCol w:w="1176"/>
        <w:gridCol w:w="696"/>
        <w:gridCol w:w="1306"/>
        <w:gridCol w:w="1065"/>
      </w:tblGrid>
      <w:tr w14:paraId="0A57B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56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台阶标高</w:t>
            </w:r>
          </w:p>
        </w:tc>
        <w:tc>
          <w:tcPr>
            <w:tcW w:w="8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322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矿石</w:t>
            </w:r>
          </w:p>
        </w:tc>
        <w:tc>
          <w:tcPr>
            <w:tcW w:w="10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ABC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剥离表土</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B9E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矿岩总量</w:t>
            </w:r>
          </w:p>
        </w:tc>
        <w:tc>
          <w:tcPr>
            <w:tcW w:w="1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2C9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剥采比</w:t>
            </w:r>
          </w:p>
        </w:tc>
      </w:tr>
      <w:tr w14:paraId="308B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58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（m）</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C4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万立方米</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08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万吨</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08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万立方米</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A8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万吨</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CE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万立方米</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AD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万吨</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08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（m³/m³）</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4C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（t/t）</w:t>
            </w:r>
          </w:p>
        </w:tc>
      </w:tr>
      <w:tr w14:paraId="0A043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B5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390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88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0.70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54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1.64</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F0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0.37</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22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0.67</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2C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1.07</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83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2.31</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0E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E2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w:t>
            </w:r>
          </w:p>
        </w:tc>
      </w:tr>
      <w:tr w14:paraId="0D4A8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07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378</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CD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1.01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A9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2.37</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16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0.12</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18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0.21</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C2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1.13</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CA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2.58</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D0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0.01</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DA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0.01</w:t>
            </w:r>
          </w:p>
        </w:tc>
      </w:tr>
      <w:tr w14:paraId="4E7E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1E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合计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6D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1.71</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6A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4.01</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D3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0.49</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8A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0.88</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37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2.20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A7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4.89</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0F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0.29</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9F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0.22</w:t>
            </w:r>
          </w:p>
        </w:tc>
      </w:tr>
    </w:tbl>
    <w:p w14:paraId="1BFB913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按照同时工作台阶数</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个，</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rPr>
        <w:t>个月</w:t>
      </w:r>
      <w:r>
        <w:rPr>
          <w:rFonts w:hint="eastAsia" w:ascii="仿宋_GB2312" w:eastAsia="仿宋_GB2312" w:cs="仿宋_GB2312"/>
          <w:color w:val="auto"/>
          <w:sz w:val="28"/>
          <w:szCs w:val="28"/>
          <w:lang w:val="en-US" w:eastAsia="zh-CN"/>
        </w:rPr>
        <w:t>可完成基建剥离。另外，考虑修建道路、设备采购等时间，设计基建期5个月</w:t>
      </w:r>
      <w:r>
        <w:rPr>
          <w:rFonts w:hint="eastAsia" w:ascii="仿宋_GB2312" w:eastAsia="仿宋_GB2312" w:cs="仿宋_GB2312"/>
          <w:color w:val="auto"/>
          <w:sz w:val="28"/>
          <w:szCs w:val="28"/>
        </w:rPr>
        <w:t>。</w:t>
      </w:r>
    </w:p>
    <w:p w14:paraId="65B4B31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基建终了时，提交二级储量：开拓矿量：</w:t>
      </w:r>
      <w:r>
        <w:rPr>
          <w:rFonts w:hint="eastAsia" w:ascii="仿宋_GB2312" w:eastAsia="仿宋_GB2312" w:cs="仿宋_GB2312"/>
          <w:color w:val="auto"/>
          <w:sz w:val="28"/>
          <w:szCs w:val="28"/>
          <w:lang w:val="en-US" w:eastAsia="zh-CN"/>
        </w:rPr>
        <w:t>19.6</w:t>
      </w:r>
      <w:r>
        <w:rPr>
          <w:rFonts w:hint="eastAsia" w:ascii="仿宋_GB2312" w:eastAsia="仿宋_GB2312" w:cs="仿宋_GB2312"/>
          <w:color w:val="auto"/>
          <w:sz w:val="28"/>
          <w:szCs w:val="28"/>
          <w:lang w:eastAsia="zh-CN"/>
        </w:rPr>
        <w:t>万吨</w:t>
      </w:r>
      <w:r>
        <w:rPr>
          <w:rFonts w:hint="eastAsia" w:ascii="仿宋_GB2312" w:eastAsia="仿宋_GB2312" w:cs="仿宋_GB2312"/>
          <w:color w:val="auto"/>
          <w:sz w:val="28"/>
          <w:szCs w:val="28"/>
        </w:rPr>
        <w:t>，按设计生产能力保有年限</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年；备采矿量：</w:t>
      </w:r>
      <w:r>
        <w:rPr>
          <w:rFonts w:hint="eastAsia" w:ascii="仿宋_GB2312" w:eastAsia="仿宋_GB2312" w:cs="仿宋_GB2312"/>
          <w:color w:val="auto"/>
          <w:sz w:val="28"/>
          <w:szCs w:val="28"/>
          <w:lang w:val="en-US" w:eastAsia="zh-CN"/>
        </w:rPr>
        <w:t>19.6</w:t>
      </w:r>
      <w:r>
        <w:rPr>
          <w:rFonts w:hint="eastAsia" w:ascii="仿宋_GB2312" w:eastAsia="仿宋_GB2312" w:cs="仿宋_GB2312"/>
          <w:color w:val="auto"/>
          <w:sz w:val="28"/>
          <w:szCs w:val="28"/>
          <w:lang w:eastAsia="zh-CN"/>
        </w:rPr>
        <w:t>万吨</w:t>
      </w:r>
      <w:r>
        <w:rPr>
          <w:rFonts w:hint="eastAsia" w:ascii="仿宋_GB2312" w:eastAsia="仿宋_GB2312" w:cs="仿宋_GB2312"/>
          <w:color w:val="auto"/>
          <w:sz w:val="28"/>
          <w:szCs w:val="28"/>
        </w:rPr>
        <w:t>，保有年限</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年。可满足投产、达产及持续稳定生产要求。</w:t>
      </w:r>
    </w:p>
    <w:p w14:paraId="5CC5039A">
      <w:pPr>
        <w:pStyle w:val="5"/>
        <w:adjustRightInd w:val="0"/>
        <w:snapToGrid w:val="0"/>
        <w:spacing w:before="0" w:line="360" w:lineRule="auto"/>
        <w:rPr>
          <w:rFonts w:hint="eastAsia" w:ascii="仿宋_GB2312" w:eastAsia="仿宋_GB2312" w:cs="仿宋_GB2312"/>
          <w:b/>
          <w:bCs w:val="0"/>
          <w:color w:val="auto"/>
          <w:sz w:val="28"/>
          <w:szCs w:val="28"/>
        </w:rPr>
      </w:pPr>
      <w:bookmarkStart w:id="270" w:name="_Toc148958009"/>
      <w:bookmarkStart w:id="271" w:name="_Toc25824"/>
      <w:r>
        <w:rPr>
          <w:rFonts w:hint="eastAsia" w:ascii="仿宋_GB2312" w:eastAsia="仿宋_GB2312" w:cs="仿宋_GB2312"/>
          <w:b/>
          <w:bCs w:val="0"/>
          <w:color w:val="auto"/>
          <w:sz w:val="28"/>
          <w:szCs w:val="28"/>
        </w:rPr>
        <w:t>5.</w:t>
      </w:r>
      <w:r>
        <w:rPr>
          <w:rFonts w:hint="eastAsia" w:ascii="仿宋_GB2312" w:eastAsia="仿宋_GB2312" w:cs="仿宋_GB2312"/>
          <w:b/>
          <w:bCs w:val="0"/>
          <w:color w:val="auto"/>
          <w:sz w:val="28"/>
          <w:szCs w:val="28"/>
          <w:lang w:val="en-US" w:eastAsia="zh-CN"/>
        </w:rPr>
        <w:t>7</w:t>
      </w:r>
      <w:r>
        <w:rPr>
          <w:rFonts w:hint="eastAsia" w:ascii="仿宋_GB2312" w:eastAsia="仿宋_GB2312" w:cs="仿宋_GB2312"/>
          <w:b/>
          <w:bCs w:val="0"/>
          <w:color w:val="auto"/>
          <w:sz w:val="28"/>
          <w:szCs w:val="28"/>
        </w:rPr>
        <w:t>.2生产进度计划</w:t>
      </w:r>
      <w:bookmarkEnd w:id="270"/>
      <w:bookmarkEnd w:id="271"/>
    </w:p>
    <w:p w14:paraId="3288D59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cs="仿宋_GB2312"/>
          <w:color w:val="auto"/>
          <w:sz w:val="28"/>
          <w:szCs w:val="28"/>
        </w:rPr>
      </w:pPr>
      <w:r>
        <w:rPr>
          <w:rFonts w:hint="eastAsia" w:ascii="仿宋_GB2312" w:eastAsia="仿宋_GB2312" w:cs="仿宋_GB2312"/>
          <w:color w:val="auto"/>
          <w:sz w:val="28"/>
          <w:szCs w:val="28"/>
        </w:rPr>
        <w:t>矿山投产第1年即可达到</w:t>
      </w:r>
      <w:r>
        <w:rPr>
          <w:rFonts w:hint="eastAsia" w:ascii="仿宋_GB2312" w:eastAsia="仿宋_GB2312" w:cs="仿宋_GB2312"/>
          <w:color w:val="auto"/>
          <w:sz w:val="28"/>
          <w:szCs w:val="28"/>
          <w:lang w:val="en-US" w:eastAsia="zh-CN"/>
        </w:rPr>
        <w:t>20</w:t>
      </w:r>
      <w:r>
        <w:rPr>
          <w:rFonts w:hint="eastAsia" w:ascii="仿宋_GB2312" w:eastAsia="仿宋_GB2312" w:cs="仿宋_GB2312"/>
          <w:color w:val="auto"/>
          <w:sz w:val="28"/>
          <w:szCs w:val="28"/>
        </w:rPr>
        <w:t>万吨/年的生产能力，并持续至第</w:t>
      </w:r>
      <w:r>
        <w:rPr>
          <w:rFonts w:hint="eastAsia" w:ascii="仿宋_GB2312" w:eastAsia="仿宋_GB2312" w:cs="仿宋_GB2312"/>
          <w:color w:val="auto"/>
          <w:sz w:val="28"/>
          <w:szCs w:val="28"/>
          <w:lang w:val="en-US" w:eastAsia="zh-CN"/>
        </w:rPr>
        <w:t>7</w:t>
      </w:r>
      <w:r>
        <w:rPr>
          <w:rFonts w:hint="eastAsia" w:ascii="仿宋_GB2312" w:eastAsia="仿宋_GB2312" w:cs="仿宋_GB2312"/>
          <w:color w:val="auto"/>
          <w:sz w:val="28"/>
          <w:szCs w:val="28"/>
        </w:rPr>
        <w:t>年，第</w:t>
      </w:r>
      <w:r>
        <w:rPr>
          <w:rFonts w:hint="eastAsia" w:ascii="仿宋_GB2312" w:eastAsia="仿宋_GB2312" w:cs="仿宋_GB2312"/>
          <w:color w:val="auto"/>
          <w:sz w:val="28"/>
          <w:szCs w:val="28"/>
          <w:lang w:val="en-US" w:eastAsia="zh-CN"/>
        </w:rPr>
        <w:t>8</w:t>
      </w:r>
      <w:r>
        <w:rPr>
          <w:rFonts w:hint="eastAsia" w:ascii="仿宋_GB2312" w:eastAsia="仿宋_GB2312" w:cs="仿宋_GB2312"/>
          <w:color w:val="auto"/>
          <w:sz w:val="28"/>
          <w:szCs w:val="28"/>
        </w:rPr>
        <w:t>年减产，矿山生产服务年限为</w:t>
      </w:r>
      <w:r>
        <w:rPr>
          <w:rFonts w:hint="eastAsia" w:ascii="仿宋_GB2312" w:eastAsia="仿宋_GB2312" w:cs="仿宋_GB2312"/>
          <w:color w:val="auto"/>
          <w:sz w:val="28"/>
          <w:szCs w:val="28"/>
          <w:lang w:val="en-US" w:eastAsia="zh-CN"/>
        </w:rPr>
        <w:t>8</w:t>
      </w:r>
      <w:r>
        <w:rPr>
          <w:rFonts w:hint="eastAsia" w:ascii="仿宋_GB2312" w:eastAsia="仿宋_GB2312" w:cs="仿宋_GB2312"/>
          <w:color w:val="auto"/>
          <w:sz w:val="28"/>
          <w:szCs w:val="28"/>
        </w:rPr>
        <w:t>年。</w:t>
      </w:r>
    </w:p>
    <w:p w14:paraId="30C2891E">
      <w:pPr>
        <w:pStyle w:val="149"/>
        <w:adjustRightInd w:val="0"/>
        <w:snapToGrid w:val="0"/>
        <w:spacing w:line="240" w:lineRule="auto"/>
        <w:jc w:val="center"/>
        <w:rPr>
          <w:rFonts w:hint="eastAsia" w:ascii="仿宋_GB2312" w:eastAsia="仿宋_GB2312" w:cs="仿宋_GB2312"/>
          <w:color w:val="auto"/>
          <w:sz w:val="28"/>
          <w:szCs w:val="28"/>
        </w:rPr>
      </w:pPr>
      <w:r>
        <w:rPr>
          <w:rFonts w:hint="eastAsia" w:ascii="仿宋_GB2312" w:eastAsia="仿宋_GB2312" w:cs="仿宋_GB2312"/>
          <w:color w:val="auto"/>
          <w:sz w:val="28"/>
          <w:szCs w:val="28"/>
        </w:rPr>
        <w:t>表5-</w:t>
      </w:r>
      <w:r>
        <w:rPr>
          <w:rFonts w:hint="eastAsia" w:ascii="仿宋_GB2312" w:eastAsia="仿宋_GB2312" w:cs="仿宋_GB2312"/>
          <w:color w:val="auto"/>
          <w:sz w:val="28"/>
          <w:szCs w:val="28"/>
          <w:lang w:val="en-US" w:eastAsia="zh-CN"/>
        </w:rPr>
        <w:t>10</w:t>
      </w:r>
      <w:r>
        <w:rPr>
          <w:rFonts w:hint="eastAsia" w:ascii="仿宋_GB2312" w:eastAsia="仿宋_GB2312" w:cs="仿宋_GB2312"/>
          <w:color w:val="auto"/>
          <w:sz w:val="28"/>
          <w:szCs w:val="28"/>
        </w:rPr>
        <w:t xml:space="preserve">  生产进度计划</w:t>
      </w:r>
    </w:p>
    <w:tbl>
      <w:tblPr>
        <w:tblStyle w:val="6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6"/>
        <w:gridCol w:w="1620"/>
        <w:gridCol w:w="1308"/>
        <w:gridCol w:w="1308"/>
        <w:gridCol w:w="1310"/>
        <w:gridCol w:w="1136"/>
        <w:gridCol w:w="1072"/>
      </w:tblGrid>
      <w:tr w14:paraId="17E93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blHeader/>
        </w:trPr>
        <w:tc>
          <w:tcPr>
            <w:tcW w:w="771"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8A2C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生产年份</w:t>
            </w:r>
          </w:p>
        </w:tc>
        <w:tc>
          <w:tcPr>
            <w:tcW w:w="1596" w:type="pct"/>
            <w:gridSpan w:val="2"/>
            <w:tcBorders>
              <w:top w:val="single" w:color="000000" w:sz="8" w:space="0"/>
              <w:left w:val="nil"/>
              <w:bottom w:val="single" w:color="000000" w:sz="8" w:space="0"/>
              <w:right w:val="single" w:color="000000" w:sz="8" w:space="0"/>
            </w:tcBorders>
            <w:shd w:val="clear" w:color="auto" w:fill="auto"/>
            <w:noWrap/>
            <w:vAlign w:val="center"/>
          </w:tcPr>
          <w:p w14:paraId="08220D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矿量</w:t>
            </w:r>
          </w:p>
        </w:tc>
        <w:tc>
          <w:tcPr>
            <w:tcW w:w="1427" w:type="pct"/>
            <w:gridSpan w:val="2"/>
            <w:tcBorders>
              <w:top w:val="single" w:color="000000" w:sz="8" w:space="0"/>
              <w:left w:val="nil"/>
              <w:bottom w:val="single" w:color="000000" w:sz="8" w:space="0"/>
              <w:right w:val="single" w:color="000000" w:sz="8" w:space="0"/>
            </w:tcBorders>
            <w:shd w:val="clear" w:color="auto" w:fill="auto"/>
            <w:noWrap/>
            <w:vAlign w:val="center"/>
          </w:tcPr>
          <w:p w14:paraId="1F61DC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剥离量</w:t>
            </w:r>
          </w:p>
        </w:tc>
        <w:tc>
          <w:tcPr>
            <w:tcW w:w="1203" w:type="pct"/>
            <w:gridSpan w:val="2"/>
            <w:tcBorders>
              <w:top w:val="single" w:color="000000" w:sz="8" w:space="0"/>
              <w:left w:val="nil"/>
              <w:bottom w:val="single" w:color="000000" w:sz="8" w:space="0"/>
              <w:right w:val="single" w:color="000000" w:sz="8" w:space="0"/>
            </w:tcBorders>
            <w:shd w:val="clear" w:color="auto" w:fill="auto"/>
            <w:noWrap/>
            <w:vAlign w:val="center"/>
          </w:tcPr>
          <w:p w14:paraId="6D58C6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生产剥采比</w:t>
            </w:r>
          </w:p>
        </w:tc>
      </w:tr>
      <w:tr w14:paraId="4FE8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trPr>
        <w:tc>
          <w:tcPr>
            <w:tcW w:w="77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75DD54"/>
        </w:tc>
        <w:tc>
          <w:tcPr>
            <w:tcW w:w="883" w:type="pct"/>
            <w:tcBorders>
              <w:top w:val="nil"/>
              <w:left w:val="nil"/>
              <w:bottom w:val="single" w:color="000000" w:sz="8" w:space="0"/>
              <w:right w:val="single" w:color="000000" w:sz="8" w:space="0"/>
            </w:tcBorders>
            <w:shd w:val="clear" w:color="auto" w:fill="auto"/>
            <w:vAlign w:val="center"/>
          </w:tcPr>
          <w:p w14:paraId="70A0F5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万立方米</w:t>
            </w:r>
          </w:p>
        </w:tc>
        <w:tc>
          <w:tcPr>
            <w:tcW w:w="713" w:type="pct"/>
            <w:tcBorders>
              <w:top w:val="nil"/>
              <w:left w:val="nil"/>
              <w:bottom w:val="single" w:color="000000" w:sz="8" w:space="0"/>
              <w:right w:val="single" w:color="000000" w:sz="8" w:space="0"/>
            </w:tcBorders>
            <w:shd w:val="clear" w:color="auto" w:fill="auto"/>
            <w:vAlign w:val="center"/>
          </w:tcPr>
          <w:p w14:paraId="78F3A8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万吨</w:t>
            </w:r>
          </w:p>
        </w:tc>
        <w:tc>
          <w:tcPr>
            <w:tcW w:w="713" w:type="pct"/>
            <w:tcBorders>
              <w:top w:val="nil"/>
              <w:left w:val="nil"/>
              <w:bottom w:val="single" w:color="000000" w:sz="8" w:space="0"/>
              <w:right w:val="single" w:color="000000" w:sz="8" w:space="0"/>
            </w:tcBorders>
            <w:shd w:val="clear" w:color="auto" w:fill="auto"/>
            <w:vAlign w:val="center"/>
          </w:tcPr>
          <w:p w14:paraId="6756F4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万立方米</w:t>
            </w:r>
          </w:p>
        </w:tc>
        <w:tc>
          <w:tcPr>
            <w:tcW w:w="714" w:type="pct"/>
            <w:tcBorders>
              <w:top w:val="nil"/>
              <w:left w:val="nil"/>
              <w:bottom w:val="single" w:color="000000" w:sz="8" w:space="0"/>
              <w:right w:val="single" w:color="000000" w:sz="8" w:space="0"/>
            </w:tcBorders>
            <w:shd w:val="clear" w:color="auto" w:fill="auto"/>
            <w:vAlign w:val="center"/>
          </w:tcPr>
          <w:p w14:paraId="7C4765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万吨</w:t>
            </w:r>
          </w:p>
        </w:tc>
        <w:tc>
          <w:tcPr>
            <w:tcW w:w="619" w:type="pct"/>
            <w:tcBorders>
              <w:top w:val="nil"/>
              <w:left w:val="nil"/>
              <w:bottom w:val="single" w:color="000000" w:sz="8" w:space="0"/>
              <w:right w:val="single" w:color="000000" w:sz="8" w:space="0"/>
            </w:tcBorders>
            <w:shd w:val="clear" w:color="auto" w:fill="auto"/>
            <w:noWrap/>
            <w:vAlign w:val="center"/>
          </w:tcPr>
          <w:p w14:paraId="00F984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m³/m³</w:t>
            </w:r>
          </w:p>
        </w:tc>
        <w:tc>
          <w:tcPr>
            <w:tcW w:w="584" w:type="pct"/>
            <w:tcBorders>
              <w:top w:val="nil"/>
              <w:left w:val="nil"/>
              <w:bottom w:val="single" w:color="000000" w:sz="8" w:space="0"/>
              <w:right w:val="single" w:color="000000" w:sz="8" w:space="0"/>
            </w:tcBorders>
            <w:shd w:val="clear" w:color="auto" w:fill="auto"/>
            <w:noWrap/>
            <w:vAlign w:val="center"/>
          </w:tcPr>
          <w:p w14:paraId="471240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t/t</w:t>
            </w:r>
          </w:p>
        </w:tc>
      </w:tr>
      <w:tr w14:paraId="133F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1" w:type="pct"/>
            <w:tcBorders>
              <w:top w:val="nil"/>
              <w:left w:val="single" w:color="000000" w:sz="8" w:space="0"/>
              <w:bottom w:val="single" w:color="000000" w:sz="8" w:space="0"/>
              <w:right w:val="single" w:color="000000" w:sz="8" w:space="0"/>
            </w:tcBorders>
            <w:shd w:val="clear" w:color="auto" w:fill="auto"/>
            <w:noWrap/>
            <w:vAlign w:val="center"/>
          </w:tcPr>
          <w:p w14:paraId="4951CC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基建期</w:t>
            </w:r>
          </w:p>
        </w:tc>
        <w:tc>
          <w:tcPr>
            <w:tcW w:w="883" w:type="pct"/>
            <w:tcBorders>
              <w:top w:val="nil"/>
              <w:left w:val="nil"/>
              <w:bottom w:val="single" w:color="000000" w:sz="8" w:space="0"/>
              <w:right w:val="single" w:color="000000" w:sz="8" w:space="0"/>
            </w:tcBorders>
            <w:shd w:val="clear" w:color="auto" w:fill="auto"/>
            <w:noWrap/>
            <w:vAlign w:val="center"/>
          </w:tcPr>
          <w:p w14:paraId="64872E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1.71 </w:t>
            </w:r>
          </w:p>
        </w:tc>
        <w:tc>
          <w:tcPr>
            <w:tcW w:w="713" w:type="pct"/>
            <w:tcBorders>
              <w:top w:val="nil"/>
              <w:left w:val="nil"/>
              <w:bottom w:val="single" w:color="000000" w:sz="8" w:space="0"/>
              <w:right w:val="single" w:color="000000" w:sz="8" w:space="0"/>
            </w:tcBorders>
            <w:shd w:val="clear" w:color="auto" w:fill="auto"/>
            <w:noWrap/>
            <w:vAlign w:val="center"/>
          </w:tcPr>
          <w:p w14:paraId="5E0C24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4.01 </w:t>
            </w:r>
          </w:p>
        </w:tc>
        <w:tc>
          <w:tcPr>
            <w:tcW w:w="713" w:type="pct"/>
            <w:tcBorders>
              <w:top w:val="nil"/>
              <w:left w:val="nil"/>
              <w:bottom w:val="single" w:color="000000" w:sz="8" w:space="0"/>
              <w:right w:val="single" w:color="000000" w:sz="8" w:space="0"/>
            </w:tcBorders>
            <w:shd w:val="clear" w:color="auto" w:fill="auto"/>
            <w:noWrap/>
            <w:vAlign w:val="center"/>
          </w:tcPr>
          <w:p w14:paraId="188238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0.49 </w:t>
            </w:r>
          </w:p>
        </w:tc>
        <w:tc>
          <w:tcPr>
            <w:tcW w:w="714" w:type="pct"/>
            <w:tcBorders>
              <w:top w:val="nil"/>
              <w:left w:val="nil"/>
              <w:bottom w:val="single" w:color="000000" w:sz="8" w:space="0"/>
              <w:right w:val="single" w:color="000000" w:sz="8" w:space="0"/>
            </w:tcBorders>
            <w:shd w:val="clear" w:color="auto" w:fill="auto"/>
            <w:noWrap/>
            <w:vAlign w:val="center"/>
          </w:tcPr>
          <w:p w14:paraId="15EF5A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0.88 </w:t>
            </w:r>
          </w:p>
        </w:tc>
        <w:tc>
          <w:tcPr>
            <w:tcW w:w="619" w:type="pct"/>
            <w:tcBorders>
              <w:top w:val="nil"/>
              <w:left w:val="nil"/>
              <w:bottom w:val="single" w:color="000000" w:sz="8" w:space="0"/>
              <w:right w:val="single" w:color="000000" w:sz="8" w:space="0"/>
            </w:tcBorders>
            <w:shd w:val="clear" w:color="auto" w:fill="auto"/>
            <w:noWrap/>
            <w:vAlign w:val="center"/>
          </w:tcPr>
          <w:p w14:paraId="3A2AD6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0.29 </w:t>
            </w:r>
          </w:p>
        </w:tc>
        <w:tc>
          <w:tcPr>
            <w:tcW w:w="584" w:type="pct"/>
            <w:tcBorders>
              <w:top w:val="nil"/>
              <w:left w:val="nil"/>
              <w:bottom w:val="single" w:color="000000" w:sz="8" w:space="0"/>
              <w:right w:val="single" w:color="000000" w:sz="8" w:space="0"/>
            </w:tcBorders>
            <w:shd w:val="clear" w:color="auto" w:fill="auto"/>
            <w:noWrap/>
            <w:vAlign w:val="center"/>
          </w:tcPr>
          <w:p w14:paraId="3DBD78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0.22 </w:t>
            </w:r>
          </w:p>
        </w:tc>
      </w:tr>
      <w:tr w14:paraId="4F186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1" w:type="pct"/>
            <w:tcBorders>
              <w:top w:val="nil"/>
              <w:left w:val="single" w:color="000000" w:sz="8" w:space="0"/>
              <w:bottom w:val="single" w:color="000000" w:sz="8" w:space="0"/>
              <w:right w:val="single" w:color="000000" w:sz="8" w:space="0"/>
            </w:tcBorders>
            <w:shd w:val="clear" w:color="auto" w:fill="auto"/>
            <w:noWrap/>
            <w:vAlign w:val="center"/>
          </w:tcPr>
          <w:p w14:paraId="27E896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生产第1年</w:t>
            </w:r>
          </w:p>
        </w:tc>
        <w:tc>
          <w:tcPr>
            <w:tcW w:w="883" w:type="pct"/>
            <w:tcBorders>
              <w:top w:val="nil"/>
              <w:left w:val="nil"/>
              <w:bottom w:val="single" w:color="000000" w:sz="8" w:space="0"/>
              <w:right w:val="single" w:color="000000" w:sz="8" w:space="0"/>
            </w:tcBorders>
            <w:shd w:val="clear" w:color="auto" w:fill="auto"/>
            <w:noWrap/>
            <w:vAlign w:val="center"/>
          </w:tcPr>
          <w:p w14:paraId="74E613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8.55</w:t>
            </w:r>
          </w:p>
        </w:tc>
        <w:tc>
          <w:tcPr>
            <w:tcW w:w="713" w:type="pct"/>
            <w:tcBorders>
              <w:top w:val="nil"/>
              <w:left w:val="nil"/>
              <w:bottom w:val="single" w:color="000000" w:sz="8" w:space="0"/>
              <w:right w:val="single" w:color="000000" w:sz="8" w:space="0"/>
            </w:tcBorders>
            <w:shd w:val="clear" w:color="auto" w:fill="auto"/>
            <w:noWrap/>
            <w:vAlign w:val="center"/>
          </w:tcPr>
          <w:p w14:paraId="101C0B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20</w:t>
            </w:r>
          </w:p>
        </w:tc>
        <w:tc>
          <w:tcPr>
            <w:tcW w:w="71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5502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0.53</w:t>
            </w:r>
          </w:p>
        </w:tc>
        <w:tc>
          <w:tcPr>
            <w:tcW w:w="714" w:type="pct"/>
            <w:tcBorders>
              <w:top w:val="nil"/>
              <w:left w:val="nil"/>
              <w:bottom w:val="single" w:color="000000" w:sz="8" w:space="0"/>
              <w:right w:val="single" w:color="000000" w:sz="8" w:space="0"/>
            </w:tcBorders>
            <w:shd w:val="clear" w:color="auto" w:fill="auto"/>
            <w:noWrap/>
            <w:vAlign w:val="center"/>
          </w:tcPr>
          <w:p w14:paraId="7D47B4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0.95 </w:t>
            </w:r>
          </w:p>
        </w:tc>
        <w:tc>
          <w:tcPr>
            <w:tcW w:w="619" w:type="pct"/>
            <w:tcBorders>
              <w:top w:val="nil"/>
              <w:left w:val="nil"/>
              <w:bottom w:val="single" w:color="000000" w:sz="8" w:space="0"/>
              <w:right w:val="single" w:color="000000" w:sz="8" w:space="0"/>
            </w:tcBorders>
            <w:shd w:val="clear" w:color="auto" w:fill="auto"/>
            <w:noWrap/>
            <w:vAlign w:val="center"/>
          </w:tcPr>
          <w:p w14:paraId="1B5542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0.06 </w:t>
            </w:r>
          </w:p>
        </w:tc>
        <w:tc>
          <w:tcPr>
            <w:tcW w:w="584" w:type="pct"/>
            <w:tcBorders>
              <w:top w:val="nil"/>
              <w:left w:val="nil"/>
              <w:bottom w:val="single" w:color="000000" w:sz="8" w:space="0"/>
              <w:right w:val="single" w:color="000000" w:sz="8" w:space="0"/>
            </w:tcBorders>
            <w:shd w:val="clear" w:color="auto" w:fill="auto"/>
            <w:noWrap/>
            <w:vAlign w:val="center"/>
          </w:tcPr>
          <w:p w14:paraId="1A33AF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0.05 </w:t>
            </w:r>
          </w:p>
        </w:tc>
      </w:tr>
      <w:tr w14:paraId="61600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1" w:type="pct"/>
            <w:tcBorders>
              <w:top w:val="nil"/>
              <w:left w:val="single" w:color="000000" w:sz="8" w:space="0"/>
              <w:bottom w:val="single" w:color="000000" w:sz="8" w:space="0"/>
              <w:right w:val="single" w:color="000000" w:sz="8" w:space="0"/>
            </w:tcBorders>
            <w:shd w:val="clear" w:color="auto" w:fill="auto"/>
            <w:noWrap/>
            <w:vAlign w:val="center"/>
          </w:tcPr>
          <w:p w14:paraId="7DC07A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生产第2年</w:t>
            </w:r>
          </w:p>
        </w:tc>
        <w:tc>
          <w:tcPr>
            <w:tcW w:w="883" w:type="pct"/>
            <w:tcBorders>
              <w:top w:val="nil"/>
              <w:left w:val="nil"/>
              <w:bottom w:val="single" w:color="000000" w:sz="8" w:space="0"/>
              <w:right w:val="single" w:color="000000" w:sz="8" w:space="0"/>
            </w:tcBorders>
            <w:shd w:val="clear" w:color="auto" w:fill="auto"/>
            <w:noWrap/>
            <w:vAlign w:val="center"/>
          </w:tcPr>
          <w:p w14:paraId="463BD2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8.55</w:t>
            </w:r>
          </w:p>
        </w:tc>
        <w:tc>
          <w:tcPr>
            <w:tcW w:w="713" w:type="pct"/>
            <w:tcBorders>
              <w:top w:val="nil"/>
              <w:left w:val="nil"/>
              <w:bottom w:val="single" w:color="000000" w:sz="8" w:space="0"/>
              <w:right w:val="single" w:color="000000" w:sz="8" w:space="0"/>
            </w:tcBorders>
            <w:shd w:val="clear" w:color="auto" w:fill="auto"/>
            <w:noWrap/>
            <w:vAlign w:val="center"/>
          </w:tcPr>
          <w:p w14:paraId="3301EF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20</w:t>
            </w:r>
          </w:p>
        </w:tc>
        <w:tc>
          <w:tcPr>
            <w:tcW w:w="713" w:type="pct"/>
            <w:tcBorders>
              <w:top w:val="nil"/>
              <w:left w:val="single" w:color="000000" w:sz="8" w:space="0"/>
              <w:bottom w:val="single" w:color="000000" w:sz="8" w:space="0"/>
              <w:right w:val="single" w:color="000000" w:sz="8" w:space="0"/>
            </w:tcBorders>
            <w:shd w:val="clear" w:color="auto" w:fill="auto"/>
            <w:noWrap/>
            <w:vAlign w:val="center"/>
          </w:tcPr>
          <w:p w14:paraId="5F0941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0.41</w:t>
            </w:r>
          </w:p>
        </w:tc>
        <w:tc>
          <w:tcPr>
            <w:tcW w:w="714" w:type="pct"/>
            <w:tcBorders>
              <w:top w:val="nil"/>
              <w:left w:val="nil"/>
              <w:bottom w:val="single" w:color="000000" w:sz="8" w:space="0"/>
              <w:right w:val="single" w:color="000000" w:sz="8" w:space="0"/>
            </w:tcBorders>
            <w:shd w:val="clear" w:color="auto" w:fill="auto"/>
            <w:noWrap/>
            <w:vAlign w:val="center"/>
          </w:tcPr>
          <w:p w14:paraId="24EF27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0.74 </w:t>
            </w:r>
          </w:p>
        </w:tc>
        <w:tc>
          <w:tcPr>
            <w:tcW w:w="619" w:type="pct"/>
            <w:tcBorders>
              <w:top w:val="nil"/>
              <w:left w:val="nil"/>
              <w:bottom w:val="single" w:color="000000" w:sz="8" w:space="0"/>
              <w:right w:val="single" w:color="000000" w:sz="8" w:space="0"/>
            </w:tcBorders>
            <w:shd w:val="clear" w:color="auto" w:fill="auto"/>
            <w:noWrap/>
            <w:vAlign w:val="center"/>
          </w:tcPr>
          <w:p w14:paraId="69EA0E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0.05 </w:t>
            </w:r>
          </w:p>
        </w:tc>
        <w:tc>
          <w:tcPr>
            <w:tcW w:w="584" w:type="pct"/>
            <w:tcBorders>
              <w:top w:val="nil"/>
              <w:left w:val="nil"/>
              <w:bottom w:val="single" w:color="000000" w:sz="8" w:space="0"/>
              <w:right w:val="single" w:color="000000" w:sz="8" w:space="0"/>
            </w:tcBorders>
            <w:shd w:val="clear" w:color="auto" w:fill="auto"/>
            <w:noWrap/>
            <w:vAlign w:val="center"/>
          </w:tcPr>
          <w:p w14:paraId="5190D1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0.04 </w:t>
            </w:r>
          </w:p>
        </w:tc>
      </w:tr>
      <w:tr w14:paraId="1371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1" w:type="pct"/>
            <w:tcBorders>
              <w:top w:val="nil"/>
              <w:left w:val="single" w:color="000000" w:sz="8" w:space="0"/>
              <w:bottom w:val="single" w:color="000000" w:sz="8" w:space="0"/>
              <w:right w:val="single" w:color="000000" w:sz="8" w:space="0"/>
            </w:tcBorders>
            <w:shd w:val="clear" w:color="auto" w:fill="auto"/>
            <w:noWrap/>
            <w:vAlign w:val="center"/>
          </w:tcPr>
          <w:p w14:paraId="45895E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生产第3年</w:t>
            </w:r>
          </w:p>
        </w:tc>
        <w:tc>
          <w:tcPr>
            <w:tcW w:w="883" w:type="pct"/>
            <w:tcBorders>
              <w:top w:val="nil"/>
              <w:left w:val="nil"/>
              <w:bottom w:val="single" w:color="000000" w:sz="8" w:space="0"/>
              <w:right w:val="single" w:color="000000" w:sz="8" w:space="0"/>
            </w:tcBorders>
            <w:shd w:val="clear" w:color="auto" w:fill="auto"/>
            <w:noWrap/>
            <w:vAlign w:val="center"/>
          </w:tcPr>
          <w:p w14:paraId="0E3A9F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8.55</w:t>
            </w:r>
          </w:p>
        </w:tc>
        <w:tc>
          <w:tcPr>
            <w:tcW w:w="713" w:type="pct"/>
            <w:tcBorders>
              <w:top w:val="nil"/>
              <w:left w:val="nil"/>
              <w:bottom w:val="single" w:color="000000" w:sz="8" w:space="0"/>
              <w:right w:val="single" w:color="000000" w:sz="8" w:space="0"/>
            </w:tcBorders>
            <w:shd w:val="clear" w:color="auto" w:fill="auto"/>
            <w:noWrap/>
            <w:vAlign w:val="center"/>
          </w:tcPr>
          <w:p w14:paraId="3566A1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20</w:t>
            </w:r>
          </w:p>
        </w:tc>
        <w:tc>
          <w:tcPr>
            <w:tcW w:w="713" w:type="pct"/>
            <w:tcBorders>
              <w:top w:val="nil"/>
              <w:left w:val="single" w:color="000000" w:sz="8" w:space="0"/>
              <w:bottom w:val="single" w:color="000000" w:sz="8" w:space="0"/>
              <w:right w:val="single" w:color="000000" w:sz="8" w:space="0"/>
            </w:tcBorders>
            <w:shd w:val="clear" w:color="auto" w:fill="auto"/>
            <w:noWrap/>
            <w:vAlign w:val="center"/>
          </w:tcPr>
          <w:p w14:paraId="64D491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0.32</w:t>
            </w:r>
          </w:p>
        </w:tc>
        <w:tc>
          <w:tcPr>
            <w:tcW w:w="714" w:type="pct"/>
            <w:tcBorders>
              <w:top w:val="nil"/>
              <w:left w:val="nil"/>
              <w:bottom w:val="single" w:color="000000" w:sz="8" w:space="0"/>
              <w:right w:val="single" w:color="000000" w:sz="8" w:space="0"/>
            </w:tcBorders>
            <w:shd w:val="clear" w:color="auto" w:fill="auto"/>
            <w:noWrap/>
            <w:vAlign w:val="center"/>
          </w:tcPr>
          <w:p w14:paraId="48FC33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0.58 </w:t>
            </w:r>
          </w:p>
        </w:tc>
        <w:tc>
          <w:tcPr>
            <w:tcW w:w="619" w:type="pct"/>
            <w:tcBorders>
              <w:top w:val="nil"/>
              <w:left w:val="nil"/>
              <w:bottom w:val="single" w:color="000000" w:sz="8" w:space="0"/>
              <w:right w:val="single" w:color="000000" w:sz="8" w:space="0"/>
            </w:tcBorders>
            <w:shd w:val="clear" w:color="auto" w:fill="auto"/>
            <w:noWrap/>
            <w:vAlign w:val="center"/>
          </w:tcPr>
          <w:p w14:paraId="0F09B9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0.04 </w:t>
            </w:r>
          </w:p>
        </w:tc>
        <w:tc>
          <w:tcPr>
            <w:tcW w:w="584" w:type="pct"/>
            <w:tcBorders>
              <w:top w:val="nil"/>
              <w:left w:val="nil"/>
              <w:bottom w:val="single" w:color="000000" w:sz="8" w:space="0"/>
              <w:right w:val="single" w:color="000000" w:sz="8" w:space="0"/>
            </w:tcBorders>
            <w:shd w:val="clear" w:color="auto" w:fill="auto"/>
            <w:noWrap/>
            <w:vAlign w:val="center"/>
          </w:tcPr>
          <w:p w14:paraId="249701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0.03 </w:t>
            </w:r>
          </w:p>
        </w:tc>
      </w:tr>
      <w:tr w14:paraId="0AB2B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1" w:type="pct"/>
            <w:tcBorders>
              <w:top w:val="nil"/>
              <w:left w:val="single" w:color="000000" w:sz="8" w:space="0"/>
              <w:bottom w:val="single" w:color="000000" w:sz="8" w:space="0"/>
              <w:right w:val="single" w:color="000000" w:sz="8" w:space="0"/>
            </w:tcBorders>
            <w:shd w:val="clear" w:color="auto" w:fill="auto"/>
            <w:noWrap/>
            <w:vAlign w:val="center"/>
          </w:tcPr>
          <w:p w14:paraId="40DC20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生产第4年</w:t>
            </w:r>
          </w:p>
        </w:tc>
        <w:tc>
          <w:tcPr>
            <w:tcW w:w="883" w:type="pct"/>
            <w:tcBorders>
              <w:top w:val="nil"/>
              <w:left w:val="nil"/>
              <w:bottom w:val="single" w:color="000000" w:sz="8" w:space="0"/>
              <w:right w:val="single" w:color="000000" w:sz="8" w:space="0"/>
            </w:tcBorders>
            <w:shd w:val="clear" w:color="auto" w:fill="auto"/>
            <w:noWrap/>
            <w:vAlign w:val="center"/>
          </w:tcPr>
          <w:p w14:paraId="01F380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8.55</w:t>
            </w:r>
          </w:p>
        </w:tc>
        <w:tc>
          <w:tcPr>
            <w:tcW w:w="713" w:type="pct"/>
            <w:tcBorders>
              <w:top w:val="nil"/>
              <w:left w:val="nil"/>
              <w:bottom w:val="single" w:color="000000" w:sz="8" w:space="0"/>
              <w:right w:val="single" w:color="000000" w:sz="8" w:space="0"/>
            </w:tcBorders>
            <w:shd w:val="clear" w:color="auto" w:fill="auto"/>
            <w:noWrap/>
            <w:vAlign w:val="center"/>
          </w:tcPr>
          <w:p w14:paraId="08E497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20</w:t>
            </w:r>
          </w:p>
        </w:tc>
        <w:tc>
          <w:tcPr>
            <w:tcW w:w="713" w:type="pct"/>
            <w:tcBorders>
              <w:top w:val="nil"/>
              <w:left w:val="nil"/>
              <w:bottom w:val="single" w:color="000000" w:sz="8" w:space="0"/>
              <w:right w:val="single" w:color="000000" w:sz="8" w:space="0"/>
            </w:tcBorders>
            <w:shd w:val="clear" w:color="auto" w:fill="auto"/>
            <w:noWrap/>
            <w:vAlign w:val="center"/>
          </w:tcPr>
          <w:p w14:paraId="6D5704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0.22</w:t>
            </w:r>
          </w:p>
        </w:tc>
        <w:tc>
          <w:tcPr>
            <w:tcW w:w="714" w:type="pct"/>
            <w:tcBorders>
              <w:top w:val="nil"/>
              <w:left w:val="nil"/>
              <w:bottom w:val="single" w:color="000000" w:sz="8" w:space="0"/>
              <w:right w:val="single" w:color="000000" w:sz="8" w:space="0"/>
            </w:tcBorders>
            <w:shd w:val="clear" w:color="auto" w:fill="auto"/>
            <w:noWrap/>
            <w:vAlign w:val="center"/>
          </w:tcPr>
          <w:p w14:paraId="4C5F9D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0.40 </w:t>
            </w:r>
          </w:p>
        </w:tc>
        <w:tc>
          <w:tcPr>
            <w:tcW w:w="619" w:type="pct"/>
            <w:tcBorders>
              <w:top w:val="nil"/>
              <w:left w:val="nil"/>
              <w:bottom w:val="single" w:color="000000" w:sz="8" w:space="0"/>
              <w:right w:val="single" w:color="000000" w:sz="8" w:space="0"/>
            </w:tcBorders>
            <w:shd w:val="clear" w:color="auto" w:fill="auto"/>
            <w:noWrap/>
            <w:vAlign w:val="center"/>
          </w:tcPr>
          <w:p w14:paraId="4B8B2C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0.03 </w:t>
            </w:r>
          </w:p>
        </w:tc>
        <w:tc>
          <w:tcPr>
            <w:tcW w:w="584" w:type="pct"/>
            <w:tcBorders>
              <w:top w:val="nil"/>
              <w:left w:val="nil"/>
              <w:bottom w:val="single" w:color="000000" w:sz="8" w:space="0"/>
              <w:right w:val="single" w:color="000000" w:sz="8" w:space="0"/>
            </w:tcBorders>
            <w:shd w:val="clear" w:color="auto" w:fill="auto"/>
            <w:noWrap/>
            <w:vAlign w:val="center"/>
          </w:tcPr>
          <w:p w14:paraId="0F8461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0.02 </w:t>
            </w:r>
          </w:p>
        </w:tc>
      </w:tr>
      <w:tr w14:paraId="2E388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1" w:type="pct"/>
            <w:tcBorders>
              <w:top w:val="nil"/>
              <w:left w:val="single" w:color="000000" w:sz="8" w:space="0"/>
              <w:bottom w:val="single" w:color="000000" w:sz="8" w:space="0"/>
              <w:right w:val="single" w:color="000000" w:sz="8" w:space="0"/>
            </w:tcBorders>
            <w:shd w:val="clear" w:color="auto" w:fill="auto"/>
            <w:noWrap/>
            <w:vAlign w:val="center"/>
          </w:tcPr>
          <w:p w14:paraId="3955FF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生产第5年</w:t>
            </w:r>
          </w:p>
        </w:tc>
        <w:tc>
          <w:tcPr>
            <w:tcW w:w="883" w:type="pct"/>
            <w:tcBorders>
              <w:top w:val="nil"/>
              <w:left w:val="nil"/>
              <w:bottom w:val="single" w:color="000000" w:sz="8" w:space="0"/>
              <w:right w:val="single" w:color="000000" w:sz="8" w:space="0"/>
            </w:tcBorders>
            <w:shd w:val="clear" w:color="auto" w:fill="auto"/>
            <w:noWrap/>
            <w:vAlign w:val="center"/>
          </w:tcPr>
          <w:p w14:paraId="51FB5F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8.55</w:t>
            </w:r>
          </w:p>
        </w:tc>
        <w:tc>
          <w:tcPr>
            <w:tcW w:w="713" w:type="pct"/>
            <w:tcBorders>
              <w:top w:val="nil"/>
              <w:left w:val="nil"/>
              <w:bottom w:val="single" w:color="000000" w:sz="8" w:space="0"/>
              <w:right w:val="single" w:color="000000" w:sz="8" w:space="0"/>
            </w:tcBorders>
            <w:shd w:val="clear" w:color="auto" w:fill="auto"/>
            <w:noWrap/>
            <w:vAlign w:val="center"/>
          </w:tcPr>
          <w:p w14:paraId="5CA1B0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20</w:t>
            </w:r>
          </w:p>
        </w:tc>
        <w:tc>
          <w:tcPr>
            <w:tcW w:w="713" w:type="pct"/>
            <w:tcBorders>
              <w:top w:val="nil"/>
              <w:left w:val="nil"/>
              <w:bottom w:val="single" w:color="000000" w:sz="8" w:space="0"/>
              <w:right w:val="single" w:color="000000" w:sz="8" w:space="0"/>
            </w:tcBorders>
            <w:shd w:val="clear" w:color="auto" w:fill="auto"/>
            <w:noWrap/>
            <w:vAlign w:val="center"/>
          </w:tcPr>
          <w:p w14:paraId="6839D1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0.28</w:t>
            </w:r>
          </w:p>
        </w:tc>
        <w:tc>
          <w:tcPr>
            <w:tcW w:w="714" w:type="pct"/>
            <w:tcBorders>
              <w:top w:val="nil"/>
              <w:left w:val="nil"/>
              <w:bottom w:val="single" w:color="000000" w:sz="8" w:space="0"/>
              <w:right w:val="single" w:color="000000" w:sz="8" w:space="0"/>
            </w:tcBorders>
            <w:shd w:val="clear" w:color="auto" w:fill="auto"/>
            <w:noWrap/>
            <w:vAlign w:val="center"/>
          </w:tcPr>
          <w:p w14:paraId="683F5E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0.50 </w:t>
            </w:r>
          </w:p>
        </w:tc>
        <w:tc>
          <w:tcPr>
            <w:tcW w:w="619" w:type="pct"/>
            <w:tcBorders>
              <w:top w:val="nil"/>
              <w:left w:val="nil"/>
              <w:bottom w:val="single" w:color="000000" w:sz="8" w:space="0"/>
              <w:right w:val="single" w:color="000000" w:sz="8" w:space="0"/>
            </w:tcBorders>
            <w:shd w:val="clear" w:color="auto" w:fill="auto"/>
            <w:noWrap/>
            <w:vAlign w:val="center"/>
          </w:tcPr>
          <w:p w14:paraId="660628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0.03 </w:t>
            </w:r>
          </w:p>
        </w:tc>
        <w:tc>
          <w:tcPr>
            <w:tcW w:w="584" w:type="pct"/>
            <w:tcBorders>
              <w:top w:val="nil"/>
              <w:left w:val="nil"/>
              <w:bottom w:val="single" w:color="000000" w:sz="8" w:space="0"/>
              <w:right w:val="single" w:color="000000" w:sz="8" w:space="0"/>
            </w:tcBorders>
            <w:shd w:val="clear" w:color="auto" w:fill="auto"/>
            <w:noWrap/>
            <w:vAlign w:val="center"/>
          </w:tcPr>
          <w:p w14:paraId="248AEB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0.03 </w:t>
            </w:r>
          </w:p>
        </w:tc>
      </w:tr>
      <w:tr w14:paraId="1DDC6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1" w:type="pct"/>
            <w:tcBorders>
              <w:top w:val="nil"/>
              <w:left w:val="single" w:color="000000" w:sz="8" w:space="0"/>
              <w:bottom w:val="single" w:color="000000" w:sz="8" w:space="0"/>
              <w:right w:val="single" w:color="000000" w:sz="8" w:space="0"/>
            </w:tcBorders>
            <w:shd w:val="clear" w:color="auto" w:fill="auto"/>
            <w:noWrap/>
            <w:vAlign w:val="center"/>
          </w:tcPr>
          <w:p w14:paraId="7411E4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生产第6年</w:t>
            </w:r>
          </w:p>
        </w:tc>
        <w:tc>
          <w:tcPr>
            <w:tcW w:w="883" w:type="pct"/>
            <w:tcBorders>
              <w:top w:val="nil"/>
              <w:left w:val="nil"/>
              <w:bottom w:val="single" w:color="000000" w:sz="8" w:space="0"/>
              <w:right w:val="single" w:color="000000" w:sz="8" w:space="0"/>
            </w:tcBorders>
            <w:shd w:val="clear" w:color="auto" w:fill="auto"/>
            <w:noWrap/>
            <w:vAlign w:val="center"/>
          </w:tcPr>
          <w:p w14:paraId="0C6F4D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8.55</w:t>
            </w:r>
          </w:p>
        </w:tc>
        <w:tc>
          <w:tcPr>
            <w:tcW w:w="713" w:type="pct"/>
            <w:tcBorders>
              <w:top w:val="nil"/>
              <w:left w:val="nil"/>
              <w:bottom w:val="single" w:color="000000" w:sz="8" w:space="0"/>
              <w:right w:val="single" w:color="000000" w:sz="8" w:space="0"/>
            </w:tcBorders>
            <w:shd w:val="clear" w:color="auto" w:fill="auto"/>
            <w:noWrap/>
            <w:vAlign w:val="center"/>
          </w:tcPr>
          <w:p w14:paraId="67133A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20</w:t>
            </w:r>
          </w:p>
        </w:tc>
        <w:tc>
          <w:tcPr>
            <w:tcW w:w="713" w:type="pct"/>
            <w:tcBorders>
              <w:top w:val="nil"/>
              <w:left w:val="nil"/>
              <w:bottom w:val="single" w:color="000000" w:sz="8" w:space="0"/>
              <w:right w:val="single" w:color="000000" w:sz="8" w:space="0"/>
            </w:tcBorders>
            <w:shd w:val="clear" w:color="auto" w:fill="auto"/>
            <w:noWrap/>
            <w:vAlign w:val="center"/>
          </w:tcPr>
          <w:p w14:paraId="370981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0.18</w:t>
            </w:r>
          </w:p>
        </w:tc>
        <w:tc>
          <w:tcPr>
            <w:tcW w:w="714" w:type="pct"/>
            <w:tcBorders>
              <w:top w:val="nil"/>
              <w:left w:val="nil"/>
              <w:bottom w:val="single" w:color="000000" w:sz="8" w:space="0"/>
              <w:right w:val="single" w:color="000000" w:sz="8" w:space="0"/>
            </w:tcBorders>
            <w:shd w:val="clear" w:color="auto" w:fill="auto"/>
            <w:noWrap/>
            <w:vAlign w:val="center"/>
          </w:tcPr>
          <w:p w14:paraId="07B08B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0.32 </w:t>
            </w:r>
          </w:p>
        </w:tc>
        <w:tc>
          <w:tcPr>
            <w:tcW w:w="619" w:type="pct"/>
            <w:tcBorders>
              <w:top w:val="nil"/>
              <w:left w:val="nil"/>
              <w:bottom w:val="single" w:color="000000" w:sz="8" w:space="0"/>
              <w:right w:val="single" w:color="000000" w:sz="8" w:space="0"/>
            </w:tcBorders>
            <w:shd w:val="clear" w:color="auto" w:fill="auto"/>
            <w:noWrap/>
            <w:vAlign w:val="center"/>
          </w:tcPr>
          <w:p w14:paraId="658B59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0.02 </w:t>
            </w:r>
          </w:p>
        </w:tc>
        <w:tc>
          <w:tcPr>
            <w:tcW w:w="584" w:type="pct"/>
            <w:tcBorders>
              <w:top w:val="nil"/>
              <w:left w:val="nil"/>
              <w:bottom w:val="single" w:color="000000" w:sz="8" w:space="0"/>
              <w:right w:val="single" w:color="000000" w:sz="8" w:space="0"/>
            </w:tcBorders>
            <w:shd w:val="clear" w:color="auto" w:fill="auto"/>
            <w:noWrap/>
            <w:vAlign w:val="center"/>
          </w:tcPr>
          <w:p w14:paraId="0331E9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0.02 </w:t>
            </w:r>
          </w:p>
        </w:tc>
      </w:tr>
      <w:tr w14:paraId="0C849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1" w:type="pct"/>
            <w:tcBorders>
              <w:top w:val="nil"/>
              <w:left w:val="single" w:color="000000" w:sz="8" w:space="0"/>
              <w:bottom w:val="single" w:color="000000" w:sz="8" w:space="0"/>
              <w:right w:val="single" w:color="000000" w:sz="8" w:space="0"/>
            </w:tcBorders>
            <w:shd w:val="clear" w:color="auto" w:fill="auto"/>
            <w:noWrap/>
            <w:vAlign w:val="center"/>
          </w:tcPr>
          <w:p w14:paraId="65A8E9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生产第7年</w:t>
            </w:r>
          </w:p>
        </w:tc>
        <w:tc>
          <w:tcPr>
            <w:tcW w:w="883" w:type="pct"/>
            <w:tcBorders>
              <w:top w:val="nil"/>
              <w:left w:val="nil"/>
              <w:bottom w:val="single" w:color="000000" w:sz="8" w:space="0"/>
              <w:right w:val="single" w:color="000000" w:sz="8" w:space="0"/>
            </w:tcBorders>
            <w:shd w:val="clear" w:color="auto" w:fill="auto"/>
            <w:noWrap/>
            <w:vAlign w:val="center"/>
          </w:tcPr>
          <w:p w14:paraId="16F4F0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8.55</w:t>
            </w:r>
          </w:p>
        </w:tc>
        <w:tc>
          <w:tcPr>
            <w:tcW w:w="713" w:type="pct"/>
            <w:tcBorders>
              <w:top w:val="nil"/>
              <w:left w:val="nil"/>
              <w:bottom w:val="single" w:color="000000" w:sz="8" w:space="0"/>
              <w:right w:val="single" w:color="000000" w:sz="8" w:space="0"/>
            </w:tcBorders>
            <w:shd w:val="clear" w:color="auto" w:fill="auto"/>
            <w:noWrap/>
            <w:vAlign w:val="center"/>
          </w:tcPr>
          <w:p w14:paraId="650A18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20</w:t>
            </w:r>
          </w:p>
        </w:tc>
        <w:tc>
          <w:tcPr>
            <w:tcW w:w="713" w:type="pct"/>
            <w:tcBorders>
              <w:top w:val="nil"/>
              <w:left w:val="nil"/>
              <w:bottom w:val="single" w:color="000000" w:sz="8" w:space="0"/>
              <w:right w:val="single" w:color="000000" w:sz="8" w:space="0"/>
            </w:tcBorders>
            <w:shd w:val="clear" w:color="auto" w:fill="auto"/>
            <w:noWrap/>
            <w:vAlign w:val="center"/>
          </w:tcPr>
          <w:p w14:paraId="51181E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p>
        </w:tc>
        <w:tc>
          <w:tcPr>
            <w:tcW w:w="714" w:type="pct"/>
            <w:tcBorders>
              <w:top w:val="nil"/>
              <w:left w:val="nil"/>
              <w:bottom w:val="single" w:color="000000" w:sz="8" w:space="0"/>
              <w:right w:val="single" w:color="000000" w:sz="8" w:space="0"/>
            </w:tcBorders>
            <w:shd w:val="clear" w:color="auto" w:fill="auto"/>
            <w:noWrap/>
            <w:vAlign w:val="center"/>
          </w:tcPr>
          <w:p w14:paraId="0A446C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p>
        </w:tc>
        <w:tc>
          <w:tcPr>
            <w:tcW w:w="619" w:type="pct"/>
            <w:tcBorders>
              <w:top w:val="nil"/>
              <w:left w:val="nil"/>
              <w:bottom w:val="single" w:color="000000" w:sz="8" w:space="0"/>
              <w:right w:val="single" w:color="000000" w:sz="8" w:space="0"/>
            </w:tcBorders>
            <w:shd w:val="clear" w:color="auto" w:fill="auto"/>
            <w:noWrap/>
            <w:vAlign w:val="center"/>
          </w:tcPr>
          <w:p w14:paraId="4233B1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p>
        </w:tc>
        <w:tc>
          <w:tcPr>
            <w:tcW w:w="584" w:type="pct"/>
            <w:tcBorders>
              <w:top w:val="nil"/>
              <w:left w:val="nil"/>
              <w:bottom w:val="single" w:color="000000" w:sz="8" w:space="0"/>
              <w:right w:val="single" w:color="000000" w:sz="8" w:space="0"/>
            </w:tcBorders>
            <w:shd w:val="clear" w:color="auto" w:fill="auto"/>
            <w:noWrap/>
            <w:vAlign w:val="center"/>
          </w:tcPr>
          <w:p w14:paraId="7FE5F0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p>
        </w:tc>
      </w:tr>
      <w:tr w14:paraId="5D52B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1" w:type="pct"/>
            <w:tcBorders>
              <w:top w:val="nil"/>
              <w:left w:val="single" w:color="000000" w:sz="8" w:space="0"/>
              <w:bottom w:val="single" w:color="000000" w:sz="8" w:space="0"/>
              <w:right w:val="single" w:color="000000" w:sz="8" w:space="0"/>
            </w:tcBorders>
            <w:shd w:val="clear" w:color="auto" w:fill="auto"/>
            <w:noWrap/>
            <w:vAlign w:val="center"/>
          </w:tcPr>
          <w:p w14:paraId="77EBE9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生产第8年</w:t>
            </w:r>
          </w:p>
        </w:tc>
        <w:tc>
          <w:tcPr>
            <w:tcW w:w="883" w:type="pct"/>
            <w:tcBorders>
              <w:top w:val="nil"/>
              <w:left w:val="nil"/>
              <w:bottom w:val="single" w:color="000000" w:sz="8" w:space="0"/>
              <w:right w:val="single" w:color="000000" w:sz="8" w:space="0"/>
            </w:tcBorders>
            <w:shd w:val="clear" w:color="auto" w:fill="auto"/>
            <w:noWrap/>
            <w:vAlign w:val="center"/>
          </w:tcPr>
          <w:p w14:paraId="24C7B0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2.30 </w:t>
            </w:r>
          </w:p>
        </w:tc>
        <w:tc>
          <w:tcPr>
            <w:tcW w:w="713" w:type="pct"/>
            <w:tcBorders>
              <w:top w:val="nil"/>
              <w:left w:val="nil"/>
              <w:bottom w:val="single" w:color="000000" w:sz="8" w:space="0"/>
              <w:right w:val="single" w:color="000000" w:sz="8" w:space="0"/>
            </w:tcBorders>
            <w:shd w:val="clear" w:color="auto" w:fill="auto"/>
            <w:noWrap/>
            <w:vAlign w:val="center"/>
          </w:tcPr>
          <w:p w14:paraId="1B4BE7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5.59</w:t>
            </w:r>
          </w:p>
        </w:tc>
        <w:tc>
          <w:tcPr>
            <w:tcW w:w="713" w:type="pct"/>
            <w:tcBorders>
              <w:top w:val="nil"/>
              <w:left w:val="nil"/>
              <w:bottom w:val="single" w:color="000000" w:sz="8" w:space="0"/>
              <w:right w:val="single" w:color="000000" w:sz="8" w:space="0"/>
            </w:tcBorders>
            <w:shd w:val="clear" w:color="auto" w:fill="auto"/>
            <w:noWrap/>
            <w:vAlign w:val="center"/>
          </w:tcPr>
          <w:p w14:paraId="7D7175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p>
        </w:tc>
        <w:tc>
          <w:tcPr>
            <w:tcW w:w="714" w:type="pct"/>
            <w:tcBorders>
              <w:top w:val="nil"/>
              <w:left w:val="nil"/>
              <w:bottom w:val="single" w:color="000000" w:sz="8" w:space="0"/>
              <w:right w:val="single" w:color="000000" w:sz="8" w:space="0"/>
            </w:tcBorders>
            <w:shd w:val="clear" w:color="auto" w:fill="auto"/>
            <w:noWrap/>
            <w:vAlign w:val="center"/>
          </w:tcPr>
          <w:p w14:paraId="6E4529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p>
        </w:tc>
        <w:tc>
          <w:tcPr>
            <w:tcW w:w="619" w:type="pct"/>
            <w:tcBorders>
              <w:top w:val="nil"/>
              <w:left w:val="nil"/>
              <w:bottom w:val="single" w:color="000000" w:sz="8" w:space="0"/>
              <w:right w:val="single" w:color="000000" w:sz="8" w:space="0"/>
            </w:tcBorders>
            <w:shd w:val="clear" w:color="auto" w:fill="auto"/>
            <w:noWrap/>
            <w:vAlign w:val="center"/>
          </w:tcPr>
          <w:p w14:paraId="30F3EA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p>
        </w:tc>
        <w:tc>
          <w:tcPr>
            <w:tcW w:w="584" w:type="pct"/>
            <w:tcBorders>
              <w:top w:val="nil"/>
              <w:left w:val="nil"/>
              <w:bottom w:val="single" w:color="000000" w:sz="8" w:space="0"/>
              <w:right w:val="single" w:color="000000" w:sz="8" w:space="0"/>
            </w:tcBorders>
            <w:shd w:val="clear" w:color="auto" w:fill="auto"/>
            <w:noWrap/>
            <w:vAlign w:val="center"/>
          </w:tcPr>
          <w:p w14:paraId="5C1ADB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p>
        </w:tc>
      </w:tr>
      <w:tr w14:paraId="143CF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1" w:type="pct"/>
            <w:tcBorders>
              <w:top w:val="nil"/>
              <w:left w:val="single" w:color="000000" w:sz="8" w:space="0"/>
              <w:bottom w:val="single" w:color="000000" w:sz="8" w:space="0"/>
              <w:right w:val="single" w:color="000000" w:sz="8" w:space="0"/>
            </w:tcBorders>
            <w:shd w:val="clear" w:color="auto" w:fill="auto"/>
            <w:noWrap/>
            <w:vAlign w:val="center"/>
          </w:tcPr>
          <w:p w14:paraId="3D7118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合计</w:t>
            </w:r>
          </w:p>
        </w:tc>
        <w:tc>
          <w:tcPr>
            <w:tcW w:w="883" w:type="pct"/>
            <w:tcBorders>
              <w:top w:val="nil"/>
              <w:left w:val="nil"/>
              <w:bottom w:val="single" w:color="000000" w:sz="8" w:space="0"/>
              <w:right w:val="single" w:color="000000" w:sz="8" w:space="0"/>
            </w:tcBorders>
            <w:shd w:val="clear" w:color="auto" w:fill="auto"/>
            <w:noWrap/>
            <w:vAlign w:val="center"/>
          </w:tcPr>
          <w:p w14:paraId="72831D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63.86 </w:t>
            </w:r>
          </w:p>
        </w:tc>
        <w:tc>
          <w:tcPr>
            <w:tcW w:w="713" w:type="pct"/>
            <w:tcBorders>
              <w:top w:val="nil"/>
              <w:left w:val="nil"/>
              <w:bottom w:val="single" w:color="000000" w:sz="8" w:space="0"/>
              <w:right w:val="single" w:color="000000" w:sz="8" w:space="0"/>
            </w:tcBorders>
            <w:shd w:val="clear" w:color="auto" w:fill="auto"/>
            <w:noWrap/>
            <w:vAlign w:val="center"/>
          </w:tcPr>
          <w:p w14:paraId="6C1022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149.60 </w:t>
            </w:r>
          </w:p>
        </w:tc>
        <w:tc>
          <w:tcPr>
            <w:tcW w:w="713" w:type="pct"/>
            <w:tcBorders>
              <w:top w:val="nil"/>
              <w:left w:val="nil"/>
              <w:bottom w:val="single" w:color="000000" w:sz="8" w:space="0"/>
              <w:right w:val="single" w:color="000000" w:sz="8" w:space="0"/>
            </w:tcBorders>
            <w:shd w:val="clear" w:color="auto" w:fill="auto"/>
            <w:noWrap/>
            <w:vAlign w:val="center"/>
          </w:tcPr>
          <w:p w14:paraId="00F7A6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2.43 </w:t>
            </w:r>
          </w:p>
        </w:tc>
        <w:tc>
          <w:tcPr>
            <w:tcW w:w="714" w:type="pct"/>
            <w:tcBorders>
              <w:top w:val="nil"/>
              <w:left w:val="nil"/>
              <w:bottom w:val="single" w:color="000000" w:sz="8" w:space="0"/>
              <w:right w:val="single" w:color="000000" w:sz="8" w:space="0"/>
            </w:tcBorders>
            <w:shd w:val="clear" w:color="auto" w:fill="auto"/>
            <w:noWrap/>
            <w:vAlign w:val="center"/>
          </w:tcPr>
          <w:p w14:paraId="7FF7CE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 xml:space="preserve">4.37 </w:t>
            </w:r>
          </w:p>
        </w:tc>
        <w:tc>
          <w:tcPr>
            <w:tcW w:w="619" w:type="pct"/>
            <w:tcBorders>
              <w:top w:val="nil"/>
              <w:left w:val="nil"/>
              <w:bottom w:val="single" w:color="000000" w:sz="8" w:space="0"/>
              <w:right w:val="single" w:color="000000" w:sz="8" w:space="0"/>
            </w:tcBorders>
            <w:shd w:val="clear" w:color="auto" w:fill="auto"/>
            <w:noWrap/>
            <w:vAlign w:val="center"/>
          </w:tcPr>
          <w:p w14:paraId="5B738E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0.05</w:t>
            </w:r>
          </w:p>
        </w:tc>
        <w:tc>
          <w:tcPr>
            <w:tcW w:w="584" w:type="pct"/>
            <w:tcBorders>
              <w:top w:val="nil"/>
              <w:left w:val="nil"/>
              <w:bottom w:val="single" w:color="000000" w:sz="8" w:space="0"/>
              <w:right w:val="single" w:color="000000" w:sz="8" w:space="0"/>
            </w:tcBorders>
            <w:shd w:val="clear" w:color="auto" w:fill="auto"/>
            <w:noWrap/>
            <w:vAlign w:val="center"/>
          </w:tcPr>
          <w:p w14:paraId="3E8FBB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4"/>
                <w:szCs w:val="24"/>
                <w:u w:val="none"/>
              </w:rPr>
            </w:pPr>
            <w:r>
              <w:rPr>
                <w:rFonts w:hint="eastAsia" w:ascii="仿宋_GB2312" w:eastAsia="仿宋_GB2312" w:cs="仿宋_GB2312"/>
                <w:i w:val="0"/>
                <w:iCs w:val="0"/>
                <w:color w:val="auto"/>
                <w:kern w:val="0"/>
                <w:sz w:val="24"/>
                <w:szCs w:val="24"/>
                <w:u w:val="none"/>
                <w:lang w:val="en-US" w:eastAsia="zh-CN"/>
              </w:rPr>
              <w:t>0.04</w:t>
            </w:r>
          </w:p>
        </w:tc>
      </w:tr>
    </w:tbl>
    <w:p w14:paraId="2702BF7C">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rPr>
      </w:pPr>
      <w:bookmarkStart w:id="272" w:name="_Toc64710509"/>
      <w:bookmarkStart w:id="273" w:name="_Toc18265"/>
      <w:bookmarkStart w:id="274" w:name="_Toc14766"/>
      <w:bookmarkStart w:id="275" w:name="_Hlk59440526"/>
      <w:r>
        <w:rPr>
          <w:rFonts w:hint="eastAsia" w:ascii="仿宋_GB2312" w:eastAsia="仿宋_GB2312" w:cs="仿宋_GB2312"/>
          <w:color w:val="auto"/>
          <w:sz w:val="36"/>
          <w:szCs w:val="36"/>
        </w:rPr>
        <w:t>选矿及尾矿设施</w:t>
      </w:r>
      <w:bookmarkEnd w:id="272"/>
      <w:bookmarkEnd w:id="273"/>
      <w:bookmarkEnd w:id="274"/>
    </w:p>
    <w:p w14:paraId="78287750">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本矿山开采矿种为砖瓦用页岩，开采矿石可直接运至砖窑利用，无需选矿。</w:t>
      </w:r>
    </w:p>
    <w:bookmarkEnd w:id="275"/>
    <w:p w14:paraId="2F970B4D">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rPr>
      </w:pPr>
      <w:bookmarkStart w:id="276" w:name="_Toc16771"/>
      <w:bookmarkStart w:id="277" w:name="_Toc19210"/>
      <w:r>
        <w:rPr>
          <w:rFonts w:hint="eastAsia" w:ascii="仿宋_GB2312" w:eastAsia="仿宋_GB2312" w:cs="仿宋_GB2312"/>
          <w:color w:val="auto"/>
          <w:sz w:val="36"/>
          <w:szCs w:val="36"/>
        </w:rPr>
        <w:t>其他公用设施</w:t>
      </w:r>
      <w:bookmarkEnd w:id="276"/>
      <w:bookmarkEnd w:id="277"/>
    </w:p>
    <w:p w14:paraId="33972196">
      <w:pPr>
        <w:pStyle w:val="4"/>
        <w:adjustRightInd w:val="0"/>
        <w:snapToGrid w:val="0"/>
        <w:spacing w:before="0"/>
        <w:rPr>
          <w:rFonts w:hint="eastAsia" w:ascii="仿宋_GB2312" w:eastAsia="仿宋_GB2312" w:cs="仿宋_GB2312"/>
          <w:b/>
          <w:bCs w:val="0"/>
          <w:color w:val="auto"/>
          <w:sz w:val="28"/>
          <w:szCs w:val="28"/>
        </w:rPr>
      </w:pPr>
      <w:bookmarkStart w:id="278" w:name="_Toc11958"/>
      <w:bookmarkStart w:id="279" w:name="_Toc32272"/>
      <w:r>
        <w:rPr>
          <w:rFonts w:hint="eastAsia" w:ascii="仿宋_GB2312" w:eastAsia="仿宋_GB2312" w:cs="仿宋_GB2312"/>
          <w:b/>
          <w:bCs w:val="0"/>
          <w:color w:val="auto"/>
          <w:sz w:val="28"/>
          <w:szCs w:val="28"/>
          <w:lang w:val="en-US" w:eastAsia="zh-CN"/>
        </w:rPr>
        <w:t>7.1</w:t>
      </w:r>
      <w:r>
        <w:rPr>
          <w:rFonts w:hint="eastAsia" w:ascii="仿宋_GB2312" w:eastAsia="仿宋_GB2312" w:cs="仿宋_GB2312"/>
          <w:b/>
          <w:bCs w:val="0"/>
          <w:color w:val="auto"/>
          <w:sz w:val="28"/>
          <w:szCs w:val="28"/>
        </w:rPr>
        <w:t>总图运输</w:t>
      </w:r>
      <w:bookmarkEnd w:id="278"/>
      <w:bookmarkEnd w:id="279"/>
    </w:p>
    <w:p w14:paraId="07C94B6B">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（1）矿山总体布置</w:t>
      </w:r>
    </w:p>
    <w:p w14:paraId="6E40550A">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办公区位于矿区西南侧，矿山工作人员主要为周边居民，可居住于周边村镇，不新建宿舍。考虑用水需要，设计建造一座蓄水池。</w:t>
      </w:r>
    </w:p>
    <w:p w14:paraId="491F0676">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（2）排土场</w:t>
      </w:r>
    </w:p>
    <w:p w14:paraId="339D4ABE">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矿体无直接顶板，矿体表面多为第四系风化残坡积物，可直接掺拌于矿体中作制砖原料，对矿石质量影响较小。剥离表土可全部掺拌于矿体中综合利用。不设排土场。</w:t>
      </w:r>
    </w:p>
    <w:p w14:paraId="05687E70">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（3）矿山运输</w:t>
      </w:r>
    </w:p>
    <w:p w14:paraId="5D92E480">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外部运输：矿区距卓筒井镇场镇直距约4km，毗邻108乡道，新建道路与乡村道路连通，可满足外部运输需要。</w:t>
      </w:r>
    </w:p>
    <w:p w14:paraId="562E1B4F">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采场运输：运输道路采用矿山三级道路。道路设计等级：三级；单车道；设计时速：20km/h；路面宽度：4m；道路内沿最小转弯半径：15.00m；道路最大纵坡：9%；道路缓坡坡段最小长度：60m；道路缓坡段最大纵坡：3%。</w:t>
      </w:r>
    </w:p>
    <w:p w14:paraId="03FF653E">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（4）场地排水</w:t>
      </w:r>
    </w:p>
    <w:p w14:paraId="4FF10068">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办公区采用明沟排水，场地设计不小于0.3%的排水坡度</w:t>
      </w:r>
    </w:p>
    <w:p w14:paraId="72E79495">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（5）场地绿化</w:t>
      </w:r>
    </w:p>
    <w:p w14:paraId="2B60D95C">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在主要道路两侧设行道树，树植间距3.0～10.0m。按适于当地生长、树冠阔大、吸尘隔音效果良好原则选择树种。在厂区内空余场地处密植低矮灌木。边坡拱架内点种灌木种子、播撒草籽，起到防护和美化作用。</w:t>
      </w:r>
    </w:p>
    <w:p w14:paraId="472990D7">
      <w:pPr>
        <w:pStyle w:val="4"/>
        <w:adjustRightInd w:val="0"/>
        <w:snapToGrid w:val="0"/>
        <w:spacing w:before="0"/>
        <w:rPr>
          <w:rFonts w:hint="eastAsia" w:ascii="仿宋_GB2312" w:eastAsia="仿宋_GB2312" w:cs="仿宋_GB2312"/>
          <w:b/>
          <w:bCs w:val="0"/>
          <w:color w:val="auto"/>
          <w:sz w:val="28"/>
          <w:szCs w:val="28"/>
          <w:lang w:val="en-US" w:eastAsia="zh-CN"/>
        </w:rPr>
      </w:pPr>
      <w:bookmarkStart w:id="280" w:name="_Toc64710516"/>
      <w:bookmarkStart w:id="281" w:name="_Toc148958050"/>
      <w:bookmarkStart w:id="282" w:name="_Toc45942751"/>
      <w:bookmarkStart w:id="283" w:name="_Toc454388983"/>
      <w:bookmarkStart w:id="284" w:name="_Toc21180"/>
      <w:bookmarkStart w:id="285" w:name="_Toc30816"/>
      <w:r>
        <w:rPr>
          <w:rFonts w:hint="eastAsia" w:ascii="仿宋_GB2312" w:eastAsia="仿宋_GB2312" w:cs="仿宋_GB2312"/>
          <w:b/>
          <w:bCs w:val="0"/>
          <w:color w:val="auto"/>
          <w:sz w:val="28"/>
          <w:szCs w:val="28"/>
          <w:lang w:val="en-US" w:eastAsia="zh-CN"/>
        </w:rPr>
        <w:t>7.2机汽修</w:t>
      </w:r>
      <w:bookmarkEnd w:id="280"/>
      <w:bookmarkEnd w:id="281"/>
      <w:bookmarkEnd w:id="282"/>
      <w:bookmarkEnd w:id="283"/>
      <w:bookmarkEnd w:id="284"/>
      <w:bookmarkEnd w:id="285"/>
    </w:p>
    <w:p w14:paraId="4D95F248">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矿山毗邻卓筒井镇，</w:t>
      </w:r>
      <w:r>
        <w:rPr>
          <w:rFonts w:hint="eastAsia" w:ascii="仿宋_GB2312" w:eastAsia="仿宋_GB2312" w:cs="仿宋_GB2312"/>
          <w:color w:val="auto"/>
          <w:sz w:val="28"/>
          <w:szCs w:val="28"/>
        </w:rPr>
        <w:t>设备及汽车大、中、小修均由外协解决，企业仅进行日常保养。</w:t>
      </w:r>
      <w:r>
        <w:rPr>
          <w:rFonts w:hint="eastAsia" w:ascii="仿宋_GB2312" w:eastAsia="仿宋_GB2312" w:cs="仿宋_GB2312"/>
          <w:color w:val="auto"/>
          <w:sz w:val="28"/>
          <w:szCs w:val="28"/>
          <w:lang w:val="en-US" w:eastAsia="zh-CN"/>
        </w:rPr>
        <w:t>不</w:t>
      </w:r>
      <w:r>
        <w:rPr>
          <w:rFonts w:hint="eastAsia" w:ascii="仿宋_GB2312" w:eastAsia="仿宋_GB2312" w:cs="仿宋_GB2312"/>
          <w:color w:val="auto"/>
          <w:sz w:val="28"/>
          <w:szCs w:val="28"/>
        </w:rPr>
        <w:t>设置机修及汽修维修间。</w:t>
      </w:r>
    </w:p>
    <w:p w14:paraId="06DCBD96">
      <w:pPr>
        <w:pStyle w:val="4"/>
        <w:adjustRightInd w:val="0"/>
        <w:snapToGrid w:val="0"/>
        <w:spacing w:before="0"/>
        <w:rPr>
          <w:rFonts w:hint="eastAsia" w:ascii="仿宋_GB2312" w:eastAsia="仿宋_GB2312" w:cs="仿宋_GB2312"/>
          <w:b/>
          <w:bCs w:val="0"/>
          <w:color w:val="auto"/>
          <w:sz w:val="28"/>
          <w:szCs w:val="28"/>
          <w:lang w:val="en-US" w:eastAsia="zh-CN"/>
        </w:rPr>
      </w:pPr>
      <w:bookmarkStart w:id="286" w:name="_Toc26554"/>
      <w:bookmarkStart w:id="287" w:name="_Toc13629"/>
      <w:r>
        <w:rPr>
          <w:rFonts w:hint="eastAsia" w:ascii="仿宋_GB2312" w:eastAsia="仿宋_GB2312" w:cs="仿宋_GB2312"/>
          <w:b/>
          <w:bCs w:val="0"/>
          <w:color w:val="auto"/>
          <w:sz w:val="28"/>
          <w:szCs w:val="28"/>
          <w:lang w:val="en-US" w:eastAsia="zh-CN"/>
        </w:rPr>
        <w:t>7.3供配电及通信</w:t>
      </w:r>
      <w:bookmarkEnd w:id="286"/>
      <w:bookmarkEnd w:id="287"/>
    </w:p>
    <w:p w14:paraId="1F61D663">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本矿山开采设备均为柴油设备，</w:t>
      </w:r>
      <w:r>
        <w:rPr>
          <w:rFonts w:hint="eastAsia" w:ascii="仿宋_GB2312" w:eastAsia="仿宋_GB2312" w:cs="仿宋_GB2312"/>
          <w:color w:val="auto"/>
          <w:sz w:val="28"/>
          <w:szCs w:val="28"/>
          <w:lang w:eastAsia="zh-CN"/>
        </w:rPr>
        <w:t>仅办公</w:t>
      </w:r>
      <w:r>
        <w:rPr>
          <w:rFonts w:hint="eastAsia" w:ascii="仿宋_GB2312" w:eastAsia="仿宋_GB2312" w:cs="仿宋_GB2312"/>
          <w:color w:val="auto"/>
          <w:sz w:val="28"/>
          <w:szCs w:val="28"/>
          <w:lang w:val="en-US" w:eastAsia="zh-CN"/>
        </w:rPr>
        <w:t>区</w:t>
      </w:r>
      <w:r>
        <w:rPr>
          <w:rFonts w:hint="eastAsia" w:ascii="仿宋_GB2312" w:eastAsia="仿宋_GB2312" w:cs="仿宋_GB2312"/>
          <w:color w:val="auto"/>
          <w:sz w:val="28"/>
          <w:szCs w:val="28"/>
          <w:lang w:eastAsia="zh-CN"/>
        </w:rPr>
        <w:t>需用电。</w:t>
      </w:r>
      <w:r>
        <w:rPr>
          <w:rFonts w:hint="eastAsia" w:ascii="仿宋_GB2312" w:eastAsia="仿宋_GB2312" w:cs="仿宋_GB2312"/>
          <w:color w:val="auto"/>
          <w:sz w:val="28"/>
          <w:szCs w:val="28"/>
        </w:rPr>
        <w:t>目前周边架设有通讯基站、电网已接通，可满足</w:t>
      </w:r>
      <w:r>
        <w:rPr>
          <w:rFonts w:hint="eastAsia" w:ascii="仿宋_GB2312" w:eastAsia="仿宋_GB2312" w:cs="仿宋_GB2312"/>
          <w:color w:val="auto"/>
          <w:sz w:val="28"/>
          <w:szCs w:val="28"/>
          <w:lang w:val="en-US" w:eastAsia="zh-CN"/>
        </w:rPr>
        <w:t>生产</w:t>
      </w:r>
      <w:r>
        <w:rPr>
          <w:rFonts w:hint="eastAsia" w:ascii="仿宋_GB2312" w:eastAsia="仿宋_GB2312" w:cs="仿宋_GB2312"/>
          <w:color w:val="auto"/>
          <w:sz w:val="28"/>
          <w:szCs w:val="28"/>
        </w:rPr>
        <w:t>、</w:t>
      </w:r>
      <w:r>
        <w:rPr>
          <w:rFonts w:hint="eastAsia" w:ascii="仿宋_GB2312" w:eastAsia="仿宋_GB2312" w:cs="仿宋_GB2312"/>
          <w:color w:val="auto"/>
          <w:sz w:val="28"/>
          <w:szCs w:val="28"/>
          <w:lang w:val="en-US" w:eastAsia="zh-CN"/>
        </w:rPr>
        <w:t>办公</w:t>
      </w:r>
      <w:r>
        <w:rPr>
          <w:rFonts w:hint="eastAsia" w:ascii="仿宋_GB2312" w:eastAsia="仿宋_GB2312" w:cs="仿宋_GB2312"/>
          <w:color w:val="auto"/>
          <w:sz w:val="28"/>
          <w:szCs w:val="28"/>
        </w:rPr>
        <w:t>用电</w:t>
      </w:r>
      <w:r>
        <w:rPr>
          <w:rFonts w:hint="eastAsia" w:ascii="仿宋_GB2312" w:eastAsia="仿宋_GB2312" w:cs="仿宋_GB2312"/>
          <w:color w:val="auto"/>
          <w:sz w:val="28"/>
          <w:szCs w:val="28"/>
          <w:lang w:val="en-US" w:eastAsia="zh-CN"/>
        </w:rPr>
        <w:t>和</w:t>
      </w:r>
      <w:r>
        <w:rPr>
          <w:rFonts w:hint="eastAsia" w:ascii="仿宋_GB2312" w:eastAsia="仿宋_GB2312" w:cs="仿宋_GB2312"/>
          <w:color w:val="auto"/>
          <w:sz w:val="28"/>
          <w:szCs w:val="28"/>
        </w:rPr>
        <w:t>通讯</w:t>
      </w:r>
      <w:r>
        <w:rPr>
          <w:rFonts w:hint="eastAsia" w:ascii="仿宋_GB2312" w:eastAsia="仿宋_GB2312" w:cs="仿宋_GB2312"/>
          <w:color w:val="auto"/>
          <w:sz w:val="28"/>
          <w:szCs w:val="28"/>
          <w:lang w:val="en-US" w:eastAsia="zh-CN"/>
        </w:rPr>
        <w:t>需要</w:t>
      </w:r>
      <w:r>
        <w:rPr>
          <w:rFonts w:hint="eastAsia" w:ascii="仿宋_GB2312" w:eastAsia="仿宋_GB2312" w:cs="仿宋_GB2312"/>
          <w:color w:val="auto"/>
          <w:sz w:val="28"/>
          <w:szCs w:val="28"/>
        </w:rPr>
        <w:t>。</w:t>
      </w:r>
    </w:p>
    <w:p w14:paraId="24BEF0F4">
      <w:pPr>
        <w:pStyle w:val="4"/>
        <w:adjustRightInd w:val="0"/>
        <w:snapToGrid w:val="0"/>
        <w:spacing w:before="0"/>
        <w:rPr>
          <w:rFonts w:hint="eastAsia" w:ascii="仿宋_GB2312" w:eastAsia="仿宋_GB2312" w:cs="仿宋_GB2312"/>
          <w:b/>
          <w:bCs w:val="0"/>
          <w:color w:val="auto"/>
          <w:sz w:val="28"/>
          <w:szCs w:val="28"/>
          <w:lang w:val="en-US" w:eastAsia="zh-CN"/>
        </w:rPr>
      </w:pPr>
      <w:bookmarkStart w:id="288" w:name="_Toc6592"/>
      <w:bookmarkStart w:id="289" w:name="_Toc64710514"/>
      <w:bookmarkStart w:id="290" w:name="_Toc2411"/>
      <w:bookmarkStart w:id="291" w:name="_Toc138060322"/>
      <w:bookmarkStart w:id="292" w:name="_Toc9295"/>
      <w:r>
        <w:rPr>
          <w:rFonts w:hint="eastAsia" w:ascii="仿宋_GB2312" w:eastAsia="仿宋_GB2312" w:cs="仿宋_GB2312"/>
          <w:b/>
          <w:bCs w:val="0"/>
          <w:color w:val="auto"/>
          <w:sz w:val="28"/>
          <w:szCs w:val="28"/>
          <w:lang w:val="en-US" w:eastAsia="zh-CN"/>
        </w:rPr>
        <w:t>7.4给排水</w:t>
      </w:r>
      <w:bookmarkEnd w:id="288"/>
      <w:bookmarkEnd w:id="289"/>
      <w:bookmarkEnd w:id="290"/>
    </w:p>
    <w:p w14:paraId="61A89F1B">
      <w:pPr>
        <w:adjustRightInd w:val="0"/>
        <w:snapToGrid w:val="0"/>
        <w:spacing w:line="360" w:lineRule="auto"/>
        <w:ind w:firstLine="560"/>
        <w:rPr>
          <w:rFonts w:hint="eastAsia" w:ascii="仿宋_GB2312" w:eastAsia="仿宋_GB2312" w:cs="仿宋_GB2312"/>
          <w:color w:val="auto"/>
          <w:sz w:val="28"/>
          <w:szCs w:val="28"/>
        </w:rPr>
      </w:pPr>
      <w:bookmarkStart w:id="293" w:name="_Toc273369384"/>
      <w:bookmarkStart w:id="294" w:name="_Toc25292"/>
      <w:bookmarkStart w:id="295" w:name="_Toc148958065"/>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水源</w:t>
      </w:r>
      <w:bookmarkEnd w:id="293"/>
      <w:bookmarkEnd w:id="294"/>
      <w:bookmarkEnd w:id="295"/>
    </w:p>
    <w:p w14:paraId="62FD067A">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rPr>
        <w:t>地下水水质类型为HCO3--Ca型水，</w:t>
      </w:r>
      <w:r>
        <w:rPr>
          <w:rFonts w:hint="eastAsia" w:ascii="仿宋_GB2312" w:eastAsia="仿宋_GB2312" w:cs="仿宋_GB2312"/>
          <w:color w:val="auto"/>
          <w:sz w:val="28"/>
          <w:szCs w:val="28"/>
          <w:lang w:eastAsia="zh-CN"/>
        </w:rPr>
        <w:t>pH值</w:t>
      </w:r>
      <w:r>
        <w:rPr>
          <w:rFonts w:hint="eastAsia" w:ascii="仿宋_GB2312" w:eastAsia="仿宋_GB2312" w:cs="仿宋_GB2312"/>
          <w:color w:val="auto"/>
          <w:sz w:val="28"/>
          <w:szCs w:val="28"/>
        </w:rPr>
        <w:t>为7.</w:t>
      </w:r>
      <w:r>
        <w:rPr>
          <w:rFonts w:hint="eastAsia" w:ascii="仿宋_GB2312" w:eastAsia="仿宋_GB2312" w:cs="仿宋_GB2312"/>
          <w:color w:val="auto"/>
          <w:sz w:val="28"/>
          <w:szCs w:val="28"/>
          <w:lang w:val="en-US" w:eastAsia="zh-CN"/>
        </w:rPr>
        <w:t>67</w:t>
      </w:r>
      <w:r>
        <w:rPr>
          <w:rFonts w:hint="eastAsia" w:ascii="仿宋_GB2312" w:eastAsia="仿宋_GB2312" w:cs="仿宋_GB2312"/>
          <w:color w:val="auto"/>
          <w:sz w:val="28"/>
          <w:szCs w:val="28"/>
        </w:rPr>
        <w:t>，符合《地下水质量标准》（GB 14848-20</w:t>
      </w:r>
      <w:r>
        <w:rPr>
          <w:rFonts w:hint="eastAsia" w:ascii="仿宋_GB2312" w:eastAsia="仿宋_GB2312" w:cs="仿宋_GB2312"/>
          <w:color w:val="auto"/>
          <w:sz w:val="28"/>
          <w:szCs w:val="28"/>
          <w:lang w:val="en-US" w:eastAsia="zh-CN"/>
        </w:rPr>
        <w:t>1</w:t>
      </w:r>
      <w:r>
        <w:rPr>
          <w:rFonts w:hint="eastAsia" w:ascii="仿宋_GB2312" w:eastAsia="仿宋_GB2312" w:cs="仿宋_GB2312"/>
          <w:color w:val="auto"/>
          <w:sz w:val="28"/>
          <w:szCs w:val="28"/>
        </w:rPr>
        <w:t>7）中Ⅱ类水质的标准，可用于工业供水</w:t>
      </w:r>
      <w:r>
        <w:rPr>
          <w:rFonts w:hint="eastAsia" w:ascii="仿宋_GB2312" w:eastAsia="仿宋_GB2312" w:cs="仿宋_GB2312"/>
          <w:color w:val="auto"/>
          <w:sz w:val="28"/>
          <w:szCs w:val="28"/>
          <w:lang w:eastAsia="zh-CN"/>
        </w:rPr>
        <w:t>。</w:t>
      </w:r>
    </w:p>
    <w:p w14:paraId="5E619D10">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矿区工业供水主要由矿区东侧的低洼处抽取地下水供给，但枯水期将会面临用水紧张的问题，因此，需要建设蓄水工程，以解决旱季缺水的问题。生活用水需架设供水设施，从</w:t>
      </w:r>
      <w:r>
        <w:rPr>
          <w:rFonts w:hint="eastAsia" w:ascii="仿宋_GB2312" w:eastAsia="仿宋_GB2312" w:cs="仿宋_GB2312"/>
          <w:color w:val="auto"/>
          <w:sz w:val="28"/>
          <w:szCs w:val="28"/>
          <w:lang w:val="en-US" w:eastAsia="zh-CN"/>
        </w:rPr>
        <w:t>卓筒井镇</w:t>
      </w:r>
      <w:r>
        <w:rPr>
          <w:rFonts w:hint="eastAsia" w:ascii="仿宋_GB2312" w:eastAsia="仿宋_GB2312" w:cs="仿宋_GB2312"/>
          <w:color w:val="auto"/>
          <w:sz w:val="28"/>
          <w:szCs w:val="28"/>
        </w:rPr>
        <w:t>引入矿山用作生活用水。</w:t>
      </w:r>
    </w:p>
    <w:p w14:paraId="39459A7E">
      <w:pPr>
        <w:adjustRightInd w:val="0"/>
        <w:snapToGrid w:val="0"/>
        <w:spacing w:line="360" w:lineRule="auto"/>
        <w:ind w:firstLine="560"/>
        <w:rPr>
          <w:rFonts w:hint="eastAsia" w:ascii="仿宋_GB2312" w:eastAsia="仿宋_GB2312" w:cs="仿宋_GB2312"/>
          <w:color w:val="auto"/>
          <w:sz w:val="28"/>
          <w:szCs w:val="28"/>
          <w:lang w:eastAsia="zh-CN"/>
        </w:rPr>
      </w:pPr>
      <w:bookmarkStart w:id="296" w:name="_Toc7511"/>
      <w:bookmarkStart w:id="297" w:name="_Toc273369385"/>
      <w:bookmarkStart w:id="298" w:name="_Toc148958066"/>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2</w:t>
      </w:r>
      <w:r>
        <w:rPr>
          <w:rFonts w:hint="eastAsia" w:ascii="仿宋_GB2312" w:eastAsia="仿宋_GB2312" w:cs="仿宋_GB2312"/>
          <w:color w:val="auto"/>
          <w:sz w:val="28"/>
          <w:szCs w:val="28"/>
          <w:lang w:eastAsia="zh-CN"/>
        </w:rPr>
        <w:t>）用水标准</w:t>
      </w:r>
      <w:bookmarkEnd w:id="296"/>
      <w:bookmarkEnd w:id="297"/>
      <w:bookmarkEnd w:id="298"/>
    </w:p>
    <w:p w14:paraId="01CC4539">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生产用水：根据工艺专业要求确定</w:t>
      </w:r>
    </w:p>
    <w:p w14:paraId="71FBFDA8">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职工生活用水：  50 L/人.d</w:t>
      </w:r>
    </w:p>
    <w:p w14:paraId="3D32C30F">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 xml:space="preserve">车辆冲洗用水：  600 L/台.d </w:t>
      </w:r>
    </w:p>
    <w:p w14:paraId="7717E45D">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消防用水：建筑同时火灾次数按1次，消防用水量不小于15L/s，火灾延续时间按2 h。</w:t>
      </w:r>
    </w:p>
    <w:p w14:paraId="0B64F1C7">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水量</w:t>
      </w:r>
    </w:p>
    <w:p w14:paraId="1A09648C">
      <w:pPr>
        <w:adjustRightInd w:val="0"/>
        <w:snapToGrid w:val="0"/>
        <w:spacing w:line="360" w:lineRule="auto"/>
        <w:ind w:firstLine="560"/>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生产用水：</w:t>
      </w:r>
      <w:r>
        <w:rPr>
          <w:rFonts w:hint="eastAsia" w:ascii="仿宋_GB2312" w:eastAsia="仿宋_GB2312" w:cs="仿宋_GB2312"/>
          <w:color w:val="auto"/>
          <w:sz w:val="28"/>
          <w:szCs w:val="28"/>
        </w:rPr>
        <w:t>主要</w:t>
      </w:r>
      <w:r>
        <w:rPr>
          <w:rFonts w:hint="eastAsia" w:ascii="仿宋_GB2312" w:eastAsia="仿宋_GB2312" w:cs="仿宋_GB2312"/>
          <w:color w:val="auto"/>
          <w:sz w:val="28"/>
          <w:szCs w:val="28"/>
          <w:lang w:eastAsia="zh-CN"/>
        </w:rPr>
        <w:t>用于</w:t>
      </w:r>
      <w:r>
        <w:rPr>
          <w:rFonts w:hint="eastAsia" w:ascii="仿宋_GB2312" w:eastAsia="仿宋_GB2312" w:cs="仿宋_GB2312"/>
          <w:color w:val="auto"/>
          <w:sz w:val="28"/>
          <w:szCs w:val="28"/>
        </w:rPr>
        <w:t>采矿场道路洒水、采场防尘等用水。总计用水量</w:t>
      </w:r>
      <w:r>
        <w:rPr>
          <w:rFonts w:hint="eastAsia" w:ascii="仿宋_GB2312" w:eastAsia="仿宋_GB2312" w:cs="仿宋_GB2312"/>
          <w:color w:val="auto"/>
          <w:sz w:val="28"/>
          <w:szCs w:val="28"/>
          <w:lang w:val="en-US" w:eastAsia="zh-CN"/>
        </w:rPr>
        <w:t>25</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rPr>
        <w:t>/d</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其中生产新水量</w:t>
      </w:r>
      <w:r>
        <w:rPr>
          <w:rFonts w:hint="eastAsia" w:ascii="仿宋_GB2312" w:eastAsia="仿宋_GB2312" w:cs="仿宋_GB2312"/>
          <w:color w:val="auto"/>
          <w:sz w:val="28"/>
          <w:szCs w:val="28"/>
          <w:lang w:val="en-US" w:eastAsia="zh-CN"/>
        </w:rPr>
        <w:t>22</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rPr>
        <w:t>/d</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生产办公设施用水</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rPr>
        <w:t>/d</w:t>
      </w:r>
      <w:r>
        <w:rPr>
          <w:rFonts w:hint="eastAsia" w:ascii="仿宋_GB2312" w:eastAsia="仿宋_GB2312" w:cs="仿宋_GB2312"/>
          <w:color w:val="auto"/>
          <w:sz w:val="28"/>
          <w:szCs w:val="28"/>
          <w:lang w:eastAsia="zh-CN"/>
        </w:rPr>
        <w:t>。</w:t>
      </w:r>
    </w:p>
    <w:p w14:paraId="11670C6D">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消防用水</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工业场地一次消防用水量为108</w:t>
      </w:r>
      <w:r>
        <w:rPr>
          <w:rFonts w:hint="eastAsia" w:ascii="仿宋_GB2312" w:eastAsia="仿宋_GB2312" w:cs="仿宋_GB2312"/>
          <w:color w:val="auto"/>
          <w:sz w:val="28"/>
          <w:szCs w:val="28"/>
          <w:lang w:eastAsia="zh-CN"/>
        </w:rPr>
        <w:t>m³</w:t>
      </w:r>
      <w:r>
        <w:rPr>
          <w:rFonts w:hint="eastAsia" w:ascii="仿宋_GB2312" w:eastAsia="仿宋_GB2312" w:cs="仿宋_GB2312"/>
          <w:color w:val="auto"/>
          <w:sz w:val="28"/>
          <w:szCs w:val="28"/>
        </w:rPr>
        <w:t>。</w:t>
      </w:r>
    </w:p>
    <w:p w14:paraId="6C03A772">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水质及水压</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生活用水水质要求达到国家GB5749-20</w:t>
      </w:r>
      <w:r>
        <w:rPr>
          <w:rFonts w:hint="eastAsia" w:ascii="仿宋_GB2312" w:eastAsia="仿宋_GB2312" w:cs="仿宋_GB2312"/>
          <w:color w:val="auto"/>
          <w:sz w:val="28"/>
          <w:szCs w:val="28"/>
          <w:lang w:val="en-US" w:eastAsia="zh-CN"/>
        </w:rPr>
        <w:t>22</w:t>
      </w:r>
      <w:r>
        <w:rPr>
          <w:rFonts w:hint="eastAsia" w:ascii="仿宋_GB2312" w:eastAsia="仿宋_GB2312" w:cs="仿宋_GB2312"/>
          <w:color w:val="auto"/>
          <w:sz w:val="28"/>
          <w:szCs w:val="28"/>
        </w:rPr>
        <w:t>《生活饮用水卫生标准》。水压要求0.2～0.3MPa。生产新水水质要求悬浮物含量≤50mg/l。</w:t>
      </w:r>
    </w:p>
    <w:p w14:paraId="280631C8">
      <w:pPr>
        <w:adjustRightInd w:val="0"/>
        <w:snapToGrid w:val="0"/>
        <w:spacing w:line="360" w:lineRule="auto"/>
        <w:ind w:firstLine="560"/>
        <w:rPr>
          <w:rFonts w:hint="eastAsia" w:ascii="仿宋_GB2312" w:eastAsia="仿宋_GB2312" w:cs="仿宋_GB2312"/>
          <w:color w:val="auto"/>
          <w:sz w:val="28"/>
          <w:szCs w:val="28"/>
        </w:rPr>
      </w:pPr>
      <w:bookmarkStart w:id="299" w:name="_Toc273369386"/>
      <w:bookmarkStart w:id="300" w:name="_Toc5888"/>
      <w:bookmarkStart w:id="301" w:name="_Toc148958067"/>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lang w:val="en-US" w:eastAsia="zh-CN"/>
        </w:rPr>
        <w:t>4</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给排水系统</w:t>
      </w:r>
      <w:bookmarkEnd w:id="299"/>
      <w:bookmarkEnd w:id="300"/>
      <w:bookmarkEnd w:id="301"/>
    </w:p>
    <w:p w14:paraId="078D9B25">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生产给水系统</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采场及运输道路的除尘用水由洒水车喷洒。</w:t>
      </w:r>
      <w:r>
        <w:rPr>
          <w:rFonts w:hint="eastAsia" w:ascii="仿宋_GB2312" w:eastAsia="仿宋_GB2312" w:cs="仿宋_GB2312"/>
          <w:color w:val="auto"/>
          <w:sz w:val="28"/>
          <w:szCs w:val="28"/>
          <w:lang w:val="en-US" w:eastAsia="zh-CN"/>
        </w:rPr>
        <w:t>车辆冲洗</w:t>
      </w:r>
      <w:r>
        <w:rPr>
          <w:rFonts w:hint="eastAsia" w:ascii="仿宋_GB2312" w:eastAsia="仿宋_GB2312" w:cs="仿宋_GB2312"/>
          <w:color w:val="auto"/>
          <w:sz w:val="28"/>
          <w:szCs w:val="28"/>
        </w:rPr>
        <w:t>用水由蓄水</w:t>
      </w:r>
      <w:r>
        <w:rPr>
          <w:rFonts w:hint="eastAsia" w:ascii="仿宋_GB2312" w:eastAsia="仿宋_GB2312" w:cs="仿宋_GB2312"/>
          <w:color w:val="auto"/>
          <w:sz w:val="28"/>
          <w:szCs w:val="28"/>
          <w:lang w:val="en-US" w:eastAsia="zh-CN"/>
        </w:rPr>
        <w:t>池</w:t>
      </w:r>
      <w:r>
        <w:rPr>
          <w:rFonts w:hint="eastAsia" w:ascii="仿宋_GB2312" w:eastAsia="仿宋_GB2312" w:cs="仿宋_GB2312"/>
          <w:color w:val="auto"/>
          <w:sz w:val="28"/>
          <w:szCs w:val="28"/>
        </w:rPr>
        <w:t>直接供给。</w:t>
      </w:r>
    </w:p>
    <w:p w14:paraId="6C843745">
      <w:pPr>
        <w:adjustRightInd w:val="0"/>
        <w:snapToGrid w:val="0"/>
        <w:spacing w:line="360" w:lineRule="auto"/>
        <w:ind w:firstLine="56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生活给水：</w:t>
      </w:r>
      <w:r>
        <w:rPr>
          <w:rFonts w:hint="eastAsia" w:ascii="仿宋_GB2312" w:eastAsia="仿宋_GB2312" w:cs="仿宋_GB2312"/>
          <w:color w:val="auto"/>
          <w:sz w:val="28"/>
          <w:szCs w:val="28"/>
        </w:rPr>
        <w:t>架设供水设施，从</w:t>
      </w:r>
      <w:r>
        <w:rPr>
          <w:rFonts w:hint="eastAsia" w:ascii="仿宋_GB2312" w:eastAsia="仿宋_GB2312" w:cs="仿宋_GB2312"/>
          <w:color w:val="auto"/>
          <w:sz w:val="28"/>
          <w:szCs w:val="28"/>
          <w:lang w:val="en-US" w:eastAsia="zh-CN"/>
        </w:rPr>
        <w:t>卓筒井镇</w:t>
      </w:r>
      <w:r>
        <w:rPr>
          <w:rFonts w:hint="eastAsia" w:ascii="仿宋_GB2312" w:eastAsia="仿宋_GB2312" w:cs="仿宋_GB2312"/>
          <w:color w:val="auto"/>
          <w:sz w:val="28"/>
          <w:szCs w:val="28"/>
        </w:rPr>
        <w:t>引入。</w:t>
      </w:r>
    </w:p>
    <w:p w14:paraId="0511AB17">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生活排水</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生活排水经至沉淀池处理后用于道路洒水或绿化浇水。粪便污水经化粪池处理，达标后用于道路洒水或绿化浇水。</w:t>
      </w:r>
    </w:p>
    <w:p w14:paraId="271A6C00">
      <w:pPr>
        <w:adjustRightInd w:val="0"/>
        <w:snapToGrid w:val="0"/>
        <w:spacing w:line="360" w:lineRule="auto"/>
        <w:ind w:firstLine="560"/>
        <w:rPr>
          <w:rFonts w:hint="eastAsia" w:ascii="仿宋_GB2312" w:eastAsia="仿宋_GB2312" w:cs="仿宋_GB2312"/>
          <w:color w:val="auto"/>
          <w:sz w:val="28"/>
          <w:szCs w:val="28"/>
        </w:rPr>
      </w:pPr>
      <w:r>
        <w:rPr>
          <w:rFonts w:hint="eastAsia" w:ascii="仿宋_GB2312" w:eastAsia="仿宋_GB2312" w:cs="仿宋_GB2312"/>
          <w:color w:val="auto"/>
          <w:sz w:val="28"/>
          <w:szCs w:val="28"/>
        </w:rPr>
        <w:t>其它排水</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除尘喷水随矿石带走、蒸发，无外排水。车辆冲洗水排至沉淀池处理后用于道路洒水或绿化浇水。</w:t>
      </w:r>
    </w:p>
    <w:bookmarkEnd w:id="291"/>
    <w:bookmarkEnd w:id="292"/>
    <w:p w14:paraId="6E735828">
      <w:pPr>
        <w:rPr>
          <w:rFonts w:hint="eastAsia" w:ascii="仿宋_GB2312" w:eastAsia="仿宋_GB2312" w:cs="仿宋_GB2312"/>
          <w:color w:val="auto"/>
        </w:rPr>
      </w:pPr>
      <w:bookmarkStart w:id="302" w:name="_Toc138060325"/>
      <w:r>
        <w:rPr>
          <w:rFonts w:hint="eastAsia" w:ascii="仿宋_GB2312" w:eastAsia="仿宋_GB2312" w:cs="仿宋_GB2312"/>
          <w:color w:val="auto"/>
        </w:rPr>
        <w:br w:type="page"/>
      </w:r>
      <w:bookmarkEnd w:id="302"/>
      <w:bookmarkStart w:id="303" w:name="_Toc118015190"/>
      <w:bookmarkStart w:id="304" w:name="_Toc138060376"/>
    </w:p>
    <w:bookmarkEnd w:id="303"/>
    <w:bookmarkEnd w:id="304"/>
    <w:p w14:paraId="78BB0912">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rPr>
      </w:pPr>
      <w:bookmarkStart w:id="305" w:name="_Toc24740"/>
      <w:bookmarkStart w:id="306" w:name="_Toc138060380"/>
      <w:bookmarkStart w:id="307" w:name="_Toc509"/>
      <w:bookmarkStart w:id="308" w:name="_Toc31450"/>
      <w:r>
        <w:rPr>
          <w:rFonts w:hint="eastAsia" w:ascii="仿宋_GB2312" w:eastAsia="仿宋_GB2312" w:cs="仿宋_GB2312"/>
          <w:color w:val="auto"/>
          <w:sz w:val="36"/>
          <w:szCs w:val="36"/>
        </w:rPr>
        <w:t>环境保护</w:t>
      </w:r>
      <w:bookmarkEnd w:id="305"/>
      <w:bookmarkEnd w:id="306"/>
      <w:bookmarkEnd w:id="307"/>
      <w:bookmarkEnd w:id="308"/>
    </w:p>
    <w:p w14:paraId="0F853B7D">
      <w:pPr>
        <w:pStyle w:val="4"/>
        <w:adjustRightInd w:val="0"/>
        <w:snapToGrid w:val="0"/>
        <w:spacing w:before="0"/>
        <w:rPr>
          <w:rFonts w:hint="eastAsia" w:ascii="仿宋_GB2312" w:eastAsia="仿宋_GB2312" w:cs="仿宋_GB2312"/>
          <w:b/>
          <w:bCs w:val="0"/>
          <w:color w:val="auto"/>
          <w:sz w:val="28"/>
          <w:szCs w:val="28"/>
        </w:rPr>
      </w:pPr>
      <w:bookmarkStart w:id="309" w:name="_Toc31177"/>
      <w:bookmarkStart w:id="310" w:name="_Toc30015"/>
      <w:bookmarkStart w:id="311" w:name="_Toc14501"/>
      <w:bookmarkStart w:id="312" w:name="_Toc138060381"/>
      <w:r>
        <w:rPr>
          <w:rFonts w:hint="eastAsia" w:ascii="仿宋_GB2312" w:eastAsia="仿宋_GB2312" w:cs="仿宋_GB2312"/>
          <w:b/>
          <w:bCs w:val="0"/>
          <w:color w:val="auto"/>
          <w:sz w:val="28"/>
          <w:szCs w:val="28"/>
          <w:lang w:val="en-US" w:eastAsia="zh-CN"/>
        </w:rPr>
        <w:t>8</w:t>
      </w:r>
      <w:r>
        <w:rPr>
          <w:rFonts w:hint="eastAsia" w:ascii="仿宋_GB2312" w:eastAsia="仿宋_GB2312" w:cs="仿宋_GB2312"/>
          <w:b/>
          <w:bCs w:val="0"/>
          <w:color w:val="auto"/>
          <w:sz w:val="28"/>
          <w:szCs w:val="28"/>
        </w:rPr>
        <w:t>.1</w:t>
      </w:r>
      <w:bookmarkStart w:id="313" w:name="_Toc520717697"/>
      <w:bookmarkStart w:id="314" w:name="_Toc81228127"/>
      <w:r>
        <w:rPr>
          <w:rFonts w:hint="eastAsia" w:ascii="仿宋_GB2312" w:eastAsia="仿宋_GB2312" w:cs="仿宋_GB2312"/>
          <w:b/>
          <w:bCs w:val="0"/>
          <w:color w:val="auto"/>
          <w:sz w:val="28"/>
          <w:szCs w:val="28"/>
        </w:rPr>
        <w:t>设计依据及采用的标准</w:t>
      </w:r>
      <w:bookmarkEnd w:id="309"/>
      <w:bookmarkEnd w:id="310"/>
      <w:bookmarkEnd w:id="311"/>
      <w:bookmarkEnd w:id="312"/>
      <w:bookmarkEnd w:id="313"/>
      <w:bookmarkEnd w:id="314"/>
    </w:p>
    <w:p w14:paraId="33654C6D">
      <w:pPr>
        <w:pStyle w:val="131"/>
        <w:tabs>
          <w:tab w:val="left" w:pos="420"/>
        </w:tabs>
        <w:adjustRightInd w:val="0"/>
        <w:snapToGrid w:val="0"/>
        <w:spacing w:line="360" w:lineRule="auto"/>
        <w:rPr>
          <w:rFonts w:hint="eastAsia" w:ascii="仿宋_GB2312" w:eastAsia="仿宋_GB2312" w:cs="仿宋_GB2312"/>
          <w:color w:val="auto"/>
          <w:sz w:val="28"/>
          <w:szCs w:val="28"/>
        </w:rPr>
      </w:pPr>
      <w:bookmarkStart w:id="315" w:name="_Toc520717698"/>
      <w:r>
        <w:rPr>
          <w:rFonts w:hint="eastAsia" w:ascii="仿宋_GB2312" w:eastAsia="仿宋_GB2312" w:cs="仿宋_GB2312"/>
          <w:color w:val="auto"/>
          <w:sz w:val="28"/>
          <w:szCs w:val="28"/>
        </w:rPr>
        <w:t>1、《中华人民共和国环境保护法》</w:t>
      </w:r>
      <w:r>
        <w:rPr>
          <w:rFonts w:hint="eastAsia" w:ascii="仿宋_GB2312" w:eastAsia="仿宋_GB2312" w:cs="仿宋_GB2312"/>
          <w:bCs/>
          <w:color w:val="auto"/>
          <w:sz w:val="28"/>
          <w:szCs w:val="28"/>
        </w:rPr>
        <w:t>（1989年12月26日第七届全国人民代表大会常务委员会第十一次会议通过，2014年4月24日第十二届全国人民代表大会常务委员会第八次会议修订，2015年1月日施行）</w:t>
      </w:r>
      <w:r>
        <w:rPr>
          <w:rFonts w:hint="eastAsia" w:ascii="仿宋_GB2312" w:eastAsia="仿宋_GB2312" w:cs="仿宋_GB2312"/>
          <w:color w:val="auto"/>
          <w:sz w:val="28"/>
          <w:szCs w:val="28"/>
        </w:rPr>
        <w:t>；</w:t>
      </w:r>
    </w:p>
    <w:p w14:paraId="66EF78FC">
      <w:pPr>
        <w:pStyle w:val="79"/>
        <w:adjustRightInd w:val="0"/>
        <w:snapToGrid w:val="0"/>
        <w:spacing w:line="360" w:lineRule="auto"/>
        <w:rPr>
          <w:rFonts w:hint="eastAsia" w:ascii="仿宋_GB2312" w:eastAsia="仿宋_GB2312" w:cs="仿宋_GB2312"/>
          <w:color w:val="auto"/>
          <w:sz w:val="28"/>
          <w:szCs w:val="28"/>
        </w:rPr>
      </w:pPr>
      <w:r>
        <w:rPr>
          <w:rFonts w:hint="eastAsia" w:ascii="仿宋_GB2312" w:eastAsia="仿宋_GB2312" w:cs="仿宋_GB2312"/>
          <w:color w:val="auto"/>
          <w:sz w:val="28"/>
          <w:szCs w:val="28"/>
        </w:rPr>
        <w:t>2、《中华人民共和国水土保持法》（中华人民共和国主席令[2011]第39号，2011年3月1日施行）；</w:t>
      </w:r>
    </w:p>
    <w:p w14:paraId="44768284">
      <w:pPr>
        <w:pStyle w:val="79"/>
        <w:adjustRightInd w:val="0"/>
        <w:snapToGrid w:val="0"/>
        <w:spacing w:line="360" w:lineRule="auto"/>
        <w:rPr>
          <w:rFonts w:hint="eastAsia" w:ascii="仿宋_GB2312" w:eastAsia="仿宋_GB2312" w:cs="仿宋_GB2312"/>
          <w:color w:val="auto"/>
          <w:kern w:val="28"/>
          <w:sz w:val="28"/>
          <w:szCs w:val="28"/>
          <w:lang w:eastAsia="zh-CN"/>
        </w:rPr>
      </w:pPr>
      <w:r>
        <w:rPr>
          <w:rFonts w:hint="eastAsia" w:ascii="仿宋_GB2312" w:eastAsia="仿宋_GB2312" w:cs="仿宋_GB2312"/>
          <w:color w:val="auto"/>
          <w:sz w:val="28"/>
          <w:szCs w:val="28"/>
        </w:rPr>
        <w:t>3、</w:t>
      </w:r>
      <w:r>
        <w:rPr>
          <w:rFonts w:hint="eastAsia" w:ascii="仿宋_GB2312" w:eastAsia="仿宋_GB2312" w:cs="仿宋_GB2312"/>
          <w:color w:val="auto"/>
          <w:kern w:val="28"/>
          <w:sz w:val="28"/>
          <w:szCs w:val="28"/>
        </w:rPr>
        <w:t>《建设项目环境保护管理条例》</w:t>
      </w:r>
      <w:r>
        <w:rPr>
          <w:rFonts w:hint="eastAsia" w:ascii="仿宋_GB2312" w:eastAsia="仿宋_GB2312" w:cs="仿宋_GB2312"/>
          <w:bCs/>
          <w:color w:val="auto"/>
          <w:sz w:val="28"/>
          <w:szCs w:val="28"/>
        </w:rPr>
        <w:t>（国务院令第253号发布，2017年7月16日修订，2017年10月1日起施行</w:t>
      </w:r>
      <w:r>
        <w:rPr>
          <w:rFonts w:hint="eastAsia" w:ascii="仿宋_GB2312" w:eastAsia="仿宋_GB2312" w:cs="仿宋_GB2312"/>
          <w:color w:val="auto"/>
          <w:sz w:val="28"/>
          <w:szCs w:val="28"/>
        </w:rPr>
        <w:t>）；</w:t>
      </w:r>
    </w:p>
    <w:p w14:paraId="555CD6E0">
      <w:pPr>
        <w:pStyle w:val="79"/>
        <w:adjustRightInd w:val="0"/>
        <w:snapToGrid w:val="0"/>
        <w:spacing w:line="360" w:lineRule="auto"/>
        <w:rPr>
          <w:rFonts w:hint="eastAsia" w:ascii="仿宋_GB2312" w:eastAsia="仿宋_GB2312" w:cs="仿宋_GB2312"/>
          <w:color w:val="auto"/>
          <w:kern w:val="28"/>
          <w:sz w:val="28"/>
          <w:szCs w:val="28"/>
        </w:rPr>
      </w:pPr>
      <w:r>
        <w:rPr>
          <w:rFonts w:hint="eastAsia" w:ascii="仿宋_GB2312" w:eastAsia="仿宋_GB2312" w:cs="仿宋_GB2312"/>
          <w:color w:val="auto"/>
          <w:kern w:val="28"/>
          <w:sz w:val="28"/>
          <w:szCs w:val="28"/>
        </w:rPr>
        <w:t>4、《土地复垦条例》（国务院令[2011]第592号，2011年2月22日起施行）；</w:t>
      </w:r>
    </w:p>
    <w:p w14:paraId="72109E68">
      <w:pPr>
        <w:pStyle w:val="79"/>
        <w:adjustRightInd w:val="0"/>
        <w:snapToGrid w:val="0"/>
        <w:spacing w:line="360" w:lineRule="auto"/>
        <w:rPr>
          <w:rFonts w:hint="eastAsia" w:ascii="仿宋_GB2312" w:eastAsia="仿宋_GB2312" w:cs="仿宋_GB2312"/>
          <w:color w:val="auto"/>
          <w:kern w:val="28"/>
          <w:sz w:val="28"/>
          <w:szCs w:val="28"/>
        </w:rPr>
      </w:pPr>
      <w:r>
        <w:rPr>
          <w:rFonts w:hint="eastAsia" w:ascii="仿宋_GB2312" w:eastAsia="仿宋_GB2312" w:cs="仿宋_GB2312"/>
          <w:color w:val="auto"/>
          <w:kern w:val="28"/>
          <w:sz w:val="28"/>
          <w:szCs w:val="28"/>
          <w:lang w:val="en-US" w:eastAsia="zh-CN"/>
        </w:rPr>
        <w:t>5</w:t>
      </w:r>
      <w:r>
        <w:rPr>
          <w:rFonts w:hint="eastAsia" w:ascii="仿宋_GB2312" w:eastAsia="仿宋_GB2312" w:cs="仿宋_GB2312"/>
          <w:color w:val="auto"/>
          <w:kern w:val="28"/>
          <w:sz w:val="28"/>
          <w:szCs w:val="28"/>
        </w:rPr>
        <w:t>、《工业企业厂界环境噪声排放标准》（GB12348-2008）；</w:t>
      </w:r>
    </w:p>
    <w:p w14:paraId="7731EE9A">
      <w:pPr>
        <w:pStyle w:val="79"/>
        <w:adjustRightInd w:val="0"/>
        <w:snapToGrid w:val="0"/>
        <w:spacing w:line="360" w:lineRule="auto"/>
        <w:rPr>
          <w:rFonts w:hint="eastAsia" w:ascii="仿宋_GB2312" w:eastAsia="仿宋_GB2312" w:cs="仿宋_GB2312"/>
          <w:color w:val="auto"/>
          <w:kern w:val="28"/>
          <w:sz w:val="28"/>
          <w:szCs w:val="28"/>
        </w:rPr>
      </w:pPr>
      <w:r>
        <w:rPr>
          <w:rFonts w:hint="eastAsia" w:ascii="仿宋_GB2312" w:eastAsia="仿宋_GB2312" w:cs="仿宋_GB2312"/>
          <w:color w:val="auto"/>
          <w:kern w:val="28"/>
          <w:sz w:val="28"/>
          <w:szCs w:val="28"/>
          <w:lang w:val="en-US" w:eastAsia="zh-CN"/>
        </w:rPr>
        <w:t>6</w:t>
      </w:r>
      <w:r>
        <w:rPr>
          <w:rFonts w:hint="eastAsia" w:ascii="仿宋_GB2312" w:eastAsia="仿宋_GB2312" w:cs="仿宋_GB2312"/>
          <w:color w:val="auto"/>
          <w:kern w:val="28"/>
          <w:sz w:val="28"/>
          <w:szCs w:val="28"/>
        </w:rPr>
        <w:t>、《一般工业固体废物贮存、处置场污染控制标准》（GB18599-2020，环境保护部公告2013年第36号文修改）。</w:t>
      </w:r>
    </w:p>
    <w:bookmarkEnd w:id="315"/>
    <w:p w14:paraId="6E853EDB">
      <w:pPr>
        <w:pStyle w:val="4"/>
        <w:adjustRightInd w:val="0"/>
        <w:snapToGrid w:val="0"/>
        <w:spacing w:before="0"/>
        <w:rPr>
          <w:rFonts w:hint="eastAsia" w:ascii="仿宋_GB2312" w:eastAsia="仿宋_GB2312" w:cs="仿宋_GB2312"/>
          <w:b/>
          <w:bCs w:val="0"/>
          <w:color w:val="auto"/>
          <w:sz w:val="28"/>
          <w:szCs w:val="28"/>
        </w:rPr>
      </w:pPr>
      <w:bookmarkStart w:id="316" w:name="_Toc476062862"/>
      <w:bookmarkStart w:id="317" w:name="_Toc475003592"/>
      <w:bookmarkStart w:id="318" w:name="_Toc464035384"/>
      <w:bookmarkStart w:id="319" w:name="_Toc4417"/>
      <w:bookmarkStart w:id="320" w:name="_Toc29833"/>
      <w:bookmarkStart w:id="321" w:name="_Toc81228128"/>
      <w:bookmarkStart w:id="322" w:name="_Toc138060382"/>
      <w:bookmarkStart w:id="323" w:name="_Toc21225"/>
      <w:bookmarkStart w:id="324" w:name="_Toc520717699"/>
      <w:r>
        <w:rPr>
          <w:rFonts w:hint="eastAsia" w:ascii="仿宋_GB2312" w:eastAsia="仿宋_GB2312" w:cs="仿宋_GB2312"/>
          <w:b/>
          <w:bCs w:val="0"/>
          <w:color w:val="auto"/>
          <w:sz w:val="28"/>
          <w:szCs w:val="28"/>
          <w:lang w:val="en-US" w:eastAsia="zh-CN"/>
        </w:rPr>
        <w:t>8</w:t>
      </w:r>
      <w:r>
        <w:rPr>
          <w:rFonts w:hint="eastAsia" w:ascii="仿宋_GB2312" w:eastAsia="仿宋_GB2312" w:cs="仿宋_GB2312"/>
          <w:b/>
          <w:bCs w:val="0"/>
          <w:color w:val="auto"/>
          <w:sz w:val="28"/>
          <w:szCs w:val="28"/>
        </w:rPr>
        <w:t>.2建设项目所在地区的环境</w:t>
      </w:r>
      <w:bookmarkEnd w:id="316"/>
      <w:bookmarkEnd w:id="317"/>
      <w:bookmarkEnd w:id="318"/>
      <w:r>
        <w:rPr>
          <w:rFonts w:hint="eastAsia" w:ascii="仿宋_GB2312" w:eastAsia="仿宋_GB2312" w:cs="仿宋_GB2312"/>
          <w:b/>
          <w:bCs w:val="0"/>
          <w:color w:val="auto"/>
          <w:sz w:val="28"/>
          <w:szCs w:val="28"/>
        </w:rPr>
        <w:t>现状</w:t>
      </w:r>
      <w:bookmarkEnd w:id="319"/>
      <w:bookmarkEnd w:id="320"/>
      <w:bookmarkEnd w:id="321"/>
      <w:bookmarkEnd w:id="322"/>
      <w:bookmarkEnd w:id="323"/>
    </w:p>
    <w:p w14:paraId="779FE636">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矿区属川中亚热带温暖湿润气候区，季风气候显著。气候湿和，雨量充沛，四季分明，冬暖，春旱，夏热，秋凉，无霜期长。降雨极不均匀，降水年际差异也十分突出，最多年1371.4mm，最少年602.2mm，年际之差769mm以上。</w:t>
      </w:r>
    </w:p>
    <w:p w14:paraId="3F5FF8B8">
      <w:pPr>
        <w:adjustRightInd w:val="0"/>
        <w:snapToGrid w:val="0"/>
        <w:spacing w:line="360" w:lineRule="auto"/>
        <w:ind w:firstLine="560" w:firstLineChars="200"/>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根据《中国地震动参数区划图》（GB18306-2015）：大英县卓筒井镇峰值加速度0.05g，</w:t>
      </w:r>
      <w:r>
        <w:rPr>
          <w:rFonts w:hint="eastAsia" w:ascii="仿宋_GB2312" w:eastAsia="仿宋_GB2312" w:cs="仿宋_GB2312"/>
          <w:color w:val="auto"/>
          <w:sz w:val="28"/>
          <w:szCs w:val="28"/>
        </w:rPr>
        <w:t>反应谱特征周期0.</w:t>
      </w:r>
      <w:r>
        <w:rPr>
          <w:rFonts w:hint="eastAsia" w:ascii="仿宋_GB2312" w:eastAsia="仿宋_GB2312" w:cs="仿宋_GB2312"/>
          <w:color w:val="auto"/>
          <w:sz w:val="28"/>
          <w:szCs w:val="28"/>
          <w:lang w:val="en-US" w:eastAsia="zh-CN"/>
        </w:rPr>
        <w:t>3</w:t>
      </w:r>
      <w:r>
        <w:rPr>
          <w:rFonts w:hint="eastAsia" w:ascii="仿宋_GB2312" w:eastAsia="仿宋_GB2312" w:cs="仿宋_GB2312"/>
          <w:color w:val="auto"/>
          <w:sz w:val="28"/>
          <w:szCs w:val="28"/>
        </w:rPr>
        <w:t>5s，</w:t>
      </w:r>
      <w:r>
        <w:rPr>
          <w:rFonts w:hint="eastAsia" w:ascii="仿宋_GB2312" w:eastAsia="仿宋_GB2312" w:cs="仿宋_GB2312"/>
          <w:color w:val="auto"/>
          <w:sz w:val="28"/>
          <w:szCs w:val="28"/>
          <w:lang w:val="en-US" w:eastAsia="zh-CN"/>
        </w:rPr>
        <w:t>对应《建筑抗震设计标准(2024年版)》（GB50011-2010）表3.2.2，抗震设防烈度为6度。</w:t>
      </w:r>
    </w:p>
    <w:bookmarkEnd w:id="324"/>
    <w:p w14:paraId="5A6B2B32">
      <w:pPr>
        <w:pStyle w:val="4"/>
        <w:adjustRightInd w:val="0"/>
        <w:snapToGrid w:val="0"/>
        <w:spacing w:before="0"/>
        <w:rPr>
          <w:rFonts w:hint="eastAsia" w:ascii="仿宋_GB2312" w:eastAsia="仿宋_GB2312" w:cs="仿宋_GB2312"/>
          <w:b/>
          <w:bCs w:val="0"/>
          <w:color w:val="auto"/>
          <w:sz w:val="28"/>
          <w:szCs w:val="28"/>
        </w:rPr>
      </w:pPr>
      <w:bookmarkStart w:id="325" w:name="_Toc138060384"/>
      <w:bookmarkStart w:id="326" w:name="_Toc2172"/>
      <w:bookmarkStart w:id="327" w:name="_Toc30811"/>
      <w:bookmarkStart w:id="328" w:name="_Toc7795"/>
      <w:r>
        <w:rPr>
          <w:rFonts w:hint="eastAsia" w:ascii="仿宋_GB2312" w:eastAsia="仿宋_GB2312" w:cs="仿宋_GB2312"/>
          <w:b/>
          <w:bCs w:val="0"/>
          <w:color w:val="auto"/>
          <w:sz w:val="28"/>
          <w:szCs w:val="28"/>
          <w:lang w:val="en-US" w:eastAsia="zh-CN"/>
        </w:rPr>
        <w:t>8</w:t>
      </w:r>
      <w:r>
        <w:rPr>
          <w:rFonts w:hint="eastAsia" w:ascii="仿宋_GB2312" w:eastAsia="仿宋_GB2312" w:cs="仿宋_GB2312"/>
          <w:b/>
          <w:bCs w:val="0"/>
          <w:color w:val="auto"/>
          <w:sz w:val="28"/>
          <w:szCs w:val="28"/>
        </w:rPr>
        <w:t>.</w:t>
      </w:r>
      <w:r>
        <w:rPr>
          <w:rFonts w:hint="eastAsia" w:ascii="仿宋_GB2312" w:eastAsia="仿宋_GB2312" w:cs="仿宋_GB2312"/>
          <w:b/>
          <w:bCs w:val="0"/>
          <w:color w:val="auto"/>
          <w:sz w:val="28"/>
          <w:szCs w:val="28"/>
          <w:lang w:val="en-US" w:eastAsia="zh-CN"/>
        </w:rPr>
        <w:t>3</w:t>
      </w:r>
      <w:r>
        <w:rPr>
          <w:rFonts w:hint="eastAsia" w:ascii="仿宋_GB2312" w:eastAsia="仿宋_GB2312" w:cs="仿宋_GB2312"/>
          <w:b/>
          <w:bCs w:val="0"/>
          <w:color w:val="auto"/>
          <w:sz w:val="28"/>
          <w:szCs w:val="28"/>
        </w:rPr>
        <w:t>项目主要污染源、污染物及其防治措施</w:t>
      </w:r>
      <w:bookmarkEnd w:id="325"/>
      <w:bookmarkEnd w:id="326"/>
      <w:bookmarkEnd w:id="327"/>
      <w:bookmarkEnd w:id="328"/>
    </w:p>
    <w:p w14:paraId="6056B0A4">
      <w:pPr>
        <w:pStyle w:val="5"/>
        <w:adjustRightInd w:val="0"/>
        <w:snapToGrid w:val="0"/>
        <w:spacing w:before="0" w:line="360" w:lineRule="auto"/>
        <w:rPr>
          <w:rFonts w:hint="eastAsia" w:ascii="仿宋_GB2312" w:eastAsia="仿宋_GB2312" w:cs="仿宋_GB2312"/>
          <w:b/>
          <w:bCs w:val="0"/>
          <w:color w:val="auto"/>
          <w:sz w:val="28"/>
          <w:szCs w:val="28"/>
        </w:rPr>
      </w:pPr>
      <w:bookmarkStart w:id="329" w:name="_Toc15256"/>
      <w:bookmarkStart w:id="330" w:name="_Toc148958074"/>
      <w:r>
        <w:rPr>
          <w:rFonts w:hint="eastAsia" w:ascii="仿宋_GB2312" w:eastAsia="仿宋_GB2312" w:cs="仿宋_GB2312"/>
          <w:b/>
          <w:bCs w:val="0"/>
          <w:color w:val="auto"/>
          <w:sz w:val="28"/>
          <w:szCs w:val="28"/>
          <w:lang w:val="en-US" w:eastAsia="zh-CN"/>
        </w:rPr>
        <w:t>8</w:t>
      </w:r>
      <w:r>
        <w:rPr>
          <w:rFonts w:hint="eastAsia" w:ascii="仿宋_GB2312" w:eastAsia="仿宋_GB2312" w:cs="仿宋_GB2312"/>
          <w:b/>
          <w:bCs w:val="0"/>
          <w:color w:val="auto"/>
          <w:sz w:val="28"/>
          <w:szCs w:val="28"/>
        </w:rPr>
        <w:t>.</w:t>
      </w:r>
      <w:r>
        <w:rPr>
          <w:rFonts w:hint="eastAsia" w:ascii="仿宋_GB2312" w:eastAsia="仿宋_GB2312" w:cs="仿宋_GB2312"/>
          <w:b/>
          <w:bCs w:val="0"/>
          <w:color w:val="auto"/>
          <w:sz w:val="28"/>
          <w:szCs w:val="28"/>
          <w:lang w:val="en-US" w:eastAsia="zh-CN"/>
        </w:rPr>
        <w:t>3</w:t>
      </w:r>
      <w:r>
        <w:rPr>
          <w:rFonts w:hint="eastAsia" w:ascii="仿宋_GB2312" w:eastAsia="仿宋_GB2312" w:cs="仿宋_GB2312"/>
          <w:b/>
          <w:bCs w:val="0"/>
          <w:color w:val="auto"/>
          <w:sz w:val="28"/>
          <w:szCs w:val="28"/>
        </w:rPr>
        <w:t>.1项目主要污染源和污染物</w:t>
      </w:r>
      <w:bookmarkEnd w:id="329"/>
      <w:bookmarkEnd w:id="330"/>
    </w:p>
    <w:p w14:paraId="13FA2E80">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矿山生产工艺过程：（机械破碎→）采装→运输。</w:t>
      </w:r>
    </w:p>
    <w:p w14:paraId="5DF5F845">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主要污染源包括：采装、运输等过程中产生的粉尘、废水、噪声、废气等。</w:t>
      </w:r>
    </w:p>
    <w:p w14:paraId="5AB0740D">
      <w:pPr>
        <w:pStyle w:val="5"/>
        <w:adjustRightInd w:val="0"/>
        <w:snapToGrid w:val="0"/>
        <w:spacing w:before="0" w:line="360" w:lineRule="auto"/>
        <w:rPr>
          <w:rFonts w:hint="eastAsia" w:ascii="仿宋_GB2312" w:eastAsia="仿宋_GB2312" w:cs="仿宋_GB2312"/>
          <w:b/>
          <w:bCs w:val="0"/>
          <w:color w:val="auto"/>
          <w:sz w:val="28"/>
          <w:szCs w:val="28"/>
        </w:rPr>
      </w:pPr>
      <w:bookmarkStart w:id="331" w:name="_Toc19058"/>
      <w:bookmarkStart w:id="332" w:name="_Toc148958075"/>
      <w:r>
        <w:rPr>
          <w:rFonts w:hint="eastAsia" w:ascii="仿宋_GB2312" w:eastAsia="仿宋_GB2312" w:cs="仿宋_GB2312"/>
          <w:b/>
          <w:bCs w:val="0"/>
          <w:color w:val="auto"/>
          <w:sz w:val="28"/>
          <w:szCs w:val="28"/>
          <w:lang w:val="en-US" w:eastAsia="zh-CN"/>
        </w:rPr>
        <w:t>8</w:t>
      </w:r>
      <w:r>
        <w:rPr>
          <w:rFonts w:hint="eastAsia" w:ascii="仿宋_GB2312" w:eastAsia="仿宋_GB2312" w:cs="仿宋_GB2312"/>
          <w:b/>
          <w:bCs w:val="0"/>
          <w:color w:val="auto"/>
          <w:sz w:val="28"/>
          <w:szCs w:val="28"/>
        </w:rPr>
        <w:t>.</w:t>
      </w:r>
      <w:r>
        <w:rPr>
          <w:rFonts w:hint="eastAsia" w:ascii="仿宋_GB2312" w:eastAsia="仿宋_GB2312" w:cs="仿宋_GB2312"/>
          <w:b/>
          <w:bCs w:val="0"/>
          <w:color w:val="auto"/>
          <w:sz w:val="28"/>
          <w:szCs w:val="28"/>
          <w:lang w:val="en-US" w:eastAsia="zh-CN"/>
        </w:rPr>
        <w:t>3</w:t>
      </w:r>
      <w:r>
        <w:rPr>
          <w:rFonts w:hint="eastAsia" w:ascii="仿宋_GB2312" w:eastAsia="仿宋_GB2312" w:cs="仿宋_GB2312"/>
          <w:b/>
          <w:bCs w:val="0"/>
          <w:color w:val="auto"/>
          <w:sz w:val="28"/>
          <w:szCs w:val="28"/>
        </w:rPr>
        <w:t>.2项目采取的污染防治措施</w:t>
      </w:r>
      <w:bookmarkEnd w:id="331"/>
      <w:bookmarkEnd w:id="332"/>
    </w:p>
    <w:p w14:paraId="0900E832">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1、生态保护措施</w:t>
      </w:r>
    </w:p>
    <w:p w14:paraId="5E3C1355">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本工程采矿为露天开采，将造成大范围土地损毁和压占。</w:t>
      </w:r>
    </w:p>
    <w:p w14:paraId="3B7403BF">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为了减少项目本身对生态环境的不利影响，设计在道路两旁等可利用处播撒草籽，并对裸露地面进行硬化处理，以减少水土流失，做好水土保持工作。另外设计在矿山服务期满后进行全面的生态修复建设，以减轻工程开发对生态环境的影响。</w:t>
      </w:r>
    </w:p>
    <w:p w14:paraId="64A1E5F8">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2、粉尘治理措施</w:t>
      </w:r>
    </w:p>
    <w:p w14:paraId="35F29D3A">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露天采场采用洒水降尘。</w:t>
      </w:r>
    </w:p>
    <w:p w14:paraId="22E14AEF">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地表倒运、运输道路扬尘采取洒水抑尘措施，减少二次扬尘产生。</w:t>
      </w:r>
    </w:p>
    <w:p w14:paraId="0B035436">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对开采作业的柴油设备配置烟气净化器，净化后的废气有害物质的浓度应符合GBZ1、GBZ2的有关规定。</w:t>
      </w:r>
    </w:p>
    <w:p w14:paraId="0EC75793">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3、废水治理措施</w:t>
      </w:r>
    </w:p>
    <w:p w14:paraId="27C31D99">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露天采场汇水经沉淀池处理达标后外排。生活污水经隔油池、化粪池等处理，进入污水处理系统，用于矿区道路洒水或绿化。</w:t>
      </w:r>
    </w:p>
    <w:p w14:paraId="5DF744B1">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4、噪声控制措施</w:t>
      </w:r>
    </w:p>
    <w:p w14:paraId="03EB0C33">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采矿生产过程中产生噪声，如采装作业、运输作业。设计中所选用的设备均为低噪声设备，如挖掘机、装载机等，满足《工业企业厂界环境噪声排放标准》的要求。</w:t>
      </w:r>
    </w:p>
    <w:p w14:paraId="413386EF">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5、固体废物处置措施</w:t>
      </w:r>
    </w:p>
    <w:p w14:paraId="7F01363C">
      <w:pPr>
        <w:pStyle w:val="79"/>
        <w:adjustRightInd w:val="0"/>
        <w:snapToGrid w:val="0"/>
        <w:spacing w:line="360" w:lineRule="auto"/>
        <w:rPr>
          <w:rFonts w:hint="eastAsia" w:ascii="仿宋_GB2312" w:eastAsia="仿宋_GB2312" w:cs="仿宋_GB2312"/>
          <w:color w:val="auto"/>
          <w:kern w:val="28"/>
          <w:sz w:val="28"/>
          <w:szCs w:val="28"/>
          <w:lang w:val="en-US" w:eastAsia="zh-CN"/>
        </w:rPr>
      </w:pPr>
      <w:r>
        <w:rPr>
          <w:rFonts w:hint="eastAsia" w:ascii="仿宋_GB2312" w:eastAsia="仿宋_GB2312" w:cs="仿宋_GB2312"/>
          <w:color w:val="auto"/>
          <w:kern w:val="28"/>
          <w:sz w:val="28"/>
          <w:szCs w:val="28"/>
          <w:lang w:val="en-US" w:eastAsia="zh-CN"/>
        </w:rPr>
        <w:t>共剥离表土2.43万立方米，可全部掺拌于矿体中综合利用。</w:t>
      </w:r>
    </w:p>
    <w:p w14:paraId="655D70FA">
      <w:pPr>
        <w:pStyle w:val="4"/>
        <w:adjustRightInd w:val="0"/>
        <w:snapToGrid w:val="0"/>
        <w:spacing w:before="0"/>
        <w:rPr>
          <w:rFonts w:hint="eastAsia" w:ascii="仿宋_GB2312" w:eastAsia="仿宋_GB2312" w:cs="仿宋_GB2312"/>
          <w:b/>
          <w:bCs w:val="0"/>
          <w:color w:val="auto"/>
          <w:sz w:val="28"/>
          <w:szCs w:val="28"/>
        </w:rPr>
      </w:pPr>
      <w:bookmarkStart w:id="333" w:name="_Toc20575"/>
      <w:bookmarkStart w:id="334" w:name="_Toc138060385"/>
      <w:bookmarkStart w:id="335" w:name="_Toc3491"/>
      <w:bookmarkStart w:id="336" w:name="_Toc17987"/>
      <w:r>
        <w:rPr>
          <w:rFonts w:hint="eastAsia" w:ascii="仿宋_GB2312" w:eastAsia="仿宋_GB2312" w:cs="仿宋_GB2312"/>
          <w:b/>
          <w:bCs w:val="0"/>
          <w:color w:val="auto"/>
          <w:sz w:val="28"/>
          <w:szCs w:val="28"/>
          <w:lang w:val="en-US" w:eastAsia="zh-CN"/>
        </w:rPr>
        <w:t>8</w:t>
      </w:r>
      <w:r>
        <w:rPr>
          <w:rFonts w:hint="eastAsia" w:ascii="仿宋_GB2312" w:eastAsia="仿宋_GB2312" w:cs="仿宋_GB2312"/>
          <w:b/>
          <w:bCs w:val="0"/>
          <w:color w:val="auto"/>
          <w:sz w:val="28"/>
          <w:szCs w:val="28"/>
        </w:rPr>
        <w:t>.</w:t>
      </w:r>
      <w:r>
        <w:rPr>
          <w:rFonts w:hint="eastAsia" w:ascii="仿宋_GB2312" w:eastAsia="仿宋_GB2312" w:cs="仿宋_GB2312"/>
          <w:b/>
          <w:bCs w:val="0"/>
          <w:color w:val="auto"/>
          <w:sz w:val="28"/>
          <w:szCs w:val="28"/>
          <w:lang w:val="en-US" w:eastAsia="zh-CN"/>
        </w:rPr>
        <w:t>4</w:t>
      </w:r>
      <w:r>
        <w:rPr>
          <w:rFonts w:hint="eastAsia" w:ascii="仿宋_GB2312" w:eastAsia="仿宋_GB2312" w:cs="仿宋_GB2312"/>
          <w:b/>
          <w:bCs w:val="0"/>
          <w:color w:val="auto"/>
          <w:sz w:val="28"/>
          <w:szCs w:val="28"/>
        </w:rPr>
        <w:t>土地复垦</w:t>
      </w:r>
      <w:bookmarkEnd w:id="333"/>
      <w:bookmarkEnd w:id="334"/>
      <w:bookmarkEnd w:id="335"/>
      <w:bookmarkEnd w:id="336"/>
    </w:p>
    <w:p w14:paraId="48D785EC">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本项目露天开采对土地造成挖损，矿山企业应严格贯彻落实《土地复垦条例》“谁损毁、谁复垦”的原则，对损毁的土地进行复垦使其恢复并达到可供利用的状态。本项目复垦单元主要为露天采场、道路等，复垦方向为林地、草地等。</w:t>
      </w:r>
    </w:p>
    <w:p w14:paraId="019A5895">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1、露天采场复垦</w:t>
      </w:r>
    </w:p>
    <w:p w14:paraId="063B86E1">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露天采场复垦区域包括露天坑底、台阶及边坡。</w:t>
      </w:r>
    </w:p>
    <w:p w14:paraId="024C525A">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考虑露天坑底不积水的状态，复垦时对坑底进行覆土、平整、植树。</w:t>
      </w:r>
    </w:p>
    <w:p w14:paraId="49A2F469">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露天采场的台阶采取台阶复垦法，即维持露天采场的终了状态，根据台阶的完整性及安全可靠性，在安全平台边缘堆筑挡土坎，平台内覆土、平整、植树。对采场边坡坡脚处种植攀藤类植物使裸露基岩能得到有效遮挡，改善矿区周围景观环境。</w:t>
      </w:r>
    </w:p>
    <w:p w14:paraId="08140B44">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覆土平整作业采用推土机结合人工作业，覆土厚度不小于30cm，覆土后穴栽适合当地生长的乔木、灌木和攀藤类植物。</w:t>
      </w:r>
    </w:p>
    <w:p w14:paraId="78A017B8">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2、矿区专用道路复垦</w:t>
      </w:r>
    </w:p>
    <w:p w14:paraId="357160C4">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矿区专用道路使用期间，应对道路两侧进行绿化。选择适应性强、防尘效果好、护坡功能强的植物种类。</w:t>
      </w:r>
    </w:p>
    <w:p w14:paraId="48F33679">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矿区专用道路使用结束后，应及时回填、平整、压实、并利用堆存的表土进行植被和景观恢复。</w:t>
      </w:r>
    </w:p>
    <w:p w14:paraId="06C99D25">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3、工业场地复垦</w:t>
      </w:r>
    </w:p>
    <w:p w14:paraId="0D07E961">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矿山工业场地不再使用的建（构）筑物和基础设施应全部拆除，并进行景观和植被恢复。</w:t>
      </w:r>
    </w:p>
    <w:p w14:paraId="5E0BCB40">
      <w:pPr>
        <w:rPr>
          <w:rFonts w:hint="eastAsia" w:ascii="仿宋_GB2312" w:eastAsia="仿宋_GB2312" w:cs="仿宋_GB2312"/>
          <w:color w:val="auto"/>
        </w:rPr>
      </w:pPr>
      <w:bookmarkStart w:id="337" w:name="_Toc118015195"/>
      <w:bookmarkStart w:id="338" w:name="_Toc138060388"/>
      <w:r>
        <w:rPr>
          <w:rFonts w:hint="eastAsia" w:ascii="仿宋_GB2312" w:eastAsia="仿宋_GB2312" w:cs="仿宋_GB2312"/>
          <w:color w:val="auto"/>
        </w:rPr>
        <w:br w:type="page"/>
      </w:r>
    </w:p>
    <w:bookmarkEnd w:id="337"/>
    <w:p w14:paraId="5B534823">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rPr>
      </w:pPr>
      <w:bookmarkStart w:id="339" w:name="_Toc18557"/>
      <w:bookmarkStart w:id="340" w:name="_Toc19791"/>
      <w:bookmarkStart w:id="341" w:name="_Toc4687"/>
      <w:r>
        <w:rPr>
          <w:rFonts w:hint="eastAsia" w:ascii="仿宋_GB2312" w:eastAsia="仿宋_GB2312" w:cs="仿宋_GB2312"/>
          <w:color w:val="auto"/>
          <w:sz w:val="36"/>
          <w:szCs w:val="36"/>
        </w:rPr>
        <w:t>安全与工业卫生</w:t>
      </w:r>
      <w:bookmarkEnd w:id="338"/>
      <w:bookmarkEnd w:id="339"/>
      <w:bookmarkEnd w:id="340"/>
      <w:bookmarkEnd w:id="341"/>
    </w:p>
    <w:p w14:paraId="79615B9E">
      <w:pPr>
        <w:pStyle w:val="4"/>
        <w:adjustRightInd w:val="0"/>
        <w:snapToGrid w:val="0"/>
        <w:spacing w:before="0"/>
        <w:rPr>
          <w:rFonts w:hint="eastAsia" w:ascii="仿宋_GB2312" w:eastAsia="仿宋_GB2312" w:cs="仿宋_GB2312"/>
          <w:b/>
          <w:bCs w:val="0"/>
          <w:color w:val="auto"/>
          <w:sz w:val="28"/>
          <w:szCs w:val="28"/>
          <w:lang w:val="zh-CN"/>
        </w:rPr>
      </w:pPr>
      <w:bookmarkStart w:id="342" w:name="_Toc138060389"/>
      <w:bookmarkStart w:id="343" w:name="_Toc20824"/>
      <w:bookmarkStart w:id="344" w:name="_Toc70324825"/>
      <w:bookmarkStart w:id="345" w:name="_Toc520717705"/>
      <w:bookmarkStart w:id="346" w:name="_Toc18599"/>
      <w:bookmarkStart w:id="347" w:name="_Toc20378"/>
      <w:r>
        <w:rPr>
          <w:rFonts w:hint="eastAsia" w:ascii="仿宋_GB2312" w:eastAsia="仿宋_GB2312" w:cs="仿宋_GB2312"/>
          <w:b/>
          <w:bCs w:val="0"/>
          <w:color w:val="auto"/>
          <w:sz w:val="28"/>
          <w:szCs w:val="28"/>
          <w:lang w:val="en-US" w:eastAsia="zh-CN"/>
        </w:rPr>
        <w:t>9</w:t>
      </w:r>
      <w:r>
        <w:rPr>
          <w:rFonts w:hint="eastAsia" w:ascii="仿宋_GB2312" w:eastAsia="仿宋_GB2312" w:cs="仿宋_GB2312"/>
          <w:b/>
          <w:bCs w:val="0"/>
          <w:color w:val="auto"/>
          <w:sz w:val="28"/>
          <w:szCs w:val="28"/>
          <w:lang w:val="zh-CN"/>
        </w:rPr>
        <w:t>.1</w:t>
      </w:r>
      <w:r>
        <w:rPr>
          <w:rFonts w:hint="eastAsia" w:ascii="仿宋_GB2312" w:eastAsia="仿宋_GB2312" w:cs="仿宋_GB2312"/>
          <w:b/>
          <w:bCs w:val="0"/>
          <w:color w:val="auto"/>
          <w:sz w:val="28"/>
          <w:szCs w:val="28"/>
        </w:rPr>
        <w:t>设计依据和采用的标准</w:t>
      </w:r>
      <w:bookmarkEnd w:id="342"/>
      <w:bookmarkEnd w:id="343"/>
      <w:bookmarkEnd w:id="344"/>
      <w:bookmarkEnd w:id="345"/>
      <w:bookmarkEnd w:id="346"/>
      <w:bookmarkEnd w:id="347"/>
    </w:p>
    <w:p w14:paraId="2412FCD1">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1、《中华人民共和国安全生产法》（中华人民共和国主席令〔2021〕第88号，2021年6月10日公布，2021年9月1日实施）；</w:t>
      </w:r>
    </w:p>
    <w:p w14:paraId="2E64E96A">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2、《中华人民共和国劳动法》（2018年12月29日第十三届全国人民代表大会常务委员会第七次会议修正）；</w:t>
      </w:r>
    </w:p>
    <w:p w14:paraId="60F7C13D">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3、《中华人民共和国职业病防治法》（根据2018年12月29日第十三届全国人民代表大会常务委员会第七次会议修正）；</w:t>
      </w:r>
    </w:p>
    <w:p w14:paraId="2F9A3A14">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4、《中华人民共和国矿山安全法（2009年修订）》（中华人民共和国主席令〔2009〕第十八号，2009年8月27日公布、施行）。</w:t>
      </w:r>
    </w:p>
    <w:p w14:paraId="6EF14A05">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5、《中华人民共和国矿山安全法实施条例》（中华人民共和国国务院授权劳动部发布，劳动部令［1996］第4号，1996年10月30日发布、施行）。</w:t>
      </w:r>
    </w:p>
    <w:p w14:paraId="1D75552E">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6、《金属非金属矿山安全规程》（GB16423-2020）。</w:t>
      </w:r>
    </w:p>
    <w:p w14:paraId="53F183C3">
      <w:pPr>
        <w:pStyle w:val="4"/>
        <w:adjustRightInd w:val="0"/>
        <w:snapToGrid w:val="0"/>
        <w:spacing w:before="0"/>
        <w:rPr>
          <w:rFonts w:hint="eastAsia" w:ascii="仿宋_GB2312" w:eastAsia="仿宋_GB2312" w:cs="仿宋_GB2312"/>
          <w:b/>
          <w:bCs w:val="0"/>
          <w:color w:val="auto"/>
          <w:sz w:val="28"/>
          <w:szCs w:val="28"/>
          <w:lang w:val="zh-CN"/>
        </w:rPr>
      </w:pPr>
      <w:bookmarkStart w:id="348" w:name="_Toc138060390"/>
      <w:bookmarkStart w:id="349" w:name="_Toc1140"/>
      <w:bookmarkStart w:id="350" w:name="_Toc60"/>
      <w:bookmarkStart w:id="351" w:name="_Toc70324826"/>
      <w:bookmarkStart w:id="352" w:name="_Toc8672"/>
      <w:r>
        <w:rPr>
          <w:rFonts w:hint="eastAsia" w:ascii="仿宋_GB2312" w:eastAsia="仿宋_GB2312" w:cs="仿宋_GB2312"/>
          <w:b/>
          <w:bCs w:val="0"/>
          <w:color w:val="auto"/>
          <w:sz w:val="28"/>
          <w:szCs w:val="28"/>
          <w:lang w:val="en-US" w:eastAsia="zh-CN"/>
        </w:rPr>
        <w:t>9</w:t>
      </w:r>
      <w:r>
        <w:rPr>
          <w:rFonts w:hint="eastAsia" w:ascii="仿宋_GB2312" w:eastAsia="仿宋_GB2312" w:cs="仿宋_GB2312"/>
          <w:b/>
          <w:bCs w:val="0"/>
          <w:color w:val="auto"/>
          <w:sz w:val="28"/>
          <w:szCs w:val="28"/>
          <w:lang w:val="zh-CN"/>
        </w:rPr>
        <w:t>.2工程概况</w:t>
      </w:r>
      <w:bookmarkEnd w:id="348"/>
      <w:bookmarkEnd w:id="349"/>
      <w:bookmarkEnd w:id="350"/>
      <w:bookmarkEnd w:id="351"/>
      <w:bookmarkEnd w:id="352"/>
    </w:p>
    <w:p w14:paraId="4CF0BC49">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开采方式：露天开采。</w:t>
      </w:r>
    </w:p>
    <w:p w14:paraId="6B5C97A4">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采矿方法：自上而下水平分台阶开采法。</w:t>
      </w:r>
    </w:p>
    <w:p w14:paraId="20BE8319">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露天开采境界参数：采场最终坡角≤44°。生产台阶高度为6m，生产时台阶坡面角为60°，终了台阶高度12m，终了台阶坡面角60°，安全平台3m，清扫平台8m。</w:t>
      </w:r>
    </w:p>
    <w:p w14:paraId="23C262BC">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矿岩开拓运输：公路开拓汽车运输。</w:t>
      </w:r>
    </w:p>
    <w:p w14:paraId="6689D919">
      <w:pPr>
        <w:pStyle w:val="4"/>
        <w:adjustRightInd w:val="0"/>
        <w:snapToGrid w:val="0"/>
        <w:spacing w:before="0"/>
        <w:rPr>
          <w:rFonts w:hint="eastAsia" w:ascii="仿宋_GB2312" w:eastAsia="仿宋_GB2312" w:cs="仿宋_GB2312"/>
          <w:b/>
          <w:bCs w:val="0"/>
          <w:color w:val="auto"/>
          <w:sz w:val="28"/>
          <w:szCs w:val="28"/>
          <w:lang w:val="zh-CN"/>
        </w:rPr>
      </w:pPr>
      <w:bookmarkStart w:id="353" w:name="_Toc71216093"/>
      <w:bookmarkStart w:id="354" w:name="_Toc57232566"/>
      <w:bookmarkStart w:id="355" w:name="_Toc508"/>
      <w:bookmarkStart w:id="356" w:name="_Toc29389"/>
      <w:bookmarkStart w:id="357" w:name="_Toc29636"/>
      <w:bookmarkStart w:id="358" w:name="_Toc520717706"/>
      <w:bookmarkStart w:id="359" w:name="_Toc70324827"/>
      <w:bookmarkStart w:id="360" w:name="_Toc138060392"/>
      <w:bookmarkStart w:id="361" w:name="_Toc18559"/>
      <w:r>
        <w:rPr>
          <w:rFonts w:hint="eastAsia" w:ascii="仿宋_GB2312" w:eastAsia="仿宋_GB2312" w:cs="仿宋_GB2312"/>
          <w:b/>
          <w:bCs w:val="0"/>
          <w:color w:val="auto"/>
          <w:sz w:val="28"/>
          <w:szCs w:val="28"/>
          <w:lang w:val="en-US" w:eastAsia="zh-CN"/>
        </w:rPr>
        <w:t>9</w:t>
      </w:r>
      <w:r>
        <w:rPr>
          <w:rFonts w:hint="eastAsia" w:ascii="仿宋_GB2312" w:eastAsia="仿宋_GB2312" w:cs="仿宋_GB2312"/>
          <w:b/>
          <w:bCs w:val="0"/>
          <w:color w:val="auto"/>
          <w:sz w:val="28"/>
          <w:szCs w:val="28"/>
          <w:lang w:val="zh-CN"/>
        </w:rPr>
        <w:t>.3</w:t>
      </w:r>
      <w:bookmarkEnd w:id="353"/>
      <w:bookmarkEnd w:id="354"/>
      <w:r>
        <w:rPr>
          <w:rFonts w:hint="eastAsia" w:ascii="仿宋_GB2312" w:eastAsia="仿宋_GB2312" w:cs="仿宋_GB2312"/>
          <w:b/>
          <w:bCs w:val="0"/>
          <w:color w:val="auto"/>
          <w:sz w:val="28"/>
          <w:szCs w:val="28"/>
          <w:lang w:val="zh-CN"/>
        </w:rPr>
        <w:t>建设项目存在的主要危险、有害因素及其防范措施</w:t>
      </w:r>
      <w:bookmarkEnd w:id="355"/>
      <w:bookmarkEnd w:id="356"/>
      <w:bookmarkEnd w:id="357"/>
    </w:p>
    <w:p w14:paraId="2F6FE81A">
      <w:pPr>
        <w:pStyle w:val="5"/>
        <w:adjustRightInd w:val="0"/>
        <w:snapToGrid w:val="0"/>
        <w:spacing w:before="0" w:line="360" w:lineRule="auto"/>
        <w:rPr>
          <w:rFonts w:hint="eastAsia" w:ascii="仿宋_GB2312" w:eastAsia="仿宋_GB2312" w:cs="仿宋_GB2312"/>
          <w:b/>
          <w:bCs w:val="0"/>
          <w:color w:val="auto"/>
          <w:sz w:val="28"/>
          <w:szCs w:val="28"/>
        </w:rPr>
      </w:pPr>
      <w:bookmarkStart w:id="362" w:name="_Toc30439"/>
      <w:bookmarkStart w:id="363" w:name="_Toc148958083"/>
      <w:r>
        <w:rPr>
          <w:rFonts w:hint="eastAsia" w:ascii="仿宋_GB2312" w:eastAsia="仿宋_GB2312" w:cs="仿宋_GB2312"/>
          <w:b/>
          <w:bCs w:val="0"/>
          <w:color w:val="auto"/>
          <w:sz w:val="28"/>
          <w:szCs w:val="28"/>
          <w:lang w:val="en-US" w:eastAsia="zh-CN"/>
        </w:rPr>
        <w:t>9</w:t>
      </w:r>
      <w:r>
        <w:rPr>
          <w:rFonts w:hint="eastAsia" w:ascii="仿宋_GB2312" w:eastAsia="仿宋_GB2312" w:cs="仿宋_GB2312"/>
          <w:b/>
          <w:bCs w:val="0"/>
          <w:color w:val="auto"/>
          <w:sz w:val="28"/>
          <w:szCs w:val="28"/>
        </w:rPr>
        <w:t>.3.</w:t>
      </w:r>
      <w:r>
        <w:rPr>
          <w:rFonts w:hint="eastAsia" w:ascii="仿宋_GB2312" w:eastAsia="仿宋_GB2312" w:cs="仿宋_GB2312"/>
          <w:b/>
          <w:bCs w:val="0"/>
          <w:color w:val="auto"/>
          <w:sz w:val="28"/>
          <w:szCs w:val="28"/>
          <w:lang w:val="en-US" w:eastAsia="zh-CN"/>
        </w:rPr>
        <w:t>1</w:t>
      </w:r>
      <w:r>
        <w:rPr>
          <w:rFonts w:hint="eastAsia" w:ascii="仿宋_GB2312" w:eastAsia="仿宋_GB2312" w:cs="仿宋_GB2312"/>
          <w:b/>
          <w:bCs w:val="0"/>
          <w:color w:val="auto"/>
          <w:sz w:val="28"/>
          <w:szCs w:val="28"/>
        </w:rPr>
        <w:t>生产过程中存在的主要危险、有害因素</w:t>
      </w:r>
      <w:bookmarkEnd w:id="362"/>
      <w:bookmarkEnd w:id="363"/>
    </w:p>
    <w:p w14:paraId="2B3D25B8">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1、崩塌、滑坡：露天开采过程中若边坡管理、边坡位移观测不到位，处理浮石操作方法不当或遇到不良地质条件时，采场边坡可能发生崩塌或滑坡。</w:t>
      </w:r>
    </w:p>
    <w:p w14:paraId="0301F2CC">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2、水灾：排水设施不能正常运行，如遇到暴雨天气，可能引起边坡失稳。</w:t>
      </w:r>
    </w:p>
    <w:p w14:paraId="29F05539">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3、火灾：矿山使用的设备使用不当可能会引发火灾事故。</w:t>
      </w:r>
    </w:p>
    <w:p w14:paraId="15BE9A66">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4、高处坠落与物体打击：在露天采场以及其它2m以上高处地点作业，作业人员安全意识不高、未按规定系安全绳或安全绳系数不符合安全系数要求、磨损、绳桩不牢固等，可能会引发高处坠落事故；搬运或传递物品操作不规范，易发生物体打击事故。</w:t>
      </w:r>
    </w:p>
    <w:p w14:paraId="11DFEF6F">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5、机械伤害：若矿山作业使用的机械设备故障、没有安全保险装置、操作及检修不当或作业人员未穿戴防护用品等，可能造成人身伤害事故。</w:t>
      </w:r>
    </w:p>
    <w:p w14:paraId="0005AC1E">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6、车辆伤害：运输道路设计若不符合要求（坡度过大、转弯半径过小、路宽不够、路面不平），运输交叉路口信号调配失误，驾驶操作人员的不安全行为以及管理等方面的缺陷，可能引发车辆伤害事故。</w:t>
      </w:r>
    </w:p>
    <w:p w14:paraId="6DFF9760">
      <w:pPr>
        <w:pStyle w:val="5"/>
        <w:adjustRightInd w:val="0"/>
        <w:snapToGrid w:val="0"/>
        <w:spacing w:before="0" w:line="360" w:lineRule="auto"/>
        <w:rPr>
          <w:rFonts w:hint="eastAsia" w:ascii="仿宋_GB2312" w:eastAsia="仿宋_GB2312" w:cs="仿宋_GB2312"/>
          <w:b/>
          <w:bCs w:val="0"/>
          <w:color w:val="auto"/>
          <w:sz w:val="28"/>
          <w:szCs w:val="28"/>
        </w:rPr>
      </w:pPr>
      <w:bookmarkStart w:id="364" w:name="_Toc148958084"/>
      <w:bookmarkStart w:id="365" w:name="_Toc18998"/>
      <w:r>
        <w:rPr>
          <w:rFonts w:hint="eastAsia" w:ascii="仿宋_GB2312" w:eastAsia="仿宋_GB2312" w:cs="仿宋_GB2312"/>
          <w:b/>
          <w:bCs w:val="0"/>
          <w:color w:val="auto"/>
          <w:sz w:val="28"/>
          <w:szCs w:val="28"/>
          <w:lang w:val="en-US" w:eastAsia="zh-CN"/>
        </w:rPr>
        <w:t>9</w:t>
      </w:r>
      <w:r>
        <w:rPr>
          <w:rFonts w:hint="eastAsia" w:ascii="仿宋_GB2312" w:eastAsia="仿宋_GB2312" w:cs="仿宋_GB2312"/>
          <w:b/>
          <w:bCs w:val="0"/>
          <w:color w:val="auto"/>
          <w:sz w:val="28"/>
          <w:szCs w:val="28"/>
        </w:rPr>
        <w:t>.3.</w:t>
      </w:r>
      <w:r>
        <w:rPr>
          <w:rFonts w:hint="eastAsia" w:ascii="仿宋_GB2312" w:eastAsia="仿宋_GB2312" w:cs="仿宋_GB2312"/>
          <w:b/>
          <w:bCs w:val="0"/>
          <w:color w:val="auto"/>
          <w:sz w:val="28"/>
          <w:szCs w:val="28"/>
          <w:lang w:val="en-US" w:eastAsia="zh-CN"/>
        </w:rPr>
        <w:t>2</w:t>
      </w:r>
      <w:r>
        <w:rPr>
          <w:rFonts w:hint="eastAsia" w:ascii="仿宋_GB2312" w:eastAsia="仿宋_GB2312" w:cs="仿宋_GB2312"/>
          <w:b/>
          <w:bCs w:val="0"/>
          <w:color w:val="auto"/>
          <w:sz w:val="28"/>
          <w:szCs w:val="28"/>
        </w:rPr>
        <w:t>主要安全防范措施</w:t>
      </w:r>
      <w:bookmarkEnd w:id="364"/>
      <w:bookmarkEnd w:id="365"/>
    </w:p>
    <w:p w14:paraId="3C8278C3">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bookmarkStart w:id="366" w:name="_Toc514413949"/>
      <w:bookmarkStart w:id="367" w:name="_Toc499121960"/>
      <w:r>
        <w:rPr>
          <w:rFonts w:hint="eastAsia" w:ascii="仿宋_GB2312" w:eastAsia="仿宋_GB2312" w:cs="仿宋_GB2312"/>
          <w:color w:val="auto"/>
          <w:sz w:val="28"/>
          <w:szCs w:val="28"/>
          <w:lang w:val="en-US" w:eastAsia="zh-CN"/>
        </w:rPr>
        <w:t>1、防露天采场崩塌、滑坡</w:t>
      </w:r>
    </w:p>
    <w:p w14:paraId="3382614E">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（1）严格按设计生产，确保边坡的稳定性；</w:t>
      </w:r>
    </w:p>
    <w:p w14:paraId="06BD066D">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（2）局部不稳定区域采取加固及护坡措施；</w:t>
      </w:r>
    </w:p>
    <w:p w14:paraId="4894931F">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（3）在生产中要做到边坡定期清扫、维护和治理，防范局部滑坡和滚石，保证矿山安全生产；</w:t>
      </w:r>
    </w:p>
    <w:p w14:paraId="47A8419F">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（4）按设计留设安全平台，以防滚石伤人；</w:t>
      </w:r>
    </w:p>
    <w:p w14:paraId="0206AEED">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（5）进行边坡变形监测，以做好滑坡预报，并采取必要的处理措施；</w:t>
      </w:r>
    </w:p>
    <w:p w14:paraId="7CB7551A">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（6）加强矿山现有露天采场边坡监测系统的管理和维护。</w:t>
      </w:r>
    </w:p>
    <w:p w14:paraId="5C0F8F55">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2、防水</w:t>
      </w:r>
    </w:p>
    <w:p w14:paraId="3EEE6F32">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（1）安全平台设置截排水沟拦截上部汇水，使其能够自流排出；</w:t>
      </w:r>
    </w:p>
    <w:p w14:paraId="519F6382">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（2）在雨季前后做好防洪工程的检查和维修工作，及时修复被冲毁的地段，清除淤积堵塞物，在雨季应有专人值班巡查，加强与气象站的联系，及时做好防排水的准备工作；</w:t>
      </w:r>
    </w:p>
    <w:p w14:paraId="1FB77761">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3、防火</w:t>
      </w:r>
    </w:p>
    <w:p w14:paraId="398A93C4">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（1）建筑物防火间距按建筑防火规范要求设计和施工；</w:t>
      </w:r>
    </w:p>
    <w:p w14:paraId="0EB0F0BF">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（2）矿山柴油设备漏油要及时修复，每台设备配备相应的灭火装置；</w:t>
      </w:r>
    </w:p>
    <w:p w14:paraId="28AD5FA8">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（3）建（构）筑物中电缆引至电气柜、盘或控制屏、台的开孔部位，电缆贯穿隔墙、楼板的孔洞应采用电缆防火封堵材料进行封堵，其防火封堵组件的耐火极限不应低于被贯穿物的耐火极限，且不应低于1小时；</w:t>
      </w:r>
    </w:p>
    <w:p w14:paraId="30897C5E">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（4）定期检查安全防火、防盗及报警设备，制定应急处理措施，定期进行安全消防演练并做好检查记录；</w:t>
      </w:r>
    </w:p>
    <w:p w14:paraId="088E1A88">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（5）新员工上岗前要进行“安全消防教育”，“特殊工种教育”的培训工作。</w:t>
      </w:r>
    </w:p>
    <w:p w14:paraId="0C68B503">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4、防高处坠落及物体打击</w:t>
      </w:r>
    </w:p>
    <w:p w14:paraId="71748BD6">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为防止露天采场发生高处坠落事故，应及时清理边坡不稳定地段，清除浮石，作业人员还应配备安全帽并系安全带。</w:t>
      </w:r>
    </w:p>
    <w:p w14:paraId="5295D495">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5、防机械伤害</w:t>
      </w:r>
    </w:p>
    <w:p w14:paraId="0D7EE11C">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（1）机械设备运动部位应设防护罩，并按规定设置安全栏杆和设置安全标志；</w:t>
      </w:r>
    </w:p>
    <w:p w14:paraId="19540573">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（2）定期对设备、连接装置、制动系统进行检查维护保养；</w:t>
      </w:r>
    </w:p>
    <w:p w14:paraId="34A966DD">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（3）制定操作规程，并对操作人员进行培训，特种作业人员要取得上岗资格方可操作，杜绝违章作业。</w:t>
      </w:r>
    </w:p>
    <w:p w14:paraId="32FDF5EE">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6、防车辆伤害</w:t>
      </w:r>
    </w:p>
    <w:p w14:paraId="38ED7B5E">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（1）道路最大坡度、最小转弯半径、路面宽度等应符合设计要求；</w:t>
      </w:r>
    </w:p>
    <w:p w14:paraId="630029B0">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（2）生产中加强管理和各类司机的安全操作规程培训，避免撞车、撞人和翻车坠落等事故；</w:t>
      </w:r>
    </w:p>
    <w:p w14:paraId="4E3D551B">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（3）受大雾、雷电、暴雨或暴雪等恶劣天气影响不能正常生产时，应停止作业；</w:t>
      </w:r>
    </w:p>
    <w:p w14:paraId="6A3FD580">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（4）加强对运输车辆安全装置检查及维护道路信号，保证车辆按信号行驶，降低车辆运行事故。</w:t>
      </w:r>
    </w:p>
    <w:p w14:paraId="3A28B7CB">
      <w:pPr>
        <w:pStyle w:val="4"/>
        <w:adjustRightInd w:val="0"/>
        <w:snapToGrid w:val="0"/>
        <w:spacing w:before="0"/>
        <w:rPr>
          <w:rFonts w:hint="eastAsia" w:ascii="仿宋_GB2312" w:eastAsia="仿宋_GB2312" w:cs="仿宋_GB2312"/>
          <w:b/>
          <w:bCs w:val="0"/>
          <w:color w:val="auto"/>
          <w:sz w:val="28"/>
          <w:szCs w:val="28"/>
          <w:lang w:val="zh-CN"/>
        </w:rPr>
      </w:pPr>
      <w:bookmarkStart w:id="368" w:name="_Toc71216094"/>
      <w:bookmarkStart w:id="369" w:name="_Toc57232567"/>
      <w:bookmarkStart w:id="370" w:name="_Toc17966"/>
      <w:bookmarkStart w:id="371" w:name="_Toc332724291"/>
      <w:bookmarkStart w:id="372" w:name="_Toc468277820"/>
      <w:bookmarkStart w:id="373" w:name="_Toc469745481"/>
      <w:bookmarkStart w:id="374" w:name="_Toc468131750"/>
      <w:bookmarkStart w:id="375" w:name="_Toc333387126"/>
      <w:bookmarkStart w:id="376" w:name="_Toc470002814"/>
      <w:bookmarkStart w:id="377" w:name="_Toc2645"/>
      <w:bookmarkStart w:id="378" w:name="_Toc355447753"/>
      <w:bookmarkStart w:id="379" w:name="_Toc456083328"/>
      <w:bookmarkStart w:id="380" w:name="_Toc13867"/>
      <w:bookmarkStart w:id="381" w:name="_Toc383432308"/>
      <w:r>
        <w:rPr>
          <w:rFonts w:hint="eastAsia" w:ascii="仿宋_GB2312" w:eastAsia="仿宋_GB2312" w:cs="仿宋_GB2312"/>
          <w:b/>
          <w:bCs w:val="0"/>
          <w:color w:val="auto"/>
          <w:sz w:val="28"/>
          <w:szCs w:val="28"/>
          <w:lang w:val="en-US" w:eastAsia="zh-CN"/>
        </w:rPr>
        <w:t>9</w:t>
      </w:r>
      <w:r>
        <w:rPr>
          <w:rFonts w:hint="eastAsia" w:ascii="仿宋_GB2312" w:eastAsia="仿宋_GB2312" w:cs="仿宋_GB2312"/>
          <w:b/>
          <w:bCs w:val="0"/>
          <w:color w:val="auto"/>
          <w:sz w:val="28"/>
          <w:szCs w:val="28"/>
          <w:lang w:val="zh-CN"/>
        </w:rPr>
        <w:t>.4工业卫生</w:t>
      </w:r>
      <w:bookmarkEnd w:id="368"/>
      <w:bookmarkEnd w:id="369"/>
      <w:bookmarkEnd w:id="370"/>
      <w:bookmarkEnd w:id="371"/>
      <w:bookmarkEnd w:id="372"/>
      <w:bookmarkEnd w:id="373"/>
      <w:bookmarkEnd w:id="374"/>
      <w:bookmarkEnd w:id="375"/>
      <w:bookmarkEnd w:id="376"/>
      <w:bookmarkEnd w:id="377"/>
      <w:bookmarkEnd w:id="378"/>
      <w:bookmarkEnd w:id="379"/>
      <w:bookmarkEnd w:id="380"/>
    </w:p>
    <w:bookmarkEnd w:id="381"/>
    <w:p w14:paraId="67B70B3E">
      <w:pPr>
        <w:pStyle w:val="5"/>
        <w:adjustRightInd w:val="0"/>
        <w:snapToGrid w:val="0"/>
        <w:spacing w:before="0" w:line="360" w:lineRule="auto"/>
        <w:rPr>
          <w:rFonts w:hint="eastAsia" w:ascii="仿宋_GB2312" w:eastAsia="仿宋_GB2312" w:cs="仿宋_GB2312"/>
          <w:b/>
          <w:bCs w:val="0"/>
          <w:color w:val="auto"/>
          <w:sz w:val="28"/>
          <w:szCs w:val="28"/>
        </w:rPr>
      </w:pPr>
      <w:bookmarkStart w:id="382" w:name="_Toc148958086"/>
      <w:bookmarkStart w:id="383" w:name="_Toc27458"/>
      <w:r>
        <w:rPr>
          <w:rFonts w:hint="eastAsia" w:ascii="仿宋_GB2312" w:eastAsia="仿宋_GB2312" w:cs="仿宋_GB2312"/>
          <w:b/>
          <w:bCs w:val="0"/>
          <w:color w:val="auto"/>
          <w:sz w:val="28"/>
          <w:szCs w:val="28"/>
          <w:lang w:val="en-US" w:eastAsia="zh-CN"/>
        </w:rPr>
        <w:t>9</w:t>
      </w:r>
      <w:r>
        <w:rPr>
          <w:rFonts w:hint="eastAsia" w:ascii="仿宋_GB2312" w:eastAsia="仿宋_GB2312" w:cs="仿宋_GB2312"/>
          <w:b/>
          <w:bCs w:val="0"/>
          <w:color w:val="auto"/>
          <w:sz w:val="28"/>
          <w:szCs w:val="28"/>
        </w:rPr>
        <w:t>.4.1工业卫生危害及其防范措施</w:t>
      </w:r>
      <w:bookmarkEnd w:id="382"/>
      <w:bookmarkEnd w:id="383"/>
    </w:p>
    <w:p w14:paraId="43F7D6D7">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1、粉尘、有毒有害气体及其防范措施</w:t>
      </w:r>
    </w:p>
    <w:p w14:paraId="6ED17543">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本项目的粉尘来源包括矿山生产过程中的采装、运输等生产环节产生的粉尘，产尘作业点的工人若不按规定佩戴个人防护器具，长时间接触、呼吸粉尘将对工人健康产生一定的危害，严重者有患尘肺病的危险。</w:t>
      </w:r>
    </w:p>
    <w:p w14:paraId="3175E461">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项目使用的卡车为燃油设备，将产生大量的尾气，若尾气净化不力，大量的有毒有害气体不仅对工作环境将造成污染，也会危害人体健康。</w:t>
      </w:r>
    </w:p>
    <w:p w14:paraId="3D17DFC7">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柴油属火灾危险物质，遇明火、高温或与氧化剂接触，有燃烧爆炸危险。皮肤接触可发生接触性皮炎及油疹，可致急性肾脏损害，吸入其雾滴或液体呛入呼吸道可引起吸入性肺炎，个别人员长期接触柴油还可引起一种特殊的色素沉着性皮肤病，称中毒性黑皮病。</w:t>
      </w:r>
    </w:p>
    <w:p w14:paraId="2D822DF7">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防范措施如下：</w:t>
      </w:r>
    </w:p>
    <w:p w14:paraId="754EAA20">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（1）内燃设备，使用低污染的柴油发动机，每台设备有尾气净化装置，净化后的废气有害物质的浓度应符合GBZ1、GBZ2的有关规定；</w:t>
      </w:r>
    </w:p>
    <w:p w14:paraId="26168605">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（2）对采场、道路扬尘采用洒水车进行洒水抑尘，以降低铲装和运输过程产生的扬尘；</w:t>
      </w:r>
    </w:p>
    <w:p w14:paraId="77E18611">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（3）工人作业时佩戴防尘口罩进行个体防护。</w:t>
      </w:r>
    </w:p>
    <w:p w14:paraId="4395A677">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2、噪声、振动及其防范措施</w:t>
      </w:r>
    </w:p>
    <w:p w14:paraId="014DFD66">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（1）噪声及振动</w:t>
      </w:r>
    </w:p>
    <w:p w14:paraId="336B37EB">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项目实施过程中装卸矿岩作业、敲打作业等均产生噪声，噪声主要来源于机械设备、车辆在运转过程中由振动、摩擦、碰撞而产生的机械动力噪声和运输车辆行驶时排放尾气产生的气体动力噪声。长时间暴露在噪声环境下会对作业人员产生伤害。</w:t>
      </w:r>
    </w:p>
    <w:p w14:paraId="3D5AFC11">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（2）防范措施</w:t>
      </w:r>
    </w:p>
    <w:p w14:paraId="07D3BBA3">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设计中所选用的设备均为低噪声设备；矿山开采接近高噪声岗位的生产人员应佩戴耳塞、耳罩进行个体防护，并定期检查、更新。</w:t>
      </w:r>
    </w:p>
    <w:p w14:paraId="74C1CF2F">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对振动设备定期维修和保养，以防因设备不正常而造成振动加强；作业人员佩戴防护手套或减振手柄，并定期维护、保养及更换，确保其防振、减振性能良好。</w:t>
      </w:r>
    </w:p>
    <w:p w14:paraId="0C5FA0BC">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3、灼烫及其防范措施</w:t>
      </w:r>
    </w:p>
    <w:p w14:paraId="671542BD">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在电焊、切割作业过程中若作业人员未穿戴或未正确穿戴符合劳动防护用品还可能发生灼烫伤害。</w:t>
      </w:r>
    </w:p>
    <w:p w14:paraId="08C5C0FB">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设计为作业人员配备合适个体防护用品，焊接过程作业人员要按照规程作业。</w:t>
      </w:r>
    </w:p>
    <w:p w14:paraId="17229E97">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4、高低温及其防范措施</w:t>
      </w:r>
    </w:p>
    <w:p w14:paraId="6C1B7521">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在炎热的夏季，若作业人员长时间暴露在高温环境中，易引起眩晕、中暑，对人体健康带来危害，矿山应采取综合性防暑降温措施，采掘设备和自卸汽车的司机驾驶室应配备空气调节装置，给高温作业工人供应含盐清凉饮料，适当缩短高温作业时间等。</w:t>
      </w:r>
    </w:p>
    <w:p w14:paraId="76251078">
      <w:pPr>
        <w:pStyle w:val="5"/>
        <w:adjustRightInd w:val="0"/>
        <w:snapToGrid w:val="0"/>
        <w:spacing w:before="0" w:line="360" w:lineRule="auto"/>
        <w:rPr>
          <w:rFonts w:hint="eastAsia" w:ascii="仿宋_GB2312" w:eastAsia="仿宋_GB2312" w:cs="仿宋_GB2312"/>
          <w:b/>
          <w:bCs w:val="0"/>
          <w:snapToGrid w:val="0"/>
          <w:color w:val="auto"/>
          <w:sz w:val="28"/>
          <w:szCs w:val="28"/>
        </w:rPr>
      </w:pPr>
      <w:bookmarkStart w:id="384" w:name="_Toc57232568"/>
      <w:bookmarkStart w:id="385" w:name="_Toc13904"/>
      <w:bookmarkStart w:id="386" w:name="_Toc14538"/>
      <w:bookmarkStart w:id="387" w:name="_Toc71216095"/>
      <w:bookmarkStart w:id="388" w:name="_Toc148958088"/>
      <w:r>
        <w:rPr>
          <w:rFonts w:hint="eastAsia" w:ascii="仿宋_GB2312" w:eastAsia="仿宋_GB2312" w:cs="仿宋_GB2312"/>
          <w:b/>
          <w:bCs w:val="0"/>
          <w:snapToGrid w:val="0"/>
          <w:color w:val="auto"/>
          <w:sz w:val="28"/>
          <w:szCs w:val="28"/>
          <w:lang w:val="en-US" w:eastAsia="zh-CN"/>
        </w:rPr>
        <w:t>9</w:t>
      </w:r>
      <w:r>
        <w:rPr>
          <w:rFonts w:hint="eastAsia" w:ascii="仿宋_GB2312" w:eastAsia="仿宋_GB2312" w:cs="仿宋_GB2312"/>
          <w:b/>
          <w:bCs w:val="0"/>
          <w:snapToGrid w:val="0"/>
          <w:color w:val="auto"/>
          <w:sz w:val="28"/>
          <w:szCs w:val="28"/>
        </w:rPr>
        <w:t>.4.</w:t>
      </w:r>
      <w:r>
        <w:rPr>
          <w:rFonts w:hint="eastAsia" w:ascii="仿宋_GB2312" w:eastAsia="仿宋_GB2312" w:cs="仿宋_GB2312"/>
          <w:b/>
          <w:bCs w:val="0"/>
          <w:snapToGrid w:val="0"/>
          <w:color w:val="auto"/>
          <w:sz w:val="28"/>
          <w:szCs w:val="28"/>
          <w:lang w:val="en-US" w:eastAsia="zh-CN"/>
        </w:rPr>
        <w:t>2</w:t>
      </w:r>
      <w:r>
        <w:rPr>
          <w:rFonts w:hint="eastAsia" w:ascii="仿宋_GB2312" w:eastAsia="仿宋_GB2312" w:cs="仿宋_GB2312"/>
          <w:b/>
          <w:bCs w:val="0"/>
          <w:snapToGrid w:val="0"/>
          <w:color w:val="auto"/>
          <w:sz w:val="28"/>
          <w:szCs w:val="28"/>
        </w:rPr>
        <w:t>安全与工业卫生管理机构</w:t>
      </w:r>
      <w:bookmarkEnd w:id="366"/>
      <w:bookmarkEnd w:id="367"/>
      <w:bookmarkEnd w:id="384"/>
      <w:bookmarkEnd w:id="385"/>
      <w:bookmarkEnd w:id="386"/>
      <w:bookmarkEnd w:id="387"/>
      <w:bookmarkEnd w:id="388"/>
    </w:p>
    <w:p w14:paraId="714382E8">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本项目安全与工业卫生管理工作由矿山具备安全管理职责的机构负责，主要职责包括对本工程中生产过程中存在的安全、卫生问题进行及时处理，对全矿岗位工人进行安全与工业卫生教育、培训等工作。</w:t>
      </w:r>
    </w:p>
    <w:p w14:paraId="0CB065D9">
      <w:pPr>
        <w:pStyle w:val="26"/>
        <w:spacing w:after="0" w:line="520" w:lineRule="exact"/>
        <w:ind w:left="0" w:leftChars="0"/>
        <w:rPr>
          <w:rFonts w:hint="eastAsia" w:ascii="仿宋_GB2312" w:eastAsia="仿宋_GB2312" w:cs="仿宋_GB2312"/>
          <w:color w:val="auto"/>
        </w:rPr>
      </w:pPr>
    </w:p>
    <w:bookmarkEnd w:id="358"/>
    <w:bookmarkEnd w:id="359"/>
    <w:bookmarkEnd w:id="360"/>
    <w:bookmarkEnd w:id="361"/>
    <w:p w14:paraId="1124BC2E">
      <w:pPr>
        <w:pStyle w:val="79"/>
        <w:rPr>
          <w:rFonts w:hint="eastAsia" w:ascii="仿宋_GB2312" w:eastAsia="仿宋_GB2312" w:cs="仿宋_GB2312"/>
          <w:color w:val="auto"/>
        </w:rPr>
      </w:pPr>
      <w:bookmarkStart w:id="389" w:name="_Toc520717710"/>
      <w:bookmarkStart w:id="390" w:name="_Toc70324830"/>
    </w:p>
    <w:p w14:paraId="1D632AAB">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rPr>
      </w:pPr>
      <w:bookmarkStart w:id="391" w:name="_Toc20564"/>
      <w:bookmarkStart w:id="392" w:name="_Toc22163"/>
      <w:bookmarkStart w:id="393" w:name="_Toc4241"/>
      <w:r>
        <w:rPr>
          <w:rFonts w:hint="eastAsia" w:ascii="仿宋_GB2312" w:eastAsia="仿宋_GB2312" w:cs="仿宋_GB2312"/>
          <w:color w:val="auto"/>
          <w:sz w:val="36"/>
          <w:szCs w:val="36"/>
        </w:rPr>
        <w:t>绿色矿山及智能</w:t>
      </w:r>
      <w:bookmarkEnd w:id="391"/>
      <w:r>
        <w:rPr>
          <w:rFonts w:hint="eastAsia" w:ascii="仿宋_GB2312" w:eastAsia="仿宋_GB2312" w:cs="仿宋_GB2312"/>
          <w:color w:val="auto"/>
          <w:sz w:val="36"/>
          <w:szCs w:val="36"/>
        </w:rPr>
        <w:t>化</w:t>
      </w:r>
      <w:bookmarkEnd w:id="392"/>
      <w:bookmarkEnd w:id="393"/>
    </w:p>
    <w:p w14:paraId="12721098">
      <w:pPr>
        <w:pStyle w:val="4"/>
        <w:adjustRightInd w:val="0"/>
        <w:snapToGrid w:val="0"/>
        <w:spacing w:before="0"/>
        <w:rPr>
          <w:rFonts w:hint="eastAsia" w:ascii="仿宋_GB2312" w:eastAsia="仿宋_GB2312" w:cs="仿宋_GB2312"/>
          <w:b/>
          <w:bCs w:val="0"/>
          <w:color w:val="auto"/>
          <w:sz w:val="28"/>
          <w:szCs w:val="28"/>
          <w:lang w:val="en-US" w:eastAsia="zh-CN"/>
        </w:rPr>
      </w:pPr>
      <w:bookmarkStart w:id="394" w:name="_Toc5212"/>
      <w:bookmarkStart w:id="395" w:name="_Toc148958090"/>
      <w:bookmarkStart w:id="396" w:name="_Toc32523"/>
      <w:bookmarkStart w:id="397" w:name="_Toc20658"/>
      <w:r>
        <w:rPr>
          <w:rFonts w:hint="eastAsia" w:ascii="仿宋_GB2312" w:eastAsia="仿宋_GB2312" w:cs="仿宋_GB2312"/>
          <w:b/>
          <w:bCs w:val="0"/>
          <w:color w:val="auto"/>
          <w:sz w:val="28"/>
          <w:szCs w:val="28"/>
          <w:lang w:val="en-US" w:eastAsia="zh-CN"/>
        </w:rPr>
        <w:t>10.1智慧矿山建设</w:t>
      </w:r>
      <w:bookmarkEnd w:id="394"/>
      <w:bookmarkEnd w:id="395"/>
      <w:bookmarkEnd w:id="396"/>
      <w:bookmarkEnd w:id="397"/>
    </w:p>
    <w:p w14:paraId="4CB2910D">
      <w:pPr>
        <w:pStyle w:val="5"/>
        <w:adjustRightInd w:val="0"/>
        <w:snapToGrid w:val="0"/>
        <w:spacing w:before="0" w:line="360" w:lineRule="auto"/>
        <w:rPr>
          <w:rFonts w:hint="eastAsia" w:ascii="仿宋_GB2312" w:eastAsia="仿宋_GB2312" w:cs="仿宋_GB2312"/>
          <w:b/>
          <w:bCs w:val="0"/>
          <w:snapToGrid w:val="0"/>
          <w:color w:val="auto"/>
          <w:sz w:val="28"/>
          <w:szCs w:val="28"/>
          <w:lang w:val="en-US" w:eastAsia="zh-CN"/>
        </w:rPr>
      </w:pPr>
      <w:bookmarkStart w:id="398" w:name="_Toc29716"/>
      <w:r>
        <w:rPr>
          <w:rFonts w:hint="eastAsia" w:ascii="仿宋_GB2312" w:eastAsia="仿宋_GB2312" w:cs="仿宋_GB2312"/>
          <w:b/>
          <w:bCs w:val="0"/>
          <w:snapToGrid w:val="0"/>
          <w:color w:val="auto"/>
          <w:sz w:val="28"/>
          <w:szCs w:val="28"/>
          <w:lang w:val="en-US" w:eastAsia="zh-CN"/>
        </w:rPr>
        <w:t>10.1.1智慧矿山建设背景</w:t>
      </w:r>
      <w:bookmarkEnd w:id="398"/>
    </w:p>
    <w:p w14:paraId="38807A0C">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智慧矿山建设将人工智能、工业物联网、云计算、大数据、机器人、智能装备等与现代矿山开发利用深度融合，形成全面感知、实时互联、分析决策、自主学习、动态预测、协同控制的智能系统，实现矿山开采、安全保障、经营管理等过程的智能化运行，对于提升矿山安全生产水平、保障矿石稳定供应、提高企业经济效益和管理效率具有重要意义。</w:t>
      </w:r>
    </w:p>
    <w:p w14:paraId="4157BDE9">
      <w:pPr>
        <w:pStyle w:val="5"/>
        <w:adjustRightInd w:val="0"/>
        <w:snapToGrid w:val="0"/>
        <w:spacing w:before="0" w:line="360" w:lineRule="auto"/>
        <w:rPr>
          <w:rFonts w:hint="eastAsia" w:ascii="仿宋_GB2312" w:eastAsia="仿宋_GB2312" w:cs="仿宋_GB2312"/>
          <w:b/>
          <w:bCs w:val="0"/>
          <w:snapToGrid w:val="0"/>
          <w:color w:val="auto"/>
          <w:sz w:val="28"/>
          <w:szCs w:val="28"/>
          <w:lang w:val="en-US" w:eastAsia="zh-CN"/>
        </w:rPr>
      </w:pPr>
      <w:bookmarkStart w:id="399" w:name="_Toc11617"/>
      <w:r>
        <w:rPr>
          <w:rFonts w:hint="eastAsia" w:ascii="仿宋_GB2312" w:eastAsia="仿宋_GB2312" w:cs="仿宋_GB2312"/>
          <w:b/>
          <w:bCs w:val="0"/>
          <w:snapToGrid w:val="0"/>
          <w:color w:val="auto"/>
          <w:sz w:val="28"/>
          <w:szCs w:val="28"/>
          <w:lang w:val="en-US" w:eastAsia="zh-CN"/>
        </w:rPr>
        <w:t>10.1.2智慧矿山建设内容</w:t>
      </w:r>
      <w:bookmarkEnd w:id="399"/>
    </w:p>
    <w:p w14:paraId="1D67417B">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智慧矿山建设是一个长期的过程，依照“总体规划、分步实施、因矿制宜、长期服务”的原则，同时兼顾现阶段各项技术的成熟度，将智慧矿山划分为8大系统进行建设：主干网络与总调室大屏幕、露天矿地测采管理系统、露天矿生产管控系统、露天矿卡车调度系统、安全生产管控系统、设备管理系统、物资管理系统、指标数据统计分析系统。</w:t>
      </w:r>
    </w:p>
    <w:p w14:paraId="7CC7FCF7">
      <w:pPr>
        <w:pStyle w:val="5"/>
        <w:adjustRightInd w:val="0"/>
        <w:snapToGrid w:val="0"/>
        <w:spacing w:before="0" w:line="360" w:lineRule="auto"/>
        <w:rPr>
          <w:rFonts w:hint="eastAsia" w:ascii="仿宋_GB2312" w:eastAsia="仿宋_GB2312" w:cs="仿宋_GB2312"/>
          <w:b/>
          <w:bCs w:val="0"/>
          <w:snapToGrid w:val="0"/>
          <w:color w:val="auto"/>
          <w:sz w:val="28"/>
          <w:szCs w:val="28"/>
          <w:lang w:val="en-US" w:eastAsia="zh-CN"/>
        </w:rPr>
      </w:pPr>
      <w:bookmarkStart w:id="400" w:name="_Toc19723"/>
      <w:r>
        <w:rPr>
          <w:rFonts w:hint="eastAsia" w:ascii="仿宋_GB2312" w:eastAsia="仿宋_GB2312" w:cs="仿宋_GB2312"/>
          <w:b/>
          <w:bCs w:val="0"/>
          <w:snapToGrid w:val="0"/>
          <w:color w:val="auto"/>
          <w:sz w:val="28"/>
          <w:szCs w:val="28"/>
          <w:lang w:val="en-US" w:eastAsia="zh-CN"/>
        </w:rPr>
        <w:t>10.1.3智慧矿山建设效果</w:t>
      </w:r>
      <w:bookmarkEnd w:id="400"/>
    </w:p>
    <w:p w14:paraId="2742F05E">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总体规划、分步实施，逐步实现矿山生产的信息化、自动化、数字化、智能化。</w:t>
      </w:r>
    </w:p>
    <w:p w14:paraId="318BBFB0">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矿山生产信息化建设：通过IPv6、5G等新型技术应用，可以建成一个技术先进、稳定高效、安全可靠、高带宽、低延时的网络，同时也可以满足矿山、工业互联网、远程办公、员工网络连接日益增长的需求。</w:t>
      </w:r>
    </w:p>
    <w:p w14:paraId="40A364D1">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自动化建设：实现在同一个操控室集中操控，提高人员劳动效率。</w:t>
      </w:r>
    </w:p>
    <w:p w14:paraId="225404E1">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数字化转型建设：通过数据采集系统的建设，可以为矿山智慧矿山管控平台、大数据分析与人工智能、云计算、远程运维等顶层应用提供数据来源。</w:t>
      </w:r>
    </w:p>
    <w:p w14:paraId="7C049608">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智慧化矿山建设，通过对矿山生产、职业健康与安全、技术和后勤保障等进行主动感知、自主分析、快速处理，提高矿山主要业务流程的生产效益和管理效率，最终实现安全矿山、无人矿山、高效矿山、清洁矿山的建设。</w:t>
      </w:r>
    </w:p>
    <w:p w14:paraId="2532164C">
      <w:pPr>
        <w:pStyle w:val="4"/>
        <w:adjustRightInd w:val="0"/>
        <w:snapToGrid w:val="0"/>
        <w:spacing w:before="0"/>
        <w:rPr>
          <w:rFonts w:hint="eastAsia" w:ascii="仿宋_GB2312" w:eastAsia="仿宋_GB2312" w:cs="仿宋_GB2312"/>
          <w:b/>
          <w:bCs w:val="0"/>
          <w:color w:val="auto"/>
          <w:sz w:val="28"/>
          <w:szCs w:val="28"/>
          <w:lang w:val="en-US" w:eastAsia="zh-CN"/>
        </w:rPr>
      </w:pPr>
      <w:bookmarkStart w:id="401" w:name="_Toc14600"/>
      <w:bookmarkStart w:id="402" w:name="_Toc10632"/>
      <w:bookmarkStart w:id="403" w:name="_Toc148958091"/>
      <w:bookmarkStart w:id="404" w:name="_Toc31378"/>
      <w:r>
        <w:rPr>
          <w:rFonts w:hint="eastAsia" w:ascii="仿宋_GB2312" w:eastAsia="仿宋_GB2312" w:cs="仿宋_GB2312"/>
          <w:b/>
          <w:bCs w:val="0"/>
          <w:color w:val="auto"/>
          <w:sz w:val="28"/>
          <w:szCs w:val="28"/>
          <w:lang w:val="en-US" w:eastAsia="zh-CN"/>
        </w:rPr>
        <w:t>10.2绿色矿山建设</w:t>
      </w:r>
      <w:bookmarkEnd w:id="401"/>
      <w:bookmarkEnd w:id="402"/>
      <w:bookmarkEnd w:id="403"/>
      <w:bookmarkEnd w:id="404"/>
    </w:p>
    <w:p w14:paraId="23BD92ED">
      <w:pPr>
        <w:pStyle w:val="5"/>
        <w:adjustRightInd w:val="0"/>
        <w:snapToGrid w:val="0"/>
        <w:spacing w:before="0" w:line="360" w:lineRule="auto"/>
        <w:rPr>
          <w:rFonts w:hint="eastAsia" w:ascii="仿宋_GB2312" w:eastAsia="仿宋_GB2312" w:cs="仿宋_GB2312"/>
          <w:b/>
          <w:bCs w:val="0"/>
          <w:snapToGrid w:val="0"/>
          <w:color w:val="auto"/>
          <w:sz w:val="28"/>
          <w:szCs w:val="28"/>
          <w:lang w:val="en-US" w:eastAsia="zh-CN"/>
        </w:rPr>
      </w:pPr>
      <w:bookmarkStart w:id="405" w:name="_Toc18194"/>
      <w:r>
        <w:rPr>
          <w:rFonts w:hint="eastAsia" w:ascii="仿宋_GB2312" w:eastAsia="仿宋_GB2312" w:cs="仿宋_GB2312"/>
          <w:b/>
          <w:bCs w:val="0"/>
          <w:snapToGrid w:val="0"/>
          <w:color w:val="auto"/>
          <w:sz w:val="28"/>
          <w:szCs w:val="28"/>
          <w:lang w:val="en-US" w:eastAsia="zh-CN"/>
        </w:rPr>
        <w:t>10.2.1绿色矿山建设背景</w:t>
      </w:r>
      <w:bookmarkEnd w:id="405"/>
    </w:p>
    <w:p w14:paraId="74EA96E5">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根据国土资源部《关于贯彻落实全国矿产资源规划发展绿色矿业建设绿色矿山工作的指导意见》，绿色矿山是现新形势下对矿产资源管理工作和矿业发展道路的全新思维，是矿产资源开发利用与经济社会环境和谐发展，实现了矿产资源利用集约化、开采方式科学化、生产工艺环保化、企业管理规范化、闭坑矿区生态化。</w:t>
      </w:r>
    </w:p>
    <w:p w14:paraId="34C0936E">
      <w:pPr>
        <w:pStyle w:val="5"/>
        <w:adjustRightInd w:val="0"/>
        <w:snapToGrid w:val="0"/>
        <w:spacing w:before="0" w:line="360" w:lineRule="auto"/>
        <w:rPr>
          <w:rFonts w:hint="eastAsia" w:ascii="仿宋_GB2312" w:eastAsia="仿宋_GB2312" w:cs="仿宋_GB2312"/>
          <w:b/>
          <w:bCs w:val="0"/>
          <w:snapToGrid w:val="0"/>
          <w:color w:val="auto"/>
          <w:sz w:val="28"/>
          <w:szCs w:val="28"/>
          <w:lang w:val="en-US" w:eastAsia="zh-CN"/>
        </w:rPr>
      </w:pPr>
      <w:bookmarkStart w:id="406" w:name="_Toc25890"/>
      <w:r>
        <w:rPr>
          <w:rFonts w:hint="eastAsia" w:ascii="仿宋_GB2312" w:eastAsia="仿宋_GB2312" w:cs="仿宋_GB2312"/>
          <w:b/>
          <w:bCs w:val="0"/>
          <w:snapToGrid w:val="0"/>
          <w:color w:val="auto"/>
          <w:sz w:val="28"/>
          <w:szCs w:val="28"/>
          <w:lang w:val="en-US" w:eastAsia="zh-CN"/>
        </w:rPr>
        <w:t>10.2.2绿色矿山建设内容</w:t>
      </w:r>
      <w:bookmarkEnd w:id="406"/>
    </w:p>
    <w:p w14:paraId="65D85F31">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绿色矿山需要从8个方面进行建设，分别为管理规范、技术创新、综合利用、节能减排、环境保护、土地复垦、企业文化和社区和谐。</w:t>
      </w:r>
    </w:p>
    <w:p w14:paraId="7FA815AC">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1、管理规范</w:t>
      </w:r>
    </w:p>
    <w:p w14:paraId="5E03300C">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制定完善的资源开发、环境保护、土地复垦、生态重建、安全生产等规章制度；持续推进企业健康、安全、环保认证，实现管理科学化、制度化和规范化；完善组织机构，明确绿色矿山建设分工，层层落实目标责任制，最终实现矿山企业的绿色发展。</w:t>
      </w:r>
    </w:p>
    <w:p w14:paraId="4B64ED4C">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2、技术创新</w:t>
      </w:r>
    </w:p>
    <w:p w14:paraId="28AE72A5">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山应积极开展科技创新和技术革新，每年投入专项资金支持改进和优化工艺流程和设备，淘汰落后工艺与产能，逐步提高矿山生产工艺水平；同时，重视科技进步，发展循环经济，提高资源的利用效率，实现矿山社会、经济和环境效益的提升。</w:t>
      </w:r>
    </w:p>
    <w:p w14:paraId="74B4A4A4">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矿山露天开采过程中，需采剥合理，采用有利于生态保护的生产方式，生产过程无尘作业，提高采矿作业机械化与自动化水平，最大程度减少土地占用和水土流失。</w:t>
      </w:r>
    </w:p>
    <w:p w14:paraId="15933C11">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3、综合利用</w:t>
      </w:r>
    </w:p>
    <w:p w14:paraId="7C252CC1">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矿产资源开发与利用过程中，需要确定合理的技术经济指标，节约与保护资源，大力开展矿产资源的综合利用。</w:t>
      </w:r>
    </w:p>
    <w:p w14:paraId="2BF0B0FF">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4、节能减排</w:t>
      </w:r>
    </w:p>
    <w:p w14:paraId="66FE5B29">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矿山应积极开展节能降耗、减排工作，并达到国家规定的指标。淘汰限制、落后工艺，采用无废、少废工艺。</w:t>
      </w:r>
    </w:p>
    <w:p w14:paraId="66FD2B7C">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5、环境保护</w:t>
      </w:r>
    </w:p>
    <w:p w14:paraId="161F644A">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认真落实矿山环境恢复治理保证金制度，严格执行环境保护“三同时”制度，保证矿区及周边自然环境得到有效保护。矿山企业需要制定与严格落实矿山环境保护与治理恢复方案，三废治理设施按设计运行，三废排放达标，污染物排放总量达标，最终达到矿区环境优美，对周围环境没有造成任何污染。</w:t>
      </w:r>
    </w:p>
    <w:p w14:paraId="0DEA479E">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6、土地复垦</w:t>
      </w:r>
    </w:p>
    <w:p w14:paraId="5AD16030">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在矿产资源开发设计、开采各个阶段中，矿山需要有切实可行的土地保护和土地复垦方案与措施，并严格执行，坚持“边开采，边复垦”，对矿山压占、损毁而可复垦的土地全面复垦利用，因地制宜，尽可能优先复垦为耕地或农用地，保证矿山土地复垦率符合相关规范的规定。</w:t>
      </w:r>
    </w:p>
    <w:p w14:paraId="368AA134">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7、企业文化</w:t>
      </w:r>
    </w:p>
    <w:p w14:paraId="7A0A1920">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山企业应建立一套符合企业特点和推进实现企业发展战略目标的企业文化，拥有一个团结奋斗、锐意进取、求真务实的企业领导班子和一支高素质的职工队伍，应健全企业职工文明建设和技术培训体系，丰富职工物质、体育、文化生活。</w:t>
      </w:r>
    </w:p>
    <w:p w14:paraId="4F34FD43">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8、社区和谐</w:t>
      </w:r>
    </w:p>
    <w:p w14:paraId="63AA62F1">
      <w:pPr>
        <w:adjustRightInd w:val="0"/>
        <w:snapToGrid w:val="0"/>
        <w:spacing w:line="360" w:lineRule="auto"/>
        <w:ind w:firstLine="560" w:firstLineChars="200"/>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矿山企业在生产过程中，应切实履行企业社会责任，拥有良好的企业形象，应及时调整影响社区生活的生产作业，共同应对损害公共利益的重大事件，并与当地社区建立磋商和协作机制，及时妥善解决各类矛盾，社区关系和谐。</w:t>
      </w:r>
    </w:p>
    <w:bookmarkEnd w:id="389"/>
    <w:bookmarkEnd w:id="390"/>
    <w:p w14:paraId="16757336">
      <w:pPr>
        <w:rPr>
          <w:rFonts w:hint="eastAsia" w:ascii="仿宋_GB2312" w:eastAsia="仿宋_GB2312" w:cs="仿宋_GB2312"/>
          <w:color w:val="auto"/>
          <w:sz w:val="32"/>
          <w:szCs w:val="32"/>
        </w:rPr>
        <w:sectPr>
          <w:pgSz w:w="11906" w:h="16838"/>
          <w:pgMar w:top="1814" w:right="1474" w:bottom="1814" w:left="1474" w:header="1361" w:footer="1361" w:gutter="0"/>
          <w:cols w:space="720" w:num="1"/>
          <w:docGrid w:type="lines" w:linePitch="381" w:charSpace="0"/>
        </w:sectPr>
      </w:pPr>
    </w:p>
    <w:p w14:paraId="07530368">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highlight w:val="none"/>
        </w:rPr>
      </w:pPr>
      <w:bookmarkStart w:id="407" w:name="_Toc14292"/>
      <w:bookmarkStart w:id="408" w:name="_Toc16261"/>
      <w:bookmarkStart w:id="409" w:name="_Toc290371298"/>
      <w:r>
        <w:rPr>
          <w:rFonts w:hint="eastAsia" w:ascii="仿宋_GB2312" w:eastAsia="仿宋_GB2312" w:cs="仿宋_GB2312"/>
          <w:color w:val="auto"/>
          <w:sz w:val="36"/>
          <w:szCs w:val="36"/>
          <w:highlight w:val="none"/>
        </w:rPr>
        <w:t>投资估算</w:t>
      </w:r>
      <w:bookmarkEnd w:id="407"/>
      <w:bookmarkEnd w:id="408"/>
      <w:bookmarkEnd w:id="409"/>
    </w:p>
    <w:p w14:paraId="2A933A0F">
      <w:pPr>
        <w:adjustRightInd w:val="0"/>
        <w:snapToGrid w:val="0"/>
        <w:spacing w:line="360" w:lineRule="auto"/>
        <w:outlineLvl w:val="1"/>
        <w:rPr>
          <w:rFonts w:hint="eastAsia" w:ascii="仿宋_GB2312" w:eastAsia="仿宋_GB2312" w:cs="仿宋_GB2312"/>
          <w:b/>
          <w:bCs/>
          <w:color w:val="auto"/>
          <w:sz w:val="28"/>
          <w:szCs w:val="28"/>
          <w:highlight w:val="none"/>
        </w:rPr>
      </w:pPr>
      <w:bookmarkStart w:id="410" w:name="_Toc290371300"/>
      <w:bookmarkStart w:id="411" w:name="_Toc17993"/>
      <w:bookmarkStart w:id="412" w:name="_Toc161"/>
      <w:r>
        <w:rPr>
          <w:rFonts w:hint="eastAsia" w:ascii="仿宋_GB2312" w:eastAsia="仿宋_GB2312" w:cs="仿宋_GB2312"/>
          <w:b/>
          <w:color w:val="auto"/>
          <w:sz w:val="28"/>
          <w:szCs w:val="28"/>
          <w:highlight w:val="none"/>
          <w:lang w:val="en-US" w:eastAsia="zh-CN"/>
        </w:rPr>
        <w:t>11</w:t>
      </w:r>
      <w:r>
        <w:rPr>
          <w:rFonts w:hint="eastAsia" w:ascii="仿宋_GB2312" w:eastAsia="仿宋_GB2312" w:cs="仿宋_GB2312"/>
          <w:b/>
          <w:color w:val="auto"/>
          <w:sz w:val="28"/>
          <w:szCs w:val="28"/>
          <w:highlight w:val="none"/>
        </w:rPr>
        <w:t>.1</w:t>
      </w:r>
      <w:bookmarkEnd w:id="410"/>
      <w:r>
        <w:rPr>
          <w:rFonts w:hint="eastAsia" w:ascii="仿宋_GB2312" w:eastAsia="仿宋_GB2312" w:cs="仿宋_GB2312"/>
          <w:b/>
          <w:bCs/>
          <w:color w:val="auto"/>
          <w:sz w:val="28"/>
          <w:szCs w:val="28"/>
          <w:highlight w:val="none"/>
        </w:rPr>
        <w:t>主要工程内容</w:t>
      </w:r>
      <w:bookmarkEnd w:id="411"/>
      <w:bookmarkEnd w:id="412"/>
    </w:p>
    <w:p w14:paraId="257C6109">
      <w:pPr>
        <w:adjustRightInd w:val="0"/>
        <w:snapToGrid w:val="0"/>
        <w:spacing w:line="360" w:lineRule="auto"/>
        <w:ind w:firstLine="570"/>
        <w:rPr>
          <w:rFonts w:hint="eastAsia" w:ascii="仿宋_GB2312" w:eastAsia="仿宋_GB2312" w:cs="仿宋_GB2312"/>
          <w:color w:val="auto"/>
          <w:sz w:val="28"/>
          <w:szCs w:val="28"/>
          <w:highlight w:val="none"/>
        </w:rPr>
      </w:pPr>
      <w:bookmarkStart w:id="413" w:name="_Toc290371301"/>
      <w:r>
        <w:rPr>
          <w:rFonts w:hint="eastAsia" w:ascii="仿宋_GB2312" w:eastAsia="仿宋_GB2312" w:cs="仿宋_GB2312"/>
          <w:color w:val="auto"/>
          <w:sz w:val="28"/>
          <w:szCs w:val="28"/>
          <w:highlight w:val="none"/>
        </w:rPr>
        <w:t>主要工程内容</w:t>
      </w:r>
      <w:r>
        <w:rPr>
          <w:rFonts w:hint="eastAsia" w:ascii="仿宋_GB2312" w:eastAsia="仿宋_GB2312" w:cs="仿宋_GB2312"/>
          <w:color w:val="auto"/>
          <w:sz w:val="28"/>
          <w:szCs w:val="28"/>
          <w:highlight w:val="none"/>
          <w:lang w:val="en-US" w:eastAsia="zh-CN"/>
        </w:rPr>
        <w:t>包括基建剥离、修建道路、设备采购等</w:t>
      </w:r>
      <w:r>
        <w:rPr>
          <w:rFonts w:hint="eastAsia" w:ascii="仿宋_GB2312" w:eastAsia="仿宋_GB2312" w:cs="仿宋_GB2312"/>
          <w:color w:val="auto"/>
          <w:sz w:val="28"/>
          <w:szCs w:val="28"/>
          <w:highlight w:val="none"/>
        </w:rPr>
        <w:t>。</w:t>
      </w:r>
    </w:p>
    <w:p w14:paraId="07786AC1">
      <w:pPr>
        <w:adjustRightInd w:val="0"/>
        <w:snapToGrid w:val="0"/>
        <w:spacing w:line="360" w:lineRule="auto"/>
        <w:outlineLvl w:val="1"/>
        <w:rPr>
          <w:rFonts w:hint="eastAsia" w:ascii="仿宋_GB2312" w:eastAsia="仿宋_GB2312" w:cs="仿宋_GB2312"/>
          <w:b/>
          <w:color w:val="auto"/>
          <w:sz w:val="28"/>
          <w:szCs w:val="28"/>
          <w:highlight w:val="none"/>
        </w:rPr>
      </w:pPr>
      <w:bookmarkStart w:id="414" w:name="_Toc10687"/>
      <w:bookmarkStart w:id="415" w:name="_Toc8120"/>
      <w:r>
        <w:rPr>
          <w:rFonts w:hint="eastAsia" w:ascii="仿宋_GB2312" w:eastAsia="仿宋_GB2312" w:cs="仿宋_GB2312"/>
          <w:b/>
          <w:color w:val="auto"/>
          <w:sz w:val="28"/>
          <w:szCs w:val="28"/>
          <w:highlight w:val="none"/>
          <w:lang w:val="en-US" w:eastAsia="zh-CN"/>
        </w:rPr>
        <w:t>11</w:t>
      </w:r>
      <w:r>
        <w:rPr>
          <w:rFonts w:hint="eastAsia" w:ascii="仿宋_GB2312" w:eastAsia="仿宋_GB2312" w:cs="仿宋_GB2312"/>
          <w:b/>
          <w:color w:val="auto"/>
          <w:sz w:val="28"/>
          <w:szCs w:val="28"/>
          <w:highlight w:val="none"/>
        </w:rPr>
        <w:t>.2建设投资估算</w:t>
      </w:r>
      <w:bookmarkEnd w:id="413"/>
      <w:bookmarkEnd w:id="414"/>
      <w:bookmarkEnd w:id="415"/>
    </w:p>
    <w:p w14:paraId="72BD98F0">
      <w:pPr>
        <w:adjustRightInd w:val="0"/>
        <w:snapToGrid w:val="0"/>
        <w:spacing w:line="360" w:lineRule="auto"/>
        <w:rPr>
          <w:rFonts w:hint="eastAsia" w:ascii="仿宋_GB2312" w:eastAsia="仿宋_GB2312" w:cs="仿宋_GB2312"/>
          <w:b/>
          <w:color w:val="auto"/>
          <w:sz w:val="28"/>
          <w:szCs w:val="28"/>
          <w:highlight w:val="none"/>
        </w:rPr>
      </w:pPr>
      <w:r>
        <w:rPr>
          <w:rFonts w:hint="eastAsia" w:ascii="仿宋_GB2312" w:eastAsia="仿宋_GB2312" w:cs="仿宋_GB2312"/>
          <w:b/>
          <w:color w:val="auto"/>
          <w:sz w:val="28"/>
          <w:szCs w:val="28"/>
          <w:highlight w:val="none"/>
          <w:lang w:val="en-US" w:eastAsia="zh-CN"/>
        </w:rPr>
        <w:t>11</w:t>
      </w:r>
      <w:r>
        <w:rPr>
          <w:rFonts w:hint="eastAsia" w:ascii="仿宋_GB2312" w:eastAsia="仿宋_GB2312" w:cs="仿宋_GB2312"/>
          <w:b/>
          <w:color w:val="auto"/>
          <w:sz w:val="28"/>
          <w:szCs w:val="28"/>
          <w:highlight w:val="none"/>
        </w:rPr>
        <w:t>.2.1编制依据</w:t>
      </w:r>
    </w:p>
    <w:p w14:paraId="3C211614">
      <w:pPr>
        <w:adjustRightInd w:val="0"/>
        <w:snapToGrid w:val="0"/>
        <w:spacing w:line="360" w:lineRule="auto"/>
        <w:ind w:firstLine="560" w:firstLineChars="200"/>
        <w:rPr>
          <w:rFonts w:hint="eastAsia" w:ascii="仿宋_GB2312" w:eastAsia="仿宋_GB2312" w:cs="仿宋_GB2312"/>
          <w:color w:val="auto"/>
          <w:sz w:val="28"/>
          <w:szCs w:val="28"/>
          <w:highlight w:val="none"/>
        </w:rPr>
      </w:pPr>
      <w:bookmarkStart w:id="416" w:name="_Toc158172714"/>
      <w:bookmarkStart w:id="417" w:name="_Toc158172776"/>
      <w:bookmarkStart w:id="418" w:name="_Toc158263740"/>
      <w:r>
        <w:rPr>
          <w:rFonts w:hint="eastAsia" w:ascii="仿宋_GB2312" w:eastAsia="仿宋_GB2312" w:cs="仿宋_GB2312"/>
          <w:color w:val="auto"/>
          <w:sz w:val="28"/>
          <w:szCs w:val="28"/>
          <w:highlight w:val="none"/>
        </w:rPr>
        <w:t>1、各专业所提工程量；</w:t>
      </w:r>
    </w:p>
    <w:p w14:paraId="3EA0FC2F">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2、建筑工程</w:t>
      </w:r>
      <w:bookmarkEnd w:id="416"/>
      <w:bookmarkEnd w:id="417"/>
      <w:bookmarkEnd w:id="418"/>
      <w:r>
        <w:rPr>
          <w:rFonts w:hint="eastAsia" w:ascii="仿宋_GB2312" w:eastAsia="仿宋_GB2312" w:cs="仿宋_GB2312"/>
          <w:color w:val="auto"/>
          <w:sz w:val="28"/>
          <w:szCs w:val="28"/>
          <w:highlight w:val="none"/>
        </w:rPr>
        <w:t>根据类似工程估算指标计算；</w:t>
      </w:r>
    </w:p>
    <w:p w14:paraId="3AC4735E">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3、设备采用市场询价，安装根据类似工程指标估算；</w:t>
      </w:r>
    </w:p>
    <w:p w14:paraId="78AC081D">
      <w:pPr>
        <w:adjustRightInd w:val="0"/>
        <w:snapToGrid w:val="0"/>
        <w:spacing w:line="360" w:lineRule="auto"/>
        <w:ind w:firstLine="560" w:firstLineChars="200"/>
        <w:rPr>
          <w:rFonts w:hint="eastAsia" w:ascii="仿宋_GB2312" w:eastAsia="仿宋_GB2312" w:cs="仿宋_GB2312"/>
          <w:color w:val="auto"/>
          <w:sz w:val="28"/>
          <w:szCs w:val="28"/>
          <w:highlight w:val="none"/>
          <w:lang w:eastAsia="zh-CN"/>
        </w:rPr>
      </w:pPr>
      <w:r>
        <w:rPr>
          <w:rFonts w:hint="eastAsia" w:ascii="仿宋_GB2312" w:eastAsia="仿宋_GB2312" w:cs="仿宋_GB2312"/>
          <w:color w:val="auto"/>
          <w:sz w:val="28"/>
          <w:szCs w:val="28"/>
          <w:highlight w:val="none"/>
        </w:rPr>
        <w:t>4、</w:t>
      </w:r>
      <w:r>
        <w:rPr>
          <w:rFonts w:hint="eastAsia" w:ascii="仿宋_GB2312" w:eastAsia="仿宋_GB2312" w:cs="仿宋_GB2312"/>
          <w:color w:val="auto"/>
          <w:sz w:val="28"/>
          <w:szCs w:val="28"/>
          <w:highlight w:val="none"/>
          <w:lang w:bidi="zh-CN"/>
        </w:rPr>
        <w:t>工程建设其他费用参照相关文件并按项目实际情况估算</w:t>
      </w:r>
      <w:r>
        <w:rPr>
          <w:rFonts w:hint="eastAsia" w:ascii="仿宋_GB2312" w:eastAsia="仿宋_GB2312" w:cs="仿宋_GB2312"/>
          <w:bCs/>
          <w:color w:val="auto"/>
          <w:sz w:val="28"/>
          <w:szCs w:val="28"/>
          <w:highlight w:val="none"/>
          <w:lang w:eastAsia="zh-CN"/>
        </w:rPr>
        <w:t>。</w:t>
      </w:r>
    </w:p>
    <w:p w14:paraId="45A19FC8">
      <w:pPr>
        <w:adjustRightInd w:val="0"/>
        <w:snapToGrid w:val="0"/>
        <w:spacing w:line="360" w:lineRule="auto"/>
        <w:rPr>
          <w:rFonts w:hint="eastAsia" w:ascii="仿宋_GB2312" w:eastAsia="仿宋_GB2312" w:cs="仿宋_GB2312"/>
          <w:b/>
          <w:bCs/>
          <w:color w:val="auto"/>
          <w:sz w:val="28"/>
          <w:szCs w:val="28"/>
          <w:highlight w:val="none"/>
        </w:rPr>
      </w:pPr>
      <w:r>
        <w:rPr>
          <w:rFonts w:hint="eastAsia" w:ascii="仿宋_GB2312" w:eastAsia="仿宋_GB2312" w:cs="仿宋_GB2312"/>
          <w:b/>
          <w:bCs/>
          <w:color w:val="auto"/>
          <w:sz w:val="28"/>
          <w:szCs w:val="28"/>
          <w:highlight w:val="none"/>
          <w:lang w:val="en-US" w:eastAsia="zh-CN"/>
        </w:rPr>
        <w:t>11</w:t>
      </w:r>
      <w:r>
        <w:rPr>
          <w:rFonts w:hint="eastAsia" w:ascii="仿宋_GB2312" w:eastAsia="仿宋_GB2312" w:cs="仿宋_GB2312"/>
          <w:b/>
          <w:bCs/>
          <w:color w:val="auto"/>
          <w:sz w:val="28"/>
          <w:szCs w:val="28"/>
          <w:highlight w:val="none"/>
        </w:rPr>
        <w:t>.2.2建设投资估算</w:t>
      </w:r>
    </w:p>
    <w:p w14:paraId="466E0FA0">
      <w:pPr>
        <w:tabs>
          <w:tab w:val="left" w:pos="2472"/>
        </w:tabs>
        <w:adjustRightInd w:val="0"/>
        <w:snapToGrid w:val="0"/>
        <w:spacing w:line="360" w:lineRule="auto"/>
        <w:ind w:firstLine="560" w:firstLineChars="200"/>
        <w:rPr>
          <w:rFonts w:hint="eastAsia" w:ascii="仿宋_GB2312" w:eastAsia="仿宋_GB2312" w:cs="仿宋_GB2312"/>
          <w:bCs/>
          <w:color w:val="auto"/>
          <w:sz w:val="28"/>
          <w:szCs w:val="28"/>
          <w:highlight w:val="none"/>
        </w:rPr>
      </w:pPr>
      <w:r>
        <w:rPr>
          <w:rFonts w:hint="eastAsia" w:ascii="仿宋_GB2312" w:eastAsia="仿宋_GB2312" w:cs="仿宋_GB2312"/>
          <w:bCs/>
          <w:color w:val="auto"/>
          <w:sz w:val="28"/>
          <w:szCs w:val="28"/>
          <w:highlight w:val="none"/>
        </w:rPr>
        <w:t>项目建设投资估算</w:t>
      </w:r>
      <w:r>
        <w:rPr>
          <w:rFonts w:hint="eastAsia" w:ascii="仿宋_GB2312" w:eastAsia="仿宋_GB2312" w:cs="仿宋_GB2312"/>
          <w:bCs/>
          <w:color w:val="auto"/>
          <w:sz w:val="28"/>
          <w:szCs w:val="28"/>
          <w:highlight w:val="none"/>
          <w:lang w:val="en-US" w:eastAsia="zh-CN"/>
        </w:rPr>
        <w:t>570</w:t>
      </w:r>
      <w:r>
        <w:rPr>
          <w:rFonts w:hint="eastAsia" w:ascii="仿宋_GB2312" w:eastAsia="仿宋_GB2312" w:cs="仿宋_GB2312"/>
          <w:bCs/>
          <w:color w:val="auto"/>
          <w:sz w:val="28"/>
          <w:szCs w:val="28"/>
          <w:highlight w:val="none"/>
        </w:rPr>
        <w:t>万元，见表1</w:t>
      </w:r>
      <w:r>
        <w:rPr>
          <w:rFonts w:hint="eastAsia" w:ascii="仿宋_GB2312" w:eastAsia="仿宋_GB2312" w:cs="仿宋_GB2312"/>
          <w:bCs/>
          <w:color w:val="auto"/>
          <w:sz w:val="28"/>
          <w:szCs w:val="28"/>
          <w:highlight w:val="none"/>
          <w:lang w:val="en-US" w:eastAsia="zh-CN"/>
        </w:rPr>
        <w:t>1</w:t>
      </w:r>
      <w:r>
        <w:rPr>
          <w:rFonts w:hint="eastAsia" w:ascii="仿宋_GB2312" w:eastAsia="仿宋_GB2312" w:cs="仿宋_GB2312"/>
          <w:bCs/>
          <w:color w:val="auto"/>
          <w:sz w:val="28"/>
          <w:szCs w:val="28"/>
          <w:highlight w:val="none"/>
        </w:rPr>
        <w:t>-1。</w:t>
      </w:r>
    </w:p>
    <w:p w14:paraId="19243F6C">
      <w:pPr>
        <w:tabs>
          <w:tab w:val="left" w:pos="1004"/>
        </w:tabs>
        <w:adjustRightInd w:val="0"/>
        <w:snapToGrid w:val="0"/>
        <w:spacing w:line="240" w:lineRule="auto"/>
        <w:ind w:firstLine="560" w:firstLineChars="200"/>
        <w:jc w:val="center"/>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rPr>
        <w:t>表1</w:t>
      </w:r>
      <w:r>
        <w:rPr>
          <w:rFonts w:hint="eastAsia" w:ascii="仿宋_GB2312" w:eastAsia="仿宋_GB2312" w:cs="仿宋_GB2312"/>
          <w:color w:val="auto"/>
          <w:sz w:val="28"/>
          <w:szCs w:val="28"/>
          <w:highlight w:val="none"/>
          <w:lang w:val="en-US" w:eastAsia="zh-CN"/>
        </w:rPr>
        <w:t>1</w:t>
      </w:r>
      <w:r>
        <w:rPr>
          <w:rFonts w:hint="eastAsia" w:ascii="仿宋_GB2312" w:eastAsia="仿宋_GB2312" w:cs="仿宋_GB2312"/>
          <w:color w:val="auto"/>
          <w:sz w:val="28"/>
          <w:szCs w:val="28"/>
          <w:highlight w:val="none"/>
        </w:rPr>
        <w:t>-1  按工程投资构成分析表</w:t>
      </w:r>
    </w:p>
    <w:tbl>
      <w:tblPr>
        <w:tblStyle w:val="6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2"/>
        <w:gridCol w:w="1789"/>
        <w:gridCol w:w="5727"/>
        <w:gridCol w:w="576"/>
        <w:gridCol w:w="456"/>
      </w:tblGrid>
      <w:tr w14:paraId="2D226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2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9A34A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序号</w:t>
            </w:r>
          </w:p>
        </w:tc>
        <w:tc>
          <w:tcPr>
            <w:tcW w:w="1163" w:type="pct"/>
            <w:tcBorders>
              <w:top w:val="single" w:color="000000" w:sz="8" w:space="0"/>
              <w:left w:val="nil"/>
              <w:bottom w:val="single" w:color="000000" w:sz="8" w:space="0"/>
              <w:right w:val="single" w:color="000000" w:sz="8" w:space="0"/>
            </w:tcBorders>
            <w:shd w:val="clear" w:color="auto" w:fill="auto"/>
            <w:vAlign w:val="center"/>
          </w:tcPr>
          <w:p w14:paraId="5358793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项 目 名 称</w:t>
            </w:r>
          </w:p>
        </w:tc>
        <w:tc>
          <w:tcPr>
            <w:tcW w:w="1254" w:type="pct"/>
            <w:tcBorders>
              <w:top w:val="single" w:color="000000" w:sz="8" w:space="0"/>
              <w:left w:val="nil"/>
              <w:bottom w:val="single" w:color="000000" w:sz="8" w:space="0"/>
              <w:right w:val="single" w:color="000000" w:sz="8" w:space="0"/>
            </w:tcBorders>
            <w:shd w:val="clear" w:color="auto" w:fill="auto"/>
            <w:vAlign w:val="center"/>
          </w:tcPr>
          <w:p w14:paraId="6C36619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投 资 (万元)</w:t>
            </w:r>
          </w:p>
        </w:tc>
        <w:tc>
          <w:tcPr>
            <w:tcW w:w="1527" w:type="pct"/>
            <w:tcBorders>
              <w:top w:val="single" w:color="000000" w:sz="8" w:space="0"/>
              <w:left w:val="nil"/>
              <w:bottom w:val="single" w:color="000000" w:sz="8" w:space="0"/>
              <w:right w:val="single" w:color="000000" w:sz="8" w:space="0"/>
            </w:tcBorders>
            <w:shd w:val="clear" w:color="auto" w:fill="auto"/>
            <w:vAlign w:val="center"/>
          </w:tcPr>
          <w:p w14:paraId="1C71325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占概算值比例(%)</w:t>
            </w:r>
          </w:p>
        </w:tc>
        <w:tc>
          <w:tcPr>
            <w:tcW w:w="527" w:type="pct"/>
            <w:tcBorders>
              <w:top w:val="single" w:color="000000" w:sz="8" w:space="0"/>
              <w:left w:val="nil"/>
              <w:bottom w:val="single" w:color="000000" w:sz="8" w:space="0"/>
              <w:right w:val="single" w:color="000000" w:sz="8" w:space="0"/>
            </w:tcBorders>
            <w:shd w:val="clear" w:color="auto" w:fill="auto"/>
            <w:vAlign w:val="center"/>
          </w:tcPr>
          <w:p w14:paraId="2031AD2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备注</w:t>
            </w:r>
          </w:p>
        </w:tc>
      </w:tr>
      <w:tr w14:paraId="08AF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27" w:type="pct"/>
            <w:tcBorders>
              <w:top w:val="nil"/>
              <w:left w:val="single" w:color="000000" w:sz="8" w:space="0"/>
              <w:bottom w:val="single" w:color="000000" w:sz="8" w:space="0"/>
              <w:right w:val="single" w:color="000000" w:sz="8" w:space="0"/>
            </w:tcBorders>
            <w:shd w:val="clear" w:color="auto" w:fill="auto"/>
            <w:vAlign w:val="center"/>
          </w:tcPr>
          <w:p w14:paraId="471F909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1</w:t>
            </w:r>
          </w:p>
        </w:tc>
        <w:tc>
          <w:tcPr>
            <w:tcW w:w="1163" w:type="pct"/>
            <w:tcBorders>
              <w:top w:val="nil"/>
              <w:left w:val="nil"/>
              <w:bottom w:val="single" w:color="000000" w:sz="8" w:space="0"/>
              <w:right w:val="single" w:color="000000" w:sz="8" w:space="0"/>
            </w:tcBorders>
            <w:shd w:val="clear" w:color="auto" w:fill="auto"/>
            <w:vAlign w:val="center"/>
          </w:tcPr>
          <w:p w14:paraId="088D850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剥离工程</w:t>
            </w:r>
          </w:p>
        </w:tc>
        <w:tc>
          <w:tcPr>
            <w:tcW w:w="5000" w:type="pct"/>
            <w:tcBorders>
              <w:top w:val="nil"/>
              <w:left w:val="nil"/>
              <w:bottom w:val="single" w:color="000000" w:sz="8" w:space="0"/>
              <w:right w:val="single" w:color="000000" w:sz="8" w:space="0"/>
            </w:tcBorders>
            <w:shd w:val="clear" w:color="auto" w:fill="auto"/>
            <w:vAlign w:val="center"/>
          </w:tcPr>
          <w:p w14:paraId="4A14C6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52.40 </w:t>
            </w:r>
          </w:p>
        </w:tc>
        <w:tc>
          <w:tcPr>
            <w:tcW w:w="5000" w:type="pct"/>
            <w:tcBorders>
              <w:top w:val="nil"/>
              <w:left w:val="nil"/>
              <w:bottom w:val="single" w:color="000000" w:sz="8" w:space="0"/>
              <w:right w:val="single" w:color="000000" w:sz="8" w:space="0"/>
            </w:tcBorders>
            <w:shd w:val="clear" w:color="auto" w:fill="auto"/>
            <w:vAlign w:val="center"/>
          </w:tcPr>
          <w:p w14:paraId="59E986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9</w:t>
            </w:r>
          </w:p>
        </w:tc>
        <w:tc>
          <w:tcPr>
            <w:tcW w:w="527" w:type="pct"/>
            <w:tcBorders>
              <w:top w:val="nil"/>
              <w:left w:val="nil"/>
              <w:bottom w:val="single" w:color="000000" w:sz="8" w:space="0"/>
              <w:right w:val="single" w:color="000000" w:sz="8" w:space="0"/>
            </w:tcBorders>
            <w:shd w:val="clear" w:color="auto" w:fill="auto"/>
            <w:vAlign w:val="center"/>
          </w:tcPr>
          <w:p w14:paraId="6B265F8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4"/>
                <w:szCs w:val="24"/>
                <w:highlight w:val="none"/>
                <w:u w:val="none"/>
              </w:rPr>
            </w:pPr>
          </w:p>
        </w:tc>
      </w:tr>
      <w:tr w14:paraId="2DB4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7" w:type="pct"/>
            <w:tcBorders>
              <w:top w:val="nil"/>
              <w:left w:val="single" w:color="000000" w:sz="8" w:space="0"/>
              <w:bottom w:val="single" w:color="000000" w:sz="8" w:space="0"/>
              <w:right w:val="single" w:color="000000" w:sz="8" w:space="0"/>
            </w:tcBorders>
            <w:shd w:val="clear" w:color="auto" w:fill="auto"/>
            <w:vAlign w:val="center"/>
          </w:tcPr>
          <w:p w14:paraId="609464E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2</w:t>
            </w:r>
          </w:p>
        </w:tc>
        <w:tc>
          <w:tcPr>
            <w:tcW w:w="1163" w:type="pct"/>
            <w:tcBorders>
              <w:top w:val="nil"/>
              <w:left w:val="nil"/>
              <w:bottom w:val="single" w:color="000000" w:sz="8" w:space="0"/>
              <w:right w:val="single" w:color="000000" w:sz="8" w:space="0"/>
            </w:tcBorders>
            <w:shd w:val="clear" w:color="auto" w:fill="auto"/>
            <w:vAlign w:val="center"/>
          </w:tcPr>
          <w:p w14:paraId="500E1C8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建筑工程</w:t>
            </w:r>
          </w:p>
        </w:tc>
        <w:tc>
          <w:tcPr>
            <w:tcW w:w="5000" w:type="pct"/>
            <w:tcBorders>
              <w:top w:val="nil"/>
              <w:left w:val="nil"/>
              <w:bottom w:val="single" w:color="000000" w:sz="8" w:space="0"/>
              <w:right w:val="single" w:color="000000" w:sz="8" w:space="0"/>
            </w:tcBorders>
            <w:shd w:val="clear" w:color="auto" w:fill="auto"/>
            <w:vAlign w:val="center"/>
          </w:tcPr>
          <w:p w14:paraId="4A67EB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46.20 </w:t>
            </w:r>
          </w:p>
        </w:tc>
        <w:tc>
          <w:tcPr>
            <w:tcW w:w="5000" w:type="pct"/>
            <w:tcBorders>
              <w:top w:val="nil"/>
              <w:left w:val="nil"/>
              <w:bottom w:val="single" w:color="000000" w:sz="8" w:space="0"/>
              <w:right w:val="single" w:color="000000" w:sz="8" w:space="0"/>
            </w:tcBorders>
            <w:shd w:val="clear" w:color="auto" w:fill="auto"/>
            <w:vAlign w:val="center"/>
          </w:tcPr>
          <w:p w14:paraId="6096B7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8</w:t>
            </w:r>
          </w:p>
        </w:tc>
        <w:tc>
          <w:tcPr>
            <w:tcW w:w="527" w:type="pct"/>
            <w:tcBorders>
              <w:top w:val="nil"/>
              <w:left w:val="nil"/>
              <w:bottom w:val="single" w:color="000000" w:sz="8" w:space="0"/>
              <w:right w:val="single" w:color="000000" w:sz="8" w:space="0"/>
            </w:tcBorders>
            <w:shd w:val="clear" w:color="auto" w:fill="auto"/>
            <w:vAlign w:val="center"/>
          </w:tcPr>
          <w:p w14:paraId="7994B2F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4"/>
                <w:szCs w:val="24"/>
                <w:highlight w:val="none"/>
                <w:u w:val="none"/>
              </w:rPr>
            </w:pPr>
          </w:p>
        </w:tc>
      </w:tr>
      <w:tr w14:paraId="23BC5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7" w:type="pct"/>
            <w:tcBorders>
              <w:top w:val="nil"/>
              <w:left w:val="single" w:color="000000" w:sz="8" w:space="0"/>
              <w:bottom w:val="single" w:color="000000" w:sz="8" w:space="0"/>
              <w:right w:val="single" w:color="000000" w:sz="8" w:space="0"/>
            </w:tcBorders>
            <w:shd w:val="clear" w:color="auto" w:fill="auto"/>
            <w:vAlign w:val="center"/>
          </w:tcPr>
          <w:p w14:paraId="46DB211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3</w:t>
            </w:r>
          </w:p>
        </w:tc>
        <w:tc>
          <w:tcPr>
            <w:tcW w:w="1163" w:type="pct"/>
            <w:tcBorders>
              <w:top w:val="nil"/>
              <w:left w:val="nil"/>
              <w:bottom w:val="single" w:color="000000" w:sz="8" w:space="0"/>
              <w:right w:val="single" w:color="000000" w:sz="8" w:space="0"/>
            </w:tcBorders>
            <w:shd w:val="clear" w:color="auto" w:fill="auto"/>
            <w:vAlign w:val="center"/>
          </w:tcPr>
          <w:p w14:paraId="7602D8A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设    备</w:t>
            </w:r>
          </w:p>
        </w:tc>
        <w:tc>
          <w:tcPr>
            <w:tcW w:w="5000" w:type="pct"/>
            <w:tcBorders>
              <w:top w:val="nil"/>
              <w:left w:val="nil"/>
              <w:bottom w:val="single" w:color="000000" w:sz="8" w:space="0"/>
              <w:right w:val="single" w:color="000000" w:sz="8" w:space="0"/>
            </w:tcBorders>
            <w:shd w:val="clear" w:color="auto" w:fill="auto"/>
            <w:vAlign w:val="center"/>
          </w:tcPr>
          <w:p w14:paraId="1F28A5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240.00 </w:t>
            </w:r>
          </w:p>
        </w:tc>
        <w:tc>
          <w:tcPr>
            <w:tcW w:w="5000" w:type="pct"/>
            <w:tcBorders>
              <w:top w:val="nil"/>
              <w:left w:val="nil"/>
              <w:bottom w:val="single" w:color="000000" w:sz="8" w:space="0"/>
              <w:right w:val="single" w:color="000000" w:sz="8" w:space="0"/>
            </w:tcBorders>
            <w:shd w:val="clear" w:color="auto" w:fill="auto"/>
            <w:vAlign w:val="center"/>
          </w:tcPr>
          <w:p w14:paraId="78B70E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42</w:t>
            </w:r>
          </w:p>
        </w:tc>
        <w:tc>
          <w:tcPr>
            <w:tcW w:w="527" w:type="pct"/>
            <w:tcBorders>
              <w:top w:val="nil"/>
              <w:left w:val="nil"/>
              <w:bottom w:val="single" w:color="000000" w:sz="8" w:space="0"/>
              <w:right w:val="single" w:color="000000" w:sz="8" w:space="0"/>
            </w:tcBorders>
            <w:shd w:val="clear" w:color="auto" w:fill="auto"/>
            <w:vAlign w:val="center"/>
          </w:tcPr>
          <w:p w14:paraId="0E0CF78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4"/>
                <w:szCs w:val="24"/>
                <w:highlight w:val="none"/>
                <w:u w:val="none"/>
              </w:rPr>
            </w:pPr>
          </w:p>
        </w:tc>
      </w:tr>
      <w:tr w14:paraId="71723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7" w:type="pct"/>
            <w:tcBorders>
              <w:top w:val="nil"/>
              <w:left w:val="single" w:color="000000" w:sz="8" w:space="0"/>
              <w:bottom w:val="single" w:color="000000" w:sz="8" w:space="0"/>
              <w:right w:val="single" w:color="000000" w:sz="8" w:space="0"/>
            </w:tcBorders>
            <w:shd w:val="clear" w:color="auto" w:fill="auto"/>
            <w:vAlign w:val="center"/>
          </w:tcPr>
          <w:p w14:paraId="5C8FAF9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4</w:t>
            </w:r>
          </w:p>
        </w:tc>
        <w:tc>
          <w:tcPr>
            <w:tcW w:w="1163" w:type="pct"/>
            <w:tcBorders>
              <w:top w:val="nil"/>
              <w:left w:val="nil"/>
              <w:bottom w:val="single" w:color="000000" w:sz="8" w:space="0"/>
              <w:right w:val="single" w:color="000000" w:sz="8" w:space="0"/>
            </w:tcBorders>
            <w:shd w:val="clear" w:color="auto" w:fill="auto"/>
            <w:vAlign w:val="center"/>
          </w:tcPr>
          <w:p w14:paraId="09A3458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安装工程</w:t>
            </w:r>
          </w:p>
        </w:tc>
        <w:tc>
          <w:tcPr>
            <w:tcW w:w="5000" w:type="pct"/>
            <w:tcBorders>
              <w:top w:val="nil"/>
              <w:left w:val="nil"/>
              <w:bottom w:val="single" w:color="000000" w:sz="8" w:space="0"/>
              <w:right w:val="single" w:color="000000" w:sz="8" w:space="0"/>
            </w:tcBorders>
            <w:shd w:val="clear" w:color="auto" w:fill="auto"/>
            <w:vAlign w:val="center"/>
          </w:tcPr>
          <w:p w14:paraId="3267B15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W w:w="5000" w:type="pct"/>
            <w:tcBorders>
              <w:top w:val="nil"/>
              <w:left w:val="nil"/>
              <w:bottom w:val="single" w:color="000000" w:sz="8" w:space="0"/>
              <w:right w:val="single" w:color="000000" w:sz="8" w:space="0"/>
            </w:tcBorders>
            <w:shd w:val="clear" w:color="auto" w:fill="auto"/>
            <w:vAlign w:val="center"/>
          </w:tcPr>
          <w:p w14:paraId="0EC6250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W w:w="527" w:type="pct"/>
            <w:tcBorders>
              <w:top w:val="nil"/>
              <w:left w:val="nil"/>
              <w:bottom w:val="single" w:color="000000" w:sz="8" w:space="0"/>
              <w:right w:val="single" w:color="000000" w:sz="8" w:space="0"/>
            </w:tcBorders>
            <w:shd w:val="clear" w:color="auto" w:fill="auto"/>
            <w:vAlign w:val="center"/>
          </w:tcPr>
          <w:p w14:paraId="3CA1458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4"/>
                <w:szCs w:val="24"/>
                <w:highlight w:val="none"/>
                <w:u w:val="none"/>
              </w:rPr>
            </w:pPr>
          </w:p>
        </w:tc>
      </w:tr>
      <w:tr w14:paraId="02B8C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7" w:type="pct"/>
            <w:tcBorders>
              <w:top w:val="nil"/>
              <w:left w:val="single" w:color="000000" w:sz="8" w:space="0"/>
              <w:bottom w:val="single" w:color="000000" w:sz="8" w:space="0"/>
              <w:right w:val="single" w:color="000000" w:sz="8" w:space="0"/>
            </w:tcBorders>
            <w:shd w:val="clear" w:color="auto" w:fill="auto"/>
            <w:vAlign w:val="center"/>
          </w:tcPr>
          <w:p w14:paraId="1DCF368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5</w:t>
            </w:r>
          </w:p>
        </w:tc>
        <w:tc>
          <w:tcPr>
            <w:tcW w:w="1163" w:type="pct"/>
            <w:tcBorders>
              <w:top w:val="nil"/>
              <w:left w:val="nil"/>
              <w:bottom w:val="single" w:color="000000" w:sz="8" w:space="0"/>
              <w:right w:val="single" w:color="000000" w:sz="8" w:space="0"/>
            </w:tcBorders>
            <w:shd w:val="clear" w:color="auto" w:fill="auto"/>
            <w:vAlign w:val="center"/>
          </w:tcPr>
          <w:p w14:paraId="054EBC1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其它费用</w:t>
            </w:r>
          </w:p>
        </w:tc>
        <w:tc>
          <w:tcPr>
            <w:tcW w:w="5000" w:type="pct"/>
            <w:tcBorders>
              <w:top w:val="nil"/>
              <w:left w:val="nil"/>
              <w:bottom w:val="single" w:color="000000" w:sz="8" w:space="0"/>
              <w:right w:val="single" w:color="000000" w:sz="8" w:space="0"/>
            </w:tcBorders>
            <w:shd w:val="clear" w:color="auto" w:fill="auto"/>
            <w:vAlign w:val="center"/>
          </w:tcPr>
          <w:p w14:paraId="7BBF0B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231.84 </w:t>
            </w:r>
          </w:p>
        </w:tc>
        <w:tc>
          <w:tcPr>
            <w:tcW w:w="5000" w:type="pct"/>
            <w:tcBorders>
              <w:top w:val="nil"/>
              <w:left w:val="nil"/>
              <w:bottom w:val="single" w:color="000000" w:sz="8" w:space="0"/>
              <w:right w:val="single" w:color="000000" w:sz="8" w:space="0"/>
            </w:tcBorders>
            <w:shd w:val="clear" w:color="auto" w:fill="auto"/>
            <w:vAlign w:val="center"/>
          </w:tcPr>
          <w:p w14:paraId="2A6E46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41</w:t>
            </w:r>
          </w:p>
        </w:tc>
        <w:tc>
          <w:tcPr>
            <w:tcW w:w="527" w:type="pct"/>
            <w:tcBorders>
              <w:top w:val="nil"/>
              <w:left w:val="nil"/>
              <w:bottom w:val="single" w:color="000000" w:sz="8" w:space="0"/>
              <w:right w:val="single" w:color="000000" w:sz="8" w:space="0"/>
            </w:tcBorders>
            <w:shd w:val="clear" w:color="auto" w:fill="auto"/>
            <w:vAlign w:val="center"/>
          </w:tcPr>
          <w:p w14:paraId="6571F6D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4"/>
                <w:szCs w:val="24"/>
                <w:highlight w:val="none"/>
                <w:u w:val="none"/>
              </w:rPr>
            </w:pPr>
          </w:p>
        </w:tc>
      </w:tr>
      <w:tr w14:paraId="38BF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7" w:type="pct"/>
            <w:tcBorders>
              <w:top w:val="nil"/>
              <w:left w:val="single" w:color="000000" w:sz="8" w:space="0"/>
              <w:bottom w:val="single" w:color="000000" w:sz="8" w:space="0"/>
              <w:right w:val="single" w:color="000000" w:sz="8" w:space="0"/>
            </w:tcBorders>
            <w:shd w:val="clear" w:color="auto" w:fill="auto"/>
            <w:vAlign w:val="center"/>
          </w:tcPr>
          <w:p w14:paraId="12F353B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6</w:t>
            </w:r>
          </w:p>
        </w:tc>
        <w:tc>
          <w:tcPr>
            <w:tcW w:w="1163" w:type="pct"/>
            <w:tcBorders>
              <w:top w:val="nil"/>
              <w:left w:val="nil"/>
              <w:bottom w:val="single" w:color="000000" w:sz="8" w:space="0"/>
              <w:right w:val="single" w:color="000000" w:sz="8" w:space="0"/>
            </w:tcBorders>
            <w:shd w:val="clear" w:color="auto" w:fill="auto"/>
            <w:vAlign w:val="center"/>
          </w:tcPr>
          <w:p w14:paraId="53062E5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总    计</w:t>
            </w:r>
          </w:p>
        </w:tc>
        <w:tc>
          <w:tcPr>
            <w:tcW w:w="5000" w:type="pct"/>
            <w:tcBorders>
              <w:top w:val="nil"/>
              <w:left w:val="nil"/>
              <w:bottom w:val="single" w:color="000000" w:sz="8" w:space="0"/>
              <w:right w:val="single" w:color="000000" w:sz="8" w:space="0"/>
            </w:tcBorders>
            <w:shd w:val="clear" w:color="auto" w:fill="auto"/>
            <w:vAlign w:val="center"/>
          </w:tcPr>
          <w:p w14:paraId="01C573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 xml:space="preserve">570 </w:t>
            </w:r>
          </w:p>
        </w:tc>
        <w:tc>
          <w:tcPr>
            <w:tcW w:w="5000" w:type="pct"/>
            <w:tcBorders>
              <w:top w:val="nil"/>
              <w:left w:val="nil"/>
              <w:bottom w:val="single" w:color="000000" w:sz="8" w:space="0"/>
              <w:right w:val="single" w:color="000000" w:sz="8" w:space="0"/>
            </w:tcBorders>
            <w:shd w:val="clear" w:color="auto" w:fill="auto"/>
            <w:vAlign w:val="center"/>
          </w:tcPr>
          <w:p w14:paraId="0564CD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100</w:t>
            </w:r>
          </w:p>
        </w:tc>
        <w:tc>
          <w:tcPr>
            <w:tcW w:w="527" w:type="pct"/>
            <w:tcBorders>
              <w:top w:val="nil"/>
              <w:left w:val="nil"/>
              <w:bottom w:val="single" w:color="000000" w:sz="8" w:space="0"/>
              <w:right w:val="single" w:color="000000" w:sz="8" w:space="0"/>
            </w:tcBorders>
            <w:shd w:val="clear" w:color="auto" w:fill="auto"/>
            <w:vAlign w:val="center"/>
          </w:tcPr>
          <w:p w14:paraId="0C33678C">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_GB2312" w:eastAsia="仿宋_GB2312" w:cs="仿宋_GB2312"/>
                <w:i w:val="0"/>
                <w:iCs w:val="0"/>
                <w:color w:val="auto"/>
                <w:sz w:val="24"/>
                <w:szCs w:val="24"/>
                <w:highlight w:val="none"/>
                <w:u w:val="none"/>
              </w:rPr>
            </w:pPr>
          </w:p>
        </w:tc>
      </w:tr>
    </w:tbl>
    <w:p w14:paraId="074CCBC3">
      <w:pPr>
        <w:adjustRightInd w:val="0"/>
        <w:snapToGrid w:val="0"/>
        <w:spacing w:line="360" w:lineRule="auto"/>
        <w:outlineLvl w:val="1"/>
        <w:rPr>
          <w:rFonts w:hint="eastAsia" w:ascii="仿宋_GB2312" w:eastAsia="仿宋_GB2312" w:cs="仿宋_GB2312"/>
          <w:b/>
          <w:color w:val="auto"/>
          <w:sz w:val="28"/>
          <w:szCs w:val="28"/>
          <w:highlight w:val="none"/>
        </w:rPr>
      </w:pPr>
      <w:bookmarkStart w:id="419" w:name="_Toc31667"/>
      <w:bookmarkStart w:id="420" w:name="_Toc290371302"/>
      <w:bookmarkStart w:id="421" w:name="_Toc27264"/>
      <w:bookmarkStart w:id="422" w:name="_Toc222223404"/>
      <w:r>
        <w:rPr>
          <w:rFonts w:hint="eastAsia" w:ascii="仿宋_GB2312" w:eastAsia="仿宋_GB2312" w:cs="仿宋_GB2312"/>
          <w:b/>
          <w:color w:val="auto"/>
          <w:sz w:val="28"/>
          <w:szCs w:val="28"/>
          <w:highlight w:val="none"/>
          <w:lang w:val="en-US" w:eastAsia="zh-CN"/>
        </w:rPr>
        <w:t>11</w:t>
      </w:r>
      <w:r>
        <w:rPr>
          <w:rFonts w:hint="eastAsia" w:ascii="仿宋_GB2312" w:eastAsia="仿宋_GB2312" w:cs="仿宋_GB2312"/>
          <w:b/>
          <w:color w:val="auto"/>
          <w:sz w:val="28"/>
          <w:szCs w:val="28"/>
          <w:highlight w:val="none"/>
        </w:rPr>
        <w:t>.3流动资金估算</w:t>
      </w:r>
      <w:bookmarkEnd w:id="419"/>
      <w:bookmarkEnd w:id="420"/>
      <w:bookmarkEnd w:id="421"/>
      <w:bookmarkEnd w:id="422"/>
    </w:p>
    <w:p w14:paraId="47A64CD7">
      <w:pPr>
        <w:autoSpaceDE w:val="0"/>
        <w:autoSpaceDN w:val="0"/>
        <w:adjustRightInd w:val="0"/>
        <w:snapToGrid w:val="0"/>
        <w:spacing w:line="360" w:lineRule="auto"/>
        <w:ind w:firstLine="615"/>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按分项详细估算法进行估算，项目需流动资金</w:t>
      </w:r>
      <w:r>
        <w:rPr>
          <w:rFonts w:hint="eastAsia" w:ascii="仿宋_GB2312" w:eastAsia="仿宋_GB2312" w:cs="仿宋_GB2312"/>
          <w:color w:val="auto"/>
          <w:sz w:val="28"/>
          <w:szCs w:val="28"/>
          <w:highlight w:val="none"/>
          <w:lang w:val="en-US" w:eastAsia="zh-CN"/>
        </w:rPr>
        <w:t>62</w:t>
      </w:r>
      <w:r>
        <w:rPr>
          <w:rFonts w:hint="eastAsia" w:ascii="仿宋_GB2312" w:eastAsia="仿宋_GB2312" w:cs="仿宋_GB2312"/>
          <w:color w:val="auto"/>
          <w:sz w:val="28"/>
          <w:szCs w:val="28"/>
          <w:highlight w:val="none"/>
        </w:rPr>
        <w:t>万元</w:t>
      </w:r>
      <w:r>
        <w:rPr>
          <w:rFonts w:hint="eastAsia" w:ascii="仿宋_GB2312" w:eastAsia="仿宋_GB2312" w:cs="仿宋_GB2312"/>
          <w:color w:val="auto"/>
          <w:sz w:val="28"/>
          <w:szCs w:val="28"/>
          <w:highlight w:val="none"/>
          <w:lang w:eastAsia="zh-CN"/>
        </w:rPr>
        <w:t>，</w:t>
      </w:r>
      <w:r>
        <w:rPr>
          <w:rFonts w:hint="eastAsia" w:ascii="仿宋_GB2312" w:eastAsia="仿宋_GB2312" w:cs="仿宋_GB2312"/>
          <w:color w:val="auto"/>
          <w:sz w:val="28"/>
          <w:szCs w:val="28"/>
          <w:highlight w:val="none"/>
          <w:lang w:val="en-US" w:eastAsia="zh-CN"/>
        </w:rPr>
        <w:t>其中</w:t>
      </w:r>
      <w:r>
        <w:rPr>
          <w:rFonts w:hint="eastAsia" w:ascii="仿宋_GB2312" w:eastAsia="仿宋_GB2312" w:cs="仿宋_GB2312"/>
          <w:color w:val="auto"/>
          <w:sz w:val="28"/>
          <w:szCs w:val="28"/>
          <w:highlight w:val="none"/>
        </w:rPr>
        <w:t>铺底流动资金</w:t>
      </w:r>
      <w:r>
        <w:rPr>
          <w:rFonts w:hint="eastAsia" w:ascii="仿宋_GB2312" w:eastAsia="仿宋_GB2312" w:cs="仿宋_GB2312"/>
          <w:color w:val="auto"/>
          <w:sz w:val="28"/>
          <w:szCs w:val="28"/>
          <w:highlight w:val="none"/>
          <w:lang w:val="en-US" w:eastAsia="zh-CN"/>
        </w:rPr>
        <w:t>18</w:t>
      </w:r>
      <w:r>
        <w:rPr>
          <w:rFonts w:hint="eastAsia" w:ascii="仿宋_GB2312" w:eastAsia="仿宋_GB2312" w:cs="仿宋_GB2312"/>
          <w:color w:val="auto"/>
          <w:sz w:val="28"/>
          <w:szCs w:val="28"/>
          <w:highlight w:val="none"/>
        </w:rPr>
        <w:t>万元。</w:t>
      </w:r>
    </w:p>
    <w:p w14:paraId="15BC392A">
      <w:pPr>
        <w:adjustRightInd w:val="0"/>
        <w:snapToGrid w:val="0"/>
        <w:spacing w:line="360" w:lineRule="auto"/>
        <w:outlineLvl w:val="1"/>
        <w:rPr>
          <w:rFonts w:hint="eastAsia" w:ascii="仿宋_GB2312" w:eastAsia="仿宋_GB2312" w:cs="仿宋_GB2312"/>
          <w:b/>
          <w:color w:val="auto"/>
          <w:sz w:val="28"/>
          <w:szCs w:val="28"/>
          <w:highlight w:val="none"/>
          <w:lang w:val="en-US" w:eastAsia="zh-CN"/>
        </w:rPr>
      </w:pPr>
      <w:bookmarkStart w:id="423" w:name="_Toc106562030"/>
      <w:bookmarkStart w:id="424" w:name="_Toc12188"/>
      <w:bookmarkStart w:id="425" w:name="_Toc2784"/>
      <w:bookmarkStart w:id="426" w:name="_Toc290371303"/>
      <w:bookmarkStart w:id="427" w:name="_Toc222223405"/>
      <w:r>
        <w:rPr>
          <w:rFonts w:hint="eastAsia" w:ascii="仿宋_GB2312" w:eastAsia="仿宋_GB2312" w:cs="仿宋_GB2312"/>
          <w:b/>
          <w:color w:val="auto"/>
          <w:sz w:val="28"/>
          <w:szCs w:val="28"/>
          <w:highlight w:val="none"/>
          <w:lang w:val="en-US" w:eastAsia="zh-CN"/>
        </w:rPr>
        <w:t>11.4项目总投资</w:t>
      </w:r>
      <w:bookmarkEnd w:id="423"/>
      <w:bookmarkEnd w:id="424"/>
      <w:bookmarkEnd w:id="425"/>
      <w:bookmarkEnd w:id="426"/>
      <w:bookmarkEnd w:id="427"/>
    </w:p>
    <w:p w14:paraId="7748738A">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项目总投资</w:t>
      </w:r>
      <w:r>
        <w:rPr>
          <w:rFonts w:hint="eastAsia" w:ascii="仿宋_GB2312" w:eastAsia="仿宋_GB2312" w:cs="仿宋_GB2312"/>
          <w:color w:val="auto"/>
          <w:sz w:val="28"/>
          <w:szCs w:val="28"/>
          <w:highlight w:val="none"/>
          <w:lang w:val="en-US" w:eastAsia="zh-CN"/>
        </w:rPr>
        <w:t>588</w:t>
      </w:r>
      <w:r>
        <w:rPr>
          <w:rFonts w:hint="eastAsia" w:ascii="仿宋_GB2312" w:eastAsia="仿宋_GB2312" w:cs="仿宋_GB2312"/>
          <w:color w:val="auto"/>
          <w:sz w:val="28"/>
          <w:szCs w:val="28"/>
          <w:highlight w:val="none"/>
        </w:rPr>
        <w:t>万元，</w:t>
      </w:r>
      <w:r>
        <w:rPr>
          <w:rFonts w:hint="eastAsia" w:ascii="仿宋_GB2312" w:eastAsia="仿宋_GB2312" w:cs="仿宋_GB2312"/>
          <w:color w:val="auto"/>
          <w:sz w:val="28"/>
          <w:szCs w:val="28"/>
          <w:highlight w:val="none"/>
          <w:lang w:val="en-US" w:eastAsia="zh-CN"/>
        </w:rPr>
        <w:t>含</w:t>
      </w:r>
      <w:r>
        <w:rPr>
          <w:rFonts w:hint="eastAsia" w:ascii="仿宋_GB2312" w:eastAsia="仿宋_GB2312" w:cs="仿宋_GB2312"/>
          <w:color w:val="auto"/>
          <w:sz w:val="28"/>
          <w:szCs w:val="28"/>
          <w:highlight w:val="none"/>
        </w:rPr>
        <w:t>建设投资</w:t>
      </w:r>
      <w:r>
        <w:rPr>
          <w:rFonts w:hint="eastAsia" w:ascii="仿宋_GB2312" w:eastAsia="仿宋_GB2312" w:cs="仿宋_GB2312"/>
          <w:color w:val="auto"/>
          <w:sz w:val="28"/>
          <w:szCs w:val="28"/>
          <w:highlight w:val="none"/>
          <w:lang w:val="en-US" w:eastAsia="zh-CN"/>
        </w:rPr>
        <w:t>570</w:t>
      </w:r>
      <w:r>
        <w:rPr>
          <w:rFonts w:hint="eastAsia" w:ascii="仿宋_GB2312" w:eastAsia="仿宋_GB2312" w:cs="仿宋_GB2312"/>
          <w:color w:val="auto"/>
          <w:sz w:val="28"/>
          <w:szCs w:val="28"/>
          <w:highlight w:val="none"/>
        </w:rPr>
        <w:t>万元、铺底流动资金</w:t>
      </w:r>
      <w:r>
        <w:rPr>
          <w:rFonts w:hint="eastAsia" w:ascii="仿宋_GB2312" w:eastAsia="仿宋_GB2312" w:cs="仿宋_GB2312"/>
          <w:color w:val="auto"/>
          <w:sz w:val="28"/>
          <w:szCs w:val="28"/>
          <w:highlight w:val="none"/>
          <w:lang w:val="en-US" w:eastAsia="zh-CN"/>
        </w:rPr>
        <w:t>18</w:t>
      </w:r>
      <w:r>
        <w:rPr>
          <w:rFonts w:hint="eastAsia" w:ascii="仿宋_GB2312" w:eastAsia="仿宋_GB2312" w:cs="仿宋_GB2312"/>
          <w:color w:val="auto"/>
          <w:sz w:val="28"/>
          <w:szCs w:val="28"/>
          <w:highlight w:val="none"/>
        </w:rPr>
        <w:t>万元。</w:t>
      </w:r>
    </w:p>
    <w:p w14:paraId="73C56923">
      <w:pPr>
        <w:adjustRightInd w:val="0"/>
        <w:snapToGrid w:val="0"/>
        <w:spacing w:line="360" w:lineRule="auto"/>
        <w:outlineLvl w:val="1"/>
        <w:rPr>
          <w:rFonts w:hint="eastAsia" w:ascii="仿宋_GB2312" w:eastAsia="仿宋_GB2312" w:cs="仿宋_GB2312"/>
          <w:b/>
          <w:color w:val="auto"/>
          <w:sz w:val="28"/>
          <w:szCs w:val="28"/>
          <w:highlight w:val="none"/>
        </w:rPr>
      </w:pPr>
      <w:bookmarkStart w:id="428" w:name="_Toc244422399"/>
      <w:bookmarkStart w:id="429" w:name="_Toc22301"/>
      <w:bookmarkStart w:id="430" w:name="_Toc8240"/>
      <w:r>
        <w:rPr>
          <w:rFonts w:hint="eastAsia" w:ascii="仿宋_GB2312" w:eastAsia="仿宋_GB2312" w:cs="仿宋_GB2312"/>
          <w:b/>
          <w:color w:val="auto"/>
          <w:sz w:val="28"/>
          <w:szCs w:val="28"/>
          <w:highlight w:val="none"/>
          <w:lang w:val="en-US" w:eastAsia="zh-CN"/>
        </w:rPr>
        <w:t>11</w:t>
      </w:r>
      <w:r>
        <w:rPr>
          <w:rFonts w:hint="eastAsia" w:ascii="仿宋_GB2312" w:eastAsia="仿宋_GB2312" w:cs="仿宋_GB2312"/>
          <w:b/>
          <w:color w:val="auto"/>
          <w:sz w:val="28"/>
          <w:szCs w:val="28"/>
          <w:highlight w:val="none"/>
        </w:rPr>
        <w:t>.</w:t>
      </w:r>
      <w:r>
        <w:rPr>
          <w:rFonts w:hint="eastAsia" w:ascii="仿宋_GB2312" w:eastAsia="仿宋_GB2312" w:cs="仿宋_GB2312"/>
          <w:b/>
          <w:color w:val="auto"/>
          <w:sz w:val="28"/>
          <w:szCs w:val="28"/>
          <w:highlight w:val="none"/>
          <w:lang w:val="en-US" w:eastAsia="zh-CN"/>
        </w:rPr>
        <w:t>5</w:t>
      </w:r>
      <w:r>
        <w:rPr>
          <w:rFonts w:hint="eastAsia" w:ascii="仿宋_GB2312" w:eastAsia="仿宋_GB2312" w:cs="仿宋_GB2312"/>
          <w:b/>
          <w:color w:val="auto"/>
          <w:sz w:val="28"/>
          <w:szCs w:val="28"/>
          <w:highlight w:val="none"/>
        </w:rPr>
        <w:t>项目总</w:t>
      </w:r>
      <w:bookmarkEnd w:id="428"/>
      <w:r>
        <w:rPr>
          <w:rFonts w:hint="eastAsia" w:ascii="仿宋_GB2312" w:eastAsia="仿宋_GB2312" w:cs="仿宋_GB2312"/>
          <w:b/>
          <w:color w:val="auto"/>
          <w:sz w:val="28"/>
          <w:szCs w:val="28"/>
          <w:highlight w:val="none"/>
        </w:rPr>
        <w:t>资金及资金来源</w:t>
      </w:r>
      <w:bookmarkEnd w:id="429"/>
      <w:bookmarkEnd w:id="430"/>
    </w:p>
    <w:p w14:paraId="15BF1E38">
      <w:pPr>
        <w:adjustRightInd w:val="0"/>
        <w:snapToGrid w:val="0"/>
        <w:spacing w:line="360" w:lineRule="auto"/>
        <w:ind w:firstLine="560" w:firstLineChars="200"/>
        <w:rPr>
          <w:rFonts w:hint="eastAsia" w:ascii="仿宋_GB2312" w:eastAsia="仿宋_GB2312" w:cs="仿宋_GB2312"/>
          <w:color w:val="auto"/>
          <w:sz w:val="28"/>
          <w:szCs w:val="28"/>
          <w:highlight w:val="none"/>
        </w:rPr>
        <w:sectPr>
          <w:footerReference r:id="rId9" w:type="default"/>
          <w:pgSz w:w="11907" w:h="16840"/>
          <w:pgMar w:top="1247" w:right="1361" w:bottom="1588" w:left="1588" w:header="851" w:footer="992" w:gutter="0"/>
          <w:cols w:space="720" w:num="1"/>
          <w:docGrid w:type="lines" w:linePitch="583" w:charSpace="490"/>
        </w:sectPr>
      </w:pPr>
      <w:bookmarkStart w:id="431" w:name="_Toc244422400"/>
      <w:r>
        <w:rPr>
          <w:rFonts w:hint="eastAsia" w:ascii="仿宋_GB2312" w:eastAsia="仿宋_GB2312" w:cs="仿宋_GB2312"/>
          <w:color w:val="auto"/>
          <w:sz w:val="28"/>
          <w:szCs w:val="28"/>
          <w:highlight w:val="none"/>
        </w:rPr>
        <w:t>项目总资金为</w:t>
      </w:r>
      <w:r>
        <w:rPr>
          <w:rFonts w:hint="eastAsia" w:ascii="仿宋_GB2312" w:eastAsia="仿宋_GB2312" w:cs="仿宋_GB2312"/>
          <w:color w:val="auto"/>
          <w:sz w:val="28"/>
          <w:szCs w:val="28"/>
          <w:highlight w:val="none"/>
          <w:lang w:val="en-US" w:eastAsia="zh-CN"/>
        </w:rPr>
        <w:t>632</w:t>
      </w:r>
      <w:r>
        <w:rPr>
          <w:rFonts w:hint="eastAsia" w:ascii="仿宋_GB2312" w:eastAsia="仿宋_GB2312" w:cs="仿宋_GB2312"/>
          <w:color w:val="auto"/>
          <w:sz w:val="28"/>
          <w:szCs w:val="28"/>
          <w:highlight w:val="none"/>
        </w:rPr>
        <w:t>万元，其中建设投资</w:t>
      </w:r>
      <w:r>
        <w:rPr>
          <w:rFonts w:hint="eastAsia" w:ascii="仿宋_GB2312" w:eastAsia="仿宋_GB2312" w:cs="仿宋_GB2312"/>
          <w:color w:val="auto"/>
          <w:sz w:val="28"/>
          <w:szCs w:val="28"/>
          <w:highlight w:val="none"/>
          <w:lang w:val="en-US" w:eastAsia="zh-CN"/>
        </w:rPr>
        <w:t>570</w:t>
      </w:r>
      <w:r>
        <w:rPr>
          <w:rFonts w:hint="eastAsia" w:ascii="仿宋_GB2312" w:eastAsia="仿宋_GB2312" w:cs="仿宋_GB2312"/>
          <w:color w:val="auto"/>
          <w:sz w:val="28"/>
          <w:szCs w:val="28"/>
          <w:highlight w:val="none"/>
        </w:rPr>
        <w:t>万元，流动资金</w:t>
      </w:r>
      <w:r>
        <w:rPr>
          <w:rFonts w:hint="eastAsia" w:ascii="仿宋_GB2312" w:eastAsia="仿宋_GB2312" w:cs="仿宋_GB2312"/>
          <w:color w:val="auto"/>
          <w:sz w:val="28"/>
          <w:szCs w:val="28"/>
          <w:highlight w:val="none"/>
          <w:lang w:val="en-US" w:eastAsia="zh-CN"/>
        </w:rPr>
        <w:t>62</w:t>
      </w:r>
      <w:r>
        <w:rPr>
          <w:rFonts w:hint="eastAsia" w:ascii="仿宋_GB2312" w:eastAsia="仿宋_GB2312" w:cs="仿宋_GB2312"/>
          <w:color w:val="auto"/>
          <w:sz w:val="28"/>
          <w:szCs w:val="28"/>
          <w:highlight w:val="none"/>
        </w:rPr>
        <w:t>万元。</w:t>
      </w:r>
      <w:bookmarkEnd w:id="431"/>
      <w:r>
        <w:rPr>
          <w:rFonts w:hint="eastAsia" w:ascii="仿宋_GB2312" w:eastAsia="仿宋_GB2312" w:cs="仿宋_GB2312"/>
          <w:color w:val="auto"/>
          <w:sz w:val="28"/>
          <w:szCs w:val="28"/>
          <w:highlight w:val="none"/>
        </w:rPr>
        <w:t>项目所需资金由企业自筹。项目总投资使用计划与资金筹措见附表1。</w:t>
      </w:r>
    </w:p>
    <w:p w14:paraId="28E9CC70">
      <w:pPr>
        <w:tabs>
          <w:tab w:val="left" w:pos="1004"/>
        </w:tabs>
        <w:adjustRightInd w:val="0"/>
        <w:snapToGrid w:val="0"/>
        <w:spacing w:line="240" w:lineRule="auto"/>
        <w:ind w:firstLine="560" w:firstLineChars="200"/>
        <w:jc w:val="center"/>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表1</w:t>
      </w:r>
      <w:r>
        <w:rPr>
          <w:rFonts w:hint="eastAsia" w:ascii="仿宋_GB2312" w:eastAsia="仿宋_GB2312" w:cs="仿宋_GB2312"/>
          <w:color w:val="auto"/>
          <w:sz w:val="28"/>
          <w:szCs w:val="28"/>
          <w:highlight w:val="none"/>
          <w:lang w:val="en-US" w:eastAsia="zh-CN"/>
        </w:rPr>
        <w:t>1</w:t>
      </w:r>
      <w:r>
        <w:rPr>
          <w:rFonts w:hint="eastAsia" w:ascii="仿宋_GB2312" w:eastAsia="仿宋_GB2312" w:cs="仿宋_GB2312"/>
          <w:color w:val="auto"/>
          <w:sz w:val="28"/>
          <w:szCs w:val="28"/>
          <w:highlight w:val="none"/>
        </w:rPr>
        <w:t>-</w:t>
      </w:r>
      <w:r>
        <w:rPr>
          <w:rFonts w:hint="eastAsia" w:ascii="仿宋_GB2312" w:eastAsia="仿宋_GB2312" w:cs="仿宋_GB2312"/>
          <w:color w:val="auto"/>
          <w:sz w:val="28"/>
          <w:szCs w:val="28"/>
          <w:highlight w:val="none"/>
          <w:lang w:val="en-US" w:eastAsia="zh-CN"/>
        </w:rPr>
        <w:t>2</w:t>
      </w:r>
      <w:r>
        <w:rPr>
          <w:rFonts w:hint="eastAsia" w:ascii="仿宋_GB2312" w:eastAsia="仿宋_GB2312" w:cs="仿宋_GB2312"/>
          <w:color w:val="auto"/>
          <w:sz w:val="28"/>
          <w:szCs w:val="28"/>
          <w:highlight w:val="none"/>
        </w:rPr>
        <w:t xml:space="preserve">                       建设投资估算表                                  单位：万元</w:t>
      </w:r>
    </w:p>
    <w:tbl>
      <w:tblPr>
        <w:tblStyle w:val="6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25"/>
        <w:gridCol w:w="4287"/>
        <w:gridCol w:w="1536"/>
        <w:gridCol w:w="1536"/>
        <w:gridCol w:w="1383"/>
        <w:gridCol w:w="1536"/>
        <w:gridCol w:w="1536"/>
        <w:gridCol w:w="1476"/>
      </w:tblGrid>
      <w:tr w14:paraId="7654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325" w:type="pct"/>
            <w:shd w:val="clear" w:color="auto" w:fill="auto"/>
            <w:vAlign w:val="center"/>
          </w:tcPr>
          <w:p w14:paraId="67D602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序号</w:t>
            </w:r>
          </w:p>
        </w:tc>
        <w:tc>
          <w:tcPr>
            <w:tcW w:w="1507" w:type="pct"/>
            <w:shd w:val="clear" w:color="auto" w:fill="auto"/>
            <w:vAlign w:val="center"/>
          </w:tcPr>
          <w:p w14:paraId="061F53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项目或工程名称</w:t>
            </w:r>
          </w:p>
        </w:tc>
        <w:tc>
          <w:tcPr>
            <w:tcW w:w="540" w:type="pct"/>
            <w:shd w:val="clear" w:color="auto" w:fill="auto"/>
            <w:vAlign w:val="center"/>
          </w:tcPr>
          <w:p w14:paraId="62B437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剥离工程</w:t>
            </w:r>
          </w:p>
        </w:tc>
        <w:tc>
          <w:tcPr>
            <w:tcW w:w="540" w:type="pct"/>
            <w:shd w:val="clear" w:color="auto" w:fill="auto"/>
            <w:vAlign w:val="center"/>
          </w:tcPr>
          <w:p w14:paraId="2E52DB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建筑工程</w:t>
            </w:r>
          </w:p>
        </w:tc>
        <w:tc>
          <w:tcPr>
            <w:tcW w:w="486" w:type="pct"/>
            <w:shd w:val="clear" w:color="auto" w:fill="auto"/>
            <w:vAlign w:val="center"/>
          </w:tcPr>
          <w:p w14:paraId="533F79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设   备</w:t>
            </w:r>
          </w:p>
        </w:tc>
        <w:tc>
          <w:tcPr>
            <w:tcW w:w="540" w:type="pct"/>
            <w:shd w:val="clear" w:color="auto" w:fill="auto"/>
            <w:vAlign w:val="center"/>
          </w:tcPr>
          <w:p w14:paraId="65B578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安装工程</w:t>
            </w:r>
          </w:p>
        </w:tc>
        <w:tc>
          <w:tcPr>
            <w:tcW w:w="540" w:type="pct"/>
            <w:shd w:val="clear" w:color="auto" w:fill="auto"/>
            <w:vAlign w:val="center"/>
          </w:tcPr>
          <w:p w14:paraId="144CB1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其它费用</w:t>
            </w:r>
          </w:p>
        </w:tc>
        <w:tc>
          <w:tcPr>
            <w:tcW w:w="519" w:type="pct"/>
            <w:shd w:val="clear" w:color="auto" w:fill="auto"/>
            <w:vAlign w:val="center"/>
          </w:tcPr>
          <w:p w14:paraId="4576E2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合   计</w:t>
            </w:r>
          </w:p>
        </w:tc>
      </w:tr>
      <w:tr w14:paraId="735E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325" w:type="pct"/>
            <w:tcBorders>
              <w:top w:val="single" w:color="auto" w:sz="4" w:space="0"/>
              <w:left w:val="single" w:color="auto" w:sz="4" w:space="0"/>
              <w:right w:val="single" w:color="auto" w:sz="4" w:space="0"/>
            </w:tcBorders>
            <w:shd w:val="clear" w:color="auto" w:fill="auto"/>
            <w:vAlign w:val="center"/>
          </w:tcPr>
          <w:p w14:paraId="1EA431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一</w:t>
            </w:r>
          </w:p>
        </w:tc>
        <w:tc>
          <w:tcPr>
            <w:tcW w:w="1507" w:type="pct"/>
            <w:tcBorders>
              <w:top w:val="single" w:color="auto" w:sz="4" w:space="0"/>
              <w:left w:val="single" w:color="auto" w:sz="4" w:space="0"/>
              <w:right w:val="single" w:color="auto" w:sz="4" w:space="0"/>
            </w:tcBorders>
            <w:shd w:val="clear" w:color="auto" w:fill="auto"/>
            <w:vAlign w:val="center"/>
          </w:tcPr>
          <w:p w14:paraId="209120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第一部分工程费用</w:t>
            </w:r>
          </w:p>
        </w:tc>
        <w:tc>
          <w:tcPr>
            <w:tcW w:w="540" w:type="pct"/>
            <w:tcBorders>
              <w:top w:val="single" w:color="auto" w:sz="4" w:space="0"/>
              <w:left w:val="single" w:color="auto" w:sz="4" w:space="0"/>
              <w:right w:val="single" w:color="auto" w:sz="4" w:space="0"/>
            </w:tcBorders>
            <w:shd w:val="clear" w:color="auto" w:fill="auto"/>
            <w:vAlign w:val="center"/>
          </w:tcPr>
          <w:p w14:paraId="3F0BB72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vAlign w:val="center"/>
          </w:tcPr>
          <w:p w14:paraId="5D6B434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486" w:type="pct"/>
            <w:tcBorders>
              <w:top w:val="single" w:color="auto" w:sz="4" w:space="0"/>
              <w:left w:val="single" w:color="auto" w:sz="4" w:space="0"/>
              <w:right w:val="single" w:color="auto" w:sz="4" w:space="0"/>
            </w:tcBorders>
            <w:shd w:val="clear" w:color="auto" w:fill="auto"/>
            <w:vAlign w:val="center"/>
          </w:tcPr>
          <w:p w14:paraId="3D21B3C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vAlign w:val="center"/>
          </w:tcPr>
          <w:p w14:paraId="2954B20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vAlign w:val="center"/>
          </w:tcPr>
          <w:p w14:paraId="16FA868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19" w:type="pct"/>
            <w:tcBorders>
              <w:top w:val="single" w:color="auto" w:sz="4" w:space="0"/>
              <w:left w:val="single" w:color="auto" w:sz="4" w:space="0"/>
              <w:right w:val="single" w:color="auto" w:sz="4" w:space="0"/>
            </w:tcBorders>
            <w:shd w:val="clear" w:color="auto" w:fill="auto"/>
            <w:vAlign w:val="center"/>
          </w:tcPr>
          <w:p w14:paraId="76A1C2E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r>
      <w:tr w14:paraId="4DC9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325" w:type="pct"/>
            <w:tcBorders>
              <w:top w:val="single" w:color="auto" w:sz="4" w:space="0"/>
              <w:left w:val="single" w:color="auto" w:sz="4" w:space="0"/>
              <w:right w:val="single" w:color="auto" w:sz="4" w:space="0"/>
            </w:tcBorders>
            <w:shd w:val="clear" w:color="auto" w:fill="auto"/>
            <w:vAlign w:val="center"/>
          </w:tcPr>
          <w:p w14:paraId="59EF65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1</w:t>
            </w:r>
          </w:p>
        </w:tc>
        <w:tc>
          <w:tcPr>
            <w:tcW w:w="1507" w:type="pct"/>
            <w:tcBorders>
              <w:top w:val="single" w:color="auto" w:sz="4" w:space="0"/>
              <w:left w:val="single" w:color="auto" w:sz="4" w:space="0"/>
              <w:right w:val="single" w:color="auto" w:sz="4" w:space="0"/>
            </w:tcBorders>
            <w:shd w:val="clear" w:color="auto" w:fill="auto"/>
            <w:noWrap/>
            <w:vAlign w:val="center"/>
          </w:tcPr>
          <w:p w14:paraId="51F011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基建剥离</w:t>
            </w:r>
          </w:p>
        </w:tc>
        <w:tc>
          <w:tcPr>
            <w:tcW w:w="540" w:type="pct"/>
            <w:tcBorders>
              <w:top w:val="single" w:color="auto" w:sz="4" w:space="0"/>
              <w:left w:val="single" w:color="auto" w:sz="4" w:space="0"/>
              <w:right w:val="single" w:color="auto" w:sz="4" w:space="0"/>
            </w:tcBorders>
            <w:shd w:val="clear" w:color="auto" w:fill="auto"/>
            <w:vAlign w:val="center"/>
          </w:tcPr>
          <w:p w14:paraId="2C7CF9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52.40</w:t>
            </w:r>
          </w:p>
        </w:tc>
        <w:tc>
          <w:tcPr>
            <w:tcW w:w="540" w:type="pct"/>
            <w:tcBorders>
              <w:top w:val="single" w:color="auto" w:sz="4" w:space="0"/>
              <w:left w:val="single" w:color="auto" w:sz="4" w:space="0"/>
              <w:right w:val="single" w:color="auto" w:sz="4" w:space="0"/>
            </w:tcBorders>
            <w:shd w:val="clear" w:color="auto" w:fill="auto"/>
            <w:vAlign w:val="center"/>
          </w:tcPr>
          <w:p w14:paraId="65E4428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486" w:type="pct"/>
            <w:tcBorders>
              <w:top w:val="single" w:color="auto" w:sz="4" w:space="0"/>
              <w:left w:val="single" w:color="auto" w:sz="4" w:space="0"/>
              <w:right w:val="single" w:color="auto" w:sz="4" w:space="0"/>
            </w:tcBorders>
            <w:shd w:val="clear" w:color="auto" w:fill="auto"/>
            <w:vAlign w:val="center"/>
          </w:tcPr>
          <w:p w14:paraId="0723723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vAlign w:val="center"/>
          </w:tcPr>
          <w:p w14:paraId="498FBA5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vAlign w:val="center"/>
          </w:tcPr>
          <w:p w14:paraId="70BAC90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19" w:type="pct"/>
            <w:tcBorders>
              <w:top w:val="single" w:color="auto" w:sz="4" w:space="0"/>
              <w:left w:val="single" w:color="auto" w:sz="4" w:space="0"/>
              <w:right w:val="single" w:color="auto" w:sz="4" w:space="0"/>
            </w:tcBorders>
            <w:shd w:val="clear" w:color="auto" w:fill="auto"/>
            <w:vAlign w:val="center"/>
          </w:tcPr>
          <w:p w14:paraId="34BC0A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52.40</w:t>
            </w:r>
          </w:p>
        </w:tc>
      </w:tr>
      <w:tr w14:paraId="0466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 w:type="pct"/>
            <w:tcBorders>
              <w:top w:val="single" w:color="auto" w:sz="4" w:space="0"/>
              <w:left w:val="single" w:color="auto" w:sz="4" w:space="0"/>
              <w:right w:val="single" w:color="auto" w:sz="4" w:space="0"/>
            </w:tcBorders>
            <w:shd w:val="clear" w:color="auto" w:fill="auto"/>
            <w:noWrap/>
            <w:vAlign w:val="center"/>
          </w:tcPr>
          <w:p w14:paraId="41B8E3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1.1</w:t>
            </w:r>
          </w:p>
        </w:tc>
        <w:tc>
          <w:tcPr>
            <w:tcW w:w="1507" w:type="pct"/>
            <w:tcBorders>
              <w:top w:val="single" w:color="auto" w:sz="4" w:space="0"/>
              <w:left w:val="single" w:color="auto" w:sz="4" w:space="0"/>
              <w:right w:val="single" w:color="auto" w:sz="4" w:space="0"/>
            </w:tcBorders>
            <w:shd w:val="clear" w:color="auto" w:fill="auto"/>
            <w:noWrap/>
            <w:vAlign w:val="center"/>
          </w:tcPr>
          <w:p w14:paraId="003D5F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矿石</w:t>
            </w:r>
          </w:p>
        </w:tc>
        <w:tc>
          <w:tcPr>
            <w:tcW w:w="540" w:type="pct"/>
            <w:tcBorders>
              <w:top w:val="single" w:color="auto" w:sz="4" w:space="0"/>
              <w:left w:val="single" w:color="auto" w:sz="4" w:space="0"/>
              <w:right w:val="single" w:color="auto" w:sz="4" w:space="0"/>
            </w:tcBorders>
            <w:shd w:val="clear" w:color="auto" w:fill="auto"/>
            <w:noWrap/>
            <w:vAlign w:val="center"/>
          </w:tcPr>
          <w:p w14:paraId="7A127F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38.10</w:t>
            </w:r>
          </w:p>
        </w:tc>
        <w:tc>
          <w:tcPr>
            <w:tcW w:w="540" w:type="pct"/>
            <w:tcBorders>
              <w:top w:val="single" w:color="auto" w:sz="4" w:space="0"/>
              <w:left w:val="single" w:color="auto" w:sz="4" w:space="0"/>
              <w:right w:val="single" w:color="auto" w:sz="4" w:space="0"/>
            </w:tcBorders>
            <w:shd w:val="clear" w:color="auto" w:fill="auto"/>
            <w:noWrap/>
            <w:vAlign w:val="center"/>
          </w:tcPr>
          <w:p w14:paraId="08E94C5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486" w:type="pct"/>
            <w:tcBorders>
              <w:top w:val="single" w:color="auto" w:sz="4" w:space="0"/>
              <w:left w:val="single" w:color="auto" w:sz="4" w:space="0"/>
              <w:right w:val="single" w:color="auto" w:sz="4" w:space="0"/>
            </w:tcBorders>
            <w:shd w:val="clear" w:color="auto" w:fill="auto"/>
            <w:vAlign w:val="center"/>
          </w:tcPr>
          <w:p w14:paraId="18E84E8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vAlign w:val="center"/>
          </w:tcPr>
          <w:p w14:paraId="72A3B09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vAlign w:val="center"/>
          </w:tcPr>
          <w:p w14:paraId="7DBBCF3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19" w:type="pct"/>
            <w:tcBorders>
              <w:top w:val="single" w:color="auto" w:sz="4" w:space="0"/>
              <w:left w:val="single" w:color="auto" w:sz="4" w:space="0"/>
              <w:right w:val="single" w:color="auto" w:sz="4" w:space="0"/>
            </w:tcBorders>
            <w:shd w:val="clear" w:color="auto" w:fill="auto"/>
            <w:vAlign w:val="center"/>
          </w:tcPr>
          <w:p w14:paraId="03B604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38.095</w:t>
            </w:r>
          </w:p>
        </w:tc>
      </w:tr>
      <w:tr w14:paraId="6360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325" w:type="pct"/>
            <w:tcBorders>
              <w:top w:val="single" w:color="auto" w:sz="4" w:space="0"/>
              <w:left w:val="single" w:color="auto" w:sz="4" w:space="0"/>
              <w:right w:val="single" w:color="auto" w:sz="4" w:space="0"/>
            </w:tcBorders>
            <w:shd w:val="clear" w:color="auto" w:fill="auto"/>
            <w:noWrap/>
            <w:vAlign w:val="center"/>
          </w:tcPr>
          <w:p w14:paraId="0E374E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1.2</w:t>
            </w:r>
          </w:p>
        </w:tc>
        <w:tc>
          <w:tcPr>
            <w:tcW w:w="1507" w:type="pct"/>
            <w:tcBorders>
              <w:top w:val="single" w:color="auto" w:sz="4" w:space="0"/>
              <w:left w:val="single" w:color="auto" w:sz="4" w:space="0"/>
              <w:right w:val="single" w:color="auto" w:sz="4" w:space="0"/>
            </w:tcBorders>
            <w:shd w:val="clear" w:color="auto" w:fill="auto"/>
            <w:noWrap/>
            <w:vAlign w:val="center"/>
          </w:tcPr>
          <w:p w14:paraId="0613B9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表土</w:t>
            </w:r>
          </w:p>
        </w:tc>
        <w:tc>
          <w:tcPr>
            <w:tcW w:w="540" w:type="pct"/>
            <w:tcBorders>
              <w:top w:val="single" w:color="auto" w:sz="4" w:space="0"/>
              <w:left w:val="single" w:color="auto" w:sz="4" w:space="0"/>
              <w:right w:val="single" w:color="auto" w:sz="4" w:space="0"/>
            </w:tcBorders>
            <w:shd w:val="clear" w:color="auto" w:fill="auto"/>
            <w:noWrap/>
            <w:vAlign w:val="center"/>
          </w:tcPr>
          <w:p w14:paraId="302B1B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14.30</w:t>
            </w:r>
          </w:p>
        </w:tc>
        <w:tc>
          <w:tcPr>
            <w:tcW w:w="540" w:type="pct"/>
            <w:tcBorders>
              <w:top w:val="single" w:color="auto" w:sz="4" w:space="0"/>
              <w:left w:val="single" w:color="auto" w:sz="4" w:space="0"/>
              <w:right w:val="single" w:color="auto" w:sz="4" w:space="0"/>
            </w:tcBorders>
            <w:shd w:val="clear" w:color="auto" w:fill="auto"/>
            <w:noWrap/>
            <w:vAlign w:val="center"/>
          </w:tcPr>
          <w:p w14:paraId="33D2D0A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486" w:type="pct"/>
            <w:tcBorders>
              <w:top w:val="single" w:color="auto" w:sz="4" w:space="0"/>
              <w:left w:val="single" w:color="auto" w:sz="4" w:space="0"/>
              <w:right w:val="single" w:color="auto" w:sz="4" w:space="0"/>
            </w:tcBorders>
            <w:shd w:val="clear" w:color="auto" w:fill="auto"/>
            <w:vAlign w:val="center"/>
          </w:tcPr>
          <w:p w14:paraId="4FD8C07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vAlign w:val="center"/>
          </w:tcPr>
          <w:p w14:paraId="565BB85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vAlign w:val="center"/>
          </w:tcPr>
          <w:p w14:paraId="46380CE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19" w:type="pct"/>
            <w:tcBorders>
              <w:top w:val="single" w:color="auto" w:sz="4" w:space="0"/>
              <w:left w:val="single" w:color="auto" w:sz="4" w:space="0"/>
              <w:right w:val="single" w:color="auto" w:sz="4" w:space="0"/>
            </w:tcBorders>
            <w:shd w:val="clear" w:color="auto" w:fill="auto"/>
            <w:vAlign w:val="center"/>
          </w:tcPr>
          <w:p w14:paraId="681367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14.3</w:t>
            </w:r>
          </w:p>
        </w:tc>
      </w:tr>
      <w:tr w14:paraId="432E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325" w:type="pct"/>
            <w:tcBorders>
              <w:top w:val="single" w:color="auto" w:sz="4" w:space="0"/>
              <w:left w:val="single" w:color="auto" w:sz="4" w:space="0"/>
              <w:right w:val="single" w:color="auto" w:sz="4" w:space="0"/>
            </w:tcBorders>
            <w:shd w:val="clear" w:color="auto" w:fill="auto"/>
            <w:noWrap/>
            <w:vAlign w:val="center"/>
          </w:tcPr>
          <w:p w14:paraId="2845B7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w:t>
            </w:r>
          </w:p>
        </w:tc>
        <w:tc>
          <w:tcPr>
            <w:tcW w:w="1507" w:type="pct"/>
            <w:tcBorders>
              <w:top w:val="single" w:color="auto" w:sz="4" w:space="0"/>
              <w:left w:val="single" w:color="auto" w:sz="4" w:space="0"/>
              <w:right w:val="single" w:color="auto" w:sz="4" w:space="0"/>
            </w:tcBorders>
            <w:shd w:val="clear" w:color="auto" w:fill="auto"/>
            <w:noWrap/>
            <w:vAlign w:val="center"/>
          </w:tcPr>
          <w:p w14:paraId="3EDA72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bottom"/>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总图工程（道路）</w:t>
            </w:r>
          </w:p>
        </w:tc>
        <w:tc>
          <w:tcPr>
            <w:tcW w:w="540" w:type="pct"/>
            <w:tcBorders>
              <w:top w:val="single" w:color="auto" w:sz="4" w:space="0"/>
              <w:left w:val="single" w:color="auto" w:sz="4" w:space="0"/>
              <w:right w:val="single" w:color="auto" w:sz="4" w:space="0"/>
            </w:tcBorders>
            <w:shd w:val="clear" w:color="auto" w:fill="auto"/>
            <w:noWrap/>
            <w:vAlign w:val="center"/>
          </w:tcPr>
          <w:p w14:paraId="64EBF5B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W w:w="540" w:type="pct"/>
            <w:tcBorders>
              <w:top w:val="single" w:color="auto" w:sz="4" w:space="0"/>
              <w:left w:val="single" w:color="auto" w:sz="4" w:space="0"/>
              <w:right w:val="single" w:color="auto" w:sz="4" w:space="0"/>
            </w:tcBorders>
            <w:shd w:val="clear" w:color="auto" w:fill="auto"/>
            <w:vAlign w:val="center"/>
          </w:tcPr>
          <w:p w14:paraId="2A5CF2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16.2</w:t>
            </w:r>
          </w:p>
        </w:tc>
        <w:tc>
          <w:tcPr>
            <w:tcW w:w="486" w:type="pct"/>
            <w:tcBorders>
              <w:top w:val="single" w:color="auto" w:sz="4" w:space="0"/>
              <w:left w:val="single" w:color="auto" w:sz="4" w:space="0"/>
              <w:right w:val="single" w:color="auto" w:sz="4" w:space="0"/>
            </w:tcBorders>
            <w:shd w:val="clear" w:color="auto" w:fill="auto"/>
            <w:vAlign w:val="center"/>
          </w:tcPr>
          <w:p w14:paraId="2B7FE8D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vAlign w:val="center"/>
          </w:tcPr>
          <w:p w14:paraId="03CC614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vAlign w:val="center"/>
          </w:tcPr>
          <w:p w14:paraId="28F5391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19" w:type="pct"/>
            <w:tcBorders>
              <w:top w:val="single" w:color="auto" w:sz="4" w:space="0"/>
              <w:left w:val="single" w:color="auto" w:sz="4" w:space="0"/>
              <w:right w:val="single" w:color="auto" w:sz="4" w:space="0"/>
            </w:tcBorders>
            <w:shd w:val="clear" w:color="auto" w:fill="auto"/>
            <w:vAlign w:val="center"/>
          </w:tcPr>
          <w:p w14:paraId="3859F4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16.2</w:t>
            </w:r>
          </w:p>
        </w:tc>
      </w:tr>
      <w:tr w14:paraId="2540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 w:type="pct"/>
            <w:tcBorders>
              <w:top w:val="single" w:color="auto" w:sz="4" w:space="0"/>
              <w:left w:val="single" w:color="auto" w:sz="4" w:space="0"/>
              <w:right w:val="single" w:color="auto" w:sz="4" w:space="0"/>
            </w:tcBorders>
            <w:shd w:val="clear" w:color="auto" w:fill="auto"/>
            <w:vAlign w:val="center"/>
          </w:tcPr>
          <w:p w14:paraId="0480F5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3</w:t>
            </w:r>
          </w:p>
        </w:tc>
        <w:tc>
          <w:tcPr>
            <w:tcW w:w="1507" w:type="pct"/>
            <w:tcBorders>
              <w:top w:val="single" w:color="auto" w:sz="4" w:space="0"/>
              <w:left w:val="single" w:color="auto" w:sz="4" w:space="0"/>
              <w:right w:val="single" w:color="auto" w:sz="4" w:space="0"/>
            </w:tcBorders>
            <w:shd w:val="clear" w:color="auto" w:fill="auto"/>
            <w:noWrap/>
            <w:vAlign w:val="center"/>
          </w:tcPr>
          <w:p w14:paraId="7CF055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设备</w:t>
            </w:r>
          </w:p>
        </w:tc>
        <w:tc>
          <w:tcPr>
            <w:tcW w:w="540" w:type="pct"/>
            <w:tcBorders>
              <w:top w:val="single" w:color="auto" w:sz="4" w:space="0"/>
              <w:left w:val="single" w:color="auto" w:sz="4" w:space="0"/>
              <w:right w:val="single" w:color="auto" w:sz="4" w:space="0"/>
            </w:tcBorders>
            <w:shd w:val="clear" w:color="auto" w:fill="auto"/>
            <w:noWrap/>
            <w:vAlign w:val="center"/>
          </w:tcPr>
          <w:p w14:paraId="714BF13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W w:w="540" w:type="pct"/>
            <w:tcBorders>
              <w:top w:val="single" w:color="auto" w:sz="4" w:space="0"/>
              <w:left w:val="single" w:color="auto" w:sz="4" w:space="0"/>
              <w:right w:val="single" w:color="auto" w:sz="4" w:space="0"/>
            </w:tcBorders>
            <w:shd w:val="clear" w:color="auto" w:fill="auto"/>
            <w:vAlign w:val="center"/>
          </w:tcPr>
          <w:p w14:paraId="25B39BF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486" w:type="pct"/>
            <w:tcBorders>
              <w:top w:val="single" w:color="auto" w:sz="4" w:space="0"/>
              <w:left w:val="single" w:color="auto" w:sz="4" w:space="0"/>
              <w:right w:val="single" w:color="auto" w:sz="4" w:space="0"/>
            </w:tcBorders>
            <w:shd w:val="clear" w:color="auto" w:fill="auto"/>
            <w:vAlign w:val="center"/>
          </w:tcPr>
          <w:p w14:paraId="1E3134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240</w:t>
            </w:r>
          </w:p>
        </w:tc>
        <w:tc>
          <w:tcPr>
            <w:tcW w:w="540" w:type="pct"/>
            <w:tcBorders>
              <w:top w:val="single" w:color="auto" w:sz="4" w:space="0"/>
              <w:left w:val="single" w:color="auto" w:sz="4" w:space="0"/>
              <w:right w:val="single" w:color="auto" w:sz="4" w:space="0"/>
            </w:tcBorders>
            <w:shd w:val="clear" w:color="auto" w:fill="auto"/>
            <w:vAlign w:val="center"/>
          </w:tcPr>
          <w:p w14:paraId="5C32221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vAlign w:val="center"/>
          </w:tcPr>
          <w:p w14:paraId="085F69F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19" w:type="pct"/>
            <w:tcBorders>
              <w:top w:val="single" w:color="auto" w:sz="4" w:space="0"/>
              <w:left w:val="single" w:color="auto" w:sz="4" w:space="0"/>
              <w:right w:val="single" w:color="auto" w:sz="4" w:space="0"/>
            </w:tcBorders>
            <w:shd w:val="clear" w:color="auto" w:fill="auto"/>
            <w:vAlign w:val="center"/>
          </w:tcPr>
          <w:p w14:paraId="0898E2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240</w:t>
            </w:r>
          </w:p>
        </w:tc>
      </w:tr>
      <w:tr w14:paraId="6289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325" w:type="pct"/>
            <w:tcBorders>
              <w:top w:val="single" w:color="auto" w:sz="4" w:space="0"/>
              <w:left w:val="single" w:color="auto" w:sz="4" w:space="0"/>
              <w:right w:val="single" w:color="auto" w:sz="4" w:space="0"/>
            </w:tcBorders>
            <w:shd w:val="clear" w:color="auto" w:fill="auto"/>
            <w:vAlign w:val="center"/>
          </w:tcPr>
          <w:p w14:paraId="176034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4</w:t>
            </w:r>
          </w:p>
        </w:tc>
        <w:tc>
          <w:tcPr>
            <w:tcW w:w="1507" w:type="pct"/>
            <w:tcBorders>
              <w:top w:val="single" w:color="auto" w:sz="4" w:space="0"/>
              <w:left w:val="single" w:color="auto" w:sz="4" w:space="0"/>
              <w:right w:val="single" w:color="auto" w:sz="4" w:space="0"/>
            </w:tcBorders>
            <w:shd w:val="clear" w:color="auto" w:fill="auto"/>
            <w:noWrap/>
            <w:vAlign w:val="center"/>
          </w:tcPr>
          <w:p w14:paraId="6372C8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土建</w:t>
            </w:r>
          </w:p>
        </w:tc>
        <w:tc>
          <w:tcPr>
            <w:tcW w:w="540" w:type="pct"/>
            <w:tcBorders>
              <w:top w:val="single" w:color="auto" w:sz="4" w:space="0"/>
              <w:left w:val="single" w:color="auto" w:sz="4" w:space="0"/>
              <w:right w:val="single" w:color="auto" w:sz="4" w:space="0"/>
            </w:tcBorders>
            <w:shd w:val="clear" w:color="auto" w:fill="auto"/>
            <w:noWrap/>
            <w:vAlign w:val="center"/>
          </w:tcPr>
          <w:p w14:paraId="712C294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4"/>
                <w:szCs w:val="24"/>
                <w:highlight w:val="none"/>
                <w:u w:val="none"/>
              </w:rPr>
            </w:pPr>
          </w:p>
        </w:tc>
        <w:tc>
          <w:tcPr>
            <w:tcW w:w="540" w:type="pct"/>
            <w:tcBorders>
              <w:top w:val="single" w:color="auto" w:sz="4" w:space="0"/>
              <w:left w:val="single" w:color="auto" w:sz="4" w:space="0"/>
              <w:right w:val="single" w:color="auto" w:sz="4" w:space="0"/>
            </w:tcBorders>
            <w:shd w:val="clear" w:color="auto" w:fill="auto"/>
            <w:vAlign w:val="center"/>
          </w:tcPr>
          <w:p w14:paraId="2EB578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30</w:t>
            </w:r>
          </w:p>
        </w:tc>
        <w:tc>
          <w:tcPr>
            <w:tcW w:w="486" w:type="pct"/>
            <w:tcBorders>
              <w:top w:val="single" w:color="auto" w:sz="4" w:space="0"/>
              <w:left w:val="single" w:color="auto" w:sz="4" w:space="0"/>
              <w:right w:val="single" w:color="auto" w:sz="4" w:space="0"/>
            </w:tcBorders>
            <w:shd w:val="clear" w:color="auto" w:fill="auto"/>
            <w:vAlign w:val="center"/>
          </w:tcPr>
          <w:p w14:paraId="0AC3DFD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vAlign w:val="center"/>
          </w:tcPr>
          <w:p w14:paraId="154CE21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vAlign w:val="center"/>
          </w:tcPr>
          <w:p w14:paraId="427E0CF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19" w:type="pct"/>
            <w:tcBorders>
              <w:top w:val="single" w:color="auto" w:sz="4" w:space="0"/>
              <w:left w:val="single" w:color="auto" w:sz="4" w:space="0"/>
              <w:right w:val="single" w:color="auto" w:sz="4" w:space="0"/>
            </w:tcBorders>
            <w:shd w:val="clear" w:color="auto" w:fill="auto"/>
            <w:vAlign w:val="center"/>
          </w:tcPr>
          <w:p w14:paraId="7CBD7E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30</w:t>
            </w:r>
          </w:p>
        </w:tc>
      </w:tr>
      <w:tr w14:paraId="0DD9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 w:type="pct"/>
            <w:tcBorders>
              <w:top w:val="single" w:color="auto" w:sz="4" w:space="0"/>
              <w:left w:val="single" w:color="auto" w:sz="4" w:space="0"/>
              <w:right w:val="single" w:color="auto" w:sz="4" w:space="0"/>
            </w:tcBorders>
            <w:shd w:val="clear" w:color="auto" w:fill="auto"/>
            <w:vAlign w:val="center"/>
          </w:tcPr>
          <w:p w14:paraId="1F9DB68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1507" w:type="pct"/>
            <w:tcBorders>
              <w:top w:val="single" w:color="auto" w:sz="4" w:space="0"/>
              <w:left w:val="single" w:color="auto" w:sz="4" w:space="0"/>
              <w:right w:val="single" w:color="auto" w:sz="4" w:space="0"/>
            </w:tcBorders>
            <w:shd w:val="clear" w:color="auto" w:fill="auto"/>
            <w:vAlign w:val="center"/>
          </w:tcPr>
          <w:p w14:paraId="3E87FE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第一部分工程费用</w:t>
            </w:r>
          </w:p>
        </w:tc>
        <w:tc>
          <w:tcPr>
            <w:tcW w:w="540" w:type="pct"/>
            <w:tcBorders>
              <w:top w:val="single" w:color="auto" w:sz="4" w:space="0"/>
              <w:left w:val="single" w:color="auto" w:sz="4" w:space="0"/>
              <w:right w:val="single" w:color="auto" w:sz="4" w:space="0"/>
            </w:tcBorders>
            <w:shd w:val="clear" w:color="auto" w:fill="auto"/>
            <w:vAlign w:val="center"/>
          </w:tcPr>
          <w:p w14:paraId="2FB86D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52.395</w:t>
            </w:r>
          </w:p>
        </w:tc>
        <w:tc>
          <w:tcPr>
            <w:tcW w:w="540" w:type="pct"/>
            <w:tcBorders>
              <w:top w:val="single" w:color="auto" w:sz="4" w:space="0"/>
              <w:left w:val="single" w:color="auto" w:sz="4" w:space="0"/>
              <w:right w:val="single" w:color="auto" w:sz="4" w:space="0"/>
            </w:tcBorders>
            <w:shd w:val="clear" w:color="auto" w:fill="auto"/>
            <w:vAlign w:val="center"/>
          </w:tcPr>
          <w:p w14:paraId="58E73E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46.2</w:t>
            </w:r>
          </w:p>
        </w:tc>
        <w:tc>
          <w:tcPr>
            <w:tcW w:w="486" w:type="pct"/>
            <w:tcBorders>
              <w:top w:val="single" w:color="auto" w:sz="4" w:space="0"/>
              <w:left w:val="single" w:color="auto" w:sz="4" w:space="0"/>
              <w:right w:val="single" w:color="auto" w:sz="4" w:space="0"/>
            </w:tcBorders>
            <w:shd w:val="clear" w:color="auto" w:fill="auto"/>
            <w:vAlign w:val="center"/>
          </w:tcPr>
          <w:p w14:paraId="4A81C8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240</w:t>
            </w:r>
          </w:p>
        </w:tc>
        <w:tc>
          <w:tcPr>
            <w:tcW w:w="540" w:type="pct"/>
            <w:tcBorders>
              <w:top w:val="single" w:color="auto" w:sz="4" w:space="0"/>
              <w:left w:val="single" w:color="auto" w:sz="4" w:space="0"/>
              <w:right w:val="single" w:color="auto" w:sz="4" w:space="0"/>
            </w:tcBorders>
            <w:shd w:val="clear" w:color="auto" w:fill="auto"/>
            <w:vAlign w:val="center"/>
          </w:tcPr>
          <w:p w14:paraId="0C4C82A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vAlign w:val="center"/>
          </w:tcPr>
          <w:p w14:paraId="3D239FE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19" w:type="pct"/>
            <w:tcBorders>
              <w:top w:val="single" w:color="auto" w:sz="4" w:space="0"/>
              <w:left w:val="single" w:color="auto" w:sz="4" w:space="0"/>
              <w:right w:val="single" w:color="auto" w:sz="4" w:space="0"/>
            </w:tcBorders>
            <w:shd w:val="clear" w:color="auto" w:fill="auto"/>
            <w:vAlign w:val="center"/>
          </w:tcPr>
          <w:p w14:paraId="038FF6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338.595</w:t>
            </w:r>
          </w:p>
        </w:tc>
      </w:tr>
      <w:tr w14:paraId="26F8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 w:type="pct"/>
            <w:tcBorders>
              <w:top w:val="single" w:color="auto" w:sz="4" w:space="0"/>
              <w:left w:val="single" w:color="auto" w:sz="4" w:space="0"/>
              <w:right w:val="single" w:color="auto" w:sz="4" w:space="0"/>
            </w:tcBorders>
            <w:shd w:val="clear" w:color="auto" w:fill="auto"/>
            <w:noWrap/>
            <w:vAlign w:val="center"/>
          </w:tcPr>
          <w:p w14:paraId="7271DC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二</w:t>
            </w:r>
          </w:p>
        </w:tc>
        <w:tc>
          <w:tcPr>
            <w:tcW w:w="1507" w:type="pct"/>
            <w:tcBorders>
              <w:top w:val="single" w:color="auto" w:sz="4" w:space="0"/>
              <w:left w:val="single" w:color="auto" w:sz="4" w:space="0"/>
              <w:right w:val="single" w:color="auto" w:sz="4" w:space="0"/>
            </w:tcBorders>
            <w:shd w:val="clear" w:color="auto" w:fill="auto"/>
            <w:noWrap/>
            <w:vAlign w:val="center"/>
          </w:tcPr>
          <w:p w14:paraId="663CB2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第二部分工程建设其它费用</w:t>
            </w:r>
          </w:p>
        </w:tc>
        <w:tc>
          <w:tcPr>
            <w:tcW w:w="540" w:type="pct"/>
            <w:tcBorders>
              <w:top w:val="single" w:color="auto" w:sz="4" w:space="0"/>
              <w:left w:val="single" w:color="auto" w:sz="4" w:space="0"/>
              <w:right w:val="single" w:color="auto" w:sz="4" w:space="0"/>
            </w:tcBorders>
            <w:shd w:val="clear" w:color="auto" w:fill="auto"/>
            <w:vAlign w:val="center"/>
          </w:tcPr>
          <w:p w14:paraId="12D580F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4B2CF69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486" w:type="pct"/>
            <w:tcBorders>
              <w:top w:val="single" w:color="auto" w:sz="4" w:space="0"/>
              <w:left w:val="single" w:color="auto" w:sz="4" w:space="0"/>
              <w:right w:val="single" w:color="auto" w:sz="4" w:space="0"/>
            </w:tcBorders>
            <w:shd w:val="clear" w:color="auto" w:fill="auto"/>
            <w:noWrap/>
            <w:vAlign w:val="center"/>
          </w:tcPr>
          <w:p w14:paraId="3D4B48C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509DBC1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33A6958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19" w:type="pct"/>
            <w:tcBorders>
              <w:top w:val="single" w:color="auto" w:sz="4" w:space="0"/>
              <w:left w:val="single" w:color="auto" w:sz="4" w:space="0"/>
              <w:right w:val="single" w:color="auto" w:sz="4" w:space="0"/>
            </w:tcBorders>
            <w:shd w:val="clear" w:color="auto" w:fill="auto"/>
            <w:vAlign w:val="center"/>
          </w:tcPr>
          <w:p w14:paraId="2D6DFB0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r>
      <w:tr w14:paraId="34DB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325" w:type="pct"/>
            <w:tcBorders>
              <w:top w:val="single" w:color="auto" w:sz="4" w:space="0"/>
              <w:left w:val="single" w:color="auto" w:sz="4" w:space="0"/>
              <w:right w:val="single" w:color="auto" w:sz="4" w:space="0"/>
            </w:tcBorders>
            <w:shd w:val="clear" w:color="auto" w:fill="auto"/>
            <w:noWrap/>
            <w:vAlign w:val="center"/>
          </w:tcPr>
          <w:p w14:paraId="38F54D3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1507" w:type="pct"/>
            <w:tcBorders>
              <w:top w:val="single" w:color="auto" w:sz="4" w:space="0"/>
              <w:left w:val="single" w:color="auto" w:sz="4" w:space="0"/>
              <w:right w:val="single" w:color="auto" w:sz="4" w:space="0"/>
            </w:tcBorders>
            <w:shd w:val="clear" w:color="auto" w:fill="auto"/>
            <w:noWrap/>
            <w:vAlign w:val="center"/>
          </w:tcPr>
          <w:p w14:paraId="724812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建设单位管理费</w:t>
            </w:r>
          </w:p>
        </w:tc>
        <w:tc>
          <w:tcPr>
            <w:tcW w:w="540" w:type="pct"/>
            <w:tcBorders>
              <w:top w:val="single" w:color="auto" w:sz="4" w:space="0"/>
              <w:left w:val="single" w:color="auto" w:sz="4" w:space="0"/>
              <w:right w:val="single" w:color="auto" w:sz="4" w:space="0"/>
            </w:tcBorders>
            <w:shd w:val="clear" w:color="auto" w:fill="auto"/>
            <w:noWrap/>
            <w:vAlign w:val="center"/>
          </w:tcPr>
          <w:p w14:paraId="4B750CE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7259786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486" w:type="pct"/>
            <w:tcBorders>
              <w:top w:val="single" w:color="auto" w:sz="4" w:space="0"/>
              <w:left w:val="single" w:color="auto" w:sz="4" w:space="0"/>
              <w:right w:val="single" w:color="auto" w:sz="4" w:space="0"/>
            </w:tcBorders>
            <w:shd w:val="clear" w:color="auto" w:fill="auto"/>
            <w:noWrap/>
            <w:vAlign w:val="center"/>
          </w:tcPr>
          <w:p w14:paraId="010BA5D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2FA7E07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463898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8.46</w:t>
            </w:r>
          </w:p>
        </w:tc>
        <w:tc>
          <w:tcPr>
            <w:tcW w:w="519" w:type="pct"/>
            <w:tcBorders>
              <w:top w:val="single" w:color="auto" w:sz="4" w:space="0"/>
              <w:left w:val="single" w:color="auto" w:sz="4" w:space="0"/>
              <w:right w:val="single" w:color="auto" w:sz="4" w:space="0"/>
            </w:tcBorders>
            <w:shd w:val="clear" w:color="auto" w:fill="auto"/>
            <w:vAlign w:val="center"/>
          </w:tcPr>
          <w:p w14:paraId="1A95F4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8.46</w:t>
            </w:r>
          </w:p>
        </w:tc>
      </w:tr>
      <w:tr w14:paraId="71AE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325" w:type="pct"/>
            <w:tcBorders>
              <w:top w:val="single" w:color="auto" w:sz="4" w:space="0"/>
              <w:left w:val="single" w:color="auto" w:sz="4" w:space="0"/>
              <w:right w:val="single" w:color="auto" w:sz="4" w:space="0"/>
            </w:tcBorders>
            <w:shd w:val="clear" w:color="auto" w:fill="auto"/>
            <w:noWrap/>
            <w:vAlign w:val="center"/>
          </w:tcPr>
          <w:p w14:paraId="54F1CDE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1507" w:type="pct"/>
            <w:tcBorders>
              <w:top w:val="single" w:color="auto" w:sz="4" w:space="0"/>
              <w:left w:val="single" w:color="auto" w:sz="4" w:space="0"/>
              <w:right w:val="single" w:color="auto" w:sz="4" w:space="0"/>
            </w:tcBorders>
            <w:shd w:val="clear" w:color="auto" w:fill="auto"/>
            <w:noWrap/>
            <w:vAlign w:val="center"/>
          </w:tcPr>
          <w:p w14:paraId="00A0D2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设计费</w:t>
            </w:r>
          </w:p>
        </w:tc>
        <w:tc>
          <w:tcPr>
            <w:tcW w:w="540" w:type="pct"/>
            <w:tcBorders>
              <w:top w:val="single" w:color="auto" w:sz="4" w:space="0"/>
              <w:left w:val="single" w:color="auto" w:sz="4" w:space="0"/>
              <w:right w:val="single" w:color="auto" w:sz="4" w:space="0"/>
            </w:tcBorders>
            <w:shd w:val="clear" w:color="auto" w:fill="auto"/>
            <w:noWrap/>
            <w:vAlign w:val="center"/>
          </w:tcPr>
          <w:p w14:paraId="0D35E0D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2A2B12F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486" w:type="pct"/>
            <w:tcBorders>
              <w:top w:val="single" w:color="auto" w:sz="4" w:space="0"/>
              <w:left w:val="single" w:color="auto" w:sz="4" w:space="0"/>
              <w:right w:val="single" w:color="auto" w:sz="4" w:space="0"/>
            </w:tcBorders>
            <w:shd w:val="clear" w:color="auto" w:fill="auto"/>
            <w:noWrap/>
            <w:vAlign w:val="center"/>
          </w:tcPr>
          <w:p w14:paraId="52F1900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03BB6E7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233747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11.85</w:t>
            </w:r>
          </w:p>
        </w:tc>
        <w:tc>
          <w:tcPr>
            <w:tcW w:w="519" w:type="pct"/>
            <w:tcBorders>
              <w:top w:val="single" w:color="auto" w:sz="4" w:space="0"/>
              <w:left w:val="single" w:color="auto" w:sz="4" w:space="0"/>
              <w:right w:val="single" w:color="auto" w:sz="4" w:space="0"/>
            </w:tcBorders>
            <w:shd w:val="clear" w:color="auto" w:fill="auto"/>
            <w:vAlign w:val="center"/>
          </w:tcPr>
          <w:p w14:paraId="5ADC4A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11.85</w:t>
            </w:r>
          </w:p>
        </w:tc>
      </w:tr>
      <w:tr w14:paraId="63EF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325" w:type="pct"/>
            <w:tcBorders>
              <w:top w:val="single" w:color="auto" w:sz="4" w:space="0"/>
              <w:left w:val="single" w:color="auto" w:sz="4" w:space="0"/>
              <w:right w:val="single" w:color="auto" w:sz="4" w:space="0"/>
            </w:tcBorders>
            <w:shd w:val="clear" w:color="auto" w:fill="auto"/>
            <w:noWrap/>
            <w:vAlign w:val="center"/>
          </w:tcPr>
          <w:p w14:paraId="52FDA48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1507" w:type="pct"/>
            <w:tcBorders>
              <w:top w:val="single" w:color="auto" w:sz="4" w:space="0"/>
              <w:left w:val="single" w:color="auto" w:sz="4" w:space="0"/>
              <w:right w:val="single" w:color="auto" w:sz="4" w:space="0"/>
            </w:tcBorders>
            <w:shd w:val="clear" w:color="auto" w:fill="auto"/>
            <w:noWrap/>
            <w:vAlign w:val="center"/>
          </w:tcPr>
          <w:p w14:paraId="366322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前期可研、安全、环保等费用</w:t>
            </w:r>
          </w:p>
        </w:tc>
        <w:tc>
          <w:tcPr>
            <w:tcW w:w="540" w:type="pct"/>
            <w:tcBorders>
              <w:top w:val="single" w:color="auto" w:sz="4" w:space="0"/>
              <w:left w:val="single" w:color="auto" w:sz="4" w:space="0"/>
              <w:right w:val="single" w:color="auto" w:sz="4" w:space="0"/>
            </w:tcBorders>
            <w:shd w:val="clear" w:color="auto" w:fill="auto"/>
            <w:noWrap/>
            <w:vAlign w:val="center"/>
          </w:tcPr>
          <w:p w14:paraId="62EE486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1522CDD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486" w:type="pct"/>
            <w:tcBorders>
              <w:top w:val="single" w:color="auto" w:sz="4" w:space="0"/>
              <w:left w:val="single" w:color="auto" w:sz="4" w:space="0"/>
              <w:right w:val="single" w:color="auto" w:sz="4" w:space="0"/>
            </w:tcBorders>
            <w:shd w:val="clear" w:color="auto" w:fill="auto"/>
            <w:noWrap/>
            <w:vAlign w:val="center"/>
          </w:tcPr>
          <w:p w14:paraId="2B6E39F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76EF52D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1FF77F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20</w:t>
            </w:r>
          </w:p>
        </w:tc>
        <w:tc>
          <w:tcPr>
            <w:tcW w:w="519" w:type="pct"/>
            <w:tcBorders>
              <w:top w:val="single" w:color="auto" w:sz="4" w:space="0"/>
              <w:left w:val="single" w:color="auto" w:sz="4" w:space="0"/>
              <w:right w:val="single" w:color="auto" w:sz="4" w:space="0"/>
            </w:tcBorders>
            <w:shd w:val="clear" w:color="auto" w:fill="auto"/>
            <w:vAlign w:val="center"/>
          </w:tcPr>
          <w:p w14:paraId="46482B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20</w:t>
            </w:r>
          </w:p>
        </w:tc>
      </w:tr>
      <w:tr w14:paraId="2736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325" w:type="pct"/>
            <w:tcBorders>
              <w:top w:val="single" w:color="auto" w:sz="4" w:space="0"/>
              <w:left w:val="single" w:color="auto" w:sz="4" w:space="0"/>
              <w:right w:val="single" w:color="auto" w:sz="4" w:space="0"/>
            </w:tcBorders>
            <w:shd w:val="clear" w:color="auto" w:fill="auto"/>
            <w:vAlign w:val="center"/>
          </w:tcPr>
          <w:p w14:paraId="1118A81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1507" w:type="pct"/>
            <w:tcBorders>
              <w:top w:val="single" w:color="auto" w:sz="4" w:space="0"/>
              <w:left w:val="single" w:color="auto" w:sz="4" w:space="0"/>
              <w:right w:val="single" w:color="auto" w:sz="4" w:space="0"/>
            </w:tcBorders>
            <w:shd w:val="clear" w:color="auto" w:fill="auto"/>
            <w:vAlign w:val="center"/>
          </w:tcPr>
          <w:p w14:paraId="301E4C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第二部分其它费用</w:t>
            </w:r>
          </w:p>
        </w:tc>
        <w:tc>
          <w:tcPr>
            <w:tcW w:w="540" w:type="pct"/>
            <w:tcBorders>
              <w:top w:val="single" w:color="auto" w:sz="4" w:space="0"/>
              <w:left w:val="single" w:color="auto" w:sz="4" w:space="0"/>
              <w:right w:val="single" w:color="auto" w:sz="4" w:space="0"/>
            </w:tcBorders>
            <w:shd w:val="clear" w:color="auto" w:fill="auto"/>
            <w:vAlign w:val="center"/>
          </w:tcPr>
          <w:p w14:paraId="0B85629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vAlign w:val="center"/>
          </w:tcPr>
          <w:p w14:paraId="6D3BBAB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486" w:type="pct"/>
            <w:tcBorders>
              <w:top w:val="single" w:color="auto" w:sz="4" w:space="0"/>
              <w:left w:val="single" w:color="auto" w:sz="4" w:space="0"/>
              <w:right w:val="single" w:color="auto" w:sz="4" w:space="0"/>
            </w:tcBorders>
            <w:shd w:val="clear" w:color="auto" w:fill="auto"/>
            <w:vAlign w:val="center"/>
          </w:tcPr>
          <w:p w14:paraId="7787CB2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vAlign w:val="center"/>
          </w:tcPr>
          <w:p w14:paraId="5A5A85A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vAlign w:val="center"/>
          </w:tcPr>
          <w:p w14:paraId="4032E4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40.32</w:t>
            </w:r>
          </w:p>
        </w:tc>
        <w:tc>
          <w:tcPr>
            <w:tcW w:w="519" w:type="pct"/>
            <w:tcBorders>
              <w:top w:val="single" w:color="auto" w:sz="4" w:space="0"/>
              <w:left w:val="single" w:color="auto" w:sz="4" w:space="0"/>
              <w:right w:val="single" w:color="auto" w:sz="4" w:space="0"/>
            </w:tcBorders>
            <w:shd w:val="clear" w:color="auto" w:fill="auto"/>
            <w:vAlign w:val="center"/>
          </w:tcPr>
          <w:p w14:paraId="60FFBE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40.32</w:t>
            </w:r>
          </w:p>
        </w:tc>
      </w:tr>
      <w:tr w14:paraId="6D6D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325" w:type="pct"/>
            <w:tcBorders>
              <w:top w:val="single" w:color="auto" w:sz="4" w:space="0"/>
              <w:left w:val="single" w:color="auto" w:sz="4" w:space="0"/>
              <w:right w:val="single" w:color="auto" w:sz="4" w:space="0"/>
            </w:tcBorders>
            <w:shd w:val="clear" w:color="auto" w:fill="auto"/>
            <w:vAlign w:val="center"/>
          </w:tcPr>
          <w:p w14:paraId="77107E4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1507" w:type="pct"/>
            <w:tcBorders>
              <w:top w:val="single" w:color="auto" w:sz="4" w:space="0"/>
              <w:left w:val="single" w:color="auto" w:sz="4" w:space="0"/>
              <w:right w:val="single" w:color="auto" w:sz="4" w:space="0"/>
            </w:tcBorders>
            <w:shd w:val="clear" w:color="auto" w:fill="auto"/>
            <w:vAlign w:val="center"/>
          </w:tcPr>
          <w:p w14:paraId="27FE86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第一、二部分费用合计</w:t>
            </w:r>
          </w:p>
        </w:tc>
        <w:tc>
          <w:tcPr>
            <w:tcW w:w="540" w:type="pct"/>
            <w:tcBorders>
              <w:top w:val="single" w:color="auto" w:sz="4" w:space="0"/>
              <w:left w:val="single" w:color="auto" w:sz="4" w:space="0"/>
              <w:right w:val="single" w:color="auto" w:sz="4" w:space="0"/>
            </w:tcBorders>
            <w:shd w:val="clear" w:color="auto" w:fill="auto"/>
            <w:vAlign w:val="center"/>
          </w:tcPr>
          <w:p w14:paraId="686BB8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52.395</w:t>
            </w:r>
          </w:p>
        </w:tc>
        <w:tc>
          <w:tcPr>
            <w:tcW w:w="540" w:type="pct"/>
            <w:tcBorders>
              <w:top w:val="single" w:color="auto" w:sz="4" w:space="0"/>
              <w:left w:val="single" w:color="auto" w:sz="4" w:space="0"/>
              <w:right w:val="single" w:color="auto" w:sz="4" w:space="0"/>
            </w:tcBorders>
            <w:shd w:val="clear" w:color="auto" w:fill="auto"/>
            <w:vAlign w:val="center"/>
          </w:tcPr>
          <w:p w14:paraId="2B1EDF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46.2</w:t>
            </w:r>
          </w:p>
        </w:tc>
        <w:tc>
          <w:tcPr>
            <w:tcW w:w="486" w:type="pct"/>
            <w:tcBorders>
              <w:top w:val="single" w:color="auto" w:sz="4" w:space="0"/>
              <w:left w:val="single" w:color="auto" w:sz="4" w:space="0"/>
              <w:right w:val="single" w:color="auto" w:sz="4" w:space="0"/>
            </w:tcBorders>
            <w:shd w:val="clear" w:color="auto" w:fill="auto"/>
            <w:vAlign w:val="center"/>
          </w:tcPr>
          <w:p w14:paraId="120D23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240</w:t>
            </w:r>
          </w:p>
        </w:tc>
        <w:tc>
          <w:tcPr>
            <w:tcW w:w="540" w:type="pct"/>
            <w:tcBorders>
              <w:top w:val="single" w:color="auto" w:sz="4" w:space="0"/>
              <w:left w:val="single" w:color="auto" w:sz="4" w:space="0"/>
              <w:right w:val="single" w:color="auto" w:sz="4" w:space="0"/>
            </w:tcBorders>
            <w:shd w:val="clear" w:color="auto" w:fill="auto"/>
            <w:vAlign w:val="center"/>
          </w:tcPr>
          <w:p w14:paraId="312321C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vAlign w:val="center"/>
          </w:tcPr>
          <w:p w14:paraId="19D17F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lang w:val="en-US"/>
              </w:rPr>
            </w:pPr>
            <w:r>
              <w:rPr>
                <w:rFonts w:hint="eastAsia" w:ascii="仿宋_GB2312" w:eastAsia="仿宋_GB2312" w:cs="仿宋_GB2312"/>
                <w:i w:val="0"/>
                <w:iCs w:val="0"/>
                <w:color w:val="auto"/>
                <w:kern w:val="0"/>
                <w:sz w:val="21"/>
                <w:szCs w:val="21"/>
                <w:highlight w:val="none"/>
                <w:u w:val="none"/>
                <w:lang w:val="en-US" w:eastAsia="zh-CN"/>
              </w:rPr>
              <w:t>40.32</w:t>
            </w:r>
          </w:p>
        </w:tc>
        <w:tc>
          <w:tcPr>
            <w:tcW w:w="519" w:type="pct"/>
            <w:tcBorders>
              <w:top w:val="single" w:color="auto" w:sz="4" w:space="0"/>
              <w:left w:val="single" w:color="auto" w:sz="4" w:space="0"/>
              <w:right w:val="single" w:color="auto" w:sz="4" w:space="0"/>
            </w:tcBorders>
            <w:shd w:val="clear" w:color="auto" w:fill="auto"/>
            <w:vAlign w:val="center"/>
          </w:tcPr>
          <w:p w14:paraId="06428C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378.91</w:t>
            </w:r>
          </w:p>
        </w:tc>
      </w:tr>
      <w:tr w14:paraId="50A9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 w:type="pct"/>
            <w:tcBorders>
              <w:top w:val="single" w:color="auto" w:sz="4" w:space="0"/>
              <w:left w:val="single" w:color="auto" w:sz="4" w:space="0"/>
              <w:right w:val="single" w:color="auto" w:sz="4" w:space="0"/>
            </w:tcBorders>
            <w:shd w:val="clear" w:color="auto" w:fill="auto"/>
            <w:noWrap/>
            <w:vAlign w:val="center"/>
          </w:tcPr>
          <w:p w14:paraId="6DA374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三</w:t>
            </w:r>
          </w:p>
        </w:tc>
        <w:tc>
          <w:tcPr>
            <w:tcW w:w="1507" w:type="pct"/>
            <w:tcBorders>
              <w:top w:val="single" w:color="auto" w:sz="4" w:space="0"/>
              <w:left w:val="single" w:color="auto" w:sz="4" w:space="0"/>
              <w:right w:val="single" w:color="auto" w:sz="4" w:space="0"/>
            </w:tcBorders>
            <w:shd w:val="clear" w:color="auto" w:fill="auto"/>
            <w:noWrap/>
            <w:vAlign w:val="center"/>
          </w:tcPr>
          <w:p w14:paraId="16CE02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预备费</w:t>
            </w:r>
          </w:p>
        </w:tc>
        <w:tc>
          <w:tcPr>
            <w:tcW w:w="540" w:type="pct"/>
            <w:tcBorders>
              <w:top w:val="single" w:color="auto" w:sz="4" w:space="0"/>
              <w:left w:val="single" w:color="auto" w:sz="4" w:space="0"/>
              <w:right w:val="single" w:color="auto" w:sz="4" w:space="0"/>
            </w:tcBorders>
            <w:shd w:val="clear" w:color="auto" w:fill="auto"/>
            <w:noWrap/>
            <w:vAlign w:val="center"/>
          </w:tcPr>
          <w:p w14:paraId="18C3690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1F86AE2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486" w:type="pct"/>
            <w:tcBorders>
              <w:top w:val="single" w:color="auto" w:sz="4" w:space="0"/>
              <w:left w:val="single" w:color="auto" w:sz="4" w:space="0"/>
              <w:right w:val="single" w:color="auto" w:sz="4" w:space="0"/>
            </w:tcBorders>
            <w:shd w:val="clear" w:color="auto" w:fill="auto"/>
            <w:noWrap/>
            <w:vAlign w:val="center"/>
          </w:tcPr>
          <w:p w14:paraId="495A8ED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22220FC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13D52C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26.52</w:t>
            </w:r>
          </w:p>
        </w:tc>
        <w:tc>
          <w:tcPr>
            <w:tcW w:w="519" w:type="pct"/>
            <w:tcBorders>
              <w:top w:val="single" w:color="auto" w:sz="4" w:space="0"/>
              <w:left w:val="single" w:color="auto" w:sz="4" w:space="0"/>
              <w:right w:val="single" w:color="auto" w:sz="4" w:space="0"/>
            </w:tcBorders>
            <w:shd w:val="clear" w:color="auto" w:fill="auto"/>
            <w:vAlign w:val="center"/>
          </w:tcPr>
          <w:p w14:paraId="67384A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26.52</w:t>
            </w:r>
          </w:p>
        </w:tc>
      </w:tr>
      <w:tr w14:paraId="2BAC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5" w:type="pct"/>
            <w:tcBorders>
              <w:top w:val="single" w:color="auto" w:sz="4" w:space="0"/>
              <w:left w:val="single" w:color="auto" w:sz="4" w:space="0"/>
              <w:right w:val="single" w:color="auto" w:sz="4" w:space="0"/>
            </w:tcBorders>
            <w:shd w:val="clear" w:color="auto" w:fill="auto"/>
            <w:noWrap/>
            <w:vAlign w:val="center"/>
          </w:tcPr>
          <w:p w14:paraId="5B2D77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四</w:t>
            </w:r>
          </w:p>
        </w:tc>
        <w:tc>
          <w:tcPr>
            <w:tcW w:w="1507" w:type="pct"/>
            <w:tcBorders>
              <w:top w:val="single" w:color="auto" w:sz="4" w:space="0"/>
              <w:left w:val="single" w:color="auto" w:sz="4" w:space="0"/>
              <w:right w:val="single" w:color="auto" w:sz="4" w:space="0"/>
            </w:tcBorders>
            <w:shd w:val="clear" w:color="auto" w:fill="auto"/>
            <w:noWrap/>
            <w:vAlign w:val="center"/>
          </w:tcPr>
          <w:p w14:paraId="0CDDE1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18"/>
                <w:szCs w:val="18"/>
                <w:highlight w:val="none"/>
                <w:u w:val="none"/>
              </w:rPr>
            </w:pPr>
            <w:r>
              <w:rPr>
                <w:rFonts w:hint="eastAsia" w:ascii="仿宋_GB2312" w:eastAsia="仿宋_GB2312" w:cs="仿宋_GB2312"/>
                <w:i w:val="0"/>
                <w:iCs w:val="0"/>
                <w:color w:val="auto"/>
                <w:kern w:val="0"/>
                <w:sz w:val="18"/>
                <w:szCs w:val="18"/>
                <w:highlight w:val="none"/>
                <w:u w:val="none"/>
                <w:lang w:val="en-US" w:eastAsia="zh-CN"/>
              </w:rPr>
              <w:t>矿业权出让收益</w:t>
            </w:r>
          </w:p>
        </w:tc>
        <w:tc>
          <w:tcPr>
            <w:tcW w:w="540" w:type="pct"/>
            <w:tcBorders>
              <w:top w:val="single" w:color="auto" w:sz="4" w:space="0"/>
              <w:left w:val="single" w:color="auto" w:sz="4" w:space="0"/>
              <w:right w:val="single" w:color="auto" w:sz="4" w:space="0"/>
            </w:tcBorders>
            <w:shd w:val="clear" w:color="auto" w:fill="auto"/>
            <w:noWrap/>
            <w:vAlign w:val="center"/>
          </w:tcPr>
          <w:p w14:paraId="5455BB8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4CE0428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486" w:type="pct"/>
            <w:tcBorders>
              <w:top w:val="single" w:color="auto" w:sz="4" w:space="0"/>
              <w:left w:val="single" w:color="auto" w:sz="4" w:space="0"/>
              <w:right w:val="single" w:color="auto" w:sz="4" w:space="0"/>
            </w:tcBorders>
            <w:shd w:val="clear" w:color="auto" w:fill="auto"/>
            <w:noWrap/>
            <w:vAlign w:val="center"/>
          </w:tcPr>
          <w:p w14:paraId="3C8CA15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7C73866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28D0F8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165</w:t>
            </w:r>
          </w:p>
        </w:tc>
        <w:tc>
          <w:tcPr>
            <w:tcW w:w="519" w:type="pct"/>
            <w:tcBorders>
              <w:top w:val="single" w:color="auto" w:sz="4" w:space="0"/>
              <w:left w:val="single" w:color="auto" w:sz="4" w:space="0"/>
              <w:right w:val="single" w:color="auto" w:sz="4" w:space="0"/>
            </w:tcBorders>
            <w:shd w:val="clear" w:color="auto" w:fill="auto"/>
            <w:vAlign w:val="center"/>
          </w:tcPr>
          <w:p w14:paraId="3549E6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165.00</w:t>
            </w:r>
          </w:p>
        </w:tc>
      </w:tr>
      <w:tr w14:paraId="313D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325" w:type="pct"/>
            <w:tcBorders>
              <w:top w:val="single" w:color="auto" w:sz="4" w:space="0"/>
              <w:left w:val="single" w:color="auto" w:sz="4" w:space="0"/>
              <w:right w:val="single" w:color="auto" w:sz="4" w:space="0"/>
            </w:tcBorders>
            <w:shd w:val="clear" w:color="auto" w:fill="auto"/>
            <w:noWrap/>
            <w:vAlign w:val="center"/>
          </w:tcPr>
          <w:p w14:paraId="6A79A7B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1507" w:type="pct"/>
            <w:tcBorders>
              <w:top w:val="single" w:color="auto" w:sz="4" w:space="0"/>
              <w:left w:val="single" w:color="auto" w:sz="4" w:space="0"/>
              <w:right w:val="single" w:color="auto" w:sz="4" w:space="0"/>
            </w:tcBorders>
            <w:shd w:val="clear" w:color="auto" w:fill="auto"/>
            <w:noWrap/>
            <w:vAlign w:val="center"/>
          </w:tcPr>
          <w:p w14:paraId="1DD1CC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建设投资</w:t>
            </w:r>
          </w:p>
        </w:tc>
        <w:tc>
          <w:tcPr>
            <w:tcW w:w="540" w:type="pct"/>
            <w:tcBorders>
              <w:top w:val="single" w:color="auto" w:sz="4" w:space="0"/>
              <w:left w:val="single" w:color="auto" w:sz="4" w:space="0"/>
              <w:right w:val="single" w:color="auto" w:sz="4" w:space="0"/>
            </w:tcBorders>
            <w:shd w:val="clear" w:color="auto" w:fill="auto"/>
            <w:noWrap/>
            <w:vAlign w:val="center"/>
          </w:tcPr>
          <w:p w14:paraId="6E9862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52.40</w:t>
            </w:r>
          </w:p>
        </w:tc>
        <w:tc>
          <w:tcPr>
            <w:tcW w:w="540" w:type="pct"/>
            <w:tcBorders>
              <w:top w:val="single" w:color="auto" w:sz="4" w:space="0"/>
              <w:left w:val="single" w:color="auto" w:sz="4" w:space="0"/>
              <w:right w:val="single" w:color="auto" w:sz="4" w:space="0"/>
            </w:tcBorders>
            <w:shd w:val="clear" w:color="auto" w:fill="auto"/>
            <w:noWrap/>
            <w:vAlign w:val="center"/>
          </w:tcPr>
          <w:p w14:paraId="7CAABC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46.20</w:t>
            </w:r>
          </w:p>
        </w:tc>
        <w:tc>
          <w:tcPr>
            <w:tcW w:w="486" w:type="pct"/>
            <w:tcBorders>
              <w:top w:val="single" w:color="auto" w:sz="4" w:space="0"/>
              <w:left w:val="single" w:color="auto" w:sz="4" w:space="0"/>
              <w:right w:val="single" w:color="auto" w:sz="4" w:space="0"/>
            </w:tcBorders>
            <w:shd w:val="clear" w:color="auto" w:fill="auto"/>
            <w:noWrap/>
            <w:vAlign w:val="center"/>
          </w:tcPr>
          <w:p w14:paraId="32E381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240.00</w:t>
            </w:r>
          </w:p>
        </w:tc>
        <w:tc>
          <w:tcPr>
            <w:tcW w:w="540" w:type="pct"/>
            <w:tcBorders>
              <w:top w:val="single" w:color="auto" w:sz="4" w:space="0"/>
              <w:left w:val="single" w:color="auto" w:sz="4" w:space="0"/>
              <w:right w:val="single" w:color="auto" w:sz="4" w:space="0"/>
            </w:tcBorders>
            <w:shd w:val="clear" w:color="auto" w:fill="auto"/>
            <w:noWrap/>
            <w:vAlign w:val="center"/>
          </w:tcPr>
          <w:p w14:paraId="5333EDE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40" w:type="pct"/>
            <w:tcBorders>
              <w:top w:val="single" w:color="auto" w:sz="4" w:space="0"/>
              <w:left w:val="single" w:color="auto" w:sz="4" w:space="0"/>
              <w:right w:val="single" w:color="auto" w:sz="4" w:space="0"/>
            </w:tcBorders>
            <w:shd w:val="clear" w:color="auto" w:fill="auto"/>
            <w:noWrap/>
            <w:vAlign w:val="center"/>
          </w:tcPr>
          <w:p w14:paraId="363C6C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231.84</w:t>
            </w:r>
          </w:p>
        </w:tc>
        <w:tc>
          <w:tcPr>
            <w:tcW w:w="519" w:type="pct"/>
            <w:tcBorders>
              <w:top w:val="single" w:color="auto" w:sz="4" w:space="0"/>
              <w:left w:val="single" w:color="auto" w:sz="4" w:space="0"/>
              <w:right w:val="single" w:color="auto" w:sz="4" w:space="0"/>
            </w:tcBorders>
            <w:shd w:val="clear" w:color="auto" w:fill="auto"/>
            <w:noWrap/>
            <w:vAlign w:val="center"/>
          </w:tcPr>
          <w:p w14:paraId="131C34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570</w:t>
            </w:r>
          </w:p>
        </w:tc>
      </w:tr>
    </w:tbl>
    <w:p w14:paraId="234E1E27">
      <w:pPr>
        <w:pStyle w:val="634"/>
        <w:rPr>
          <w:rFonts w:hint="eastAsia" w:ascii="仿宋_GB2312" w:eastAsia="仿宋_GB2312" w:cs="仿宋_GB2312"/>
          <w:color w:val="auto"/>
          <w:sz w:val="28"/>
          <w:szCs w:val="28"/>
          <w:highlight w:val="none"/>
        </w:rPr>
      </w:pPr>
    </w:p>
    <w:p w14:paraId="6BBF943B">
      <w:pPr>
        <w:pStyle w:val="634"/>
        <w:rPr>
          <w:rFonts w:hint="eastAsia" w:ascii="仿宋_GB2312" w:eastAsia="仿宋_GB2312" w:cs="仿宋_GB2312"/>
          <w:color w:val="auto"/>
          <w:sz w:val="28"/>
          <w:szCs w:val="28"/>
          <w:highlight w:val="none"/>
        </w:rPr>
      </w:pPr>
    </w:p>
    <w:p w14:paraId="13AF938C">
      <w:pPr>
        <w:rPr>
          <w:rFonts w:hint="eastAsia" w:ascii="仿宋_GB2312" w:eastAsia="仿宋_GB2312" w:cs="仿宋_GB2312"/>
          <w:color w:val="auto"/>
          <w:highlight w:val="none"/>
        </w:rPr>
        <w:sectPr>
          <w:pgSz w:w="16840" w:h="11907" w:orient="landscape"/>
          <w:pgMar w:top="1588" w:right="1247" w:bottom="1361" w:left="1588" w:header="851" w:footer="992" w:gutter="0"/>
          <w:cols w:space="720" w:num="1"/>
          <w:docGrid w:type="lines" w:linePitch="583" w:charSpace="490"/>
        </w:sectPr>
      </w:pPr>
    </w:p>
    <w:p w14:paraId="060D6681">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highlight w:val="none"/>
        </w:rPr>
      </w:pPr>
      <w:bookmarkStart w:id="432" w:name="_Toc5451"/>
      <w:bookmarkStart w:id="433" w:name="_Toc21287"/>
      <w:r>
        <w:rPr>
          <w:rFonts w:hint="eastAsia" w:ascii="仿宋_GB2312" w:eastAsia="仿宋_GB2312" w:cs="仿宋_GB2312"/>
          <w:color w:val="auto"/>
          <w:sz w:val="36"/>
          <w:szCs w:val="36"/>
          <w:highlight w:val="none"/>
        </w:rPr>
        <w:t>财务分析</w:t>
      </w:r>
      <w:bookmarkEnd w:id="432"/>
      <w:bookmarkEnd w:id="433"/>
    </w:p>
    <w:p w14:paraId="79B06C4F">
      <w:pPr>
        <w:adjustRightInd w:val="0"/>
        <w:snapToGrid w:val="0"/>
        <w:spacing w:line="360" w:lineRule="auto"/>
        <w:outlineLvl w:val="1"/>
        <w:rPr>
          <w:rFonts w:hint="eastAsia" w:ascii="仿宋_GB2312" w:eastAsia="仿宋_GB2312" w:cs="仿宋_GB2312"/>
          <w:b/>
          <w:color w:val="auto"/>
          <w:sz w:val="28"/>
          <w:szCs w:val="28"/>
          <w:highlight w:val="none"/>
        </w:rPr>
      </w:pPr>
      <w:bookmarkStart w:id="434" w:name="_Toc247534714"/>
      <w:bookmarkStart w:id="435" w:name="_Toc12570"/>
      <w:bookmarkStart w:id="436" w:name="_Toc290371307"/>
      <w:bookmarkStart w:id="437" w:name="_Toc28476"/>
      <w:r>
        <w:rPr>
          <w:rFonts w:hint="eastAsia" w:ascii="仿宋_GB2312" w:eastAsia="仿宋_GB2312" w:cs="仿宋_GB2312"/>
          <w:b/>
          <w:color w:val="auto"/>
          <w:sz w:val="32"/>
          <w:szCs w:val="32"/>
          <w:highlight w:val="none"/>
          <w:lang w:val="en-US" w:eastAsia="zh-CN"/>
        </w:rPr>
        <w:t>12</w:t>
      </w:r>
      <w:r>
        <w:rPr>
          <w:rFonts w:hint="eastAsia" w:ascii="仿宋_GB2312" w:eastAsia="仿宋_GB2312" w:cs="仿宋_GB2312"/>
          <w:b/>
          <w:color w:val="auto"/>
          <w:sz w:val="28"/>
          <w:szCs w:val="28"/>
          <w:highlight w:val="none"/>
        </w:rPr>
        <w:t>.1说明</w:t>
      </w:r>
      <w:bookmarkEnd w:id="434"/>
      <w:bookmarkEnd w:id="435"/>
      <w:bookmarkEnd w:id="436"/>
      <w:bookmarkEnd w:id="437"/>
    </w:p>
    <w:p w14:paraId="6AE09E98">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1、经济效益分析按照国家发展改革委和建设部发布的《建设项目经济评价方法与参数（第三版）》的要求进行，各项技术经济数据参照类似矿山并结合本工程实际进行选取，按国家现行财税法规进行经济测算与评价；</w:t>
      </w:r>
    </w:p>
    <w:p w14:paraId="4AEE6C39">
      <w:pPr>
        <w:adjustRightInd w:val="0"/>
        <w:snapToGrid w:val="0"/>
        <w:spacing w:line="360" w:lineRule="auto"/>
        <w:ind w:firstLine="560" w:firstLineChars="200"/>
        <w:rPr>
          <w:rFonts w:hint="eastAsia" w:ascii="仿宋_GB2312" w:eastAsia="仿宋_GB2312" w:cs="仿宋_GB2312"/>
          <w:color w:val="auto"/>
          <w:sz w:val="28"/>
          <w:szCs w:val="28"/>
          <w:highlight w:val="none"/>
        </w:rPr>
      </w:pPr>
      <w:bookmarkStart w:id="438" w:name="_Toc290366650"/>
      <w:r>
        <w:rPr>
          <w:rFonts w:hint="eastAsia" w:ascii="仿宋_GB2312" w:eastAsia="仿宋_GB2312" w:cs="仿宋_GB2312"/>
          <w:color w:val="auto"/>
          <w:sz w:val="28"/>
          <w:szCs w:val="28"/>
          <w:highlight w:val="none"/>
        </w:rPr>
        <w:t>2、财务分析采用不含税价格</w:t>
      </w:r>
      <w:bookmarkEnd w:id="438"/>
      <w:r>
        <w:rPr>
          <w:rFonts w:hint="eastAsia" w:ascii="仿宋_GB2312" w:eastAsia="仿宋_GB2312" w:cs="仿宋_GB2312"/>
          <w:color w:val="auto"/>
          <w:sz w:val="28"/>
          <w:szCs w:val="28"/>
          <w:highlight w:val="none"/>
        </w:rPr>
        <w:t>。</w:t>
      </w:r>
    </w:p>
    <w:p w14:paraId="5C1199D5">
      <w:pPr>
        <w:adjustRightInd w:val="0"/>
        <w:snapToGrid w:val="0"/>
        <w:spacing w:line="360" w:lineRule="auto"/>
        <w:outlineLvl w:val="1"/>
        <w:rPr>
          <w:rFonts w:hint="eastAsia" w:ascii="仿宋_GB2312" w:eastAsia="仿宋_GB2312" w:cs="仿宋_GB2312"/>
          <w:b/>
          <w:color w:val="auto"/>
          <w:sz w:val="28"/>
          <w:szCs w:val="28"/>
          <w:highlight w:val="none"/>
        </w:rPr>
      </w:pPr>
      <w:bookmarkStart w:id="439" w:name="_Toc290371308"/>
      <w:bookmarkStart w:id="440" w:name="_Toc4865"/>
      <w:bookmarkStart w:id="441" w:name="_Toc15699"/>
      <w:r>
        <w:rPr>
          <w:rFonts w:hint="eastAsia" w:ascii="仿宋_GB2312" w:eastAsia="仿宋_GB2312" w:cs="仿宋_GB2312"/>
          <w:b/>
          <w:color w:val="auto"/>
          <w:sz w:val="28"/>
          <w:szCs w:val="28"/>
          <w:highlight w:val="none"/>
          <w:lang w:val="en-US" w:eastAsia="zh-CN"/>
        </w:rPr>
        <w:t>12</w:t>
      </w:r>
      <w:r>
        <w:rPr>
          <w:rFonts w:hint="eastAsia" w:ascii="仿宋_GB2312" w:eastAsia="仿宋_GB2312" w:cs="仿宋_GB2312"/>
          <w:b/>
          <w:color w:val="auto"/>
          <w:sz w:val="28"/>
          <w:szCs w:val="28"/>
          <w:highlight w:val="none"/>
        </w:rPr>
        <w:t>.2基础数据</w:t>
      </w:r>
      <w:bookmarkEnd w:id="439"/>
      <w:bookmarkEnd w:id="440"/>
      <w:bookmarkEnd w:id="441"/>
    </w:p>
    <w:p w14:paraId="6A7FE4F1">
      <w:pPr>
        <w:adjustRightInd w:val="0"/>
        <w:snapToGrid w:val="0"/>
        <w:spacing w:line="360" w:lineRule="auto"/>
        <w:rPr>
          <w:rFonts w:hint="eastAsia" w:ascii="仿宋_GB2312" w:eastAsia="仿宋_GB2312" w:cs="仿宋_GB2312"/>
          <w:b/>
          <w:color w:val="auto"/>
          <w:sz w:val="28"/>
          <w:szCs w:val="28"/>
          <w:highlight w:val="none"/>
        </w:rPr>
      </w:pPr>
      <w:r>
        <w:rPr>
          <w:rFonts w:hint="eastAsia" w:ascii="仿宋_GB2312" w:eastAsia="仿宋_GB2312" w:cs="仿宋_GB2312"/>
          <w:b/>
          <w:color w:val="auto"/>
          <w:sz w:val="28"/>
          <w:szCs w:val="28"/>
          <w:highlight w:val="none"/>
          <w:lang w:val="en-US" w:eastAsia="zh-CN"/>
        </w:rPr>
        <w:t>12</w:t>
      </w:r>
      <w:r>
        <w:rPr>
          <w:rFonts w:hint="eastAsia" w:ascii="仿宋_GB2312" w:eastAsia="仿宋_GB2312" w:cs="仿宋_GB2312"/>
          <w:b/>
          <w:color w:val="auto"/>
          <w:sz w:val="28"/>
          <w:szCs w:val="28"/>
          <w:highlight w:val="none"/>
        </w:rPr>
        <w:t>.2.1生产规模及产品方案</w:t>
      </w:r>
    </w:p>
    <w:p w14:paraId="4D52B3CE">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年采矿石</w:t>
      </w:r>
      <w:r>
        <w:rPr>
          <w:rFonts w:hint="eastAsia" w:ascii="仿宋_GB2312" w:eastAsia="仿宋_GB2312" w:cs="仿宋_GB2312"/>
          <w:color w:val="auto"/>
          <w:sz w:val="28"/>
          <w:szCs w:val="28"/>
          <w:highlight w:val="none"/>
          <w:lang w:val="en-US" w:eastAsia="zh-CN"/>
        </w:rPr>
        <w:t>20</w:t>
      </w:r>
      <w:r>
        <w:rPr>
          <w:rFonts w:hint="eastAsia" w:ascii="仿宋_GB2312" w:eastAsia="仿宋_GB2312" w:cs="仿宋_GB2312"/>
          <w:color w:val="auto"/>
          <w:sz w:val="28"/>
          <w:szCs w:val="28"/>
          <w:highlight w:val="none"/>
        </w:rPr>
        <w:t>万吨，产品为原矿。</w:t>
      </w:r>
    </w:p>
    <w:p w14:paraId="3B0C43C1">
      <w:pPr>
        <w:adjustRightInd w:val="0"/>
        <w:snapToGrid w:val="0"/>
        <w:spacing w:line="360" w:lineRule="auto"/>
        <w:rPr>
          <w:rFonts w:hint="eastAsia" w:ascii="仿宋_GB2312" w:eastAsia="仿宋_GB2312" w:cs="仿宋_GB2312"/>
          <w:b/>
          <w:bCs/>
          <w:color w:val="auto"/>
          <w:sz w:val="28"/>
          <w:szCs w:val="28"/>
          <w:highlight w:val="none"/>
        </w:rPr>
      </w:pPr>
      <w:r>
        <w:rPr>
          <w:rFonts w:hint="eastAsia" w:ascii="仿宋_GB2312" w:eastAsia="仿宋_GB2312" w:cs="仿宋_GB2312"/>
          <w:b/>
          <w:bCs/>
          <w:color w:val="auto"/>
          <w:sz w:val="28"/>
          <w:szCs w:val="28"/>
          <w:highlight w:val="none"/>
          <w:lang w:val="en-US" w:eastAsia="zh-CN"/>
        </w:rPr>
        <w:t>12</w:t>
      </w:r>
      <w:r>
        <w:rPr>
          <w:rFonts w:hint="eastAsia" w:ascii="仿宋_GB2312" w:eastAsia="仿宋_GB2312" w:cs="仿宋_GB2312"/>
          <w:b/>
          <w:bCs/>
          <w:color w:val="auto"/>
          <w:sz w:val="28"/>
          <w:szCs w:val="28"/>
          <w:highlight w:val="none"/>
        </w:rPr>
        <w:t>.2.2实施进度</w:t>
      </w:r>
    </w:p>
    <w:p w14:paraId="273469DB">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基建期</w:t>
      </w:r>
      <w:r>
        <w:rPr>
          <w:rFonts w:hint="eastAsia" w:ascii="仿宋_GB2312" w:eastAsia="仿宋_GB2312" w:cs="仿宋_GB2312"/>
          <w:color w:val="auto"/>
          <w:sz w:val="28"/>
          <w:szCs w:val="28"/>
          <w:highlight w:val="none"/>
          <w:lang w:val="en-US" w:eastAsia="zh-CN"/>
        </w:rPr>
        <w:t>期0.5年</w:t>
      </w:r>
      <w:r>
        <w:rPr>
          <w:rFonts w:hint="eastAsia" w:ascii="仿宋_GB2312" w:eastAsia="仿宋_GB2312" w:cs="仿宋_GB2312"/>
          <w:color w:val="auto"/>
          <w:sz w:val="28"/>
          <w:szCs w:val="28"/>
          <w:highlight w:val="none"/>
        </w:rPr>
        <w:t>，</w:t>
      </w:r>
      <w:r>
        <w:rPr>
          <w:rFonts w:hint="eastAsia" w:ascii="仿宋_GB2312" w:eastAsia="仿宋_GB2312" w:cs="仿宋_GB2312"/>
          <w:color w:val="auto"/>
          <w:sz w:val="28"/>
          <w:szCs w:val="28"/>
          <w:highlight w:val="none"/>
          <w:lang w:val="en-US" w:eastAsia="zh-CN"/>
        </w:rPr>
        <w:t>服务年限8年</w:t>
      </w:r>
      <w:r>
        <w:rPr>
          <w:rFonts w:hint="eastAsia" w:ascii="仿宋_GB2312" w:eastAsia="仿宋_GB2312" w:cs="仿宋_GB2312"/>
          <w:color w:val="auto"/>
          <w:sz w:val="28"/>
          <w:szCs w:val="28"/>
          <w:highlight w:val="none"/>
        </w:rPr>
        <w:t>，计算期</w:t>
      </w:r>
      <w:r>
        <w:rPr>
          <w:rFonts w:hint="eastAsia" w:ascii="仿宋_GB2312" w:eastAsia="仿宋_GB2312" w:cs="仿宋_GB2312"/>
          <w:color w:val="auto"/>
          <w:sz w:val="28"/>
          <w:szCs w:val="28"/>
          <w:highlight w:val="none"/>
          <w:lang w:val="en-US" w:eastAsia="zh-CN"/>
        </w:rPr>
        <w:t>8.5</w:t>
      </w:r>
      <w:r>
        <w:rPr>
          <w:rFonts w:hint="eastAsia" w:ascii="仿宋_GB2312" w:eastAsia="仿宋_GB2312" w:cs="仿宋_GB2312"/>
          <w:color w:val="auto"/>
          <w:sz w:val="28"/>
          <w:szCs w:val="28"/>
          <w:highlight w:val="none"/>
        </w:rPr>
        <w:t>年。</w:t>
      </w:r>
    </w:p>
    <w:p w14:paraId="0E49C070">
      <w:pPr>
        <w:adjustRightInd w:val="0"/>
        <w:snapToGrid w:val="0"/>
        <w:spacing w:line="360" w:lineRule="auto"/>
        <w:rPr>
          <w:rFonts w:hint="eastAsia" w:ascii="仿宋_GB2312" w:eastAsia="仿宋_GB2312" w:cs="仿宋_GB2312"/>
          <w:b/>
          <w:bCs/>
          <w:color w:val="auto"/>
          <w:sz w:val="28"/>
          <w:szCs w:val="28"/>
          <w:highlight w:val="none"/>
        </w:rPr>
      </w:pPr>
      <w:r>
        <w:rPr>
          <w:rFonts w:hint="eastAsia" w:ascii="仿宋_GB2312" w:eastAsia="仿宋_GB2312" w:cs="仿宋_GB2312"/>
          <w:b/>
          <w:bCs/>
          <w:color w:val="auto"/>
          <w:sz w:val="28"/>
          <w:szCs w:val="28"/>
          <w:highlight w:val="none"/>
          <w:lang w:val="en-US" w:eastAsia="zh-CN"/>
        </w:rPr>
        <w:t>12</w:t>
      </w:r>
      <w:r>
        <w:rPr>
          <w:rFonts w:hint="eastAsia" w:ascii="仿宋_GB2312" w:eastAsia="仿宋_GB2312" w:cs="仿宋_GB2312"/>
          <w:b/>
          <w:bCs/>
          <w:color w:val="auto"/>
          <w:sz w:val="28"/>
          <w:szCs w:val="28"/>
          <w:highlight w:val="none"/>
        </w:rPr>
        <w:t>.2.3劳动定员</w:t>
      </w:r>
    </w:p>
    <w:p w14:paraId="27DE8A73">
      <w:pPr>
        <w:adjustRightInd w:val="0"/>
        <w:snapToGrid w:val="0"/>
        <w:spacing w:line="360" w:lineRule="auto"/>
        <w:ind w:firstLine="56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lang w:val="zh-CN"/>
        </w:rPr>
        <w:t>矿山开采实行</w:t>
      </w:r>
      <w:r>
        <w:rPr>
          <w:rFonts w:hint="eastAsia" w:ascii="仿宋_GB2312" w:eastAsia="仿宋_GB2312" w:cs="仿宋_GB2312"/>
          <w:color w:val="auto"/>
          <w:sz w:val="28"/>
          <w:szCs w:val="28"/>
          <w:highlight w:val="none"/>
          <w:lang w:val="en-US" w:eastAsia="zh-CN"/>
        </w:rPr>
        <w:t>一班工作制</w:t>
      </w:r>
      <w:r>
        <w:rPr>
          <w:rFonts w:hint="eastAsia" w:ascii="仿宋_GB2312" w:eastAsia="仿宋_GB2312" w:cs="仿宋_GB2312"/>
          <w:color w:val="auto"/>
          <w:sz w:val="28"/>
          <w:szCs w:val="28"/>
          <w:highlight w:val="none"/>
          <w:lang w:val="zh-CN"/>
        </w:rPr>
        <w:t>，每班生产8小时。</w:t>
      </w:r>
      <w:r>
        <w:rPr>
          <w:rFonts w:hint="eastAsia" w:ascii="仿宋_GB2312" w:eastAsia="仿宋_GB2312" w:cs="仿宋_GB2312"/>
          <w:color w:val="auto"/>
          <w:sz w:val="28"/>
          <w:szCs w:val="28"/>
          <w:highlight w:val="none"/>
        </w:rPr>
        <w:t>职工总人数为</w:t>
      </w:r>
      <w:r>
        <w:rPr>
          <w:rFonts w:hint="eastAsia" w:ascii="仿宋_GB2312" w:eastAsia="仿宋_GB2312" w:cs="仿宋_GB2312"/>
          <w:color w:val="auto"/>
          <w:sz w:val="28"/>
          <w:szCs w:val="28"/>
          <w:highlight w:val="none"/>
          <w:lang w:val="en-US" w:eastAsia="zh-CN"/>
        </w:rPr>
        <w:t>18</w:t>
      </w:r>
      <w:r>
        <w:rPr>
          <w:rFonts w:hint="eastAsia" w:ascii="仿宋_GB2312" w:eastAsia="仿宋_GB2312" w:cs="仿宋_GB2312"/>
          <w:color w:val="auto"/>
          <w:sz w:val="28"/>
          <w:szCs w:val="28"/>
          <w:highlight w:val="none"/>
        </w:rPr>
        <w:t>人，其中岗位生产人员</w:t>
      </w:r>
      <w:r>
        <w:rPr>
          <w:rFonts w:hint="eastAsia" w:ascii="仿宋_GB2312" w:eastAsia="仿宋_GB2312" w:cs="仿宋_GB2312"/>
          <w:color w:val="auto"/>
          <w:sz w:val="28"/>
          <w:szCs w:val="28"/>
          <w:highlight w:val="none"/>
          <w:lang w:val="en-US" w:eastAsia="zh-CN"/>
        </w:rPr>
        <w:t>12</w:t>
      </w:r>
      <w:r>
        <w:rPr>
          <w:rFonts w:hint="eastAsia" w:ascii="仿宋_GB2312" w:eastAsia="仿宋_GB2312" w:cs="仿宋_GB2312"/>
          <w:color w:val="auto"/>
          <w:sz w:val="28"/>
          <w:szCs w:val="28"/>
          <w:highlight w:val="none"/>
        </w:rPr>
        <w:t>人；服务及管理人员</w:t>
      </w:r>
      <w:r>
        <w:rPr>
          <w:rFonts w:hint="eastAsia" w:ascii="仿宋_GB2312" w:eastAsia="仿宋_GB2312" w:cs="仿宋_GB2312"/>
          <w:color w:val="auto"/>
          <w:sz w:val="28"/>
          <w:szCs w:val="28"/>
          <w:highlight w:val="none"/>
          <w:lang w:val="en-US" w:eastAsia="zh-CN"/>
        </w:rPr>
        <w:t>6</w:t>
      </w:r>
      <w:r>
        <w:rPr>
          <w:rFonts w:hint="eastAsia" w:ascii="仿宋_GB2312" w:eastAsia="仿宋_GB2312" w:cs="仿宋_GB2312"/>
          <w:color w:val="auto"/>
          <w:sz w:val="28"/>
          <w:szCs w:val="28"/>
          <w:highlight w:val="none"/>
        </w:rPr>
        <w:t>人。职工定员编制详见</w:t>
      </w:r>
      <w:r>
        <w:rPr>
          <w:rFonts w:hint="eastAsia" w:ascii="仿宋_GB2312" w:eastAsia="仿宋_GB2312" w:cs="仿宋_GB2312"/>
          <w:color w:val="auto"/>
          <w:sz w:val="28"/>
          <w:szCs w:val="28"/>
          <w:highlight w:val="none"/>
          <w:lang w:val="en-US" w:eastAsia="zh-CN"/>
        </w:rPr>
        <w:t>表12</w:t>
      </w:r>
      <w:r>
        <w:rPr>
          <w:rFonts w:hint="eastAsia" w:ascii="仿宋_GB2312" w:eastAsia="仿宋_GB2312" w:cs="仿宋_GB2312"/>
          <w:color w:val="auto"/>
          <w:sz w:val="28"/>
          <w:szCs w:val="28"/>
          <w:highlight w:val="none"/>
        </w:rPr>
        <w:t>-1。劳动生产率见表</w:t>
      </w:r>
      <w:r>
        <w:rPr>
          <w:rFonts w:hint="eastAsia" w:ascii="仿宋_GB2312" w:eastAsia="仿宋_GB2312" w:cs="仿宋_GB2312"/>
          <w:color w:val="auto"/>
          <w:sz w:val="28"/>
          <w:szCs w:val="28"/>
          <w:highlight w:val="none"/>
          <w:lang w:val="en-US" w:eastAsia="zh-CN"/>
        </w:rPr>
        <w:t>12</w:t>
      </w:r>
      <w:r>
        <w:rPr>
          <w:rFonts w:hint="eastAsia" w:ascii="仿宋_GB2312" w:eastAsia="仿宋_GB2312" w:cs="仿宋_GB2312"/>
          <w:color w:val="auto"/>
          <w:sz w:val="28"/>
          <w:szCs w:val="28"/>
          <w:highlight w:val="none"/>
        </w:rPr>
        <w:t>-2。</w:t>
      </w:r>
    </w:p>
    <w:p w14:paraId="0964417A">
      <w:pPr>
        <w:pStyle w:val="152"/>
        <w:adjustRightInd w:val="0"/>
        <w:snapToGrid w:val="0"/>
        <w:spacing w:line="240" w:lineRule="auto"/>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表</w:t>
      </w:r>
      <w:r>
        <w:rPr>
          <w:rFonts w:hint="eastAsia" w:ascii="仿宋_GB2312" w:eastAsia="仿宋_GB2312" w:cs="仿宋_GB2312"/>
          <w:color w:val="auto"/>
          <w:sz w:val="28"/>
          <w:szCs w:val="28"/>
          <w:highlight w:val="none"/>
          <w:lang w:val="en-US" w:eastAsia="zh-CN"/>
        </w:rPr>
        <w:t>12</w:t>
      </w:r>
      <w:r>
        <w:rPr>
          <w:rFonts w:hint="eastAsia" w:ascii="仿宋_GB2312" w:eastAsia="仿宋_GB2312" w:cs="仿宋_GB2312"/>
          <w:color w:val="auto"/>
          <w:sz w:val="28"/>
          <w:szCs w:val="28"/>
          <w:highlight w:val="none"/>
        </w:rPr>
        <w:t>-1  职工定员</w:t>
      </w:r>
    </w:p>
    <w:tbl>
      <w:tblPr>
        <w:tblStyle w:val="6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36"/>
        <w:gridCol w:w="5290"/>
        <w:gridCol w:w="1941"/>
      </w:tblGrid>
      <w:tr w14:paraId="16517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CD40D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序号</w:t>
            </w:r>
          </w:p>
        </w:tc>
        <w:tc>
          <w:tcPr>
            <w:tcW w:w="288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498A5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职别名称</w:t>
            </w:r>
          </w:p>
        </w:tc>
        <w:tc>
          <w:tcPr>
            <w:tcW w:w="1058" w:type="pct"/>
            <w:vMerge w:val="restart"/>
            <w:tcBorders>
              <w:top w:val="single" w:color="000000" w:sz="8" w:space="0"/>
              <w:left w:val="single" w:color="000000" w:sz="8" w:space="0"/>
              <w:bottom w:val="single" w:color="000000" w:sz="8" w:space="0"/>
              <w:right w:val="nil"/>
            </w:tcBorders>
            <w:shd w:val="clear" w:color="auto" w:fill="auto"/>
            <w:vAlign w:val="center"/>
          </w:tcPr>
          <w:p w14:paraId="176476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人员</w:t>
            </w:r>
          </w:p>
        </w:tc>
      </w:tr>
      <w:tr w14:paraId="5BF0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86A5ED"/>
        </w:tc>
        <w:tc>
          <w:tcPr>
            <w:tcW w:w="288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612A2D"/>
        </w:tc>
        <w:tc>
          <w:tcPr>
            <w:tcW w:w="1058" w:type="pct"/>
            <w:vMerge w:val="continue"/>
            <w:tcBorders>
              <w:top w:val="single" w:color="000000" w:sz="8" w:space="0"/>
              <w:left w:val="single" w:color="000000" w:sz="8" w:space="0"/>
              <w:bottom w:val="single" w:color="000000" w:sz="8" w:space="0"/>
              <w:right w:val="nil"/>
            </w:tcBorders>
            <w:shd w:val="clear" w:color="auto" w:fill="auto"/>
            <w:vAlign w:val="center"/>
          </w:tcPr>
          <w:p w14:paraId="5CB9FCE4"/>
        </w:tc>
      </w:tr>
      <w:tr w14:paraId="40B12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6" w:type="pct"/>
            <w:tcBorders>
              <w:top w:val="nil"/>
              <w:left w:val="single" w:color="000000" w:sz="8" w:space="0"/>
              <w:bottom w:val="single" w:color="000000" w:sz="8" w:space="0"/>
              <w:right w:val="single" w:color="000000" w:sz="8" w:space="0"/>
            </w:tcBorders>
            <w:shd w:val="clear" w:color="auto" w:fill="auto"/>
            <w:vAlign w:val="center"/>
          </w:tcPr>
          <w:p w14:paraId="4F773A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一</w:t>
            </w:r>
          </w:p>
        </w:tc>
        <w:tc>
          <w:tcPr>
            <w:tcW w:w="2884" w:type="pct"/>
            <w:tcBorders>
              <w:top w:val="nil"/>
              <w:left w:val="nil"/>
              <w:bottom w:val="single" w:color="000000" w:sz="8" w:space="0"/>
              <w:right w:val="single" w:color="000000" w:sz="8" w:space="0"/>
            </w:tcBorders>
            <w:shd w:val="clear" w:color="auto" w:fill="auto"/>
            <w:vAlign w:val="center"/>
          </w:tcPr>
          <w:p w14:paraId="729B22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地测工</w:t>
            </w:r>
          </w:p>
        </w:tc>
        <w:tc>
          <w:tcPr>
            <w:tcW w:w="1058" w:type="pct"/>
            <w:tcBorders>
              <w:top w:val="nil"/>
              <w:left w:val="nil"/>
              <w:bottom w:val="single" w:color="000000" w:sz="8" w:space="0"/>
              <w:right w:val="single" w:color="000000" w:sz="8" w:space="0"/>
            </w:tcBorders>
            <w:shd w:val="clear" w:color="auto" w:fill="auto"/>
            <w:vAlign w:val="center"/>
          </w:tcPr>
          <w:p w14:paraId="4D0033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1</w:t>
            </w:r>
          </w:p>
        </w:tc>
      </w:tr>
      <w:tr w14:paraId="6905A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6" w:type="pct"/>
            <w:tcBorders>
              <w:top w:val="nil"/>
              <w:left w:val="single" w:color="000000" w:sz="8" w:space="0"/>
              <w:bottom w:val="single" w:color="000000" w:sz="8" w:space="0"/>
              <w:right w:val="single" w:color="000000" w:sz="8" w:space="0"/>
            </w:tcBorders>
            <w:shd w:val="clear" w:color="auto" w:fill="auto"/>
            <w:vAlign w:val="center"/>
          </w:tcPr>
          <w:p w14:paraId="55CBD8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二</w:t>
            </w:r>
          </w:p>
        </w:tc>
        <w:tc>
          <w:tcPr>
            <w:tcW w:w="2884" w:type="pct"/>
            <w:tcBorders>
              <w:top w:val="nil"/>
              <w:left w:val="nil"/>
              <w:bottom w:val="single" w:color="000000" w:sz="8" w:space="0"/>
              <w:right w:val="single" w:color="000000" w:sz="8" w:space="0"/>
            </w:tcBorders>
            <w:shd w:val="clear" w:color="auto" w:fill="auto"/>
            <w:vAlign w:val="center"/>
          </w:tcPr>
          <w:p w14:paraId="589511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生产工人</w:t>
            </w:r>
          </w:p>
        </w:tc>
        <w:tc>
          <w:tcPr>
            <w:tcW w:w="1058" w:type="pct"/>
            <w:tcBorders>
              <w:top w:val="nil"/>
              <w:left w:val="nil"/>
              <w:bottom w:val="single" w:color="000000" w:sz="8" w:space="0"/>
              <w:right w:val="single" w:color="000000" w:sz="8" w:space="0"/>
            </w:tcBorders>
            <w:shd w:val="clear" w:color="auto" w:fill="auto"/>
            <w:vAlign w:val="center"/>
          </w:tcPr>
          <w:p w14:paraId="02AD39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11</w:t>
            </w:r>
          </w:p>
        </w:tc>
      </w:tr>
      <w:tr w14:paraId="49D17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6" w:type="pct"/>
            <w:tcBorders>
              <w:top w:val="nil"/>
              <w:left w:val="single" w:color="000000" w:sz="8" w:space="0"/>
              <w:bottom w:val="single" w:color="000000" w:sz="8" w:space="0"/>
              <w:right w:val="single" w:color="000000" w:sz="8" w:space="0"/>
            </w:tcBorders>
            <w:shd w:val="clear" w:color="auto" w:fill="auto"/>
            <w:vAlign w:val="center"/>
          </w:tcPr>
          <w:p w14:paraId="02BA29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1</w:t>
            </w:r>
          </w:p>
        </w:tc>
        <w:tc>
          <w:tcPr>
            <w:tcW w:w="2884" w:type="pct"/>
            <w:tcBorders>
              <w:top w:val="nil"/>
              <w:left w:val="nil"/>
              <w:bottom w:val="single" w:color="000000" w:sz="8" w:space="0"/>
              <w:right w:val="single" w:color="000000" w:sz="8" w:space="0"/>
            </w:tcBorders>
            <w:shd w:val="clear" w:color="auto" w:fill="auto"/>
            <w:vAlign w:val="center"/>
          </w:tcPr>
          <w:p w14:paraId="07C560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液压挖掘机司机</w:t>
            </w:r>
          </w:p>
        </w:tc>
        <w:tc>
          <w:tcPr>
            <w:tcW w:w="1058" w:type="pct"/>
            <w:tcBorders>
              <w:top w:val="nil"/>
              <w:left w:val="nil"/>
              <w:bottom w:val="single" w:color="000000" w:sz="8" w:space="0"/>
              <w:right w:val="single" w:color="000000" w:sz="8" w:space="0"/>
            </w:tcBorders>
            <w:shd w:val="clear" w:color="auto" w:fill="auto"/>
            <w:vAlign w:val="center"/>
          </w:tcPr>
          <w:p w14:paraId="3CB699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2</w:t>
            </w:r>
          </w:p>
        </w:tc>
      </w:tr>
      <w:tr w14:paraId="52A4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6" w:type="pct"/>
            <w:tcBorders>
              <w:top w:val="nil"/>
              <w:left w:val="single" w:color="000000" w:sz="8" w:space="0"/>
              <w:bottom w:val="single" w:color="000000" w:sz="8" w:space="0"/>
              <w:right w:val="single" w:color="000000" w:sz="8" w:space="0"/>
            </w:tcBorders>
            <w:shd w:val="clear" w:color="auto" w:fill="auto"/>
            <w:vAlign w:val="center"/>
          </w:tcPr>
          <w:p w14:paraId="39AC63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2</w:t>
            </w:r>
          </w:p>
        </w:tc>
        <w:tc>
          <w:tcPr>
            <w:tcW w:w="2884" w:type="pct"/>
            <w:tcBorders>
              <w:top w:val="nil"/>
              <w:left w:val="nil"/>
              <w:bottom w:val="single" w:color="000000" w:sz="8" w:space="0"/>
              <w:right w:val="single" w:color="000000" w:sz="8" w:space="0"/>
            </w:tcBorders>
            <w:shd w:val="clear" w:color="auto" w:fill="auto"/>
            <w:vAlign w:val="center"/>
          </w:tcPr>
          <w:p w14:paraId="234FD2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装载机司机</w:t>
            </w:r>
          </w:p>
        </w:tc>
        <w:tc>
          <w:tcPr>
            <w:tcW w:w="1058" w:type="pct"/>
            <w:tcBorders>
              <w:top w:val="nil"/>
              <w:left w:val="nil"/>
              <w:bottom w:val="single" w:color="000000" w:sz="8" w:space="0"/>
              <w:right w:val="single" w:color="000000" w:sz="8" w:space="0"/>
            </w:tcBorders>
            <w:shd w:val="clear" w:color="auto" w:fill="auto"/>
            <w:vAlign w:val="center"/>
          </w:tcPr>
          <w:p w14:paraId="3A1597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1</w:t>
            </w:r>
          </w:p>
        </w:tc>
      </w:tr>
      <w:tr w14:paraId="2DFE8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6" w:type="pct"/>
            <w:tcBorders>
              <w:top w:val="nil"/>
              <w:left w:val="single" w:color="000000" w:sz="8" w:space="0"/>
              <w:bottom w:val="single" w:color="000000" w:sz="8" w:space="0"/>
              <w:right w:val="single" w:color="000000" w:sz="8" w:space="0"/>
            </w:tcBorders>
            <w:shd w:val="clear" w:color="auto" w:fill="auto"/>
            <w:vAlign w:val="center"/>
          </w:tcPr>
          <w:p w14:paraId="6E1365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3</w:t>
            </w:r>
          </w:p>
        </w:tc>
        <w:tc>
          <w:tcPr>
            <w:tcW w:w="2884" w:type="pct"/>
            <w:tcBorders>
              <w:top w:val="nil"/>
              <w:left w:val="nil"/>
              <w:bottom w:val="single" w:color="000000" w:sz="8" w:space="0"/>
              <w:right w:val="single" w:color="000000" w:sz="8" w:space="0"/>
            </w:tcBorders>
            <w:shd w:val="clear" w:color="auto" w:fill="auto"/>
            <w:vAlign w:val="center"/>
          </w:tcPr>
          <w:p w14:paraId="1EC974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自卸汽车司机</w:t>
            </w:r>
          </w:p>
        </w:tc>
        <w:tc>
          <w:tcPr>
            <w:tcW w:w="1058" w:type="pct"/>
            <w:tcBorders>
              <w:top w:val="nil"/>
              <w:left w:val="nil"/>
              <w:bottom w:val="single" w:color="000000" w:sz="8" w:space="0"/>
              <w:right w:val="single" w:color="000000" w:sz="8" w:space="0"/>
            </w:tcBorders>
            <w:shd w:val="clear" w:color="auto" w:fill="auto"/>
            <w:vAlign w:val="center"/>
          </w:tcPr>
          <w:p w14:paraId="03FE36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3</w:t>
            </w:r>
          </w:p>
        </w:tc>
      </w:tr>
      <w:tr w14:paraId="738B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6" w:type="pct"/>
            <w:tcBorders>
              <w:top w:val="nil"/>
              <w:left w:val="single" w:color="000000" w:sz="8" w:space="0"/>
              <w:bottom w:val="single" w:color="000000" w:sz="8" w:space="0"/>
              <w:right w:val="single" w:color="000000" w:sz="8" w:space="0"/>
            </w:tcBorders>
            <w:shd w:val="clear" w:color="auto" w:fill="auto"/>
            <w:vAlign w:val="center"/>
          </w:tcPr>
          <w:p w14:paraId="70C359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4</w:t>
            </w:r>
          </w:p>
        </w:tc>
        <w:tc>
          <w:tcPr>
            <w:tcW w:w="2884" w:type="pct"/>
            <w:tcBorders>
              <w:top w:val="nil"/>
              <w:left w:val="nil"/>
              <w:bottom w:val="single" w:color="000000" w:sz="8" w:space="0"/>
              <w:right w:val="single" w:color="000000" w:sz="8" w:space="0"/>
            </w:tcBorders>
            <w:shd w:val="clear" w:color="auto" w:fill="auto"/>
            <w:vAlign w:val="center"/>
          </w:tcPr>
          <w:p w14:paraId="22B6A9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辅助人员</w:t>
            </w:r>
          </w:p>
        </w:tc>
        <w:tc>
          <w:tcPr>
            <w:tcW w:w="1058" w:type="pct"/>
            <w:tcBorders>
              <w:top w:val="nil"/>
              <w:left w:val="nil"/>
              <w:bottom w:val="single" w:color="000000" w:sz="8" w:space="0"/>
              <w:right w:val="single" w:color="000000" w:sz="8" w:space="0"/>
            </w:tcBorders>
            <w:shd w:val="clear" w:color="auto" w:fill="auto"/>
            <w:vAlign w:val="center"/>
          </w:tcPr>
          <w:p w14:paraId="6E2622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5</w:t>
            </w:r>
          </w:p>
        </w:tc>
      </w:tr>
      <w:tr w14:paraId="7E02E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6" w:type="pct"/>
            <w:tcBorders>
              <w:top w:val="nil"/>
              <w:left w:val="single" w:color="000000" w:sz="8" w:space="0"/>
              <w:bottom w:val="single" w:color="000000" w:sz="8" w:space="0"/>
              <w:right w:val="single" w:color="000000" w:sz="8" w:space="0"/>
            </w:tcBorders>
            <w:shd w:val="clear" w:color="auto" w:fill="auto"/>
            <w:vAlign w:val="center"/>
          </w:tcPr>
          <w:p w14:paraId="33F2F9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三</w:t>
            </w:r>
          </w:p>
        </w:tc>
        <w:tc>
          <w:tcPr>
            <w:tcW w:w="2884" w:type="pct"/>
            <w:tcBorders>
              <w:top w:val="nil"/>
              <w:left w:val="nil"/>
              <w:bottom w:val="single" w:color="000000" w:sz="8" w:space="0"/>
              <w:right w:val="single" w:color="000000" w:sz="8" w:space="0"/>
            </w:tcBorders>
            <w:shd w:val="clear" w:color="auto" w:fill="auto"/>
            <w:vAlign w:val="center"/>
          </w:tcPr>
          <w:p w14:paraId="6CCD73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管理及技术人员</w:t>
            </w:r>
          </w:p>
        </w:tc>
        <w:tc>
          <w:tcPr>
            <w:tcW w:w="1058" w:type="pct"/>
            <w:tcBorders>
              <w:top w:val="nil"/>
              <w:left w:val="nil"/>
              <w:bottom w:val="single" w:color="000000" w:sz="8" w:space="0"/>
              <w:right w:val="single" w:color="000000" w:sz="8" w:space="0"/>
            </w:tcBorders>
            <w:shd w:val="clear" w:color="auto" w:fill="auto"/>
            <w:vAlign w:val="center"/>
          </w:tcPr>
          <w:p w14:paraId="7F61F7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6</w:t>
            </w:r>
          </w:p>
        </w:tc>
      </w:tr>
      <w:tr w14:paraId="3D24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56" w:type="pct"/>
            <w:tcBorders>
              <w:top w:val="nil"/>
              <w:left w:val="single" w:color="000000" w:sz="8" w:space="0"/>
              <w:bottom w:val="single" w:color="000000" w:sz="8" w:space="0"/>
              <w:right w:val="single" w:color="000000" w:sz="8" w:space="0"/>
            </w:tcBorders>
            <w:shd w:val="clear" w:color="auto" w:fill="auto"/>
            <w:vAlign w:val="center"/>
          </w:tcPr>
          <w:p w14:paraId="42B7FA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合计</w:t>
            </w:r>
          </w:p>
        </w:tc>
        <w:tc>
          <w:tcPr>
            <w:tcW w:w="2884" w:type="pct"/>
            <w:tcBorders>
              <w:top w:val="nil"/>
              <w:left w:val="nil"/>
              <w:bottom w:val="single" w:color="000000" w:sz="8" w:space="0"/>
              <w:right w:val="single" w:color="000000" w:sz="8" w:space="0"/>
            </w:tcBorders>
            <w:shd w:val="clear" w:color="auto" w:fill="auto"/>
            <w:vAlign w:val="center"/>
          </w:tcPr>
          <w:p w14:paraId="6508AC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全部人员</w:t>
            </w:r>
          </w:p>
        </w:tc>
        <w:tc>
          <w:tcPr>
            <w:tcW w:w="1058" w:type="pct"/>
            <w:tcBorders>
              <w:top w:val="nil"/>
              <w:left w:val="nil"/>
              <w:bottom w:val="single" w:color="000000" w:sz="8" w:space="0"/>
              <w:right w:val="single" w:color="000000" w:sz="8" w:space="0"/>
            </w:tcBorders>
            <w:shd w:val="clear" w:color="auto" w:fill="auto"/>
            <w:vAlign w:val="center"/>
          </w:tcPr>
          <w:p w14:paraId="7E1DE0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4"/>
                <w:szCs w:val="24"/>
                <w:highlight w:val="none"/>
                <w:u w:val="none"/>
              </w:rPr>
            </w:pPr>
            <w:r>
              <w:rPr>
                <w:rFonts w:hint="eastAsia" w:ascii="仿宋_GB2312" w:eastAsia="仿宋_GB2312" w:cs="仿宋_GB2312"/>
                <w:i w:val="0"/>
                <w:iCs w:val="0"/>
                <w:color w:val="auto"/>
                <w:kern w:val="0"/>
                <w:sz w:val="24"/>
                <w:szCs w:val="24"/>
                <w:highlight w:val="none"/>
                <w:u w:val="none"/>
                <w:lang w:val="en-US" w:eastAsia="zh-CN"/>
              </w:rPr>
              <w:t>18</w:t>
            </w:r>
          </w:p>
        </w:tc>
      </w:tr>
    </w:tbl>
    <w:p w14:paraId="73472A28">
      <w:pPr>
        <w:adjustRightInd w:val="0"/>
        <w:snapToGrid w:val="0"/>
        <w:spacing w:line="360" w:lineRule="auto"/>
        <w:outlineLvl w:val="1"/>
        <w:rPr>
          <w:rFonts w:hint="eastAsia" w:ascii="仿宋_GB2312" w:eastAsia="仿宋_GB2312" w:cs="仿宋_GB2312"/>
          <w:b/>
          <w:color w:val="auto"/>
          <w:sz w:val="28"/>
          <w:szCs w:val="28"/>
          <w:highlight w:val="none"/>
        </w:rPr>
      </w:pPr>
      <w:bookmarkStart w:id="442" w:name="_Toc4521"/>
      <w:bookmarkStart w:id="443" w:name="_Toc159062159"/>
      <w:bookmarkStart w:id="444" w:name="_Toc290371309"/>
      <w:bookmarkStart w:id="445" w:name="_Toc15058"/>
      <w:bookmarkStart w:id="446" w:name="_Toc247534718"/>
      <w:bookmarkStart w:id="447" w:name="_Toc505869800"/>
      <w:r>
        <w:rPr>
          <w:rFonts w:hint="eastAsia" w:ascii="仿宋_GB2312" w:eastAsia="仿宋_GB2312" w:cs="仿宋_GB2312"/>
          <w:b/>
          <w:color w:val="auto"/>
          <w:sz w:val="28"/>
          <w:szCs w:val="28"/>
          <w:highlight w:val="none"/>
          <w:lang w:val="en-US" w:eastAsia="zh-CN"/>
        </w:rPr>
        <w:t>12</w:t>
      </w:r>
      <w:r>
        <w:rPr>
          <w:rFonts w:hint="eastAsia" w:ascii="仿宋_GB2312" w:eastAsia="仿宋_GB2312" w:cs="仿宋_GB2312"/>
          <w:b/>
          <w:color w:val="auto"/>
          <w:sz w:val="28"/>
          <w:szCs w:val="28"/>
          <w:highlight w:val="none"/>
        </w:rPr>
        <w:t>.3 财务评价</w:t>
      </w:r>
      <w:bookmarkEnd w:id="442"/>
      <w:bookmarkEnd w:id="443"/>
      <w:bookmarkEnd w:id="444"/>
      <w:bookmarkEnd w:id="445"/>
      <w:bookmarkEnd w:id="446"/>
      <w:bookmarkEnd w:id="447"/>
    </w:p>
    <w:p w14:paraId="791D92CE">
      <w:pPr>
        <w:adjustRightInd w:val="0"/>
        <w:snapToGrid w:val="0"/>
        <w:spacing w:line="360" w:lineRule="auto"/>
        <w:rPr>
          <w:rFonts w:hint="eastAsia" w:ascii="仿宋_GB2312" w:eastAsia="仿宋_GB2312" w:cs="仿宋_GB2312"/>
          <w:b/>
          <w:color w:val="auto"/>
          <w:sz w:val="28"/>
          <w:szCs w:val="28"/>
          <w:highlight w:val="none"/>
        </w:rPr>
      </w:pPr>
      <w:r>
        <w:rPr>
          <w:rFonts w:hint="eastAsia" w:ascii="仿宋_GB2312" w:eastAsia="仿宋_GB2312" w:cs="仿宋_GB2312"/>
          <w:b/>
          <w:color w:val="auto"/>
          <w:sz w:val="28"/>
          <w:szCs w:val="28"/>
          <w:highlight w:val="none"/>
          <w:lang w:val="en-US" w:eastAsia="zh-CN"/>
        </w:rPr>
        <w:t>12</w:t>
      </w:r>
      <w:r>
        <w:rPr>
          <w:rFonts w:hint="eastAsia" w:ascii="仿宋_GB2312" w:eastAsia="仿宋_GB2312" w:cs="仿宋_GB2312"/>
          <w:b/>
          <w:color w:val="auto"/>
          <w:sz w:val="28"/>
          <w:szCs w:val="28"/>
          <w:highlight w:val="none"/>
        </w:rPr>
        <w:t>.3.1经营成本和总成本费用估算</w:t>
      </w:r>
    </w:p>
    <w:p w14:paraId="14682F23">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1、成本中各消耗指标均据设计指标确定，各消耗单价均按</w:t>
      </w:r>
      <w:r>
        <w:rPr>
          <w:rFonts w:hint="eastAsia" w:ascii="仿宋_GB2312" w:eastAsia="仿宋_GB2312" w:cs="仿宋_GB2312"/>
          <w:color w:val="auto"/>
          <w:sz w:val="28"/>
          <w:szCs w:val="28"/>
          <w:highlight w:val="none"/>
          <w:lang w:eastAsia="zh-CN"/>
        </w:rPr>
        <w:t>现行</w:t>
      </w:r>
      <w:r>
        <w:rPr>
          <w:rFonts w:hint="eastAsia" w:ascii="仿宋_GB2312" w:eastAsia="仿宋_GB2312" w:cs="仿宋_GB2312"/>
          <w:color w:val="auto"/>
          <w:sz w:val="28"/>
          <w:szCs w:val="28"/>
          <w:highlight w:val="none"/>
        </w:rPr>
        <w:t>市场到厂不含税价估算；</w:t>
      </w:r>
    </w:p>
    <w:p w14:paraId="027B780F">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2、项目需劳动定员</w:t>
      </w:r>
      <w:r>
        <w:rPr>
          <w:rFonts w:hint="eastAsia" w:ascii="仿宋_GB2312" w:eastAsia="仿宋_GB2312" w:cs="仿宋_GB2312"/>
          <w:color w:val="auto"/>
          <w:sz w:val="28"/>
          <w:szCs w:val="28"/>
          <w:highlight w:val="none"/>
          <w:lang w:val="en-US" w:eastAsia="zh-CN"/>
        </w:rPr>
        <w:t>18</w:t>
      </w:r>
      <w:r>
        <w:rPr>
          <w:rFonts w:hint="eastAsia" w:ascii="仿宋_GB2312" w:eastAsia="仿宋_GB2312" w:cs="仿宋_GB2312"/>
          <w:color w:val="auto"/>
          <w:sz w:val="28"/>
          <w:szCs w:val="28"/>
          <w:highlight w:val="none"/>
        </w:rPr>
        <w:t>人，其中生产人员</w:t>
      </w:r>
      <w:r>
        <w:rPr>
          <w:rFonts w:hint="eastAsia" w:ascii="仿宋_GB2312" w:eastAsia="仿宋_GB2312" w:cs="仿宋_GB2312"/>
          <w:color w:val="auto"/>
          <w:sz w:val="28"/>
          <w:szCs w:val="28"/>
          <w:highlight w:val="none"/>
          <w:lang w:val="en-US" w:eastAsia="zh-CN"/>
        </w:rPr>
        <w:t>12</w:t>
      </w:r>
      <w:r>
        <w:rPr>
          <w:rFonts w:hint="eastAsia" w:ascii="仿宋_GB2312" w:eastAsia="仿宋_GB2312" w:cs="仿宋_GB2312"/>
          <w:color w:val="auto"/>
          <w:sz w:val="28"/>
          <w:szCs w:val="28"/>
          <w:highlight w:val="none"/>
        </w:rPr>
        <w:t>人、管理及技术人员</w:t>
      </w:r>
      <w:r>
        <w:rPr>
          <w:rFonts w:hint="eastAsia" w:ascii="仿宋_GB2312" w:eastAsia="仿宋_GB2312" w:cs="仿宋_GB2312"/>
          <w:color w:val="auto"/>
          <w:sz w:val="28"/>
          <w:szCs w:val="28"/>
          <w:highlight w:val="none"/>
          <w:lang w:val="en-US" w:eastAsia="zh-CN"/>
        </w:rPr>
        <w:t>6</w:t>
      </w:r>
      <w:r>
        <w:rPr>
          <w:rFonts w:hint="eastAsia" w:ascii="仿宋_GB2312" w:eastAsia="仿宋_GB2312" w:cs="仿宋_GB2312"/>
          <w:color w:val="auto"/>
          <w:sz w:val="28"/>
          <w:szCs w:val="28"/>
          <w:highlight w:val="none"/>
        </w:rPr>
        <w:t>人，职工薪酬按每人每年</w:t>
      </w:r>
      <w:r>
        <w:rPr>
          <w:rFonts w:hint="eastAsia" w:ascii="仿宋_GB2312" w:eastAsia="仿宋_GB2312" w:cs="仿宋_GB2312"/>
          <w:color w:val="auto"/>
          <w:sz w:val="28"/>
          <w:szCs w:val="28"/>
          <w:highlight w:val="none"/>
          <w:lang w:val="en-US" w:eastAsia="zh-CN"/>
        </w:rPr>
        <w:t>8</w:t>
      </w:r>
      <w:r>
        <w:rPr>
          <w:rFonts w:hint="eastAsia" w:ascii="仿宋_GB2312" w:eastAsia="仿宋_GB2312" w:cs="仿宋_GB2312"/>
          <w:color w:val="auto"/>
          <w:sz w:val="28"/>
          <w:szCs w:val="28"/>
          <w:highlight w:val="none"/>
        </w:rPr>
        <w:t>万元计算。</w:t>
      </w:r>
    </w:p>
    <w:p w14:paraId="610643CB">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3、固定资产折旧按年限平均法计算；</w:t>
      </w:r>
    </w:p>
    <w:p w14:paraId="58544018">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4、其他费用包括其他制造费用、销售费用、管理费用</w:t>
      </w:r>
      <w:r>
        <w:rPr>
          <w:rFonts w:hint="eastAsia" w:ascii="仿宋_GB2312" w:eastAsia="仿宋_GB2312" w:cs="仿宋_GB2312"/>
          <w:color w:val="auto"/>
          <w:sz w:val="28"/>
          <w:szCs w:val="28"/>
          <w:highlight w:val="none"/>
          <w:lang w:val="en-US" w:eastAsia="zh-CN"/>
        </w:rPr>
        <w:t>等</w:t>
      </w:r>
      <w:r>
        <w:rPr>
          <w:rFonts w:hint="eastAsia" w:ascii="仿宋_GB2312" w:eastAsia="仿宋_GB2312" w:cs="仿宋_GB2312"/>
          <w:color w:val="auto"/>
          <w:sz w:val="28"/>
          <w:szCs w:val="28"/>
          <w:highlight w:val="none"/>
        </w:rPr>
        <w:t>。</w:t>
      </w:r>
    </w:p>
    <w:p w14:paraId="1EB3B6A9">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矿山安全生产费</w:t>
      </w:r>
      <w:r>
        <w:rPr>
          <w:rFonts w:hint="eastAsia" w:ascii="仿宋_GB2312" w:eastAsia="仿宋_GB2312" w:cs="仿宋_GB2312"/>
          <w:color w:val="auto"/>
          <w:sz w:val="28"/>
          <w:szCs w:val="28"/>
          <w:highlight w:val="none"/>
          <w:lang w:val="en-US" w:eastAsia="zh-CN"/>
        </w:rPr>
        <w:t>2</w:t>
      </w:r>
      <w:r>
        <w:rPr>
          <w:rFonts w:hint="eastAsia" w:ascii="仿宋_GB2312" w:eastAsia="仿宋_GB2312" w:cs="仿宋_GB2312"/>
          <w:color w:val="auto"/>
          <w:sz w:val="28"/>
          <w:szCs w:val="28"/>
          <w:highlight w:val="none"/>
        </w:rPr>
        <w:t>元/吨矿</w:t>
      </w:r>
    </w:p>
    <w:p w14:paraId="3A218EE9">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采矿成本见附表4；</w:t>
      </w:r>
    </w:p>
    <w:p w14:paraId="000294CC">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总成本费用估算见附表5；</w:t>
      </w:r>
    </w:p>
    <w:p w14:paraId="2F66A0D8">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达产年平均采矿成本</w:t>
      </w:r>
      <w:r>
        <w:rPr>
          <w:rFonts w:hint="eastAsia" w:ascii="仿宋_GB2312" w:eastAsia="仿宋_GB2312" w:cs="仿宋_GB2312"/>
          <w:color w:val="auto"/>
          <w:sz w:val="28"/>
          <w:szCs w:val="28"/>
          <w:highlight w:val="none"/>
          <w:lang w:val="en-US" w:eastAsia="zh-CN"/>
        </w:rPr>
        <w:t>14.36</w:t>
      </w:r>
      <w:r>
        <w:rPr>
          <w:rFonts w:hint="eastAsia" w:ascii="仿宋_GB2312" w:eastAsia="仿宋_GB2312" w:cs="仿宋_GB2312"/>
          <w:color w:val="auto"/>
          <w:sz w:val="28"/>
          <w:szCs w:val="28"/>
          <w:highlight w:val="none"/>
        </w:rPr>
        <w:t>元/吨矿；</w:t>
      </w:r>
    </w:p>
    <w:p w14:paraId="6CBC29D0">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达产年平均总成本</w:t>
      </w:r>
      <w:r>
        <w:rPr>
          <w:rFonts w:hint="eastAsia" w:ascii="仿宋_GB2312" w:eastAsia="仿宋_GB2312" w:cs="仿宋_GB2312"/>
          <w:color w:val="auto"/>
          <w:sz w:val="28"/>
          <w:szCs w:val="28"/>
          <w:highlight w:val="none"/>
          <w:lang w:val="en-US" w:eastAsia="zh-CN"/>
        </w:rPr>
        <w:t>308</w:t>
      </w:r>
      <w:r>
        <w:rPr>
          <w:rFonts w:hint="eastAsia" w:ascii="仿宋_GB2312" w:eastAsia="仿宋_GB2312" w:cs="仿宋_GB2312"/>
          <w:color w:val="auto"/>
          <w:sz w:val="28"/>
          <w:szCs w:val="28"/>
          <w:highlight w:val="none"/>
        </w:rPr>
        <w:t>万元，经营成本</w:t>
      </w:r>
      <w:r>
        <w:rPr>
          <w:rFonts w:hint="eastAsia" w:ascii="仿宋_GB2312" w:eastAsia="仿宋_GB2312" w:cs="仿宋_GB2312"/>
          <w:color w:val="auto"/>
          <w:sz w:val="28"/>
          <w:szCs w:val="28"/>
          <w:highlight w:val="none"/>
          <w:lang w:val="en-US" w:eastAsia="zh-CN"/>
        </w:rPr>
        <w:t>260</w:t>
      </w:r>
      <w:r>
        <w:rPr>
          <w:rFonts w:hint="eastAsia" w:ascii="仿宋_GB2312" w:eastAsia="仿宋_GB2312" w:cs="仿宋_GB2312"/>
          <w:color w:val="auto"/>
          <w:sz w:val="28"/>
          <w:szCs w:val="28"/>
          <w:highlight w:val="none"/>
        </w:rPr>
        <w:t>万元。</w:t>
      </w:r>
    </w:p>
    <w:p w14:paraId="3B2936D5">
      <w:pPr>
        <w:adjustRightInd w:val="0"/>
        <w:snapToGrid w:val="0"/>
        <w:spacing w:line="360" w:lineRule="auto"/>
        <w:rPr>
          <w:rFonts w:hint="eastAsia" w:ascii="仿宋_GB2312" w:eastAsia="仿宋_GB2312" w:cs="仿宋_GB2312"/>
          <w:b/>
          <w:color w:val="auto"/>
          <w:sz w:val="28"/>
          <w:szCs w:val="28"/>
          <w:highlight w:val="none"/>
        </w:rPr>
      </w:pPr>
      <w:r>
        <w:rPr>
          <w:rFonts w:hint="eastAsia" w:ascii="仿宋_GB2312" w:eastAsia="仿宋_GB2312" w:cs="仿宋_GB2312"/>
          <w:b/>
          <w:color w:val="auto"/>
          <w:sz w:val="28"/>
          <w:szCs w:val="28"/>
          <w:highlight w:val="none"/>
          <w:lang w:val="en-US" w:eastAsia="zh-CN"/>
        </w:rPr>
        <w:t>12</w:t>
      </w:r>
      <w:r>
        <w:rPr>
          <w:rFonts w:hint="eastAsia" w:ascii="仿宋_GB2312" w:eastAsia="仿宋_GB2312" w:cs="仿宋_GB2312"/>
          <w:b/>
          <w:color w:val="auto"/>
          <w:sz w:val="28"/>
          <w:szCs w:val="28"/>
          <w:highlight w:val="none"/>
        </w:rPr>
        <w:t>.3.2收入和税金估算</w:t>
      </w:r>
    </w:p>
    <w:p w14:paraId="2BF55BA5">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lang w:val="en-US" w:eastAsia="zh-CN"/>
        </w:rPr>
        <w:t>1、</w:t>
      </w:r>
      <w:r>
        <w:rPr>
          <w:rFonts w:hint="eastAsia" w:ascii="仿宋_GB2312" w:eastAsia="仿宋_GB2312" w:cs="仿宋_GB2312"/>
          <w:color w:val="auto"/>
          <w:sz w:val="28"/>
          <w:szCs w:val="28"/>
          <w:highlight w:val="none"/>
        </w:rPr>
        <w:t>销售收入</w:t>
      </w:r>
    </w:p>
    <w:p w14:paraId="147EEA73">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评价中使用露天采场实际原矿售价</w:t>
      </w:r>
      <w:r>
        <w:rPr>
          <w:rFonts w:hint="eastAsia" w:ascii="仿宋_GB2312" w:eastAsia="仿宋_GB2312" w:cs="仿宋_GB2312"/>
          <w:color w:val="auto"/>
          <w:sz w:val="28"/>
          <w:szCs w:val="28"/>
          <w:highlight w:val="none"/>
          <w:lang w:val="en-US" w:eastAsia="zh-CN"/>
        </w:rPr>
        <w:t>25</w:t>
      </w:r>
      <w:r>
        <w:rPr>
          <w:rFonts w:hint="eastAsia" w:ascii="仿宋_GB2312" w:eastAsia="仿宋_GB2312" w:cs="仿宋_GB2312"/>
          <w:color w:val="auto"/>
          <w:sz w:val="28"/>
          <w:szCs w:val="28"/>
          <w:highlight w:val="none"/>
        </w:rPr>
        <w:t>元/吨计算，为不含税价格，</w:t>
      </w:r>
    </w:p>
    <w:p w14:paraId="5D64B2A8">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达产年平均销售收入</w:t>
      </w:r>
      <w:r>
        <w:rPr>
          <w:rFonts w:hint="eastAsia" w:ascii="仿宋_GB2312" w:eastAsia="仿宋_GB2312" w:cs="仿宋_GB2312"/>
          <w:color w:val="auto"/>
          <w:sz w:val="28"/>
          <w:szCs w:val="28"/>
          <w:highlight w:val="none"/>
          <w:lang w:val="en-US" w:eastAsia="zh-CN"/>
        </w:rPr>
        <w:t>500</w:t>
      </w:r>
      <w:r>
        <w:rPr>
          <w:rFonts w:hint="eastAsia" w:ascii="仿宋_GB2312" w:eastAsia="仿宋_GB2312" w:cs="仿宋_GB2312"/>
          <w:color w:val="auto"/>
          <w:sz w:val="28"/>
          <w:szCs w:val="28"/>
          <w:highlight w:val="none"/>
        </w:rPr>
        <w:t>万元。</w:t>
      </w:r>
    </w:p>
    <w:p w14:paraId="20A47078">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lang w:val="en-US" w:eastAsia="zh-CN"/>
        </w:rPr>
        <w:t>2、</w:t>
      </w:r>
      <w:r>
        <w:rPr>
          <w:rFonts w:hint="eastAsia" w:ascii="仿宋_GB2312" w:eastAsia="仿宋_GB2312" w:cs="仿宋_GB2312"/>
          <w:color w:val="auto"/>
          <w:sz w:val="28"/>
          <w:szCs w:val="28"/>
          <w:highlight w:val="none"/>
        </w:rPr>
        <w:t>销售税金及附加增值税13％</w:t>
      </w:r>
    </w:p>
    <w:p w14:paraId="67E47E23">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城市维护建设税5%</w:t>
      </w:r>
    </w:p>
    <w:p w14:paraId="3538E489">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教育费附加3%</w:t>
      </w:r>
    </w:p>
    <w:p w14:paraId="74C39C8F">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地方教育费附加2%</w:t>
      </w:r>
    </w:p>
    <w:p w14:paraId="0D717806">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 xml:space="preserve">资源税6% </w:t>
      </w:r>
    </w:p>
    <w:p w14:paraId="7BF815DB">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达产年平均增值税</w:t>
      </w:r>
      <w:r>
        <w:rPr>
          <w:rFonts w:hint="eastAsia" w:ascii="仿宋_GB2312" w:eastAsia="仿宋_GB2312" w:cs="仿宋_GB2312"/>
          <w:color w:val="auto"/>
          <w:sz w:val="28"/>
          <w:szCs w:val="28"/>
          <w:highlight w:val="none"/>
          <w:lang w:val="en-US" w:eastAsia="zh-CN"/>
        </w:rPr>
        <w:t>63</w:t>
      </w:r>
      <w:r>
        <w:rPr>
          <w:rFonts w:hint="eastAsia" w:ascii="仿宋_GB2312" w:eastAsia="仿宋_GB2312" w:cs="仿宋_GB2312"/>
          <w:color w:val="auto"/>
          <w:sz w:val="28"/>
          <w:szCs w:val="28"/>
          <w:highlight w:val="none"/>
        </w:rPr>
        <w:t>万元，销售税金及附加估算为</w:t>
      </w:r>
      <w:r>
        <w:rPr>
          <w:rFonts w:hint="eastAsia" w:ascii="仿宋_GB2312" w:eastAsia="仿宋_GB2312" w:cs="仿宋_GB2312"/>
          <w:color w:val="auto"/>
          <w:sz w:val="28"/>
          <w:szCs w:val="28"/>
          <w:highlight w:val="none"/>
          <w:lang w:val="en-US" w:eastAsia="zh-CN"/>
        </w:rPr>
        <w:t>44</w:t>
      </w:r>
      <w:r>
        <w:rPr>
          <w:rFonts w:hint="eastAsia" w:ascii="仿宋_GB2312" w:eastAsia="仿宋_GB2312" w:cs="仿宋_GB2312"/>
          <w:color w:val="auto"/>
          <w:sz w:val="28"/>
          <w:szCs w:val="28"/>
          <w:highlight w:val="none"/>
        </w:rPr>
        <w:t>万元。</w:t>
      </w:r>
    </w:p>
    <w:p w14:paraId="2B8541E6">
      <w:pPr>
        <w:autoSpaceDE w:val="0"/>
        <w:autoSpaceDN w:val="0"/>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销售收入、销售税金及附加和增值税估算见附表3。</w:t>
      </w:r>
    </w:p>
    <w:p w14:paraId="30AA0940">
      <w:pPr>
        <w:adjustRightInd w:val="0"/>
        <w:snapToGrid w:val="0"/>
        <w:spacing w:line="360" w:lineRule="auto"/>
        <w:rPr>
          <w:rFonts w:hint="eastAsia" w:ascii="仿宋_GB2312" w:eastAsia="仿宋_GB2312" w:cs="仿宋_GB2312"/>
          <w:b/>
          <w:color w:val="auto"/>
          <w:sz w:val="28"/>
          <w:szCs w:val="28"/>
          <w:highlight w:val="none"/>
        </w:rPr>
      </w:pPr>
      <w:r>
        <w:rPr>
          <w:rFonts w:hint="eastAsia" w:ascii="仿宋_GB2312" w:eastAsia="仿宋_GB2312" w:cs="仿宋_GB2312"/>
          <w:b/>
          <w:color w:val="auto"/>
          <w:sz w:val="28"/>
          <w:szCs w:val="28"/>
          <w:highlight w:val="none"/>
          <w:lang w:val="en-US" w:eastAsia="zh-CN"/>
        </w:rPr>
        <w:t>12</w:t>
      </w:r>
      <w:r>
        <w:rPr>
          <w:rFonts w:hint="eastAsia" w:ascii="仿宋_GB2312" w:eastAsia="仿宋_GB2312" w:cs="仿宋_GB2312"/>
          <w:b/>
          <w:color w:val="auto"/>
          <w:sz w:val="28"/>
          <w:szCs w:val="28"/>
          <w:highlight w:val="none"/>
        </w:rPr>
        <w:t>.3.3财务盈利能力分析</w:t>
      </w:r>
    </w:p>
    <w:p w14:paraId="6F831D5A">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lang w:val="en-US" w:eastAsia="zh-CN"/>
        </w:rPr>
        <w:t>1、</w:t>
      </w:r>
      <w:r>
        <w:rPr>
          <w:rFonts w:hint="eastAsia" w:ascii="仿宋_GB2312" w:eastAsia="仿宋_GB2312" w:cs="仿宋_GB2312"/>
          <w:color w:val="auto"/>
          <w:sz w:val="28"/>
          <w:szCs w:val="28"/>
          <w:highlight w:val="none"/>
        </w:rPr>
        <w:t>项目财务现金流量表分析</w:t>
      </w:r>
    </w:p>
    <w:p w14:paraId="78BC99D6">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项目投资现金流量表见附表7，由该表计算出以下财务评价指标：</w:t>
      </w:r>
    </w:p>
    <w:p w14:paraId="4BE314C8">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所得税后项目投资财务内部收益率为</w:t>
      </w:r>
      <w:r>
        <w:rPr>
          <w:rFonts w:hint="eastAsia" w:ascii="仿宋_GB2312" w:eastAsia="仿宋_GB2312" w:cs="仿宋_GB2312"/>
          <w:color w:val="auto"/>
          <w:sz w:val="28"/>
          <w:szCs w:val="28"/>
          <w:highlight w:val="none"/>
          <w:lang w:val="en-US" w:eastAsia="zh-CN"/>
        </w:rPr>
        <w:t>20.82</w:t>
      </w:r>
      <w:r>
        <w:rPr>
          <w:rFonts w:hint="eastAsia" w:ascii="仿宋_GB2312" w:eastAsia="仿宋_GB2312" w:cs="仿宋_GB2312"/>
          <w:color w:val="auto"/>
          <w:sz w:val="28"/>
          <w:szCs w:val="28"/>
          <w:highlight w:val="none"/>
        </w:rPr>
        <w:t>%，大于设定基准收益率；项目投资财务净现值(ic=1</w:t>
      </w:r>
      <w:r>
        <w:rPr>
          <w:rFonts w:hint="eastAsia" w:ascii="仿宋_GB2312" w:eastAsia="仿宋_GB2312" w:cs="仿宋_GB2312"/>
          <w:color w:val="auto"/>
          <w:sz w:val="28"/>
          <w:szCs w:val="28"/>
          <w:highlight w:val="none"/>
          <w:lang w:val="en-US" w:eastAsia="zh-CN"/>
        </w:rPr>
        <w:t>0</w:t>
      </w:r>
      <w:r>
        <w:rPr>
          <w:rFonts w:hint="eastAsia" w:ascii="仿宋_GB2312" w:eastAsia="仿宋_GB2312" w:cs="仿宋_GB2312"/>
          <w:color w:val="auto"/>
          <w:sz w:val="28"/>
          <w:szCs w:val="28"/>
          <w:highlight w:val="none"/>
        </w:rPr>
        <w:t>%时)为</w:t>
      </w:r>
      <w:r>
        <w:rPr>
          <w:rFonts w:hint="eastAsia" w:ascii="仿宋_GB2312" w:eastAsia="仿宋_GB2312" w:cs="仿宋_GB2312"/>
          <w:color w:val="auto"/>
          <w:sz w:val="28"/>
          <w:szCs w:val="28"/>
          <w:highlight w:val="none"/>
          <w:lang w:val="en-US" w:eastAsia="zh-CN"/>
        </w:rPr>
        <w:t>197.19</w:t>
      </w:r>
      <w:r>
        <w:rPr>
          <w:rFonts w:hint="eastAsia" w:ascii="仿宋_GB2312" w:eastAsia="仿宋_GB2312" w:cs="仿宋_GB2312"/>
          <w:color w:val="auto"/>
          <w:sz w:val="28"/>
          <w:szCs w:val="28"/>
          <w:highlight w:val="none"/>
        </w:rPr>
        <w:t>万元，大于零；投资回收期</w:t>
      </w:r>
      <w:r>
        <w:rPr>
          <w:rFonts w:hint="eastAsia" w:ascii="仿宋_GB2312" w:eastAsia="仿宋_GB2312" w:cs="仿宋_GB2312"/>
          <w:color w:val="auto"/>
          <w:sz w:val="28"/>
          <w:szCs w:val="28"/>
          <w:highlight w:val="none"/>
          <w:lang w:val="en-US" w:eastAsia="zh-CN"/>
        </w:rPr>
        <w:t>4.24</w:t>
      </w:r>
      <w:r>
        <w:rPr>
          <w:rFonts w:hint="eastAsia" w:ascii="仿宋_GB2312" w:eastAsia="仿宋_GB2312" w:cs="仿宋_GB2312"/>
          <w:color w:val="auto"/>
          <w:sz w:val="28"/>
          <w:szCs w:val="28"/>
          <w:highlight w:val="none"/>
        </w:rPr>
        <w:t>年(含建设期)。因此本项目的财务盈利能力满足要求。</w:t>
      </w:r>
    </w:p>
    <w:p w14:paraId="6AC8BA93">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lang w:val="en-US" w:eastAsia="zh-CN"/>
        </w:rPr>
        <w:t>2、</w:t>
      </w:r>
      <w:r>
        <w:rPr>
          <w:rFonts w:hint="eastAsia" w:ascii="仿宋_GB2312" w:eastAsia="仿宋_GB2312" w:cs="仿宋_GB2312"/>
          <w:color w:val="auto"/>
          <w:sz w:val="28"/>
          <w:szCs w:val="28"/>
          <w:highlight w:val="none"/>
        </w:rPr>
        <w:t>利润与利润分配表分析</w:t>
      </w:r>
    </w:p>
    <w:p w14:paraId="706C7342">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利润与利润分配见附表6，达产年平均利润总额</w:t>
      </w:r>
      <w:r>
        <w:rPr>
          <w:rFonts w:hint="eastAsia" w:ascii="仿宋_GB2312" w:eastAsia="仿宋_GB2312" w:cs="仿宋_GB2312"/>
          <w:color w:val="auto"/>
          <w:sz w:val="28"/>
          <w:szCs w:val="28"/>
          <w:highlight w:val="none"/>
          <w:lang w:val="en-US" w:eastAsia="zh-CN"/>
        </w:rPr>
        <w:t>148</w:t>
      </w:r>
      <w:r>
        <w:rPr>
          <w:rFonts w:hint="eastAsia" w:ascii="仿宋_GB2312" w:eastAsia="仿宋_GB2312" w:cs="仿宋_GB2312"/>
          <w:color w:val="auto"/>
          <w:sz w:val="28"/>
          <w:szCs w:val="28"/>
          <w:highlight w:val="none"/>
        </w:rPr>
        <w:t>万元，净利润</w:t>
      </w:r>
      <w:r>
        <w:rPr>
          <w:rFonts w:hint="eastAsia" w:ascii="仿宋_GB2312" w:eastAsia="仿宋_GB2312" w:cs="仿宋_GB2312"/>
          <w:color w:val="auto"/>
          <w:sz w:val="28"/>
          <w:szCs w:val="28"/>
          <w:highlight w:val="none"/>
          <w:lang w:val="en-US" w:eastAsia="zh-CN"/>
        </w:rPr>
        <w:t>111</w:t>
      </w:r>
      <w:r>
        <w:rPr>
          <w:rFonts w:hint="eastAsia" w:ascii="仿宋_GB2312" w:eastAsia="仿宋_GB2312" w:cs="仿宋_GB2312"/>
          <w:color w:val="auto"/>
          <w:sz w:val="28"/>
          <w:szCs w:val="28"/>
          <w:highlight w:val="none"/>
        </w:rPr>
        <w:t>万元。</w:t>
      </w:r>
    </w:p>
    <w:p w14:paraId="1235FEDC">
      <w:pPr>
        <w:adjustRightInd w:val="0"/>
        <w:snapToGrid w:val="0"/>
        <w:spacing w:line="360" w:lineRule="auto"/>
        <w:rPr>
          <w:rFonts w:hint="eastAsia" w:ascii="仿宋_GB2312" w:eastAsia="仿宋_GB2312" w:cs="仿宋_GB2312"/>
          <w:b/>
          <w:color w:val="auto"/>
          <w:sz w:val="28"/>
          <w:szCs w:val="28"/>
          <w:highlight w:val="none"/>
        </w:rPr>
      </w:pPr>
      <w:r>
        <w:rPr>
          <w:rFonts w:hint="eastAsia" w:ascii="仿宋_GB2312" w:eastAsia="仿宋_GB2312" w:cs="仿宋_GB2312"/>
          <w:b/>
          <w:color w:val="auto"/>
          <w:sz w:val="28"/>
          <w:szCs w:val="28"/>
          <w:highlight w:val="none"/>
          <w:lang w:val="en-US" w:eastAsia="zh-CN"/>
        </w:rPr>
        <w:t>12</w:t>
      </w:r>
      <w:r>
        <w:rPr>
          <w:rFonts w:hint="eastAsia" w:ascii="仿宋_GB2312" w:eastAsia="仿宋_GB2312" w:cs="仿宋_GB2312"/>
          <w:b/>
          <w:color w:val="auto"/>
          <w:sz w:val="28"/>
          <w:szCs w:val="28"/>
          <w:highlight w:val="none"/>
        </w:rPr>
        <w:t>.3.4生存能力分析</w:t>
      </w:r>
    </w:p>
    <w:p w14:paraId="45A35D17">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财务计划现金流量表见附表8，生产期内各年经营活动现金流入均大于现金流出。净现金流量及累计盈余资金均为正值，各年均有足够的净现金流量维持项目的正常运营，可保证项目财务的可持续性。因此，项目具备财务生存能力。</w:t>
      </w:r>
    </w:p>
    <w:p w14:paraId="4D04752E">
      <w:pPr>
        <w:adjustRightInd w:val="0"/>
        <w:snapToGrid w:val="0"/>
        <w:spacing w:line="360" w:lineRule="auto"/>
        <w:outlineLvl w:val="1"/>
        <w:rPr>
          <w:rFonts w:hint="eastAsia" w:ascii="仿宋_GB2312" w:eastAsia="仿宋_GB2312" w:cs="仿宋_GB2312"/>
          <w:b/>
          <w:color w:val="auto"/>
          <w:sz w:val="28"/>
          <w:szCs w:val="28"/>
          <w:highlight w:val="none"/>
        </w:rPr>
      </w:pPr>
      <w:bookmarkStart w:id="448" w:name="_Toc505869801"/>
      <w:bookmarkStart w:id="449" w:name="_Toc159062160"/>
      <w:bookmarkStart w:id="450" w:name="_Toc8662"/>
      <w:bookmarkStart w:id="451" w:name="_Toc22636"/>
      <w:bookmarkStart w:id="452" w:name="_Toc290371310"/>
      <w:bookmarkStart w:id="453" w:name="_Toc247534719"/>
      <w:r>
        <w:rPr>
          <w:rFonts w:hint="eastAsia" w:ascii="仿宋_GB2312" w:eastAsia="仿宋_GB2312" w:cs="仿宋_GB2312"/>
          <w:b/>
          <w:color w:val="auto"/>
          <w:sz w:val="28"/>
          <w:szCs w:val="28"/>
          <w:highlight w:val="none"/>
          <w:lang w:val="en-US" w:eastAsia="zh-CN"/>
        </w:rPr>
        <w:t>12</w:t>
      </w:r>
      <w:r>
        <w:rPr>
          <w:rFonts w:hint="eastAsia" w:ascii="仿宋_GB2312" w:eastAsia="仿宋_GB2312" w:cs="仿宋_GB2312"/>
          <w:b/>
          <w:color w:val="auto"/>
          <w:sz w:val="28"/>
          <w:szCs w:val="28"/>
          <w:highlight w:val="none"/>
        </w:rPr>
        <w:t>.4财务评价结论</w:t>
      </w:r>
      <w:bookmarkEnd w:id="448"/>
      <w:bookmarkEnd w:id="449"/>
      <w:bookmarkEnd w:id="450"/>
      <w:bookmarkEnd w:id="451"/>
      <w:bookmarkEnd w:id="452"/>
      <w:bookmarkEnd w:id="453"/>
    </w:p>
    <w:p w14:paraId="45E4359B">
      <w:pPr>
        <w:adjustRightInd w:val="0"/>
        <w:snapToGrid w:val="0"/>
        <w:spacing w:line="360" w:lineRule="auto"/>
        <w:ind w:firstLine="560" w:firstLineChars="200"/>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项目主要经济指标见表</w:t>
      </w:r>
      <w:r>
        <w:rPr>
          <w:rFonts w:hint="eastAsia" w:ascii="仿宋_GB2312" w:eastAsia="仿宋_GB2312" w:cs="仿宋_GB2312"/>
          <w:color w:val="auto"/>
          <w:sz w:val="28"/>
          <w:szCs w:val="28"/>
          <w:highlight w:val="none"/>
          <w:lang w:val="en-US" w:eastAsia="zh-CN"/>
        </w:rPr>
        <w:t>12</w:t>
      </w:r>
      <w:r>
        <w:rPr>
          <w:rFonts w:hint="eastAsia" w:ascii="仿宋_GB2312" w:eastAsia="仿宋_GB2312" w:cs="仿宋_GB2312"/>
          <w:color w:val="auto"/>
          <w:sz w:val="28"/>
          <w:szCs w:val="28"/>
          <w:highlight w:val="none"/>
        </w:rPr>
        <w:t>-</w:t>
      </w:r>
      <w:r>
        <w:rPr>
          <w:rFonts w:hint="eastAsia" w:ascii="仿宋_GB2312" w:eastAsia="仿宋_GB2312" w:cs="仿宋_GB2312"/>
          <w:color w:val="auto"/>
          <w:sz w:val="28"/>
          <w:szCs w:val="28"/>
          <w:highlight w:val="none"/>
          <w:lang w:val="en-US" w:eastAsia="zh-CN"/>
        </w:rPr>
        <w:t>2</w:t>
      </w:r>
      <w:r>
        <w:rPr>
          <w:rFonts w:hint="eastAsia" w:ascii="仿宋_GB2312" w:eastAsia="仿宋_GB2312" w:cs="仿宋_GB2312"/>
          <w:color w:val="auto"/>
          <w:sz w:val="28"/>
          <w:szCs w:val="28"/>
          <w:highlight w:val="none"/>
        </w:rPr>
        <w:t>，项目税后投资财务内部收益率为</w:t>
      </w:r>
      <w:r>
        <w:rPr>
          <w:rFonts w:hint="eastAsia" w:ascii="仿宋_GB2312" w:eastAsia="仿宋_GB2312" w:cs="仿宋_GB2312"/>
          <w:color w:val="auto"/>
          <w:sz w:val="28"/>
          <w:szCs w:val="28"/>
          <w:highlight w:val="none"/>
          <w:lang w:val="en-US" w:eastAsia="zh-CN"/>
        </w:rPr>
        <w:t>10.82</w:t>
      </w:r>
      <w:r>
        <w:rPr>
          <w:rFonts w:hint="eastAsia" w:ascii="仿宋_GB2312" w:eastAsia="仿宋_GB2312" w:cs="仿宋_GB2312"/>
          <w:color w:val="auto"/>
          <w:sz w:val="28"/>
          <w:szCs w:val="28"/>
          <w:highlight w:val="none"/>
        </w:rPr>
        <w:t>％，大于</w:t>
      </w:r>
      <w:r>
        <w:rPr>
          <w:rFonts w:hint="eastAsia" w:ascii="仿宋_GB2312" w:eastAsia="仿宋_GB2312" w:cs="仿宋_GB2312"/>
          <w:color w:val="auto"/>
          <w:sz w:val="28"/>
          <w:szCs w:val="28"/>
          <w:highlight w:val="none"/>
          <w:lang w:val="en-US" w:eastAsia="zh-CN"/>
        </w:rPr>
        <w:t>10</w:t>
      </w:r>
      <w:r>
        <w:rPr>
          <w:rFonts w:hint="eastAsia" w:ascii="仿宋_GB2312" w:eastAsia="仿宋_GB2312" w:cs="仿宋_GB2312"/>
          <w:color w:val="auto"/>
          <w:sz w:val="28"/>
          <w:szCs w:val="28"/>
          <w:highlight w:val="none"/>
        </w:rPr>
        <w:t>％的设定基准收益率；项目财务净现值</w:t>
      </w:r>
      <w:r>
        <w:rPr>
          <w:rFonts w:hint="eastAsia" w:ascii="仿宋_GB2312" w:eastAsia="仿宋_GB2312" w:cs="仿宋_GB2312"/>
          <w:color w:val="auto"/>
          <w:sz w:val="28"/>
          <w:szCs w:val="28"/>
          <w:highlight w:val="none"/>
          <w:lang w:val="en-US" w:eastAsia="zh-CN"/>
        </w:rPr>
        <w:t>197.19</w:t>
      </w:r>
      <w:r>
        <w:rPr>
          <w:rFonts w:hint="eastAsia" w:ascii="仿宋_GB2312" w:eastAsia="仿宋_GB2312" w:cs="仿宋_GB2312"/>
          <w:color w:val="auto"/>
          <w:sz w:val="28"/>
          <w:szCs w:val="28"/>
          <w:highlight w:val="none"/>
        </w:rPr>
        <w:t>万元（ic＝1</w:t>
      </w:r>
      <w:r>
        <w:rPr>
          <w:rFonts w:hint="eastAsia" w:ascii="仿宋_GB2312" w:eastAsia="仿宋_GB2312" w:cs="仿宋_GB2312"/>
          <w:color w:val="auto"/>
          <w:sz w:val="28"/>
          <w:szCs w:val="28"/>
          <w:highlight w:val="none"/>
          <w:lang w:val="en-US" w:eastAsia="zh-CN"/>
        </w:rPr>
        <w:t>0</w:t>
      </w:r>
      <w:r>
        <w:rPr>
          <w:rFonts w:hint="eastAsia" w:ascii="仿宋_GB2312" w:eastAsia="仿宋_GB2312" w:cs="仿宋_GB2312"/>
          <w:color w:val="auto"/>
          <w:sz w:val="28"/>
          <w:szCs w:val="28"/>
          <w:highlight w:val="none"/>
        </w:rPr>
        <w:t>％），大于零；投资回收期为</w:t>
      </w:r>
      <w:r>
        <w:rPr>
          <w:rFonts w:hint="eastAsia" w:ascii="仿宋_GB2312" w:eastAsia="仿宋_GB2312" w:cs="仿宋_GB2312"/>
          <w:color w:val="auto"/>
          <w:sz w:val="28"/>
          <w:szCs w:val="28"/>
          <w:highlight w:val="none"/>
          <w:lang w:val="en-US" w:eastAsia="zh-CN"/>
        </w:rPr>
        <w:t>4.24</w:t>
      </w:r>
      <w:r>
        <w:rPr>
          <w:rFonts w:hint="eastAsia" w:ascii="仿宋_GB2312" w:eastAsia="仿宋_GB2312" w:cs="仿宋_GB2312"/>
          <w:color w:val="auto"/>
          <w:sz w:val="28"/>
          <w:szCs w:val="28"/>
          <w:highlight w:val="none"/>
        </w:rPr>
        <w:t>年(税后)；本项目具有较好的财务盈利能力和财务生存能力，因此本项目从财务上看是可行的。</w:t>
      </w:r>
    </w:p>
    <w:p w14:paraId="29708594">
      <w:pPr>
        <w:pStyle w:val="79"/>
        <w:jc w:val="center"/>
        <w:rPr>
          <w:rFonts w:hint="eastAsia" w:ascii="仿宋_GB2312" w:eastAsia="仿宋_GB2312" w:cs="仿宋_GB2312"/>
          <w:color w:val="auto"/>
          <w:highlight w:val="none"/>
        </w:rPr>
      </w:pPr>
      <w:r>
        <w:rPr>
          <w:rFonts w:hint="eastAsia" w:ascii="仿宋_GB2312" w:eastAsia="仿宋_GB2312" w:cs="仿宋_GB2312"/>
          <w:color w:val="auto"/>
          <w:sz w:val="28"/>
          <w:szCs w:val="28"/>
          <w:highlight w:val="none"/>
        </w:rPr>
        <w:t>表</w:t>
      </w:r>
      <w:r>
        <w:rPr>
          <w:rFonts w:hint="eastAsia" w:ascii="仿宋_GB2312" w:eastAsia="仿宋_GB2312" w:cs="仿宋_GB2312"/>
          <w:color w:val="auto"/>
          <w:sz w:val="28"/>
          <w:szCs w:val="28"/>
          <w:highlight w:val="none"/>
          <w:lang w:val="en-US" w:eastAsia="zh-CN"/>
        </w:rPr>
        <w:t>12</w:t>
      </w:r>
      <w:r>
        <w:rPr>
          <w:rFonts w:hint="eastAsia" w:ascii="仿宋_GB2312" w:eastAsia="仿宋_GB2312" w:cs="仿宋_GB2312"/>
          <w:color w:val="auto"/>
          <w:sz w:val="28"/>
          <w:szCs w:val="28"/>
          <w:highlight w:val="none"/>
        </w:rPr>
        <w:t>-</w:t>
      </w:r>
      <w:r>
        <w:rPr>
          <w:rFonts w:hint="eastAsia" w:ascii="仿宋_GB2312" w:eastAsia="仿宋_GB2312" w:cs="仿宋_GB2312"/>
          <w:color w:val="auto"/>
          <w:sz w:val="28"/>
          <w:szCs w:val="28"/>
          <w:highlight w:val="none"/>
          <w:lang w:val="en-US" w:eastAsia="zh-CN"/>
        </w:rPr>
        <w:t>2</w:t>
      </w:r>
      <w:r>
        <w:rPr>
          <w:rFonts w:hint="eastAsia" w:ascii="仿宋_GB2312" w:eastAsia="仿宋_GB2312" w:cs="仿宋_GB2312"/>
          <w:color w:val="auto"/>
          <w:sz w:val="28"/>
          <w:szCs w:val="28"/>
          <w:highlight w:val="none"/>
        </w:rPr>
        <w:t xml:space="preserve">  主要经济指标表</w:t>
      </w:r>
      <w:bookmarkStart w:id="454" w:name="_Toc118015198"/>
      <w:bookmarkStart w:id="455" w:name="_Toc138060404"/>
      <w:bookmarkStart w:id="456" w:name="_Toc19267"/>
    </w:p>
    <w:tbl>
      <w:tblPr>
        <w:tblStyle w:val="62"/>
        <w:tblW w:w="896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0"/>
        <w:gridCol w:w="3300"/>
        <w:gridCol w:w="1260"/>
        <w:gridCol w:w="1740"/>
        <w:gridCol w:w="1900"/>
      </w:tblGrid>
      <w:tr w14:paraId="12936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B784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序 号</w:t>
            </w:r>
          </w:p>
        </w:tc>
        <w:tc>
          <w:tcPr>
            <w:tcW w:w="3300" w:type="dxa"/>
            <w:tcBorders>
              <w:top w:val="single" w:color="auto" w:sz="4" w:space="0"/>
              <w:left w:val="nil"/>
              <w:bottom w:val="single" w:color="auto" w:sz="4" w:space="0"/>
              <w:right w:val="single" w:color="auto" w:sz="4" w:space="0"/>
            </w:tcBorders>
            <w:shd w:val="clear" w:color="auto" w:fill="auto"/>
            <w:noWrap/>
            <w:vAlign w:val="center"/>
          </w:tcPr>
          <w:p w14:paraId="741468D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指  标  名  称</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130E861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单  位</w:t>
            </w:r>
          </w:p>
        </w:tc>
        <w:tc>
          <w:tcPr>
            <w:tcW w:w="1740" w:type="dxa"/>
            <w:tcBorders>
              <w:top w:val="single" w:color="auto" w:sz="4" w:space="0"/>
              <w:left w:val="nil"/>
              <w:bottom w:val="single" w:color="auto" w:sz="4" w:space="0"/>
              <w:right w:val="single" w:color="auto" w:sz="4" w:space="0"/>
            </w:tcBorders>
            <w:shd w:val="clear" w:color="auto" w:fill="auto"/>
            <w:noWrap/>
            <w:vAlign w:val="center"/>
          </w:tcPr>
          <w:p w14:paraId="2A2FC19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数  量</w:t>
            </w:r>
          </w:p>
        </w:tc>
        <w:tc>
          <w:tcPr>
            <w:tcW w:w="1900" w:type="dxa"/>
            <w:tcBorders>
              <w:top w:val="single" w:color="auto" w:sz="4" w:space="0"/>
              <w:left w:val="nil"/>
              <w:bottom w:val="single" w:color="auto" w:sz="4" w:space="0"/>
              <w:right w:val="single" w:color="auto" w:sz="4" w:space="0"/>
            </w:tcBorders>
            <w:shd w:val="clear" w:color="auto" w:fill="auto"/>
            <w:noWrap/>
            <w:vAlign w:val="center"/>
          </w:tcPr>
          <w:p w14:paraId="26C364D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备  注</w:t>
            </w:r>
          </w:p>
        </w:tc>
      </w:tr>
      <w:tr w14:paraId="541B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6650F1C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xml:space="preserve"> </w:t>
            </w:r>
          </w:p>
        </w:tc>
        <w:tc>
          <w:tcPr>
            <w:tcW w:w="3300" w:type="dxa"/>
            <w:tcBorders>
              <w:top w:val="nil"/>
              <w:left w:val="nil"/>
              <w:bottom w:val="single" w:color="auto" w:sz="4" w:space="0"/>
              <w:right w:val="single" w:color="auto" w:sz="4" w:space="0"/>
            </w:tcBorders>
            <w:shd w:val="clear" w:color="auto" w:fill="auto"/>
            <w:noWrap/>
            <w:vAlign w:val="center"/>
          </w:tcPr>
          <w:p w14:paraId="4766F79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主要经济指标</w:t>
            </w:r>
          </w:p>
        </w:tc>
        <w:tc>
          <w:tcPr>
            <w:tcW w:w="1260" w:type="dxa"/>
            <w:tcBorders>
              <w:top w:val="nil"/>
              <w:left w:val="nil"/>
              <w:bottom w:val="single" w:color="auto" w:sz="4" w:space="0"/>
              <w:right w:val="single" w:color="auto" w:sz="4" w:space="0"/>
            </w:tcBorders>
            <w:shd w:val="clear" w:color="auto" w:fill="auto"/>
            <w:noWrap/>
            <w:vAlign w:val="center"/>
          </w:tcPr>
          <w:p w14:paraId="3872C96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c>
          <w:tcPr>
            <w:tcW w:w="1740" w:type="dxa"/>
            <w:tcBorders>
              <w:top w:val="nil"/>
              <w:left w:val="nil"/>
              <w:bottom w:val="single" w:color="auto" w:sz="4" w:space="0"/>
              <w:right w:val="single" w:color="auto" w:sz="4" w:space="0"/>
            </w:tcBorders>
            <w:shd w:val="clear" w:color="auto" w:fill="auto"/>
            <w:noWrap/>
            <w:vAlign w:val="center"/>
          </w:tcPr>
          <w:p w14:paraId="1B74FB9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c>
          <w:tcPr>
            <w:tcW w:w="1900" w:type="dxa"/>
            <w:tcBorders>
              <w:top w:val="nil"/>
              <w:left w:val="nil"/>
              <w:bottom w:val="single" w:color="auto" w:sz="4" w:space="0"/>
              <w:right w:val="single" w:color="auto" w:sz="4" w:space="0"/>
            </w:tcBorders>
            <w:shd w:val="clear" w:color="auto" w:fill="auto"/>
            <w:noWrap/>
            <w:vAlign w:val="center"/>
          </w:tcPr>
          <w:p w14:paraId="1751126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达产年平均</w:t>
            </w:r>
          </w:p>
        </w:tc>
      </w:tr>
      <w:tr w14:paraId="3419D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B918A0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1</w:t>
            </w:r>
          </w:p>
        </w:tc>
        <w:tc>
          <w:tcPr>
            <w:tcW w:w="3300" w:type="dxa"/>
            <w:tcBorders>
              <w:top w:val="nil"/>
              <w:left w:val="nil"/>
              <w:bottom w:val="single" w:color="auto" w:sz="4" w:space="0"/>
              <w:right w:val="single" w:color="auto" w:sz="4" w:space="0"/>
            </w:tcBorders>
            <w:shd w:val="clear" w:color="auto" w:fill="auto"/>
            <w:noWrap/>
            <w:vAlign w:val="center"/>
          </w:tcPr>
          <w:p w14:paraId="12502DB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项目总资金</w:t>
            </w:r>
          </w:p>
        </w:tc>
        <w:tc>
          <w:tcPr>
            <w:tcW w:w="1260" w:type="dxa"/>
            <w:tcBorders>
              <w:top w:val="nil"/>
              <w:left w:val="nil"/>
              <w:bottom w:val="single" w:color="auto" w:sz="4" w:space="0"/>
              <w:right w:val="single" w:color="auto" w:sz="4" w:space="0"/>
            </w:tcBorders>
            <w:shd w:val="clear" w:color="auto" w:fill="auto"/>
            <w:noWrap/>
            <w:vAlign w:val="center"/>
          </w:tcPr>
          <w:p w14:paraId="48F805E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DC74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632</w:t>
            </w:r>
          </w:p>
        </w:tc>
        <w:tc>
          <w:tcPr>
            <w:tcW w:w="1900" w:type="dxa"/>
            <w:tcBorders>
              <w:top w:val="nil"/>
              <w:left w:val="nil"/>
              <w:bottom w:val="single" w:color="auto" w:sz="4" w:space="0"/>
              <w:right w:val="single" w:color="auto" w:sz="4" w:space="0"/>
            </w:tcBorders>
            <w:shd w:val="clear" w:color="auto" w:fill="auto"/>
            <w:noWrap/>
            <w:vAlign w:val="center"/>
          </w:tcPr>
          <w:p w14:paraId="24A2F05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p>
        </w:tc>
      </w:tr>
      <w:tr w14:paraId="3C62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ACC186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1.1</w:t>
            </w:r>
          </w:p>
        </w:tc>
        <w:tc>
          <w:tcPr>
            <w:tcW w:w="3300" w:type="dxa"/>
            <w:tcBorders>
              <w:top w:val="nil"/>
              <w:left w:val="nil"/>
              <w:bottom w:val="single" w:color="auto" w:sz="4" w:space="0"/>
              <w:right w:val="single" w:color="auto" w:sz="4" w:space="0"/>
            </w:tcBorders>
            <w:shd w:val="clear" w:color="auto" w:fill="auto"/>
            <w:noWrap/>
            <w:vAlign w:val="center"/>
          </w:tcPr>
          <w:p w14:paraId="2E0B880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建设投资</w:t>
            </w:r>
          </w:p>
        </w:tc>
        <w:tc>
          <w:tcPr>
            <w:tcW w:w="1260" w:type="dxa"/>
            <w:tcBorders>
              <w:top w:val="nil"/>
              <w:left w:val="nil"/>
              <w:bottom w:val="single" w:color="auto" w:sz="4" w:space="0"/>
              <w:right w:val="single" w:color="auto" w:sz="4" w:space="0"/>
            </w:tcBorders>
            <w:shd w:val="clear" w:color="auto" w:fill="auto"/>
            <w:noWrap/>
            <w:vAlign w:val="center"/>
          </w:tcPr>
          <w:p w14:paraId="4C0D105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48C75E7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570</w:t>
            </w:r>
          </w:p>
        </w:tc>
        <w:tc>
          <w:tcPr>
            <w:tcW w:w="1900" w:type="dxa"/>
            <w:tcBorders>
              <w:top w:val="nil"/>
              <w:left w:val="nil"/>
              <w:bottom w:val="single" w:color="auto" w:sz="4" w:space="0"/>
              <w:right w:val="single" w:color="auto" w:sz="4" w:space="0"/>
            </w:tcBorders>
            <w:shd w:val="clear" w:color="auto" w:fill="auto"/>
            <w:noWrap/>
            <w:vAlign w:val="center"/>
          </w:tcPr>
          <w:p w14:paraId="722D3C3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p>
        </w:tc>
      </w:tr>
      <w:tr w14:paraId="0A914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EF41CB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kern w:val="0"/>
                <w:sz w:val="24"/>
                <w:szCs w:val="24"/>
                <w:highlight w:val="none"/>
              </w:rPr>
              <w:t>1.</w:t>
            </w:r>
            <w:r>
              <w:rPr>
                <w:rFonts w:hint="eastAsia" w:ascii="仿宋_GB2312" w:eastAsia="仿宋_GB2312" w:cs="仿宋_GB2312"/>
                <w:color w:val="auto"/>
                <w:kern w:val="0"/>
                <w:sz w:val="24"/>
                <w:szCs w:val="24"/>
                <w:highlight w:val="none"/>
                <w:lang w:val="en-US" w:eastAsia="zh-CN"/>
              </w:rPr>
              <w:t>2</w:t>
            </w:r>
          </w:p>
        </w:tc>
        <w:tc>
          <w:tcPr>
            <w:tcW w:w="3300" w:type="dxa"/>
            <w:tcBorders>
              <w:top w:val="nil"/>
              <w:left w:val="nil"/>
              <w:bottom w:val="single" w:color="auto" w:sz="4" w:space="0"/>
              <w:right w:val="single" w:color="auto" w:sz="4" w:space="0"/>
            </w:tcBorders>
            <w:shd w:val="clear" w:color="auto" w:fill="auto"/>
            <w:noWrap/>
            <w:vAlign w:val="center"/>
          </w:tcPr>
          <w:p w14:paraId="0AD30C8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流动资金</w:t>
            </w:r>
          </w:p>
        </w:tc>
        <w:tc>
          <w:tcPr>
            <w:tcW w:w="1260" w:type="dxa"/>
            <w:tcBorders>
              <w:top w:val="nil"/>
              <w:left w:val="nil"/>
              <w:bottom w:val="single" w:color="auto" w:sz="4" w:space="0"/>
              <w:right w:val="single" w:color="auto" w:sz="4" w:space="0"/>
            </w:tcBorders>
            <w:shd w:val="clear" w:color="auto" w:fill="auto"/>
            <w:noWrap/>
            <w:vAlign w:val="center"/>
          </w:tcPr>
          <w:p w14:paraId="0441182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241ABA7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62</w:t>
            </w:r>
          </w:p>
        </w:tc>
        <w:tc>
          <w:tcPr>
            <w:tcW w:w="1900" w:type="dxa"/>
            <w:tcBorders>
              <w:top w:val="nil"/>
              <w:left w:val="nil"/>
              <w:bottom w:val="single" w:color="auto" w:sz="4" w:space="0"/>
              <w:right w:val="single" w:color="auto" w:sz="4" w:space="0"/>
            </w:tcBorders>
            <w:shd w:val="clear" w:color="auto" w:fill="auto"/>
            <w:noWrap/>
            <w:vAlign w:val="center"/>
          </w:tcPr>
          <w:p w14:paraId="24A6C1C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4F26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E742C3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2</w:t>
            </w:r>
          </w:p>
        </w:tc>
        <w:tc>
          <w:tcPr>
            <w:tcW w:w="3300" w:type="dxa"/>
            <w:tcBorders>
              <w:top w:val="nil"/>
              <w:left w:val="nil"/>
              <w:bottom w:val="single" w:color="auto" w:sz="4" w:space="0"/>
              <w:right w:val="single" w:color="auto" w:sz="4" w:space="0"/>
            </w:tcBorders>
            <w:shd w:val="clear" w:color="auto" w:fill="auto"/>
            <w:noWrap/>
            <w:vAlign w:val="center"/>
          </w:tcPr>
          <w:p w14:paraId="2E6BB25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销售收入</w:t>
            </w:r>
          </w:p>
        </w:tc>
        <w:tc>
          <w:tcPr>
            <w:tcW w:w="1260" w:type="dxa"/>
            <w:tcBorders>
              <w:top w:val="nil"/>
              <w:left w:val="nil"/>
              <w:bottom w:val="single" w:color="auto" w:sz="4" w:space="0"/>
              <w:right w:val="single" w:color="auto" w:sz="4" w:space="0"/>
            </w:tcBorders>
            <w:shd w:val="clear" w:color="auto" w:fill="auto"/>
            <w:noWrap/>
            <w:vAlign w:val="center"/>
          </w:tcPr>
          <w:p w14:paraId="121D1E5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万元/年</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59F82AC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500</w:t>
            </w:r>
          </w:p>
        </w:tc>
        <w:tc>
          <w:tcPr>
            <w:tcW w:w="1900" w:type="dxa"/>
            <w:tcBorders>
              <w:top w:val="nil"/>
              <w:left w:val="nil"/>
              <w:bottom w:val="single" w:color="auto" w:sz="4" w:space="0"/>
              <w:right w:val="single" w:color="auto" w:sz="4" w:space="0"/>
            </w:tcBorders>
            <w:shd w:val="clear" w:color="auto" w:fill="auto"/>
            <w:noWrap/>
            <w:vAlign w:val="center"/>
          </w:tcPr>
          <w:p w14:paraId="424ADC6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14F7C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0CECD3E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3</w:t>
            </w:r>
          </w:p>
        </w:tc>
        <w:tc>
          <w:tcPr>
            <w:tcW w:w="3300" w:type="dxa"/>
            <w:tcBorders>
              <w:top w:val="nil"/>
              <w:left w:val="nil"/>
              <w:bottom w:val="single" w:color="auto" w:sz="4" w:space="0"/>
              <w:right w:val="single" w:color="auto" w:sz="4" w:space="0"/>
            </w:tcBorders>
            <w:shd w:val="clear" w:color="auto" w:fill="auto"/>
            <w:noWrap/>
            <w:vAlign w:val="center"/>
          </w:tcPr>
          <w:p w14:paraId="0007F03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产品价格</w:t>
            </w:r>
          </w:p>
        </w:tc>
        <w:tc>
          <w:tcPr>
            <w:tcW w:w="1260" w:type="dxa"/>
            <w:tcBorders>
              <w:top w:val="nil"/>
              <w:left w:val="nil"/>
              <w:bottom w:val="single" w:color="auto" w:sz="4" w:space="0"/>
              <w:right w:val="single" w:color="auto" w:sz="4" w:space="0"/>
            </w:tcBorders>
            <w:shd w:val="clear" w:color="auto" w:fill="auto"/>
            <w:noWrap/>
            <w:vAlign w:val="center"/>
          </w:tcPr>
          <w:p w14:paraId="42E9F5B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168A0F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sz w:val="24"/>
                <w:szCs w:val="24"/>
                <w:highlight w:val="none"/>
              </w:rPr>
              <w:t>　</w:t>
            </w:r>
          </w:p>
        </w:tc>
        <w:tc>
          <w:tcPr>
            <w:tcW w:w="1900" w:type="dxa"/>
            <w:tcBorders>
              <w:top w:val="nil"/>
              <w:left w:val="nil"/>
              <w:bottom w:val="single" w:color="auto" w:sz="4" w:space="0"/>
              <w:right w:val="single" w:color="auto" w:sz="4" w:space="0"/>
            </w:tcBorders>
            <w:shd w:val="clear" w:color="auto" w:fill="auto"/>
            <w:noWrap/>
            <w:vAlign w:val="center"/>
          </w:tcPr>
          <w:p w14:paraId="475DEF5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0E35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341CC7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c>
          <w:tcPr>
            <w:tcW w:w="3300" w:type="dxa"/>
            <w:tcBorders>
              <w:top w:val="nil"/>
              <w:left w:val="nil"/>
              <w:bottom w:val="single" w:color="auto" w:sz="4" w:space="0"/>
              <w:right w:val="single" w:color="auto" w:sz="4" w:space="0"/>
            </w:tcBorders>
            <w:shd w:val="clear" w:color="auto" w:fill="auto"/>
            <w:noWrap/>
            <w:vAlign w:val="center"/>
          </w:tcPr>
          <w:p w14:paraId="008B3B1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原矿</w:t>
            </w:r>
          </w:p>
        </w:tc>
        <w:tc>
          <w:tcPr>
            <w:tcW w:w="1260" w:type="dxa"/>
            <w:tcBorders>
              <w:top w:val="nil"/>
              <w:left w:val="nil"/>
              <w:bottom w:val="single" w:color="auto" w:sz="4" w:space="0"/>
              <w:right w:val="single" w:color="auto" w:sz="4" w:space="0"/>
            </w:tcBorders>
            <w:shd w:val="clear" w:color="auto" w:fill="auto"/>
            <w:noWrap/>
            <w:vAlign w:val="center"/>
          </w:tcPr>
          <w:p w14:paraId="23AE39F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元/吨</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310BFCB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25</w:t>
            </w:r>
          </w:p>
        </w:tc>
        <w:tc>
          <w:tcPr>
            <w:tcW w:w="1900" w:type="dxa"/>
            <w:tcBorders>
              <w:top w:val="nil"/>
              <w:left w:val="nil"/>
              <w:bottom w:val="single" w:color="auto" w:sz="4" w:space="0"/>
              <w:right w:val="single" w:color="auto" w:sz="4" w:space="0"/>
            </w:tcBorders>
            <w:shd w:val="clear" w:color="auto" w:fill="auto"/>
            <w:noWrap/>
            <w:vAlign w:val="center"/>
          </w:tcPr>
          <w:p w14:paraId="5385972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5C48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0B5CDD0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4</w:t>
            </w:r>
          </w:p>
        </w:tc>
        <w:tc>
          <w:tcPr>
            <w:tcW w:w="3300" w:type="dxa"/>
            <w:tcBorders>
              <w:top w:val="nil"/>
              <w:left w:val="nil"/>
              <w:bottom w:val="single" w:color="auto" w:sz="4" w:space="0"/>
              <w:right w:val="single" w:color="auto" w:sz="4" w:space="0"/>
            </w:tcBorders>
            <w:shd w:val="clear" w:color="auto" w:fill="auto"/>
            <w:noWrap/>
            <w:vAlign w:val="center"/>
          </w:tcPr>
          <w:p w14:paraId="5B8959B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生产成本</w:t>
            </w:r>
          </w:p>
        </w:tc>
        <w:tc>
          <w:tcPr>
            <w:tcW w:w="1260" w:type="dxa"/>
            <w:tcBorders>
              <w:top w:val="nil"/>
              <w:left w:val="nil"/>
              <w:bottom w:val="single" w:color="auto" w:sz="4" w:space="0"/>
              <w:right w:val="single" w:color="auto" w:sz="4" w:space="0"/>
            </w:tcBorders>
            <w:shd w:val="clear" w:color="auto" w:fill="auto"/>
            <w:noWrap/>
            <w:vAlign w:val="center"/>
          </w:tcPr>
          <w:p w14:paraId="6B31A88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元/吨矿</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5515746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14.36</w:t>
            </w:r>
          </w:p>
        </w:tc>
        <w:tc>
          <w:tcPr>
            <w:tcW w:w="1900" w:type="dxa"/>
            <w:tcBorders>
              <w:top w:val="nil"/>
              <w:left w:val="nil"/>
              <w:bottom w:val="single" w:color="auto" w:sz="4" w:space="0"/>
              <w:right w:val="single" w:color="auto" w:sz="4" w:space="0"/>
            </w:tcBorders>
            <w:shd w:val="clear" w:color="auto" w:fill="auto"/>
            <w:noWrap/>
            <w:vAlign w:val="center"/>
          </w:tcPr>
          <w:p w14:paraId="79D2D26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p>
        </w:tc>
      </w:tr>
      <w:tr w14:paraId="32220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D6C70B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5</w:t>
            </w:r>
          </w:p>
        </w:tc>
        <w:tc>
          <w:tcPr>
            <w:tcW w:w="3300" w:type="dxa"/>
            <w:tcBorders>
              <w:top w:val="nil"/>
              <w:left w:val="nil"/>
              <w:bottom w:val="single" w:color="auto" w:sz="4" w:space="0"/>
              <w:right w:val="single" w:color="auto" w:sz="4" w:space="0"/>
            </w:tcBorders>
            <w:shd w:val="clear" w:color="auto" w:fill="auto"/>
            <w:noWrap/>
            <w:vAlign w:val="center"/>
          </w:tcPr>
          <w:p w14:paraId="7185E80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总成本</w:t>
            </w:r>
          </w:p>
        </w:tc>
        <w:tc>
          <w:tcPr>
            <w:tcW w:w="1260" w:type="dxa"/>
            <w:tcBorders>
              <w:top w:val="nil"/>
              <w:left w:val="nil"/>
              <w:bottom w:val="single" w:color="auto" w:sz="4" w:space="0"/>
              <w:right w:val="single" w:color="auto" w:sz="4" w:space="0"/>
            </w:tcBorders>
            <w:shd w:val="clear" w:color="auto" w:fill="auto"/>
            <w:noWrap/>
            <w:vAlign w:val="center"/>
          </w:tcPr>
          <w:p w14:paraId="297E6A7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万元/年</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3578BA9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308</w:t>
            </w:r>
          </w:p>
        </w:tc>
        <w:tc>
          <w:tcPr>
            <w:tcW w:w="1900" w:type="dxa"/>
            <w:tcBorders>
              <w:top w:val="nil"/>
              <w:left w:val="nil"/>
              <w:bottom w:val="single" w:color="auto" w:sz="4" w:space="0"/>
              <w:right w:val="single" w:color="auto" w:sz="4" w:space="0"/>
            </w:tcBorders>
            <w:shd w:val="clear" w:color="auto" w:fill="auto"/>
            <w:noWrap/>
            <w:vAlign w:val="center"/>
          </w:tcPr>
          <w:p w14:paraId="15A3740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5B619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6A927AB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6</w:t>
            </w:r>
          </w:p>
        </w:tc>
        <w:tc>
          <w:tcPr>
            <w:tcW w:w="3300" w:type="dxa"/>
            <w:tcBorders>
              <w:top w:val="nil"/>
              <w:left w:val="nil"/>
              <w:bottom w:val="single" w:color="auto" w:sz="4" w:space="0"/>
              <w:right w:val="single" w:color="auto" w:sz="4" w:space="0"/>
            </w:tcBorders>
            <w:shd w:val="clear" w:color="auto" w:fill="auto"/>
            <w:noWrap/>
            <w:vAlign w:val="center"/>
          </w:tcPr>
          <w:p w14:paraId="6FDA4F7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经营成本</w:t>
            </w:r>
          </w:p>
        </w:tc>
        <w:tc>
          <w:tcPr>
            <w:tcW w:w="1260" w:type="dxa"/>
            <w:tcBorders>
              <w:top w:val="nil"/>
              <w:left w:val="nil"/>
              <w:bottom w:val="single" w:color="auto" w:sz="4" w:space="0"/>
              <w:right w:val="single" w:color="auto" w:sz="4" w:space="0"/>
            </w:tcBorders>
            <w:shd w:val="clear" w:color="auto" w:fill="auto"/>
            <w:noWrap/>
            <w:vAlign w:val="center"/>
          </w:tcPr>
          <w:p w14:paraId="194A83D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万元/年</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4CE9187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260</w:t>
            </w:r>
          </w:p>
        </w:tc>
        <w:tc>
          <w:tcPr>
            <w:tcW w:w="1900" w:type="dxa"/>
            <w:tcBorders>
              <w:top w:val="nil"/>
              <w:left w:val="nil"/>
              <w:bottom w:val="single" w:color="auto" w:sz="4" w:space="0"/>
              <w:right w:val="single" w:color="auto" w:sz="4" w:space="0"/>
            </w:tcBorders>
            <w:shd w:val="clear" w:color="auto" w:fill="auto"/>
            <w:noWrap/>
            <w:vAlign w:val="center"/>
          </w:tcPr>
          <w:p w14:paraId="3E8826C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27EB2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049C0D8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7</w:t>
            </w:r>
          </w:p>
        </w:tc>
        <w:tc>
          <w:tcPr>
            <w:tcW w:w="3300" w:type="dxa"/>
            <w:tcBorders>
              <w:top w:val="nil"/>
              <w:left w:val="nil"/>
              <w:bottom w:val="single" w:color="auto" w:sz="4" w:space="0"/>
              <w:right w:val="single" w:color="auto" w:sz="4" w:space="0"/>
            </w:tcBorders>
            <w:shd w:val="clear" w:color="auto" w:fill="auto"/>
            <w:noWrap/>
            <w:vAlign w:val="center"/>
          </w:tcPr>
          <w:p w14:paraId="4356C84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增值税</w:t>
            </w:r>
          </w:p>
        </w:tc>
        <w:tc>
          <w:tcPr>
            <w:tcW w:w="1260" w:type="dxa"/>
            <w:tcBorders>
              <w:top w:val="nil"/>
              <w:left w:val="nil"/>
              <w:bottom w:val="single" w:color="auto" w:sz="4" w:space="0"/>
              <w:right w:val="single" w:color="auto" w:sz="4" w:space="0"/>
            </w:tcBorders>
            <w:shd w:val="clear" w:color="auto" w:fill="auto"/>
            <w:noWrap/>
            <w:vAlign w:val="center"/>
          </w:tcPr>
          <w:p w14:paraId="2670C99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万元/年</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232FF78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63</w:t>
            </w:r>
          </w:p>
        </w:tc>
        <w:tc>
          <w:tcPr>
            <w:tcW w:w="1900" w:type="dxa"/>
            <w:tcBorders>
              <w:top w:val="nil"/>
              <w:left w:val="nil"/>
              <w:bottom w:val="single" w:color="auto" w:sz="4" w:space="0"/>
              <w:right w:val="single" w:color="auto" w:sz="4" w:space="0"/>
            </w:tcBorders>
            <w:shd w:val="clear" w:color="auto" w:fill="auto"/>
            <w:noWrap/>
            <w:vAlign w:val="center"/>
          </w:tcPr>
          <w:p w14:paraId="4B09EC6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7A33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F87548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8</w:t>
            </w:r>
          </w:p>
        </w:tc>
        <w:tc>
          <w:tcPr>
            <w:tcW w:w="3300" w:type="dxa"/>
            <w:tcBorders>
              <w:top w:val="nil"/>
              <w:left w:val="nil"/>
              <w:bottom w:val="single" w:color="auto" w:sz="4" w:space="0"/>
              <w:right w:val="single" w:color="auto" w:sz="4" w:space="0"/>
            </w:tcBorders>
            <w:shd w:val="clear" w:color="auto" w:fill="auto"/>
            <w:noWrap/>
            <w:vAlign w:val="center"/>
          </w:tcPr>
          <w:p w14:paraId="730D543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销售税金及附加</w:t>
            </w:r>
          </w:p>
        </w:tc>
        <w:tc>
          <w:tcPr>
            <w:tcW w:w="1260" w:type="dxa"/>
            <w:tcBorders>
              <w:top w:val="nil"/>
              <w:left w:val="nil"/>
              <w:bottom w:val="single" w:color="auto" w:sz="4" w:space="0"/>
              <w:right w:val="single" w:color="auto" w:sz="4" w:space="0"/>
            </w:tcBorders>
            <w:shd w:val="clear" w:color="auto" w:fill="auto"/>
            <w:noWrap/>
            <w:vAlign w:val="center"/>
          </w:tcPr>
          <w:p w14:paraId="7FD8B9E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万元/年</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387C5E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44</w:t>
            </w:r>
          </w:p>
        </w:tc>
        <w:tc>
          <w:tcPr>
            <w:tcW w:w="1900" w:type="dxa"/>
            <w:tcBorders>
              <w:top w:val="nil"/>
              <w:left w:val="nil"/>
              <w:bottom w:val="single" w:color="auto" w:sz="4" w:space="0"/>
              <w:right w:val="single" w:color="auto" w:sz="4" w:space="0"/>
            </w:tcBorders>
            <w:shd w:val="clear" w:color="auto" w:fill="auto"/>
            <w:noWrap/>
            <w:vAlign w:val="center"/>
          </w:tcPr>
          <w:p w14:paraId="1E8FB60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42A9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0802136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9</w:t>
            </w:r>
          </w:p>
        </w:tc>
        <w:tc>
          <w:tcPr>
            <w:tcW w:w="3300" w:type="dxa"/>
            <w:tcBorders>
              <w:top w:val="nil"/>
              <w:left w:val="nil"/>
              <w:bottom w:val="single" w:color="auto" w:sz="4" w:space="0"/>
              <w:right w:val="single" w:color="auto" w:sz="4" w:space="0"/>
            </w:tcBorders>
            <w:shd w:val="clear" w:color="auto" w:fill="auto"/>
            <w:noWrap/>
            <w:vAlign w:val="center"/>
          </w:tcPr>
          <w:p w14:paraId="053F983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利润总额</w:t>
            </w:r>
          </w:p>
        </w:tc>
        <w:tc>
          <w:tcPr>
            <w:tcW w:w="1260" w:type="dxa"/>
            <w:tcBorders>
              <w:top w:val="nil"/>
              <w:left w:val="nil"/>
              <w:bottom w:val="single" w:color="auto" w:sz="4" w:space="0"/>
              <w:right w:val="single" w:color="auto" w:sz="4" w:space="0"/>
            </w:tcBorders>
            <w:shd w:val="clear" w:color="auto" w:fill="auto"/>
            <w:noWrap/>
            <w:vAlign w:val="center"/>
          </w:tcPr>
          <w:p w14:paraId="3F71398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万元/年</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054E56C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148</w:t>
            </w:r>
          </w:p>
        </w:tc>
        <w:tc>
          <w:tcPr>
            <w:tcW w:w="1900" w:type="dxa"/>
            <w:tcBorders>
              <w:top w:val="nil"/>
              <w:left w:val="nil"/>
              <w:bottom w:val="single" w:color="auto" w:sz="4" w:space="0"/>
              <w:right w:val="single" w:color="auto" w:sz="4" w:space="0"/>
            </w:tcBorders>
            <w:shd w:val="clear" w:color="auto" w:fill="auto"/>
            <w:noWrap/>
            <w:vAlign w:val="center"/>
          </w:tcPr>
          <w:p w14:paraId="43F6D54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23C9C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7AA0F2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10</w:t>
            </w:r>
          </w:p>
        </w:tc>
        <w:tc>
          <w:tcPr>
            <w:tcW w:w="3300" w:type="dxa"/>
            <w:tcBorders>
              <w:top w:val="nil"/>
              <w:left w:val="nil"/>
              <w:bottom w:val="single" w:color="auto" w:sz="4" w:space="0"/>
              <w:right w:val="single" w:color="auto" w:sz="4" w:space="0"/>
            </w:tcBorders>
            <w:shd w:val="clear" w:color="auto" w:fill="auto"/>
            <w:noWrap/>
            <w:vAlign w:val="center"/>
          </w:tcPr>
          <w:p w14:paraId="0DEE4E7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息税前利润</w:t>
            </w:r>
          </w:p>
        </w:tc>
        <w:tc>
          <w:tcPr>
            <w:tcW w:w="1260" w:type="dxa"/>
            <w:tcBorders>
              <w:top w:val="nil"/>
              <w:left w:val="nil"/>
              <w:bottom w:val="single" w:color="auto" w:sz="4" w:space="0"/>
              <w:right w:val="single" w:color="auto" w:sz="4" w:space="0"/>
            </w:tcBorders>
            <w:shd w:val="clear" w:color="auto" w:fill="auto"/>
            <w:noWrap/>
            <w:vAlign w:val="center"/>
          </w:tcPr>
          <w:p w14:paraId="7E9BAA7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万元/年</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54F4B69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148</w:t>
            </w:r>
          </w:p>
        </w:tc>
        <w:tc>
          <w:tcPr>
            <w:tcW w:w="1900" w:type="dxa"/>
            <w:tcBorders>
              <w:top w:val="nil"/>
              <w:left w:val="nil"/>
              <w:bottom w:val="single" w:color="auto" w:sz="4" w:space="0"/>
              <w:right w:val="single" w:color="auto" w:sz="4" w:space="0"/>
            </w:tcBorders>
            <w:shd w:val="clear" w:color="auto" w:fill="auto"/>
            <w:noWrap/>
            <w:vAlign w:val="center"/>
          </w:tcPr>
          <w:p w14:paraId="3A21AB7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7C5F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05C1FFD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11</w:t>
            </w:r>
          </w:p>
        </w:tc>
        <w:tc>
          <w:tcPr>
            <w:tcW w:w="3300" w:type="dxa"/>
            <w:tcBorders>
              <w:top w:val="nil"/>
              <w:left w:val="nil"/>
              <w:bottom w:val="single" w:color="auto" w:sz="4" w:space="0"/>
              <w:right w:val="single" w:color="auto" w:sz="4" w:space="0"/>
            </w:tcBorders>
            <w:shd w:val="clear" w:color="auto" w:fill="auto"/>
            <w:noWrap/>
            <w:vAlign w:val="center"/>
          </w:tcPr>
          <w:p w14:paraId="0456DF9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所得税</w:t>
            </w:r>
          </w:p>
        </w:tc>
        <w:tc>
          <w:tcPr>
            <w:tcW w:w="1260" w:type="dxa"/>
            <w:tcBorders>
              <w:top w:val="nil"/>
              <w:left w:val="nil"/>
              <w:bottom w:val="single" w:color="auto" w:sz="4" w:space="0"/>
              <w:right w:val="single" w:color="auto" w:sz="4" w:space="0"/>
            </w:tcBorders>
            <w:shd w:val="clear" w:color="auto" w:fill="auto"/>
            <w:noWrap/>
            <w:vAlign w:val="center"/>
          </w:tcPr>
          <w:p w14:paraId="24EAAD2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万元/年</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4653355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37</w:t>
            </w:r>
          </w:p>
        </w:tc>
        <w:tc>
          <w:tcPr>
            <w:tcW w:w="1900" w:type="dxa"/>
            <w:tcBorders>
              <w:top w:val="nil"/>
              <w:left w:val="nil"/>
              <w:bottom w:val="single" w:color="auto" w:sz="4" w:space="0"/>
              <w:right w:val="single" w:color="auto" w:sz="4" w:space="0"/>
            </w:tcBorders>
            <w:shd w:val="clear" w:color="auto" w:fill="auto"/>
            <w:noWrap/>
            <w:vAlign w:val="center"/>
          </w:tcPr>
          <w:p w14:paraId="36E14F8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1DEFF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77A63E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12</w:t>
            </w:r>
          </w:p>
        </w:tc>
        <w:tc>
          <w:tcPr>
            <w:tcW w:w="3300" w:type="dxa"/>
            <w:tcBorders>
              <w:top w:val="nil"/>
              <w:left w:val="nil"/>
              <w:bottom w:val="single" w:color="auto" w:sz="4" w:space="0"/>
              <w:right w:val="single" w:color="auto" w:sz="4" w:space="0"/>
            </w:tcBorders>
            <w:shd w:val="clear" w:color="auto" w:fill="auto"/>
            <w:noWrap/>
            <w:vAlign w:val="center"/>
          </w:tcPr>
          <w:p w14:paraId="47482BA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净利润</w:t>
            </w:r>
          </w:p>
        </w:tc>
        <w:tc>
          <w:tcPr>
            <w:tcW w:w="1260" w:type="dxa"/>
            <w:tcBorders>
              <w:top w:val="nil"/>
              <w:left w:val="nil"/>
              <w:bottom w:val="single" w:color="auto" w:sz="4" w:space="0"/>
              <w:right w:val="single" w:color="auto" w:sz="4" w:space="0"/>
            </w:tcBorders>
            <w:shd w:val="clear" w:color="auto" w:fill="auto"/>
            <w:noWrap/>
            <w:vAlign w:val="center"/>
          </w:tcPr>
          <w:p w14:paraId="0542333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万元/年</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6E79560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111</w:t>
            </w:r>
          </w:p>
        </w:tc>
        <w:tc>
          <w:tcPr>
            <w:tcW w:w="1900" w:type="dxa"/>
            <w:tcBorders>
              <w:top w:val="nil"/>
              <w:left w:val="nil"/>
              <w:bottom w:val="single" w:color="auto" w:sz="4" w:space="0"/>
              <w:right w:val="single" w:color="auto" w:sz="4" w:space="0"/>
            </w:tcBorders>
            <w:shd w:val="clear" w:color="auto" w:fill="auto"/>
            <w:noWrap/>
            <w:vAlign w:val="center"/>
          </w:tcPr>
          <w:p w14:paraId="479757D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　</w:t>
            </w:r>
          </w:p>
        </w:tc>
      </w:tr>
      <w:tr w14:paraId="4717F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16B9D3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13</w:t>
            </w:r>
          </w:p>
        </w:tc>
        <w:tc>
          <w:tcPr>
            <w:tcW w:w="3300" w:type="dxa"/>
            <w:tcBorders>
              <w:top w:val="nil"/>
              <w:left w:val="nil"/>
              <w:bottom w:val="single" w:color="auto" w:sz="4" w:space="0"/>
              <w:right w:val="single" w:color="auto" w:sz="4" w:space="0"/>
            </w:tcBorders>
            <w:shd w:val="clear" w:color="auto" w:fill="auto"/>
            <w:noWrap/>
            <w:vAlign w:val="center"/>
          </w:tcPr>
          <w:p w14:paraId="1A1A341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项目投资财务内部收益率</w:t>
            </w:r>
          </w:p>
        </w:tc>
        <w:tc>
          <w:tcPr>
            <w:tcW w:w="1260" w:type="dxa"/>
            <w:tcBorders>
              <w:top w:val="nil"/>
              <w:left w:val="nil"/>
              <w:bottom w:val="single" w:color="auto" w:sz="4" w:space="0"/>
              <w:right w:val="single" w:color="auto" w:sz="4" w:space="0"/>
            </w:tcBorders>
            <w:shd w:val="clear" w:color="auto" w:fill="auto"/>
            <w:noWrap/>
            <w:vAlign w:val="center"/>
          </w:tcPr>
          <w:p w14:paraId="693F21E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1E56AA9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rPr>
            </w:pPr>
            <w:r>
              <w:rPr>
                <w:rFonts w:hint="eastAsia" w:ascii="仿宋_GB2312" w:eastAsia="仿宋_GB2312" w:cs="仿宋_GB2312"/>
                <w:color w:val="auto"/>
                <w:sz w:val="24"/>
                <w:szCs w:val="24"/>
                <w:highlight w:val="none"/>
                <w:lang w:val="en-US" w:eastAsia="zh-CN"/>
              </w:rPr>
              <w:t>20.82</w:t>
            </w:r>
          </w:p>
        </w:tc>
        <w:tc>
          <w:tcPr>
            <w:tcW w:w="1900" w:type="dxa"/>
            <w:tcBorders>
              <w:top w:val="nil"/>
              <w:left w:val="nil"/>
              <w:bottom w:val="single" w:color="auto" w:sz="4" w:space="0"/>
              <w:right w:val="single" w:color="auto" w:sz="4" w:space="0"/>
            </w:tcBorders>
            <w:shd w:val="clear" w:color="auto" w:fill="auto"/>
            <w:noWrap/>
            <w:vAlign w:val="center"/>
          </w:tcPr>
          <w:p w14:paraId="4BC5F24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税后</w:t>
            </w:r>
          </w:p>
        </w:tc>
      </w:tr>
      <w:tr w14:paraId="6487A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E0EA93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14</w:t>
            </w:r>
          </w:p>
        </w:tc>
        <w:tc>
          <w:tcPr>
            <w:tcW w:w="3300" w:type="dxa"/>
            <w:tcBorders>
              <w:top w:val="nil"/>
              <w:left w:val="nil"/>
              <w:bottom w:val="single" w:color="auto" w:sz="4" w:space="0"/>
              <w:right w:val="single" w:color="auto" w:sz="4" w:space="0"/>
            </w:tcBorders>
            <w:shd w:val="clear" w:color="auto" w:fill="auto"/>
            <w:noWrap/>
            <w:vAlign w:val="center"/>
          </w:tcPr>
          <w:p w14:paraId="3EF6257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项目财务净现值（Ic=12%)</w:t>
            </w:r>
          </w:p>
        </w:tc>
        <w:tc>
          <w:tcPr>
            <w:tcW w:w="1260" w:type="dxa"/>
            <w:tcBorders>
              <w:top w:val="nil"/>
              <w:left w:val="nil"/>
              <w:bottom w:val="single" w:color="auto" w:sz="4" w:space="0"/>
              <w:right w:val="single" w:color="auto" w:sz="4" w:space="0"/>
            </w:tcBorders>
            <w:shd w:val="clear" w:color="auto" w:fill="auto"/>
            <w:noWrap/>
            <w:vAlign w:val="center"/>
          </w:tcPr>
          <w:p w14:paraId="738E4DF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万元</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268475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rPr>
            </w:pPr>
            <w:r>
              <w:rPr>
                <w:rFonts w:hint="eastAsia" w:ascii="仿宋_GB2312" w:eastAsia="仿宋_GB2312" w:cs="仿宋_GB2312"/>
                <w:color w:val="auto"/>
                <w:sz w:val="24"/>
                <w:szCs w:val="24"/>
                <w:highlight w:val="none"/>
                <w:lang w:val="en-US" w:eastAsia="zh-CN"/>
              </w:rPr>
              <w:t>197.19</w:t>
            </w:r>
          </w:p>
        </w:tc>
        <w:tc>
          <w:tcPr>
            <w:tcW w:w="1900" w:type="dxa"/>
            <w:tcBorders>
              <w:top w:val="nil"/>
              <w:left w:val="nil"/>
              <w:bottom w:val="single" w:color="auto" w:sz="4" w:space="0"/>
              <w:right w:val="single" w:color="auto" w:sz="4" w:space="0"/>
            </w:tcBorders>
            <w:shd w:val="clear" w:color="auto" w:fill="auto"/>
            <w:noWrap/>
            <w:vAlign w:val="center"/>
          </w:tcPr>
          <w:p w14:paraId="58F5DD1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税后</w:t>
            </w:r>
          </w:p>
        </w:tc>
      </w:tr>
      <w:tr w14:paraId="4E233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3728F5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15</w:t>
            </w:r>
          </w:p>
        </w:tc>
        <w:tc>
          <w:tcPr>
            <w:tcW w:w="3300" w:type="dxa"/>
            <w:tcBorders>
              <w:top w:val="nil"/>
              <w:left w:val="nil"/>
              <w:bottom w:val="single" w:color="auto" w:sz="4" w:space="0"/>
              <w:right w:val="single" w:color="auto" w:sz="4" w:space="0"/>
            </w:tcBorders>
            <w:shd w:val="clear" w:color="auto" w:fill="auto"/>
            <w:noWrap/>
            <w:vAlign w:val="center"/>
          </w:tcPr>
          <w:p w14:paraId="791AA65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项目投资回收期</w:t>
            </w:r>
          </w:p>
        </w:tc>
        <w:tc>
          <w:tcPr>
            <w:tcW w:w="1260" w:type="dxa"/>
            <w:tcBorders>
              <w:top w:val="nil"/>
              <w:left w:val="nil"/>
              <w:bottom w:val="single" w:color="auto" w:sz="4" w:space="0"/>
              <w:right w:val="single" w:color="auto" w:sz="4" w:space="0"/>
            </w:tcBorders>
            <w:shd w:val="clear" w:color="auto" w:fill="auto"/>
            <w:noWrap/>
            <w:vAlign w:val="center"/>
          </w:tcPr>
          <w:p w14:paraId="3A86687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年</w:t>
            </w:r>
          </w:p>
        </w:tc>
        <w:tc>
          <w:tcPr>
            <w:tcW w:w="1740" w:type="dxa"/>
            <w:tcBorders>
              <w:top w:val="nil"/>
              <w:left w:val="single" w:color="auto" w:sz="4" w:space="0"/>
              <w:bottom w:val="single" w:color="auto" w:sz="4" w:space="0"/>
              <w:right w:val="single" w:color="auto" w:sz="4" w:space="0"/>
            </w:tcBorders>
            <w:shd w:val="clear" w:color="auto" w:fill="auto"/>
            <w:noWrap/>
            <w:vAlign w:val="center"/>
          </w:tcPr>
          <w:p w14:paraId="060200E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lang w:val="en-US" w:eastAsia="zh-CN"/>
              </w:rPr>
            </w:pPr>
            <w:r>
              <w:rPr>
                <w:rFonts w:hint="eastAsia" w:ascii="仿宋_GB2312" w:eastAsia="仿宋_GB2312" w:cs="仿宋_GB2312"/>
                <w:color w:val="auto"/>
                <w:sz w:val="24"/>
                <w:szCs w:val="24"/>
                <w:highlight w:val="none"/>
                <w:lang w:val="en-US" w:eastAsia="zh-CN"/>
              </w:rPr>
              <w:t>4.24</w:t>
            </w:r>
          </w:p>
        </w:tc>
        <w:tc>
          <w:tcPr>
            <w:tcW w:w="1900" w:type="dxa"/>
            <w:tcBorders>
              <w:top w:val="nil"/>
              <w:left w:val="nil"/>
              <w:bottom w:val="single" w:color="auto" w:sz="4" w:space="0"/>
              <w:right w:val="single" w:color="auto" w:sz="4" w:space="0"/>
            </w:tcBorders>
            <w:shd w:val="clear" w:color="auto" w:fill="auto"/>
            <w:noWrap/>
            <w:vAlign w:val="center"/>
          </w:tcPr>
          <w:p w14:paraId="6C7A7E1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0"/>
                <w:sz w:val="24"/>
                <w:szCs w:val="24"/>
                <w:highlight w:val="none"/>
              </w:rPr>
            </w:pPr>
            <w:r>
              <w:rPr>
                <w:rFonts w:hint="eastAsia" w:ascii="仿宋_GB2312" w:eastAsia="仿宋_GB2312" w:cs="仿宋_GB2312"/>
                <w:color w:val="auto"/>
                <w:kern w:val="0"/>
                <w:sz w:val="24"/>
                <w:szCs w:val="24"/>
                <w:highlight w:val="none"/>
              </w:rPr>
              <w:t>税后</w:t>
            </w:r>
          </w:p>
        </w:tc>
      </w:tr>
    </w:tbl>
    <w:p w14:paraId="5460C938">
      <w:pPr>
        <w:pStyle w:val="79"/>
        <w:rPr>
          <w:rFonts w:hint="eastAsia" w:ascii="仿宋_GB2312" w:eastAsia="仿宋_GB2312" w:cs="仿宋_GB2312"/>
          <w:color w:val="auto"/>
          <w:highlight w:val="none"/>
        </w:rPr>
      </w:pPr>
    </w:p>
    <w:bookmarkEnd w:id="454"/>
    <w:p w14:paraId="452CD737">
      <w:pPr>
        <w:pStyle w:val="3"/>
        <w:keepNext/>
        <w:keepLines/>
        <w:pageBreakBefore/>
        <w:widowControl w:val="0"/>
        <w:numPr>
          <w:ilvl w:val="0"/>
          <w:numId w:val="3"/>
        </w:numPr>
        <w:spacing w:before="0" w:after="0"/>
        <w:ind w:left="0"/>
        <w:jc w:val="center"/>
        <w:rPr>
          <w:rFonts w:hint="eastAsia" w:ascii="仿宋_GB2312" w:eastAsia="仿宋_GB2312" w:cs="仿宋_GB2312"/>
          <w:color w:val="auto"/>
          <w:sz w:val="36"/>
          <w:szCs w:val="36"/>
          <w:highlight w:val="none"/>
        </w:rPr>
      </w:pPr>
      <w:bookmarkStart w:id="457" w:name="_Toc8497"/>
      <w:bookmarkStart w:id="458" w:name="_Toc5414"/>
      <w:r>
        <w:rPr>
          <w:rFonts w:hint="eastAsia" w:ascii="仿宋_GB2312" w:eastAsia="仿宋_GB2312" w:cs="仿宋_GB2312"/>
          <w:color w:val="auto"/>
          <w:sz w:val="36"/>
          <w:szCs w:val="36"/>
          <w:highlight w:val="none"/>
        </w:rPr>
        <w:t>开发方案简要结论</w:t>
      </w:r>
      <w:bookmarkEnd w:id="455"/>
      <w:bookmarkEnd w:id="456"/>
      <w:bookmarkEnd w:id="457"/>
      <w:bookmarkEnd w:id="458"/>
    </w:p>
    <w:p w14:paraId="3A3815F1">
      <w:pPr>
        <w:pStyle w:val="4"/>
        <w:adjustRightInd w:val="0"/>
        <w:snapToGrid w:val="0"/>
        <w:spacing w:before="0"/>
        <w:rPr>
          <w:rFonts w:hint="eastAsia" w:ascii="仿宋_GB2312" w:eastAsia="仿宋_GB2312" w:cs="仿宋_GB2312"/>
          <w:b/>
          <w:bCs w:val="0"/>
          <w:color w:val="auto"/>
          <w:sz w:val="28"/>
          <w:szCs w:val="28"/>
          <w:highlight w:val="none"/>
        </w:rPr>
      </w:pPr>
      <w:bookmarkStart w:id="459" w:name="_Toc118271507"/>
      <w:bookmarkStart w:id="460" w:name="_Toc32363"/>
      <w:bookmarkStart w:id="461" w:name="_Toc24657"/>
      <w:bookmarkStart w:id="462" w:name="_Toc19753"/>
      <w:bookmarkStart w:id="463" w:name="_Toc138060405"/>
      <w:bookmarkStart w:id="464" w:name="_Toc3178"/>
      <w:bookmarkStart w:id="465" w:name="_Toc6682"/>
      <w:bookmarkStart w:id="466" w:name="_Toc118271508"/>
      <w:r>
        <w:rPr>
          <w:rFonts w:hint="eastAsia" w:ascii="仿宋_GB2312" w:eastAsia="仿宋_GB2312" w:cs="仿宋_GB2312"/>
          <w:b/>
          <w:bCs w:val="0"/>
          <w:color w:val="auto"/>
          <w:sz w:val="28"/>
          <w:szCs w:val="28"/>
          <w:highlight w:val="none"/>
          <w:lang w:val="en-US" w:eastAsia="zh-CN"/>
        </w:rPr>
        <w:t>13</w:t>
      </w:r>
      <w:r>
        <w:rPr>
          <w:rFonts w:hint="eastAsia" w:ascii="仿宋_GB2312" w:eastAsia="仿宋_GB2312" w:cs="仿宋_GB2312"/>
          <w:b/>
          <w:bCs w:val="0"/>
          <w:color w:val="auto"/>
          <w:sz w:val="28"/>
          <w:szCs w:val="28"/>
          <w:highlight w:val="none"/>
        </w:rPr>
        <w:t>.1</w:t>
      </w:r>
      <w:bookmarkEnd w:id="459"/>
      <w:bookmarkEnd w:id="460"/>
      <w:r>
        <w:rPr>
          <w:rFonts w:hint="eastAsia" w:ascii="仿宋_GB2312" w:eastAsia="仿宋_GB2312" w:cs="仿宋_GB2312"/>
          <w:b/>
          <w:bCs w:val="0"/>
          <w:color w:val="auto"/>
          <w:sz w:val="28"/>
          <w:szCs w:val="28"/>
          <w:highlight w:val="none"/>
        </w:rPr>
        <w:t>资源储量利用情况</w:t>
      </w:r>
      <w:bookmarkEnd w:id="461"/>
      <w:bookmarkEnd w:id="462"/>
      <w:bookmarkEnd w:id="463"/>
      <w:bookmarkEnd w:id="464"/>
    </w:p>
    <w:p w14:paraId="631E8447">
      <w:pPr>
        <w:pStyle w:val="6"/>
        <w:adjustRightInd w:val="0"/>
        <w:snapToGrid w:val="0"/>
        <w:spacing w:before="0" w:line="360" w:lineRule="auto"/>
        <w:rPr>
          <w:rFonts w:hint="eastAsia" w:ascii="仿宋_GB2312" w:eastAsia="仿宋_GB2312" w:cs="仿宋_GB2312"/>
          <w:b/>
          <w:bCs w:val="0"/>
          <w:color w:val="auto"/>
          <w:sz w:val="28"/>
          <w:szCs w:val="28"/>
          <w:highlight w:val="none"/>
        </w:rPr>
      </w:pPr>
      <w:r>
        <w:rPr>
          <w:rFonts w:hint="eastAsia" w:ascii="仿宋_GB2312" w:eastAsia="仿宋_GB2312" w:cs="仿宋_GB2312"/>
          <w:b/>
          <w:bCs w:val="0"/>
          <w:color w:val="auto"/>
          <w:sz w:val="28"/>
          <w:szCs w:val="28"/>
          <w:highlight w:val="none"/>
        </w:rPr>
        <w:t>1</w:t>
      </w:r>
      <w:r>
        <w:rPr>
          <w:rFonts w:hint="eastAsia" w:ascii="仿宋_GB2312" w:eastAsia="仿宋_GB2312" w:cs="仿宋_GB2312"/>
          <w:b/>
          <w:bCs w:val="0"/>
          <w:color w:val="auto"/>
          <w:sz w:val="28"/>
          <w:szCs w:val="28"/>
          <w:highlight w:val="none"/>
          <w:lang w:val="en-US" w:eastAsia="zh-CN"/>
        </w:rPr>
        <w:t>3</w:t>
      </w:r>
      <w:r>
        <w:rPr>
          <w:rFonts w:hint="eastAsia" w:ascii="仿宋_GB2312" w:eastAsia="仿宋_GB2312" w:cs="仿宋_GB2312"/>
          <w:b/>
          <w:bCs w:val="0"/>
          <w:color w:val="auto"/>
          <w:sz w:val="28"/>
          <w:szCs w:val="28"/>
          <w:highlight w:val="none"/>
        </w:rPr>
        <w:t>.1.1地质资源量</w:t>
      </w:r>
    </w:p>
    <w:p w14:paraId="14F8444B">
      <w:pPr>
        <w:pStyle w:val="17"/>
        <w:adjustRightInd w:val="0"/>
        <w:snapToGrid w:val="0"/>
        <w:spacing w:line="360" w:lineRule="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截至2023年8月30日，</w:t>
      </w:r>
      <w:r>
        <w:rPr>
          <w:rFonts w:hint="eastAsia" w:ascii="仿宋_GB2312" w:eastAsia="仿宋_GB2312" w:cs="仿宋_GB2312"/>
          <w:color w:val="auto"/>
          <w:sz w:val="28"/>
          <w:szCs w:val="28"/>
          <w:highlight w:val="none"/>
        </w:rPr>
        <w:t>大英县卓筒井镇汇龙桥村砖瓦用页岩矿拟设采矿权范围内60°边坡角以上砖瓦用页岩矿估算资源量为：探明资源量44.90万立方米（折合105.06万吨）；推断资源量45.73万立方米（折合107.00万吨），合计90.63万立方米（折合212.06万吨）</w:t>
      </w:r>
      <w:r>
        <w:rPr>
          <w:rFonts w:hint="eastAsia" w:ascii="仿宋_GB2312" w:eastAsia="仿宋_GB2312" w:cs="仿宋_GB2312"/>
          <w:color w:val="auto"/>
          <w:sz w:val="28"/>
          <w:szCs w:val="28"/>
          <w:highlight w:val="none"/>
          <w:lang w:eastAsia="zh-CN"/>
        </w:rPr>
        <w:t>。</w:t>
      </w:r>
    </w:p>
    <w:p w14:paraId="7175E43F">
      <w:pPr>
        <w:pStyle w:val="6"/>
        <w:adjustRightInd w:val="0"/>
        <w:snapToGrid w:val="0"/>
        <w:spacing w:before="0" w:line="360" w:lineRule="auto"/>
        <w:rPr>
          <w:rFonts w:hint="eastAsia" w:ascii="仿宋_GB2312" w:eastAsia="仿宋_GB2312" w:cs="仿宋_GB2312"/>
          <w:b/>
          <w:bCs w:val="0"/>
          <w:color w:val="auto"/>
          <w:sz w:val="28"/>
          <w:szCs w:val="28"/>
          <w:highlight w:val="none"/>
        </w:rPr>
      </w:pPr>
      <w:r>
        <w:rPr>
          <w:rFonts w:hint="eastAsia" w:ascii="仿宋_GB2312" w:eastAsia="仿宋_GB2312" w:cs="仿宋_GB2312"/>
          <w:b/>
          <w:bCs w:val="0"/>
          <w:color w:val="auto"/>
          <w:sz w:val="28"/>
          <w:szCs w:val="28"/>
          <w:highlight w:val="none"/>
        </w:rPr>
        <w:t>1</w:t>
      </w:r>
      <w:r>
        <w:rPr>
          <w:rFonts w:hint="eastAsia" w:ascii="仿宋_GB2312" w:eastAsia="仿宋_GB2312" w:cs="仿宋_GB2312"/>
          <w:b/>
          <w:bCs w:val="0"/>
          <w:color w:val="auto"/>
          <w:sz w:val="28"/>
          <w:szCs w:val="28"/>
          <w:highlight w:val="none"/>
          <w:lang w:val="en-US" w:eastAsia="zh-CN"/>
        </w:rPr>
        <w:t>3</w:t>
      </w:r>
      <w:r>
        <w:rPr>
          <w:rFonts w:hint="eastAsia" w:ascii="仿宋_GB2312" w:eastAsia="仿宋_GB2312" w:cs="仿宋_GB2312"/>
          <w:b/>
          <w:bCs w:val="0"/>
          <w:color w:val="auto"/>
          <w:sz w:val="28"/>
          <w:szCs w:val="28"/>
          <w:highlight w:val="none"/>
        </w:rPr>
        <w:t>.1.2设计利用资源量</w:t>
      </w:r>
    </w:p>
    <w:p w14:paraId="1BC6B295">
      <w:pPr>
        <w:pStyle w:val="17"/>
        <w:adjustRightInd w:val="0"/>
        <w:snapToGrid w:val="0"/>
        <w:spacing w:line="360" w:lineRule="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设计损失66.03万吨（挂帮矿），设计利用资源储量146.54万吨。设计利用率为69%。</w:t>
      </w:r>
    </w:p>
    <w:p w14:paraId="617598F9">
      <w:pPr>
        <w:pStyle w:val="17"/>
        <w:adjustRightInd w:val="0"/>
        <w:snapToGrid w:val="0"/>
        <w:spacing w:line="360" w:lineRule="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设计回采率98%，废石混入率为4%，可采矿量143.61万吨，采出矿量149.60万吨。</w:t>
      </w:r>
    </w:p>
    <w:p w14:paraId="4A205FEE">
      <w:pPr>
        <w:pStyle w:val="4"/>
        <w:adjustRightInd w:val="0"/>
        <w:snapToGrid w:val="0"/>
        <w:spacing w:before="0"/>
        <w:rPr>
          <w:rFonts w:hint="eastAsia" w:ascii="仿宋_GB2312" w:eastAsia="仿宋_GB2312" w:cs="仿宋_GB2312"/>
          <w:b/>
          <w:bCs w:val="0"/>
          <w:color w:val="auto"/>
          <w:sz w:val="28"/>
          <w:szCs w:val="28"/>
          <w:highlight w:val="none"/>
        </w:rPr>
      </w:pPr>
      <w:bookmarkStart w:id="467" w:name="_Toc365200056"/>
      <w:bookmarkStart w:id="468" w:name="_Toc29943"/>
      <w:bookmarkStart w:id="469" w:name="_Toc5128"/>
      <w:bookmarkStart w:id="470" w:name="_Toc99853391"/>
      <w:bookmarkStart w:id="471" w:name="_Toc99885940"/>
      <w:bookmarkStart w:id="472" w:name="_Toc20416"/>
      <w:bookmarkStart w:id="473" w:name="_Toc138060406"/>
      <w:bookmarkStart w:id="474" w:name="_Toc24088"/>
      <w:r>
        <w:rPr>
          <w:rFonts w:hint="eastAsia" w:ascii="仿宋_GB2312" w:eastAsia="仿宋_GB2312" w:cs="仿宋_GB2312"/>
          <w:b/>
          <w:bCs w:val="0"/>
          <w:color w:val="auto"/>
          <w:sz w:val="28"/>
          <w:szCs w:val="28"/>
          <w:highlight w:val="none"/>
        </w:rPr>
        <w:t>1</w:t>
      </w:r>
      <w:r>
        <w:rPr>
          <w:rFonts w:hint="eastAsia" w:ascii="仿宋_GB2312" w:eastAsia="仿宋_GB2312" w:cs="仿宋_GB2312"/>
          <w:b/>
          <w:bCs w:val="0"/>
          <w:color w:val="auto"/>
          <w:sz w:val="28"/>
          <w:szCs w:val="28"/>
          <w:highlight w:val="none"/>
          <w:lang w:val="en-US" w:eastAsia="zh-CN"/>
        </w:rPr>
        <w:t>3</w:t>
      </w:r>
      <w:r>
        <w:rPr>
          <w:rFonts w:hint="eastAsia" w:ascii="仿宋_GB2312" w:eastAsia="仿宋_GB2312" w:cs="仿宋_GB2312"/>
          <w:b/>
          <w:bCs w:val="0"/>
          <w:color w:val="auto"/>
          <w:sz w:val="28"/>
          <w:szCs w:val="28"/>
          <w:highlight w:val="none"/>
        </w:rPr>
        <w:t>.2生产规模及服务年限</w:t>
      </w:r>
      <w:bookmarkEnd w:id="467"/>
      <w:bookmarkEnd w:id="468"/>
      <w:bookmarkEnd w:id="469"/>
      <w:bookmarkEnd w:id="470"/>
      <w:bookmarkEnd w:id="471"/>
      <w:bookmarkEnd w:id="472"/>
      <w:bookmarkEnd w:id="473"/>
      <w:bookmarkEnd w:id="474"/>
    </w:p>
    <w:p w14:paraId="451E2F13">
      <w:pPr>
        <w:pStyle w:val="79"/>
        <w:adjustRightInd w:val="0"/>
        <w:snapToGrid w:val="0"/>
        <w:spacing w:line="360" w:lineRule="auto"/>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根据资源条件、开采技术水平及</w:t>
      </w:r>
      <w:r>
        <w:rPr>
          <w:rFonts w:hint="eastAsia" w:ascii="仿宋_GB2312" w:eastAsia="仿宋_GB2312" w:cs="仿宋_GB2312"/>
          <w:color w:val="auto"/>
          <w:sz w:val="28"/>
          <w:szCs w:val="28"/>
          <w:highlight w:val="none"/>
          <w:lang w:val="en-US" w:eastAsia="zh-CN"/>
        </w:rPr>
        <w:t>地方规划</w:t>
      </w:r>
      <w:r>
        <w:rPr>
          <w:rFonts w:hint="eastAsia" w:ascii="仿宋_GB2312" w:eastAsia="仿宋_GB2312" w:cs="仿宋_GB2312"/>
          <w:color w:val="auto"/>
          <w:sz w:val="28"/>
          <w:szCs w:val="28"/>
          <w:highlight w:val="none"/>
        </w:rPr>
        <w:t>情况，确定矿山生产</w:t>
      </w:r>
      <w:r>
        <w:rPr>
          <w:rFonts w:hint="eastAsia" w:ascii="仿宋_GB2312" w:eastAsia="仿宋_GB2312" w:cs="仿宋_GB2312"/>
          <w:color w:val="auto"/>
          <w:sz w:val="28"/>
          <w:szCs w:val="28"/>
          <w:highlight w:val="none"/>
          <w:lang w:val="en-US" w:eastAsia="zh-CN"/>
        </w:rPr>
        <w:t>规模</w:t>
      </w:r>
      <w:r>
        <w:rPr>
          <w:rFonts w:hint="eastAsia" w:ascii="仿宋_GB2312" w:eastAsia="仿宋_GB2312" w:cs="仿宋_GB2312"/>
          <w:color w:val="auto"/>
          <w:sz w:val="28"/>
          <w:szCs w:val="28"/>
          <w:highlight w:val="none"/>
        </w:rPr>
        <w:t>为</w:t>
      </w:r>
      <w:r>
        <w:rPr>
          <w:rFonts w:hint="eastAsia" w:ascii="仿宋_GB2312" w:eastAsia="仿宋_GB2312" w:cs="仿宋_GB2312"/>
          <w:color w:val="auto"/>
          <w:sz w:val="28"/>
          <w:szCs w:val="28"/>
          <w:highlight w:val="none"/>
          <w:lang w:val="en-US" w:eastAsia="zh-CN"/>
        </w:rPr>
        <w:t>20</w:t>
      </w:r>
      <w:r>
        <w:rPr>
          <w:rFonts w:hint="eastAsia" w:ascii="仿宋_GB2312" w:eastAsia="仿宋_GB2312" w:cs="仿宋_GB2312"/>
          <w:color w:val="auto"/>
          <w:sz w:val="28"/>
          <w:szCs w:val="28"/>
          <w:highlight w:val="none"/>
        </w:rPr>
        <w:t>万吨/年。矿山服务年限为</w:t>
      </w:r>
      <w:r>
        <w:rPr>
          <w:rFonts w:hint="eastAsia" w:ascii="仿宋_GB2312" w:eastAsia="仿宋_GB2312" w:cs="仿宋_GB2312"/>
          <w:color w:val="auto"/>
          <w:sz w:val="28"/>
          <w:szCs w:val="28"/>
          <w:highlight w:val="none"/>
          <w:lang w:val="en-US" w:eastAsia="zh-CN"/>
        </w:rPr>
        <w:t>8</w:t>
      </w:r>
      <w:r>
        <w:rPr>
          <w:rFonts w:hint="eastAsia" w:ascii="仿宋_GB2312" w:eastAsia="仿宋_GB2312" w:cs="仿宋_GB2312"/>
          <w:color w:val="auto"/>
          <w:sz w:val="28"/>
          <w:szCs w:val="28"/>
          <w:highlight w:val="none"/>
        </w:rPr>
        <w:t>年</w:t>
      </w:r>
      <w:r>
        <w:rPr>
          <w:rFonts w:hint="eastAsia" w:ascii="仿宋_GB2312" w:eastAsia="仿宋_GB2312" w:cs="仿宋_GB2312"/>
          <w:color w:val="auto"/>
          <w:sz w:val="28"/>
          <w:szCs w:val="28"/>
          <w:highlight w:val="none"/>
          <w:lang w:eastAsia="zh-CN"/>
        </w:rPr>
        <w:t>（</w:t>
      </w:r>
      <w:r>
        <w:rPr>
          <w:rFonts w:hint="eastAsia" w:ascii="仿宋_GB2312" w:eastAsia="仿宋_GB2312" w:cs="仿宋_GB2312"/>
          <w:color w:val="auto"/>
          <w:sz w:val="28"/>
          <w:szCs w:val="28"/>
          <w:highlight w:val="none"/>
          <w:lang w:val="en-US" w:eastAsia="zh-CN"/>
        </w:rPr>
        <w:t>不含基建期</w:t>
      </w:r>
      <w:r>
        <w:rPr>
          <w:rFonts w:hint="eastAsia" w:ascii="仿宋_GB2312" w:eastAsia="仿宋_GB2312" w:cs="仿宋_GB2312"/>
          <w:color w:val="auto"/>
          <w:sz w:val="28"/>
          <w:szCs w:val="28"/>
          <w:highlight w:val="none"/>
          <w:lang w:eastAsia="zh-CN"/>
        </w:rPr>
        <w:t>）</w:t>
      </w:r>
      <w:r>
        <w:rPr>
          <w:rFonts w:hint="eastAsia" w:ascii="仿宋_GB2312" w:eastAsia="仿宋_GB2312" w:cs="仿宋_GB2312"/>
          <w:color w:val="auto"/>
          <w:sz w:val="28"/>
          <w:szCs w:val="28"/>
          <w:highlight w:val="none"/>
        </w:rPr>
        <w:t>。</w:t>
      </w:r>
    </w:p>
    <w:p w14:paraId="739388C0">
      <w:pPr>
        <w:pStyle w:val="4"/>
        <w:adjustRightInd w:val="0"/>
        <w:snapToGrid w:val="0"/>
        <w:spacing w:before="0"/>
        <w:rPr>
          <w:rFonts w:hint="eastAsia" w:ascii="仿宋_GB2312" w:eastAsia="仿宋_GB2312" w:cs="仿宋_GB2312"/>
          <w:b/>
          <w:bCs w:val="0"/>
          <w:color w:val="auto"/>
          <w:sz w:val="28"/>
          <w:szCs w:val="28"/>
          <w:highlight w:val="none"/>
        </w:rPr>
      </w:pPr>
      <w:bookmarkStart w:id="475" w:name="_Toc6481"/>
      <w:bookmarkStart w:id="476" w:name="_Toc138060407"/>
      <w:bookmarkStart w:id="477" w:name="_Toc9733"/>
      <w:bookmarkStart w:id="478" w:name="_Toc29683"/>
      <w:r>
        <w:rPr>
          <w:rFonts w:hint="eastAsia" w:ascii="仿宋_GB2312" w:eastAsia="仿宋_GB2312" w:cs="仿宋_GB2312"/>
          <w:b/>
          <w:bCs w:val="0"/>
          <w:color w:val="auto"/>
          <w:sz w:val="28"/>
          <w:szCs w:val="28"/>
          <w:highlight w:val="none"/>
        </w:rPr>
        <w:t>1</w:t>
      </w:r>
      <w:r>
        <w:rPr>
          <w:rFonts w:hint="eastAsia" w:ascii="仿宋_GB2312" w:eastAsia="仿宋_GB2312" w:cs="仿宋_GB2312"/>
          <w:b/>
          <w:bCs w:val="0"/>
          <w:color w:val="auto"/>
          <w:sz w:val="28"/>
          <w:szCs w:val="28"/>
          <w:highlight w:val="none"/>
          <w:lang w:val="en-US" w:eastAsia="zh-CN"/>
        </w:rPr>
        <w:t>3</w:t>
      </w:r>
      <w:r>
        <w:rPr>
          <w:rFonts w:hint="eastAsia" w:ascii="仿宋_GB2312" w:eastAsia="仿宋_GB2312" w:cs="仿宋_GB2312"/>
          <w:b/>
          <w:bCs w:val="0"/>
          <w:color w:val="auto"/>
          <w:sz w:val="28"/>
          <w:szCs w:val="28"/>
          <w:highlight w:val="none"/>
        </w:rPr>
        <w:t>.3产品方案</w:t>
      </w:r>
      <w:bookmarkEnd w:id="475"/>
      <w:bookmarkEnd w:id="476"/>
      <w:bookmarkEnd w:id="477"/>
      <w:bookmarkEnd w:id="478"/>
    </w:p>
    <w:p w14:paraId="3E4D058D">
      <w:pPr>
        <w:adjustRightInd w:val="0"/>
        <w:snapToGrid w:val="0"/>
        <w:spacing w:line="360" w:lineRule="auto"/>
        <w:ind w:firstLine="560" w:firstLineChars="200"/>
        <w:rPr>
          <w:rFonts w:hint="eastAsia" w:ascii="仿宋_GB2312" w:eastAsia="仿宋_GB2312" w:cs="仿宋_GB2312"/>
          <w:color w:val="auto"/>
          <w:sz w:val="28"/>
          <w:szCs w:val="28"/>
          <w:highlight w:val="none"/>
        </w:rPr>
      </w:pPr>
      <w:bookmarkStart w:id="479" w:name="_Toc138060408"/>
      <w:bookmarkStart w:id="480" w:name="_Toc18961"/>
      <w:r>
        <w:rPr>
          <w:rFonts w:hint="eastAsia" w:ascii="仿宋_GB2312" w:eastAsia="仿宋_GB2312" w:cs="仿宋_GB2312"/>
          <w:color w:val="auto"/>
          <w:sz w:val="28"/>
          <w:szCs w:val="28"/>
          <w:highlight w:val="none"/>
        </w:rPr>
        <w:t>产品方案为原矿</w:t>
      </w:r>
      <w:r>
        <w:rPr>
          <w:rFonts w:hint="eastAsia" w:ascii="仿宋_GB2312" w:eastAsia="仿宋_GB2312" w:cs="仿宋_GB2312"/>
          <w:color w:val="auto"/>
          <w:sz w:val="28"/>
          <w:szCs w:val="28"/>
          <w:highlight w:val="none"/>
          <w:lang w:eastAsia="zh-CN"/>
        </w:rPr>
        <w:t>，</w:t>
      </w:r>
      <w:r>
        <w:rPr>
          <w:rFonts w:hint="eastAsia" w:ascii="仿宋_GB2312" w:eastAsia="仿宋_GB2312" w:cs="仿宋_GB2312"/>
          <w:color w:val="auto"/>
          <w:sz w:val="28"/>
          <w:szCs w:val="28"/>
          <w:highlight w:val="none"/>
        </w:rPr>
        <w:t>该原矿产品</w:t>
      </w:r>
      <w:r>
        <w:rPr>
          <w:rFonts w:hint="eastAsia" w:ascii="仿宋_GB2312" w:eastAsia="仿宋_GB2312" w:cs="仿宋_GB2312"/>
          <w:color w:val="auto"/>
          <w:sz w:val="28"/>
          <w:szCs w:val="28"/>
          <w:highlight w:val="none"/>
          <w:lang w:val="en-US" w:eastAsia="zh-CN"/>
        </w:rPr>
        <w:t>直接运至砖窑</w:t>
      </w:r>
      <w:r>
        <w:rPr>
          <w:rFonts w:hint="eastAsia" w:ascii="仿宋_GB2312" w:eastAsia="仿宋_GB2312" w:cs="仿宋_GB2312"/>
          <w:color w:val="auto"/>
          <w:sz w:val="28"/>
          <w:szCs w:val="28"/>
          <w:highlight w:val="none"/>
        </w:rPr>
        <w:t>利用</w:t>
      </w:r>
      <w:r>
        <w:rPr>
          <w:rFonts w:hint="eastAsia" w:ascii="仿宋_GB2312" w:eastAsia="仿宋_GB2312" w:cs="仿宋_GB2312"/>
          <w:color w:val="auto"/>
          <w:sz w:val="28"/>
          <w:szCs w:val="28"/>
          <w:highlight w:val="none"/>
          <w:lang w:val="en-US" w:eastAsia="zh-CN"/>
        </w:rPr>
        <w:t>或出售</w:t>
      </w:r>
      <w:r>
        <w:rPr>
          <w:rFonts w:hint="eastAsia" w:ascii="仿宋_GB2312" w:eastAsia="仿宋_GB2312" w:cs="仿宋_GB2312"/>
          <w:color w:val="auto"/>
          <w:sz w:val="28"/>
          <w:szCs w:val="28"/>
          <w:highlight w:val="none"/>
        </w:rPr>
        <w:t>。</w:t>
      </w:r>
    </w:p>
    <w:p w14:paraId="079205D8">
      <w:pPr>
        <w:pStyle w:val="4"/>
        <w:adjustRightInd w:val="0"/>
        <w:snapToGrid w:val="0"/>
        <w:spacing w:before="0"/>
        <w:rPr>
          <w:rFonts w:hint="eastAsia" w:ascii="仿宋_GB2312" w:eastAsia="仿宋_GB2312" w:cs="仿宋_GB2312"/>
          <w:b/>
          <w:bCs w:val="0"/>
          <w:color w:val="auto"/>
          <w:sz w:val="28"/>
          <w:szCs w:val="28"/>
          <w:highlight w:val="none"/>
        </w:rPr>
      </w:pPr>
      <w:bookmarkStart w:id="481" w:name="_Toc4492"/>
      <w:bookmarkStart w:id="482" w:name="_Toc731"/>
      <w:r>
        <w:rPr>
          <w:rFonts w:hint="eastAsia" w:ascii="仿宋_GB2312" w:eastAsia="仿宋_GB2312" w:cs="仿宋_GB2312"/>
          <w:b/>
          <w:bCs w:val="0"/>
          <w:color w:val="auto"/>
          <w:sz w:val="28"/>
          <w:szCs w:val="28"/>
          <w:highlight w:val="none"/>
        </w:rPr>
        <w:t>1</w:t>
      </w:r>
      <w:r>
        <w:rPr>
          <w:rFonts w:hint="eastAsia" w:ascii="仿宋_GB2312" w:eastAsia="仿宋_GB2312" w:cs="仿宋_GB2312"/>
          <w:b/>
          <w:bCs w:val="0"/>
          <w:color w:val="auto"/>
          <w:sz w:val="28"/>
          <w:szCs w:val="28"/>
          <w:highlight w:val="none"/>
          <w:lang w:val="en-US" w:eastAsia="zh-CN"/>
        </w:rPr>
        <w:t>3</w:t>
      </w:r>
      <w:r>
        <w:rPr>
          <w:rFonts w:hint="eastAsia" w:ascii="仿宋_GB2312" w:eastAsia="仿宋_GB2312" w:cs="仿宋_GB2312"/>
          <w:b/>
          <w:bCs w:val="0"/>
          <w:color w:val="auto"/>
          <w:sz w:val="28"/>
          <w:szCs w:val="28"/>
          <w:highlight w:val="none"/>
        </w:rPr>
        <w:t>.4开采方式、开拓运输</w:t>
      </w:r>
      <w:bookmarkEnd w:id="479"/>
      <w:bookmarkEnd w:id="480"/>
      <w:bookmarkEnd w:id="481"/>
      <w:bookmarkEnd w:id="482"/>
    </w:p>
    <w:p w14:paraId="4199DD59">
      <w:pPr>
        <w:pStyle w:val="79"/>
        <w:adjustRightInd w:val="0"/>
        <w:snapToGrid w:val="0"/>
        <w:spacing w:line="360" w:lineRule="auto"/>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开采方式：露天开采。</w:t>
      </w:r>
    </w:p>
    <w:p w14:paraId="69EE0451">
      <w:pPr>
        <w:pStyle w:val="79"/>
        <w:adjustRightInd w:val="0"/>
        <w:snapToGrid w:val="0"/>
        <w:spacing w:line="360" w:lineRule="auto"/>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lang w:val="en-GB"/>
        </w:rPr>
        <w:t>矿床开拓运输方案：</w:t>
      </w:r>
      <w:r>
        <w:rPr>
          <w:rFonts w:hint="eastAsia" w:ascii="仿宋_GB2312" w:eastAsia="仿宋_GB2312" w:cs="仿宋_GB2312"/>
          <w:color w:val="auto"/>
          <w:sz w:val="28"/>
          <w:szCs w:val="28"/>
          <w:highlight w:val="none"/>
        </w:rPr>
        <w:t>设计采用公路开拓</w:t>
      </w:r>
      <w:r>
        <w:rPr>
          <w:rFonts w:hint="eastAsia" w:ascii="仿宋_GB2312" w:eastAsia="仿宋_GB2312" w:cs="仿宋_GB2312"/>
          <w:color w:val="auto"/>
          <w:sz w:val="28"/>
          <w:szCs w:val="28"/>
          <w:highlight w:val="none"/>
          <w:lang w:val="en-US" w:eastAsia="zh-CN"/>
        </w:rPr>
        <w:t>汽车</w:t>
      </w:r>
      <w:r>
        <w:rPr>
          <w:rFonts w:hint="eastAsia" w:ascii="仿宋_GB2312" w:eastAsia="仿宋_GB2312" w:cs="仿宋_GB2312"/>
          <w:color w:val="auto"/>
          <w:sz w:val="28"/>
          <w:szCs w:val="28"/>
          <w:highlight w:val="none"/>
        </w:rPr>
        <w:t>运输方案</w:t>
      </w:r>
    </w:p>
    <w:p w14:paraId="0A293FA9">
      <w:pPr>
        <w:pStyle w:val="4"/>
        <w:adjustRightInd w:val="0"/>
        <w:snapToGrid w:val="0"/>
        <w:spacing w:before="0"/>
        <w:rPr>
          <w:rFonts w:hint="eastAsia" w:ascii="仿宋_GB2312" w:eastAsia="仿宋_GB2312" w:cs="仿宋_GB2312"/>
          <w:b/>
          <w:bCs w:val="0"/>
          <w:color w:val="auto"/>
          <w:sz w:val="28"/>
          <w:szCs w:val="28"/>
          <w:highlight w:val="none"/>
        </w:rPr>
      </w:pPr>
      <w:bookmarkStart w:id="483" w:name="_Toc12241"/>
      <w:bookmarkStart w:id="484" w:name="_Toc138060409"/>
      <w:bookmarkStart w:id="485" w:name="_Toc9579"/>
      <w:bookmarkStart w:id="486" w:name="_Toc30441"/>
      <w:r>
        <w:rPr>
          <w:rFonts w:hint="eastAsia" w:ascii="仿宋_GB2312" w:eastAsia="仿宋_GB2312" w:cs="仿宋_GB2312"/>
          <w:b/>
          <w:bCs w:val="0"/>
          <w:color w:val="auto"/>
          <w:sz w:val="28"/>
          <w:szCs w:val="28"/>
          <w:highlight w:val="none"/>
        </w:rPr>
        <w:t>1</w:t>
      </w:r>
      <w:r>
        <w:rPr>
          <w:rFonts w:hint="eastAsia" w:ascii="仿宋_GB2312" w:eastAsia="仿宋_GB2312" w:cs="仿宋_GB2312"/>
          <w:b/>
          <w:bCs w:val="0"/>
          <w:color w:val="auto"/>
          <w:sz w:val="28"/>
          <w:szCs w:val="28"/>
          <w:highlight w:val="none"/>
          <w:lang w:val="en-US" w:eastAsia="zh-CN"/>
        </w:rPr>
        <w:t>3</w:t>
      </w:r>
      <w:r>
        <w:rPr>
          <w:rFonts w:hint="eastAsia" w:ascii="仿宋_GB2312" w:eastAsia="仿宋_GB2312" w:cs="仿宋_GB2312"/>
          <w:b/>
          <w:bCs w:val="0"/>
          <w:color w:val="auto"/>
          <w:sz w:val="28"/>
          <w:szCs w:val="28"/>
          <w:highlight w:val="none"/>
        </w:rPr>
        <w:t>.5采、选工艺方案</w:t>
      </w:r>
      <w:bookmarkEnd w:id="483"/>
      <w:bookmarkEnd w:id="484"/>
      <w:bookmarkEnd w:id="485"/>
      <w:bookmarkEnd w:id="486"/>
    </w:p>
    <w:p w14:paraId="0EC39E66">
      <w:pPr>
        <w:adjustRightInd w:val="0"/>
        <w:snapToGrid w:val="0"/>
        <w:spacing w:line="360" w:lineRule="auto"/>
        <w:ind w:firstLine="560"/>
        <w:rPr>
          <w:rFonts w:hint="eastAsia" w:ascii="仿宋_GB2312" w:eastAsia="仿宋_GB2312" w:cs="仿宋_GB2312"/>
          <w:color w:val="auto"/>
          <w:sz w:val="28"/>
          <w:szCs w:val="28"/>
          <w:highlight w:val="none"/>
          <w:lang w:val="en-GB" w:eastAsia="zh-CN"/>
        </w:rPr>
      </w:pPr>
      <w:r>
        <w:rPr>
          <w:rFonts w:hint="eastAsia" w:ascii="仿宋_GB2312" w:eastAsia="仿宋_GB2312" w:cs="仿宋_GB2312"/>
          <w:color w:val="auto"/>
          <w:sz w:val="28"/>
          <w:szCs w:val="28"/>
          <w:highlight w:val="none"/>
          <w:lang w:val="en-GB"/>
        </w:rPr>
        <w:t>采矿工艺方案</w:t>
      </w:r>
      <w:r>
        <w:rPr>
          <w:rFonts w:hint="eastAsia" w:ascii="仿宋_GB2312" w:eastAsia="仿宋_GB2312" w:cs="仿宋_GB2312"/>
          <w:color w:val="auto"/>
          <w:sz w:val="28"/>
          <w:szCs w:val="28"/>
          <w:highlight w:val="none"/>
          <w:lang w:val="en-GB" w:eastAsia="zh-CN"/>
        </w:rPr>
        <w:t>：</w:t>
      </w:r>
      <w:r>
        <w:rPr>
          <w:rFonts w:hint="eastAsia" w:ascii="仿宋_GB2312" w:eastAsia="仿宋_GB2312" w:cs="仿宋_GB2312"/>
          <w:color w:val="auto"/>
          <w:sz w:val="28"/>
          <w:szCs w:val="28"/>
          <w:highlight w:val="none"/>
        </w:rPr>
        <w:t>采用自上而下水平分台阶开采法</w:t>
      </w:r>
      <w:r>
        <w:rPr>
          <w:rFonts w:hint="eastAsia" w:ascii="仿宋_GB2312" w:eastAsia="仿宋_GB2312" w:cs="仿宋_GB2312"/>
          <w:color w:val="auto"/>
          <w:sz w:val="28"/>
          <w:szCs w:val="28"/>
          <w:highlight w:val="none"/>
          <w:lang w:eastAsia="zh-CN"/>
        </w:rPr>
        <w:t>。</w:t>
      </w:r>
    </w:p>
    <w:p w14:paraId="43D1A3D1">
      <w:pPr>
        <w:adjustRightInd w:val="0"/>
        <w:snapToGrid w:val="0"/>
        <w:spacing w:line="360" w:lineRule="auto"/>
        <w:ind w:firstLine="560"/>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rPr>
        <w:t>选矿方案</w:t>
      </w:r>
      <w:r>
        <w:rPr>
          <w:rFonts w:hint="eastAsia" w:ascii="仿宋_GB2312" w:eastAsia="仿宋_GB2312" w:cs="仿宋_GB2312"/>
          <w:color w:val="auto"/>
          <w:sz w:val="28"/>
          <w:szCs w:val="28"/>
          <w:highlight w:val="none"/>
          <w:lang w:eastAsia="zh-CN"/>
        </w:rPr>
        <w:t>：</w:t>
      </w:r>
      <w:r>
        <w:rPr>
          <w:rFonts w:hint="eastAsia" w:ascii="仿宋_GB2312" w:eastAsia="仿宋_GB2312" w:cs="仿宋_GB2312"/>
          <w:color w:val="auto"/>
          <w:sz w:val="28"/>
          <w:szCs w:val="28"/>
          <w:highlight w:val="none"/>
          <w:lang w:val="en-US" w:eastAsia="zh-CN"/>
        </w:rPr>
        <w:t>无需选矿。</w:t>
      </w:r>
    </w:p>
    <w:p w14:paraId="50AC3741">
      <w:pPr>
        <w:pStyle w:val="4"/>
        <w:adjustRightInd w:val="0"/>
        <w:snapToGrid w:val="0"/>
        <w:spacing w:before="0"/>
        <w:rPr>
          <w:rFonts w:hint="eastAsia" w:ascii="仿宋_GB2312" w:eastAsia="仿宋_GB2312" w:cs="仿宋_GB2312"/>
          <w:b/>
          <w:bCs w:val="0"/>
          <w:color w:val="auto"/>
          <w:sz w:val="28"/>
          <w:szCs w:val="28"/>
          <w:highlight w:val="none"/>
        </w:rPr>
      </w:pPr>
      <w:bookmarkStart w:id="487" w:name="_Toc15565"/>
      <w:bookmarkStart w:id="488" w:name="_Toc138060410"/>
      <w:bookmarkStart w:id="489" w:name="_Toc19925"/>
      <w:bookmarkStart w:id="490" w:name="_Toc23463"/>
      <w:r>
        <w:rPr>
          <w:rFonts w:hint="eastAsia" w:ascii="仿宋_GB2312" w:eastAsia="仿宋_GB2312" w:cs="仿宋_GB2312"/>
          <w:b/>
          <w:bCs w:val="0"/>
          <w:color w:val="auto"/>
          <w:sz w:val="28"/>
          <w:szCs w:val="28"/>
          <w:highlight w:val="none"/>
        </w:rPr>
        <w:t>1</w:t>
      </w:r>
      <w:r>
        <w:rPr>
          <w:rFonts w:hint="eastAsia" w:ascii="仿宋_GB2312" w:eastAsia="仿宋_GB2312" w:cs="仿宋_GB2312"/>
          <w:b/>
          <w:bCs w:val="0"/>
          <w:color w:val="auto"/>
          <w:sz w:val="28"/>
          <w:szCs w:val="28"/>
          <w:highlight w:val="none"/>
          <w:lang w:val="en-US" w:eastAsia="zh-CN"/>
        </w:rPr>
        <w:t>3</w:t>
      </w:r>
      <w:r>
        <w:rPr>
          <w:rFonts w:hint="eastAsia" w:ascii="仿宋_GB2312" w:eastAsia="仿宋_GB2312" w:cs="仿宋_GB2312"/>
          <w:b/>
          <w:bCs w:val="0"/>
          <w:color w:val="auto"/>
          <w:sz w:val="28"/>
          <w:szCs w:val="28"/>
          <w:highlight w:val="none"/>
        </w:rPr>
        <w:t>.6综合回收、综合利用方案</w:t>
      </w:r>
      <w:bookmarkEnd w:id="487"/>
      <w:bookmarkEnd w:id="488"/>
      <w:bookmarkEnd w:id="489"/>
      <w:bookmarkEnd w:id="490"/>
    </w:p>
    <w:p w14:paraId="0B6431EE">
      <w:pPr>
        <w:pStyle w:val="17"/>
        <w:adjustRightInd w:val="0"/>
        <w:snapToGrid w:val="0"/>
        <w:spacing w:line="360" w:lineRule="auto"/>
        <w:rPr>
          <w:rFonts w:hint="eastAsia" w:ascii="仿宋_GB2312" w:eastAsia="仿宋_GB2312" w:cs="仿宋_GB2312"/>
          <w:color w:val="auto"/>
          <w:sz w:val="28"/>
          <w:szCs w:val="28"/>
          <w:highlight w:val="none"/>
          <w:lang w:eastAsia="zh-CN"/>
        </w:rPr>
      </w:pPr>
      <w:r>
        <w:rPr>
          <w:rFonts w:hint="eastAsia" w:ascii="仿宋_GB2312" w:eastAsia="仿宋_GB2312" w:cs="仿宋_GB2312"/>
          <w:color w:val="auto"/>
          <w:sz w:val="28"/>
          <w:szCs w:val="28"/>
          <w:highlight w:val="none"/>
          <w:lang w:val="en-US" w:eastAsia="zh-CN"/>
        </w:rPr>
        <w:t>矿区</w:t>
      </w:r>
      <w:r>
        <w:rPr>
          <w:rFonts w:hint="eastAsia" w:ascii="仿宋_GB2312" w:eastAsia="仿宋_GB2312" w:cs="仿宋_GB2312"/>
          <w:color w:val="auto"/>
          <w:sz w:val="28"/>
          <w:szCs w:val="28"/>
          <w:highlight w:val="none"/>
        </w:rPr>
        <w:t>未发现其它共（伴）生矿产</w:t>
      </w:r>
      <w:r>
        <w:rPr>
          <w:rFonts w:hint="eastAsia" w:ascii="仿宋_GB2312" w:eastAsia="仿宋_GB2312" w:cs="仿宋_GB2312"/>
          <w:color w:val="auto"/>
          <w:sz w:val="28"/>
          <w:szCs w:val="28"/>
          <w:highlight w:val="none"/>
          <w:lang w:eastAsia="zh-CN"/>
        </w:rPr>
        <w:t>。</w:t>
      </w:r>
    </w:p>
    <w:p w14:paraId="37B740AE">
      <w:pPr>
        <w:pStyle w:val="17"/>
        <w:adjustRightInd w:val="0"/>
        <w:snapToGrid w:val="0"/>
        <w:spacing w:line="360" w:lineRule="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剥离物</w:t>
      </w:r>
      <w:r>
        <w:rPr>
          <w:rFonts w:hint="eastAsia" w:ascii="仿宋_GB2312" w:eastAsia="仿宋_GB2312" w:cs="仿宋_GB2312"/>
          <w:color w:val="auto"/>
          <w:sz w:val="28"/>
          <w:szCs w:val="28"/>
          <w:highlight w:val="none"/>
        </w:rPr>
        <w:t>综合利用</w:t>
      </w:r>
      <w:r>
        <w:rPr>
          <w:rFonts w:hint="eastAsia" w:ascii="仿宋_GB2312" w:eastAsia="仿宋_GB2312" w:cs="仿宋_GB2312"/>
          <w:color w:val="auto"/>
          <w:sz w:val="28"/>
          <w:szCs w:val="28"/>
          <w:highlight w:val="none"/>
          <w:lang w:eastAsia="zh-CN"/>
        </w:rPr>
        <w:t>：</w:t>
      </w:r>
      <w:r>
        <w:rPr>
          <w:rFonts w:hint="eastAsia" w:ascii="仿宋_GB2312" w:eastAsia="仿宋_GB2312" w:cs="仿宋_GB2312"/>
          <w:color w:val="auto"/>
          <w:sz w:val="28"/>
          <w:szCs w:val="28"/>
          <w:highlight w:val="none"/>
        </w:rPr>
        <w:t>矿体无直接顶板，矿体表面多为第四系风化残坡积物，可直接掺拌于矿体中作制砖原料，对矿石质量影响较小。</w:t>
      </w:r>
      <w:r>
        <w:rPr>
          <w:rFonts w:hint="eastAsia" w:ascii="仿宋_GB2312" w:eastAsia="仿宋_GB2312" w:cs="仿宋_GB2312"/>
          <w:color w:val="auto"/>
          <w:sz w:val="28"/>
          <w:szCs w:val="28"/>
          <w:highlight w:val="none"/>
          <w:lang w:val="en-US" w:eastAsia="zh-CN"/>
        </w:rPr>
        <w:t>共剥离表土2.43万立方米，全部</w:t>
      </w:r>
      <w:r>
        <w:rPr>
          <w:rFonts w:hint="eastAsia" w:ascii="仿宋_GB2312" w:eastAsia="仿宋_GB2312" w:cs="仿宋_GB2312"/>
          <w:color w:val="auto"/>
          <w:sz w:val="28"/>
          <w:szCs w:val="28"/>
          <w:highlight w:val="none"/>
        </w:rPr>
        <w:t>掺拌于矿体中</w:t>
      </w:r>
      <w:r>
        <w:rPr>
          <w:rFonts w:hint="eastAsia" w:ascii="仿宋_GB2312" w:eastAsia="仿宋_GB2312" w:cs="仿宋_GB2312"/>
          <w:color w:val="auto"/>
          <w:sz w:val="28"/>
          <w:szCs w:val="28"/>
          <w:highlight w:val="none"/>
          <w:lang w:val="en-US" w:eastAsia="zh-CN"/>
        </w:rPr>
        <w:t>综合利用。</w:t>
      </w:r>
    </w:p>
    <w:p w14:paraId="3E2C9FBE">
      <w:pPr>
        <w:pStyle w:val="4"/>
        <w:adjustRightInd w:val="0"/>
        <w:snapToGrid w:val="0"/>
        <w:spacing w:before="0"/>
        <w:rPr>
          <w:rFonts w:hint="eastAsia" w:ascii="仿宋_GB2312" w:eastAsia="仿宋_GB2312" w:cs="仿宋_GB2312"/>
          <w:b/>
          <w:bCs w:val="0"/>
          <w:color w:val="auto"/>
          <w:sz w:val="28"/>
          <w:szCs w:val="28"/>
          <w:highlight w:val="none"/>
        </w:rPr>
      </w:pPr>
      <w:bookmarkStart w:id="491" w:name="_Toc2209"/>
      <w:bookmarkStart w:id="492" w:name="_Toc138060411"/>
      <w:bookmarkStart w:id="493" w:name="_Toc10444"/>
      <w:bookmarkStart w:id="494" w:name="_Toc27254"/>
      <w:r>
        <w:rPr>
          <w:rFonts w:hint="eastAsia" w:ascii="仿宋_GB2312" w:eastAsia="仿宋_GB2312" w:cs="仿宋_GB2312"/>
          <w:b/>
          <w:bCs w:val="0"/>
          <w:color w:val="auto"/>
          <w:sz w:val="28"/>
          <w:szCs w:val="28"/>
          <w:highlight w:val="none"/>
        </w:rPr>
        <w:t>1</w:t>
      </w:r>
      <w:r>
        <w:rPr>
          <w:rFonts w:hint="eastAsia" w:ascii="仿宋_GB2312" w:eastAsia="仿宋_GB2312" w:cs="仿宋_GB2312"/>
          <w:b/>
          <w:bCs w:val="0"/>
          <w:color w:val="auto"/>
          <w:sz w:val="28"/>
          <w:szCs w:val="28"/>
          <w:highlight w:val="none"/>
          <w:lang w:val="en-US" w:eastAsia="zh-CN"/>
        </w:rPr>
        <w:t>3</w:t>
      </w:r>
      <w:r>
        <w:rPr>
          <w:rFonts w:hint="eastAsia" w:ascii="仿宋_GB2312" w:eastAsia="仿宋_GB2312" w:cs="仿宋_GB2312"/>
          <w:b/>
          <w:bCs w:val="0"/>
          <w:color w:val="auto"/>
          <w:sz w:val="28"/>
          <w:szCs w:val="28"/>
          <w:highlight w:val="none"/>
        </w:rPr>
        <w:t>.7“三率”指标对比</w:t>
      </w:r>
      <w:bookmarkEnd w:id="491"/>
      <w:bookmarkEnd w:id="492"/>
      <w:bookmarkEnd w:id="493"/>
      <w:bookmarkEnd w:id="494"/>
    </w:p>
    <w:p w14:paraId="49E29C39">
      <w:pPr>
        <w:pStyle w:val="17"/>
        <w:adjustRightInd w:val="0"/>
        <w:snapToGrid w:val="0"/>
        <w:spacing w:line="360" w:lineRule="auto"/>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本次设计“三率”指标与《自然资源部关于粉石英等矿产资源合理开发利用“三率”最低指标要求（试行）的公告》（20</w:t>
      </w:r>
      <w:r>
        <w:rPr>
          <w:rFonts w:hint="eastAsia" w:ascii="仿宋_GB2312" w:eastAsia="仿宋_GB2312" w:cs="仿宋_GB2312"/>
          <w:color w:val="auto"/>
          <w:sz w:val="28"/>
          <w:szCs w:val="28"/>
          <w:highlight w:val="none"/>
          <w:lang w:val="en-US" w:eastAsia="zh-CN"/>
        </w:rPr>
        <w:t>21</w:t>
      </w:r>
      <w:r>
        <w:rPr>
          <w:rFonts w:hint="eastAsia" w:ascii="仿宋_GB2312" w:eastAsia="仿宋_GB2312" w:cs="仿宋_GB2312"/>
          <w:color w:val="auto"/>
          <w:sz w:val="28"/>
          <w:szCs w:val="28"/>
          <w:highlight w:val="none"/>
        </w:rPr>
        <w:t>年第</w:t>
      </w:r>
      <w:r>
        <w:rPr>
          <w:rFonts w:hint="eastAsia" w:ascii="仿宋_GB2312" w:eastAsia="仿宋_GB2312" w:cs="仿宋_GB2312"/>
          <w:color w:val="auto"/>
          <w:sz w:val="28"/>
          <w:szCs w:val="28"/>
          <w:highlight w:val="none"/>
          <w:lang w:val="en-US" w:eastAsia="zh-CN"/>
        </w:rPr>
        <w:t>21</w:t>
      </w:r>
      <w:r>
        <w:rPr>
          <w:rFonts w:hint="eastAsia" w:ascii="仿宋_GB2312" w:eastAsia="仿宋_GB2312" w:cs="仿宋_GB2312"/>
          <w:color w:val="auto"/>
          <w:sz w:val="28"/>
          <w:szCs w:val="28"/>
          <w:highlight w:val="none"/>
        </w:rPr>
        <w:t>号）要求的对比见表</w:t>
      </w:r>
      <w:r>
        <w:rPr>
          <w:rFonts w:hint="eastAsia" w:ascii="仿宋_GB2312" w:eastAsia="仿宋_GB2312" w:cs="仿宋_GB2312"/>
          <w:color w:val="auto"/>
          <w:sz w:val="28"/>
          <w:szCs w:val="28"/>
          <w:highlight w:val="none"/>
          <w:lang w:val="en-US" w:eastAsia="zh-CN"/>
        </w:rPr>
        <w:t>13</w:t>
      </w:r>
      <w:r>
        <w:rPr>
          <w:rFonts w:hint="eastAsia" w:ascii="仿宋_GB2312" w:eastAsia="仿宋_GB2312" w:cs="仿宋_GB2312"/>
          <w:color w:val="auto"/>
          <w:sz w:val="28"/>
          <w:szCs w:val="28"/>
          <w:highlight w:val="none"/>
        </w:rPr>
        <w:t>-1。</w:t>
      </w:r>
    </w:p>
    <w:p w14:paraId="331FC5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kern w:val="2"/>
          <w:sz w:val="28"/>
          <w:szCs w:val="28"/>
          <w:highlight w:val="none"/>
          <w:lang w:val="en-US" w:eastAsia="zh-CN" w:bidi="ar-SA"/>
        </w:rPr>
      </w:pPr>
      <w:bookmarkStart w:id="495" w:name="_Toc6704"/>
      <w:bookmarkStart w:id="496" w:name="_Toc243"/>
      <w:r>
        <w:rPr>
          <w:rFonts w:hint="eastAsia" w:ascii="仿宋_GB2312" w:eastAsia="仿宋_GB2312" w:cs="仿宋_GB2312"/>
          <w:color w:val="auto"/>
          <w:kern w:val="2"/>
          <w:sz w:val="28"/>
          <w:szCs w:val="28"/>
          <w:highlight w:val="none"/>
          <w:lang w:val="en-US" w:eastAsia="zh-CN" w:bidi="ar-SA"/>
        </w:rPr>
        <w:t>表13-1  “三率”指标对比情况表</w:t>
      </w:r>
      <w:bookmarkEnd w:id="495"/>
      <w:bookmarkEnd w:id="496"/>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497"/>
        <w:gridCol w:w="1437"/>
        <w:gridCol w:w="647"/>
        <w:gridCol w:w="544"/>
        <w:gridCol w:w="1267"/>
        <w:gridCol w:w="1267"/>
        <w:gridCol w:w="2739"/>
      </w:tblGrid>
      <w:tr w14:paraId="3D74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vMerge w:val="restart"/>
            <w:noWrap/>
            <w:vAlign w:val="center"/>
          </w:tcPr>
          <w:p w14:paraId="539ACB09">
            <w:pPr>
              <w:adjustRightInd w:val="0"/>
              <w:snapToGrid w:val="0"/>
              <w:spacing w:line="240" w:lineRule="auto"/>
              <w:jc w:val="center"/>
              <w:rPr>
                <w:rFonts w:hint="eastAsia" w:ascii="仿宋_GB2312" w:eastAsia="仿宋_GB2312" w:cs="仿宋_GB2312"/>
                <w:color w:val="auto"/>
                <w:w w:val="90"/>
                <w:sz w:val="21"/>
                <w:szCs w:val="21"/>
                <w:highlight w:val="none"/>
                <w:lang w:eastAsia="zh-CN"/>
              </w:rPr>
            </w:pPr>
            <w:r>
              <w:rPr>
                <w:rFonts w:hint="eastAsia" w:ascii="仿宋_GB2312" w:eastAsia="仿宋_GB2312" w:cs="仿宋_GB2312"/>
                <w:color w:val="auto"/>
                <w:w w:val="90"/>
                <w:sz w:val="21"/>
                <w:szCs w:val="21"/>
                <w:highlight w:val="none"/>
                <w:lang w:val="en-US" w:eastAsia="zh-CN"/>
              </w:rPr>
              <w:t>项目</w:t>
            </w:r>
          </w:p>
        </w:tc>
        <w:tc>
          <w:tcPr>
            <w:tcW w:w="2404" w:type="dxa"/>
            <w:gridSpan w:val="2"/>
            <w:vMerge w:val="restart"/>
            <w:noWrap/>
            <w:vAlign w:val="center"/>
          </w:tcPr>
          <w:p w14:paraId="297D9B59">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矿种</w:t>
            </w:r>
          </w:p>
        </w:tc>
        <w:tc>
          <w:tcPr>
            <w:tcW w:w="1455" w:type="dxa"/>
            <w:gridSpan w:val="2"/>
            <w:noWrap/>
            <w:vAlign w:val="center"/>
          </w:tcPr>
          <w:p w14:paraId="5154B011">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开采回采率（%）</w:t>
            </w:r>
          </w:p>
        </w:tc>
        <w:tc>
          <w:tcPr>
            <w:vMerge w:val="restart"/>
            <w:noWrap/>
            <w:vAlign w:val="center"/>
          </w:tcPr>
          <w:p w14:paraId="4467FCAE">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选矿回收率（%）</w:t>
            </w:r>
          </w:p>
        </w:tc>
        <w:tc>
          <w:tcPr>
            <w:vMerge w:val="restart"/>
            <w:noWrap/>
            <w:vAlign w:val="center"/>
          </w:tcPr>
          <w:p w14:paraId="48974739">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综合利用率（%）</w:t>
            </w:r>
          </w:p>
        </w:tc>
        <w:tc>
          <w:tcPr>
            <w:vMerge w:val="restart"/>
            <w:noWrap/>
            <w:vAlign w:val="center"/>
          </w:tcPr>
          <w:p w14:paraId="2DFF1C97">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备注</w:t>
            </w:r>
          </w:p>
        </w:tc>
      </w:tr>
      <w:tr w14:paraId="61FF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vMerge w:val="continue"/>
            <w:tcBorders>
              <w:top w:val="single" w:color="auto" w:sz="4" w:space="0"/>
              <w:left w:val="single" w:color="auto" w:sz="4" w:space="0"/>
              <w:right w:val="single" w:color="auto" w:sz="4" w:space="0"/>
            </w:tcBorders>
            <w:noWrap/>
            <w:vAlign w:val="center"/>
          </w:tcPr>
          <w:p w14:paraId="75E20D49"/>
        </w:tc>
        <w:tc>
          <w:tcPr>
            <w:tcW w:w="2404" w:type="dxa"/>
            <w:gridSpan w:val="2"/>
            <w:vMerge w:val="continue"/>
            <w:tcBorders>
              <w:top w:val="single" w:color="auto" w:sz="4" w:space="0"/>
              <w:left w:val="single" w:color="auto" w:sz="4" w:space="0"/>
              <w:right w:val="single" w:color="auto" w:sz="4" w:space="0"/>
            </w:tcBorders>
            <w:noWrap/>
            <w:vAlign w:val="center"/>
          </w:tcPr>
          <w:p w14:paraId="17E9B2D9"/>
        </w:tc>
        <w:tc>
          <w:tcPr>
            <w:tcW w:w="797" w:type="dxa"/>
            <w:tcBorders>
              <w:top w:val="single" w:color="auto" w:sz="4" w:space="0"/>
              <w:left w:val="single" w:color="auto" w:sz="4" w:space="0"/>
              <w:right w:val="single" w:color="auto" w:sz="4" w:space="0"/>
            </w:tcBorders>
            <w:noWrap/>
            <w:vAlign w:val="center"/>
          </w:tcPr>
          <w:p w14:paraId="3809330A">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露采</w:t>
            </w:r>
          </w:p>
        </w:tc>
        <w:tc>
          <w:tcPr>
            <w:tcBorders>
              <w:top w:val="single" w:color="auto" w:sz="4" w:space="0"/>
              <w:left w:val="single" w:color="auto" w:sz="4" w:space="0"/>
              <w:right w:val="single" w:color="auto" w:sz="4" w:space="0"/>
            </w:tcBorders>
            <w:noWrap/>
            <w:vAlign w:val="center"/>
          </w:tcPr>
          <w:p w14:paraId="6EDEE10F">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地采</w:t>
            </w:r>
          </w:p>
        </w:tc>
        <w:tc>
          <w:tcPr>
            <w:vMerge w:val="continue"/>
            <w:tcBorders>
              <w:top w:val="single" w:color="auto" w:sz="4" w:space="0"/>
              <w:left w:val="single" w:color="auto" w:sz="4" w:space="0"/>
              <w:right w:val="single" w:color="auto" w:sz="4" w:space="0"/>
            </w:tcBorders>
            <w:noWrap/>
            <w:vAlign w:val="center"/>
          </w:tcPr>
          <w:p w14:paraId="34056EE7"/>
        </w:tc>
        <w:tc>
          <w:tcPr>
            <w:vMerge w:val="continue"/>
            <w:tcBorders>
              <w:top w:val="single" w:color="auto" w:sz="4" w:space="0"/>
              <w:left w:val="single" w:color="auto" w:sz="4" w:space="0"/>
              <w:right w:val="single" w:color="auto" w:sz="4" w:space="0"/>
            </w:tcBorders>
            <w:noWrap/>
            <w:vAlign w:val="center"/>
          </w:tcPr>
          <w:p w14:paraId="208ADEEF"/>
        </w:tc>
        <w:tc>
          <w:tcPr>
            <w:vMerge w:val="continue"/>
            <w:tcBorders>
              <w:top w:val="single" w:color="auto" w:sz="4" w:space="0"/>
              <w:left w:val="single" w:color="auto" w:sz="4" w:space="0"/>
              <w:right w:val="single" w:color="auto" w:sz="4" w:space="0"/>
            </w:tcBorders>
            <w:noWrap/>
            <w:vAlign w:val="center"/>
          </w:tcPr>
          <w:p w14:paraId="415F3F42"/>
        </w:tc>
      </w:tr>
      <w:tr w14:paraId="433F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Borders>
              <w:top w:val="single" w:color="auto" w:sz="4" w:space="0"/>
              <w:left w:val="single" w:color="auto" w:sz="4" w:space="0"/>
              <w:right w:val="single" w:color="auto" w:sz="4" w:space="0"/>
            </w:tcBorders>
            <w:noWrap/>
            <w:vAlign w:val="center"/>
          </w:tcPr>
          <w:p w14:paraId="62F628CE">
            <w:pPr>
              <w:adjustRightInd w:val="0"/>
              <w:snapToGrid w:val="0"/>
              <w:spacing w:line="240" w:lineRule="auto"/>
              <w:jc w:val="center"/>
              <w:rPr>
                <w:rFonts w:hint="eastAsia" w:ascii="仿宋_GB2312" w:eastAsia="仿宋_GB2312" w:cs="仿宋_GB2312"/>
                <w:color w:val="auto"/>
                <w:w w:val="90"/>
                <w:sz w:val="21"/>
                <w:szCs w:val="21"/>
                <w:highlight w:val="none"/>
                <w:lang w:val="en-US" w:eastAsia="zh-CN"/>
              </w:rPr>
            </w:pPr>
            <w:r>
              <w:rPr>
                <w:rFonts w:hint="eastAsia" w:ascii="仿宋_GB2312" w:eastAsia="仿宋_GB2312" w:cs="仿宋_GB2312"/>
                <w:color w:val="auto"/>
                <w:w w:val="90"/>
                <w:sz w:val="21"/>
                <w:szCs w:val="21"/>
                <w:highlight w:val="none"/>
                <w:lang w:val="en-US" w:eastAsia="zh-CN"/>
              </w:rPr>
              <w:t>要求指标</w:t>
            </w:r>
          </w:p>
        </w:tc>
        <w:tc>
          <w:tcPr>
            <w:tcBorders>
              <w:top w:val="single" w:color="auto" w:sz="4" w:space="0"/>
              <w:left w:val="single" w:color="auto" w:sz="4" w:space="0"/>
              <w:right w:val="single" w:color="auto" w:sz="4" w:space="0"/>
            </w:tcBorders>
            <w:noWrap/>
            <w:vAlign w:val="center"/>
          </w:tcPr>
          <w:p w14:paraId="21AD8CAD">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页岩</w:t>
            </w:r>
          </w:p>
        </w:tc>
        <w:tc>
          <w:tcPr>
            <w:tcW w:w="1861" w:type="dxa"/>
            <w:tcBorders>
              <w:top w:val="single" w:color="auto" w:sz="4" w:space="0"/>
              <w:left w:val="single" w:color="auto" w:sz="4" w:space="0"/>
              <w:right w:val="single" w:color="auto" w:sz="4" w:space="0"/>
            </w:tcBorders>
            <w:noWrap/>
            <w:vAlign w:val="center"/>
          </w:tcPr>
          <w:p w14:paraId="6F7C8B19">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建筑用、水泥配料用、砖瓦用、陶粒用</w:t>
            </w:r>
          </w:p>
        </w:tc>
        <w:tc>
          <w:tcPr>
            <w:tcW w:w="797" w:type="dxa"/>
            <w:tcBorders>
              <w:top w:val="single" w:color="auto" w:sz="4" w:space="0"/>
              <w:left w:val="single" w:color="auto" w:sz="4" w:space="0"/>
              <w:right w:val="single" w:color="auto" w:sz="4" w:space="0"/>
            </w:tcBorders>
            <w:noWrap/>
            <w:vAlign w:val="center"/>
          </w:tcPr>
          <w:p w14:paraId="1D2DD3AA">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95</w:t>
            </w:r>
          </w:p>
        </w:tc>
        <w:tc>
          <w:tcPr>
            <w:tcBorders>
              <w:top w:val="single" w:color="auto" w:sz="4" w:space="0"/>
              <w:left w:val="single" w:color="auto" w:sz="4" w:space="0"/>
              <w:right w:val="single" w:color="auto" w:sz="4" w:space="0"/>
            </w:tcBorders>
            <w:noWrap/>
            <w:vAlign w:val="center"/>
          </w:tcPr>
          <w:p w14:paraId="5E0503DB">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w:t>
            </w:r>
          </w:p>
        </w:tc>
        <w:tc>
          <w:tcPr>
            <w:tcBorders>
              <w:top w:val="single" w:color="auto" w:sz="4" w:space="0"/>
              <w:left w:val="single" w:color="auto" w:sz="4" w:space="0"/>
              <w:right w:val="single" w:color="auto" w:sz="4" w:space="0"/>
            </w:tcBorders>
            <w:noWrap/>
            <w:vAlign w:val="center"/>
          </w:tcPr>
          <w:p w14:paraId="56795A74">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w:t>
            </w:r>
          </w:p>
        </w:tc>
        <w:tc>
          <w:tcPr>
            <w:tcBorders>
              <w:top w:val="single" w:color="auto" w:sz="4" w:space="0"/>
              <w:left w:val="single" w:color="auto" w:sz="4" w:space="0"/>
              <w:right w:val="single" w:color="auto" w:sz="4" w:space="0"/>
            </w:tcBorders>
            <w:noWrap/>
            <w:vAlign w:val="center"/>
          </w:tcPr>
          <w:p w14:paraId="33D99825">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w:t>
            </w:r>
          </w:p>
        </w:tc>
        <w:tc>
          <w:tcPr>
            <w:tcBorders>
              <w:top w:val="single" w:color="auto" w:sz="4" w:space="0"/>
              <w:left w:val="single" w:color="auto" w:sz="4" w:space="0"/>
              <w:right w:val="single" w:color="auto" w:sz="4" w:space="0"/>
            </w:tcBorders>
            <w:noWrap/>
            <w:vAlign w:val="center"/>
          </w:tcPr>
          <w:p w14:paraId="0EC09559">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无需选矿；</w:t>
            </w:r>
          </w:p>
          <w:p w14:paraId="17776523">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无共伴生矿产，或共伴生矿产暂难利用；</w:t>
            </w:r>
          </w:p>
          <w:p w14:paraId="7484008D">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无地下开采矿山</w:t>
            </w:r>
            <w:r>
              <w:rPr>
                <w:rFonts w:hint="eastAsia" w:ascii="仿宋_GB2312" w:eastAsia="仿宋_GB2312" w:cs="仿宋_GB2312"/>
                <w:color w:val="auto"/>
                <w:w w:val="90"/>
                <w:sz w:val="21"/>
                <w:szCs w:val="21"/>
                <w:highlight w:val="none"/>
                <w:lang w:eastAsia="zh-CN"/>
              </w:rPr>
              <w:t>。</w:t>
            </w:r>
          </w:p>
        </w:tc>
      </w:tr>
      <w:tr w14:paraId="1EC9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Borders>
              <w:top w:val="single" w:color="auto" w:sz="4" w:space="0"/>
              <w:left w:val="single" w:color="auto" w:sz="4" w:space="0"/>
              <w:right w:val="single" w:color="auto" w:sz="4" w:space="0"/>
            </w:tcBorders>
            <w:noWrap/>
            <w:vAlign w:val="center"/>
          </w:tcPr>
          <w:p w14:paraId="48D9E2DA">
            <w:pPr>
              <w:adjustRightInd w:val="0"/>
              <w:snapToGrid w:val="0"/>
              <w:spacing w:line="240" w:lineRule="auto"/>
              <w:jc w:val="center"/>
              <w:rPr>
                <w:rFonts w:hint="eastAsia" w:ascii="仿宋_GB2312" w:eastAsia="仿宋_GB2312" w:cs="仿宋_GB2312"/>
                <w:color w:val="auto"/>
                <w:w w:val="90"/>
                <w:sz w:val="21"/>
                <w:szCs w:val="21"/>
                <w:highlight w:val="none"/>
                <w:lang w:val="en-US" w:eastAsia="zh-CN"/>
              </w:rPr>
            </w:pPr>
            <w:r>
              <w:rPr>
                <w:rFonts w:hint="eastAsia" w:ascii="仿宋_GB2312" w:eastAsia="仿宋_GB2312" w:cs="仿宋_GB2312"/>
                <w:color w:val="auto"/>
                <w:w w:val="90"/>
                <w:sz w:val="21"/>
                <w:szCs w:val="21"/>
                <w:highlight w:val="none"/>
                <w:lang w:val="en-US" w:eastAsia="zh-CN"/>
              </w:rPr>
              <w:t>设计指标</w:t>
            </w:r>
          </w:p>
        </w:tc>
        <w:tc>
          <w:tcPr>
            <w:tcBorders>
              <w:top w:val="single" w:color="auto" w:sz="4" w:space="0"/>
              <w:left w:val="single" w:color="auto" w:sz="4" w:space="0"/>
              <w:right w:val="single" w:color="auto" w:sz="4" w:space="0"/>
            </w:tcBorders>
            <w:noWrap/>
            <w:vAlign w:val="center"/>
          </w:tcPr>
          <w:p w14:paraId="1C75063F">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页岩</w:t>
            </w:r>
          </w:p>
        </w:tc>
        <w:tc>
          <w:tcPr>
            <w:tcW w:w="1861" w:type="dxa"/>
            <w:tcBorders>
              <w:top w:val="single" w:color="auto" w:sz="4" w:space="0"/>
              <w:left w:val="single" w:color="auto" w:sz="4" w:space="0"/>
              <w:right w:val="single" w:color="auto" w:sz="4" w:space="0"/>
            </w:tcBorders>
            <w:noWrap/>
            <w:vAlign w:val="center"/>
          </w:tcPr>
          <w:p w14:paraId="223ACBC3">
            <w:pPr>
              <w:adjustRightInd w:val="0"/>
              <w:snapToGrid w:val="0"/>
              <w:spacing w:line="240" w:lineRule="auto"/>
              <w:jc w:val="center"/>
              <w:rPr>
                <w:rFonts w:hint="eastAsia" w:ascii="仿宋_GB2312" w:eastAsia="仿宋_GB2312" w:cs="仿宋_GB2312"/>
                <w:color w:val="auto"/>
                <w:w w:val="90"/>
                <w:sz w:val="21"/>
                <w:szCs w:val="21"/>
                <w:highlight w:val="none"/>
              </w:rPr>
            </w:pPr>
            <w:r>
              <w:rPr>
                <w:rFonts w:hint="eastAsia" w:ascii="仿宋_GB2312" w:eastAsia="仿宋_GB2312" w:cs="仿宋_GB2312"/>
                <w:color w:val="auto"/>
                <w:w w:val="90"/>
                <w:sz w:val="21"/>
                <w:szCs w:val="21"/>
                <w:highlight w:val="none"/>
              </w:rPr>
              <w:t>砖瓦用</w:t>
            </w:r>
          </w:p>
        </w:tc>
        <w:tc>
          <w:tcPr>
            <w:tcW w:w="797" w:type="dxa"/>
            <w:tcBorders>
              <w:top w:val="single" w:color="auto" w:sz="4" w:space="0"/>
              <w:left w:val="single" w:color="auto" w:sz="4" w:space="0"/>
              <w:right w:val="single" w:color="auto" w:sz="4" w:space="0"/>
            </w:tcBorders>
            <w:noWrap/>
            <w:vAlign w:val="center"/>
          </w:tcPr>
          <w:p w14:paraId="67E3B890">
            <w:pPr>
              <w:adjustRightInd w:val="0"/>
              <w:snapToGrid w:val="0"/>
              <w:spacing w:line="240" w:lineRule="auto"/>
              <w:jc w:val="center"/>
              <w:rPr>
                <w:rFonts w:hint="eastAsia" w:ascii="仿宋_GB2312" w:eastAsia="仿宋_GB2312" w:cs="仿宋_GB2312"/>
                <w:color w:val="auto"/>
                <w:w w:val="90"/>
                <w:sz w:val="21"/>
                <w:szCs w:val="21"/>
                <w:highlight w:val="none"/>
                <w:lang w:val="en-US" w:eastAsia="zh-CN"/>
              </w:rPr>
            </w:pPr>
            <w:r>
              <w:rPr>
                <w:rFonts w:hint="eastAsia" w:ascii="仿宋_GB2312" w:eastAsia="仿宋_GB2312" w:cs="仿宋_GB2312"/>
                <w:color w:val="auto"/>
                <w:w w:val="90"/>
                <w:sz w:val="21"/>
                <w:szCs w:val="21"/>
                <w:highlight w:val="none"/>
                <w:lang w:val="en-US" w:eastAsia="zh-CN"/>
              </w:rPr>
              <w:t>98</w:t>
            </w:r>
          </w:p>
        </w:tc>
        <w:tc>
          <w:tcPr>
            <w:tcBorders>
              <w:top w:val="single" w:color="auto" w:sz="4" w:space="0"/>
              <w:left w:val="single" w:color="auto" w:sz="4" w:space="0"/>
              <w:right w:val="single" w:color="auto" w:sz="4" w:space="0"/>
            </w:tcBorders>
            <w:noWrap/>
            <w:vAlign w:val="center"/>
          </w:tcPr>
          <w:p w14:paraId="0994CF23">
            <w:pPr>
              <w:adjustRightInd w:val="0"/>
              <w:snapToGrid w:val="0"/>
              <w:spacing w:line="240" w:lineRule="auto"/>
              <w:jc w:val="center"/>
              <w:rPr>
                <w:rFonts w:hint="eastAsia" w:ascii="仿宋_GB2312" w:eastAsia="仿宋_GB2312" w:cs="仿宋_GB2312"/>
                <w:color w:val="auto"/>
                <w:w w:val="90"/>
                <w:sz w:val="21"/>
                <w:szCs w:val="21"/>
                <w:highlight w:val="none"/>
                <w:lang w:val="en-US" w:eastAsia="zh-CN"/>
              </w:rPr>
            </w:pPr>
            <w:r>
              <w:rPr>
                <w:rFonts w:hint="eastAsia" w:ascii="仿宋_GB2312" w:eastAsia="仿宋_GB2312" w:cs="仿宋_GB2312"/>
                <w:color w:val="auto"/>
                <w:w w:val="90"/>
                <w:sz w:val="21"/>
                <w:szCs w:val="21"/>
                <w:highlight w:val="none"/>
                <w:lang w:val="en-US" w:eastAsia="zh-CN"/>
              </w:rPr>
              <w:t>-</w:t>
            </w:r>
          </w:p>
        </w:tc>
        <w:tc>
          <w:tcPr>
            <w:tcBorders>
              <w:top w:val="single" w:color="auto" w:sz="4" w:space="0"/>
              <w:left w:val="single" w:color="auto" w:sz="4" w:space="0"/>
              <w:right w:val="single" w:color="auto" w:sz="4" w:space="0"/>
            </w:tcBorders>
            <w:noWrap/>
            <w:vAlign w:val="center"/>
          </w:tcPr>
          <w:p w14:paraId="63C0397C">
            <w:pPr>
              <w:adjustRightInd w:val="0"/>
              <w:snapToGrid w:val="0"/>
              <w:spacing w:line="240" w:lineRule="auto"/>
              <w:jc w:val="center"/>
              <w:rPr>
                <w:rFonts w:hint="eastAsia" w:ascii="仿宋_GB2312" w:eastAsia="仿宋_GB2312" w:cs="仿宋_GB2312"/>
                <w:color w:val="auto"/>
                <w:w w:val="90"/>
                <w:sz w:val="21"/>
                <w:szCs w:val="21"/>
                <w:highlight w:val="none"/>
                <w:lang w:val="en-US" w:eastAsia="zh-CN"/>
              </w:rPr>
            </w:pPr>
            <w:r>
              <w:rPr>
                <w:rFonts w:hint="eastAsia" w:ascii="仿宋_GB2312" w:eastAsia="仿宋_GB2312" w:cs="仿宋_GB2312"/>
                <w:color w:val="auto"/>
                <w:w w:val="90"/>
                <w:sz w:val="21"/>
                <w:szCs w:val="21"/>
                <w:highlight w:val="none"/>
                <w:lang w:val="en-US" w:eastAsia="zh-CN"/>
              </w:rPr>
              <w:t>-</w:t>
            </w:r>
          </w:p>
        </w:tc>
        <w:tc>
          <w:tcPr>
            <w:tcBorders>
              <w:top w:val="single" w:color="auto" w:sz="4" w:space="0"/>
              <w:left w:val="single" w:color="auto" w:sz="4" w:space="0"/>
              <w:right w:val="single" w:color="auto" w:sz="4" w:space="0"/>
            </w:tcBorders>
            <w:noWrap/>
            <w:vAlign w:val="center"/>
          </w:tcPr>
          <w:p w14:paraId="47AEE59F">
            <w:pPr>
              <w:adjustRightInd w:val="0"/>
              <w:snapToGrid w:val="0"/>
              <w:spacing w:line="240" w:lineRule="auto"/>
              <w:jc w:val="center"/>
              <w:rPr>
                <w:rFonts w:hint="eastAsia" w:ascii="仿宋_GB2312" w:eastAsia="仿宋_GB2312" w:cs="仿宋_GB2312"/>
                <w:color w:val="auto"/>
                <w:w w:val="90"/>
                <w:sz w:val="21"/>
                <w:szCs w:val="21"/>
                <w:highlight w:val="none"/>
                <w:lang w:val="en-US" w:eastAsia="zh-CN"/>
              </w:rPr>
            </w:pPr>
            <w:r>
              <w:rPr>
                <w:rFonts w:hint="eastAsia" w:ascii="仿宋_GB2312" w:eastAsia="仿宋_GB2312" w:cs="仿宋_GB2312"/>
                <w:color w:val="auto"/>
                <w:w w:val="90"/>
                <w:sz w:val="21"/>
                <w:szCs w:val="21"/>
                <w:highlight w:val="none"/>
                <w:lang w:val="en-US" w:eastAsia="zh-CN"/>
              </w:rPr>
              <w:t>100%</w:t>
            </w:r>
          </w:p>
        </w:tc>
        <w:tc>
          <w:tcPr>
            <w:tcBorders>
              <w:top w:val="single" w:color="auto" w:sz="4" w:space="0"/>
              <w:left w:val="single" w:color="auto" w:sz="4" w:space="0"/>
              <w:right w:val="single" w:color="auto" w:sz="4" w:space="0"/>
            </w:tcBorders>
            <w:noWrap/>
            <w:vAlign w:val="center"/>
          </w:tcPr>
          <w:p w14:paraId="2DA6D144">
            <w:pPr>
              <w:adjustRightInd w:val="0"/>
              <w:snapToGrid w:val="0"/>
              <w:spacing w:line="240" w:lineRule="auto"/>
              <w:jc w:val="center"/>
              <w:rPr>
                <w:rFonts w:hint="eastAsia" w:ascii="仿宋_GB2312" w:eastAsia="仿宋_GB2312" w:cs="仿宋_GB2312"/>
                <w:color w:val="auto"/>
                <w:w w:val="90"/>
                <w:sz w:val="21"/>
                <w:szCs w:val="21"/>
                <w:highlight w:val="none"/>
                <w:lang w:val="en-US" w:eastAsia="zh-CN"/>
              </w:rPr>
            </w:pPr>
            <w:r>
              <w:rPr>
                <w:rFonts w:hint="eastAsia" w:ascii="仿宋_GB2312" w:eastAsia="仿宋_GB2312" w:cs="仿宋_GB2312"/>
                <w:color w:val="auto"/>
                <w:w w:val="90"/>
                <w:sz w:val="21"/>
                <w:szCs w:val="21"/>
                <w:highlight w:val="none"/>
                <w:lang w:val="en-US" w:eastAsia="zh-CN"/>
              </w:rPr>
              <w:t>剥离表土全部综合利用</w:t>
            </w:r>
          </w:p>
        </w:tc>
      </w:tr>
    </w:tbl>
    <w:p w14:paraId="333C31EF">
      <w:pPr>
        <w:pStyle w:val="4"/>
        <w:adjustRightInd w:val="0"/>
        <w:snapToGrid w:val="0"/>
        <w:spacing w:before="0"/>
        <w:rPr>
          <w:rFonts w:hint="eastAsia" w:ascii="仿宋_GB2312" w:eastAsia="仿宋_GB2312" w:cs="仿宋_GB2312"/>
          <w:b/>
          <w:bCs w:val="0"/>
          <w:color w:val="auto"/>
          <w:sz w:val="28"/>
          <w:szCs w:val="28"/>
          <w:highlight w:val="none"/>
        </w:rPr>
      </w:pPr>
      <w:bookmarkStart w:id="497" w:name="_Toc138060413"/>
      <w:bookmarkStart w:id="498" w:name="_Toc25324"/>
      <w:bookmarkStart w:id="499" w:name="_Toc16493"/>
      <w:bookmarkStart w:id="500" w:name="_Toc148958164"/>
      <w:bookmarkStart w:id="501" w:name="_Toc21591"/>
      <w:r>
        <w:rPr>
          <w:rFonts w:hint="eastAsia" w:ascii="仿宋_GB2312" w:eastAsia="仿宋_GB2312" w:cs="仿宋_GB2312"/>
          <w:b/>
          <w:bCs w:val="0"/>
          <w:color w:val="auto"/>
          <w:sz w:val="28"/>
          <w:szCs w:val="28"/>
          <w:highlight w:val="none"/>
          <w:lang w:val="en-US" w:eastAsia="zh-CN"/>
        </w:rPr>
        <w:t>13.8</w:t>
      </w:r>
      <w:r>
        <w:rPr>
          <w:rFonts w:hint="eastAsia" w:ascii="仿宋_GB2312" w:eastAsia="仿宋_GB2312" w:cs="仿宋_GB2312"/>
          <w:b/>
          <w:bCs w:val="0"/>
          <w:color w:val="auto"/>
          <w:sz w:val="28"/>
          <w:szCs w:val="28"/>
          <w:highlight w:val="none"/>
        </w:rPr>
        <w:t>主要综合技术经济指标</w:t>
      </w:r>
      <w:bookmarkEnd w:id="497"/>
      <w:bookmarkEnd w:id="498"/>
      <w:bookmarkEnd w:id="499"/>
      <w:bookmarkEnd w:id="500"/>
      <w:bookmarkEnd w:id="501"/>
    </w:p>
    <w:p w14:paraId="1E413E48">
      <w:pPr>
        <w:pStyle w:val="79"/>
        <w:adjustRightInd w:val="0"/>
        <w:snapToGrid w:val="0"/>
        <w:spacing w:line="360" w:lineRule="auto"/>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设计项目主要技术经济指标见表1</w:t>
      </w:r>
      <w:r>
        <w:rPr>
          <w:rFonts w:hint="eastAsia" w:ascii="仿宋_GB2312" w:eastAsia="仿宋_GB2312" w:cs="仿宋_GB2312"/>
          <w:color w:val="auto"/>
          <w:sz w:val="28"/>
          <w:szCs w:val="28"/>
          <w:highlight w:val="none"/>
          <w:lang w:val="en-US" w:eastAsia="zh-CN"/>
        </w:rPr>
        <w:t>3</w:t>
      </w:r>
      <w:r>
        <w:rPr>
          <w:rFonts w:hint="eastAsia" w:ascii="仿宋_GB2312" w:eastAsia="仿宋_GB2312" w:cs="仿宋_GB2312"/>
          <w:color w:val="auto"/>
          <w:sz w:val="28"/>
          <w:szCs w:val="28"/>
          <w:highlight w:val="none"/>
        </w:rPr>
        <w:t>-</w:t>
      </w:r>
      <w:r>
        <w:rPr>
          <w:rFonts w:hint="eastAsia" w:ascii="仿宋_GB2312" w:eastAsia="仿宋_GB2312" w:cs="仿宋_GB2312"/>
          <w:color w:val="auto"/>
          <w:sz w:val="28"/>
          <w:szCs w:val="28"/>
          <w:highlight w:val="none"/>
          <w:lang w:val="en-US" w:eastAsia="zh-CN"/>
        </w:rPr>
        <w:t>2</w:t>
      </w:r>
      <w:r>
        <w:rPr>
          <w:rFonts w:hint="eastAsia" w:ascii="仿宋_GB2312" w:eastAsia="仿宋_GB2312" w:cs="仿宋_GB2312"/>
          <w:color w:val="auto"/>
          <w:sz w:val="28"/>
          <w:szCs w:val="28"/>
          <w:highlight w:val="none"/>
        </w:rPr>
        <w:t>。</w:t>
      </w:r>
    </w:p>
    <w:p w14:paraId="7F49A1B8">
      <w:pPr>
        <w:adjustRightInd w:val="0"/>
        <w:snapToGrid w:val="0"/>
        <w:spacing w:line="240" w:lineRule="auto"/>
        <w:jc w:val="center"/>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表1</w:t>
      </w:r>
      <w:r>
        <w:rPr>
          <w:rFonts w:hint="eastAsia" w:ascii="仿宋_GB2312" w:eastAsia="仿宋_GB2312" w:cs="仿宋_GB2312"/>
          <w:color w:val="auto"/>
          <w:sz w:val="28"/>
          <w:szCs w:val="28"/>
          <w:highlight w:val="none"/>
          <w:lang w:val="en-US" w:eastAsia="zh-CN"/>
        </w:rPr>
        <w:t>3</w:t>
      </w:r>
      <w:r>
        <w:rPr>
          <w:rFonts w:hint="eastAsia" w:ascii="仿宋_GB2312" w:eastAsia="仿宋_GB2312" w:cs="仿宋_GB2312"/>
          <w:color w:val="auto"/>
          <w:sz w:val="28"/>
          <w:szCs w:val="28"/>
          <w:highlight w:val="none"/>
        </w:rPr>
        <w:t>-</w:t>
      </w:r>
      <w:r>
        <w:rPr>
          <w:rFonts w:hint="eastAsia" w:ascii="仿宋_GB2312" w:eastAsia="仿宋_GB2312" w:cs="仿宋_GB2312"/>
          <w:color w:val="auto"/>
          <w:sz w:val="28"/>
          <w:szCs w:val="28"/>
          <w:highlight w:val="none"/>
          <w:lang w:val="en-US" w:eastAsia="zh-CN"/>
        </w:rPr>
        <w:t>2</w:t>
      </w:r>
      <w:r>
        <w:rPr>
          <w:rFonts w:hint="eastAsia" w:ascii="仿宋_GB2312" w:eastAsia="仿宋_GB2312" w:cs="仿宋_GB2312"/>
          <w:color w:val="auto"/>
          <w:sz w:val="28"/>
          <w:szCs w:val="28"/>
          <w:highlight w:val="none"/>
        </w:rPr>
        <w:t xml:space="preserve">  设计项目主要技术经济指标 </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051"/>
        <w:gridCol w:w="1209"/>
        <w:gridCol w:w="2694"/>
        <w:gridCol w:w="2290"/>
      </w:tblGrid>
      <w:tr w14:paraId="09E3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704" w:type="dxa"/>
            <w:vAlign w:val="center"/>
          </w:tcPr>
          <w:p w14:paraId="5598716D">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序号</w:t>
            </w:r>
          </w:p>
        </w:tc>
        <w:tc>
          <w:tcPr>
            <w:tcW w:w="2051" w:type="dxa"/>
            <w:vAlign w:val="center"/>
          </w:tcPr>
          <w:p w14:paraId="52AE5F50">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指标名称</w:t>
            </w:r>
          </w:p>
        </w:tc>
        <w:tc>
          <w:tcPr>
            <w:tcW w:w="1209" w:type="dxa"/>
            <w:vAlign w:val="center"/>
          </w:tcPr>
          <w:p w14:paraId="784C298C">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单位</w:t>
            </w:r>
          </w:p>
        </w:tc>
        <w:tc>
          <w:tcPr>
            <w:tcW w:w="2694" w:type="dxa"/>
            <w:vAlign w:val="center"/>
          </w:tcPr>
          <w:p w14:paraId="0F5C33B8">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数量</w:t>
            </w:r>
          </w:p>
        </w:tc>
        <w:tc>
          <w:tcPr>
            <w:tcW w:w="2290" w:type="dxa"/>
            <w:vAlign w:val="center"/>
          </w:tcPr>
          <w:p w14:paraId="467729CD">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备注</w:t>
            </w:r>
          </w:p>
        </w:tc>
      </w:tr>
      <w:tr w14:paraId="0277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vAlign w:val="center"/>
          </w:tcPr>
          <w:p w14:paraId="22BA2CBB">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一</w:t>
            </w:r>
          </w:p>
        </w:tc>
        <w:tc>
          <w:tcPr>
            <w:tcW w:w="2051" w:type="dxa"/>
            <w:tcBorders>
              <w:top w:val="single" w:color="auto" w:sz="4" w:space="0"/>
              <w:left w:val="single" w:color="auto" w:sz="4" w:space="0"/>
              <w:right w:val="single" w:color="auto" w:sz="4" w:space="0"/>
            </w:tcBorders>
            <w:vAlign w:val="center"/>
          </w:tcPr>
          <w:p w14:paraId="199449E1">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地质资源及储量</w:t>
            </w:r>
          </w:p>
        </w:tc>
        <w:tc>
          <w:tcPr>
            <w:tcW w:w="1209" w:type="dxa"/>
            <w:tcBorders>
              <w:top w:val="single" w:color="auto" w:sz="4" w:space="0"/>
              <w:left w:val="single" w:color="auto" w:sz="4" w:space="0"/>
              <w:right w:val="single" w:color="auto" w:sz="4" w:space="0"/>
            </w:tcBorders>
            <w:vAlign w:val="center"/>
          </w:tcPr>
          <w:p w14:paraId="6CE0DB7F">
            <w:pPr>
              <w:adjustRightInd w:val="0"/>
              <w:snapToGrid w:val="0"/>
              <w:spacing w:line="240" w:lineRule="auto"/>
              <w:jc w:val="center"/>
              <w:rPr>
                <w:rFonts w:hint="eastAsia" w:ascii="仿宋_GB2312" w:eastAsia="仿宋_GB2312" w:cs="仿宋_GB2312"/>
                <w:color w:val="auto"/>
                <w:w w:val="90"/>
                <w:sz w:val="22"/>
                <w:szCs w:val="22"/>
                <w:highlight w:val="none"/>
              </w:rPr>
            </w:pPr>
          </w:p>
        </w:tc>
        <w:tc>
          <w:tcPr>
            <w:tcW w:w="2694" w:type="dxa"/>
            <w:tcBorders>
              <w:top w:val="single" w:color="auto" w:sz="4" w:space="0"/>
              <w:left w:val="single" w:color="auto" w:sz="4" w:space="0"/>
              <w:right w:val="single" w:color="auto" w:sz="4" w:space="0"/>
            </w:tcBorders>
            <w:vAlign w:val="center"/>
          </w:tcPr>
          <w:p w14:paraId="4AD2350B">
            <w:pPr>
              <w:adjustRightInd w:val="0"/>
              <w:snapToGrid w:val="0"/>
              <w:spacing w:line="240" w:lineRule="auto"/>
              <w:jc w:val="center"/>
              <w:rPr>
                <w:rFonts w:hint="eastAsia" w:ascii="仿宋_GB2312" w:eastAsia="仿宋_GB2312" w:cs="仿宋_GB2312"/>
                <w:color w:val="auto"/>
                <w:w w:val="90"/>
                <w:sz w:val="22"/>
                <w:szCs w:val="22"/>
                <w:highlight w:val="none"/>
              </w:rPr>
            </w:pPr>
          </w:p>
        </w:tc>
        <w:tc>
          <w:tcPr>
            <w:tcW w:w="2290" w:type="dxa"/>
            <w:tcBorders>
              <w:top w:val="single" w:color="auto" w:sz="4" w:space="0"/>
              <w:left w:val="single" w:color="auto" w:sz="4" w:space="0"/>
              <w:right w:val="single" w:color="auto" w:sz="4" w:space="0"/>
            </w:tcBorders>
            <w:vAlign w:val="center"/>
          </w:tcPr>
          <w:p w14:paraId="31C2A322">
            <w:pPr>
              <w:adjustRightInd w:val="0"/>
              <w:snapToGrid w:val="0"/>
              <w:spacing w:line="240" w:lineRule="auto"/>
              <w:jc w:val="center"/>
              <w:rPr>
                <w:rFonts w:hint="eastAsia" w:ascii="仿宋_GB2312" w:eastAsia="仿宋_GB2312" w:cs="仿宋_GB2312"/>
                <w:color w:val="auto"/>
                <w:w w:val="90"/>
                <w:sz w:val="22"/>
                <w:szCs w:val="22"/>
                <w:highlight w:val="none"/>
              </w:rPr>
            </w:pPr>
          </w:p>
        </w:tc>
      </w:tr>
      <w:tr w14:paraId="39DB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04CE3F16">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1</w:t>
            </w:r>
          </w:p>
        </w:tc>
        <w:tc>
          <w:tcPr>
            <w:tcW w:w="2051" w:type="dxa"/>
            <w:tcBorders>
              <w:top w:val="single" w:color="auto" w:sz="4" w:space="0"/>
              <w:left w:val="single" w:color="auto" w:sz="4" w:space="0"/>
              <w:right w:val="single" w:color="auto" w:sz="4" w:space="0"/>
            </w:tcBorders>
            <w:noWrap/>
            <w:vAlign w:val="center"/>
          </w:tcPr>
          <w:p w14:paraId="21AD7E09">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地质资源/储量</w:t>
            </w:r>
          </w:p>
        </w:tc>
        <w:tc>
          <w:tcPr>
            <w:tcW w:w="1209" w:type="dxa"/>
            <w:tcBorders>
              <w:top w:val="single" w:color="auto" w:sz="4" w:space="0"/>
              <w:left w:val="single" w:color="auto" w:sz="4" w:space="0"/>
              <w:right w:val="single" w:color="auto" w:sz="4" w:space="0"/>
            </w:tcBorders>
            <w:noWrap/>
            <w:vAlign w:val="center"/>
          </w:tcPr>
          <w:p w14:paraId="399F6CE9">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万吨</w:t>
            </w:r>
          </w:p>
        </w:tc>
        <w:tc>
          <w:tcPr>
            <w:tcW w:w="2694" w:type="dxa"/>
            <w:tcBorders>
              <w:top w:val="single" w:color="auto" w:sz="4" w:space="0"/>
              <w:left w:val="single" w:color="auto" w:sz="4" w:space="0"/>
              <w:right w:val="single" w:color="auto" w:sz="4" w:space="0"/>
            </w:tcBorders>
            <w:noWrap/>
            <w:vAlign w:val="center"/>
          </w:tcPr>
          <w:p w14:paraId="565F5B19">
            <w:pPr>
              <w:adjustRightInd w:val="0"/>
              <w:snapToGrid w:val="0"/>
              <w:spacing w:line="240" w:lineRule="auto"/>
              <w:jc w:val="center"/>
              <w:rPr>
                <w:rFonts w:hint="eastAsia" w:ascii="仿宋_GB2312" w:eastAsia="仿宋_GB2312" w:cs="仿宋_GB2312"/>
                <w:color w:val="auto"/>
                <w:w w:val="90"/>
                <w:sz w:val="22"/>
                <w:szCs w:val="22"/>
                <w:highlight w:val="none"/>
                <w:lang w:val="en-US"/>
              </w:rPr>
            </w:pPr>
            <w:r>
              <w:rPr>
                <w:rFonts w:hint="eastAsia" w:ascii="仿宋_GB2312" w:eastAsia="仿宋_GB2312" w:cs="仿宋_GB2312"/>
                <w:color w:val="auto"/>
                <w:w w:val="90"/>
                <w:sz w:val="22"/>
                <w:szCs w:val="22"/>
                <w:highlight w:val="none"/>
                <w:lang w:val="en-US" w:eastAsia="zh-CN"/>
              </w:rPr>
              <w:t>212.06</w:t>
            </w:r>
          </w:p>
        </w:tc>
        <w:tc>
          <w:tcPr>
            <w:tcW w:w="2290" w:type="dxa"/>
            <w:tcBorders>
              <w:top w:val="single" w:color="auto" w:sz="4" w:space="0"/>
              <w:left w:val="single" w:color="auto" w:sz="4" w:space="0"/>
              <w:right w:val="single" w:color="auto" w:sz="4" w:space="0"/>
            </w:tcBorders>
            <w:noWrap/>
            <w:vAlign w:val="center"/>
          </w:tcPr>
          <w:p w14:paraId="3174F76D">
            <w:pPr>
              <w:adjustRightInd w:val="0"/>
              <w:snapToGrid w:val="0"/>
              <w:spacing w:line="240" w:lineRule="auto"/>
              <w:jc w:val="center"/>
              <w:rPr>
                <w:rFonts w:hint="eastAsia" w:ascii="仿宋_GB2312" w:eastAsia="仿宋_GB2312" w:cs="仿宋_GB2312"/>
                <w:color w:val="auto"/>
                <w:w w:val="90"/>
                <w:sz w:val="22"/>
                <w:szCs w:val="22"/>
                <w:highlight w:val="none"/>
              </w:rPr>
            </w:pPr>
          </w:p>
        </w:tc>
      </w:tr>
      <w:tr w14:paraId="7ED6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0D6BBCCA">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2</w:t>
            </w:r>
          </w:p>
        </w:tc>
        <w:tc>
          <w:tcPr>
            <w:tcW w:w="2051" w:type="dxa"/>
            <w:tcBorders>
              <w:top w:val="single" w:color="auto" w:sz="4" w:space="0"/>
              <w:left w:val="single" w:color="auto" w:sz="4" w:space="0"/>
              <w:right w:val="single" w:color="auto" w:sz="4" w:space="0"/>
            </w:tcBorders>
            <w:noWrap/>
            <w:vAlign w:val="center"/>
          </w:tcPr>
          <w:p w14:paraId="748103DF">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设计利用资源/储量</w:t>
            </w:r>
          </w:p>
        </w:tc>
        <w:tc>
          <w:tcPr>
            <w:tcW w:w="1209" w:type="dxa"/>
            <w:tcBorders>
              <w:top w:val="single" w:color="auto" w:sz="4" w:space="0"/>
              <w:left w:val="single" w:color="auto" w:sz="4" w:space="0"/>
              <w:right w:val="single" w:color="auto" w:sz="4" w:space="0"/>
            </w:tcBorders>
            <w:noWrap/>
            <w:vAlign w:val="center"/>
          </w:tcPr>
          <w:p w14:paraId="66EE6708">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万吨</w:t>
            </w:r>
          </w:p>
        </w:tc>
        <w:tc>
          <w:tcPr>
            <w:tcW w:w="2694" w:type="dxa"/>
            <w:tcBorders>
              <w:top w:val="single" w:color="auto" w:sz="4" w:space="0"/>
              <w:left w:val="single" w:color="auto" w:sz="4" w:space="0"/>
              <w:right w:val="single" w:color="auto" w:sz="4" w:space="0"/>
            </w:tcBorders>
            <w:noWrap/>
            <w:vAlign w:val="center"/>
          </w:tcPr>
          <w:p w14:paraId="4B0D276C">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lang w:val="en-US" w:eastAsia="zh-CN"/>
              </w:rPr>
              <w:t>186.82</w:t>
            </w:r>
          </w:p>
        </w:tc>
        <w:tc>
          <w:tcPr>
            <w:tcW w:w="2290" w:type="dxa"/>
            <w:tcBorders>
              <w:top w:val="single" w:color="auto" w:sz="4" w:space="0"/>
              <w:left w:val="single" w:color="auto" w:sz="4" w:space="0"/>
              <w:right w:val="single" w:color="auto" w:sz="4" w:space="0"/>
            </w:tcBorders>
            <w:noWrap/>
            <w:vAlign w:val="center"/>
          </w:tcPr>
          <w:p w14:paraId="32A80B1D">
            <w:pPr>
              <w:adjustRightInd w:val="0"/>
              <w:snapToGrid w:val="0"/>
              <w:spacing w:line="240" w:lineRule="auto"/>
              <w:jc w:val="center"/>
              <w:rPr>
                <w:rFonts w:hint="eastAsia" w:ascii="仿宋_GB2312" w:eastAsia="仿宋_GB2312" w:cs="仿宋_GB2312"/>
                <w:color w:val="auto"/>
                <w:w w:val="90"/>
                <w:sz w:val="22"/>
                <w:szCs w:val="22"/>
                <w:highlight w:val="none"/>
              </w:rPr>
            </w:pPr>
          </w:p>
        </w:tc>
      </w:tr>
      <w:tr w14:paraId="1C31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1D74A5CA">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3</w:t>
            </w:r>
          </w:p>
        </w:tc>
        <w:tc>
          <w:tcPr>
            <w:tcW w:w="2051" w:type="dxa"/>
            <w:tcBorders>
              <w:top w:val="single" w:color="auto" w:sz="4" w:space="0"/>
              <w:left w:val="single" w:color="auto" w:sz="4" w:space="0"/>
              <w:right w:val="single" w:color="auto" w:sz="4" w:space="0"/>
            </w:tcBorders>
            <w:noWrap/>
            <w:vAlign w:val="center"/>
          </w:tcPr>
          <w:p w14:paraId="77BACD82">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设计利用率</w:t>
            </w:r>
          </w:p>
        </w:tc>
        <w:tc>
          <w:tcPr>
            <w:tcW w:w="1209" w:type="dxa"/>
            <w:tcBorders>
              <w:top w:val="single" w:color="auto" w:sz="4" w:space="0"/>
              <w:left w:val="single" w:color="auto" w:sz="4" w:space="0"/>
              <w:right w:val="single" w:color="auto" w:sz="4" w:space="0"/>
            </w:tcBorders>
            <w:noWrap/>
            <w:vAlign w:val="center"/>
          </w:tcPr>
          <w:p w14:paraId="2343C23B">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w:t>
            </w:r>
          </w:p>
        </w:tc>
        <w:tc>
          <w:tcPr>
            <w:tcW w:w="2694" w:type="dxa"/>
            <w:tcBorders>
              <w:top w:val="single" w:color="auto" w:sz="4" w:space="0"/>
              <w:left w:val="single" w:color="auto" w:sz="4" w:space="0"/>
              <w:right w:val="single" w:color="auto" w:sz="4" w:space="0"/>
            </w:tcBorders>
            <w:noWrap/>
            <w:vAlign w:val="center"/>
          </w:tcPr>
          <w:p w14:paraId="78BBAC30">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69</w:t>
            </w:r>
          </w:p>
        </w:tc>
        <w:tc>
          <w:tcPr>
            <w:tcW w:w="2290" w:type="dxa"/>
            <w:tcBorders>
              <w:top w:val="single" w:color="auto" w:sz="4" w:space="0"/>
              <w:left w:val="single" w:color="auto" w:sz="4" w:space="0"/>
              <w:right w:val="single" w:color="auto" w:sz="4" w:space="0"/>
            </w:tcBorders>
            <w:noWrap/>
            <w:vAlign w:val="center"/>
          </w:tcPr>
          <w:p w14:paraId="496FE5CD">
            <w:pPr>
              <w:adjustRightInd w:val="0"/>
              <w:snapToGrid w:val="0"/>
              <w:spacing w:line="240" w:lineRule="auto"/>
              <w:jc w:val="center"/>
              <w:rPr>
                <w:rFonts w:hint="eastAsia" w:ascii="仿宋_GB2312" w:eastAsia="仿宋_GB2312" w:cs="仿宋_GB2312"/>
                <w:color w:val="auto"/>
                <w:w w:val="90"/>
                <w:sz w:val="22"/>
                <w:szCs w:val="22"/>
                <w:highlight w:val="none"/>
              </w:rPr>
            </w:pPr>
          </w:p>
        </w:tc>
      </w:tr>
      <w:tr w14:paraId="7C70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6EC16A9E">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4</w:t>
            </w:r>
          </w:p>
        </w:tc>
        <w:tc>
          <w:tcPr>
            <w:tcW w:w="2051" w:type="dxa"/>
            <w:tcBorders>
              <w:top w:val="single" w:color="auto" w:sz="4" w:space="0"/>
              <w:left w:val="single" w:color="auto" w:sz="4" w:space="0"/>
              <w:right w:val="single" w:color="auto" w:sz="4" w:space="0"/>
            </w:tcBorders>
            <w:noWrap/>
            <w:vAlign w:val="center"/>
          </w:tcPr>
          <w:p w14:paraId="1F11EEDD">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可采资源/储量</w:t>
            </w:r>
          </w:p>
        </w:tc>
        <w:tc>
          <w:tcPr>
            <w:tcW w:w="1209" w:type="dxa"/>
            <w:tcBorders>
              <w:top w:val="single" w:color="auto" w:sz="4" w:space="0"/>
              <w:left w:val="single" w:color="auto" w:sz="4" w:space="0"/>
              <w:right w:val="single" w:color="auto" w:sz="4" w:space="0"/>
            </w:tcBorders>
            <w:noWrap/>
            <w:vAlign w:val="center"/>
          </w:tcPr>
          <w:p w14:paraId="1D5080EA">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万吨</w:t>
            </w:r>
          </w:p>
        </w:tc>
        <w:tc>
          <w:tcPr>
            <w:tcW w:w="2694" w:type="dxa"/>
            <w:tcBorders>
              <w:top w:val="single" w:color="auto" w:sz="4" w:space="0"/>
              <w:left w:val="single" w:color="auto" w:sz="4" w:space="0"/>
              <w:right w:val="single" w:color="auto" w:sz="4" w:space="0"/>
            </w:tcBorders>
            <w:noWrap/>
            <w:vAlign w:val="center"/>
          </w:tcPr>
          <w:p w14:paraId="531F7159">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143.61</w:t>
            </w:r>
          </w:p>
        </w:tc>
        <w:tc>
          <w:tcPr>
            <w:tcW w:w="2290" w:type="dxa"/>
            <w:tcBorders>
              <w:top w:val="single" w:color="auto" w:sz="4" w:space="0"/>
              <w:left w:val="single" w:color="auto" w:sz="4" w:space="0"/>
              <w:right w:val="single" w:color="auto" w:sz="4" w:space="0"/>
            </w:tcBorders>
            <w:noWrap/>
            <w:vAlign w:val="center"/>
          </w:tcPr>
          <w:p w14:paraId="44C87495">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回采率98%</w:t>
            </w:r>
          </w:p>
        </w:tc>
      </w:tr>
      <w:tr w14:paraId="0CCF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79C7D9DF">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6</w:t>
            </w:r>
          </w:p>
        </w:tc>
        <w:tc>
          <w:tcPr>
            <w:tcW w:w="2051" w:type="dxa"/>
            <w:tcBorders>
              <w:top w:val="single" w:color="auto" w:sz="4" w:space="0"/>
              <w:left w:val="single" w:color="auto" w:sz="4" w:space="0"/>
              <w:right w:val="single" w:color="auto" w:sz="4" w:space="0"/>
            </w:tcBorders>
            <w:noWrap/>
            <w:vAlign w:val="center"/>
          </w:tcPr>
          <w:p w14:paraId="3577EB49">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采出矿量</w:t>
            </w:r>
          </w:p>
        </w:tc>
        <w:tc>
          <w:tcPr>
            <w:tcW w:w="1209" w:type="dxa"/>
            <w:tcBorders>
              <w:top w:val="single" w:color="auto" w:sz="4" w:space="0"/>
              <w:left w:val="single" w:color="auto" w:sz="4" w:space="0"/>
              <w:right w:val="single" w:color="auto" w:sz="4" w:space="0"/>
            </w:tcBorders>
            <w:noWrap/>
            <w:vAlign w:val="center"/>
          </w:tcPr>
          <w:p w14:paraId="0E162D13">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rPr>
              <w:t>万吨</w:t>
            </w:r>
          </w:p>
        </w:tc>
        <w:tc>
          <w:tcPr>
            <w:tcW w:w="2694" w:type="dxa"/>
            <w:tcBorders>
              <w:top w:val="single" w:color="auto" w:sz="4" w:space="0"/>
              <w:left w:val="single" w:color="auto" w:sz="4" w:space="0"/>
              <w:right w:val="single" w:color="auto" w:sz="4" w:space="0"/>
            </w:tcBorders>
            <w:noWrap/>
            <w:vAlign w:val="center"/>
          </w:tcPr>
          <w:p w14:paraId="4A0653EF">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149.60</w:t>
            </w:r>
          </w:p>
        </w:tc>
        <w:tc>
          <w:tcPr>
            <w:tcW w:w="2290" w:type="dxa"/>
            <w:tcBorders>
              <w:top w:val="single" w:color="auto" w:sz="4" w:space="0"/>
              <w:left w:val="single" w:color="auto" w:sz="4" w:space="0"/>
              <w:right w:val="single" w:color="auto" w:sz="4" w:space="0"/>
            </w:tcBorders>
            <w:noWrap/>
            <w:vAlign w:val="center"/>
          </w:tcPr>
          <w:p w14:paraId="719BCD68">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废石混入率4%</w:t>
            </w:r>
          </w:p>
        </w:tc>
      </w:tr>
      <w:tr w14:paraId="725A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15790B68">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二</w:t>
            </w:r>
          </w:p>
        </w:tc>
        <w:tc>
          <w:tcPr>
            <w:tcW w:w="2051" w:type="dxa"/>
            <w:tcBorders>
              <w:top w:val="single" w:color="auto" w:sz="4" w:space="0"/>
              <w:left w:val="single" w:color="auto" w:sz="4" w:space="0"/>
              <w:right w:val="single" w:color="auto" w:sz="4" w:space="0"/>
            </w:tcBorders>
            <w:noWrap/>
            <w:vAlign w:val="center"/>
          </w:tcPr>
          <w:p w14:paraId="3EEB693D">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采矿</w:t>
            </w:r>
          </w:p>
        </w:tc>
        <w:tc>
          <w:tcPr>
            <w:tcW w:w="1209" w:type="dxa"/>
            <w:tcBorders>
              <w:top w:val="single" w:color="auto" w:sz="4" w:space="0"/>
              <w:left w:val="single" w:color="auto" w:sz="4" w:space="0"/>
              <w:right w:val="single" w:color="auto" w:sz="4" w:space="0"/>
            </w:tcBorders>
            <w:noWrap/>
            <w:vAlign w:val="center"/>
          </w:tcPr>
          <w:p w14:paraId="27F8A8B3">
            <w:pPr>
              <w:adjustRightInd w:val="0"/>
              <w:snapToGrid w:val="0"/>
              <w:spacing w:line="240" w:lineRule="auto"/>
              <w:jc w:val="center"/>
              <w:rPr>
                <w:rFonts w:hint="eastAsia" w:ascii="仿宋_GB2312" w:eastAsia="仿宋_GB2312" w:cs="仿宋_GB2312"/>
                <w:color w:val="auto"/>
                <w:w w:val="90"/>
                <w:sz w:val="22"/>
                <w:szCs w:val="22"/>
                <w:highlight w:val="none"/>
              </w:rPr>
            </w:pPr>
          </w:p>
        </w:tc>
        <w:tc>
          <w:tcPr>
            <w:tcW w:w="2694" w:type="dxa"/>
            <w:tcBorders>
              <w:top w:val="single" w:color="auto" w:sz="4" w:space="0"/>
              <w:left w:val="single" w:color="auto" w:sz="4" w:space="0"/>
              <w:right w:val="single" w:color="auto" w:sz="4" w:space="0"/>
            </w:tcBorders>
            <w:noWrap/>
            <w:vAlign w:val="center"/>
          </w:tcPr>
          <w:p w14:paraId="186E0248">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p>
        </w:tc>
        <w:tc>
          <w:tcPr>
            <w:tcW w:w="2290" w:type="dxa"/>
            <w:tcBorders>
              <w:top w:val="single" w:color="auto" w:sz="4" w:space="0"/>
              <w:left w:val="single" w:color="auto" w:sz="4" w:space="0"/>
              <w:right w:val="single" w:color="auto" w:sz="4" w:space="0"/>
            </w:tcBorders>
            <w:noWrap/>
            <w:vAlign w:val="center"/>
          </w:tcPr>
          <w:p w14:paraId="12DBB29D">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p>
        </w:tc>
      </w:tr>
      <w:tr w14:paraId="6DB9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3A3D4BDB">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1</w:t>
            </w:r>
          </w:p>
        </w:tc>
        <w:tc>
          <w:tcPr>
            <w:tcW w:w="2051" w:type="dxa"/>
            <w:tcBorders>
              <w:top w:val="single" w:color="auto" w:sz="4" w:space="0"/>
              <w:left w:val="single" w:color="auto" w:sz="4" w:space="0"/>
              <w:right w:val="single" w:color="auto" w:sz="4" w:space="0"/>
            </w:tcBorders>
            <w:noWrap/>
            <w:vAlign w:val="center"/>
          </w:tcPr>
          <w:p w14:paraId="0591220D">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开采方式</w:t>
            </w:r>
          </w:p>
        </w:tc>
        <w:tc>
          <w:tcPr>
            <w:tcW w:w="1209" w:type="dxa"/>
            <w:tcBorders>
              <w:top w:val="single" w:color="auto" w:sz="4" w:space="0"/>
              <w:left w:val="single" w:color="auto" w:sz="4" w:space="0"/>
              <w:right w:val="single" w:color="auto" w:sz="4" w:space="0"/>
            </w:tcBorders>
            <w:noWrap/>
            <w:vAlign w:val="center"/>
          </w:tcPr>
          <w:p w14:paraId="0B40769C">
            <w:pPr>
              <w:adjustRightInd w:val="0"/>
              <w:snapToGrid w:val="0"/>
              <w:spacing w:line="240" w:lineRule="auto"/>
              <w:jc w:val="center"/>
              <w:rPr>
                <w:rFonts w:hint="eastAsia" w:ascii="仿宋_GB2312" w:eastAsia="仿宋_GB2312" w:cs="仿宋_GB2312"/>
                <w:color w:val="auto"/>
                <w:w w:val="90"/>
                <w:sz w:val="22"/>
                <w:szCs w:val="22"/>
                <w:highlight w:val="none"/>
              </w:rPr>
            </w:pPr>
          </w:p>
        </w:tc>
        <w:tc>
          <w:tcPr>
            <w:tcW w:w="2694" w:type="dxa"/>
            <w:tcBorders>
              <w:top w:val="single" w:color="auto" w:sz="4" w:space="0"/>
              <w:left w:val="single" w:color="auto" w:sz="4" w:space="0"/>
              <w:right w:val="single" w:color="auto" w:sz="4" w:space="0"/>
            </w:tcBorders>
            <w:noWrap/>
            <w:vAlign w:val="center"/>
          </w:tcPr>
          <w:p w14:paraId="39898717">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露天开采</w:t>
            </w:r>
          </w:p>
        </w:tc>
        <w:tc>
          <w:tcPr>
            <w:tcW w:w="2290" w:type="dxa"/>
            <w:tcBorders>
              <w:top w:val="single" w:color="auto" w:sz="4" w:space="0"/>
              <w:left w:val="single" w:color="auto" w:sz="4" w:space="0"/>
              <w:right w:val="single" w:color="auto" w:sz="4" w:space="0"/>
            </w:tcBorders>
            <w:noWrap/>
            <w:vAlign w:val="center"/>
          </w:tcPr>
          <w:p w14:paraId="5EA91871">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p>
        </w:tc>
      </w:tr>
      <w:tr w14:paraId="2A96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5ABC98ED">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2</w:t>
            </w:r>
          </w:p>
        </w:tc>
        <w:tc>
          <w:tcPr>
            <w:tcW w:w="2051" w:type="dxa"/>
            <w:tcBorders>
              <w:top w:val="single" w:color="auto" w:sz="4" w:space="0"/>
              <w:left w:val="single" w:color="auto" w:sz="4" w:space="0"/>
              <w:right w:val="single" w:color="auto" w:sz="4" w:space="0"/>
            </w:tcBorders>
            <w:noWrap/>
            <w:vAlign w:val="center"/>
          </w:tcPr>
          <w:p w14:paraId="11920AAD">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开拓方式</w:t>
            </w:r>
          </w:p>
        </w:tc>
        <w:tc>
          <w:tcPr>
            <w:tcW w:w="1209" w:type="dxa"/>
            <w:tcBorders>
              <w:top w:val="single" w:color="auto" w:sz="4" w:space="0"/>
              <w:left w:val="single" w:color="auto" w:sz="4" w:space="0"/>
              <w:right w:val="single" w:color="auto" w:sz="4" w:space="0"/>
            </w:tcBorders>
            <w:noWrap/>
            <w:vAlign w:val="center"/>
          </w:tcPr>
          <w:p w14:paraId="7AFE476E">
            <w:pPr>
              <w:adjustRightInd w:val="0"/>
              <w:snapToGrid w:val="0"/>
              <w:spacing w:line="240" w:lineRule="auto"/>
              <w:jc w:val="center"/>
              <w:rPr>
                <w:rFonts w:hint="eastAsia" w:ascii="仿宋_GB2312" w:eastAsia="仿宋_GB2312" w:cs="仿宋_GB2312"/>
                <w:color w:val="auto"/>
                <w:w w:val="90"/>
                <w:sz w:val="22"/>
                <w:szCs w:val="22"/>
                <w:highlight w:val="none"/>
              </w:rPr>
            </w:pPr>
          </w:p>
        </w:tc>
        <w:tc>
          <w:tcPr>
            <w:tcW w:w="2694" w:type="dxa"/>
            <w:tcBorders>
              <w:top w:val="single" w:color="auto" w:sz="4" w:space="0"/>
              <w:left w:val="single" w:color="auto" w:sz="4" w:space="0"/>
              <w:right w:val="single" w:color="auto" w:sz="4" w:space="0"/>
            </w:tcBorders>
            <w:noWrap/>
            <w:vAlign w:val="center"/>
          </w:tcPr>
          <w:p w14:paraId="2CC5ED02">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公路开拓汽车运输方案</w:t>
            </w:r>
          </w:p>
        </w:tc>
        <w:tc>
          <w:tcPr>
            <w:tcW w:w="2290" w:type="dxa"/>
            <w:tcBorders>
              <w:top w:val="single" w:color="auto" w:sz="4" w:space="0"/>
              <w:left w:val="single" w:color="auto" w:sz="4" w:space="0"/>
              <w:right w:val="single" w:color="auto" w:sz="4" w:space="0"/>
            </w:tcBorders>
            <w:vAlign w:val="center"/>
          </w:tcPr>
          <w:p w14:paraId="4C28B8DE">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p>
        </w:tc>
      </w:tr>
      <w:tr w14:paraId="32B0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04D0106A">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3</w:t>
            </w:r>
          </w:p>
        </w:tc>
        <w:tc>
          <w:tcPr>
            <w:tcW w:w="2051" w:type="dxa"/>
            <w:tcBorders>
              <w:top w:val="single" w:color="auto" w:sz="4" w:space="0"/>
              <w:left w:val="single" w:color="auto" w:sz="4" w:space="0"/>
              <w:right w:val="single" w:color="auto" w:sz="4" w:space="0"/>
            </w:tcBorders>
            <w:noWrap/>
            <w:vAlign w:val="center"/>
          </w:tcPr>
          <w:p w14:paraId="3D5AC038">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采矿方法</w:t>
            </w:r>
          </w:p>
        </w:tc>
        <w:tc>
          <w:tcPr>
            <w:tcW w:w="1209" w:type="dxa"/>
            <w:tcBorders>
              <w:top w:val="single" w:color="auto" w:sz="4" w:space="0"/>
              <w:left w:val="single" w:color="auto" w:sz="4" w:space="0"/>
              <w:right w:val="single" w:color="auto" w:sz="4" w:space="0"/>
            </w:tcBorders>
            <w:noWrap/>
            <w:vAlign w:val="center"/>
          </w:tcPr>
          <w:p w14:paraId="2B1153AD">
            <w:pPr>
              <w:adjustRightInd w:val="0"/>
              <w:snapToGrid w:val="0"/>
              <w:spacing w:line="240" w:lineRule="auto"/>
              <w:jc w:val="center"/>
              <w:rPr>
                <w:rFonts w:hint="eastAsia" w:ascii="仿宋_GB2312" w:eastAsia="仿宋_GB2312" w:cs="仿宋_GB2312"/>
                <w:color w:val="auto"/>
                <w:w w:val="90"/>
                <w:sz w:val="22"/>
                <w:szCs w:val="22"/>
                <w:highlight w:val="none"/>
              </w:rPr>
            </w:pPr>
          </w:p>
        </w:tc>
        <w:tc>
          <w:tcPr>
            <w:tcW w:w="2694" w:type="dxa"/>
            <w:tcBorders>
              <w:top w:val="single" w:color="auto" w:sz="4" w:space="0"/>
              <w:left w:val="single" w:color="auto" w:sz="4" w:space="0"/>
              <w:right w:val="single" w:color="auto" w:sz="4" w:space="0"/>
            </w:tcBorders>
            <w:noWrap/>
            <w:vAlign w:val="center"/>
          </w:tcPr>
          <w:p w14:paraId="0C273215">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rPr>
              <w:t>水平分台阶开采法</w:t>
            </w:r>
          </w:p>
        </w:tc>
        <w:tc>
          <w:tcPr>
            <w:tcW w:w="2290" w:type="dxa"/>
            <w:tcBorders>
              <w:top w:val="single" w:color="auto" w:sz="4" w:space="0"/>
              <w:left w:val="single" w:color="auto" w:sz="4" w:space="0"/>
              <w:right w:val="single" w:color="auto" w:sz="4" w:space="0"/>
            </w:tcBorders>
            <w:vAlign w:val="center"/>
          </w:tcPr>
          <w:p w14:paraId="543ED757">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p>
        </w:tc>
      </w:tr>
      <w:tr w14:paraId="58ED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6B053532">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4</w:t>
            </w:r>
          </w:p>
        </w:tc>
        <w:tc>
          <w:tcPr>
            <w:tcW w:w="2051" w:type="dxa"/>
            <w:tcBorders>
              <w:top w:val="single" w:color="auto" w:sz="4" w:space="0"/>
              <w:left w:val="single" w:color="auto" w:sz="4" w:space="0"/>
              <w:right w:val="single" w:color="auto" w:sz="4" w:space="0"/>
            </w:tcBorders>
            <w:noWrap/>
            <w:vAlign w:val="center"/>
          </w:tcPr>
          <w:p w14:paraId="4CEDC767">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生产能力</w:t>
            </w:r>
          </w:p>
        </w:tc>
        <w:tc>
          <w:tcPr>
            <w:tcW w:w="1209" w:type="dxa"/>
            <w:tcBorders>
              <w:top w:val="single" w:color="auto" w:sz="4" w:space="0"/>
              <w:left w:val="single" w:color="auto" w:sz="4" w:space="0"/>
              <w:right w:val="single" w:color="auto" w:sz="4" w:space="0"/>
            </w:tcBorders>
            <w:noWrap/>
            <w:vAlign w:val="center"/>
          </w:tcPr>
          <w:p w14:paraId="51C54452">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万吨/年</w:t>
            </w:r>
          </w:p>
        </w:tc>
        <w:tc>
          <w:tcPr>
            <w:tcW w:w="2694" w:type="dxa"/>
            <w:tcBorders>
              <w:top w:val="single" w:color="auto" w:sz="4" w:space="0"/>
              <w:left w:val="single" w:color="auto" w:sz="4" w:space="0"/>
              <w:right w:val="single" w:color="auto" w:sz="4" w:space="0"/>
            </w:tcBorders>
            <w:noWrap/>
            <w:vAlign w:val="center"/>
          </w:tcPr>
          <w:p w14:paraId="42325AA7">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20</w:t>
            </w:r>
          </w:p>
        </w:tc>
        <w:tc>
          <w:tcPr>
            <w:tcW w:w="2290" w:type="dxa"/>
            <w:tcBorders>
              <w:top w:val="single" w:color="auto" w:sz="4" w:space="0"/>
              <w:left w:val="single" w:color="auto" w:sz="4" w:space="0"/>
              <w:right w:val="single" w:color="auto" w:sz="4" w:space="0"/>
            </w:tcBorders>
            <w:noWrap/>
            <w:vAlign w:val="center"/>
          </w:tcPr>
          <w:p w14:paraId="73D67BBE">
            <w:pPr>
              <w:adjustRightInd w:val="0"/>
              <w:snapToGrid w:val="0"/>
              <w:spacing w:line="240" w:lineRule="auto"/>
              <w:jc w:val="center"/>
              <w:rPr>
                <w:rFonts w:hint="eastAsia" w:ascii="仿宋_GB2312" w:eastAsia="仿宋_GB2312" w:cs="仿宋_GB2312"/>
                <w:color w:val="auto"/>
                <w:w w:val="90"/>
                <w:sz w:val="22"/>
                <w:szCs w:val="22"/>
                <w:highlight w:val="none"/>
              </w:rPr>
            </w:pPr>
          </w:p>
        </w:tc>
      </w:tr>
      <w:tr w14:paraId="1A1D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3AB4F33A">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5</w:t>
            </w:r>
          </w:p>
        </w:tc>
        <w:tc>
          <w:tcPr>
            <w:tcW w:w="2051" w:type="dxa"/>
            <w:tcBorders>
              <w:top w:val="single" w:color="auto" w:sz="4" w:space="0"/>
              <w:left w:val="single" w:color="auto" w:sz="4" w:space="0"/>
              <w:right w:val="single" w:color="auto" w:sz="4" w:space="0"/>
            </w:tcBorders>
            <w:noWrap/>
            <w:vAlign w:val="center"/>
          </w:tcPr>
          <w:p w14:paraId="7EF4A4C1">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服务年限</w:t>
            </w:r>
          </w:p>
        </w:tc>
        <w:tc>
          <w:tcPr>
            <w:tcW w:w="1209" w:type="dxa"/>
            <w:tcBorders>
              <w:top w:val="single" w:color="auto" w:sz="4" w:space="0"/>
              <w:left w:val="single" w:color="auto" w:sz="4" w:space="0"/>
              <w:right w:val="single" w:color="auto" w:sz="4" w:space="0"/>
            </w:tcBorders>
            <w:noWrap/>
            <w:vAlign w:val="center"/>
          </w:tcPr>
          <w:p w14:paraId="6241C649">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a</w:t>
            </w:r>
          </w:p>
        </w:tc>
        <w:tc>
          <w:tcPr>
            <w:tcW w:w="2694" w:type="dxa"/>
            <w:tcBorders>
              <w:top w:val="single" w:color="auto" w:sz="4" w:space="0"/>
              <w:left w:val="single" w:color="auto" w:sz="4" w:space="0"/>
              <w:right w:val="single" w:color="auto" w:sz="4" w:space="0"/>
            </w:tcBorders>
            <w:noWrap/>
            <w:vAlign w:val="center"/>
          </w:tcPr>
          <w:p w14:paraId="0D1DD100">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8</w:t>
            </w:r>
          </w:p>
        </w:tc>
        <w:tc>
          <w:tcPr>
            <w:tcW w:w="2290" w:type="dxa"/>
            <w:tcBorders>
              <w:top w:val="single" w:color="auto" w:sz="4" w:space="0"/>
              <w:left w:val="single" w:color="auto" w:sz="4" w:space="0"/>
              <w:right w:val="single" w:color="auto" w:sz="4" w:space="0"/>
            </w:tcBorders>
            <w:noWrap/>
            <w:vAlign w:val="center"/>
          </w:tcPr>
          <w:p w14:paraId="0261EAF2">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不含基建期</w:t>
            </w:r>
          </w:p>
        </w:tc>
      </w:tr>
      <w:tr w14:paraId="15D2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5F9BAF9F">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三</w:t>
            </w:r>
          </w:p>
        </w:tc>
        <w:tc>
          <w:tcPr>
            <w:tcW w:w="2051" w:type="dxa"/>
            <w:tcBorders>
              <w:top w:val="single" w:color="auto" w:sz="4" w:space="0"/>
              <w:left w:val="single" w:color="auto" w:sz="4" w:space="0"/>
              <w:right w:val="single" w:color="auto" w:sz="4" w:space="0"/>
            </w:tcBorders>
            <w:noWrap/>
            <w:vAlign w:val="center"/>
          </w:tcPr>
          <w:p w14:paraId="7085C174">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产品方案</w:t>
            </w:r>
          </w:p>
        </w:tc>
        <w:tc>
          <w:tcPr>
            <w:tcW w:w="1209" w:type="dxa"/>
            <w:tcBorders>
              <w:top w:val="single" w:color="auto" w:sz="4" w:space="0"/>
              <w:left w:val="single" w:color="auto" w:sz="4" w:space="0"/>
              <w:right w:val="single" w:color="auto" w:sz="4" w:space="0"/>
            </w:tcBorders>
            <w:noWrap/>
            <w:vAlign w:val="center"/>
          </w:tcPr>
          <w:p w14:paraId="67FAAAC6">
            <w:pPr>
              <w:adjustRightInd w:val="0"/>
              <w:snapToGrid w:val="0"/>
              <w:spacing w:line="240" w:lineRule="auto"/>
              <w:jc w:val="center"/>
              <w:rPr>
                <w:rFonts w:hint="eastAsia" w:ascii="仿宋_GB2312" w:eastAsia="仿宋_GB2312" w:cs="仿宋_GB2312"/>
                <w:color w:val="auto"/>
                <w:w w:val="90"/>
                <w:sz w:val="22"/>
                <w:szCs w:val="22"/>
                <w:highlight w:val="none"/>
              </w:rPr>
            </w:pPr>
          </w:p>
        </w:tc>
        <w:tc>
          <w:tcPr>
            <w:tcW w:w="2694" w:type="dxa"/>
            <w:tcBorders>
              <w:top w:val="single" w:color="auto" w:sz="4" w:space="0"/>
              <w:left w:val="single" w:color="auto" w:sz="4" w:space="0"/>
              <w:right w:val="single" w:color="auto" w:sz="4" w:space="0"/>
            </w:tcBorders>
            <w:noWrap/>
            <w:vAlign w:val="center"/>
          </w:tcPr>
          <w:p w14:paraId="71D508B9">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原矿</w:t>
            </w:r>
          </w:p>
        </w:tc>
        <w:tc>
          <w:tcPr>
            <w:tcW w:w="2290" w:type="dxa"/>
            <w:tcBorders>
              <w:top w:val="single" w:color="auto" w:sz="4" w:space="0"/>
              <w:left w:val="single" w:color="auto" w:sz="4" w:space="0"/>
              <w:right w:val="single" w:color="auto" w:sz="4" w:space="0"/>
            </w:tcBorders>
            <w:noWrap/>
            <w:vAlign w:val="center"/>
          </w:tcPr>
          <w:p w14:paraId="6AFC590F">
            <w:pPr>
              <w:adjustRightInd w:val="0"/>
              <w:snapToGrid w:val="0"/>
              <w:spacing w:line="240" w:lineRule="auto"/>
              <w:jc w:val="center"/>
              <w:rPr>
                <w:rFonts w:hint="eastAsia" w:ascii="仿宋_GB2312" w:eastAsia="仿宋_GB2312" w:cs="仿宋_GB2312"/>
                <w:color w:val="auto"/>
                <w:w w:val="90"/>
                <w:sz w:val="22"/>
                <w:szCs w:val="22"/>
                <w:highlight w:val="none"/>
              </w:rPr>
            </w:pPr>
          </w:p>
        </w:tc>
      </w:tr>
      <w:tr w14:paraId="20F3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6230B5A0">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四</w:t>
            </w:r>
          </w:p>
        </w:tc>
        <w:tc>
          <w:tcPr>
            <w:tcW w:w="2051" w:type="dxa"/>
            <w:tcBorders>
              <w:top w:val="single" w:color="auto" w:sz="4" w:space="0"/>
              <w:left w:val="single" w:color="auto" w:sz="4" w:space="0"/>
              <w:right w:val="single" w:color="auto" w:sz="4" w:space="0"/>
            </w:tcBorders>
            <w:noWrap/>
            <w:vAlign w:val="center"/>
          </w:tcPr>
          <w:p w14:paraId="69506C5A">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选矿</w:t>
            </w:r>
          </w:p>
        </w:tc>
        <w:tc>
          <w:tcPr>
            <w:tcW w:w="1209" w:type="dxa"/>
            <w:tcBorders>
              <w:top w:val="single" w:color="auto" w:sz="4" w:space="0"/>
              <w:left w:val="single" w:color="auto" w:sz="4" w:space="0"/>
              <w:right w:val="single" w:color="auto" w:sz="4" w:space="0"/>
            </w:tcBorders>
            <w:noWrap/>
            <w:vAlign w:val="center"/>
          </w:tcPr>
          <w:p w14:paraId="4398B876">
            <w:pPr>
              <w:adjustRightInd w:val="0"/>
              <w:snapToGrid w:val="0"/>
              <w:spacing w:line="240" w:lineRule="auto"/>
              <w:jc w:val="center"/>
              <w:rPr>
                <w:rFonts w:hint="eastAsia" w:ascii="仿宋_GB2312" w:eastAsia="仿宋_GB2312" w:cs="仿宋_GB2312"/>
                <w:color w:val="auto"/>
                <w:w w:val="90"/>
                <w:sz w:val="22"/>
                <w:szCs w:val="22"/>
                <w:highlight w:val="none"/>
              </w:rPr>
            </w:pPr>
          </w:p>
        </w:tc>
        <w:tc>
          <w:tcPr>
            <w:tcW w:w="2694" w:type="dxa"/>
            <w:tcBorders>
              <w:top w:val="single" w:color="auto" w:sz="4" w:space="0"/>
              <w:left w:val="single" w:color="auto" w:sz="4" w:space="0"/>
              <w:right w:val="single" w:color="auto" w:sz="4" w:space="0"/>
            </w:tcBorders>
            <w:noWrap/>
            <w:vAlign w:val="center"/>
          </w:tcPr>
          <w:p w14:paraId="109B359E">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w:t>
            </w:r>
          </w:p>
        </w:tc>
        <w:tc>
          <w:tcPr>
            <w:tcW w:w="2290" w:type="dxa"/>
            <w:tcBorders>
              <w:top w:val="single" w:color="auto" w:sz="4" w:space="0"/>
              <w:left w:val="single" w:color="auto" w:sz="4" w:space="0"/>
              <w:right w:val="single" w:color="auto" w:sz="4" w:space="0"/>
            </w:tcBorders>
            <w:noWrap/>
            <w:vAlign w:val="center"/>
          </w:tcPr>
          <w:p w14:paraId="60D78836">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无</w:t>
            </w:r>
          </w:p>
        </w:tc>
      </w:tr>
      <w:tr w14:paraId="6140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2F761978">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 xml:space="preserve"> </w:t>
            </w:r>
          </w:p>
        </w:tc>
        <w:tc>
          <w:tcPr>
            <w:tcW w:w="2051" w:type="dxa"/>
            <w:tcBorders>
              <w:top w:val="single" w:color="auto" w:sz="4" w:space="0"/>
              <w:left w:val="single" w:color="auto" w:sz="4" w:space="0"/>
              <w:right w:val="single" w:color="auto" w:sz="4" w:space="0"/>
            </w:tcBorders>
            <w:noWrap/>
            <w:vAlign w:val="center"/>
          </w:tcPr>
          <w:p w14:paraId="01D941CD">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主要经济指标</w:t>
            </w:r>
          </w:p>
        </w:tc>
        <w:tc>
          <w:tcPr>
            <w:tcW w:w="1209" w:type="dxa"/>
            <w:tcBorders>
              <w:top w:val="single" w:color="auto" w:sz="4" w:space="0"/>
              <w:left w:val="single" w:color="auto" w:sz="4" w:space="0"/>
              <w:right w:val="single" w:color="auto" w:sz="4" w:space="0"/>
            </w:tcBorders>
            <w:noWrap/>
            <w:vAlign w:val="center"/>
          </w:tcPr>
          <w:p w14:paraId="168AA88F">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　</w:t>
            </w:r>
          </w:p>
        </w:tc>
        <w:tc>
          <w:tcPr>
            <w:tcW w:w="2694" w:type="dxa"/>
            <w:tcBorders>
              <w:top w:val="single" w:color="auto" w:sz="4" w:space="0"/>
              <w:left w:val="single" w:color="auto" w:sz="4" w:space="0"/>
              <w:right w:val="single" w:color="auto" w:sz="4" w:space="0"/>
            </w:tcBorders>
            <w:noWrap/>
            <w:vAlign w:val="center"/>
          </w:tcPr>
          <w:p w14:paraId="0BBE40D2">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rPr>
              <w:t>　</w:t>
            </w:r>
          </w:p>
        </w:tc>
        <w:tc>
          <w:tcPr>
            <w:tcW w:w="2290" w:type="dxa"/>
            <w:tcBorders>
              <w:top w:val="single" w:color="auto" w:sz="4" w:space="0"/>
              <w:left w:val="single" w:color="auto" w:sz="4" w:space="0"/>
              <w:right w:val="single" w:color="auto" w:sz="4" w:space="0"/>
            </w:tcBorders>
            <w:noWrap/>
            <w:vAlign w:val="center"/>
          </w:tcPr>
          <w:p w14:paraId="0A4B3C43">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rPr>
              <w:t>达产年平均</w:t>
            </w:r>
          </w:p>
        </w:tc>
      </w:tr>
      <w:tr w14:paraId="1868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769F3473">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1</w:t>
            </w:r>
          </w:p>
        </w:tc>
        <w:tc>
          <w:tcPr>
            <w:tcW w:w="2051" w:type="dxa"/>
            <w:tcBorders>
              <w:top w:val="single" w:color="auto" w:sz="4" w:space="0"/>
              <w:left w:val="single" w:color="auto" w:sz="4" w:space="0"/>
              <w:right w:val="single" w:color="auto" w:sz="4" w:space="0"/>
            </w:tcBorders>
            <w:noWrap/>
            <w:vAlign w:val="center"/>
          </w:tcPr>
          <w:p w14:paraId="34BA2993">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项目总资金</w:t>
            </w:r>
          </w:p>
        </w:tc>
        <w:tc>
          <w:tcPr>
            <w:tcW w:w="1209" w:type="dxa"/>
            <w:tcBorders>
              <w:top w:val="single" w:color="auto" w:sz="4" w:space="0"/>
              <w:left w:val="single" w:color="auto" w:sz="4" w:space="0"/>
              <w:right w:val="single" w:color="auto" w:sz="4" w:space="0"/>
            </w:tcBorders>
            <w:noWrap/>
            <w:vAlign w:val="center"/>
          </w:tcPr>
          <w:p w14:paraId="336FA110">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万元</w:t>
            </w:r>
          </w:p>
        </w:tc>
        <w:tc>
          <w:tcPr>
            <w:tcW w:w="2694" w:type="dxa"/>
            <w:tcBorders>
              <w:top w:val="single" w:color="auto" w:sz="4" w:space="0"/>
              <w:left w:val="single" w:color="auto" w:sz="4" w:space="0"/>
              <w:right w:val="single" w:color="auto" w:sz="4" w:space="0"/>
            </w:tcBorders>
            <w:noWrap/>
            <w:vAlign w:val="center"/>
          </w:tcPr>
          <w:p w14:paraId="4537CE95">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632</w:t>
            </w:r>
          </w:p>
        </w:tc>
        <w:tc>
          <w:tcPr>
            <w:tcW w:w="2290" w:type="dxa"/>
            <w:tcBorders>
              <w:top w:val="single" w:color="auto" w:sz="4" w:space="0"/>
              <w:left w:val="single" w:color="auto" w:sz="4" w:space="0"/>
              <w:right w:val="single" w:color="auto" w:sz="4" w:space="0"/>
            </w:tcBorders>
            <w:noWrap/>
            <w:vAlign w:val="center"/>
          </w:tcPr>
          <w:p w14:paraId="74215E54">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p>
        </w:tc>
      </w:tr>
      <w:tr w14:paraId="17C0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2D179519">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1.1</w:t>
            </w:r>
          </w:p>
        </w:tc>
        <w:tc>
          <w:tcPr>
            <w:tcW w:w="2051" w:type="dxa"/>
            <w:tcBorders>
              <w:top w:val="single" w:color="auto" w:sz="4" w:space="0"/>
              <w:left w:val="single" w:color="auto" w:sz="4" w:space="0"/>
              <w:right w:val="single" w:color="auto" w:sz="4" w:space="0"/>
            </w:tcBorders>
            <w:noWrap/>
            <w:vAlign w:val="center"/>
          </w:tcPr>
          <w:p w14:paraId="36FDB300">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新增建设投资</w:t>
            </w:r>
          </w:p>
        </w:tc>
        <w:tc>
          <w:tcPr>
            <w:tcW w:w="1209" w:type="dxa"/>
            <w:tcBorders>
              <w:top w:val="single" w:color="auto" w:sz="4" w:space="0"/>
              <w:left w:val="single" w:color="auto" w:sz="4" w:space="0"/>
              <w:right w:val="single" w:color="auto" w:sz="4" w:space="0"/>
            </w:tcBorders>
            <w:noWrap/>
            <w:vAlign w:val="center"/>
          </w:tcPr>
          <w:p w14:paraId="0DDCBED5">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万元</w:t>
            </w:r>
          </w:p>
        </w:tc>
        <w:tc>
          <w:tcPr>
            <w:tcW w:w="2694" w:type="dxa"/>
            <w:tcBorders>
              <w:top w:val="single" w:color="auto" w:sz="4" w:space="0"/>
              <w:left w:val="single" w:color="auto" w:sz="4" w:space="0"/>
              <w:right w:val="single" w:color="auto" w:sz="4" w:space="0"/>
            </w:tcBorders>
            <w:noWrap/>
            <w:vAlign w:val="center"/>
          </w:tcPr>
          <w:p w14:paraId="1B7DA3BF">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570</w:t>
            </w:r>
          </w:p>
        </w:tc>
        <w:tc>
          <w:tcPr>
            <w:tcW w:w="2290" w:type="dxa"/>
            <w:tcBorders>
              <w:top w:val="single" w:color="auto" w:sz="4" w:space="0"/>
              <w:left w:val="single" w:color="auto" w:sz="4" w:space="0"/>
              <w:right w:val="single" w:color="auto" w:sz="4" w:space="0"/>
            </w:tcBorders>
            <w:noWrap/>
            <w:vAlign w:val="center"/>
          </w:tcPr>
          <w:p w14:paraId="3277BD70">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p>
        </w:tc>
      </w:tr>
      <w:tr w14:paraId="0A0F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7AB5CB6B">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1.</w:t>
            </w:r>
            <w:r>
              <w:rPr>
                <w:rFonts w:hint="eastAsia" w:ascii="仿宋_GB2312" w:eastAsia="仿宋_GB2312" w:cs="仿宋_GB2312"/>
                <w:color w:val="auto"/>
                <w:w w:val="90"/>
                <w:sz w:val="22"/>
                <w:szCs w:val="22"/>
                <w:highlight w:val="none"/>
                <w:lang w:val="en-US" w:eastAsia="zh-CN"/>
              </w:rPr>
              <w:t>2</w:t>
            </w:r>
          </w:p>
        </w:tc>
        <w:tc>
          <w:tcPr>
            <w:tcW w:w="2051" w:type="dxa"/>
            <w:tcBorders>
              <w:top w:val="single" w:color="auto" w:sz="4" w:space="0"/>
              <w:left w:val="single" w:color="auto" w:sz="4" w:space="0"/>
              <w:right w:val="single" w:color="auto" w:sz="4" w:space="0"/>
            </w:tcBorders>
            <w:noWrap/>
            <w:vAlign w:val="center"/>
          </w:tcPr>
          <w:p w14:paraId="220F13D7">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流动资金</w:t>
            </w:r>
          </w:p>
        </w:tc>
        <w:tc>
          <w:tcPr>
            <w:tcW w:w="1209" w:type="dxa"/>
            <w:tcBorders>
              <w:top w:val="single" w:color="auto" w:sz="4" w:space="0"/>
              <w:left w:val="single" w:color="auto" w:sz="4" w:space="0"/>
              <w:right w:val="single" w:color="auto" w:sz="4" w:space="0"/>
            </w:tcBorders>
            <w:noWrap/>
            <w:vAlign w:val="center"/>
          </w:tcPr>
          <w:p w14:paraId="5CD3F7BB">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万元</w:t>
            </w:r>
          </w:p>
        </w:tc>
        <w:tc>
          <w:tcPr>
            <w:tcW w:w="2694" w:type="dxa"/>
            <w:tcBorders>
              <w:top w:val="single" w:color="auto" w:sz="4" w:space="0"/>
              <w:left w:val="single" w:color="auto" w:sz="4" w:space="0"/>
              <w:right w:val="single" w:color="auto" w:sz="4" w:space="0"/>
            </w:tcBorders>
            <w:noWrap/>
            <w:vAlign w:val="center"/>
          </w:tcPr>
          <w:p w14:paraId="1BD5C170">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61</w:t>
            </w:r>
          </w:p>
        </w:tc>
        <w:tc>
          <w:tcPr>
            <w:tcW w:w="2290" w:type="dxa"/>
            <w:tcBorders>
              <w:top w:val="single" w:color="auto" w:sz="4" w:space="0"/>
              <w:left w:val="single" w:color="auto" w:sz="4" w:space="0"/>
              <w:right w:val="single" w:color="auto" w:sz="4" w:space="0"/>
            </w:tcBorders>
            <w:noWrap/>
            <w:vAlign w:val="center"/>
          </w:tcPr>
          <w:p w14:paraId="481ED003">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rPr>
              <w:t>　</w:t>
            </w:r>
          </w:p>
        </w:tc>
      </w:tr>
      <w:tr w14:paraId="7271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619602B6">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2</w:t>
            </w:r>
          </w:p>
        </w:tc>
        <w:tc>
          <w:tcPr>
            <w:tcW w:w="2051" w:type="dxa"/>
            <w:tcBorders>
              <w:top w:val="single" w:color="auto" w:sz="4" w:space="0"/>
              <w:left w:val="single" w:color="auto" w:sz="4" w:space="0"/>
              <w:right w:val="single" w:color="auto" w:sz="4" w:space="0"/>
            </w:tcBorders>
            <w:noWrap/>
            <w:vAlign w:val="center"/>
          </w:tcPr>
          <w:p w14:paraId="0B60D3F2">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销售收入</w:t>
            </w:r>
          </w:p>
        </w:tc>
        <w:tc>
          <w:tcPr>
            <w:tcW w:w="1209" w:type="dxa"/>
            <w:tcBorders>
              <w:top w:val="single" w:color="auto" w:sz="4" w:space="0"/>
              <w:left w:val="single" w:color="auto" w:sz="4" w:space="0"/>
              <w:right w:val="single" w:color="auto" w:sz="4" w:space="0"/>
            </w:tcBorders>
            <w:noWrap/>
            <w:vAlign w:val="center"/>
          </w:tcPr>
          <w:p w14:paraId="5EC56245">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万元/年</w:t>
            </w:r>
          </w:p>
        </w:tc>
        <w:tc>
          <w:tcPr>
            <w:tcW w:w="2694" w:type="dxa"/>
            <w:tcBorders>
              <w:top w:val="single" w:color="auto" w:sz="4" w:space="0"/>
              <w:left w:val="single" w:color="auto" w:sz="4" w:space="0"/>
              <w:right w:val="single" w:color="auto" w:sz="4" w:space="0"/>
            </w:tcBorders>
            <w:noWrap/>
            <w:vAlign w:val="center"/>
          </w:tcPr>
          <w:p w14:paraId="66680FA8">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500</w:t>
            </w:r>
          </w:p>
        </w:tc>
        <w:tc>
          <w:tcPr>
            <w:tcW w:w="2290" w:type="dxa"/>
            <w:tcBorders>
              <w:top w:val="single" w:color="auto" w:sz="4" w:space="0"/>
              <w:left w:val="single" w:color="auto" w:sz="4" w:space="0"/>
              <w:right w:val="single" w:color="auto" w:sz="4" w:space="0"/>
            </w:tcBorders>
            <w:noWrap/>
            <w:vAlign w:val="center"/>
          </w:tcPr>
          <w:p w14:paraId="39E196E0">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rPr>
              <w:t>　</w:t>
            </w:r>
          </w:p>
        </w:tc>
      </w:tr>
      <w:tr w14:paraId="6305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4631CB57">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3</w:t>
            </w:r>
          </w:p>
        </w:tc>
        <w:tc>
          <w:tcPr>
            <w:tcW w:w="2051" w:type="dxa"/>
            <w:tcBorders>
              <w:top w:val="single" w:color="auto" w:sz="4" w:space="0"/>
              <w:left w:val="single" w:color="auto" w:sz="4" w:space="0"/>
              <w:right w:val="single" w:color="auto" w:sz="4" w:space="0"/>
            </w:tcBorders>
            <w:noWrap/>
            <w:vAlign w:val="center"/>
          </w:tcPr>
          <w:p w14:paraId="2A39417D">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产品价格</w:t>
            </w:r>
          </w:p>
        </w:tc>
        <w:tc>
          <w:tcPr>
            <w:tcW w:w="1209" w:type="dxa"/>
            <w:tcBorders>
              <w:top w:val="single" w:color="auto" w:sz="4" w:space="0"/>
              <w:left w:val="single" w:color="auto" w:sz="4" w:space="0"/>
              <w:right w:val="single" w:color="auto" w:sz="4" w:space="0"/>
            </w:tcBorders>
            <w:noWrap/>
            <w:vAlign w:val="center"/>
          </w:tcPr>
          <w:p w14:paraId="24B30BF0">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　</w:t>
            </w:r>
          </w:p>
        </w:tc>
        <w:tc>
          <w:tcPr>
            <w:tcW w:w="2694" w:type="dxa"/>
            <w:tcBorders>
              <w:top w:val="single" w:color="auto" w:sz="4" w:space="0"/>
              <w:left w:val="single" w:color="auto" w:sz="4" w:space="0"/>
              <w:right w:val="single" w:color="auto" w:sz="4" w:space="0"/>
            </w:tcBorders>
            <w:noWrap/>
            <w:vAlign w:val="center"/>
          </w:tcPr>
          <w:p w14:paraId="6154BA1C">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rPr>
              <w:t>　</w:t>
            </w:r>
          </w:p>
        </w:tc>
        <w:tc>
          <w:tcPr>
            <w:tcW w:w="2290" w:type="dxa"/>
            <w:tcBorders>
              <w:top w:val="single" w:color="auto" w:sz="4" w:space="0"/>
              <w:left w:val="single" w:color="auto" w:sz="4" w:space="0"/>
              <w:right w:val="single" w:color="auto" w:sz="4" w:space="0"/>
            </w:tcBorders>
            <w:noWrap/>
            <w:vAlign w:val="center"/>
          </w:tcPr>
          <w:p w14:paraId="3E8F0C8C">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rPr>
              <w:t>　</w:t>
            </w:r>
          </w:p>
        </w:tc>
      </w:tr>
      <w:tr w14:paraId="29C8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5D245DAC">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　</w:t>
            </w:r>
          </w:p>
        </w:tc>
        <w:tc>
          <w:tcPr>
            <w:tcW w:w="2051" w:type="dxa"/>
            <w:tcBorders>
              <w:top w:val="single" w:color="auto" w:sz="4" w:space="0"/>
              <w:left w:val="single" w:color="auto" w:sz="4" w:space="0"/>
              <w:right w:val="single" w:color="auto" w:sz="4" w:space="0"/>
            </w:tcBorders>
            <w:noWrap/>
            <w:vAlign w:val="center"/>
          </w:tcPr>
          <w:p w14:paraId="6C99B6BD">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原矿</w:t>
            </w:r>
          </w:p>
        </w:tc>
        <w:tc>
          <w:tcPr>
            <w:tcW w:w="1209" w:type="dxa"/>
            <w:tcBorders>
              <w:top w:val="single" w:color="auto" w:sz="4" w:space="0"/>
              <w:left w:val="single" w:color="auto" w:sz="4" w:space="0"/>
              <w:right w:val="single" w:color="auto" w:sz="4" w:space="0"/>
            </w:tcBorders>
            <w:noWrap/>
            <w:vAlign w:val="center"/>
          </w:tcPr>
          <w:p w14:paraId="3BD42023">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元/吨</w:t>
            </w:r>
          </w:p>
        </w:tc>
        <w:tc>
          <w:tcPr>
            <w:tcW w:w="2694" w:type="dxa"/>
            <w:tcBorders>
              <w:top w:val="single" w:color="auto" w:sz="4" w:space="0"/>
              <w:left w:val="single" w:color="auto" w:sz="4" w:space="0"/>
              <w:right w:val="single" w:color="auto" w:sz="4" w:space="0"/>
            </w:tcBorders>
            <w:noWrap/>
            <w:vAlign w:val="center"/>
          </w:tcPr>
          <w:p w14:paraId="32567A57">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25</w:t>
            </w:r>
          </w:p>
        </w:tc>
        <w:tc>
          <w:tcPr>
            <w:tcW w:w="2290" w:type="dxa"/>
            <w:tcBorders>
              <w:top w:val="single" w:color="auto" w:sz="4" w:space="0"/>
              <w:left w:val="single" w:color="auto" w:sz="4" w:space="0"/>
              <w:right w:val="single" w:color="auto" w:sz="4" w:space="0"/>
            </w:tcBorders>
            <w:noWrap/>
            <w:vAlign w:val="center"/>
          </w:tcPr>
          <w:p w14:paraId="66B0FE1C">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rPr>
              <w:t>　</w:t>
            </w:r>
          </w:p>
        </w:tc>
      </w:tr>
      <w:tr w14:paraId="01DA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68D54DB8">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4</w:t>
            </w:r>
          </w:p>
        </w:tc>
        <w:tc>
          <w:tcPr>
            <w:tcW w:w="2051" w:type="dxa"/>
            <w:tcBorders>
              <w:top w:val="single" w:color="auto" w:sz="4" w:space="0"/>
              <w:left w:val="single" w:color="auto" w:sz="4" w:space="0"/>
              <w:right w:val="single" w:color="auto" w:sz="4" w:space="0"/>
            </w:tcBorders>
            <w:noWrap/>
            <w:vAlign w:val="center"/>
          </w:tcPr>
          <w:p w14:paraId="228B1543">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生产成本</w:t>
            </w:r>
          </w:p>
        </w:tc>
        <w:tc>
          <w:tcPr>
            <w:tcW w:w="1209" w:type="dxa"/>
            <w:tcBorders>
              <w:top w:val="single" w:color="auto" w:sz="4" w:space="0"/>
              <w:left w:val="single" w:color="auto" w:sz="4" w:space="0"/>
              <w:right w:val="single" w:color="auto" w:sz="4" w:space="0"/>
            </w:tcBorders>
            <w:noWrap/>
            <w:vAlign w:val="center"/>
          </w:tcPr>
          <w:p w14:paraId="7F62F006">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元/吨矿</w:t>
            </w:r>
          </w:p>
        </w:tc>
        <w:tc>
          <w:tcPr>
            <w:tcW w:w="2694" w:type="dxa"/>
            <w:tcBorders>
              <w:top w:val="single" w:color="auto" w:sz="4" w:space="0"/>
              <w:left w:val="single" w:color="auto" w:sz="4" w:space="0"/>
              <w:right w:val="single" w:color="auto" w:sz="4" w:space="0"/>
            </w:tcBorders>
            <w:noWrap/>
            <w:vAlign w:val="center"/>
          </w:tcPr>
          <w:p w14:paraId="7AE80E9B">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14.36</w:t>
            </w:r>
          </w:p>
        </w:tc>
        <w:tc>
          <w:tcPr>
            <w:tcW w:w="2290" w:type="dxa"/>
            <w:tcBorders>
              <w:top w:val="single" w:color="auto" w:sz="4" w:space="0"/>
              <w:left w:val="single" w:color="auto" w:sz="4" w:space="0"/>
              <w:right w:val="single" w:color="auto" w:sz="4" w:space="0"/>
            </w:tcBorders>
            <w:noWrap/>
            <w:vAlign w:val="center"/>
          </w:tcPr>
          <w:p w14:paraId="14D53835">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p>
        </w:tc>
      </w:tr>
      <w:tr w14:paraId="308A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60E3E70E">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5</w:t>
            </w:r>
          </w:p>
        </w:tc>
        <w:tc>
          <w:tcPr>
            <w:tcW w:w="2051" w:type="dxa"/>
            <w:tcBorders>
              <w:top w:val="single" w:color="auto" w:sz="4" w:space="0"/>
              <w:left w:val="single" w:color="auto" w:sz="4" w:space="0"/>
              <w:right w:val="single" w:color="auto" w:sz="4" w:space="0"/>
            </w:tcBorders>
            <w:noWrap/>
            <w:vAlign w:val="center"/>
          </w:tcPr>
          <w:p w14:paraId="3B795047">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总成本</w:t>
            </w:r>
          </w:p>
        </w:tc>
        <w:tc>
          <w:tcPr>
            <w:tcW w:w="1209" w:type="dxa"/>
            <w:tcBorders>
              <w:top w:val="single" w:color="auto" w:sz="4" w:space="0"/>
              <w:left w:val="single" w:color="auto" w:sz="4" w:space="0"/>
              <w:right w:val="single" w:color="auto" w:sz="4" w:space="0"/>
            </w:tcBorders>
            <w:noWrap/>
            <w:vAlign w:val="center"/>
          </w:tcPr>
          <w:p w14:paraId="7D916F0A">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万元/年</w:t>
            </w:r>
          </w:p>
        </w:tc>
        <w:tc>
          <w:tcPr>
            <w:tcW w:w="2694" w:type="dxa"/>
            <w:tcBorders>
              <w:top w:val="single" w:color="auto" w:sz="4" w:space="0"/>
              <w:left w:val="single" w:color="auto" w:sz="4" w:space="0"/>
              <w:right w:val="single" w:color="auto" w:sz="4" w:space="0"/>
            </w:tcBorders>
            <w:noWrap/>
            <w:vAlign w:val="center"/>
          </w:tcPr>
          <w:p w14:paraId="204A7456">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308</w:t>
            </w:r>
          </w:p>
        </w:tc>
        <w:tc>
          <w:tcPr>
            <w:tcW w:w="2290" w:type="dxa"/>
            <w:tcBorders>
              <w:top w:val="single" w:color="auto" w:sz="4" w:space="0"/>
              <w:left w:val="single" w:color="auto" w:sz="4" w:space="0"/>
              <w:right w:val="single" w:color="auto" w:sz="4" w:space="0"/>
            </w:tcBorders>
            <w:noWrap/>
            <w:vAlign w:val="center"/>
          </w:tcPr>
          <w:p w14:paraId="06641E64">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rPr>
              <w:t>　</w:t>
            </w:r>
          </w:p>
        </w:tc>
      </w:tr>
      <w:tr w14:paraId="41E5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786FBC67">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6</w:t>
            </w:r>
          </w:p>
        </w:tc>
        <w:tc>
          <w:tcPr>
            <w:tcW w:w="2051" w:type="dxa"/>
            <w:tcBorders>
              <w:top w:val="single" w:color="auto" w:sz="4" w:space="0"/>
              <w:left w:val="single" w:color="auto" w:sz="4" w:space="0"/>
              <w:right w:val="single" w:color="auto" w:sz="4" w:space="0"/>
            </w:tcBorders>
            <w:noWrap/>
            <w:vAlign w:val="center"/>
          </w:tcPr>
          <w:p w14:paraId="143D0777">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经营成本</w:t>
            </w:r>
          </w:p>
        </w:tc>
        <w:tc>
          <w:tcPr>
            <w:tcW w:w="1209" w:type="dxa"/>
            <w:tcBorders>
              <w:top w:val="single" w:color="auto" w:sz="4" w:space="0"/>
              <w:left w:val="single" w:color="auto" w:sz="4" w:space="0"/>
              <w:right w:val="single" w:color="auto" w:sz="4" w:space="0"/>
            </w:tcBorders>
            <w:noWrap/>
            <w:vAlign w:val="center"/>
          </w:tcPr>
          <w:p w14:paraId="11033327">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万元/年</w:t>
            </w:r>
          </w:p>
        </w:tc>
        <w:tc>
          <w:tcPr>
            <w:tcW w:w="2694" w:type="dxa"/>
            <w:tcBorders>
              <w:top w:val="single" w:color="auto" w:sz="4" w:space="0"/>
              <w:left w:val="single" w:color="auto" w:sz="4" w:space="0"/>
              <w:right w:val="single" w:color="auto" w:sz="4" w:space="0"/>
            </w:tcBorders>
            <w:noWrap/>
            <w:vAlign w:val="center"/>
          </w:tcPr>
          <w:p w14:paraId="768DC082">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260</w:t>
            </w:r>
          </w:p>
        </w:tc>
        <w:tc>
          <w:tcPr>
            <w:tcW w:w="2290" w:type="dxa"/>
            <w:tcBorders>
              <w:top w:val="single" w:color="auto" w:sz="4" w:space="0"/>
              <w:left w:val="single" w:color="auto" w:sz="4" w:space="0"/>
              <w:right w:val="single" w:color="auto" w:sz="4" w:space="0"/>
            </w:tcBorders>
            <w:noWrap/>
            <w:vAlign w:val="center"/>
          </w:tcPr>
          <w:p w14:paraId="0D086513">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rPr>
              <w:t>　</w:t>
            </w:r>
          </w:p>
        </w:tc>
      </w:tr>
      <w:tr w14:paraId="5608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7631F675">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7</w:t>
            </w:r>
          </w:p>
        </w:tc>
        <w:tc>
          <w:tcPr>
            <w:tcW w:w="2051" w:type="dxa"/>
            <w:tcBorders>
              <w:top w:val="single" w:color="auto" w:sz="4" w:space="0"/>
              <w:left w:val="single" w:color="auto" w:sz="4" w:space="0"/>
              <w:right w:val="single" w:color="auto" w:sz="4" w:space="0"/>
            </w:tcBorders>
            <w:noWrap/>
            <w:vAlign w:val="center"/>
          </w:tcPr>
          <w:p w14:paraId="5825EC83">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增值税</w:t>
            </w:r>
          </w:p>
        </w:tc>
        <w:tc>
          <w:tcPr>
            <w:tcW w:w="1209" w:type="dxa"/>
            <w:tcBorders>
              <w:top w:val="single" w:color="auto" w:sz="4" w:space="0"/>
              <w:left w:val="single" w:color="auto" w:sz="4" w:space="0"/>
              <w:right w:val="single" w:color="auto" w:sz="4" w:space="0"/>
            </w:tcBorders>
            <w:noWrap/>
            <w:vAlign w:val="center"/>
          </w:tcPr>
          <w:p w14:paraId="31048E08">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万元/年</w:t>
            </w:r>
          </w:p>
        </w:tc>
        <w:tc>
          <w:tcPr>
            <w:tcW w:w="2694" w:type="dxa"/>
            <w:tcBorders>
              <w:top w:val="single" w:color="auto" w:sz="4" w:space="0"/>
              <w:left w:val="single" w:color="auto" w:sz="4" w:space="0"/>
              <w:right w:val="single" w:color="auto" w:sz="4" w:space="0"/>
            </w:tcBorders>
            <w:noWrap/>
            <w:vAlign w:val="center"/>
          </w:tcPr>
          <w:p w14:paraId="237BE780">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63</w:t>
            </w:r>
          </w:p>
        </w:tc>
        <w:tc>
          <w:tcPr>
            <w:tcW w:w="2290" w:type="dxa"/>
            <w:tcBorders>
              <w:top w:val="single" w:color="auto" w:sz="4" w:space="0"/>
              <w:left w:val="single" w:color="auto" w:sz="4" w:space="0"/>
              <w:right w:val="single" w:color="auto" w:sz="4" w:space="0"/>
            </w:tcBorders>
            <w:noWrap/>
            <w:vAlign w:val="center"/>
          </w:tcPr>
          <w:p w14:paraId="6BC282E7">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rPr>
              <w:t>　</w:t>
            </w:r>
          </w:p>
        </w:tc>
      </w:tr>
      <w:tr w14:paraId="38F8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2CE6FD50">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8</w:t>
            </w:r>
          </w:p>
        </w:tc>
        <w:tc>
          <w:tcPr>
            <w:tcW w:w="2051" w:type="dxa"/>
            <w:tcBorders>
              <w:top w:val="single" w:color="auto" w:sz="4" w:space="0"/>
              <w:left w:val="single" w:color="auto" w:sz="4" w:space="0"/>
              <w:right w:val="single" w:color="auto" w:sz="4" w:space="0"/>
            </w:tcBorders>
            <w:noWrap/>
            <w:vAlign w:val="center"/>
          </w:tcPr>
          <w:p w14:paraId="39773045">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销售税金及附加</w:t>
            </w:r>
          </w:p>
        </w:tc>
        <w:tc>
          <w:tcPr>
            <w:tcW w:w="1209" w:type="dxa"/>
            <w:tcBorders>
              <w:top w:val="single" w:color="auto" w:sz="4" w:space="0"/>
              <w:left w:val="single" w:color="auto" w:sz="4" w:space="0"/>
              <w:right w:val="single" w:color="auto" w:sz="4" w:space="0"/>
            </w:tcBorders>
            <w:noWrap/>
            <w:vAlign w:val="center"/>
          </w:tcPr>
          <w:p w14:paraId="04716D2B">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万元/年</w:t>
            </w:r>
          </w:p>
        </w:tc>
        <w:tc>
          <w:tcPr>
            <w:tcW w:w="2694" w:type="dxa"/>
            <w:tcBorders>
              <w:top w:val="single" w:color="auto" w:sz="4" w:space="0"/>
              <w:left w:val="single" w:color="auto" w:sz="4" w:space="0"/>
              <w:right w:val="single" w:color="auto" w:sz="4" w:space="0"/>
            </w:tcBorders>
            <w:noWrap/>
            <w:vAlign w:val="center"/>
          </w:tcPr>
          <w:p w14:paraId="03622915">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44</w:t>
            </w:r>
          </w:p>
        </w:tc>
        <w:tc>
          <w:tcPr>
            <w:tcW w:w="2290" w:type="dxa"/>
            <w:tcBorders>
              <w:top w:val="single" w:color="auto" w:sz="4" w:space="0"/>
              <w:left w:val="single" w:color="auto" w:sz="4" w:space="0"/>
              <w:right w:val="single" w:color="auto" w:sz="4" w:space="0"/>
            </w:tcBorders>
            <w:noWrap/>
            <w:vAlign w:val="center"/>
          </w:tcPr>
          <w:p w14:paraId="05ED9490">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rPr>
              <w:t>　</w:t>
            </w:r>
          </w:p>
        </w:tc>
      </w:tr>
      <w:tr w14:paraId="5F4C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6AA40E4E">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9</w:t>
            </w:r>
          </w:p>
        </w:tc>
        <w:tc>
          <w:tcPr>
            <w:tcW w:w="2051" w:type="dxa"/>
            <w:tcBorders>
              <w:top w:val="single" w:color="auto" w:sz="4" w:space="0"/>
              <w:left w:val="single" w:color="auto" w:sz="4" w:space="0"/>
              <w:right w:val="single" w:color="auto" w:sz="4" w:space="0"/>
            </w:tcBorders>
            <w:noWrap/>
            <w:vAlign w:val="center"/>
          </w:tcPr>
          <w:p w14:paraId="71E6D750">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利润总额</w:t>
            </w:r>
          </w:p>
        </w:tc>
        <w:tc>
          <w:tcPr>
            <w:tcW w:w="1209" w:type="dxa"/>
            <w:tcBorders>
              <w:top w:val="single" w:color="auto" w:sz="4" w:space="0"/>
              <w:left w:val="single" w:color="auto" w:sz="4" w:space="0"/>
              <w:right w:val="single" w:color="auto" w:sz="4" w:space="0"/>
            </w:tcBorders>
            <w:noWrap/>
            <w:vAlign w:val="center"/>
          </w:tcPr>
          <w:p w14:paraId="43424084">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万元/年</w:t>
            </w:r>
          </w:p>
        </w:tc>
        <w:tc>
          <w:tcPr>
            <w:tcW w:w="2694" w:type="dxa"/>
            <w:tcBorders>
              <w:top w:val="single" w:color="auto" w:sz="4" w:space="0"/>
              <w:left w:val="single" w:color="auto" w:sz="4" w:space="0"/>
              <w:right w:val="single" w:color="auto" w:sz="4" w:space="0"/>
            </w:tcBorders>
            <w:noWrap/>
            <w:vAlign w:val="center"/>
          </w:tcPr>
          <w:p w14:paraId="7EBB3043">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148</w:t>
            </w:r>
          </w:p>
        </w:tc>
        <w:tc>
          <w:tcPr>
            <w:tcW w:w="2290" w:type="dxa"/>
            <w:tcBorders>
              <w:top w:val="single" w:color="auto" w:sz="4" w:space="0"/>
              <w:left w:val="single" w:color="auto" w:sz="4" w:space="0"/>
              <w:right w:val="single" w:color="auto" w:sz="4" w:space="0"/>
            </w:tcBorders>
            <w:noWrap/>
            <w:vAlign w:val="center"/>
          </w:tcPr>
          <w:p w14:paraId="069BD0AD">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rPr>
              <w:t>　</w:t>
            </w:r>
          </w:p>
        </w:tc>
      </w:tr>
      <w:tr w14:paraId="2240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1C98D301">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10</w:t>
            </w:r>
          </w:p>
        </w:tc>
        <w:tc>
          <w:tcPr>
            <w:tcW w:w="2051" w:type="dxa"/>
            <w:tcBorders>
              <w:top w:val="single" w:color="auto" w:sz="4" w:space="0"/>
              <w:left w:val="single" w:color="auto" w:sz="4" w:space="0"/>
              <w:right w:val="single" w:color="auto" w:sz="4" w:space="0"/>
            </w:tcBorders>
            <w:noWrap/>
            <w:vAlign w:val="center"/>
          </w:tcPr>
          <w:p w14:paraId="0262CF29">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息税前利润</w:t>
            </w:r>
          </w:p>
        </w:tc>
        <w:tc>
          <w:tcPr>
            <w:tcW w:w="1209" w:type="dxa"/>
            <w:tcBorders>
              <w:top w:val="single" w:color="auto" w:sz="4" w:space="0"/>
              <w:left w:val="single" w:color="auto" w:sz="4" w:space="0"/>
              <w:right w:val="single" w:color="auto" w:sz="4" w:space="0"/>
            </w:tcBorders>
            <w:noWrap/>
            <w:vAlign w:val="center"/>
          </w:tcPr>
          <w:p w14:paraId="063B57B9">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万元/年</w:t>
            </w:r>
          </w:p>
        </w:tc>
        <w:tc>
          <w:tcPr>
            <w:tcW w:w="2694" w:type="dxa"/>
            <w:tcBorders>
              <w:top w:val="single" w:color="auto" w:sz="4" w:space="0"/>
              <w:left w:val="single" w:color="auto" w:sz="4" w:space="0"/>
              <w:right w:val="single" w:color="auto" w:sz="4" w:space="0"/>
            </w:tcBorders>
            <w:noWrap/>
            <w:vAlign w:val="center"/>
          </w:tcPr>
          <w:p w14:paraId="61A5FE11">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148</w:t>
            </w:r>
          </w:p>
        </w:tc>
        <w:tc>
          <w:tcPr>
            <w:tcW w:w="2290" w:type="dxa"/>
            <w:tcBorders>
              <w:top w:val="single" w:color="auto" w:sz="4" w:space="0"/>
              <w:left w:val="single" w:color="auto" w:sz="4" w:space="0"/>
              <w:right w:val="single" w:color="auto" w:sz="4" w:space="0"/>
            </w:tcBorders>
            <w:noWrap/>
            <w:vAlign w:val="center"/>
          </w:tcPr>
          <w:p w14:paraId="5045A39D">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rPr>
              <w:t>　</w:t>
            </w:r>
          </w:p>
        </w:tc>
      </w:tr>
      <w:tr w14:paraId="190E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5559A1EC">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11</w:t>
            </w:r>
          </w:p>
        </w:tc>
        <w:tc>
          <w:tcPr>
            <w:tcW w:w="2051" w:type="dxa"/>
            <w:tcBorders>
              <w:top w:val="single" w:color="auto" w:sz="4" w:space="0"/>
              <w:left w:val="single" w:color="auto" w:sz="4" w:space="0"/>
              <w:right w:val="single" w:color="auto" w:sz="4" w:space="0"/>
            </w:tcBorders>
            <w:noWrap/>
            <w:vAlign w:val="center"/>
          </w:tcPr>
          <w:p w14:paraId="6BDB65A2">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所得税</w:t>
            </w:r>
          </w:p>
        </w:tc>
        <w:tc>
          <w:tcPr>
            <w:tcW w:w="1209" w:type="dxa"/>
            <w:tcBorders>
              <w:top w:val="single" w:color="auto" w:sz="4" w:space="0"/>
              <w:left w:val="single" w:color="auto" w:sz="4" w:space="0"/>
              <w:right w:val="single" w:color="auto" w:sz="4" w:space="0"/>
            </w:tcBorders>
            <w:noWrap/>
            <w:vAlign w:val="center"/>
          </w:tcPr>
          <w:p w14:paraId="1E92DE1B">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万元/年</w:t>
            </w:r>
          </w:p>
        </w:tc>
        <w:tc>
          <w:tcPr>
            <w:tcW w:w="2694" w:type="dxa"/>
            <w:tcBorders>
              <w:top w:val="single" w:color="auto" w:sz="4" w:space="0"/>
              <w:left w:val="single" w:color="auto" w:sz="4" w:space="0"/>
              <w:right w:val="single" w:color="auto" w:sz="4" w:space="0"/>
            </w:tcBorders>
            <w:noWrap/>
            <w:vAlign w:val="center"/>
          </w:tcPr>
          <w:p w14:paraId="6FE7E81A">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37</w:t>
            </w:r>
          </w:p>
        </w:tc>
        <w:tc>
          <w:tcPr>
            <w:tcW w:w="2290" w:type="dxa"/>
            <w:tcBorders>
              <w:top w:val="single" w:color="auto" w:sz="4" w:space="0"/>
              <w:left w:val="single" w:color="auto" w:sz="4" w:space="0"/>
              <w:right w:val="single" w:color="auto" w:sz="4" w:space="0"/>
            </w:tcBorders>
            <w:noWrap/>
            <w:vAlign w:val="center"/>
          </w:tcPr>
          <w:p w14:paraId="62B4EADB">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rPr>
              <w:t>　</w:t>
            </w:r>
          </w:p>
        </w:tc>
      </w:tr>
      <w:tr w14:paraId="7B86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7357E023">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12</w:t>
            </w:r>
          </w:p>
        </w:tc>
        <w:tc>
          <w:tcPr>
            <w:tcW w:w="2051" w:type="dxa"/>
            <w:tcBorders>
              <w:top w:val="single" w:color="auto" w:sz="4" w:space="0"/>
              <w:left w:val="single" w:color="auto" w:sz="4" w:space="0"/>
              <w:right w:val="single" w:color="auto" w:sz="4" w:space="0"/>
            </w:tcBorders>
            <w:noWrap/>
            <w:vAlign w:val="center"/>
          </w:tcPr>
          <w:p w14:paraId="67101B95">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净利润</w:t>
            </w:r>
          </w:p>
        </w:tc>
        <w:tc>
          <w:tcPr>
            <w:tcW w:w="1209" w:type="dxa"/>
            <w:tcBorders>
              <w:top w:val="single" w:color="auto" w:sz="4" w:space="0"/>
              <w:left w:val="single" w:color="auto" w:sz="4" w:space="0"/>
              <w:right w:val="single" w:color="auto" w:sz="4" w:space="0"/>
            </w:tcBorders>
            <w:noWrap/>
            <w:vAlign w:val="center"/>
          </w:tcPr>
          <w:p w14:paraId="21BB056C">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万元/年</w:t>
            </w:r>
          </w:p>
        </w:tc>
        <w:tc>
          <w:tcPr>
            <w:tcW w:w="2694" w:type="dxa"/>
            <w:tcBorders>
              <w:top w:val="single" w:color="auto" w:sz="4" w:space="0"/>
              <w:left w:val="single" w:color="auto" w:sz="4" w:space="0"/>
              <w:right w:val="single" w:color="auto" w:sz="4" w:space="0"/>
            </w:tcBorders>
            <w:noWrap/>
            <w:vAlign w:val="center"/>
          </w:tcPr>
          <w:p w14:paraId="3E49489B">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111</w:t>
            </w:r>
          </w:p>
        </w:tc>
        <w:tc>
          <w:tcPr>
            <w:tcW w:w="2290" w:type="dxa"/>
            <w:tcBorders>
              <w:top w:val="single" w:color="auto" w:sz="4" w:space="0"/>
              <w:left w:val="single" w:color="auto" w:sz="4" w:space="0"/>
              <w:right w:val="single" w:color="auto" w:sz="4" w:space="0"/>
            </w:tcBorders>
            <w:noWrap/>
            <w:vAlign w:val="center"/>
          </w:tcPr>
          <w:p w14:paraId="296B1C64">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rPr>
              <w:t>　</w:t>
            </w:r>
          </w:p>
        </w:tc>
      </w:tr>
      <w:tr w14:paraId="3B5D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4D3EEB72">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13</w:t>
            </w:r>
          </w:p>
        </w:tc>
        <w:tc>
          <w:tcPr>
            <w:tcW w:w="2051" w:type="dxa"/>
            <w:tcBorders>
              <w:top w:val="single" w:color="auto" w:sz="4" w:space="0"/>
              <w:left w:val="single" w:color="auto" w:sz="4" w:space="0"/>
              <w:right w:val="single" w:color="auto" w:sz="4" w:space="0"/>
            </w:tcBorders>
            <w:noWrap/>
            <w:vAlign w:val="center"/>
          </w:tcPr>
          <w:p w14:paraId="2487C7F6">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项目投资财务内部收益率</w:t>
            </w:r>
          </w:p>
        </w:tc>
        <w:tc>
          <w:tcPr>
            <w:tcW w:w="1209" w:type="dxa"/>
            <w:tcBorders>
              <w:top w:val="single" w:color="auto" w:sz="4" w:space="0"/>
              <w:left w:val="single" w:color="auto" w:sz="4" w:space="0"/>
              <w:right w:val="single" w:color="auto" w:sz="4" w:space="0"/>
            </w:tcBorders>
            <w:noWrap/>
            <w:vAlign w:val="center"/>
          </w:tcPr>
          <w:p w14:paraId="05C34EEC">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w:t>
            </w:r>
          </w:p>
        </w:tc>
        <w:tc>
          <w:tcPr>
            <w:tcW w:w="2694" w:type="dxa"/>
            <w:tcBorders>
              <w:top w:val="single" w:color="auto" w:sz="4" w:space="0"/>
              <w:left w:val="single" w:color="auto" w:sz="4" w:space="0"/>
              <w:right w:val="single" w:color="auto" w:sz="4" w:space="0"/>
            </w:tcBorders>
            <w:noWrap/>
            <w:vAlign w:val="center"/>
          </w:tcPr>
          <w:p w14:paraId="0AE875DE">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20.82</w:t>
            </w:r>
          </w:p>
        </w:tc>
        <w:tc>
          <w:tcPr>
            <w:tcW w:w="2290" w:type="dxa"/>
            <w:tcBorders>
              <w:top w:val="single" w:color="auto" w:sz="4" w:space="0"/>
              <w:left w:val="single" w:color="auto" w:sz="4" w:space="0"/>
              <w:right w:val="single" w:color="auto" w:sz="4" w:space="0"/>
            </w:tcBorders>
            <w:noWrap/>
            <w:vAlign w:val="center"/>
          </w:tcPr>
          <w:p w14:paraId="0FA68663">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rPr>
              <w:t>税后</w:t>
            </w:r>
          </w:p>
        </w:tc>
      </w:tr>
      <w:tr w14:paraId="5546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42BC1A05">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14</w:t>
            </w:r>
          </w:p>
        </w:tc>
        <w:tc>
          <w:tcPr>
            <w:tcW w:w="2051" w:type="dxa"/>
            <w:tcBorders>
              <w:top w:val="single" w:color="auto" w:sz="4" w:space="0"/>
              <w:left w:val="single" w:color="auto" w:sz="4" w:space="0"/>
              <w:right w:val="single" w:color="auto" w:sz="4" w:space="0"/>
            </w:tcBorders>
            <w:noWrap/>
            <w:vAlign w:val="center"/>
          </w:tcPr>
          <w:p w14:paraId="52A370DA">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项目财务净现值（Ic=12%)</w:t>
            </w:r>
          </w:p>
        </w:tc>
        <w:tc>
          <w:tcPr>
            <w:tcW w:w="1209" w:type="dxa"/>
            <w:tcBorders>
              <w:top w:val="single" w:color="auto" w:sz="4" w:space="0"/>
              <w:left w:val="single" w:color="auto" w:sz="4" w:space="0"/>
              <w:right w:val="single" w:color="auto" w:sz="4" w:space="0"/>
            </w:tcBorders>
            <w:noWrap/>
            <w:vAlign w:val="center"/>
          </w:tcPr>
          <w:p w14:paraId="6856FF62">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万元</w:t>
            </w:r>
          </w:p>
        </w:tc>
        <w:tc>
          <w:tcPr>
            <w:tcW w:w="2694" w:type="dxa"/>
            <w:tcBorders>
              <w:top w:val="single" w:color="auto" w:sz="4" w:space="0"/>
              <w:left w:val="single" w:color="auto" w:sz="4" w:space="0"/>
              <w:right w:val="single" w:color="auto" w:sz="4" w:space="0"/>
            </w:tcBorders>
            <w:noWrap/>
            <w:vAlign w:val="center"/>
          </w:tcPr>
          <w:p w14:paraId="363576E9">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197.19</w:t>
            </w:r>
          </w:p>
        </w:tc>
        <w:tc>
          <w:tcPr>
            <w:tcW w:w="2290" w:type="dxa"/>
            <w:tcBorders>
              <w:top w:val="single" w:color="auto" w:sz="4" w:space="0"/>
              <w:left w:val="single" w:color="auto" w:sz="4" w:space="0"/>
              <w:right w:val="single" w:color="auto" w:sz="4" w:space="0"/>
            </w:tcBorders>
            <w:noWrap/>
            <w:vAlign w:val="center"/>
          </w:tcPr>
          <w:p w14:paraId="18D7D12D">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rPr>
              <w:t>税后</w:t>
            </w:r>
          </w:p>
        </w:tc>
      </w:tr>
      <w:tr w14:paraId="3FCE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4" w:type="dxa"/>
            <w:tcBorders>
              <w:top w:val="single" w:color="auto" w:sz="4" w:space="0"/>
              <w:left w:val="single" w:color="auto" w:sz="4" w:space="0"/>
              <w:right w:val="single" w:color="auto" w:sz="4" w:space="0"/>
            </w:tcBorders>
            <w:noWrap/>
            <w:vAlign w:val="center"/>
          </w:tcPr>
          <w:p w14:paraId="2168504E">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15</w:t>
            </w:r>
          </w:p>
        </w:tc>
        <w:tc>
          <w:tcPr>
            <w:tcW w:w="2051" w:type="dxa"/>
            <w:tcBorders>
              <w:top w:val="single" w:color="auto" w:sz="4" w:space="0"/>
              <w:left w:val="single" w:color="auto" w:sz="4" w:space="0"/>
              <w:right w:val="single" w:color="auto" w:sz="4" w:space="0"/>
            </w:tcBorders>
            <w:noWrap/>
            <w:vAlign w:val="center"/>
          </w:tcPr>
          <w:p w14:paraId="30D27F29">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项目投资回收期</w:t>
            </w:r>
          </w:p>
        </w:tc>
        <w:tc>
          <w:tcPr>
            <w:tcW w:w="1209" w:type="dxa"/>
            <w:tcBorders>
              <w:top w:val="single" w:color="auto" w:sz="4" w:space="0"/>
              <w:left w:val="single" w:color="auto" w:sz="4" w:space="0"/>
              <w:right w:val="single" w:color="auto" w:sz="4" w:space="0"/>
            </w:tcBorders>
            <w:noWrap/>
            <w:vAlign w:val="center"/>
          </w:tcPr>
          <w:p w14:paraId="39186E8D">
            <w:pPr>
              <w:adjustRightInd w:val="0"/>
              <w:snapToGrid w:val="0"/>
              <w:spacing w:line="240" w:lineRule="auto"/>
              <w:jc w:val="center"/>
              <w:rPr>
                <w:rFonts w:hint="eastAsia" w:ascii="仿宋_GB2312" w:eastAsia="仿宋_GB2312" w:cs="仿宋_GB2312"/>
                <w:color w:val="auto"/>
                <w:w w:val="90"/>
                <w:sz w:val="22"/>
                <w:szCs w:val="22"/>
                <w:highlight w:val="none"/>
              </w:rPr>
            </w:pPr>
            <w:r>
              <w:rPr>
                <w:rFonts w:hint="eastAsia" w:ascii="仿宋_GB2312" w:eastAsia="仿宋_GB2312" w:cs="仿宋_GB2312"/>
                <w:color w:val="auto"/>
                <w:w w:val="90"/>
                <w:sz w:val="22"/>
                <w:szCs w:val="22"/>
                <w:highlight w:val="none"/>
              </w:rPr>
              <w:t>年</w:t>
            </w:r>
          </w:p>
        </w:tc>
        <w:tc>
          <w:tcPr>
            <w:tcW w:w="2694" w:type="dxa"/>
            <w:tcBorders>
              <w:top w:val="single" w:color="auto" w:sz="4" w:space="0"/>
              <w:left w:val="single" w:color="auto" w:sz="4" w:space="0"/>
              <w:right w:val="single" w:color="auto" w:sz="4" w:space="0"/>
            </w:tcBorders>
            <w:noWrap/>
            <w:vAlign w:val="center"/>
          </w:tcPr>
          <w:p w14:paraId="4007B9B6">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lang w:val="en-US" w:eastAsia="zh-CN"/>
              </w:rPr>
              <w:t>4.24</w:t>
            </w:r>
          </w:p>
        </w:tc>
        <w:tc>
          <w:tcPr>
            <w:tcW w:w="2290" w:type="dxa"/>
            <w:tcBorders>
              <w:top w:val="single" w:color="auto" w:sz="4" w:space="0"/>
              <w:left w:val="single" w:color="auto" w:sz="4" w:space="0"/>
              <w:right w:val="single" w:color="auto" w:sz="4" w:space="0"/>
            </w:tcBorders>
            <w:noWrap/>
            <w:vAlign w:val="center"/>
          </w:tcPr>
          <w:p w14:paraId="384F2737">
            <w:pPr>
              <w:adjustRightInd w:val="0"/>
              <w:snapToGrid w:val="0"/>
              <w:spacing w:line="240" w:lineRule="auto"/>
              <w:jc w:val="center"/>
              <w:rPr>
                <w:rFonts w:hint="eastAsia" w:ascii="仿宋_GB2312" w:eastAsia="仿宋_GB2312" w:cs="仿宋_GB2312"/>
                <w:color w:val="auto"/>
                <w:w w:val="90"/>
                <w:sz w:val="22"/>
                <w:szCs w:val="22"/>
                <w:highlight w:val="none"/>
                <w:lang w:val="en-US" w:eastAsia="zh-CN"/>
              </w:rPr>
            </w:pPr>
            <w:r>
              <w:rPr>
                <w:rFonts w:hint="eastAsia" w:ascii="仿宋_GB2312" w:eastAsia="仿宋_GB2312" w:cs="仿宋_GB2312"/>
                <w:color w:val="auto"/>
                <w:w w:val="90"/>
                <w:sz w:val="22"/>
                <w:szCs w:val="22"/>
                <w:highlight w:val="none"/>
              </w:rPr>
              <w:t>税后</w:t>
            </w:r>
          </w:p>
        </w:tc>
      </w:tr>
    </w:tbl>
    <w:p w14:paraId="6B05298A">
      <w:pPr>
        <w:pStyle w:val="4"/>
        <w:adjustRightInd w:val="0"/>
        <w:snapToGrid w:val="0"/>
        <w:spacing w:before="0"/>
        <w:rPr>
          <w:rFonts w:hint="eastAsia" w:ascii="仿宋_GB2312" w:eastAsia="仿宋_GB2312" w:cs="仿宋_GB2312"/>
          <w:b/>
          <w:bCs w:val="0"/>
          <w:color w:val="auto"/>
          <w:sz w:val="28"/>
          <w:szCs w:val="28"/>
          <w:highlight w:val="none"/>
        </w:rPr>
      </w:pPr>
      <w:bookmarkStart w:id="502" w:name="_Toc20784"/>
      <w:bookmarkStart w:id="503" w:name="_Toc12969"/>
      <w:bookmarkStart w:id="504" w:name="_Toc6224"/>
      <w:bookmarkStart w:id="505" w:name="_Toc148958165"/>
      <w:bookmarkStart w:id="506" w:name="_Toc138060414"/>
      <w:r>
        <w:rPr>
          <w:rFonts w:hint="eastAsia" w:ascii="仿宋_GB2312" w:eastAsia="仿宋_GB2312" w:cs="仿宋_GB2312"/>
          <w:b/>
          <w:bCs w:val="0"/>
          <w:color w:val="auto"/>
          <w:sz w:val="28"/>
          <w:szCs w:val="28"/>
          <w:highlight w:val="none"/>
          <w:lang w:val="en-US" w:eastAsia="zh-CN"/>
        </w:rPr>
        <w:t>13.9</w:t>
      </w:r>
      <w:r>
        <w:rPr>
          <w:rFonts w:hint="eastAsia" w:ascii="仿宋_GB2312" w:eastAsia="仿宋_GB2312" w:cs="仿宋_GB2312"/>
          <w:b/>
          <w:bCs w:val="0"/>
          <w:color w:val="auto"/>
          <w:sz w:val="28"/>
          <w:szCs w:val="28"/>
          <w:highlight w:val="none"/>
        </w:rPr>
        <w:t>工程项目扼要综合评价</w:t>
      </w:r>
      <w:bookmarkEnd w:id="502"/>
      <w:bookmarkEnd w:id="503"/>
      <w:bookmarkEnd w:id="504"/>
      <w:bookmarkEnd w:id="505"/>
      <w:bookmarkEnd w:id="506"/>
    </w:p>
    <w:p w14:paraId="33313180">
      <w:pPr>
        <w:adjustRightInd w:val="0"/>
        <w:snapToGrid w:val="0"/>
        <w:spacing w:line="360" w:lineRule="auto"/>
        <w:ind w:firstLine="560" w:firstLineChars="200"/>
        <w:rPr>
          <w:rFonts w:hint="eastAsia" w:ascii="仿宋_GB2312" w:eastAsia="仿宋_GB2312" w:cs="仿宋_GB2312"/>
          <w:color w:val="auto"/>
          <w:sz w:val="28"/>
          <w:szCs w:val="28"/>
          <w:highlight w:val="none"/>
          <w:lang w:val="en-GB"/>
        </w:rPr>
      </w:pPr>
      <w:r>
        <w:rPr>
          <w:rFonts w:hint="eastAsia" w:ascii="仿宋_GB2312" w:eastAsia="仿宋_GB2312" w:cs="仿宋_GB2312"/>
          <w:color w:val="auto"/>
          <w:sz w:val="28"/>
          <w:szCs w:val="28"/>
          <w:highlight w:val="none"/>
          <w:lang w:val="en-GB"/>
        </w:rPr>
        <w:t>1、设计建设规模</w:t>
      </w:r>
      <w:r>
        <w:rPr>
          <w:rFonts w:hint="eastAsia" w:ascii="仿宋_GB2312" w:eastAsia="仿宋_GB2312" w:cs="仿宋_GB2312"/>
          <w:color w:val="auto"/>
          <w:sz w:val="28"/>
          <w:szCs w:val="28"/>
          <w:highlight w:val="none"/>
          <w:lang w:val="en-US" w:eastAsia="zh-CN"/>
        </w:rPr>
        <w:t>20</w:t>
      </w:r>
      <w:r>
        <w:rPr>
          <w:rFonts w:hint="eastAsia" w:ascii="仿宋_GB2312" w:eastAsia="仿宋_GB2312" w:cs="仿宋_GB2312"/>
          <w:color w:val="auto"/>
          <w:sz w:val="28"/>
          <w:szCs w:val="28"/>
          <w:highlight w:val="none"/>
          <w:lang w:val="en-GB"/>
        </w:rPr>
        <w:t>万吨/年，</w:t>
      </w:r>
      <w:r>
        <w:rPr>
          <w:rFonts w:hint="eastAsia" w:ascii="仿宋_GB2312" w:eastAsia="仿宋_GB2312" w:cs="仿宋_GB2312"/>
          <w:color w:val="auto"/>
          <w:sz w:val="28"/>
          <w:szCs w:val="28"/>
          <w:highlight w:val="none"/>
        </w:rPr>
        <w:t>项目投资财务内部收益率为</w:t>
      </w:r>
      <w:r>
        <w:rPr>
          <w:rFonts w:hint="eastAsia" w:ascii="仿宋_GB2312" w:eastAsia="仿宋_GB2312" w:cs="仿宋_GB2312"/>
          <w:color w:val="auto"/>
          <w:sz w:val="28"/>
          <w:szCs w:val="28"/>
          <w:highlight w:val="none"/>
          <w:lang w:val="en-US" w:eastAsia="zh-CN"/>
        </w:rPr>
        <w:t>20.82</w:t>
      </w:r>
      <w:r>
        <w:rPr>
          <w:rFonts w:hint="eastAsia" w:ascii="仿宋_GB2312" w:eastAsia="仿宋_GB2312" w:cs="仿宋_GB2312"/>
          <w:color w:val="auto"/>
          <w:sz w:val="28"/>
          <w:szCs w:val="28"/>
          <w:highlight w:val="none"/>
        </w:rPr>
        <w:t>%</w:t>
      </w:r>
      <w:r>
        <w:rPr>
          <w:rFonts w:hint="eastAsia" w:ascii="仿宋_GB2312" w:eastAsia="仿宋_GB2312" w:cs="仿宋_GB2312"/>
          <w:color w:val="auto"/>
          <w:sz w:val="28"/>
          <w:szCs w:val="28"/>
          <w:highlight w:val="none"/>
          <w:lang w:eastAsia="zh-CN"/>
        </w:rPr>
        <w:t>，</w:t>
      </w:r>
      <w:r>
        <w:rPr>
          <w:rFonts w:hint="eastAsia" w:ascii="仿宋_GB2312" w:eastAsia="仿宋_GB2312" w:cs="仿宋_GB2312"/>
          <w:color w:val="auto"/>
          <w:sz w:val="28"/>
          <w:szCs w:val="28"/>
          <w:highlight w:val="none"/>
          <w:lang w:val="en-GB"/>
        </w:rPr>
        <w:t>在技术上</w:t>
      </w:r>
      <w:r>
        <w:rPr>
          <w:rFonts w:hint="eastAsia" w:ascii="仿宋_GB2312" w:eastAsia="仿宋_GB2312" w:cs="仿宋_GB2312"/>
          <w:color w:val="auto"/>
          <w:sz w:val="28"/>
          <w:szCs w:val="28"/>
          <w:highlight w:val="none"/>
          <w:lang w:val="en-GB" w:eastAsia="zh-CN"/>
        </w:rPr>
        <w:t>、</w:t>
      </w:r>
      <w:r>
        <w:rPr>
          <w:rFonts w:hint="eastAsia" w:ascii="仿宋_GB2312" w:eastAsia="仿宋_GB2312" w:cs="仿宋_GB2312"/>
          <w:color w:val="auto"/>
          <w:sz w:val="28"/>
          <w:szCs w:val="28"/>
          <w:highlight w:val="none"/>
          <w:lang w:val="en-GB"/>
        </w:rPr>
        <w:t>经济上是</w:t>
      </w:r>
      <w:r>
        <w:rPr>
          <w:rFonts w:hint="eastAsia" w:ascii="仿宋_GB2312" w:eastAsia="仿宋_GB2312" w:cs="仿宋_GB2312"/>
          <w:color w:val="auto"/>
          <w:sz w:val="28"/>
          <w:szCs w:val="28"/>
          <w:highlight w:val="none"/>
          <w:lang w:val="en-US" w:eastAsia="zh-CN"/>
        </w:rPr>
        <w:t>可行的</w:t>
      </w:r>
      <w:r>
        <w:rPr>
          <w:rFonts w:hint="eastAsia" w:ascii="仿宋_GB2312" w:eastAsia="仿宋_GB2312" w:cs="仿宋_GB2312"/>
          <w:color w:val="auto"/>
          <w:sz w:val="28"/>
          <w:szCs w:val="28"/>
          <w:highlight w:val="none"/>
          <w:lang w:val="en-GB"/>
        </w:rPr>
        <w:t>。</w:t>
      </w:r>
    </w:p>
    <w:p w14:paraId="58233B64">
      <w:pPr>
        <w:adjustRightInd w:val="0"/>
        <w:snapToGrid w:val="0"/>
        <w:spacing w:line="360" w:lineRule="auto"/>
        <w:ind w:firstLine="560" w:firstLineChars="200"/>
        <w:rPr>
          <w:rFonts w:hint="eastAsia" w:ascii="仿宋_GB2312" w:eastAsia="仿宋_GB2312" w:cs="仿宋_GB2312"/>
          <w:color w:val="auto"/>
          <w:sz w:val="28"/>
          <w:szCs w:val="28"/>
          <w:highlight w:val="none"/>
          <w:lang w:val="en-GB"/>
        </w:rPr>
      </w:pPr>
      <w:r>
        <w:rPr>
          <w:rFonts w:hint="eastAsia" w:ascii="仿宋_GB2312" w:eastAsia="仿宋_GB2312" w:cs="仿宋_GB2312"/>
          <w:color w:val="auto"/>
          <w:sz w:val="28"/>
          <w:szCs w:val="28"/>
          <w:highlight w:val="none"/>
          <w:lang w:val="en-US" w:eastAsia="zh-CN"/>
        </w:rPr>
        <w:t>2</w:t>
      </w:r>
      <w:r>
        <w:rPr>
          <w:rFonts w:hint="eastAsia" w:ascii="仿宋_GB2312" w:eastAsia="仿宋_GB2312" w:cs="仿宋_GB2312"/>
          <w:color w:val="auto"/>
          <w:sz w:val="28"/>
          <w:szCs w:val="28"/>
          <w:highlight w:val="none"/>
          <w:lang w:val="en-GB"/>
        </w:rPr>
        <w:t>、矿山</w:t>
      </w:r>
      <w:r>
        <w:rPr>
          <w:rFonts w:hint="eastAsia" w:ascii="仿宋_GB2312" w:eastAsia="仿宋_GB2312" w:cs="仿宋_GB2312"/>
          <w:color w:val="auto"/>
          <w:sz w:val="28"/>
          <w:szCs w:val="28"/>
          <w:highlight w:val="none"/>
          <w:lang w:val="en-US" w:eastAsia="zh-CN"/>
        </w:rPr>
        <w:t>采用</w:t>
      </w:r>
      <w:r>
        <w:rPr>
          <w:rFonts w:hint="eastAsia" w:ascii="仿宋_GB2312" w:eastAsia="仿宋_GB2312" w:cs="仿宋_GB2312"/>
          <w:color w:val="auto"/>
          <w:sz w:val="28"/>
          <w:szCs w:val="28"/>
          <w:highlight w:val="none"/>
          <w:lang w:val="en-GB"/>
        </w:rPr>
        <w:t>露天开采</w:t>
      </w:r>
      <w:r>
        <w:rPr>
          <w:rFonts w:hint="eastAsia" w:ascii="仿宋_GB2312" w:eastAsia="仿宋_GB2312" w:cs="仿宋_GB2312"/>
          <w:color w:val="auto"/>
          <w:sz w:val="28"/>
          <w:szCs w:val="28"/>
          <w:highlight w:val="none"/>
          <w:lang w:val="en-GB" w:eastAsia="zh-CN"/>
        </w:rPr>
        <w:t>，</w:t>
      </w:r>
      <w:r>
        <w:rPr>
          <w:rFonts w:hint="eastAsia" w:ascii="仿宋_GB2312" w:eastAsia="仿宋_GB2312" w:cs="仿宋_GB2312"/>
          <w:color w:val="auto"/>
          <w:sz w:val="28"/>
          <w:szCs w:val="28"/>
          <w:highlight w:val="none"/>
          <w:lang w:val="en-US" w:eastAsia="zh-CN"/>
        </w:rPr>
        <w:t>开采工艺</w:t>
      </w:r>
      <w:r>
        <w:rPr>
          <w:rFonts w:hint="eastAsia" w:ascii="仿宋_GB2312" w:eastAsia="仿宋_GB2312" w:cs="仿宋_GB2312"/>
          <w:color w:val="auto"/>
          <w:sz w:val="28"/>
          <w:szCs w:val="28"/>
          <w:highlight w:val="none"/>
          <w:lang w:val="en-GB"/>
        </w:rPr>
        <w:t>成熟、可靠。</w:t>
      </w:r>
    </w:p>
    <w:p w14:paraId="629F093F">
      <w:pPr>
        <w:adjustRightInd w:val="0"/>
        <w:snapToGrid w:val="0"/>
        <w:spacing w:line="360" w:lineRule="auto"/>
        <w:ind w:firstLine="560" w:firstLineChars="200"/>
        <w:rPr>
          <w:rFonts w:hint="eastAsia" w:ascii="仿宋_GB2312" w:eastAsia="仿宋_GB2312" w:cs="仿宋_GB2312"/>
          <w:color w:val="auto"/>
          <w:sz w:val="28"/>
          <w:szCs w:val="28"/>
          <w:highlight w:val="none"/>
          <w:lang w:val="en-GB"/>
        </w:rPr>
      </w:pPr>
      <w:r>
        <w:rPr>
          <w:rFonts w:hint="eastAsia" w:ascii="仿宋_GB2312" w:eastAsia="仿宋_GB2312" w:cs="仿宋_GB2312"/>
          <w:color w:val="auto"/>
          <w:sz w:val="28"/>
          <w:szCs w:val="28"/>
          <w:highlight w:val="none"/>
          <w:lang w:val="en-US" w:eastAsia="zh-CN"/>
        </w:rPr>
        <w:t>3</w:t>
      </w:r>
      <w:r>
        <w:rPr>
          <w:rFonts w:hint="eastAsia" w:ascii="仿宋_GB2312" w:eastAsia="仿宋_GB2312" w:cs="仿宋_GB2312"/>
          <w:color w:val="auto"/>
          <w:sz w:val="28"/>
          <w:szCs w:val="28"/>
          <w:highlight w:val="none"/>
          <w:lang w:val="en-GB"/>
        </w:rPr>
        <w:t>、</w:t>
      </w:r>
      <w:r>
        <w:rPr>
          <w:rFonts w:hint="eastAsia" w:ascii="仿宋_GB2312" w:eastAsia="仿宋_GB2312" w:cs="仿宋_GB2312"/>
          <w:color w:val="auto"/>
          <w:sz w:val="28"/>
          <w:szCs w:val="28"/>
          <w:highlight w:val="none"/>
          <w:lang w:val="en-US" w:eastAsia="zh-CN"/>
        </w:rPr>
        <w:t>设计回采率98%，满足“三率”指标要求</w:t>
      </w:r>
      <w:r>
        <w:rPr>
          <w:rFonts w:hint="eastAsia" w:ascii="仿宋_GB2312" w:eastAsia="仿宋_GB2312" w:cs="仿宋_GB2312"/>
          <w:color w:val="auto"/>
          <w:sz w:val="28"/>
          <w:szCs w:val="28"/>
          <w:highlight w:val="none"/>
          <w:lang w:val="en-GB"/>
        </w:rPr>
        <w:t>。</w:t>
      </w:r>
    </w:p>
    <w:p w14:paraId="5C32834E">
      <w:pPr>
        <w:adjustRightInd w:val="0"/>
        <w:snapToGrid w:val="0"/>
        <w:spacing w:line="360" w:lineRule="auto"/>
        <w:ind w:firstLine="560" w:firstLineChars="200"/>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4、剥离表土综合利用率100%，符合绿色矿山建设相关要求。</w:t>
      </w:r>
    </w:p>
    <w:p w14:paraId="013393BF">
      <w:pPr>
        <w:pStyle w:val="4"/>
        <w:adjustRightInd w:val="0"/>
        <w:snapToGrid w:val="0"/>
        <w:spacing w:before="0"/>
        <w:rPr>
          <w:rFonts w:hint="eastAsia" w:ascii="仿宋_GB2312" w:eastAsia="仿宋_GB2312" w:cs="仿宋_GB2312"/>
          <w:b/>
          <w:bCs w:val="0"/>
          <w:color w:val="auto"/>
          <w:sz w:val="28"/>
          <w:szCs w:val="28"/>
          <w:highlight w:val="none"/>
        </w:rPr>
      </w:pPr>
      <w:bookmarkStart w:id="507" w:name="_Toc22312"/>
      <w:bookmarkStart w:id="508" w:name="_Toc22657"/>
      <w:r>
        <w:rPr>
          <w:rFonts w:hint="eastAsia" w:ascii="仿宋_GB2312" w:eastAsia="仿宋_GB2312" w:cs="仿宋_GB2312"/>
          <w:b/>
          <w:bCs w:val="0"/>
          <w:color w:val="auto"/>
          <w:sz w:val="28"/>
          <w:szCs w:val="28"/>
          <w:highlight w:val="none"/>
          <w:lang w:val="en-US" w:eastAsia="zh-CN"/>
        </w:rPr>
        <w:t>13.10存在的主要问题及建议</w:t>
      </w:r>
      <w:bookmarkEnd w:id="507"/>
      <w:bookmarkEnd w:id="508"/>
    </w:p>
    <w:p w14:paraId="15597FA8">
      <w:pPr>
        <w:numPr>
          <w:ilvl w:val="0"/>
          <w:numId w:val="5"/>
        </w:numPr>
        <w:adjustRightInd w:val="0"/>
        <w:snapToGrid w:val="0"/>
        <w:spacing w:line="360" w:lineRule="auto"/>
        <w:ind w:left="0" w:firstLine="560" w:firstLineChars="200"/>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受规划开采范围限制，矿山设计利用率69%，损失矿量较多。</w:t>
      </w:r>
    </w:p>
    <w:p w14:paraId="31C27E02">
      <w:pPr>
        <w:numPr>
          <w:ilvl w:val="0"/>
          <w:numId w:val="5"/>
        </w:numPr>
        <w:adjustRightInd w:val="0"/>
        <w:snapToGrid w:val="0"/>
        <w:spacing w:line="360" w:lineRule="auto"/>
        <w:ind w:left="0" w:firstLine="560" w:firstLineChars="200"/>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矿区周边居民点较多，建议企业生产过程中加强环境管理，避免噪音、粉尘等污染。</w:t>
      </w:r>
    </w:p>
    <w:bookmarkEnd w:id="465"/>
    <w:bookmarkEnd w:id="466"/>
    <w:p w14:paraId="5A9518DE">
      <w:pPr>
        <w:pStyle w:val="79"/>
        <w:adjustRightInd w:val="0"/>
        <w:snapToGrid w:val="0"/>
        <w:spacing w:line="360" w:lineRule="auto"/>
        <w:rPr>
          <w:rFonts w:hint="eastAsia" w:ascii="仿宋_GB2312" w:eastAsia="仿宋_GB2312" w:cs="仿宋_GB2312"/>
          <w:color w:val="auto"/>
          <w:sz w:val="28"/>
          <w:szCs w:val="28"/>
          <w:highlight w:val="none"/>
        </w:rPr>
        <w:sectPr>
          <w:pgSz w:w="11906" w:h="16838"/>
          <w:pgMar w:top="1814" w:right="1474" w:bottom="1814" w:left="1474" w:header="1361" w:footer="1361" w:gutter="0"/>
          <w:cols w:space="720" w:num="1"/>
          <w:docGrid w:type="lines" w:linePitch="381" w:charSpace="0"/>
        </w:sectPr>
      </w:pPr>
    </w:p>
    <w:p w14:paraId="61EFE5D1">
      <w:pPr>
        <w:adjustRightInd w:val="0"/>
        <w:snapToGrid w:val="0"/>
        <w:spacing w:line="240" w:lineRule="auto"/>
        <w:jc w:val="center"/>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附表1  项目总投资使用计划与资金筹措表（单位：万元）</w:t>
      </w:r>
    </w:p>
    <w:tbl>
      <w:tblPr>
        <w:tblStyle w:val="6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2416"/>
        <w:gridCol w:w="4452"/>
        <w:gridCol w:w="222"/>
        <w:gridCol w:w="876"/>
        <w:gridCol w:w="436"/>
      </w:tblGrid>
      <w:tr w14:paraId="3CC8A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C07E">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序号</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3172">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项    目</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CDB1">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合计</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7914">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9C1D">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建设期</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D3A1">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w:t>
            </w:r>
          </w:p>
        </w:tc>
      </w:tr>
      <w:tr w14:paraId="3A30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64FF">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9A99">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总资金</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CF52">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632</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865A">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0EA7">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594</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2987">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38</w:t>
            </w:r>
          </w:p>
        </w:tc>
      </w:tr>
      <w:tr w14:paraId="130A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D8ED">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1.1</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B684">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建设投资</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4E74">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570</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56A3">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87AF">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570</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5F54">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r>
      <w:tr w14:paraId="1855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048E">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1.2</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35F7">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利用原有固定资产净值</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78B2">
            <w:pPr>
              <w:jc w:val="center"/>
              <w:rPr>
                <w:rFonts w:hint="eastAsia" w:ascii="仿宋_GB2312" w:eastAsia="仿宋_GB2312" w:cs="仿宋_GB2312"/>
                <w:i w:val="0"/>
                <w:iCs w:val="0"/>
                <w:color w:val="auto"/>
                <w:kern w:val="0"/>
                <w:sz w:val="22"/>
                <w:szCs w:val="22"/>
                <w:highlight w:val="none"/>
                <w:u w:val="none"/>
                <w:lang w:val="en-US" w:eastAsia="zh-CN"/>
              </w:rPr>
            </w:pP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EDF6">
            <w:pPr>
              <w:jc w:val="center"/>
              <w:rPr>
                <w:rFonts w:hint="eastAsia" w:ascii="仿宋_GB2312" w:eastAsia="仿宋_GB2312" w:cs="仿宋_GB2312"/>
                <w:i w:val="0"/>
                <w:iCs w:val="0"/>
                <w:color w:val="auto"/>
                <w:kern w:val="0"/>
                <w:sz w:val="22"/>
                <w:szCs w:val="22"/>
                <w:highlight w:val="none"/>
                <w:u w:val="none"/>
                <w:lang w:val="en-US" w:eastAsia="zh-CN"/>
              </w:rPr>
            </w:pP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C033">
            <w:pPr>
              <w:jc w:val="center"/>
              <w:rPr>
                <w:rFonts w:hint="eastAsia" w:ascii="仿宋_GB2312" w:eastAsia="仿宋_GB2312" w:cs="仿宋_GB2312"/>
                <w:i w:val="0"/>
                <w:iCs w:val="0"/>
                <w:color w:val="auto"/>
                <w:kern w:val="0"/>
                <w:sz w:val="22"/>
                <w:szCs w:val="22"/>
                <w:highlight w:val="none"/>
                <w:u w:val="none"/>
                <w:lang w:val="en-US" w:eastAsia="zh-CN"/>
              </w:rPr>
            </w:pP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681E">
            <w:pPr>
              <w:jc w:val="center"/>
              <w:rPr>
                <w:rFonts w:hint="eastAsia" w:ascii="仿宋_GB2312" w:eastAsia="仿宋_GB2312" w:cs="仿宋_GB2312"/>
                <w:i w:val="0"/>
                <w:iCs w:val="0"/>
                <w:color w:val="auto"/>
                <w:kern w:val="0"/>
                <w:sz w:val="22"/>
                <w:szCs w:val="22"/>
                <w:highlight w:val="none"/>
                <w:u w:val="none"/>
                <w:lang w:val="en-US" w:eastAsia="zh-CN"/>
              </w:rPr>
            </w:pPr>
          </w:p>
        </w:tc>
      </w:tr>
      <w:tr w14:paraId="32A95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1E07">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1.3</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1EEF">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建设期利息</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9F54">
            <w:pPr>
              <w:jc w:val="center"/>
              <w:rPr>
                <w:rFonts w:hint="eastAsia" w:ascii="仿宋_GB2312" w:eastAsia="仿宋_GB2312" w:cs="仿宋_GB2312"/>
                <w:i w:val="0"/>
                <w:iCs w:val="0"/>
                <w:color w:val="auto"/>
                <w:kern w:val="0"/>
                <w:sz w:val="22"/>
                <w:szCs w:val="22"/>
                <w:highlight w:val="none"/>
                <w:u w:val="none"/>
                <w:lang w:val="en-US" w:eastAsia="zh-CN"/>
              </w:rPr>
            </w:pP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4FE2">
            <w:pPr>
              <w:jc w:val="center"/>
              <w:rPr>
                <w:rFonts w:hint="eastAsia" w:ascii="仿宋_GB2312" w:eastAsia="仿宋_GB2312" w:cs="仿宋_GB2312"/>
                <w:i w:val="0"/>
                <w:iCs w:val="0"/>
                <w:color w:val="auto"/>
                <w:kern w:val="0"/>
                <w:sz w:val="22"/>
                <w:szCs w:val="22"/>
                <w:highlight w:val="none"/>
                <w:u w:val="none"/>
                <w:lang w:val="en-US" w:eastAsia="zh-CN"/>
              </w:rPr>
            </w:pP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B69A">
            <w:pPr>
              <w:jc w:val="center"/>
              <w:rPr>
                <w:rFonts w:hint="eastAsia" w:ascii="仿宋_GB2312" w:eastAsia="仿宋_GB2312" w:cs="仿宋_GB2312"/>
                <w:i w:val="0"/>
                <w:iCs w:val="0"/>
                <w:color w:val="auto"/>
                <w:kern w:val="0"/>
                <w:sz w:val="22"/>
                <w:szCs w:val="22"/>
                <w:highlight w:val="none"/>
                <w:u w:val="none"/>
                <w:lang w:val="en-US" w:eastAsia="zh-CN"/>
              </w:rPr>
            </w:pP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1050">
            <w:pPr>
              <w:jc w:val="center"/>
              <w:rPr>
                <w:rFonts w:hint="eastAsia" w:ascii="仿宋_GB2312" w:eastAsia="仿宋_GB2312" w:cs="仿宋_GB2312"/>
                <w:i w:val="0"/>
                <w:iCs w:val="0"/>
                <w:color w:val="auto"/>
                <w:kern w:val="0"/>
                <w:sz w:val="22"/>
                <w:szCs w:val="22"/>
                <w:highlight w:val="none"/>
                <w:u w:val="none"/>
                <w:lang w:val="en-US" w:eastAsia="zh-CN"/>
              </w:rPr>
            </w:pPr>
          </w:p>
        </w:tc>
      </w:tr>
      <w:tr w14:paraId="3AFD8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E082">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1.4</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6D93">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流动资金</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C05F">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62</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AAC1">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2B86">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24</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D118">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38</w:t>
            </w:r>
          </w:p>
        </w:tc>
      </w:tr>
      <w:tr w14:paraId="646DC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B1E0">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9034">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资金筹措</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4A2C">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632</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B5D8">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4382">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594</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93E5">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38</w:t>
            </w:r>
          </w:p>
        </w:tc>
      </w:tr>
      <w:tr w14:paraId="17EC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4FF3">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2.1</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620D">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资本金</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837C">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632</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3301">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B27A">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594</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0461">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38</w:t>
            </w:r>
          </w:p>
        </w:tc>
      </w:tr>
      <w:tr w14:paraId="70F2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B141">
            <w:pPr>
              <w:jc w:val="center"/>
              <w:rPr>
                <w:rFonts w:hint="eastAsia" w:ascii="仿宋_GB2312" w:eastAsia="仿宋_GB2312" w:cs="仿宋_GB2312"/>
                <w:i w:val="0"/>
                <w:iCs w:val="0"/>
                <w:color w:val="auto"/>
                <w:sz w:val="22"/>
                <w:szCs w:val="22"/>
                <w:highlight w:val="none"/>
                <w:u w:val="none"/>
              </w:rPr>
            </w:pP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0662">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其中：用于流动资金</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D40D">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38</w:t>
            </w:r>
          </w:p>
        </w:tc>
        <w:tc>
          <w:tcPr>
            <w:tcW w:w="3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FDC2">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A8B9">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6B4E">
            <w:pPr>
              <w:keepNext w:val="0"/>
              <w:keepLines w:val="0"/>
              <w:widowControl/>
              <w:suppressLineNumbers w:val="0"/>
              <w:jc w:val="center"/>
              <w:textAlignment w:val="center"/>
              <w:rPr>
                <w:rFonts w:hint="eastAsia" w:ascii="仿宋_GB2312" w:eastAsia="仿宋_GB2312" w:cs="仿宋_GB2312"/>
                <w:i w:val="0"/>
                <w:iCs w:val="0"/>
                <w:color w:val="auto"/>
                <w:kern w:val="0"/>
                <w:sz w:val="22"/>
                <w:szCs w:val="22"/>
                <w:highlight w:val="none"/>
                <w:u w:val="none"/>
                <w:lang w:val="en-US" w:eastAsia="zh-CN"/>
              </w:rPr>
            </w:pPr>
            <w:r>
              <w:rPr>
                <w:rFonts w:hint="eastAsia" w:ascii="仿宋_GB2312" w:eastAsia="仿宋_GB2312" w:cs="仿宋_GB2312"/>
                <w:i w:val="0"/>
                <w:iCs w:val="0"/>
                <w:color w:val="auto"/>
                <w:kern w:val="0"/>
                <w:sz w:val="22"/>
                <w:szCs w:val="22"/>
                <w:highlight w:val="none"/>
                <w:u w:val="none"/>
                <w:lang w:val="en-US" w:eastAsia="zh-CN"/>
              </w:rPr>
              <w:t>38</w:t>
            </w:r>
          </w:p>
        </w:tc>
      </w:tr>
      <w:tr w14:paraId="3D58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9D3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2.2</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DB72">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借款</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1F6B">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35E7">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80E0">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48B6">
            <w:pPr>
              <w:jc w:val="center"/>
              <w:rPr>
                <w:rFonts w:hint="eastAsia" w:ascii="仿宋_GB2312" w:eastAsia="仿宋_GB2312" w:cs="仿宋_GB2312"/>
                <w:i w:val="0"/>
                <w:iCs w:val="0"/>
                <w:color w:val="auto"/>
                <w:sz w:val="22"/>
                <w:szCs w:val="22"/>
                <w:highlight w:val="none"/>
                <w:u w:val="none"/>
              </w:rPr>
            </w:pPr>
          </w:p>
        </w:tc>
      </w:tr>
      <w:tr w14:paraId="22415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C53A">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2.2.1</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BDC1">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流动资金借款</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785E">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FC27">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5116">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DCA0">
            <w:pPr>
              <w:jc w:val="center"/>
              <w:rPr>
                <w:rFonts w:hint="eastAsia" w:ascii="仿宋_GB2312" w:eastAsia="仿宋_GB2312" w:cs="仿宋_GB2312"/>
                <w:i w:val="0"/>
                <w:iCs w:val="0"/>
                <w:color w:val="auto"/>
                <w:sz w:val="22"/>
                <w:szCs w:val="22"/>
                <w:highlight w:val="none"/>
                <w:u w:val="none"/>
              </w:rPr>
            </w:pPr>
          </w:p>
        </w:tc>
      </w:tr>
      <w:tr w14:paraId="7EFF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ED85">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2.2.2</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42D3">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长期借款</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A6C5">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4F44">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4987">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982D">
            <w:pPr>
              <w:jc w:val="center"/>
              <w:rPr>
                <w:rFonts w:hint="eastAsia" w:ascii="仿宋_GB2312" w:eastAsia="仿宋_GB2312" w:cs="仿宋_GB2312"/>
                <w:i w:val="0"/>
                <w:iCs w:val="0"/>
                <w:color w:val="auto"/>
                <w:sz w:val="22"/>
                <w:szCs w:val="22"/>
                <w:highlight w:val="none"/>
                <w:u w:val="none"/>
              </w:rPr>
            </w:pPr>
          </w:p>
        </w:tc>
      </w:tr>
      <w:tr w14:paraId="57FB6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045E">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2.3</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4ED3">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利用原有固定资产净值</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0062">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75DA">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8D19">
            <w:pPr>
              <w:jc w:val="center"/>
              <w:rPr>
                <w:rFonts w:hint="eastAsia" w:ascii="仿宋_GB2312" w:eastAsia="仿宋_GB2312" w:cs="仿宋_GB2312"/>
                <w:i w:val="0"/>
                <w:iCs w:val="0"/>
                <w:color w:val="auto"/>
                <w:sz w:val="22"/>
                <w:szCs w:val="22"/>
                <w:highlight w:val="none"/>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C067">
            <w:pPr>
              <w:jc w:val="center"/>
              <w:rPr>
                <w:rFonts w:hint="eastAsia" w:ascii="仿宋_GB2312" w:eastAsia="仿宋_GB2312" w:cs="仿宋_GB2312"/>
                <w:i w:val="0"/>
                <w:iCs w:val="0"/>
                <w:color w:val="auto"/>
                <w:sz w:val="22"/>
                <w:szCs w:val="22"/>
                <w:highlight w:val="none"/>
                <w:u w:val="none"/>
              </w:rPr>
            </w:pPr>
          </w:p>
        </w:tc>
      </w:tr>
    </w:tbl>
    <w:p w14:paraId="3E0A6467">
      <w:pPr>
        <w:pStyle w:val="79"/>
        <w:adjustRightInd w:val="0"/>
        <w:snapToGrid w:val="0"/>
        <w:spacing w:line="360" w:lineRule="auto"/>
        <w:rPr>
          <w:rFonts w:hint="eastAsia" w:ascii="仿宋_GB2312" w:eastAsia="仿宋_GB2312" w:cs="仿宋_GB2312"/>
          <w:color w:val="auto"/>
          <w:sz w:val="28"/>
          <w:szCs w:val="28"/>
          <w:highlight w:val="none"/>
        </w:rPr>
        <w:sectPr>
          <w:pgSz w:w="11906" w:h="16838"/>
          <w:pgMar w:top="1814" w:right="1474" w:bottom="1814" w:left="1474" w:header="1361" w:footer="1361" w:gutter="0"/>
          <w:cols w:space="720" w:num="1"/>
          <w:docGrid w:type="lines" w:linePitch="381" w:charSpace="0"/>
        </w:sectPr>
      </w:pPr>
    </w:p>
    <w:p w14:paraId="3B55A6E2">
      <w:pPr>
        <w:pStyle w:val="79"/>
        <w:adjustRightInd w:val="0"/>
        <w:snapToGrid w:val="0"/>
        <w:spacing w:line="360" w:lineRule="auto"/>
        <w:jc w:val="center"/>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附表2  流动资金估算表（单位：万元）</w:t>
      </w:r>
    </w:p>
    <w:tbl>
      <w:tblPr>
        <w:tblStyle w:val="62"/>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2196"/>
        <w:gridCol w:w="1096"/>
        <w:gridCol w:w="1509"/>
        <w:gridCol w:w="436"/>
        <w:gridCol w:w="436"/>
        <w:gridCol w:w="436"/>
        <w:gridCol w:w="436"/>
        <w:gridCol w:w="436"/>
        <w:gridCol w:w="436"/>
        <w:gridCol w:w="546"/>
        <w:gridCol w:w="546"/>
      </w:tblGrid>
      <w:tr w14:paraId="6CF3D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9018">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序号</w:t>
            </w:r>
          </w:p>
        </w:tc>
        <w:tc>
          <w:tcPr>
            <w:tcW w:w="1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B3E0">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项    目</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42F3">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周转次数</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EA1E">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建设期</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2E3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9250">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43A8">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3</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86B0">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4</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9DC3">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5</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5FD3">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6</w:t>
            </w: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D203">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7</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1FC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8</w:t>
            </w:r>
          </w:p>
        </w:tc>
      </w:tr>
      <w:tr w14:paraId="1F1D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A639">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w:t>
            </w:r>
          </w:p>
        </w:tc>
        <w:tc>
          <w:tcPr>
            <w:tcW w:w="1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BA8D">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流动资产</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9550">
            <w:pPr>
              <w:jc w:val="center"/>
              <w:rPr>
                <w:rFonts w:hint="eastAsia" w:ascii="仿宋_GB2312" w:eastAsia="仿宋_GB2312" w:cs="仿宋_GB2312"/>
                <w:i w:val="0"/>
                <w:iCs w:val="0"/>
                <w:color w:val="auto"/>
                <w:sz w:val="22"/>
                <w:szCs w:val="22"/>
                <w:highlight w:val="none"/>
                <w:u w:val="none"/>
              </w:rPr>
            </w:pPr>
          </w:p>
        </w:tc>
        <w:tc>
          <w:tcPr>
            <w:tcW w:w="2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0387">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lang w:val="en-US"/>
              </w:rPr>
            </w:pPr>
            <w:r>
              <w:rPr>
                <w:rFonts w:hint="eastAsia" w:ascii="仿宋_GB2312" w:eastAsia="仿宋_GB2312" w:cs="仿宋_GB2312"/>
                <w:i w:val="0"/>
                <w:iCs w:val="0"/>
                <w:color w:val="auto"/>
                <w:kern w:val="0"/>
                <w:sz w:val="22"/>
                <w:szCs w:val="22"/>
                <w:u w:val="none"/>
                <w:lang w:val="en-US" w:eastAsia="zh-CN"/>
              </w:rPr>
              <w:t>24</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250A">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63</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4A8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63</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873F">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63</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7977">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63</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FCC7">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63</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CA44">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63</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8B0D">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63</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5DE4">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17</w:t>
            </w:r>
          </w:p>
        </w:tc>
      </w:tr>
      <w:tr w14:paraId="4653A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DD5B">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1.1</w:t>
            </w:r>
          </w:p>
        </w:tc>
        <w:tc>
          <w:tcPr>
            <w:tcW w:w="1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A11D">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应收账款</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78A0">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12</w:t>
            </w:r>
          </w:p>
        </w:tc>
        <w:tc>
          <w:tcPr>
            <w:tcW w:w="2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0C63">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8</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07C8">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22</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AADB">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22</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2EA8">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22</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A6A3">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22</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27C9">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22</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1BB7">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22</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B322">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22</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E367">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w:t>
            </w:r>
          </w:p>
        </w:tc>
      </w:tr>
      <w:tr w14:paraId="0F2E2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ACFD">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1.2</w:t>
            </w:r>
          </w:p>
        </w:tc>
        <w:tc>
          <w:tcPr>
            <w:tcW w:w="1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2BA1">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存货</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95B2">
            <w:pPr>
              <w:jc w:val="center"/>
              <w:rPr>
                <w:rFonts w:hint="eastAsia" w:ascii="仿宋_GB2312" w:eastAsia="仿宋_GB2312" w:cs="仿宋_GB2312"/>
                <w:i w:val="0"/>
                <w:iCs w:val="0"/>
                <w:color w:val="auto"/>
                <w:sz w:val="22"/>
                <w:szCs w:val="22"/>
                <w:highlight w:val="none"/>
                <w:u w:val="none"/>
              </w:rPr>
            </w:pPr>
          </w:p>
        </w:tc>
        <w:tc>
          <w:tcPr>
            <w:tcW w:w="2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4EB9">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8</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CD6C">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23</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4302">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23</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DCD2">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23</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FF1C">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23</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0839">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23</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0C69">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23</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08A0">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23</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6178">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w:t>
            </w:r>
          </w:p>
        </w:tc>
      </w:tr>
      <w:tr w14:paraId="2655F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E8AB">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1.3</w:t>
            </w:r>
          </w:p>
        </w:tc>
        <w:tc>
          <w:tcPr>
            <w:tcW w:w="1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986F">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现金</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1121">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12</w:t>
            </w:r>
          </w:p>
        </w:tc>
        <w:tc>
          <w:tcPr>
            <w:tcW w:w="2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6DC2">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7</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A91A">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18</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AE7C">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18</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AFF4">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18</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92C9">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18</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C2EA">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18</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D00F">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18</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A199">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18</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E72D">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w:t>
            </w:r>
          </w:p>
        </w:tc>
      </w:tr>
      <w:tr w14:paraId="7942A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DA7B">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1.4</w:t>
            </w:r>
          </w:p>
        </w:tc>
        <w:tc>
          <w:tcPr>
            <w:tcW w:w="1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C726">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预付账款</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CB63">
            <w:pPr>
              <w:jc w:val="center"/>
              <w:rPr>
                <w:rFonts w:hint="eastAsia" w:ascii="仿宋_GB2312" w:eastAsia="仿宋_GB2312" w:cs="仿宋_GB2312"/>
                <w:i w:val="0"/>
                <w:iCs w:val="0"/>
                <w:color w:val="auto"/>
                <w:sz w:val="22"/>
                <w:szCs w:val="22"/>
                <w:highlight w:val="none"/>
                <w:u w:val="none"/>
              </w:rPr>
            </w:pPr>
          </w:p>
        </w:tc>
        <w:tc>
          <w:tcPr>
            <w:tcW w:w="2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81FB">
            <w:pPr>
              <w:jc w:val="center"/>
              <w:rPr>
                <w:rFonts w:hint="eastAsia" w:ascii="仿宋_GB2312" w:eastAsia="仿宋_GB2312" w:cs="仿宋_GB2312"/>
                <w:i w:val="0"/>
                <w:iCs w:val="0"/>
                <w:color w:val="auto"/>
                <w:sz w:val="22"/>
                <w:szCs w:val="22"/>
                <w:highlight w:val="none"/>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BF8F">
            <w:pPr>
              <w:jc w:val="center"/>
              <w:rPr>
                <w:rFonts w:hint="eastAsia" w:ascii="仿宋_GB2312" w:eastAsia="仿宋_GB2312" w:cs="仿宋_GB2312"/>
                <w:i w:val="0"/>
                <w:iCs w:val="0"/>
                <w:color w:val="auto"/>
                <w:sz w:val="22"/>
                <w:szCs w:val="22"/>
                <w:highlight w:val="none"/>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B2F6">
            <w:pPr>
              <w:jc w:val="center"/>
              <w:rPr>
                <w:rFonts w:hint="eastAsia" w:ascii="仿宋_GB2312" w:eastAsia="仿宋_GB2312" w:cs="仿宋_GB2312"/>
                <w:i w:val="0"/>
                <w:iCs w:val="0"/>
                <w:color w:val="auto"/>
                <w:sz w:val="22"/>
                <w:szCs w:val="22"/>
                <w:highlight w:val="none"/>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A207">
            <w:pPr>
              <w:jc w:val="center"/>
              <w:rPr>
                <w:rFonts w:hint="eastAsia" w:ascii="仿宋_GB2312" w:eastAsia="仿宋_GB2312" w:cs="仿宋_GB2312"/>
                <w:i w:val="0"/>
                <w:iCs w:val="0"/>
                <w:color w:val="auto"/>
                <w:sz w:val="22"/>
                <w:szCs w:val="22"/>
                <w:highlight w:val="none"/>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041E">
            <w:pPr>
              <w:jc w:val="center"/>
              <w:rPr>
                <w:rFonts w:hint="eastAsia" w:ascii="仿宋_GB2312" w:eastAsia="仿宋_GB2312" w:cs="仿宋_GB2312"/>
                <w:i w:val="0"/>
                <w:iCs w:val="0"/>
                <w:color w:val="auto"/>
                <w:sz w:val="22"/>
                <w:szCs w:val="22"/>
                <w:highlight w:val="none"/>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0B30">
            <w:pPr>
              <w:jc w:val="center"/>
              <w:rPr>
                <w:rFonts w:hint="eastAsia" w:ascii="仿宋_GB2312" w:eastAsia="仿宋_GB2312" w:cs="仿宋_GB2312"/>
                <w:i w:val="0"/>
                <w:iCs w:val="0"/>
                <w:color w:val="auto"/>
                <w:sz w:val="22"/>
                <w:szCs w:val="22"/>
                <w:highlight w:val="none"/>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0645">
            <w:pPr>
              <w:jc w:val="center"/>
              <w:rPr>
                <w:rFonts w:hint="eastAsia" w:ascii="仿宋_GB2312" w:eastAsia="仿宋_GB2312" w:cs="仿宋_GB2312"/>
                <w:i w:val="0"/>
                <w:iCs w:val="0"/>
                <w:color w:val="auto"/>
                <w:sz w:val="22"/>
                <w:szCs w:val="22"/>
                <w:highlight w:val="none"/>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21F4">
            <w:pPr>
              <w:jc w:val="center"/>
              <w:rPr>
                <w:rFonts w:hint="eastAsia" w:ascii="仿宋_GB2312" w:eastAsia="仿宋_GB2312" w:cs="仿宋_GB2312"/>
                <w:i w:val="0"/>
                <w:iCs w:val="0"/>
                <w:color w:val="auto"/>
                <w:sz w:val="22"/>
                <w:szCs w:val="22"/>
                <w:highlight w:val="none"/>
                <w:u w:val="none"/>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9CCE">
            <w:pPr>
              <w:jc w:val="center"/>
              <w:rPr>
                <w:rFonts w:hint="eastAsia" w:ascii="仿宋_GB2312" w:eastAsia="仿宋_GB2312" w:cs="仿宋_GB2312"/>
                <w:i w:val="0"/>
                <w:iCs w:val="0"/>
                <w:color w:val="auto"/>
                <w:sz w:val="22"/>
                <w:szCs w:val="22"/>
                <w:highlight w:val="none"/>
                <w:u w:val="none"/>
              </w:rPr>
            </w:pPr>
          </w:p>
        </w:tc>
      </w:tr>
      <w:tr w14:paraId="2537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DA94">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w:t>
            </w:r>
          </w:p>
        </w:tc>
        <w:tc>
          <w:tcPr>
            <w:tcW w:w="1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4D2A">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流动负债</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15E4">
            <w:pPr>
              <w:jc w:val="center"/>
              <w:rPr>
                <w:rFonts w:hint="eastAsia" w:ascii="仿宋_GB2312" w:eastAsia="仿宋_GB2312" w:cs="仿宋_GB2312"/>
                <w:i w:val="0"/>
                <w:iCs w:val="0"/>
                <w:color w:val="auto"/>
                <w:sz w:val="22"/>
                <w:szCs w:val="22"/>
                <w:highlight w:val="none"/>
                <w:u w:val="none"/>
              </w:rPr>
            </w:pPr>
          </w:p>
        </w:tc>
        <w:tc>
          <w:tcPr>
            <w:tcW w:w="2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DC10">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0</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55B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5FFD">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5053">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D478">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816C">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69E2">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3B42">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620C">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0</w:t>
            </w:r>
          </w:p>
        </w:tc>
      </w:tr>
      <w:tr w14:paraId="792D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E9A7">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2.1</w:t>
            </w:r>
          </w:p>
        </w:tc>
        <w:tc>
          <w:tcPr>
            <w:tcW w:w="1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FED2">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应付账款</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841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12</w:t>
            </w:r>
          </w:p>
        </w:tc>
        <w:tc>
          <w:tcPr>
            <w:tcW w:w="2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FD7E">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0</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484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CCD7">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0202">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9A2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464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533F">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2C8D">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848C">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0</w:t>
            </w:r>
          </w:p>
        </w:tc>
      </w:tr>
      <w:tr w14:paraId="3112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A875">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2.2</w:t>
            </w:r>
          </w:p>
        </w:tc>
        <w:tc>
          <w:tcPr>
            <w:tcW w:w="1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ABA3">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预收账款</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C261">
            <w:pPr>
              <w:jc w:val="center"/>
              <w:rPr>
                <w:rFonts w:hint="eastAsia" w:ascii="仿宋_GB2312" w:eastAsia="仿宋_GB2312" w:cs="仿宋_GB2312"/>
                <w:i w:val="0"/>
                <w:iCs w:val="0"/>
                <w:color w:val="auto"/>
                <w:sz w:val="22"/>
                <w:szCs w:val="22"/>
                <w:highlight w:val="none"/>
                <w:u w:val="none"/>
              </w:rPr>
            </w:pPr>
          </w:p>
        </w:tc>
        <w:tc>
          <w:tcPr>
            <w:tcW w:w="2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7451">
            <w:pPr>
              <w:jc w:val="center"/>
              <w:rPr>
                <w:rFonts w:hint="eastAsia" w:ascii="仿宋_GB2312" w:eastAsia="仿宋_GB2312" w:cs="仿宋_GB2312"/>
                <w:i w:val="0"/>
                <w:iCs w:val="0"/>
                <w:color w:val="auto"/>
                <w:sz w:val="22"/>
                <w:szCs w:val="22"/>
                <w:highlight w:val="none"/>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4730">
            <w:pPr>
              <w:jc w:val="center"/>
              <w:rPr>
                <w:rFonts w:hint="eastAsia" w:ascii="仿宋_GB2312" w:eastAsia="仿宋_GB2312" w:cs="仿宋_GB2312"/>
                <w:i w:val="0"/>
                <w:iCs w:val="0"/>
                <w:color w:val="auto"/>
                <w:sz w:val="22"/>
                <w:szCs w:val="22"/>
                <w:highlight w:val="none"/>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CC0B">
            <w:pPr>
              <w:jc w:val="center"/>
              <w:rPr>
                <w:rFonts w:hint="eastAsia" w:ascii="仿宋_GB2312" w:eastAsia="仿宋_GB2312" w:cs="仿宋_GB2312"/>
                <w:i w:val="0"/>
                <w:iCs w:val="0"/>
                <w:color w:val="auto"/>
                <w:sz w:val="22"/>
                <w:szCs w:val="22"/>
                <w:highlight w:val="none"/>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C323">
            <w:pPr>
              <w:jc w:val="center"/>
              <w:rPr>
                <w:rFonts w:hint="eastAsia" w:ascii="仿宋_GB2312" w:eastAsia="仿宋_GB2312" w:cs="仿宋_GB2312"/>
                <w:i w:val="0"/>
                <w:iCs w:val="0"/>
                <w:color w:val="auto"/>
                <w:sz w:val="22"/>
                <w:szCs w:val="22"/>
                <w:highlight w:val="none"/>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B17B">
            <w:pPr>
              <w:jc w:val="center"/>
              <w:rPr>
                <w:rFonts w:hint="eastAsia" w:ascii="仿宋_GB2312" w:eastAsia="仿宋_GB2312" w:cs="仿宋_GB2312"/>
                <w:i w:val="0"/>
                <w:iCs w:val="0"/>
                <w:color w:val="auto"/>
                <w:sz w:val="22"/>
                <w:szCs w:val="22"/>
                <w:highlight w:val="none"/>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0677">
            <w:pPr>
              <w:jc w:val="center"/>
              <w:rPr>
                <w:rFonts w:hint="eastAsia" w:ascii="仿宋_GB2312" w:eastAsia="仿宋_GB2312" w:cs="仿宋_GB2312"/>
                <w:i w:val="0"/>
                <w:iCs w:val="0"/>
                <w:color w:val="auto"/>
                <w:sz w:val="22"/>
                <w:szCs w:val="22"/>
                <w:highlight w:val="none"/>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B7EA">
            <w:pPr>
              <w:jc w:val="center"/>
              <w:rPr>
                <w:rFonts w:hint="eastAsia" w:ascii="仿宋_GB2312" w:eastAsia="仿宋_GB2312" w:cs="仿宋_GB2312"/>
                <w:i w:val="0"/>
                <w:iCs w:val="0"/>
                <w:color w:val="auto"/>
                <w:sz w:val="22"/>
                <w:szCs w:val="22"/>
                <w:highlight w:val="none"/>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FFB7">
            <w:pPr>
              <w:jc w:val="center"/>
              <w:rPr>
                <w:rFonts w:hint="eastAsia" w:ascii="仿宋_GB2312" w:eastAsia="仿宋_GB2312" w:cs="仿宋_GB2312"/>
                <w:i w:val="0"/>
                <w:iCs w:val="0"/>
                <w:color w:val="auto"/>
                <w:sz w:val="22"/>
                <w:szCs w:val="22"/>
                <w:highlight w:val="none"/>
                <w:u w:val="none"/>
              </w:rPr>
            </w:pP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4ED8">
            <w:pPr>
              <w:jc w:val="center"/>
              <w:rPr>
                <w:rFonts w:hint="eastAsia" w:ascii="仿宋_GB2312" w:eastAsia="仿宋_GB2312" w:cs="仿宋_GB2312"/>
                <w:i w:val="0"/>
                <w:iCs w:val="0"/>
                <w:color w:val="auto"/>
                <w:sz w:val="22"/>
                <w:szCs w:val="22"/>
                <w:highlight w:val="none"/>
                <w:u w:val="none"/>
              </w:rPr>
            </w:pPr>
          </w:p>
        </w:tc>
      </w:tr>
      <w:tr w14:paraId="0E4E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CDC9">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3</w:t>
            </w:r>
          </w:p>
        </w:tc>
        <w:tc>
          <w:tcPr>
            <w:tcW w:w="1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FA79">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流动资金</w:t>
            </w:r>
            <w:bookmarkStart w:id="509" w:name="_GoBack"/>
            <w:bookmarkEnd w:id="509"/>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29D8">
            <w:pPr>
              <w:jc w:val="center"/>
              <w:rPr>
                <w:rFonts w:hint="eastAsia" w:ascii="仿宋_GB2312" w:eastAsia="仿宋_GB2312" w:cs="仿宋_GB2312"/>
                <w:i w:val="0"/>
                <w:iCs w:val="0"/>
                <w:color w:val="auto"/>
                <w:sz w:val="22"/>
                <w:szCs w:val="22"/>
                <w:highlight w:val="none"/>
                <w:u w:val="none"/>
              </w:rPr>
            </w:pPr>
          </w:p>
        </w:tc>
        <w:tc>
          <w:tcPr>
            <w:tcW w:w="2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B201">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lang w:val="en-US"/>
              </w:rPr>
            </w:pPr>
            <w:r>
              <w:rPr>
                <w:rFonts w:hint="eastAsia" w:ascii="仿宋_GB2312" w:eastAsia="仿宋_GB2312" w:cs="仿宋_GB2312"/>
                <w:i w:val="0"/>
                <w:iCs w:val="0"/>
                <w:color w:val="auto"/>
                <w:kern w:val="0"/>
                <w:sz w:val="22"/>
                <w:szCs w:val="22"/>
                <w:u w:val="none"/>
                <w:lang w:val="en-US" w:eastAsia="zh-CN"/>
              </w:rPr>
              <w:t>24</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5EF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62</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C23D">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lang w:val="en-US"/>
              </w:rPr>
            </w:pPr>
            <w:r>
              <w:rPr>
                <w:rFonts w:hint="eastAsia" w:ascii="仿宋_GB2312" w:eastAsia="仿宋_GB2312" w:cs="仿宋_GB2312"/>
                <w:i w:val="0"/>
                <w:iCs w:val="0"/>
                <w:color w:val="auto"/>
                <w:kern w:val="0"/>
                <w:sz w:val="22"/>
                <w:szCs w:val="22"/>
                <w:u w:val="none"/>
                <w:lang w:val="en-US" w:eastAsia="zh-CN"/>
              </w:rPr>
              <w:t>62</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F0E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lang w:val="en-US"/>
              </w:rPr>
            </w:pPr>
            <w:r>
              <w:rPr>
                <w:rFonts w:hint="eastAsia" w:ascii="仿宋_GB2312" w:eastAsia="仿宋_GB2312" w:cs="仿宋_GB2312"/>
                <w:i w:val="0"/>
                <w:iCs w:val="0"/>
                <w:color w:val="auto"/>
                <w:kern w:val="0"/>
                <w:sz w:val="22"/>
                <w:szCs w:val="22"/>
                <w:u w:val="none"/>
                <w:lang w:val="en-US" w:eastAsia="zh-CN"/>
              </w:rPr>
              <w:t>62</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0579">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lang w:val="en-US"/>
              </w:rPr>
            </w:pPr>
            <w:r>
              <w:rPr>
                <w:rFonts w:hint="eastAsia" w:ascii="仿宋_GB2312" w:eastAsia="仿宋_GB2312" w:cs="仿宋_GB2312"/>
                <w:i w:val="0"/>
                <w:iCs w:val="0"/>
                <w:color w:val="auto"/>
                <w:kern w:val="0"/>
                <w:sz w:val="22"/>
                <w:szCs w:val="22"/>
                <w:u w:val="none"/>
                <w:lang w:val="en-US" w:eastAsia="zh-CN"/>
              </w:rPr>
              <w:t>62</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778D">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lang w:val="en-US"/>
              </w:rPr>
            </w:pPr>
            <w:r>
              <w:rPr>
                <w:rFonts w:hint="eastAsia" w:ascii="仿宋_GB2312" w:eastAsia="仿宋_GB2312" w:cs="仿宋_GB2312"/>
                <w:i w:val="0"/>
                <w:iCs w:val="0"/>
                <w:color w:val="auto"/>
                <w:kern w:val="0"/>
                <w:sz w:val="22"/>
                <w:szCs w:val="22"/>
                <w:u w:val="none"/>
                <w:lang w:val="en-US" w:eastAsia="zh-CN"/>
              </w:rPr>
              <w:t>62</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0CAF">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lang w:val="en-US"/>
              </w:rPr>
            </w:pPr>
            <w:r>
              <w:rPr>
                <w:rFonts w:hint="eastAsia" w:ascii="仿宋_GB2312" w:eastAsia="仿宋_GB2312" w:cs="仿宋_GB2312"/>
                <w:i w:val="0"/>
                <w:iCs w:val="0"/>
                <w:color w:val="auto"/>
                <w:kern w:val="0"/>
                <w:sz w:val="22"/>
                <w:szCs w:val="22"/>
                <w:u w:val="none"/>
                <w:lang w:val="en-US" w:eastAsia="zh-CN"/>
              </w:rPr>
              <w:t>62</w:t>
            </w: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B549">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lang w:val="en-US"/>
              </w:rPr>
            </w:pPr>
            <w:r>
              <w:rPr>
                <w:rFonts w:hint="eastAsia" w:ascii="仿宋_GB2312" w:eastAsia="仿宋_GB2312" w:cs="仿宋_GB2312"/>
                <w:i w:val="0"/>
                <w:iCs w:val="0"/>
                <w:color w:val="auto"/>
                <w:kern w:val="0"/>
                <w:sz w:val="22"/>
                <w:szCs w:val="22"/>
                <w:u w:val="none"/>
                <w:lang w:val="en-US" w:eastAsia="zh-CN"/>
              </w:rPr>
              <w:t>62</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57C9">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18</w:t>
            </w:r>
          </w:p>
        </w:tc>
      </w:tr>
      <w:tr w14:paraId="4345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4D5E">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4</w:t>
            </w:r>
          </w:p>
        </w:tc>
        <w:tc>
          <w:tcPr>
            <w:tcW w:w="1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9A05">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流动资金本年增加额</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60F0">
            <w:pPr>
              <w:jc w:val="center"/>
              <w:rPr>
                <w:rFonts w:hint="eastAsia" w:ascii="仿宋_GB2312" w:eastAsia="仿宋_GB2312" w:cs="仿宋_GB2312"/>
                <w:i w:val="0"/>
                <w:iCs w:val="0"/>
                <w:color w:val="auto"/>
                <w:sz w:val="22"/>
                <w:szCs w:val="22"/>
                <w:highlight w:val="none"/>
                <w:u w:val="none"/>
              </w:rPr>
            </w:pPr>
          </w:p>
        </w:tc>
        <w:tc>
          <w:tcPr>
            <w:tcW w:w="2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402F">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24</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3A4D">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38</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5B72">
            <w:pPr>
              <w:jc w:val="center"/>
              <w:rPr>
                <w:rFonts w:hint="eastAsia" w:ascii="仿宋_GB2312" w:eastAsia="仿宋_GB2312" w:cs="仿宋_GB2312"/>
                <w:i w:val="0"/>
                <w:iCs w:val="0"/>
                <w:color w:val="auto"/>
                <w:sz w:val="22"/>
                <w:szCs w:val="22"/>
                <w:highlight w:val="none"/>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0E59">
            <w:pPr>
              <w:jc w:val="center"/>
              <w:rPr>
                <w:rFonts w:hint="eastAsia" w:ascii="仿宋_GB2312" w:eastAsia="仿宋_GB2312" w:cs="仿宋_GB2312"/>
                <w:i w:val="0"/>
                <w:iCs w:val="0"/>
                <w:color w:val="auto"/>
                <w:sz w:val="22"/>
                <w:szCs w:val="22"/>
                <w:highlight w:val="none"/>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AA4E">
            <w:pPr>
              <w:jc w:val="center"/>
              <w:rPr>
                <w:rFonts w:hint="eastAsia" w:ascii="仿宋_GB2312" w:eastAsia="仿宋_GB2312" w:cs="仿宋_GB2312"/>
                <w:i w:val="0"/>
                <w:iCs w:val="0"/>
                <w:color w:val="auto"/>
                <w:sz w:val="22"/>
                <w:szCs w:val="22"/>
                <w:highlight w:val="none"/>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5B9A">
            <w:pPr>
              <w:jc w:val="center"/>
              <w:rPr>
                <w:rFonts w:hint="eastAsia" w:ascii="仿宋_GB2312" w:eastAsia="仿宋_GB2312" w:cs="仿宋_GB2312"/>
                <w:i w:val="0"/>
                <w:iCs w:val="0"/>
                <w:color w:val="auto"/>
                <w:sz w:val="22"/>
                <w:szCs w:val="22"/>
                <w:highlight w:val="none"/>
                <w:u w:val="none"/>
              </w:rPr>
            </w:pP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21A2">
            <w:pPr>
              <w:jc w:val="center"/>
              <w:rPr>
                <w:rFonts w:hint="eastAsia" w:ascii="仿宋_GB2312" w:eastAsia="仿宋_GB2312" w:cs="仿宋_GB2312"/>
                <w:i w:val="0"/>
                <w:iCs w:val="0"/>
                <w:color w:val="auto"/>
                <w:sz w:val="22"/>
                <w:szCs w:val="22"/>
                <w:highlight w:val="none"/>
                <w:u w:val="none"/>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022F">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-44</w:t>
            </w:r>
          </w:p>
        </w:tc>
        <w:tc>
          <w:tcPr>
            <w:tcW w:w="1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16A8">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-18</w:t>
            </w:r>
          </w:p>
        </w:tc>
      </w:tr>
    </w:tbl>
    <w:p w14:paraId="2FC55654">
      <w:pPr>
        <w:pStyle w:val="79"/>
        <w:adjustRightInd w:val="0"/>
        <w:snapToGrid w:val="0"/>
        <w:spacing w:line="360" w:lineRule="auto"/>
        <w:rPr>
          <w:rFonts w:hint="eastAsia" w:ascii="仿宋_GB2312" w:eastAsia="仿宋_GB2312" w:cs="仿宋_GB2312"/>
          <w:color w:val="auto"/>
          <w:sz w:val="28"/>
          <w:szCs w:val="28"/>
          <w:highlight w:val="none"/>
        </w:rPr>
        <w:sectPr>
          <w:pgSz w:w="11906" w:h="16838"/>
          <w:pgMar w:top="1814" w:right="1474" w:bottom="1814" w:left="1474" w:header="1361" w:footer="1361" w:gutter="0"/>
          <w:cols w:space="720" w:num="1"/>
          <w:docGrid w:type="lines" w:linePitch="381" w:charSpace="0"/>
        </w:sectPr>
      </w:pPr>
    </w:p>
    <w:p w14:paraId="2EA33A28">
      <w:pPr>
        <w:pStyle w:val="79"/>
        <w:adjustRightInd w:val="0"/>
        <w:snapToGrid w:val="0"/>
        <w:spacing w:line="360" w:lineRule="auto"/>
        <w:jc w:val="center"/>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附表3  销售收入、销售税金及附加和增值税估算表（单位：万元）</w:t>
      </w:r>
    </w:p>
    <w:tbl>
      <w:tblPr>
        <w:tblStyle w:val="6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756"/>
        <w:gridCol w:w="656"/>
        <w:gridCol w:w="1731"/>
        <w:gridCol w:w="546"/>
        <w:gridCol w:w="546"/>
        <w:gridCol w:w="546"/>
        <w:gridCol w:w="546"/>
        <w:gridCol w:w="546"/>
        <w:gridCol w:w="546"/>
        <w:gridCol w:w="546"/>
        <w:gridCol w:w="546"/>
      </w:tblGrid>
      <w:tr w14:paraId="62C4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1D0D">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序号</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0C81">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产 品 名 称</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26CC">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合计</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71EF">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建设期</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35F1">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0C5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6FAE">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3</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C9E5">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BAE4">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0A27">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6</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311A">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7</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FCA3">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8</w:t>
            </w:r>
          </w:p>
        </w:tc>
      </w:tr>
      <w:tr w14:paraId="026CE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542F">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1875">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销售收入</w:t>
            </w:r>
          </w:p>
        </w:tc>
        <w:tc>
          <w:tcPr>
            <w:tcW w:w="1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6C97">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 xml:space="preserve">3740 </w:t>
            </w:r>
          </w:p>
        </w:tc>
        <w:tc>
          <w:tcPr>
            <w:tcW w:w="2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DA54">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100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87FE">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7DA5">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9243">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9D27">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19D4">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E94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2744">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FB6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140</w:t>
            </w:r>
          </w:p>
        </w:tc>
      </w:tr>
      <w:tr w14:paraId="307C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CBAB">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FB73">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增值税</w:t>
            </w:r>
          </w:p>
        </w:tc>
        <w:tc>
          <w:tcPr>
            <w:tcW w:w="1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5485">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 xml:space="preserve">470 </w:t>
            </w:r>
          </w:p>
        </w:tc>
        <w:tc>
          <w:tcPr>
            <w:tcW w:w="2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F82D">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F2B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0E3F">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0B3C">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6BA0">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0541">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AA90">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2849">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63</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465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18</w:t>
            </w:r>
          </w:p>
        </w:tc>
      </w:tr>
      <w:tr w14:paraId="1179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2783">
            <w:pPr>
              <w:jc w:val="center"/>
              <w:rPr>
                <w:rFonts w:hint="eastAsia" w:ascii="仿宋_GB2312" w:eastAsia="仿宋_GB2312" w:cs="仿宋_GB2312"/>
                <w:i w:val="0"/>
                <w:iCs w:val="0"/>
                <w:color w:val="auto"/>
                <w:sz w:val="22"/>
                <w:szCs w:val="22"/>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7F2F">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销项税</w:t>
            </w:r>
          </w:p>
        </w:tc>
        <w:tc>
          <w:tcPr>
            <w:tcW w:w="1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F20E">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 xml:space="preserve">486 </w:t>
            </w:r>
          </w:p>
        </w:tc>
        <w:tc>
          <w:tcPr>
            <w:tcW w:w="2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8D6C">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AB2D">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65</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33DC">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65</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946C">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65</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ED4C">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65</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E15C">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65</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93A0">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65</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66AA">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65</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6395">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18</w:t>
            </w:r>
          </w:p>
        </w:tc>
      </w:tr>
      <w:tr w14:paraId="6415F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B26E">
            <w:pPr>
              <w:jc w:val="center"/>
              <w:rPr>
                <w:rFonts w:hint="eastAsia" w:ascii="仿宋_GB2312" w:eastAsia="仿宋_GB2312" w:cs="仿宋_GB2312"/>
                <w:i w:val="0"/>
                <w:iCs w:val="0"/>
                <w:color w:val="auto"/>
                <w:sz w:val="22"/>
                <w:szCs w:val="22"/>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3AFE">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进项税</w:t>
            </w:r>
          </w:p>
        </w:tc>
        <w:tc>
          <w:tcPr>
            <w:tcW w:w="1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EA9A">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 xml:space="preserve">16 </w:t>
            </w:r>
          </w:p>
        </w:tc>
        <w:tc>
          <w:tcPr>
            <w:tcW w:w="2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5127">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150A">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C9F4">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9C93">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F3F9">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95E4">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E94D">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D2A2">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3133">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r>
      <w:tr w14:paraId="13341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633C">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3</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E34B">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销售税金及附加</w:t>
            </w:r>
          </w:p>
        </w:tc>
        <w:tc>
          <w:tcPr>
            <w:tcW w:w="1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0653">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 xml:space="preserve">327 </w:t>
            </w:r>
          </w:p>
        </w:tc>
        <w:tc>
          <w:tcPr>
            <w:tcW w:w="2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251B">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9</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3307">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44</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E55F">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44</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ACA2">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44</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8FED">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44</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80A2">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44</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9B8A">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44</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AF39">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44</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695C">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12</w:t>
            </w:r>
          </w:p>
        </w:tc>
      </w:tr>
      <w:tr w14:paraId="2ED69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A557">
            <w:pPr>
              <w:jc w:val="center"/>
              <w:rPr>
                <w:rFonts w:hint="eastAsia" w:ascii="仿宋_GB2312" w:eastAsia="仿宋_GB2312" w:cs="仿宋_GB2312"/>
                <w:i w:val="0"/>
                <w:iCs w:val="0"/>
                <w:color w:val="auto"/>
                <w:sz w:val="22"/>
                <w:szCs w:val="22"/>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8E10">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城市维护建设税</w:t>
            </w:r>
          </w:p>
        </w:tc>
        <w:tc>
          <w:tcPr>
            <w:tcW w:w="1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1B28">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 xml:space="preserve">5 </w:t>
            </w:r>
          </w:p>
        </w:tc>
        <w:tc>
          <w:tcPr>
            <w:tcW w:w="2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C58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A62C">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F74C">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F16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36E4">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2147">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EC08">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FFED">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AD68">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0</w:t>
            </w:r>
          </w:p>
        </w:tc>
      </w:tr>
      <w:tr w14:paraId="50E2E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0C37">
            <w:pPr>
              <w:jc w:val="center"/>
              <w:rPr>
                <w:rFonts w:hint="eastAsia" w:ascii="仿宋_GB2312" w:eastAsia="仿宋_GB2312" w:cs="仿宋_GB2312"/>
                <w:i w:val="0"/>
                <w:iCs w:val="0"/>
                <w:color w:val="auto"/>
                <w:sz w:val="22"/>
                <w:szCs w:val="22"/>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CFBE">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教育费附加</w:t>
            </w:r>
          </w:p>
        </w:tc>
        <w:tc>
          <w:tcPr>
            <w:tcW w:w="1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CFBA">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 xml:space="preserve">24 </w:t>
            </w:r>
          </w:p>
        </w:tc>
        <w:tc>
          <w:tcPr>
            <w:tcW w:w="2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4CAD">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2B51">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2547">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DF4E">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0BD3">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3F5C">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8102">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BB72">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0260">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r>
      <w:tr w14:paraId="0DCA1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338F">
            <w:pPr>
              <w:jc w:val="center"/>
              <w:rPr>
                <w:rFonts w:hint="eastAsia" w:ascii="仿宋_GB2312" w:eastAsia="仿宋_GB2312" w:cs="仿宋_GB2312"/>
                <w:i w:val="0"/>
                <w:iCs w:val="0"/>
                <w:color w:val="auto"/>
                <w:sz w:val="22"/>
                <w:szCs w:val="22"/>
                <w:highlight w:val="none"/>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2C25">
            <w:pPr>
              <w:keepNext w:val="0"/>
              <w:keepLines w:val="0"/>
              <w:widowControl/>
              <w:suppressLineNumbers w:val="0"/>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矿产资源税</w:t>
            </w:r>
          </w:p>
        </w:tc>
        <w:tc>
          <w:tcPr>
            <w:tcW w:w="1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A924">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 xml:space="preserve">299 </w:t>
            </w:r>
          </w:p>
        </w:tc>
        <w:tc>
          <w:tcPr>
            <w:tcW w:w="2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1AAC">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8</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5571">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9D06">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C90E">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EEF9F">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6021">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90DE">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40</w:t>
            </w:r>
          </w:p>
        </w:tc>
        <w:tc>
          <w:tcPr>
            <w:tcW w:w="1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39E7">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40</w:t>
            </w:r>
          </w:p>
        </w:tc>
        <w:tc>
          <w:tcPr>
            <w:tcW w:w="1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3CA8">
            <w:pPr>
              <w:keepNext w:val="0"/>
              <w:keepLines w:val="0"/>
              <w:widowControl/>
              <w:suppressLineNumbers w:val="0"/>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w:t>
            </w:r>
          </w:p>
        </w:tc>
      </w:tr>
    </w:tbl>
    <w:p w14:paraId="0D2860AB">
      <w:pPr>
        <w:pStyle w:val="79"/>
        <w:adjustRightInd w:val="0"/>
        <w:snapToGrid w:val="0"/>
        <w:spacing w:line="360" w:lineRule="auto"/>
        <w:rPr>
          <w:rFonts w:hint="eastAsia" w:ascii="仿宋_GB2312" w:eastAsia="仿宋_GB2312" w:cs="仿宋_GB2312"/>
          <w:color w:val="auto"/>
          <w:sz w:val="28"/>
          <w:szCs w:val="28"/>
          <w:highlight w:val="none"/>
        </w:rPr>
        <w:sectPr>
          <w:pgSz w:w="11906" w:h="16838"/>
          <w:pgMar w:top="1814" w:right="1474" w:bottom="1814" w:left="1474" w:header="1361" w:footer="1361" w:gutter="0"/>
          <w:cols w:space="720" w:num="1"/>
          <w:docGrid w:type="lines" w:linePitch="381" w:charSpace="0"/>
        </w:sectPr>
      </w:pPr>
    </w:p>
    <w:p w14:paraId="09793D9B">
      <w:pPr>
        <w:pStyle w:val="79"/>
        <w:adjustRightInd w:val="0"/>
        <w:snapToGrid w:val="0"/>
        <w:spacing w:line="360" w:lineRule="auto"/>
        <w:jc w:val="center"/>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附表4  采矿制造成本估算表</w:t>
      </w:r>
    </w:p>
    <w:tbl>
      <w:tblPr>
        <w:tblStyle w:val="6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39"/>
        <w:gridCol w:w="1472"/>
        <w:gridCol w:w="1053"/>
        <w:gridCol w:w="949"/>
        <w:gridCol w:w="1158"/>
        <w:gridCol w:w="1053"/>
        <w:gridCol w:w="1682"/>
        <w:gridCol w:w="975"/>
      </w:tblGrid>
      <w:tr w14:paraId="459F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shd w:val="clear" w:color="auto" w:fill="auto"/>
            <w:noWrap/>
            <w:vAlign w:val="center"/>
          </w:tcPr>
          <w:p w14:paraId="7D97FF04">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序 号</w:t>
            </w:r>
          </w:p>
        </w:tc>
        <w:tc>
          <w:tcPr>
            <w:shd w:val="clear" w:color="auto" w:fill="auto"/>
            <w:noWrap/>
            <w:vAlign w:val="center"/>
          </w:tcPr>
          <w:p w14:paraId="108D2779">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项  目</w:t>
            </w:r>
          </w:p>
        </w:tc>
        <w:tc>
          <w:tcPr>
            <w:shd w:val="clear" w:color="auto" w:fill="auto"/>
            <w:noWrap/>
            <w:vAlign w:val="center"/>
          </w:tcPr>
          <w:p w14:paraId="7D1AB281">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单 位</w:t>
            </w:r>
          </w:p>
        </w:tc>
        <w:tc>
          <w:tcPr>
            <w:shd w:val="clear" w:color="auto" w:fill="auto"/>
            <w:vAlign w:val="center"/>
          </w:tcPr>
          <w:p w14:paraId="085029FA">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单 价(元)</w:t>
            </w:r>
          </w:p>
        </w:tc>
        <w:tc>
          <w:tcPr>
            <w:shd w:val="clear" w:color="auto" w:fill="auto"/>
            <w:noWrap/>
            <w:vAlign w:val="center"/>
          </w:tcPr>
          <w:p w14:paraId="6ECFAC46">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单耗(/kt)</w:t>
            </w:r>
          </w:p>
        </w:tc>
        <w:tc>
          <w:tcPr>
            <w:shd w:val="clear" w:color="auto" w:fill="auto"/>
            <w:noWrap/>
            <w:vAlign w:val="center"/>
          </w:tcPr>
          <w:p w14:paraId="48F7AB6C">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年耗(/a)</w:t>
            </w:r>
          </w:p>
        </w:tc>
        <w:tc>
          <w:tcPr>
            <w:shd w:val="clear" w:color="auto" w:fill="auto"/>
            <w:noWrap/>
            <w:vAlign w:val="center"/>
          </w:tcPr>
          <w:p w14:paraId="374B2285">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年费用(万元/a)</w:t>
            </w:r>
          </w:p>
        </w:tc>
        <w:tc>
          <w:tcPr>
            <w:shd w:val="clear" w:color="auto" w:fill="auto"/>
            <w:vAlign w:val="center"/>
          </w:tcPr>
          <w:p w14:paraId="44E61B75">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单位成本(元/t)</w:t>
            </w:r>
          </w:p>
        </w:tc>
      </w:tr>
      <w:tr w14:paraId="0B88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07EF2600">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一</w:t>
            </w:r>
          </w:p>
        </w:tc>
        <w:tc>
          <w:tcPr>
            <w:tcBorders>
              <w:top w:val="single" w:color="auto" w:sz="4" w:space="0"/>
              <w:left w:val="single" w:color="auto" w:sz="4" w:space="0"/>
              <w:right w:val="single" w:color="auto" w:sz="4" w:space="0"/>
            </w:tcBorders>
            <w:shd w:val="clear" w:color="auto" w:fill="auto"/>
            <w:noWrap/>
            <w:vAlign w:val="center"/>
          </w:tcPr>
          <w:p w14:paraId="6F825DB7">
            <w:pPr>
              <w:keepNext w:val="0"/>
              <w:keepLines w:val="0"/>
              <w:widowControl/>
              <w:suppressLineNumbers w:val="0"/>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辅助材料</w:t>
            </w:r>
          </w:p>
        </w:tc>
        <w:tc>
          <w:tcPr>
            <w:tcBorders>
              <w:top w:val="single" w:color="auto" w:sz="4" w:space="0"/>
              <w:left w:val="single" w:color="auto" w:sz="4" w:space="0"/>
              <w:right w:val="single" w:color="auto" w:sz="4" w:space="0"/>
            </w:tcBorders>
            <w:shd w:val="clear" w:color="auto" w:fill="auto"/>
            <w:noWrap/>
            <w:vAlign w:val="center"/>
          </w:tcPr>
          <w:p w14:paraId="02EE9993">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3BA8B801">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77F372BC">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686F22F9">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29ADD92D">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 xml:space="preserve">3.40 </w:t>
            </w:r>
          </w:p>
        </w:tc>
        <w:tc>
          <w:tcPr>
            <w:tcBorders>
              <w:top w:val="single" w:color="auto" w:sz="4" w:space="0"/>
              <w:left w:val="single" w:color="auto" w:sz="4" w:space="0"/>
              <w:right w:val="single" w:color="auto" w:sz="4" w:space="0"/>
            </w:tcBorders>
            <w:shd w:val="clear" w:color="auto" w:fill="auto"/>
            <w:noWrap/>
            <w:vAlign w:val="center"/>
          </w:tcPr>
          <w:p w14:paraId="7EE29432">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0.17</w:t>
            </w:r>
          </w:p>
        </w:tc>
      </w:tr>
      <w:tr w14:paraId="16E0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02BD8321">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43F9BBA8">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铲齿</w:t>
            </w:r>
          </w:p>
        </w:tc>
        <w:tc>
          <w:tcPr>
            <w:tcBorders>
              <w:top w:val="single" w:color="auto" w:sz="4" w:space="0"/>
              <w:left w:val="single" w:color="auto" w:sz="4" w:space="0"/>
              <w:right w:val="single" w:color="auto" w:sz="4" w:space="0"/>
            </w:tcBorders>
            <w:shd w:val="clear" w:color="auto" w:fill="auto"/>
            <w:noWrap/>
            <w:vAlign w:val="center"/>
          </w:tcPr>
          <w:p w14:paraId="3DDC3521">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个</w:t>
            </w:r>
          </w:p>
        </w:tc>
        <w:tc>
          <w:tcPr>
            <w:tcBorders>
              <w:top w:val="single" w:color="auto" w:sz="4" w:space="0"/>
              <w:left w:val="single" w:color="auto" w:sz="4" w:space="0"/>
              <w:right w:val="single" w:color="auto" w:sz="4" w:space="0"/>
            </w:tcBorders>
            <w:shd w:val="clear" w:color="auto" w:fill="auto"/>
            <w:noWrap/>
            <w:vAlign w:val="center"/>
          </w:tcPr>
          <w:p w14:paraId="1F6BCBCD">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 xml:space="preserve">54.00 </w:t>
            </w:r>
          </w:p>
        </w:tc>
        <w:tc>
          <w:tcPr>
            <w:tcBorders>
              <w:top w:val="single" w:color="auto" w:sz="4" w:space="0"/>
              <w:left w:val="single" w:color="auto" w:sz="4" w:space="0"/>
              <w:right w:val="single" w:color="auto" w:sz="4" w:space="0"/>
            </w:tcBorders>
            <w:shd w:val="clear" w:color="auto" w:fill="auto"/>
            <w:noWrap/>
            <w:vAlign w:val="center"/>
          </w:tcPr>
          <w:p w14:paraId="1EA8A650">
            <w:pPr>
              <w:keepNext w:val="0"/>
              <w:keepLines w:val="0"/>
              <w:widowControl/>
              <w:suppressLineNumbers w:val="0"/>
              <w:jc w:val="both"/>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0.142</w:t>
            </w:r>
          </w:p>
        </w:tc>
        <w:tc>
          <w:tcPr>
            <w:tcBorders>
              <w:top w:val="single" w:color="auto" w:sz="4" w:space="0"/>
              <w:left w:val="single" w:color="auto" w:sz="4" w:space="0"/>
              <w:right w:val="single" w:color="auto" w:sz="4" w:space="0"/>
            </w:tcBorders>
            <w:shd w:val="clear" w:color="auto" w:fill="auto"/>
            <w:noWrap/>
            <w:vAlign w:val="center"/>
          </w:tcPr>
          <w:p w14:paraId="46B3A12E">
            <w:pPr>
              <w:keepNext w:val="0"/>
              <w:keepLines w:val="0"/>
              <w:widowControl/>
              <w:suppressLineNumbers w:val="0"/>
              <w:jc w:val="both"/>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28.4</w:t>
            </w:r>
          </w:p>
        </w:tc>
        <w:tc>
          <w:tcPr>
            <w:tcBorders>
              <w:top w:val="single" w:color="auto" w:sz="4" w:space="0"/>
              <w:left w:val="single" w:color="auto" w:sz="4" w:space="0"/>
              <w:right w:val="single" w:color="auto" w:sz="4" w:space="0"/>
            </w:tcBorders>
            <w:shd w:val="clear" w:color="auto" w:fill="auto"/>
            <w:noWrap/>
            <w:vAlign w:val="center"/>
          </w:tcPr>
          <w:p w14:paraId="61E1F397">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 xml:space="preserve">0.15 </w:t>
            </w:r>
          </w:p>
        </w:tc>
        <w:tc>
          <w:tcPr>
            <w:tcBorders>
              <w:top w:val="single" w:color="auto" w:sz="4" w:space="0"/>
              <w:left w:val="single" w:color="auto" w:sz="4" w:space="0"/>
              <w:right w:val="single" w:color="auto" w:sz="4" w:space="0"/>
            </w:tcBorders>
            <w:shd w:val="clear" w:color="auto" w:fill="auto"/>
            <w:noWrap/>
            <w:vAlign w:val="center"/>
          </w:tcPr>
          <w:p w14:paraId="3401C0A9">
            <w:pPr>
              <w:jc w:val="center"/>
              <w:rPr>
                <w:rFonts w:hint="eastAsia" w:ascii="仿宋_GB2312" w:eastAsia="仿宋_GB2312" w:cs="仿宋_GB2312"/>
                <w:i w:val="0"/>
                <w:iCs w:val="0"/>
                <w:color w:val="auto"/>
                <w:sz w:val="21"/>
                <w:szCs w:val="21"/>
                <w:highlight w:val="none"/>
                <w:u w:val="none"/>
              </w:rPr>
            </w:pPr>
          </w:p>
        </w:tc>
      </w:tr>
      <w:tr w14:paraId="2B09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594CF947">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495E1D7F">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液压油</w:t>
            </w:r>
          </w:p>
        </w:tc>
        <w:tc>
          <w:tcPr>
            <w:tcBorders>
              <w:top w:val="single" w:color="auto" w:sz="4" w:space="0"/>
              <w:left w:val="single" w:color="auto" w:sz="4" w:space="0"/>
              <w:right w:val="single" w:color="auto" w:sz="4" w:space="0"/>
            </w:tcBorders>
            <w:shd w:val="clear" w:color="auto" w:fill="auto"/>
            <w:noWrap/>
            <w:vAlign w:val="center"/>
          </w:tcPr>
          <w:p w14:paraId="7BD2EC19">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kg</w:t>
            </w:r>
          </w:p>
        </w:tc>
        <w:tc>
          <w:tcPr>
            <w:tcBorders>
              <w:top w:val="single" w:color="auto" w:sz="4" w:space="0"/>
              <w:left w:val="single" w:color="auto" w:sz="4" w:space="0"/>
              <w:right w:val="single" w:color="auto" w:sz="4" w:space="0"/>
            </w:tcBorders>
            <w:shd w:val="clear" w:color="auto" w:fill="auto"/>
            <w:noWrap/>
            <w:vAlign w:val="center"/>
          </w:tcPr>
          <w:p w14:paraId="3FE7E5C4">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 xml:space="preserve">12.50 </w:t>
            </w:r>
          </w:p>
        </w:tc>
        <w:tc>
          <w:tcPr>
            <w:tcBorders>
              <w:top w:val="single" w:color="auto" w:sz="4" w:space="0"/>
              <w:left w:val="single" w:color="auto" w:sz="4" w:space="0"/>
              <w:right w:val="single" w:color="auto" w:sz="4" w:space="0"/>
            </w:tcBorders>
            <w:shd w:val="clear" w:color="auto" w:fill="auto"/>
            <w:vAlign w:val="center"/>
          </w:tcPr>
          <w:p w14:paraId="5B08112A">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0.162</w:t>
            </w:r>
          </w:p>
        </w:tc>
        <w:tc>
          <w:tcPr>
            <w:tcBorders>
              <w:top w:val="single" w:color="auto" w:sz="4" w:space="0"/>
              <w:left w:val="single" w:color="auto" w:sz="4" w:space="0"/>
              <w:right w:val="single" w:color="auto" w:sz="4" w:space="0"/>
            </w:tcBorders>
            <w:shd w:val="clear" w:color="auto" w:fill="auto"/>
            <w:vAlign w:val="center"/>
          </w:tcPr>
          <w:p w14:paraId="6A3FA5E8">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32.4</w:t>
            </w:r>
          </w:p>
        </w:tc>
        <w:tc>
          <w:tcPr>
            <w:tcBorders>
              <w:top w:val="single" w:color="auto" w:sz="4" w:space="0"/>
              <w:left w:val="single" w:color="auto" w:sz="4" w:space="0"/>
              <w:right w:val="single" w:color="auto" w:sz="4" w:space="0"/>
            </w:tcBorders>
            <w:shd w:val="clear" w:color="auto" w:fill="auto"/>
            <w:noWrap/>
            <w:vAlign w:val="center"/>
          </w:tcPr>
          <w:p w14:paraId="2F96B3BA">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 xml:space="preserve">0.04 </w:t>
            </w:r>
          </w:p>
        </w:tc>
        <w:tc>
          <w:tcPr>
            <w:tcBorders>
              <w:top w:val="single" w:color="auto" w:sz="4" w:space="0"/>
              <w:left w:val="single" w:color="auto" w:sz="4" w:space="0"/>
              <w:right w:val="single" w:color="auto" w:sz="4" w:space="0"/>
            </w:tcBorders>
            <w:shd w:val="clear" w:color="auto" w:fill="auto"/>
            <w:noWrap/>
            <w:vAlign w:val="center"/>
          </w:tcPr>
          <w:p w14:paraId="79FBBCA0">
            <w:pPr>
              <w:jc w:val="center"/>
              <w:rPr>
                <w:rFonts w:hint="eastAsia" w:ascii="仿宋_GB2312" w:eastAsia="仿宋_GB2312" w:cs="仿宋_GB2312"/>
                <w:i w:val="0"/>
                <w:iCs w:val="0"/>
                <w:color w:val="auto"/>
                <w:sz w:val="21"/>
                <w:szCs w:val="21"/>
                <w:highlight w:val="none"/>
                <w:u w:val="none"/>
              </w:rPr>
            </w:pPr>
          </w:p>
        </w:tc>
      </w:tr>
      <w:tr w14:paraId="2DB7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38E654FE">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15C636EB">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机油</w:t>
            </w:r>
          </w:p>
        </w:tc>
        <w:tc>
          <w:tcPr>
            <w:tcBorders>
              <w:top w:val="single" w:color="auto" w:sz="4" w:space="0"/>
              <w:left w:val="single" w:color="auto" w:sz="4" w:space="0"/>
              <w:right w:val="single" w:color="auto" w:sz="4" w:space="0"/>
            </w:tcBorders>
            <w:shd w:val="clear" w:color="auto" w:fill="auto"/>
            <w:noWrap/>
            <w:vAlign w:val="center"/>
          </w:tcPr>
          <w:p w14:paraId="70CF0C3B">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m</w:t>
            </w:r>
          </w:p>
        </w:tc>
        <w:tc>
          <w:tcPr>
            <w:tcBorders>
              <w:top w:val="single" w:color="auto" w:sz="4" w:space="0"/>
              <w:left w:val="single" w:color="auto" w:sz="4" w:space="0"/>
              <w:right w:val="single" w:color="auto" w:sz="4" w:space="0"/>
            </w:tcBorders>
            <w:shd w:val="clear" w:color="auto" w:fill="auto"/>
            <w:noWrap/>
            <w:vAlign w:val="center"/>
          </w:tcPr>
          <w:p w14:paraId="21DE94B8">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 xml:space="preserve">20.00 </w:t>
            </w:r>
          </w:p>
        </w:tc>
        <w:tc>
          <w:tcPr>
            <w:tcBorders>
              <w:top w:val="single" w:color="auto" w:sz="4" w:space="0"/>
              <w:left w:val="single" w:color="auto" w:sz="4" w:space="0"/>
              <w:right w:val="single" w:color="auto" w:sz="4" w:space="0"/>
            </w:tcBorders>
            <w:shd w:val="clear" w:color="auto" w:fill="auto"/>
            <w:vAlign w:val="center"/>
          </w:tcPr>
          <w:p w14:paraId="11E2ABFD">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2.46</w:t>
            </w:r>
          </w:p>
        </w:tc>
        <w:tc>
          <w:tcPr>
            <w:tcBorders>
              <w:top w:val="single" w:color="auto" w:sz="4" w:space="0"/>
              <w:left w:val="single" w:color="auto" w:sz="4" w:space="0"/>
              <w:right w:val="single" w:color="auto" w:sz="4" w:space="0"/>
            </w:tcBorders>
            <w:shd w:val="clear" w:color="auto" w:fill="auto"/>
            <w:vAlign w:val="center"/>
          </w:tcPr>
          <w:p w14:paraId="133B6A7E">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492</w:t>
            </w:r>
          </w:p>
        </w:tc>
        <w:tc>
          <w:tcPr>
            <w:tcBorders>
              <w:top w:val="single" w:color="auto" w:sz="4" w:space="0"/>
              <w:left w:val="single" w:color="auto" w:sz="4" w:space="0"/>
              <w:right w:val="single" w:color="auto" w:sz="4" w:space="0"/>
            </w:tcBorders>
            <w:shd w:val="clear" w:color="auto" w:fill="auto"/>
            <w:noWrap/>
            <w:vAlign w:val="center"/>
          </w:tcPr>
          <w:p w14:paraId="0D86FDB5">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 xml:space="preserve">0.98 </w:t>
            </w:r>
          </w:p>
        </w:tc>
        <w:tc>
          <w:tcPr>
            <w:tcBorders>
              <w:top w:val="single" w:color="auto" w:sz="4" w:space="0"/>
              <w:left w:val="single" w:color="auto" w:sz="4" w:space="0"/>
              <w:right w:val="single" w:color="auto" w:sz="4" w:space="0"/>
            </w:tcBorders>
            <w:shd w:val="clear" w:color="auto" w:fill="auto"/>
            <w:noWrap/>
            <w:vAlign w:val="center"/>
          </w:tcPr>
          <w:p w14:paraId="7F752393">
            <w:pPr>
              <w:jc w:val="center"/>
              <w:rPr>
                <w:rFonts w:hint="eastAsia" w:ascii="仿宋_GB2312" w:eastAsia="仿宋_GB2312" w:cs="仿宋_GB2312"/>
                <w:i w:val="0"/>
                <w:iCs w:val="0"/>
                <w:color w:val="auto"/>
                <w:sz w:val="21"/>
                <w:szCs w:val="21"/>
                <w:highlight w:val="none"/>
                <w:u w:val="none"/>
              </w:rPr>
            </w:pPr>
          </w:p>
        </w:tc>
      </w:tr>
      <w:tr w14:paraId="5C74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76ECAA2D">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0C0A9CDA">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其他油类</w:t>
            </w:r>
          </w:p>
        </w:tc>
        <w:tc>
          <w:tcPr>
            <w:tcBorders>
              <w:top w:val="single" w:color="auto" w:sz="4" w:space="0"/>
              <w:left w:val="single" w:color="auto" w:sz="4" w:space="0"/>
              <w:right w:val="single" w:color="auto" w:sz="4" w:space="0"/>
            </w:tcBorders>
            <w:shd w:val="clear" w:color="auto" w:fill="auto"/>
            <w:noWrap/>
            <w:vAlign w:val="center"/>
          </w:tcPr>
          <w:p w14:paraId="04ABBCF8">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kg</w:t>
            </w:r>
          </w:p>
        </w:tc>
        <w:tc>
          <w:tcPr>
            <w:tcBorders>
              <w:top w:val="single" w:color="auto" w:sz="4" w:space="0"/>
              <w:left w:val="single" w:color="auto" w:sz="4" w:space="0"/>
              <w:right w:val="single" w:color="auto" w:sz="4" w:space="0"/>
            </w:tcBorders>
            <w:shd w:val="clear" w:color="auto" w:fill="auto"/>
            <w:noWrap/>
            <w:vAlign w:val="center"/>
          </w:tcPr>
          <w:p w14:paraId="31CFDF4D">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 xml:space="preserve">13.27 </w:t>
            </w:r>
          </w:p>
        </w:tc>
        <w:tc>
          <w:tcPr>
            <w:tcBorders>
              <w:top w:val="single" w:color="auto" w:sz="4" w:space="0"/>
              <w:left w:val="single" w:color="auto" w:sz="4" w:space="0"/>
              <w:right w:val="single" w:color="auto" w:sz="4" w:space="0"/>
            </w:tcBorders>
            <w:shd w:val="clear" w:color="auto" w:fill="auto"/>
            <w:vAlign w:val="center"/>
          </w:tcPr>
          <w:p w14:paraId="47ED2BEB">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3.06</w:t>
            </w:r>
          </w:p>
        </w:tc>
        <w:tc>
          <w:tcPr>
            <w:tcBorders>
              <w:top w:val="single" w:color="auto" w:sz="4" w:space="0"/>
              <w:left w:val="single" w:color="auto" w:sz="4" w:space="0"/>
              <w:right w:val="single" w:color="auto" w:sz="4" w:space="0"/>
            </w:tcBorders>
            <w:shd w:val="clear" w:color="auto" w:fill="auto"/>
            <w:vAlign w:val="center"/>
          </w:tcPr>
          <w:p w14:paraId="6204B6B5">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612</w:t>
            </w:r>
          </w:p>
        </w:tc>
        <w:tc>
          <w:tcPr>
            <w:tcBorders>
              <w:top w:val="single" w:color="auto" w:sz="4" w:space="0"/>
              <w:left w:val="single" w:color="auto" w:sz="4" w:space="0"/>
              <w:right w:val="single" w:color="auto" w:sz="4" w:space="0"/>
            </w:tcBorders>
            <w:shd w:val="clear" w:color="auto" w:fill="auto"/>
            <w:noWrap/>
            <w:vAlign w:val="center"/>
          </w:tcPr>
          <w:p w14:paraId="38341830">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 xml:space="preserve">0.81 </w:t>
            </w:r>
          </w:p>
        </w:tc>
        <w:tc>
          <w:tcPr>
            <w:tcBorders>
              <w:top w:val="single" w:color="auto" w:sz="4" w:space="0"/>
              <w:left w:val="single" w:color="auto" w:sz="4" w:space="0"/>
              <w:right w:val="single" w:color="auto" w:sz="4" w:space="0"/>
            </w:tcBorders>
            <w:shd w:val="clear" w:color="auto" w:fill="auto"/>
            <w:noWrap/>
            <w:vAlign w:val="center"/>
          </w:tcPr>
          <w:p w14:paraId="1D0D03AA">
            <w:pPr>
              <w:jc w:val="center"/>
              <w:rPr>
                <w:rFonts w:hint="eastAsia" w:ascii="仿宋_GB2312" w:eastAsia="仿宋_GB2312" w:cs="仿宋_GB2312"/>
                <w:i w:val="0"/>
                <w:iCs w:val="0"/>
                <w:color w:val="auto"/>
                <w:sz w:val="21"/>
                <w:szCs w:val="21"/>
                <w:highlight w:val="none"/>
                <w:u w:val="none"/>
              </w:rPr>
            </w:pPr>
          </w:p>
        </w:tc>
      </w:tr>
      <w:tr w14:paraId="456C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51E84A43">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5562A4CB">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高压油管</w:t>
            </w:r>
          </w:p>
        </w:tc>
        <w:tc>
          <w:tcPr>
            <w:tcBorders>
              <w:top w:val="single" w:color="auto" w:sz="4" w:space="0"/>
              <w:left w:val="single" w:color="auto" w:sz="4" w:space="0"/>
              <w:right w:val="single" w:color="auto" w:sz="4" w:space="0"/>
            </w:tcBorders>
            <w:shd w:val="clear" w:color="auto" w:fill="auto"/>
            <w:noWrap/>
            <w:vAlign w:val="center"/>
          </w:tcPr>
          <w:p w14:paraId="1A15E72C">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根</w:t>
            </w:r>
          </w:p>
        </w:tc>
        <w:tc>
          <w:tcPr>
            <w:tcBorders>
              <w:top w:val="single" w:color="auto" w:sz="4" w:space="0"/>
              <w:left w:val="single" w:color="auto" w:sz="4" w:space="0"/>
              <w:right w:val="single" w:color="auto" w:sz="4" w:space="0"/>
            </w:tcBorders>
            <w:shd w:val="clear" w:color="auto" w:fill="auto"/>
            <w:noWrap/>
            <w:vAlign w:val="center"/>
          </w:tcPr>
          <w:p w14:paraId="2A328A79">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 xml:space="preserve">60.00 </w:t>
            </w:r>
          </w:p>
        </w:tc>
        <w:tc>
          <w:tcPr>
            <w:tcBorders>
              <w:top w:val="single" w:color="auto" w:sz="4" w:space="0"/>
              <w:left w:val="single" w:color="auto" w:sz="4" w:space="0"/>
              <w:right w:val="single" w:color="auto" w:sz="4" w:space="0"/>
            </w:tcBorders>
            <w:shd w:val="clear" w:color="auto" w:fill="auto"/>
            <w:vAlign w:val="center"/>
          </w:tcPr>
          <w:p w14:paraId="32040C1B">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0.016</w:t>
            </w:r>
          </w:p>
        </w:tc>
        <w:tc>
          <w:tcPr>
            <w:tcBorders>
              <w:top w:val="single" w:color="auto" w:sz="4" w:space="0"/>
              <w:left w:val="single" w:color="auto" w:sz="4" w:space="0"/>
              <w:right w:val="single" w:color="auto" w:sz="4" w:space="0"/>
            </w:tcBorders>
            <w:shd w:val="clear" w:color="auto" w:fill="auto"/>
            <w:vAlign w:val="center"/>
          </w:tcPr>
          <w:p w14:paraId="07987E93">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3.2</w:t>
            </w:r>
          </w:p>
        </w:tc>
        <w:tc>
          <w:tcPr>
            <w:tcBorders>
              <w:top w:val="single" w:color="auto" w:sz="4" w:space="0"/>
              <w:left w:val="single" w:color="auto" w:sz="4" w:space="0"/>
              <w:right w:val="single" w:color="auto" w:sz="4" w:space="0"/>
            </w:tcBorders>
            <w:shd w:val="clear" w:color="auto" w:fill="auto"/>
            <w:noWrap/>
            <w:vAlign w:val="center"/>
          </w:tcPr>
          <w:p w14:paraId="042EDA30">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 xml:space="preserve">0.02 </w:t>
            </w:r>
          </w:p>
        </w:tc>
        <w:tc>
          <w:tcPr>
            <w:tcBorders>
              <w:top w:val="single" w:color="auto" w:sz="4" w:space="0"/>
              <w:left w:val="single" w:color="auto" w:sz="4" w:space="0"/>
              <w:right w:val="single" w:color="auto" w:sz="4" w:space="0"/>
            </w:tcBorders>
            <w:shd w:val="clear" w:color="auto" w:fill="auto"/>
            <w:noWrap/>
            <w:vAlign w:val="center"/>
          </w:tcPr>
          <w:p w14:paraId="189077DD">
            <w:pPr>
              <w:jc w:val="center"/>
              <w:rPr>
                <w:rFonts w:hint="eastAsia" w:ascii="仿宋_GB2312" w:eastAsia="仿宋_GB2312" w:cs="仿宋_GB2312"/>
                <w:i w:val="0"/>
                <w:iCs w:val="0"/>
                <w:color w:val="auto"/>
                <w:sz w:val="21"/>
                <w:szCs w:val="21"/>
                <w:highlight w:val="none"/>
                <w:u w:val="none"/>
              </w:rPr>
            </w:pPr>
          </w:p>
        </w:tc>
      </w:tr>
      <w:tr w14:paraId="2388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692DAA16">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793ADA8A">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油封</w:t>
            </w:r>
          </w:p>
        </w:tc>
        <w:tc>
          <w:tcPr>
            <w:tcBorders>
              <w:top w:val="single" w:color="auto" w:sz="4" w:space="0"/>
              <w:left w:val="single" w:color="auto" w:sz="4" w:space="0"/>
              <w:right w:val="single" w:color="auto" w:sz="4" w:space="0"/>
            </w:tcBorders>
            <w:shd w:val="clear" w:color="auto" w:fill="auto"/>
            <w:noWrap/>
            <w:vAlign w:val="center"/>
          </w:tcPr>
          <w:p w14:paraId="30A747B4">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个</w:t>
            </w:r>
          </w:p>
        </w:tc>
        <w:tc>
          <w:tcPr>
            <w:tcBorders>
              <w:top w:val="single" w:color="auto" w:sz="4" w:space="0"/>
              <w:left w:val="single" w:color="auto" w:sz="4" w:space="0"/>
              <w:right w:val="single" w:color="auto" w:sz="4" w:space="0"/>
            </w:tcBorders>
            <w:shd w:val="clear" w:color="auto" w:fill="auto"/>
            <w:noWrap/>
            <w:vAlign w:val="center"/>
          </w:tcPr>
          <w:p w14:paraId="10142541">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 xml:space="preserve">704.00 </w:t>
            </w:r>
          </w:p>
        </w:tc>
        <w:tc>
          <w:tcPr>
            <w:tcBorders>
              <w:top w:val="single" w:color="auto" w:sz="4" w:space="0"/>
              <w:left w:val="single" w:color="auto" w:sz="4" w:space="0"/>
              <w:right w:val="single" w:color="auto" w:sz="4" w:space="0"/>
            </w:tcBorders>
            <w:shd w:val="clear" w:color="auto" w:fill="auto"/>
            <w:vAlign w:val="center"/>
          </w:tcPr>
          <w:p w14:paraId="2377ED35">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0.022</w:t>
            </w:r>
          </w:p>
        </w:tc>
        <w:tc>
          <w:tcPr>
            <w:tcBorders>
              <w:top w:val="single" w:color="auto" w:sz="4" w:space="0"/>
              <w:left w:val="single" w:color="auto" w:sz="4" w:space="0"/>
              <w:right w:val="single" w:color="auto" w:sz="4" w:space="0"/>
            </w:tcBorders>
            <w:shd w:val="clear" w:color="auto" w:fill="auto"/>
            <w:vAlign w:val="center"/>
          </w:tcPr>
          <w:p w14:paraId="35008119">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4.4</w:t>
            </w:r>
          </w:p>
        </w:tc>
        <w:tc>
          <w:tcPr>
            <w:tcBorders>
              <w:top w:val="single" w:color="auto" w:sz="4" w:space="0"/>
              <w:left w:val="single" w:color="auto" w:sz="4" w:space="0"/>
              <w:right w:val="single" w:color="auto" w:sz="4" w:space="0"/>
            </w:tcBorders>
            <w:shd w:val="clear" w:color="auto" w:fill="auto"/>
            <w:noWrap/>
            <w:vAlign w:val="center"/>
          </w:tcPr>
          <w:p w14:paraId="32E3C23E">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 xml:space="preserve">0.31 </w:t>
            </w:r>
          </w:p>
        </w:tc>
        <w:tc>
          <w:tcPr>
            <w:tcBorders>
              <w:top w:val="single" w:color="auto" w:sz="4" w:space="0"/>
              <w:left w:val="single" w:color="auto" w:sz="4" w:space="0"/>
              <w:right w:val="single" w:color="auto" w:sz="4" w:space="0"/>
            </w:tcBorders>
            <w:shd w:val="clear" w:color="auto" w:fill="auto"/>
            <w:noWrap/>
            <w:vAlign w:val="center"/>
          </w:tcPr>
          <w:p w14:paraId="6DB2CFCE">
            <w:pPr>
              <w:jc w:val="center"/>
              <w:rPr>
                <w:rFonts w:hint="eastAsia" w:ascii="仿宋_GB2312" w:eastAsia="仿宋_GB2312" w:cs="仿宋_GB2312"/>
                <w:i w:val="0"/>
                <w:iCs w:val="0"/>
                <w:color w:val="auto"/>
                <w:sz w:val="21"/>
                <w:szCs w:val="21"/>
                <w:highlight w:val="none"/>
                <w:u w:val="none"/>
              </w:rPr>
            </w:pPr>
          </w:p>
        </w:tc>
      </w:tr>
      <w:tr w14:paraId="5D54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486C536B">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59617EE4">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轮胎</w:t>
            </w:r>
          </w:p>
        </w:tc>
        <w:tc>
          <w:tcPr>
            <w:tcBorders>
              <w:top w:val="single" w:color="auto" w:sz="4" w:space="0"/>
              <w:left w:val="single" w:color="auto" w:sz="4" w:space="0"/>
              <w:right w:val="single" w:color="auto" w:sz="4" w:space="0"/>
            </w:tcBorders>
            <w:shd w:val="clear" w:color="auto" w:fill="auto"/>
            <w:noWrap/>
            <w:vAlign w:val="center"/>
          </w:tcPr>
          <w:p w14:paraId="55B0CB3D">
            <w:pPr>
              <w:keepNext w:val="0"/>
              <w:keepLines w:val="0"/>
              <w:widowControl/>
              <w:suppressLineNumbers w:val="0"/>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个</w:t>
            </w:r>
          </w:p>
        </w:tc>
        <w:tc>
          <w:tcPr>
            <w:tcBorders>
              <w:top w:val="single" w:color="auto" w:sz="4" w:space="0"/>
              <w:left w:val="single" w:color="auto" w:sz="4" w:space="0"/>
              <w:right w:val="single" w:color="auto" w:sz="4" w:space="0"/>
            </w:tcBorders>
            <w:shd w:val="clear" w:color="auto" w:fill="auto"/>
            <w:noWrap/>
            <w:vAlign w:val="center"/>
          </w:tcPr>
          <w:p w14:paraId="7CE3A0E4">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 xml:space="preserve">1200.00 </w:t>
            </w:r>
          </w:p>
        </w:tc>
        <w:tc>
          <w:tcPr>
            <w:tcBorders>
              <w:top w:val="single" w:color="auto" w:sz="4" w:space="0"/>
              <w:left w:val="single" w:color="auto" w:sz="4" w:space="0"/>
              <w:right w:val="single" w:color="auto" w:sz="4" w:space="0"/>
            </w:tcBorders>
            <w:shd w:val="clear" w:color="auto" w:fill="auto"/>
            <w:vAlign w:val="center"/>
          </w:tcPr>
          <w:p w14:paraId="1BD7CE4C">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0.045</w:t>
            </w:r>
          </w:p>
        </w:tc>
        <w:tc>
          <w:tcPr>
            <w:tcBorders>
              <w:top w:val="single" w:color="auto" w:sz="4" w:space="0"/>
              <w:left w:val="single" w:color="auto" w:sz="4" w:space="0"/>
              <w:right w:val="single" w:color="auto" w:sz="4" w:space="0"/>
            </w:tcBorders>
            <w:shd w:val="clear" w:color="auto" w:fill="auto"/>
            <w:vAlign w:val="center"/>
          </w:tcPr>
          <w:p w14:paraId="3F4A0CD2">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9</w:t>
            </w:r>
          </w:p>
        </w:tc>
        <w:tc>
          <w:tcPr>
            <w:tcBorders>
              <w:top w:val="single" w:color="auto" w:sz="4" w:space="0"/>
              <w:left w:val="single" w:color="auto" w:sz="4" w:space="0"/>
              <w:right w:val="single" w:color="auto" w:sz="4" w:space="0"/>
            </w:tcBorders>
            <w:shd w:val="clear" w:color="auto" w:fill="auto"/>
            <w:noWrap/>
            <w:vAlign w:val="center"/>
          </w:tcPr>
          <w:p w14:paraId="2CC1AE8C">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 xml:space="preserve">1.08 </w:t>
            </w:r>
          </w:p>
        </w:tc>
        <w:tc>
          <w:tcPr>
            <w:tcBorders>
              <w:top w:val="single" w:color="auto" w:sz="4" w:space="0"/>
              <w:left w:val="single" w:color="auto" w:sz="4" w:space="0"/>
              <w:right w:val="single" w:color="auto" w:sz="4" w:space="0"/>
            </w:tcBorders>
            <w:shd w:val="clear" w:color="auto" w:fill="auto"/>
            <w:noWrap/>
            <w:vAlign w:val="center"/>
          </w:tcPr>
          <w:p w14:paraId="111E6028">
            <w:pPr>
              <w:jc w:val="center"/>
              <w:rPr>
                <w:rFonts w:hint="eastAsia" w:ascii="仿宋_GB2312" w:eastAsia="仿宋_GB2312" w:cs="仿宋_GB2312"/>
                <w:i w:val="0"/>
                <w:iCs w:val="0"/>
                <w:color w:val="auto"/>
                <w:sz w:val="21"/>
                <w:szCs w:val="21"/>
                <w:highlight w:val="none"/>
                <w:u w:val="none"/>
              </w:rPr>
            </w:pPr>
          </w:p>
        </w:tc>
      </w:tr>
      <w:tr w14:paraId="6C9C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14FCB399">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二</w:t>
            </w:r>
          </w:p>
        </w:tc>
        <w:tc>
          <w:tcPr>
            <w:tcBorders>
              <w:top w:val="single" w:color="auto" w:sz="4" w:space="0"/>
              <w:left w:val="single" w:color="auto" w:sz="4" w:space="0"/>
              <w:right w:val="single" w:color="auto" w:sz="4" w:space="0"/>
            </w:tcBorders>
            <w:shd w:val="clear" w:color="auto" w:fill="auto"/>
            <w:noWrap/>
            <w:vAlign w:val="center"/>
          </w:tcPr>
          <w:p w14:paraId="0D081E8E">
            <w:pPr>
              <w:keepNext w:val="0"/>
              <w:keepLines w:val="0"/>
              <w:widowControl/>
              <w:suppressLineNumbers w:val="0"/>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动力</w:t>
            </w:r>
          </w:p>
        </w:tc>
        <w:tc>
          <w:tcPr>
            <w:tcBorders>
              <w:top w:val="single" w:color="auto" w:sz="4" w:space="0"/>
              <w:left w:val="single" w:color="auto" w:sz="4" w:space="0"/>
              <w:right w:val="single" w:color="auto" w:sz="4" w:space="0"/>
            </w:tcBorders>
            <w:shd w:val="clear" w:color="auto" w:fill="auto"/>
            <w:noWrap/>
            <w:vAlign w:val="center"/>
          </w:tcPr>
          <w:p w14:paraId="55E00D63">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456274BE">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6830AE9A">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12197C75">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3FC18529">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 xml:space="preserve">12.38 </w:t>
            </w:r>
          </w:p>
        </w:tc>
        <w:tc>
          <w:tcPr>
            <w:tcBorders>
              <w:top w:val="single" w:color="auto" w:sz="4" w:space="0"/>
              <w:left w:val="single" w:color="auto" w:sz="4" w:space="0"/>
              <w:right w:val="single" w:color="auto" w:sz="4" w:space="0"/>
            </w:tcBorders>
            <w:shd w:val="clear" w:color="auto" w:fill="auto"/>
            <w:noWrap/>
            <w:vAlign w:val="center"/>
          </w:tcPr>
          <w:p w14:paraId="50AB9CD5">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0.62</w:t>
            </w:r>
          </w:p>
        </w:tc>
      </w:tr>
      <w:tr w14:paraId="7A9D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Borders>
              <w:top w:val="single" w:color="auto" w:sz="4" w:space="0"/>
              <w:left w:val="single" w:color="auto" w:sz="4" w:space="0"/>
              <w:right w:val="single" w:color="auto" w:sz="4" w:space="0"/>
            </w:tcBorders>
            <w:shd w:val="clear" w:color="auto" w:fill="auto"/>
            <w:noWrap/>
            <w:vAlign w:val="center"/>
          </w:tcPr>
          <w:p w14:paraId="000E9F28">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2C06B65D">
            <w:pPr>
              <w:keepNext w:val="0"/>
              <w:keepLines w:val="0"/>
              <w:widowControl/>
              <w:suppressLineNumbers w:val="0"/>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柴油</w:t>
            </w:r>
          </w:p>
        </w:tc>
        <w:tc>
          <w:tcPr>
            <w:tcBorders>
              <w:top w:val="single" w:color="auto" w:sz="4" w:space="0"/>
              <w:left w:val="single" w:color="auto" w:sz="4" w:space="0"/>
              <w:right w:val="single" w:color="auto" w:sz="4" w:space="0"/>
            </w:tcBorders>
            <w:shd w:val="clear" w:color="auto" w:fill="auto"/>
            <w:noWrap/>
            <w:vAlign w:val="center"/>
          </w:tcPr>
          <w:p w14:paraId="5B942C1C">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t</w:t>
            </w:r>
          </w:p>
        </w:tc>
        <w:tc>
          <w:tcPr>
            <w:tcBorders>
              <w:top w:val="single" w:color="auto" w:sz="4" w:space="0"/>
              <w:left w:val="single" w:color="auto" w:sz="4" w:space="0"/>
              <w:right w:val="single" w:color="auto" w:sz="4" w:space="0"/>
            </w:tcBorders>
            <w:shd w:val="clear" w:color="auto" w:fill="auto"/>
            <w:noWrap/>
            <w:vAlign w:val="center"/>
          </w:tcPr>
          <w:p w14:paraId="1BCF63F7">
            <w:pPr>
              <w:keepNext w:val="0"/>
              <w:keepLines w:val="0"/>
              <w:widowControl/>
              <w:suppressLineNumbers w:val="0"/>
              <w:jc w:val="righ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7500</w:t>
            </w:r>
          </w:p>
        </w:tc>
        <w:tc>
          <w:tcPr>
            <w:tcBorders>
              <w:top w:val="single" w:color="auto" w:sz="4" w:space="0"/>
              <w:left w:val="single" w:color="auto" w:sz="4" w:space="0"/>
              <w:right w:val="single" w:color="auto" w:sz="4" w:space="0"/>
            </w:tcBorders>
            <w:shd w:val="clear" w:color="auto" w:fill="auto"/>
            <w:noWrap/>
            <w:vAlign w:val="center"/>
          </w:tcPr>
          <w:p w14:paraId="2A68B7C1">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82.875</w:t>
            </w:r>
          </w:p>
        </w:tc>
        <w:tc>
          <w:tcPr>
            <w:tcBorders>
              <w:top w:val="single" w:color="auto" w:sz="4" w:space="0"/>
              <w:left w:val="single" w:color="auto" w:sz="4" w:space="0"/>
              <w:right w:val="single" w:color="auto" w:sz="4" w:space="0"/>
            </w:tcBorders>
            <w:shd w:val="clear" w:color="auto" w:fill="auto"/>
            <w:noWrap/>
            <w:vAlign w:val="center"/>
          </w:tcPr>
          <w:p w14:paraId="6A3EE2AD">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16.5</w:t>
            </w:r>
          </w:p>
        </w:tc>
        <w:tc>
          <w:tcPr>
            <w:tcBorders>
              <w:top w:val="single" w:color="auto" w:sz="4" w:space="0"/>
              <w:left w:val="single" w:color="auto" w:sz="4" w:space="0"/>
              <w:right w:val="single" w:color="auto" w:sz="4" w:space="0"/>
            </w:tcBorders>
            <w:shd w:val="clear" w:color="auto" w:fill="auto"/>
            <w:noWrap/>
            <w:vAlign w:val="center"/>
          </w:tcPr>
          <w:p w14:paraId="419017FD">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 xml:space="preserve">12.38 </w:t>
            </w:r>
          </w:p>
        </w:tc>
        <w:tc>
          <w:tcPr>
            <w:tcBorders>
              <w:top w:val="single" w:color="auto" w:sz="4" w:space="0"/>
              <w:left w:val="single" w:color="auto" w:sz="4" w:space="0"/>
              <w:right w:val="single" w:color="auto" w:sz="4" w:space="0"/>
            </w:tcBorders>
            <w:shd w:val="clear" w:color="auto" w:fill="auto"/>
            <w:noWrap/>
            <w:vAlign w:val="center"/>
          </w:tcPr>
          <w:p w14:paraId="19D1FA1D">
            <w:pPr>
              <w:jc w:val="center"/>
              <w:rPr>
                <w:rFonts w:hint="eastAsia" w:ascii="仿宋_GB2312" w:eastAsia="仿宋_GB2312" w:cs="仿宋_GB2312"/>
                <w:i w:val="0"/>
                <w:iCs w:val="0"/>
                <w:color w:val="auto"/>
                <w:sz w:val="21"/>
                <w:szCs w:val="21"/>
                <w:highlight w:val="none"/>
                <w:u w:val="none"/>
              </w:rPr>
            </w:pPr>
          </w:p>
        </w:tc>
      </w:tr>
      <w:tr w14:paraId="004F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14E14C14">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三</w:t>
            </w:r>
          </w:p>
        </w:tc>
        <w:tc>
          <w:tcPr>
            <w:tcBorders>
              <w:top w:val="single" w:color="auto" w:sz="4" w:space="0"/>
              <w:left w:val="single" w:color="auto" w:sz="4" w:space="0"/>
              <w:right w:val="single" w:color="auto" w:sz="4" w:space="0"/>
            </w:tcBorders>
            <w:shd w:val="clear" w:color="auto" w:fill="auto"/>
            <w:noWrap/>
            <w:vAlign w:val="center"/>
          </w:tcPr>
          <w:p w14:paraId="6C0008AB">
            <w:pPr>
              <w:keepNext w:val="0"/>
              <w:keepLines w:val="0"/>
              <w:widowControl/>
              <w:suppressLineNumbers w:val="0"/>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工资及附加费</w:t>
            </w:r>
          </w:p>
        </w:tc>
        <w:tc>
          <w:tcPr>
            <w:tcBorders>
              <w:top w:val="single" w:color="auto" w:sz="4" w:space="0"/>
              <w:left w:val="single" w:color="auto" w:sz="4" w:space="0"/>
              <w:right w:val="single" w:color="auto" w:sz="4" w:space="0"/>
            </w:tcBorders>
            <w:shd w:val="clear" w:color="auto" w:fill="auto"/>
            <w:noWrap/>
            <w:vAlign w:val="center"/>
          </w:tcPr>
          <w:p w14:paraId="424FC66A">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元/人·a</w:t>
            </w:r>
          </w:p>
        </w:tc>
        <w:tc>
          <w:tcPr>
            <w:tcBorders>
              <w:top w:val="single" w:color="auto" w:sz="4" w:space="0"/>
              <w:left w:val="single" w:color="auto" w:sz="4" w:space="0"/>
              <w:right w:val="single" w:color="auto" w:sz="4" w:space="0"/>
            </w:tcBorders>
            <w:shd w:val="clear" w:color="auto" w:fill="auto"/>
            <w:noWrap/>
            <w:vAlign w:val="center"/>
          </w:tcPr>
          <w:p w14:paraId="7441003C">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80000</w:t>
            </w:r>
          </w:p>
        </w:tc>
        <w:tc>
          <w:tcPr>
            <w:tcBorders>
              <w:top w:val="single" w:color="auto" w:sz="4" w:space="0"/>
              <w:left w:val="single" w:color="auto" w:sz="4" w:space="0"/>
              <w:right w:val="single" w:color="auto" w:sz="4" w:space="0"/>
            </w:tcBorders>
            <w:shd w:val="clear" w:color="auto" w:fill="auto"/>
            <w:noWrap/>
            <w:vAlign w:val="center"/>
          </w:tcPr>
          <w:p w14:paraId="4E92C5AE">
            <w:pP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5BF43296">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18</w:t>
            </w:r>
          </w:p>
        </w:tc>
        <w:tc>
          <w:tcPr>
            <w:tcW w:w="1622" w:type="dxa"/>
            <w:tcBorders>
              <w:top w:val="single" w:color="auto" w:sz="4" w:space="0"/>
              <w:left w:val="single" w:color="auto" w:sz="4" w:space="0"/>
              <w:right w:val="single" w:color="auto" w:sz="4" w:space="0"/>
            </w:tcBorders>
            <w:shd w:val="clear" w:color="auto" w:fill="auto"/>
            <w:noWrap/>
            <w:vAlign w:val="center"/>
          </w:tcPr>
          <w:p w14:paraId="496D75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144</w:t>
            </w:r>
          </w:p>
        </w:tc>
        <w:tc>
          <w:tcPr>
            <w:tcW w:w="976" w:type="dxa"/>
            <w:tcBorders>
              <w:top w:val="single" w:color="auto" w:sz="4" w:space="0"/>
              <w:left w:val="single" w:color="auto" w:sz="4" w:space="0"/>
              <w:right w:val="single" w:color="auto" w:sz="4" w:space="0"/>
            </w:tcBorders>
            <w:shd w:val="clear" w:color="auto" w:fill="auto"/>
            <w:noWrap/>
            <w:vAlign w:val="center"/>
          </w:tcPr>
          <w:p w14:paraId="4B3EDA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7.20</w:t>
            </w:r>
          </w:p>
        </w:tc>
      </w:tr>
      <w:tr w14:paraId="6C27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5E0B0DDE">
            <w:pPr>
              <w:keepNext w:val="0"/>
              <w:keepLines w:val="0"/>
              <w:widowControl/>
              <w:suppressLineNumbers w:val="0"/>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四</w:t>
            </w:r>
          </w:p>
        </w:tc>
        <w:tc>
          <w:tcPr>
            <w:tcBorders>
              <w:top w:val="single" w:color="auto" w:sz="4" w:space="0"/>
              <w:left w:val="single" w:color="auto" w:sz="4" w:space="0"/>
              <w:right w:val="single" w:color="auto" w:sz="4" w:space="0"/>
            </w:tcBorders>
            <w:shd w:val="clear" w:color="auto" w:fill="auto"/>
            <w:noWrap/>
            <w:vAlign w:val="center"/>
          </w:tcPr>
          <w:p w14:paraId="5F3C2D6A">
            <w:pPr>
              <w:keepNext w:val="0"/>
              <w:keepLines w:val="0"/>
              <w:widowControl/>
              <w:suppressLineNumbers w:val="0"/>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制造费用</w:t>
            </w:r>
          </w:p>
        </w:tc>
        <w:tc>
          <w:tcPr>
            <w:tcBorders>
              <w:top w:val="single" w:color="auto" w:sz="4" w:space="0"/>
              <w:left w:val="single" w:color="auto" w:sz="4" w:space="0"/>
              <w:right w:val="single" w:color="auto" w:sz="4" w:space="0"/>
            </w:tcBorders>
            <w:shd w:val="clear" w:color="auto" w:fill="auto"/>
            <w:noWrap/>
            <w:vAlign w:val="center"/>
          </w:tcPr>
          <w:p w14:paraId="58033915">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60FF5537">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3888F5DF">
            <w:pP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2CF3DE19">
            <w:pPr>
              <w:rPr>
                <w:rFonts w:hint="eastAsia" w:ascii="仿宋_GB2312" w:eastAsia="仿宋_GB2312" w:cs="仿宋_GB2312"/>
                <w:i w:val="0"/>
                <w:iCs w:val="0"/>
                <w:color w:val="auto"/>
                <w:sz w:val="21"/>
                <w:szCs w:val="21"/>
                <w:highlight w:val="none"/>
                <w:u w:val="none"/>
              </w:rPr>
            </w:pPr>
          </w:p>
        </w:tc>
        <w:tc>
          <w:tcPr>
            <w:tcW w:w="1622" w:type="dxa"/>
            <w:tcBorders>
              <w:top w:val="single" w:color="auto" w:sz="4" w:space="0"/>
              <w:left w:val="single" w:color="auto" w:sz="4" w:space="0"/>
              <w:right w:val="single" w:color="auto" w:sz="4" w:space="0"/>
            </w:tcBorders>
            <w:shd w:val="clear" w:color="auto" w:fill="auto"/>
            <w:noWrap/>
            <w:vAlign w:val="center"/>
          </w:tcPr>
          <w:p w14:paraId="081052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 xml:space="preserve">127.47 </w:t>
            </w:r>
          </w:p>
        </w:tc>
        <w:tc>
          <w:tcPr>
            <w:tcW w:w="976" w:type="dxa"/>
            <w:tcBorders>
              <w:top w:val="single" w:color="auto" w:sz="4" w:space="0"/>
              <w:left w:val="single" w:color="auto" w:sz="4" w:space="0"/>
              <w:right w:val="single" w:color="auto" w:sz="4" w:space="0"/>
            </w:tcBorders>
            <w:shd w:val="clear" w:color="auto" w:fill="auto"/>
            <w:noWrap/>
            <w:vAlign w:val="center"/>
          </w:tcPr>
          <w:p w14:paraId="3E0125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6.37</w:t>
            </w:r>
          </w:p>
        </w:tc>
      </w:tr>
      <w:tr w14:paraId="009E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1B105B7A">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5817855B">
            <w:pPr>
              <w:keepNext w:val="0"/>
              <w:keepLines w:val="0"/>
              <w:widowControl/>
              <w:suppressLineNumbers w:val="0"/>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安全费</w:t>
            </w:r>
          </w:p>
        </w:tc>
        <w:tc>
          <w:tcPr>
            <w:tcBorders>
              <w:top w:val="single" w:color="auto" w:sz="4" w:space="0"/>
              <w:left w:val="single" w:color="auto" w:sz="4" w:space="0"/>
              <w:right w:val="single" w:color="auto" w:sz="4" w:space="0"/>
            </w:tcBorders>
            <w:shd w:val="clear" w:color="auto" w:fill="auto"/>
            <w:noWrap/>
            <w:vAlign w:val="center"/>
          </w:tcPr>
          <w:p w14:paraId="56279CCE">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35F796F7">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54844783">
            <w:pP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67412351">
            <w:pPr>
              <w:rPr>
                <w:rFonts w:hint="eastAsia" w:ascii="仿宋_GB2312" w:eastAsia="仿宋_GB2312" w:cs="仿宋_GB2312"/>
                <w:i w:val="0"/>
                <w:iCs w:val="0"/>
                <w:color w:val="auto"/>
                <w:sz w:val="21"/>
                <w:szCs w:val="21"/>
                <w:highlight w:val="none"/>
                <w:u w:val="none"/>
              </w:rPr>
            </w:pPr>
          </w:p>
        </w:tc>
        <w:tc>
          <w:tcPr>
            <w:tcW w:w="1622" w:type="dxa"/>
            <w:tcBorders>
              <w:top w:val="single" w:color="auto" w:sz="4" w:space="0"/>
              <w:left w:val="single" w:color="auto" w:sz="4" w:space="0"/>
              <w:right w:val="single" w:color="auto" w:sz="4" w:space="0"/>
            </w:tcBorders>
            <w:shd w:val="clear" w:color="auto" w:fill="auto"/>
            <w:noWrap/>
            <w:vAlign w:val="center"/>
          </w:tcPr>
          <w:p w14:paraId="6C8616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 xml:space="preserve">40.00 </w:t>
            </w:r>
          </w:p>
        </w:tc>
        <w:tc>
          <w:tcPr>
            <w:tcW w:w="976" w:type="dxa"/>
            <w:tcBorders>
              <w:top w:val="single" w:color="auto" w:sz="4" w:space="0"/>
              <w:left w:val="single" w:color="auto" w:sz="4" w:space="0"/>
              <w:right w:val="single" w:color="auto" w:sz="4" w:space="0"/>
            </w:tcBorders>
            <w:shd w:val="clear" w:color="auto" w:fill="auto"/>
            <w:noWrap/>
            <w:vAlign w:val="center"/>
          </w:tcPr>
          <w:p w14:paraId="482D3B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2.00</w:t>
            </w:r>
          </w:p>
        </w:tc>
      </w:tr>
      <w:tr w14:paraId="2000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7A43C030">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04916D2B">
            <w:pPr>
              <w:keepNext w:val="0"/>
              <w:keepLines w:val="0"/>
              <w:widowControl/>
              <w:suppressLineNumbers w:val="0"/>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折旧费</w:t>
            </w:r>
          </w:p>
        </w:tc>
        <w:tc>
          <w:tcPr>
            <w:tcBorders>
              <w:top w:val="single" w:color="auto" w:sz="4" w:space="0"/>
              <w:left w:val="single" w:color="auto" w:sz="4" w:space="0"/>
              <w:right w:val="single" w:color="auto" w:sz="4" w:space="0"/>
            </w:tcBorders>
            <w:shd w:val="clear" w:color="auto" w:fill="auto"/>
            <w:noWrap/>
            <w:vAlign w:val="center"/>
          </w:tcPr>
          <w:p w14:paraId="5012483C">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4DA35DDF">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65375A0B">
            <w:pP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3242EDD8">
            <w:pPr>
              <w:rPr>
                <w:rFonts w:hint="eastAsia" w:ascii="仿宋_GB2312" w:eastAsia="仿宋_GB2312" w:cs="仿宋_GB2312"/>
                <w:i w:val="0"/>
                <w:iCs w:val="0"/>
                <w:color w:val="auto"/>
                <w:sz w:val="21"/>
                <w:szCs w:val="21"/>
                <w:highlight w:val="none"/>
                <w:u w:val="none"/>
              </w:rPr>
            </w:pPr>
          </w:p>
        </w:tc>
        <w:tc>
          <w:tcPr>
            <w:tcW w:w="1622" w:type="dxa"/>
            <w:tcBorders>
              <w:top w:val="single" w:color="auto" w:sz="4" w:space="0"/>
              <w:left w:val="single" w:color="auto" w:sz="4" w:space="0"/>
              <w:right w:val="single" w:color="auto" w:sz="4" w:space="0"/>
            </w:tcBorders>
            <w:shd w:val="clear" w:color="auto" w:fill="auto"/>
            <w:noWrap/>
            <w:vAlign w:val="center"/>
          </w:tcPr>
          <w:p w14:paraId="0FCDB7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47.54</w:t>
            </w:r>
          </w:p>
        </w:tc>
        <w:tc>
          <w:tcPr>
            <w:tcW w:w="976" w:type="dxa"/>
            <w:tcBorders>
              <w:top w:val="single" w:color="auto" w:sz="4" w:space="0"/>
              <w:left w:val="single" w:color="auto" w:sz="4" w:space="0"/>
              <w:right w:val="single" w:color="auto" w:sz="4" w:space="0"/>
            </w:tcBorders>
            <w:shd w:val="clear" w:color="auto" w:fill="auto"/>
            <w:noWrap/>
            <w:vAlign w:val="center"/>
          </w:tcPr>
          <w:p w14:paraId="4AB61D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2.38</w:t>
            </w:r>
          </w:p>
        </w:tc>
      </w:tr>
      <w:tr w14:paraId="161D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107CBC72">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25A1A20B">
            <w:pPr>
              <w:keepNext w:val="0"/>
              <w:keepLines w:val="0"/>
              <w:widowControl/>
              <w:suppressLineNumbers w:val="0"/>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修理费</w:t>
            </w:r>
          </w:p>
        </w:tc>
        <w:tc>
          <w:tcPr>
            <w:tcBorders>
              <w:top w:val="single" w:color="auto" w:sz="4" w:space="0"/>
              <w:left w:val="single" w:color="auto" w:sz="4" w:space="0"/>
              <w:right w:val="single" w:color="auto" w:sz="4" w:space="0"/>
            </w:tcBorders>
            <w:shd w:val="clear" w:color="auto" w:fill="auto"/>
            <w:noWrap/>
            <w:vAlign w:val="center"/>
          </w:tcPr>
          <w:p w14:paraId="2CFF2435">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65810D19">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18A959DD">
            <w:pP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2982BA3F">
            <w:pPr>
              <w:rPr>
                <w:rFonts w:hint="eastAsia" w:ascii="仿宋_GB2312" w:eastAsia="仿宋_GB2312" w:cs="仿宋_GB2312"/>
                <w:i w:val="0"/>
                <w:iCs w:val="0"/>
                <w:color w:val="auto"/>
                <w:sz w:val="21"/>
                <w:szCs w:val="21"/>
                <w:highlight w:val="none"/>
                <w:u w:val="none"/>
              </w:rPr>
            </w:pPr>
          </w:p>
        </w:tc>
        <w:tc>
          <w:tcPr>
            <w:tcW w:w="1622" w:type="dxa"/>
            <w:tcBorders>
              <w:top w:val="single" w:color="auto" w:sz="4" w:space="0"/>
              <w:left w:val="single" w:color="auto" w:sz="4" w:space="0"/>
              <w:right w:val="single" w:color="auto" w:sz="4" w:space="0"/>
            </w:tcBorders>
            <w:shd w:val="clear" w:color="auto" w:fill="auto"/>
            <w:noWrap/>
            <w:vAlign w:val="center"/>
          </w:tcPr>
          <w:p w14:paraId="2DBA7B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 xml:space="preserve">28.52 </w:t>
            </w:r>
          </w:p>
        </w:tc>
        <w:tc>
          <w:tcPr>
            <w:tcW w:w="976" w:type="dxa"/>
            <w:tcBorders>
              <w:top w:val="single" w:color="auto" w:sz="4" w:space="0"/>
              <w:left w:val="single" w:color="auto" w:sz="4" w:space="0"/>
              <w:right w:val="single" w:color="auto" w:sz="4" w:space="0"/>
            </w:tcBorders>
            <w:shd w:val="clear" w:color="auto" w:fill="auto"/>
            <w:noWrap/>
            <w:vAlign w:val="center"/>
          </w:tcPr>
          <w:p w14:paraId="221F8D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1.43</w:t>
            </w:r>
          </w:p>
        </w:tc>
      </w:tr>
      <w:tr w14:paraId="06DC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75CB85DE">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5A7A860B">
            <w:pPr>
              <w:keepNext w:val="0"/>
              <w:keepLines w:val="0"/>
              <w:widowControl/>
              <w:suppressLineNumbers w:val="0"/>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其它制造费用</w:t>
            </w:r>
          </w:p>
        </w:tc>
        <w:tc>
          <w:tcPr>
            <w:tcBorders>
              <w:top w:val="single" w:color="auto" w:sz="4" w:space="0"/>
              <w:left w:val="single" w:color="auto" w:sz="4" w:space="0"/>
              <w:right w:val="single" w:color="auto" w:sz="4" w:space="0"/>
            </w:tcBorders>
            <w:shd w:val="clear" w:color="auto" w:fill="auto"/>
            <w:noWrap/>
            <w:vAlign w:val="center"/>
          </w:tcPr>
          <w:p w14:paraId="7D82A2EE">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32986DFB">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5BC45DF3">
            <w:pP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72566DA9">
            <w:pPr>
              <w:rPr>
                <w:rFonts w:hint="eastAsia" w:ascii="仿宋_GB2312" w:eastAsia="仿宋_GB2312" w:cs="仿宋_GB2312"/>
                <w:i w:val="0"/>
                <w:iCs w:val="0"/>
                <w:color w:val="auto"/>
                <w:sz w:val="21"/>
                <w:szCs w:val="21"/>
                <w:highlight w:val="none"/>
                <w:u w:val="none"/>
              </w:rPr>
            </w:pPr>
          </w:p>
        </w:tc>
        <w:tc>
          <w:tcPr>
            <w:tcW w:w="1622" w:type="dxa"/>
            <w:tcBorders>
              <w:top w:val="single" w:color="auto" w:sz="4" w:space="0"/>
              <w:left w:val="single" w:color="auto" w:sz="4" w:space="0"/>
              <w:right w:val="single" w:color="auto" w:sz="4" w:space="0"/>
            </w:tcBorders>
            <w:shd w:val="clear" w:color="auto" w:fill="auto"/>
            <w:noWrap/>
            <w:vAlign w:val="center"/>
          </w:tcPr>
          <w:p w14:paraId="1D9979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 xml:space="preserve">11.41 </w:t>
            </w:r>
          </w:p>
        </w:tc>
        <w:tc>
          <w:tcPr>
            <w:tcW w:w="976" w:type="dxa"/>
            <w:tcBorders>
              <w:top w:val="single" w:color="auto" w:sz="4" w:space="0"/>
              <w:left w:val="single" w:color="auto" w:sz="4" w:space="0"/>
              <w:right w:val="single" w:color="auto" w:sz="4" w:space="0"/>
            </w:tcBorders>
            <w:shd w:val="clear" w:color="auto" w:fill="auto"/>
            <w:noWrap/>
            <w:vAlign w:val="center"/>
          </w:tcPr>
          <w:p w14:paraId="2AED2E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0.57</w:t>
            </w:r>
          </w:p>
        </w:tc>
      </w:tr>
      <w:tr w14:paraId="68DA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Borders>
              <w:top w:val="single" w:color="auto" w:sz="4" w:space="0"/>
              <w:left w:val="single" w:color="auto" w:sz="4" w:space="0"/>
              <w:right w:val="single" w:color="auto" w:sz="4" w:space="0"/>
            </w:tcBorders>
            <w:shd w:val="clear" w:color="auto" w:fill="auto"/>
            <w:noWrap/>
            <w:vAlign w:val="center"/>
          </w:tcPr>
          <w:p w14:paraId="60C5555E">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6B46EE4E">
            <w:pPr>
              <w:keepNext w:val="0"/>
              <w:keepLines w:val="0"/>
              <w:widowControl/>
              <w:suppressLineNumbers w:val="0"/>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合计</w:t>
            </w:r>
          </w:p>
        </w:tc>
        <w:tc>
          <w:tcPr>
            <w:tcBorders>
              <w:top w:val="single" w:color="auto" w:sz="4" w:space="0"/>
              <w:left w:val="single" w:color="auto" w:sz="4" w:space="0"/>
              <w:right w:val="single" w:color="auto" w:sz="4" w:space="0"/>
            </w:tcBorders>
            <w:shd w:val="clear" w:color="auto" w:fill="auto"/>
            <w:noWrap/>
            <w:vAlign w:val="center"/>
          </w:tcPr>
          <w:p w14:paraId="7040BA0A">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1F888A9F">
            <w:pPr>
              <w:jc w:val="cente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0F49A3DE">
            <w:pPr>
              <w:rPr>
                <w:rFonts w:hint="eastAsia" w:ascii="仿宋_GB2312" w:eastAsia="仿宋_GB2312" w:cs="仿宋_GB2312"/>
                <w:i w:val="0"/>
                <w:iCs w:val="0"/>
                <w:color w:val="auto"/>
                <w:sz w:val="21"/>
                <w:szCs w:val="21"/>
                <w:highlight w:val="none"/>
                <w:u w:val="none"/>
              </w:rPr>
            </w:pPr>
          </w:p>
        </w:tc>
        <w:tc>
          <w:tcPr>
            <w:tcBorders>
              <w:top w:val="single" w:color="auto" w:sz="4" w:space="0"/>
              <w:left w:val="single" w:color="auto" w:sz="4" w:space="0"/>
              <w:right w:val="single" w:color="auto" w:sz="4" w:space="0"/>
            </w:tcBorders>
            <w:shd w:val="clear" w:color="auto" w:fill="auto"/>
            <w:noWrap/>
            <w:vAlign w:val="center"/>
          </w:tcPr>
          <w:p w14:paraId="46279356">
            <w:pPr>
              <w:rPr>
                <w:rFonts w:hint="eastAsia" w:ascii="仿宋_GB2312" w:eastAsia="仿宋_GB2312" w:cs="仿宋_GB2312"/>
                <w:i w:val="0"/>
                <w:iCs w:val="0"/>
                <w:color w:val="auto"/>
                <w:sz w:val="21"/>
                <w:szCs w:val="21"/>
                <w:highlight w:val="none"/>
                <w:u w:val="none"/>
              </w:rPr>
            </w:pPr>
          </w:p>
        </w:tc>
        <w:tc>
          <w:tcPr>
            <w:tcW w:w="1622" w:type="dxa"/>
            <w:tcBorders>
              <w:top w:val="single" w:color="auto" w:sz="4" w:space="0"/>
              <w:left w:val="single" w:color="auto" w:sz="4" w:space="0"/>
              <w:right w:val="single" w:color="auto" w:sz="4" w:space="0"/>
            </w:tcBorders>
            <w:shd w:val="clear" w:color="auto" w:fill="auto"/>
            <w:noWrap/>
            <w:vAlign w:val="center"/>
          </w:tcPr>
          <w:p w14:paraId="4D5A002D">
            <w:pPr>
              <w:keepNext w:val="0"/>
              <w:keepLines w:val="0"/>
              <w:pageBreakBefore w:val="0"/>
              <w:widowControl/>
              <w:kinsoku/>
              <w:wordWrap/>
              <w:overflowPunct/>
              <w:topLinePunct w:val="0"/>
              <w:autoSpaceDE/>
              <w:autoSpaceDN/>
              <w:bidi w:val="0"/>
              <w:adjustRightInd/>
              <w:snapToGrid/>
              <w:spacing w:line="240" w:lineRule="auto"/>
              <w:rPr>
                <w:rFonts w:hint="eastAsia" w:ascii="仿宋_GB2312" w:eastAsia="仿宋_GB2312" w:cs="仿宋_GB2312"/>
                <w:i w:val="0"/>
                <w:iCs w:val="0"/>
                <w:color w:val="auto"/>
                <w:sz w:val="21"/>
                <w:szCs w:val="21"/>
                <w:highlight w:val="none"/>
                <w:u w:val="none"/>
              </w:rPr>
            </w:pPr>
          </w:p>
        </w:tc>
        <w:tc>
          <w:tcPr>
            <w:tcW w:w="976" w:type="dxa"/>
            <w:tcBorders>
              <w:top w:val="single" w:color="auto" w:sz="4" w:space="0"/>
              <w:left w:val="single" w:color="auto" w:sz="4" w:space="0"/>
              <w:right w:val="single" w:color="auto" w:sz="4" w:space="0"/>
            </w:tcBorders>
            <w:shd w:val="clear" w:color="auto" w:fill="auto"/>
            <w:noWrap/>
            <w:vAlign w:val="center"/>
          </w:tcPr>
          <w:p w14:paraId="1A2D42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 xml:space="preserve">14.36 </w:t>
            </w:r>
          </w:p>
        </w:tc>
      </w:tr>
    </w:tbl>
    <w:p w14:paraId="2A630E84">
      <w:pPr>
        <w:pStyle w:val="79"/>
        <w:adjustRightInd w:val="0"/>
        <w:snapToGrid w:val="0"/>
        <w:spacing w:line="360" w:lineRule="auto"/>
        <w:rPr>
          <w:rFonts w:hint="eastAsia" w:ascii="仿宋_GB2312" w:eastAsia="仿宋_GB2312" w:cs="仿宋_GB2312"/>
          <w:color w:val="auto"/>
          <w:sz w:val="28"/>
          <w:szCs w:val="28"/>
          <w:highlight w:val="none"/>
        </w:rPr>
        <w:sectPr>
          <w:pgSz w:w="11906" w:h="16838"/>
          <w:pgMar w:top="1814" w:right="1474" w:bottom="1814" w:left="1474" w:header="1361" w:footer="1361" w:gutter="0"/>
          <w:cols w:space="720" w:num="1"/>
          <w:docGrid w:type="lines" w:linePitch="381" w:charSpace="0"/>
        </w:sectPr>
      </w:pPr>
    </w:p>
    <w:p w14:paraId="16D6C0CD">
      <w:pPr>
        <w:pStyle w:val="79"/>
        <w:adjustRightInd w:val="0"/>
        <w:snapToGrid w:val="0"/>
        <w:spacing w:line="360" w:lineRule="auto"/>
        <w:jc w:val="center"/>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附表5  总成本费用估算表（单位：万元）</w:t>
      </w:r>
    </w:p>
    <w:tbl>
      <w:tblPr>
        <w:tblStyle w:val="6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4"/>
        <w:gridCol w:w="2423"/>
        <w:gridCol w:w="940"/>
        <w:gridCol w:w="858"/>
        <w:gridCol w:w="537"/>
        <w:gridCol w:w="537"/>
        <w:gridCol w:w="537"/>
        <w:gridCol w:w="537"/>
        <w:gridCol w:w="537"/>
        <w:gridCol w:w="537"/>
        <w:gridCol w:w="537"/>
        <w:gridCol w:w="537"/>
      </w:tblGrid>
      <w:tr w14:paraId="3327E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FA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序号</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79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项    目</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16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合计</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D0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建设期</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DD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33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82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3</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6D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ED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5</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F2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F7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7</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C2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8</w:t>
            </w:r>
          </w:p>
        </w:tc>
      </w:tr>
      <w:tr w14:paraId="4D236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3B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1</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B3B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外辅原材料及动力</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DC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122</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E2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43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17</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57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16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A0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16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16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16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F1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16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7D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16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E2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16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B2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4</w:t>
            </w:r>
          </w:p>
        </w:tc>
      </w:tr>
      <w:tr w14:paraId="50C54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7B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2</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B71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管理服务人员工资及福利费</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8E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1120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8C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72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E7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144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FE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144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B6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144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A7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144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E6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144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A9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144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BD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144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1A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40</w:t>
            </w:r>
          </w:p>
        </w:tc>
      </w:tr>
      <w:tr w14:paraId="2E821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22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3</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469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修理费</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0F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213</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98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35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29</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11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29</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E8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29</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66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29</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BC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29</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EF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29</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4C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29</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68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8</w:t>
            </w:r>
          </w:p>
        </w:tc>
      </w:tr>
      <w:tr w14:paraId="1F758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FA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4</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446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折旧费</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37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380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0B9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40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48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4C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48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84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48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D4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48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0D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48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C5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48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09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48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20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48</w:t>
            </w:r>
          </w:p>
        </w:tc>
      </w:tr>
      <w:tr w14:paraId="147E7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3E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5</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148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维简费</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AD1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214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0E6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015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60F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82A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3E5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7DA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AAA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25D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r>
      <w:tr w14:paraId="1A166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16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6</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97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其它费用</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51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534</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7D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14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ED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71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71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71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B1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71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A3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71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D3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71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18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71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7A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71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64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20</w:t>
            </w:r>
          </w:p>
        </w:tc>
      </w:tr>
      <w:tr w14:paraId="17D7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CB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7</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E70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矿权摊销费</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1E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165</w:t>
            </w:r>
          </w:p>
        </w:tc>
        <w:tc>
          <w:tcPr>
            <w:tcW w:w="858" w:type="dxa"/>
            <w:tcBorders>
              <w:top w:val="nil"/>
              <w:left w:val="nil"/>
              <w:bottom w:val="nil"/>
              <w:right w:val="nil"/>
            </w:tcBorders>
            <w:shd w:val="clear" w:color="auto" w:fill="auto"/>
            <w:noWrap/>
            <w:vAlign w:val="center"/>
          </w:tcPr>
          <w:p w14:paraId="2C8E1902">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165</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984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FA1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05C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71D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37F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8D0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EE1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4E8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r>
      <w:tr w14:paraId="34D0C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A4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8</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FF1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财务费用</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D38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C1B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B46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ADC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F88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A47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808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643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1AF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3D8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r>
      <w:tr w14:paraId="364A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774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7AA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其中：固定资产借款利息</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5DF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46C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701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00F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092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F75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1D4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072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5C6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0CC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r>
      <w:tr w14:paraId="14EF0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A0D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0A0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 xml:space="preserve">     流动资金借款利息</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178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E59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30D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57B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747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B53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E2D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C12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73D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EF5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1"/>
                <w:szCs w:val="21"/>
                <w:highlight w:val="none"/>
                <w:u w:val="none"/>
              </w:rPr>
            </w:pPr>
          </w:p>
        </w:tc>
      </w:tr>
      <w:tr w14:paraId="1C03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D7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9</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BE2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总成本费用</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89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2535</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0F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261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AB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308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36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308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3B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308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24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308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56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308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C4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308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3E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307</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07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120</w:t>
            </w:r>
          </w:p>
        </w:tc>
      </w:tr>
      <w:tr w14:paraId="71006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D7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10</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159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highlight w:val="none"/>
                <w:u w:val="none"/>
                <w:lang w:val="en-US" w:eastAsia="zh-CN"/>
              </w:rPr>
              <w:t>经营成本</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F3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1990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99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96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EC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261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70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260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30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260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5C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260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51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260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71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260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B2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260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13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1"/>
                <w:szCs w:val="21"/>
                <w:highlight w:val="none"/>
                <w:u w:val="none"/>
              </w:rPr>
            </w:pPr>
            <w:r>
              <w:rPr>
                <w:rFonts w:hint="eastAsia" w:ascii="仿宋_GB2312" w:eastAsia="仿宋_GB2312" w:cs="仿宋_GB2312"/>
                <w:i w:val="0"/>
                <w:iCs w:val="0"/>
                <w:color w:val="auto"/>
                <w:kern w:val="0"/>
                <w:sz w:val="21"/>
                <w:szCs w:val="21"/>
                <w:u w:val="none"/>
                <w:lang w:val="en-US" w:eastAsia="zh-CN"/>
              </w:rPr>
              <w:t>73</w:t>
            </w:r>
          </w:p>
        </w:tc>
      </w:tr>
    </w:tbl>
    <w:p w14:paraId="0E0442AF">
      <w:pPr>
        <w:pStyle w:val="79"/>
        <w:adjustRightInd w:val="0"/>
        <w:snapToGrid w:val="0"/>
        <w:spacing w:line="360" w:lineRule="auto"/>
        <w:rPr>
          <w:rFonts w:hint="eastAsia" w:ascii="仿宋_GB2312" w:eastAsia="仿宋_GB2312" w:cs="仿宋_GB2312"/>
          <w:color w:val="auto"/>
          <w:sz w:val="28"/>
          <w:szCs w:val="28"/>
          <w:highlight w:val="none"/>
        </w:rPr>
        <w:sectPr>
          <w:pgSz w:w="11906" w:h="16838"/>
          <w:pgMar w:top="1814" w:right="1474" w:bottom="1814" w:left="1474" w:header="1361" w:footer="1361" w:gutter="0"/>
          <w:cols w:space="720" w:num="1"/>
          <w:docGrid w:type="lines" w:linePitch="381" w:charSpace="0"/>
        </w:sectPr>
      </w:pPr>
    </w:p>
    <w:p w14:paraId="256076E2">
      <w:pPr>
        <w:pStyle w:val="79"/>
        <w:adjustRightInd w:val="0"/>
        <w:snapToGrid w:val="0"/>
        <w:spacing w:line="360" w:lineRule="auto"/>
        <w:jc w:val="center"/>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附表6  利润与利润分配表（单位：万元）</w:t>
      </w:r>
    </w:p>
    <w:tbl>
      <w:tblPr>
        <w:tblStyle w:val="6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2416"/>
        <w:gridCol w:w="1689"/>
        <w:gridCol w:w="1652"/>
        <w:gridCol w:w="876"/>
        <w:gridCol w:w="876"/>
        <w:gridCol w:w="876"/>
        <w:gridCol w:w="876"/>
        <w:gridCol w:w="876"/>
        <w:gridCol w:w="876"/>
        <w:gridCol w:w="876"/>
        <w:gridCol w:w="876"/>
      </w:tblGrid>
      <w:tr w14:paraId="0BC08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11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序号</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F3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项    目</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8E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合计</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B1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建设期</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FA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E5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9B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71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3F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61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6</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E1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7</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C1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8</w:t>
            </w:r>
          </w:p>
        </w:tc>
      </w:tr>
      <w:tr w14:paraId="67BA6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66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64C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销售收入</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62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3740</w:t>
            </w:r>
          </w:p>
        </w:tc>
        <w:tc>
          <w:tcPr>
            <w:tcW w:w="2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43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100</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EA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AD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28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EA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5F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15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AC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500</w:t>
            </w:r>
          </w:p>
        </w:tc>
        <w:tc>
          <w:tcPr>
            <w:tcW w:w="2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BC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140</w:t>
            </w:r>
          </w:p>
        </w:tc>
      </w:tr>
      <w:tr w14:paraId="3059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8B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2</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ACA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销售税金及附加</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12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327</w:t>
            </w:r>
          </w:p>
        </w:tc>
        <w:tc>
          <w:tcPr>
            <w:tcW w:w="2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D8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9</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6E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44</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34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44</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AF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44</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B2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44</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AA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44</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03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44</w:t>
            </w:r>
          </w:p>
        </w:tc>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F7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44</w:t>
            </w:r>
          </w:p>
        </w:tc>
        <w:tc>
          <w:tcPr>
            <w:tcW w:w="2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43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12</w:t>
            </w:r>
          </w:p>
        </w:tc>
      </w:tr>
      <w:tr w14:paraId="3756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4C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3</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FF1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总成本费用</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6A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2535</w:t>
            </w:r>
          </w:p>
        </w:tc>
        <w:tc>
          <w:tcPr>
            <w:tcW w:w="2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6C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261</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36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308</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7C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308</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45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308</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19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308</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0D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308</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65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308</w:t>
            </w:r>
          </w:p>
        </w:tc>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9A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307</w:t>
            </w:r>
          </w:p>
        </w:tc>
        <w:tc>
          <w:tcPr>
            <w:tcW w:w="2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46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120</w:t>
            </w:r>
          </w:p>
        </w:tc>
      </w:tr>
      <w:tr w14:paraId="3300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86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4</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B6C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补贴收入</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D9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p>
        </w:tc>
        <w:tc>
          <w:tcPr>
            <w:tcW w:w="2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2DD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7E7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77B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685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449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874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71A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8C4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F4C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r>
      <w:tr w14:paraId="548A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79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5</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A1F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利润总额</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7C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878</w:t>
            </w:r>
          </w:p>
        </w:tc>
        <w:tc>
          <w:tcPr>
            <w:tcW w:w="2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81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-169</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D3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148</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B2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148</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8D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148</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D5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149</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6F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148</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97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149</w:t>
            </w:r>
          </w:p>
        </w:tc>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B9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149</w:t>
            </w:r>
          </w:p>
        </w:tc>
        <w:tc>
          <w:tcPr>
            <w:tcW w:w="2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56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7</w:t>
            </w:r>
          </w:p>
        </w:tc>
      </w:tr>
      <w:tr w14:paraId="12FE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5C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6</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789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弥补以前年度亏损</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01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p>
        </w:tc>
        <w:tc>
          <w:tcPr>
            <w:tcW w:w="2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B1D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87D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9DE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6F0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2DA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575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28A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AC4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F25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r>
      <w:tr w14:paraId="473A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3D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7</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C06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应纳税所得额</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B7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878</w:t>
            </w:r>
          </w:p>
        </w:tc>
        <w:tc>
          <w:tcPr>
            <w:tcW w:w="2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D9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-169</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33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148</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2D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148</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73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148</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FE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149</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C1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148</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9D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149</w:t>
            </w:r>
          </w:p>
        </w:tc>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10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149</w:t>
            </w:r>
          </w:p>
        </w:tc>
        <w:tc>
          <w:tcPr>
            <w:tcW w:w="2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6E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7</w:t>
            </w:r>
          </w:p>
        </w:tc>
      </w:tr>
      <w:tr w14:paraId="522C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79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8</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F0B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所得税</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7D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219</w:t>
            </w:r>
          </w:p>
        </w:tc>
        <w:tc>
          <w:tcPr>
            <w:tcW w:w="2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94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-42</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91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37</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B3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37</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EE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37</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45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37</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62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37</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6C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37</w:t>
            </w:r>
          </w:p>
        </w:tc>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77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37</w:t>
            </w:r>
          </w:p>
        </w:tc>
        <w:tc>
          <w:tcPr>
            <w:tcW w:w="2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5E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w:t>
            </w:r>
          </w:p>
        </w:tc>
      </w:tr>
      <w:tr w14:paraId="2B7F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C7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9</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C04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净利润</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B8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658</w:t>
            </w:r>
          </w:p>
        </w:tc>
        <w:tc>
          <w:tcPr>
            <w:tcW w:w="2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02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-127</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5B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111</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83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111</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07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111</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EE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111</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CA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111</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72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111</w:t>
            </w:r>
          </w:p>
        </w:tc>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23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112</w:t>
            </w:r>
          </w:p>
        </w:tc>
        <w:tc>
          <w:tcPr>
            <w:tcW w:w="2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36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w:t>
            </w:r>
          </w:p>
        </w:tc>
      </w:tr>
      <w:tr w14:paraId="7ABF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DF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10</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929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可供分配利润</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6B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658</w:t>
            </w:r>
          </w:p>
        </w:tc>
        <w:tc>
          <w:tcPr>
            <w:tcW w:w="2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B6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-127</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0D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111</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94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111</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C3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111</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BB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111</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B9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111</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A3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111</w:t>
            </w:r>
          </w:p>
        </w:tc>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CB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112</w:t>
            </w:r>
          </w:p>
        </w:tc>
        <w:tc>
          <w:tcPr>
            <w:tcW w:w="2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AC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w:t>
            </w:r>
          </w:p>
        </w:tc>
      </w:tr>
      <w:tr w14:paraId="5EA5E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2F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11</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5BF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提取法定盈余公积金</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91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66</w:t>
            </w:r>
          </w:p>
        </w:tc>
        <w:tc>
          <w:tcPr>
            <w:tcW w:w="2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36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-13</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2A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CE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60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CD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16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6A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w:t>
            </w:r>
          </w:p>
        </w:tc>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3C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w:t>
            </w:r>
          </w:p>
        </w:tc>
        <w:tc>
          <w:tcPr>
            <w:tcW w:w="2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91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w:t>
            </w:r>
          </w:p>
        </w:tc>
      </w:tr>
      <w:tr w14:paraId="2772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70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12</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6FA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可供投资者分配的利润</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72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p>
        </w:tc>
        <w:tc>
          <w:tcPr>
            <w:tcW w:w="2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224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D38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5D4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D20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4CD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F8B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D2F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645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98C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r>
      <w:tr w14:paraId="05B7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5E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13</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29C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未分配利润</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91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592</w:t>
            </w:r>
          </w:p>
        </w:tc>
        <w:tc>
          <w:tcPr>
            <w:tcW w:w="2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61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-114</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3A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100</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38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100</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5E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100</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6A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100</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00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100</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3E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100</w:t>
            </w:r>
          </w:p>
        </w:tc>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EC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101</w:t>
            </w:r>
          </w:p>
        </w:tc>
        <w:tc>
          <w:tcPr>
            <w:tcW w:w="2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A7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w:t>
            </w:r>
          </w:p>
        </w:tc>
      </w:tr>
      <w:tr w14:paraId="34E3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27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14</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6D2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息税前利润</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CF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878</w:t>
            </w:r>
          </w:p>
        </w:tc>
        <w:tc>
          <w:tcPr>
            <w:tcW w:w="2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4B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-169</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2A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148</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A2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148</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28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148</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EF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149</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7D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148</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46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149</w:t>
            </w:r>
          </w:p>
        </w:tc>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7C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149</w:t>
            </w:r>
          </w:p>
        </w:tc>
        <w:tc>
          <w:tcPr>
            <w:tcW w:w="2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00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7</w:t>
            </w:r>
          </w:p>
        </w:tc>
      </w:tr>
      <w:tr w14:paraId="7DC7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68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15</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F04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息税折旧摊销前利润</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ED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kern w:val="0"/>
                <w:sz w:val="22"/>
                <w:szCs w:val="22"/>
                <w:u w:val="none"/>
                <w:lang w:val="en-US" w:eastAsia="zh-CN"/>
              </w:rPr>
            </w:pPr>
            <w:r>
              <w:rPr>
                <w:rFonts w:hint="eastAsia" w:ascii="仿宋_GB2312" w:eastAsia="仿宋_GB2312" w:cs="仿宋_GB2312"/>
                <w:i w:val="0"/>
                <w:iCs w:val="0"/>
                <w:color w:val="auto"/>
                <w:kern w:val="0"/>
                <w:sz w:val="22"/>
                <w:szCs w:val="22"/>
                <w:u w:val="none"/>
                <w:lang w:val="en-US" w:eastAsia="zh-CN"/>
              </w:rPr>
              <w:t>1313</w:t>
            </w:r>
          </w:p>
        </w:tc>
        <w:tc>
          <w:tcPr>
            <w:tcW w:w="2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F2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-114</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DC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196</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0B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196</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ED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196</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FD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196</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54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196</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B0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196</w:t>
            </w:r>
          </w:p>
        </w:tc>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86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196</w:t>
            </w:r>
          </w:p>
        </w:tc>
        <w:tc>
          <w:tcPr>
            <w:tcW w:w="2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DF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55</w:t>
            </w:r>
          </w:p>
        </w:tc>
      </w:tr>
      <w:tr w14:paraId="733A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8E89">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16</w:t>
            </w: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28F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highlight w:val="none"/>
                <w:u w:val="none"/>
                <w:lang w:val="en-US" w:eastAsia="zh-CN"/>
              </w:rPr>
              <w:t>盈亏平衡点</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9F8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highlight w:val="none"/>
                <w:u w:val="none"/>
              </w:rPr>
            </w:pPr>
          </w:p>
        </w:tc>
        <w:tc>
          <w:tcPr>
            <w:tcW w:w="2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91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235.86%</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59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64.69%</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52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64.67%</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15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64.64%</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08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64.62%</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12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64.64%</w:t>
            </w:r>
          </w:p>
        </w:tc>
        <w:tc>
          <w:tcPr>
            <w:tcW w:w="2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C1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64.62%</w:t>
            </w:r>
          </w:p>
        </w:tc>
        <w:tc>
          <w:tcPr>
            <w:tcW w:w="2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6E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64.57%</w:t>
            </w:r>
          </w:p>
        </w:tc>
        <w:tc>
          <w:tcPr>
            <w:tcW w:w="2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05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highlight w:val="none"/>
                <w:u w:val="none"/>
              </w:rPr>
            </w:pPr>
            <w:r>
              <w:rPr>
                <w:rFonts w:hint="eastAsia" w:ascii="仿宋_GB2312" w:eastAsia="仿宋_GB2312" w:cs="仿宋_GB2312"/>
                <w:i w:val="0"/>
                <w:iCs w:val="0"/>
                <w:color w:val="auto"/>
                <w:kern w:val="0"/>
                <w:sz w:val="22"/>
                <w:szCs w:val="22"/>
                <w:u w:val="none"/>
                <w:lang w:val="en-US" w:eastAsia="zh-CN"/>
              </w:rPr>
              <w:t>95.22%</w:t>
            </w:r>
          </w:p>
        </w:tc>
      </w:tr>
    </w:tbl>
    <w:p w14:paraId="4ED925E3">
      <w:pPr>
        <w:pStyle w:val="79"/>
        <w:adjustRightInd w:val="0"/>
        <w:snapToGrid w:val="0"/>
        <w:spacing w:line="360" w:lineRule="auto"/>
        <w:jc w:val="center"/>
        <w:rPr>
          <w:rFonts w:hint="eastAsia" w:ascii="仿宋_GB2312" w:eastAsia="仿宋_GB2312" w:cs="仿宋_GB2312"/>
          <w:color w:val="auto"/>
          <w:sz w:val="28"/>
          <w:szCs w:val="28"/>
          <w:highlight w:val="none"/>
          <w:lang w:val="en-US" w:eastAsia="zh-CN"/>
        </w:rPr>
        <w:sectPr>
          <w:pgSz w:w="16838" w:h="11906" w:orient="landscape"/>
          <w:pgMar w:top="1474" w:right="1814" w:bottom="1474" w:left="1814" w:header="1361" w:footer="1361" w:gutter="0"/>
          <w:cols w:space="720" w:num="1"/>
          <w:rtlGutter w:val="1"/>
          <w:docGrid w:type="lines" w:linePitch="389" w:charSpace="0"/>
        </w:sectPr>
      </w:pPr>
    </w:p>
    <w:p w14:paraId="0D699289">
      <w:pPr>
        <w:pStyle w:val="79"/>
        <w:adjustRightInd w:val="0"/>
        <w:snapToGrid w:val="0"/>
        <w:spacing w:line="360" w:lineRule="auto"/>
        <w:jc w:val="center"/>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附表7  项目投资现金流量表（单位：万元）</w:t>
      </w:r>
    </w:p>
    <w:tbl>
      <w:tblPr>
        <w:tblStyle w:val="62"/>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3736"/>
        <w:gridCol w:w="851"/>
        <w:gridCol w:w="1096"/>
        <w:gridCol w:w="851"/>
        <w:gridCol w:w="851"/>
        <w:gridCol w:w="851"/>
        <w:gridCol w:w="851"/>
        <w:gridCol w:w="851"/>
        <w:gridCol w:w="851"/>
        <w:gridCol w:w="876"/>
        <w:gridCol w:w="1097"/>
      </w:tblGrid>
      <w:tr w14:paraId="011ED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3" w:type="pct"/>
            <w:tcBorders>
              <w:bottom w:val="nil"/>
              <w:right w:val="single" w:color="000000" w:sz="4" w:space="0"/>
            </w:tcBorders>
            <w:shd w:val="clear" w:color="auto" w:fill="auto"/>
            <w:noWrap/>
            <w:vAlign w:val="center"/>
          </w:tcPr>
          <w:p w14:paraId="55937B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序号</w:t>
            </w:r>
          </w:p>
        </w:tc>
        <w:tc>
          <w:tcPr>
            <w:tcW w:w="1323" w:type="pct"/>
            <w:tcBorders>
              <w:left w:val="single" w:color="000000" w:sz="4" w:space="0"/>
              <w:bottom w:val="single" w:color="000000" w:sz="4" w:space="0"/>
              <w:right w:val="single" w:color="000000" w:sz="4" w:space="0"/>
            </w:tcBorders>
            <w:shd w:val="clear" w:color="auto" w:fill="auto"/>
            <w:noWrap/>
            <w:vAlign w:val="center"/>
          </w:tcPr>
          <w:p w14:paraId="1780AE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项    目</w:t>
            </w:r>
          </w:p>
        </w:tc>
        <w:tc>
          <w:tcPr>
            <w:tcW w:w="334" w:type="pct"/>
            <w:tcBorders>
              <w:left w:val="single" w:color="000000" w:sz="4" w:space="0"/>
              <w:bottom w:val="single" w:color="000000" w:sz="4" w:space="0"/>
              <w:right w:val="single" w:color="000000" w:sz="4" w:space="0"/>
            </w:tcBorders>
            <w:shd w:val="clear" w:color="auto" w:fill="auto"/>
            <w:noWrap/>
            <w:vAlign w:val="center"/>
          </w:tcPr>
          <w:p w14:paraId="564337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合计</w:t>
            </w:r>
          </w:p>
        </w:tc>
        <w:tc>
          <w:tcPr>
            <w:tcW w:w="388" w:type="pct"/>
            <w:tcBorders>
              <w:left w:val="single" w:color="000000" w:sz="4" w:space="0"/>
              <w:bottom w:val="single" w:color="000000" w:sz="4" w:space="0"/>
              <w:right w:val="single" w:color="000000" w:sz="4" w:space="0"/>
            </w:tcBorders>
            <w:shd w:val="clear" w:color="auto" w:fill="auto"/>
            <w:noWrap/>
            <w:vAlign w:val="center"/>
          </w:tcPr>
          <w:p w14:paraId="514F12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建设期</w:t>
            </w:r>
          </w:p>
        </w:tc>
        <w:tc>
          <w:tcPr>
            <w:tcW w:w="334" w:type="pct"/>
            <w:tcBorders>
              <w:left w:val="single" w:color="000000" w:sz="4" w:space="0"/>
              <w:bottom w:val="single" w:color="000000" w:sz="4" w:space="0"/>
              <w:right w:val="single" w:color="000000" w:sz="4" w:space="0"/>
            </w:tcBorders>
            <w:shd w:val="clear" w:color="auto" w:fill="auto"/>
            <w:noWrap/>
            <w:vAlign w:val="center"/>
          </w:tcPr>
          <w:p w14:paraId="1F1260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34" w:type="pct"/>
            <w:tcBorders>
              <w:left w:val="single" w:color="000000" w:sz="4" w:space="0"/>
              <w:bottom w:val="single" w:color="000000" w:sz="4" w:space="0"/>
              <w:right w:val="single" w:color="000000" w:sz="4" w:space="0"/>
            </w:tcBorders>
            <w:shd w:val="clear" w:color="auto" w:fill="auto"/>
            <w:noWrap/>
            <w:vAlign w:val="center"/>
          </w:tcPr>
          <w:p w14:paraId="7A35CA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334" w:type="pct"/>
            <w:tcBorders>
              <w:left w:val="single" w:color="000000" w:sz="4" w:space="0"/>
              <w:bottom w:val="single" w:color="000000" w:sz="4" w:space="0"/>
              <w:right w:val="single" w:color="000000" w:sz="4" w:space="0"/>
            </w:tcBorders>
            <w:shd w:val="clear" w:color="auto" w:fill="auto"/>
            <w:noWrap/>
            <w:vAlign w:val="center"/>
          </w:tcPr>
          <w:p w14:paraId="67120D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w:t>
            </w:r>
          </w:p>
        </w:tc>
        <w:tc>
          <w:tcPr>
            <w:tcW w:w="334" w:type="pct"/>
            <w:tcBorders>
              <w:left w:val="single" w:color="000000" w:sz="4" w:space="0"/>
              <w:bottom w:val="single" w:color="000000" w:sz="4" w:space="0"/>
              <w:right w:val="single" w:color="000000" w:sz="4" w:space="0"/>
            </w:tcBorders>
            <w:shd w:val="clear" w:color="auto" w:fill="auto"/>
            <w:noWrap/>
            <w:vAlign w:val="center"/>
          </w:tcPr>
          <w:p w14:paraId="393E20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w:t>
            </w:r>
          </w:p>
        </w:tc>
        <w:tc>
          <w:tcPr>
            <w:tcW w:w="334" w:type="pct"/>
            <w:tcBorders>
              <w:left w:val="single" w:color="000000" w:sz="4" w:space="0"/>
              <w:bottom w:val="single" w:color="000000" w:sz="4" w:space="0"/>
              <w:right w:val="single" w:color="000000" w:sz="4" w:space="0"/>
            </w:tcBorders>
            <w:shd w:val="clear" w:color="auto" w:fill="auto"/>
            <w:noWrap/>
            <w:vAlign w:val="center"/>
          </w:tcPr>
          <w:p w14:paraId="6B05DB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w:t>
            </w:r>
          </w:p>
        </w:tc>
        <w:tc>
          <w:tcPr>
            <w:tcW w:w="334" w:type="pct"/>
            <w:tcBorders>
              <w:left w:val="single" w:color="000000" w:sz="4" w:space="0"/>
              <w:bottom w:val="single" w:color="000000" w:sz="4" w:space="0"/>
              <w:right w:val="single" w:color="000000" w:sz="4" w:space="0"/>
            </w:tcBorders>
            <w:shd w:val="clear" w:color="auto" w:fill="auto"/>
            <w:noWrap/>
            <w:vAlign w:val="center"/>
          </w:tcPr>
          <w:p w14:paraId="29A4BA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w:t>
            </w:r>
          </w:p>
        </w:tc>
        <w:tc>
          <w:tcPr>
            <w:tcW w:w="334" w:type="pct"/>
            <w:tcBorders>
              <w:left w:val="single" w:color="000000" w:sz="4" w:space="0"/>
              <w:bottom w:val="single" w:color="000000" w:sz="4" w:space="0"/>
              <w:right w:val="single" w:color="000000" w:sz="4" w:space="0"/>
            </w:tcBorders>
            <w:shd w:val="clear" w:color="auto" w:fill="auto"/>
            <w:noWrap/>
            <w:vAlign w:val="center"/>
          </w:tcPr>
          <w:p w14:paraId="7B7CA8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7</w:t>
            </w:r>
          </w:p>
        </w:tc>
        <w:tc>
          <w:tcPr>
            <w:tcW w:w="388" w:type="pct"/>
            <w:tcBorders>
              <w:left w:val="single" w:color="000000" w:sz="4" w:space="0"/>
              <w:bottom w:val="single" w:color="000000" w:sz="4" w:space="0"/>
            </w:tcBorders>
            <w:shd w:val="clear" w:color="auto" w:fill="auto"/>
            <w:noWrap/>
            <w:vAlign w:val="center"/>
          </w:tcPr>
          <w:p w14:paraId="5BABFB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8</w:t>
            </w:r>
          </w:p>
        </w:tc>
      </w:tr>
      <w:tr w14:paraId="58245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3" w:type="pct"/>
            <w:tcBorders>
              <w:top w:val="single" w:color="000000" w:sz="4" w:space="0"/>
              <w:bottom w:val="single" w:color="000000" w:sz="4" w:space="0"/>
              <w:right w:val="single" w:color="000000" w:sz="4" w:space="0"/>
            </w:tcBorders>
            <w:shd w:val="clear" w:color="auto" w:fill="auto"/>
            <w:noWrap/>
            <w:vAlign w:val="center"/>
          </w:tcPr>
          <w:p w14:paraId="33FDC1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C8F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现金流入</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F2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3740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38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BB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82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58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30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A0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65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52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500</w:t>
            </w:r>
          </w:p>
        </w:tc>
        <w:tc>
          <w:tcPr>
            <w:tcW w:w="388" w:type="pct"/>
            <w:tcBorders>
              <w:top w:val="single" w:color="000000" w:sz="4" w:space="0"/>
              <w:left w:val="single" w:color="000000" w:sz="4" w:space="0"/>
              <w:bottom w:val="single" w:color="000000" w:sz="4" w:space="0"/>
            </w:tcBorders>
            <w:shd w:val="clear" w:color="auto" w:fill="auto"/>
            <w:noWrap/>
            <w:vAlign w:val="center"/>
          </w:tcPr>
          <w:p w14:paraId="265399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140</w:t>
            </w:r>
          </w:p>
        </w:tc>
      </w:tr>
      <w:tr w14:paraId="50CEA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bottom w:val="single" w:color="000000" w:sz="4" w:space="0"/>
              <w:right w:val="single" w:color="000000" w:sz="4" w:space="0"/>
            </w:tcBorders>
            <w:shd w:val="clear" w:color="auto" w:fill="auto"/>
            <w:noWrap/>
            <w:vAlign w:val="center"/>
          </w:tcPr>
          <w:p w14:paraId="431175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E8F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销售收入</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0B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3740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0E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72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AC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B4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8F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8E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1B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7D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500</w:t>
            </w:r>
          </w:p>
        </w:tc>
        <w:tc>
          <w:tcPr>
            <w:tcW w:w="388" w:type="pct"/>
            <w:tcBorders>
              <w:top w:val="single" w:color="000000" w:sz="4" w:space="0"/>
              <w:left w:val="single" w:color="000000" w:sz="4" w:space="0"/>
              <w:bottom w:val="single" w:color="000000" w:sz="4" w:space="0"/>
            </w:tcBorders>
            <w:shd w:val="clear" w:color="auto" w:fill="auto"/>
            <w:noWrap/>
            <w:vAlign w:val="center"/>
          </w:tcPr>
          <w:p w14:paraId="3ED0FD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140</w:t>
            </w:r>
          </w:p>
        </w:tc>
      </w:tr>
      <w:tr w14:paraId="0C5DD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3" w:type="pct"/>
            <w:tcBorders>
              <w:top w:val="single" w:color="000000" w:sz="4" w:space="0"/>
              <w:bottom w:val="single" w:color="000000" w:sz="4" w:space="0"/>
              <w:right w:val="single" w:color="000000" w:sz="4" w:space="0"/>
            </w:tcBorders>
            <w:shd w:val="clear" w:color="auto" w:fill="auto"/>
            <w:noWrap/>
            <w:vAlign w:val="center"/>
          </w:tcPr>
          <w:p w14:paraId="50AC64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E63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补贴收入</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1BF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E2C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D9D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EE4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59F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7AC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EAF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0B3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9A2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88" w:type="pct"/>
            <w:tcBorders>
              <w:top w:val="single" w:color="000000" w:sz="4" w:space="0"/>
              <w:left w:val="single" w:color="000000" w:sz="4" w:space="0"/>
              <w:bottom w:val="single" w:color="000000" w:sz="4" w:space="0"/>
            </w:tcBorders>
            <w:shd w:val="clear" w:color="auto" w:fill="auto"/>
            <w:noWrap/>
            <w:vAlign w:val="center"/>
          </w:tcPr>
          <w:p w14:paraId="05D623E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1FD35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3" w:type="pct"/>
            <w:tcBorders>
              <w:top w:val="single" w:color="000000" w:sz="4" w:space="0"/>
              <w:bottom w:val="single" w:color="000000" w:sz="4" w:space="0"/>
              <w:right w:val="single" w:color="000000" w:sz="4" w:space="0"/>
            </w:tcBorders>
            <w:shd w:val="clear" w:color="auto" w:fill="auto"/>
            <w:noWrap/>
            <w:vAlign w:val="center"/>
          </w:tcPr>
          <w:p w14:paraId="29B4E1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1.3</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801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回收固定资产余值</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377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282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539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B8B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F24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7BF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322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C67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84B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88" w:type="pct"/>
            <w:tcBorders>
              <w:top w:val="single" w:color="000000" w:sz="4" w:space="0"/>
              <w:left w:val="single" w:color="000000" w:sz="4" w:space="0"/>
              <w:bottom w:val="single" w:color="000000" w:sz="4" w:space="0"/>
            </w:tcBorders>
            <w:shd w:val="clear" w:color="auto" w:fill="auto"/>
            <w:noWrap/>
            <w:vAlign w:val="center"/>
          </w:tcPr>
          <w:p w14:paraId="1A9A57F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446EA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3" w:type="pct"/>
            <w:tcBorders>
              <w:top w:val="single" w:color="000000" w:sz="4" w:space="0"/>
              <w:bottom w:val="single" w:color="000000" w:sz="4" w:space="0"/>
              <w:right w:val="single" w:color="000000" w:sz="4" w:space="0"/>
            </w:tcBorders>
            <w:shd w:val="clear" w:color="auto" w:fill="auto"/>
            <w:noWrap/>
            <w:vAlign w:val="center"/>
          </w:tcPr>
          <w:p w14:paraId="6D0F04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1.4</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4B7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回收流动资金</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1E3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E2E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06A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8DE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6DA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FF1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03A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38A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FF4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88" w:type="pct"/>
            <w:tcBorders>
              <w:top w:val="single" w:color="000000" w:sz="4" w:space="0"/>
              <w:left w:val="single" w:color="000000" w:sz="4" w:space="0"/>
              <w:bottom w:val="single" w:color="000000" w:sz="4" w:space="0"/>
            </w:tcBorders>
            <w:shd w:val="clear" w:color="auto" w:fill="auto"/>
            <w:noWrap/>
            <w:vAlign w:val="center"/>
          </w:tcPr>
          <w:p w14:paraId="47BE58B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30010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3" w:type="pct"/>
            <w:tcBorders>
              <w:top w:val="single" w:color="000000" w:sz="4" w:space="0"/>
              <w:bottom w:val="single" w:color="000000" w:sz="4" w:space="0"/>
              <w:right w:val="single" w:color="000000" w:sz="4" w:space="0"/>
            </w:tcBorders>
            <w:shd w:val="clear" w:color="auto" w:fill="auto"/>
            <w:noWrap/>
            <w:vAlign w:val="center"/>
          </w:tcPr>
          <w:p w14:paraId="5E7D44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DE1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现金流出</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82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2888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3A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698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66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342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A5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304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46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304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E4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304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9B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304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6D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304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1A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259</w:t>
            </w:r>
          </w:p>
        </w:tc>
        <w:tc>
          <w:tcPr>
            <w:tcW w:w="388" w:type="pct"/>
            <w:tcBorders>
              <w:top w:val="single" w:color="000000" w:sz="4" w:space="0"/>
              <w:left w:val="single" w:color="000000" w:sz="4" w:space="0"/>
              <w:bottom w:val="single" w:color="000000" w:sz="4" w:space="0"/>
            </w:tcBorders>
            <w:shd w:val="clear" w:color="auto" w:fill="auto"/>
            <w:noWrap/>
            <w:vAlign w:val="center"/>
          </w:tcPr>
          <w:p w14:paraId="7A65D4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68</w:t>
            </w:r>
          </w:p>
        </w:tc>
      </w:tr>
      <w:tr w14:paraId="50908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3" w:type="pct"/>
            <w:tcBorders>
              <w:top w:val="single" w:color="000000" w:sz="4" w:space="0"/>
              <w:bottom w:val="single" w:color="000000" w:sz="4" w:space="0"/>
              <w:right w:val="single" w:color="000000" w:sz="4" w:space="0"/>
            </w:tcBorders>
            <w:shd w:val="clear" w:color="auto" w:fill="auto"/>
            <w:noWrap/>
            <w:vAlign w:val="center"/>
          </w:tcPr>
          <w:p w14:paraId="00CBD3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2.1</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B11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建设投资</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47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570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26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570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43A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F27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D3E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E1D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AD5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69D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D33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88" w:type="pct"/>
            <w:tcBorders>
              <w:top w:val="single" w:color="000000" w:sz="4" w:space="0"/>
              <w:left w:val="single" w:color="000000" w:sz="4" w:space="0"/>
              <w:bottom w:val="single" w:color="000000" w:sz="4" w:space="0"/>
            </w:tcBorders>
            <w:shd w:val="clear" w:color="auto" w:fill="auto"/>
            <w:noWrap/>
            <w:vAlign w:val="center"/>
          </w:tcPr>
          <w:p w14:paraId="2F2CCDF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49B09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3" w:type="pct"/>
            <w:tcBorders>
              <w:top w:val="single" w:color="000000" w:sz="4" w:space="0"/>
              <w:bottom w:val="single" w:color="000000" w:sz="4" w:space="0"/>
              <w:right w:val="single" w:color="000000" w:sz="4" w:space="0"/>
            </w:tcBorders>
            <w:shd w:val="clear" w:color="auto" w:fill="auto"/>
            <w:noWrap/>
            <w:vAlign w:val="center"/>
          </w:tcPr>
          <w:p w14:paraId="497D2C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2.2</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35E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利用原有资产净值</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A30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EBA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C8A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34C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150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99D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69F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0E5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2F8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88" w:type="pct"/>
            <w:tcBorders>
              <w:top w:val="single" w:color="000000" w:sz="4" w:space="0"/>
              <w:left w:val="single" w:color="000000" w:sz="4" w:space="0"/>
              <w:bottom w:val="single" w:color="000000" w:sz="4" w:space="0"/>
            </w:tcBorders>
            <w:shd w:val="clear" w:color="auto" w:fill="auto"/>
            <w:noWrap/>
            <w:vAlign w:val="center"/>
          </w:tcPr>
          <w:p w14:paraId="03EBD44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2A1F1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3" w:type="pct"/>
            <w:tcBorders>
              <w:top w:val="single" w:color="000000" w:sz="4" w:space="0"/>
              <w:bottom w:val="single" w:color="000000" w:sz="4" w:space="0"/>
              <w:right w:val="single" w:color="000000" w:sz="4" w:space="0"/>
            </w:tcBorders>
            <w:shd w:val="clear" w:color="auto" w:fill="auto"/>
            <w:noWrap/>
            <w:vAlign w:val="center"/>
          </w:tcPr>
          <w:p w14:paraId="6FDE15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E0F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流动资金</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4F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75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69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072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561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71A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658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EFB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3B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-44</w:t>
            </w:r>
          </w:p>
        </w:tc>
        <w:tc>
          <w:tcPr>
            <w:tcW w:w="388" w:type="pct"/>
            <w:tcBorders>
              <w:top w:val="single" w:color="000000" w:sz="4" w:space="0"/>
              <w:left w:val="single" w:color="000000" w:sz="4" w:space="0"/>
              <w:bottom w:val="single" w:color="000000" w:sz="4" w:space="0"/>
            </w:tcBorders>
            <w:shd w:val="clear" w:color="auto" w:fill="auto"/>
            <w:noWrap/>
            <w:vAlign w:val="center"/>
          </w:tcPr>
          <w:p w14:paraId="4B34EF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-17</w:t>
            </w:r>
          </w:p>
        </w:tc>
      </w:tr>
      <w:tr w14:paraId="4EB6E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3" w:type="pct"/>
            <w:tcBorders>
              <w:top w:val="single" w:color="000000" w:sz="4" w:space="0"/>
              <w:bottom w:val="single" w:color="000000" w:sz="4" w:space="0"/>
              <w:right w:val="single" w:color="000000" w:sz="4" w:space="0"/>
            </w:tcBorders>
            <w:shd w:val="clear" w:color="auto" w:fill="auto"/>
            <w:noWrap/>
            <w:vAlign w:val="center"/>
          </w:tcPr>
          <w:p w14:paraId="12F7E5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2.4</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045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经营成本</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BD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1990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4D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96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0E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261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44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260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FA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260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91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260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EA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260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27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260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01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260</w:t>
            </w:r>
          </w:p>
        </w:tc>
        <w:tc>
          <w:tcPr>
            <w:tcW w:w="388" w:type="pct"/>
            <w:tcBorders>
              <w:top w:val="single" w:color="000000" w:sz="4" w:space="0"/>
              <w:left w:val="single" w:color="000000" w:sz="4" w:space="0"/>
              <w:bottom w:val="single" w:color="000000" w:sz="4" w:space="0"/>
            </w:tcBorders>
            <w:shd w:val="clear" w:color="auto" w:fill="auto"/>
            <w:noWrap/>
            <w:vAlign w:val="center"/>
          </w:tcPr>
          <w:p w14:paraId="7DFAFB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73</w:t>
            </w:r>
          </w:p>
        </w:tc>
      </w:tr>
      <w:tr w14:paraId="0A79E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bottom w:val="single" w:color="000000" w:sz="4" w:space="0"/>
              <w:right w:val="single" w:color="000000" w:sz="4" w:space="0"/>
            </w:tcBorders>
            <w:shd w:val="clear" w:color="auto" w:fill="auto"/>
            <w:noWrap/>
            <w:vAlign w:val="center"/>
          </w:tcPr>
          <w:p w14:paraId="25746E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2.5</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B3D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销售税金及附加</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C5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327</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BB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0A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50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BC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73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F0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33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ED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44</w:t>
            </w:r>
          </w:p>
        </w:tc>
        <w:tc>
          <w:tcPr>
            <w:tcW w:w="388" w:type="pct"/>
            <w:tcBorders>
              <w:top w:val="single" w:color="000000" w:sz="4" w:space="0"/>
              <w:left w:val="single" w:color="000000" w:sz="4" w:space="0"/>
              <w:bottom w:val="single" w:color="000000" w:sz="4" w:space="0"/>
            </w:tcBorders>
            <w:shd w:val="clear" w:color="auto" w:fill="auto"/>
            <w:noWrap/>
            <w:vAlign w:val="center"/>
          </w:tcPr>
          <w:p w14:paraId="69BD5E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w:t>
            </w:r>
          </w:p>
        </w:tc>
      </w:tr>
      <w:tr w14:paraId="6735D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3" w:type="pct"/>
            <w:tcBorders>
              <w:top w:val="single" w:color="000000" w:sz="4" w:space="0"/>
              <w:bottom w:val="single" w:color="000000" w:sz="4" w:space="0"/>
              <w:right w:val="single" w:color="000000" w:sz="4" w:space="0"/>
            </w:tcBorders>
            <w:shd w:val="clear" w:color="auto" w:fill="auto"/>
            <w:noWrap/>
            <w:vAlign w:val="center"/>
          </w:tcPr>
          <w:p w14:paraId="5C49D8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2.6</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7C7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维持运营投资</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D42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BAB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648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D0B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246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B8E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1EA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736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A20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88" w:type="pct"/>
            <w:tcBorders>
              <w:top w:val="single" w:color="000000" w:sz="4" w:space="0"/>
              <w:left w:val="single" w:color="000000" w:sz="4" w:space="0"/>
              <w:bottom w:val="single" w:color="000000" w:sz="4" w:space="0"/>
            </w:tcBorders>
            <w:shd w:val="clear" w:color="auto" w:fill="auto"/>
            <w:noWrap/>
            <w:vAlign w:val="center"/>
          </w:tcPr>
          <w:p w14:paraId="778AAD9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3BB9C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3" w:type="pct"/>
            <w:tcBorders>
              <w:top w:val="single" w:color="000000" w:sz="4" w:space="0"/>
              <w:bottom w:val="single" w:color="000000" w:sz="4" w:space="0"/>
              <w:right w:val="single" w:color="000000" w:sz="4" w:space="0"/>
            </w:tcBorders>
            <w:shd w:val="clear" w:color="auto" w:fill="auto"/>
            <w:noWrap/>
            <w:vAlign w:val="center"/>
          </w:tcPr>
          <w:p w14:paraId="0A2078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76F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所得税前净现金流量</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EE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852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04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-598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7A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158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D0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196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A2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196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67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196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0B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196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AC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196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CE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241</w:t>
            </w:r>
          </w:p>
        </w:tc>
        <w:tc>
          <w:tcPr>
            <w:tcW w:w="388" w:type="pct"/>
            <w:tcBorders>
              <w:top w:val="single" w:color="000000" w:sz="4" w:space="0"/>
              <w:left w:val="single" w:color="000000" w:sz="4" w:space="0"/>
              <w:bottom w:val="single" w:color="000000" w:sz="4" w:space="0"/>
            </w:tcBorders>
            <w:shd w:val="clear" w:color="auto" w:fill="auto"/>
            <w:noWrap/>
            <w:vAlign w:val="center"/>
          </w:tcPr>
          <w:p w14:paraId="6A3435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72</w:t>
            </w:r>
          </w:p>
        </w:tc>
      </w:tr>
      <w:tr w14:paraId="2C35F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bottom w:val="single" w:color="000000" w:sz="4" w:space="0"/>
              <w:right w:val="single" w:color="000000" w:sz="4" w:space="0"/>
            </w:tcBorders>
            <w:shd w:val="clear" w:color="auto" w:fill="auto"/>
            <w:noWrap/>
            <w:vAlign w:val="center"/>
          </w:tcPr>
          <w:p w14:paraId="230B8A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228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累计所得税前净现金流量</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AEB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48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-598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31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-441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E3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-245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E4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8F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148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2A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344</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DA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540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5A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780</w:t>
            </w:r>
          </w:p>
        </w:tc>
        <w:tc>
          <w:tcPr>
            <w:tcW w:w="388" w:type="pct"/>
            <w:tcBorders>
              <w:top w:val="single" w:color="000000" w:sz="4" w:space="0"/>
              <w:left w:val="single" w:color="000000" w:sz="4" w:space="0"/>
              <w:bottom w:val="single" w:color="000000" w:sz="4" w:space="0"/>
            </w:tcBorders>
            <w:shd w:val="clear" w:color="auto" w:fill="auto"/>
            <w:noWrap/>
            <w:vAlign w:val="center"/>
          </w:tcPr>
          <w:p w14:paraId="326633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852</w:t>
            </w:r>
          </w:p>
        </w:tc>
      </w:tr>
      <w:tr w14:paraId="5C7DB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3" w:type="pct"/>
            <w:tcBorders>
              <w:top w:val="single" w:color="000000" w:sz="4" w:space="0"/>
              <w:bottom w:val="single" w:color="000000" w:sz="4" w:space="0"/>
              <w:right w:val="single" w:color="000000" w:sz="4" w:space="0"/>
            </w:tcBorders>
            <w:shd w:val="clear" w:color="auto" w:fill="auto"/>
            <w:noWrap/>
            <w:vAlign w:val="center"/>
          </w:tcPr>
          <w:p w14:paraId="23F427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A1D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调整所得税</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B5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219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5A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A2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56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78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A0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06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CF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37</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34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37</w:t>
            </w:r>
          </w:p>
        </w:tc>
        <w:tc>
          <w:tcPr>
            <w:tcW w:w="388" w:type="pct"/>
            <w:tcBorders>
              <w:top w:val="single" w:color="000000" w:sz="4" w:space="0"/>
              <w:left w:val="single" w:color="000000" w:sz="4" w:space="0"/>
              <w:bottom w:val="single" w:color="000000" w:sz="4" w:space="0"/>
            </w:tcBorders>
            <w:shd w:val="clear" w:color="auto" w:fill="auto"/>
            <w:noWrap/>
            <w:vAlign w:val="center"/>
          </w:tcPr>
          <w:p w14:paraId="594E3F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r>
      <w:tr w14:paraId="0D558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3" w:type="pct"/>
            <w:tcBorders>
              <w:top w:val="single" w:color="000000" w:sz="4" w:space="0"/>
              <w:bottom w:val="single" w:color="000000" w:sz="4" w:space="0"/>
              <w:right w:val="single" w:color="000000" w:sz="4" w:space="0"/>
            </w:tcBorders>
            <w:shd w:val="clear" w:color="auto" w:fill="auto"/>
            <w:noWrap/>
            <w:vAlign w:val="center"/>
          </w:tcPr>
          <w:p w14:paraId="6409C6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A00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所得税后净现金流量</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5C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633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01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-556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9E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E3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159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C7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159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6C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159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99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159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40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159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1D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203</w:t>
            </w:r>
          </w:p>
        </w:tc>
        <w:tc>
          <w:tcPr>
            <w:tcW w:w="388" w:type="pct"/>
            <w:tcBorders>
              <w:top w:val="single" w:color="000000" w:sz="4" w:space="0"/>
              <w:left w:val="single" w:color="000000" w:sz="4" w:space="0"/>
              <w:bottom w:val="single" w:color="000000" w:sz="4" w:space="0"/>
            </w:tcBorders>
            <w:shd w:val="clear" w:color="auto" w:fill="auto"/>
            <w:noWrap/>
            <w:vAlign w:val="center"/>
          </w:tcPr>
          <w:p w14:paraId="224435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70</w:t>
            </w:r>
          </w:p>
        </w:tc>
      </w:tr>
      <w:tr w14:paraId="4F5E1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single" w:color="000000" w:sz="4" w:space="0"/>
              <w:bottom w:val="single" w:color="000000" w:sz="4" w:space="0"/>
              <w:right w:val="single" w:color="000000" w:sz="4" w:space="0"/>
            </w:tcBorders>
            <w:shd w:val="clear" w:color="auto" w:fill="auto"/>
            <w:noWrap/>
            <w:vAlign w:val="center"/>
          </w:tcPr>
          <w:p w14:paraId="4DC3E3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45A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累计所得税后净现金流量</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F2A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C4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-556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BE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-435</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97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-276</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B6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-118</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23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18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C3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359</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83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563</w:t>
            </w:r>
          </w:p>
        </w:tc>
        <w:tc>
          <w:tcPr>
            <w:tcW w:w="388" w:type="pct"/>
            <w:tcBorders>
              <w:top w:val="single" w:color="000000" w:sz="4" w:space="0"/>
              <w:left w:val="single" w:color="000000" w:sz="4" w:space="0"/>
              <w:bottom w:val="single" w:color="000000" w:sz="4" w:space="0"/>
            </w:tcBorders>
            <w:shd w:val="clear" w:color="auto" w:fill="auto"/>
            <w:noWrap/>
            <w:vAlign w:val="center"/>
          </w:tcPr>
          <w:p w14:paraId="7E726E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633</w:t>
            </w:r>
          </w:p>
        </w:tc>
      </w:tr>
      <w:tr w14:paraId="0648D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3" w:type="pct"/>
            <w:tcBorders>
              <w:top w:val="nil"/>
              <w:bottom w:val="nil"/>
              <w:right w:val="nil"/>
            </w:tcBorders>
            <w:shd w:val="clear" w:color="auto" w:fill="auto"/>
            <w:noWrap/>
            <w:vAlign w:val="center"/>
          </w:tcPr>
          <w:p w14:paraId="046BC55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1323" w:type="pct"/>
            <w:tcBorders>
              <w:top w:val="nil"/>
              <w:left w:val="nil"/>
              <w:bottom w:val="nil"/>
              <w:right w:val="nil"/>
            </w:tcBorders>
            <w:shd w:val="clear" w:color="auto" w:fill="auto"/>
            <w:noWrap/>
            <w:vAlign w:val="center"/>
          </w:tcPr>
          <w:p w14:paraId="3A95F03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计算指标：</w:t>
            </w:r>
          </w:p>
        </w:tc>
        <w:tc>
          <w:tcPr>
            <w:tcW w:w="334" w:type="pct"/>
            <w:tcBorders>
              <w:top w:val="nil"/>
              <w:left w:val="nil"/>
              <w:bottom w:val="nil"/>
              <w:right w:val="nil"/>
            </w:tcBorders>
            <w:shd w:val="clear" w:color="auto" w:fill="auto"/>
            <w:noWrap/>
            <w:vAlign w:val="center"/>
          </w:tcPr>
          <w:p w14:paraId="0B7AF43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88" w:type="pct"/>
            <w:tcBorders>
              <w:top w:val="nil"/>
              <w:left w:val="nil"/>
              <w:bottom w:val="nil"/>
              <w:right w:val="nil"/>
            </w:tcBorders>
            <w:shd w:val="clear" w:color="auto" w:fill="auto"/>
            <w:noWrap/>
            <w:vAlign w:val="center"/>
          </w:tcPr>
          <w:p w14:paraId="1F30E6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所得税后</w:t>
            </w:r>
          </w:p>
        </w:tc>
        <w:tc>
          <w:tcPr>
            <w:tcW w:w="334" w:type="pct"/>
            <w:tcBorders>
              <w:top w:val="nil"/>
              <w:left w:val="nil"/>
              <w:bottom w:val="nil"/>
              <w:right w:val="nil"/>
            </w:tcBorders>
            <w:shd w:val="clear" w:color="auto" w:fill="auto"/>
            <w:noWrap/>
            <w:vAlign w:val="center"/>
          </w:tcPr>
          <w:p w14:paraId="22C90B2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nil"/>
              <w:left w:val="nil"/>
              <w:bottom w:val="nil"/>
              <w:right w:val="nil"/>
            </w:tcBorders>
            <w:shd w:val="clear" w:color="auto" w:fill="auto"/>
            <w:noWrap/>
            <w:vAlign w:val="center"/>
          </w:tcPr>
          <w:p w14:paraId="12B5E51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nil"/>
              <w:left w:val="nil"/>
              <w:bottom w:val="nil"/>
              <w:right w:val="nil"/>
            </w:tcBorders>
            <w:shd w:val="clear" w:color="auto" w:fill="auto"/>
            <w:noWrap/>
            <w:vAlign w:val="center"/>
          </w:tcPr>
          <w:p w14:paraId="20D2F89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nil"/>
              <w:left w:val="nil"/>
              <w:bottom w:val="nil"/>
              <w:right w:val="nil"/>
            </w:tcBorders>
            <w:shd w:val="clear" w:color="auto" w:fill="auto"/>
            <w:noWrap/>
            <w:vAlign w:val="center"/>
          </w:tcPr>
          <w:p w14:paraId="2D70D8F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nil"/>
              <w:left w:val="nil"/>
              <w:bottom w:val="nil"/>
              <w:right w:val="nil"/>
            </w:tcBorders>
            <w:shd w:val="clear" w:color="auto" w:fill="auto"/>
            <w:noWrap/>
            <w:vAlign w:val="center"/>
          </w:tcPr>
          <w:p w14:paraId="161AFC8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nil"/>
              <w:left w:val="nil"/>
              <w:bottom w:val="nil"/>
              <w:right w:val="nil"/>
            </w:tcBorders>
            <w:shd w:val="clear" w:color="auto" w:fill="auto"/>
            <w:noWrap/>
            <w:vAlign w:val="center"/>
          </w:tcPr>
          <w:p w14:paraId="06A716B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nil"/>
              <w:left w:val="nil"/>
              <w:bottom w:val="nil"/>
              <w:right w:val="nil"/>
            </w:tcBorders>
            <w:shd w:val="clear" w:color="auto" w:fill="auto"/>
            <w:noWrap/>
            <w:vAlign w:val="center"/>
          </w:tcPr>
          <w:p w14:paraId="6F9EFD4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88" w:type="pct"/>
            <w:tcBorders>
              <w:top w:val="nil"/>
              <w:left w:val="nil"/>
              <w:bottom w:val="nil"/>
            </w:tcBorders>
            <w:shd w:val="clear" w:color="auto" w:fill="auto"/>
            <w:noWrap/>
            <w:vAlign w:val="center"/>
          </w:tcPr>
          <w:p w14:paraId="24E8A8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所得税前</w:t>
            </w:r>
          </w:p>
        </w:tc>
      </w:tr>
      <w:tr w14:paraId="6F6A9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3" w:type="pct"/>
            <w:tcBorders>
              <w:top w:val="nil"/>
              <w:bottom w:val="nil"/>
              <w:right w:val="nil"/>
            </w:tcBorders>
            <w:shd w:val="clear" w:color="auto" w:fill="auto"/>
            <w:noWrap/>
            <w:vAlign w:val="center"/>
          </w:tcPr>
          <w:p w14:paraId="0632807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1323" w:type="pct"/>
            <w:tcBorders>
              <w:top w:val="nil"/>
              <w:left w:val="nil"/>
              <w:bottom w:val="nil"/>
              <w:right w:val="nil"/>
            </w:tcBorders>
            <w:shd w:val="clear" w:color="auto" w:fill="auto"/>
            <w:noWrap/>
            <w:vAlign w:val="center"/>
          </w:tcPr>
          <w:p w14:paraId="53B4EC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项目投资财务内部收益率：</w:t>
            </w:r>
          </w:p>
        </w:tc>
        <w:tc>
          <w:tcPr>
            <w:tcW w:w="334" w:type="pct"/>
            <w:tcBorders>
              <w:top w:val="nil"/>
              <w:left w:val="nil"/>
              <w:bottom w:val="nil"/>
              <w:right w:val="nil"/>
            </w:tcBorders>
            <w:shd w:val="clear" w:color="auto" w:fill="auto"/>
            <w:noWrap/>
            <w:vAlign w:val="center"/>
          </w:tcPr>
          <w:p w14:paraId="3DD7968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88" w:type="pct"/>
            <w:tcBorders>
              <w:top w:val="nil"/>
              <w:left w:val="nil"/>
              <w:bottom w:val="nil"/>
              <w:right w:val="nil"/>
            </w:tcBorders>
            <w:shd w:val="clear" w:color="auto" w:fill="auto"/>
            <w:noWrap/>
            <w:vAlign w:val="center"/>
          </w:tcPr>
          <w:p w14:paraId="3147C2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20.82%</w:t>
            </w:r>
          </w:p>
        </w:tc>
        <w:tc>
          <w:tcPr>
            <w:tcW w:w="334" w:type="pct"/>
            <w:tcBorders>
              <w:top w:val="nil"/>
              <w:left w:val="nil"/>
              <w:bottom w:val="nil"/>
              <w:right w:val="nil"/>
            </w:tcBorders>
            <w:shd w:val="clear" w:color="auto" w:fill="auto"/>
            <w:noWrap/>
            <w:vAlign w:val="center"/>
          </w:tcPr>
          <w:p w14:paraId="429029B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nil"/>
              <w:left w:val="nil"/>
              <w:bottom w:val="nil"/>
              <w:right w:val="nil"/>
            </w:tcBorders>
            <w:shd w:val="clear" w:color="auto" w:fill="auto"/>
            <w:noWrap/>
            <w:vAlign w:val="center"/>
          </w:tcPr>
          <w:p w14:paraId="7289698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nil"/>
              <w:left w:val="nil"/>
              <w:bottom w:val="nil"/>
              <w:right w:val="nil"/>
            </w:tcBorders>
            <w:shd w:val="clear" w:color="auto" w:fill="auto"/>
            <w:noWrap/>
            <w:vAlign w:val="center"/>
          </w:tcPr>
          <w:p w14:paraId="612AF09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nil"/>
              <w:left w:val="nil"/>
              <w:bottom w:val="nil"/>
              <w:right w:val="nil"/>
            </w:tcBorders>
            <w:shd w:val="clear" w:color="auto" w:fill="auto"/>
            <w:noWrap/>
            <w:vAlign w:val="center"/>
          </w:tcPr>
          <w:p w14:paraId="212A098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nil"/>
              <w:left w:val="nil"/>
              <w:bottom w:val="nil"/>
              <w:right w:val="nil"/>
            </w:tcBorders>
            <w:shd w:val="clear" w:color="auto" w:fill="auto"/>
            <w:noWrap/>
            <w:vAlign w:val="center"/>
          </w:tcPr>
          <w:p w14:paraId="092CDE3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nil"/>
              <w:left w:val="nil"/>
              <w:bottom w:val="nil"/>
              <w:right w:val="nil"/>
            </w:tcBorders>
            <w:shd w:val="clear" w:color="auto" w:fill="auto"/>
            <w:noWrap/>
            <w:vAlign w:val="center"/>
          </w:tcPr>
          <w:p w14:paraId="41D6AC6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nil"/>
              <w:left w:val="nil"/>
              <w:bottom w:val="nil"/>
              <w:right w:val="nil"/>
            </w:tcBorders>
            <w:shd w:val="clear" w:color="auto" w:fill="auto"/>
            <w:noWrap/>
            <w:vAlign w:val="center"/>
          </w:tcPr>
          <w:p w14:paraId="1207F43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88" w:type="pct"/>
            <w:tcBorders>
              <w:top w:val="nil"/>
              <w:left w:val="nil"/>
              <w:bottom w:val="nil"/>
            </w:tcBorders>
            <w:shd w:val="clear" w:color="auto" w:fill="auto"/>
            <w:noWrap/>
            <w:vAlign w:val="center"/>
          </w:tcPr>
          <w:p w14:paraId="0A6F56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25.75%</w:t>
            </w:r>
          </w:p>
        </w:tc>
      </w:tr>
      <w:tr w14:paraId="5B436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3" w:type="pct"/>
            <w:tcBorders>
              <w:top w:val="nil"/>
              <w:bottom w:val="nil"/>
              <w:right w:val="nil"/>
            </w:tcBorders>
            <w:shd w:val="clear" w:color="auto" w:fill="auto"/>
            <w:noWrap/>
            <w:vAlign w:val="center"/>
          </w:tcPr>
          <w:p w14:paraId="63A4055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1323" w:type="pct"/>
            <w:tcBorders>
              <w:top w:val="nil"/>
              <w:left w:val="nil"/>
              <w:bottom w:val="nil"/>
              <w:right w:val="nil"/>
            </w:tcBorders>
            <w:shd w:val="clear" w:color="auto" w:fill="auto"/>
            <w:noWrap/>
            <w:vAlign w:val="center"/>
          </w:tcPr>
          <w:p w14:paraId="3D6A181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项目投资财务净现值（Ic=10%)：</w:t>
            </w:r>
          </w:p>
        </w:tc>
        <w:tc>
          <w:tcPr>
            <w:tcW w:w="334" w:type="pct"/>
            <w:tcBorders>
              <w:top w:val="nil"/>
              <w:left w:val="nil"/>
              <w:bottom w:val="nil"/>
              <w:right w:val="nil"/>
            </w:tcBorders>
            <w:shd w:val="clear" w:color="auto" w:fill="auto"/>
            <w:noWrap/>
            <w:vAlign w:val="center"/>
          </w:tcPr>
          <w:p w14:paraId="45D86A6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88" w:type="pct"/>
            <w:tcBorders>
              <w:top w:val="nil"/>
              <w:left w:val="nil"/>
              <w:bottom w:val="nil"/>
              <w:right w:val="nil"/>
            </w:tcBorders>
            <w:shd w:val="clear" w:color="auto" w:fill="auto"/>
            <w:noWrap/>
            <w:vAlign w:val="center"/>
          </w:tcPr>
          <w:p w14:paraId="788E72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197.19</w:t>
            </w:r>
          </w:p>
        </w:tc>
        <w:tc>
          <w:tcPr>
            <w:tcW w:w="334" w:type="pct"/>
            <w:tcBorders>
              <w:top w:val="nil"/>
              <w:left w:val="nil"/>
              <w:bottom w:val="nil"/>
              <w:right w:val="nil"/>
            </w:tcBorders>
            <w:shd w:val="clear" w:color="auto" w:fill="auto"/>
            <w:noWrap/>
            <w:vAlign w:val="center"/>
          </w:tcPr>
          <w:p w14:paraId="637351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万元</w:t>
            </w:r>
          </w:p>
        </w:tc>
        <w:tc>
          <w:tcPr>
            <w:tcW w:w="334" w:type="pct"/>
            <w:tcBorders>
              <w:top w:val="nil"/>
              <w:left w:val="nil"/>
              <w:bottom w:val="nil"/>
              <w:right w:val="nil"/>
            </w:tcBorders>
            <w:shd w:val="clear" w:color="auto" w:fill="auto"/>
            <w:noWrap/>
            <w:vAlign w:val="center"/>
          </w:tcPr>
          <w:p w14:paraId="4A88F9F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nil"/>
              <w:left w:val="nil"/>
              <w:bottom w:val="nil"/>
              <w:right w:val="nil"/>
            </w:tcBorders>
            <w:shd w:val="clear" w:color="auto" w:fill="auto"/>
            <w:noWrap/>
            <w:vAlign w:val="center"/>
          </w:tcPr>
          <w:p w14:paraId="28F5307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nil"/>
              <w:left w:val="nil"/>
              <w:bottom w:val="nil"/>
              <w:right w:val="nil"/>
            </w:tcBorders>
            <w:shd w:val="clear" w:color="auto" w:fill="auto"/>
            <w:noWrap/>
            <w:vAlign w:val="center"/>
          </w:tcPr>
          <w:p w14:paraId="2F02BE8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nil"/>
              <w:left w:val="nil"/>
              <w:bottom w:val="nil"/>
              <w:right w:val="nil"/>
            </w:tcBorders>
            <w:shd w:val="clear" w:color="auto" w:fill="auto"/>
            <w:noWrap/>
            <w:vAlign w:val="center"/>
          </w:tcPr>
          <w:p w14:paraId="40C6775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nil"/>
              <w:left w:val="nil"/>
              <w:bottom w:val="nil"/>
              <w:right w:val="nil"/>
            </w:tcBorders>
            <w:shd w:val="clear" w:color="auto" w:fill="auto"/>
            <w:noWrap/>
            <w:vAlign w:val="center"/>
          </w:tcPr>
          <w:p w14:paraId="1D6DD86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nil"/>
              <w:left w:val="nil"/>
              <w:bottom w:val="nil"/>
              <w:right w:val="nil"/>
            </w:tcBorders>
            <w:shd w:val="clear" w:color="auto" w:fill="auto"/>
            <w:noWrap/>
            <w:vAlign w:val="center"/>
          </w:tcPr>
          <w:p w14:paraId="7420C1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343.49</w:t>
            </w:r>
          </w:p>
        </w:tc>
        <w:tc>
          <w:tcPr>
            <w:tcW w:w="388" w:type="pct"/>
            <w:tcBorders>
              <w:top w:val="nil"/>
              <w:left w:val="nil"/>
              <w:bottom w:val="nil"/>
            </w:tcBorders>
            <w:shd w:val="clear" w:color="auto" w:fill="auto"/>
            <w:noWrap/>
            <w:vAlign w:val="center"/>
          </w:tcPr>
          <w:p w14:paraId="27F1F5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万元</w:t>
            </w:r>
          </w:p>
        </w:tc>
      </w:tr>
      <w:tr w14:paraId="2EA4C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23" w:type="pct"/>
            <w:tcBorders>
              <w:top w:val="nil"/>
              <w:right w:val="nil"/>
            </w:tcBorders>
            <w:shd w:val="clear" w:color="auto" w:fill="auto"/>
            <w:noWrap/>
            <w:vAlign w:val="center"/>
          </w:tcPr>
          <w:p w14:paraId="2339F1B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1323" w:type="pct"/>
            <w:tcBorders>
              <w:top w:val="nil"/>
              <w:left w:val="nil"/>
              <w:right w:val="nil"/>
            </w:tcBorders>
            <w:shd w:val="clear" w:color="auto" w:fill="auto"/>
            <w:noWrap/>
            <w:vAlign w:val="center"/>
          </w:tcPr>
          <w:p w14:paraId="78969FA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项目投资回收期（从建设期算起）：</w:t>
            </w:r>
          </w:p>
        </w:tc>
        <w:tc>
          <w:tcPr>
            <w:tcW w:w="334" w:type="pct"/>
            <w:tcBorders>
              <w:top w:val="nil"/>
              <w:left w:val="nil"/>
              <w:right w:val="nil"/>
            </w:tcBorders>
            <w:shd w:val="clear" w:color="auto" w:fill="auto"/>
            <w:noWrap/>
            <w:vAlign w:val="center"/>
          </w:tcPr>
          <w:p w14:paraId="0921A07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88" w:type="pct"/>
            <w:tcBorders>
              <w:top w:val="nil"/>
              <w:left w:val="nil"/>
              <w:right w:val="nil"/>
            </w:tcBorders>
            <w:shd w:val="clear" w:color="auto" w:fill="auto"/>
            <w:noWrap/>
            <w:vAlign w:val="center"/>
          </w:tcPr>
          <w:p w14:paraId="1A58CB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4.24</w:t>
            </w:r>
          </w:p>
        </w:tc>
        <w:tc>
          <w:tcPr>
            <w:tcW w:w="334" w:type="pct"/>
            <w:tcBorders>
              <w:top w:val="nil"/>
              <w:left w:val="nil"/>
              <w:right w:val="nil"/>
            </w:tcBorders>
            <w:shd w:val="clear" w:color="auto" w:fill="auto"/>
            <w:noWrap/>
            <w:vAlign w:val="center"/>
          </w:tcPr>
          <w:p w14:paraId="4DEF98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年</w:t>
            </w:r>
          </w:p>
        </w:tc>
        <w:tc>
          <w:tcPr>
            <w:tcW w:w="334" w:type="pct"/>
            <w:tcBorders>
              <w:top w:val="nil"/>
              <w:left w:val="nil"/>
              <w:right w:val="nil"/>
            </w:tcBorders>
            <w:shd w:val="clear" w:color="auto" w:fill="auto"/>
            <w:noWrap/>
            <w:vAlign w:val="center"/>
          </w:tcPr>
          <w:p w14:paraId="6FE01A5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nil"/>
              <w:left w:val="nil"/>
              <w:right w:val="nil"/>
            </w:tcBorders>
            <w:shd w:val="clear" w:color="auto" w:fill="auto"/>
            <w:noWrap/>
            <w:vAlign w:val="center"/>
          </w:tcPr>
          <w:p w14:paraId="56FCCD8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nil"/>
              <w:left w:val="nil"/>
              <w:right w:val="nil"/>
            </w:tcBorders>
            <w:shd w:val="clear" w:color="auto" w:fill="auto"/>
            <w:noWrap/>
            <w:vAlign w:val="center"/>
          </w:tcPr>
          <w:p w14:paraId="1747C59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nil"/>
              <w:left w:val="nil"/>
              <w:right w:val="nil"/>
            </w:tcBorders>
            <w:shd w:val="clear" w:color="auto" w:fill="auto"/>
            <w:noWrap/>
            <w:vAlign w:val="center"/>
          </w:tcPr>
          <w:p w14:paraId="4DC8BC2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nil"/>
              <w:left w:val="nil"/>
              <w:right w:val="nil"/>
            </w:tcBorders>
            <w:shd w:val="clear" w:color="auto" w:fill="auto"/>
            <w:noWrap/>
            <w:vAlign w:val="center"/>
          </w:tcPr>
          <w:p w14:paraId="6A49C9E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34" w:type="pct"/>
            <w:tcBorders>
              <w:top w:val="nil"/>
              <w:left w:val="nil"/>
              <w:right w:val="nil"/>
            </w:tcBorders>
            <w:shd w:val="clear" w:color="auto" w:fill="auto"/>
            <w:noWrap/>
            <w:vAlign w:val="center"/>
          </w:tcPr>
          <w:p w14:paraId="02378E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3.75</w:t>
            </w:r>
          </w:p>
        </w:tc>
        <w:tc>
          <w:tcPr>
            <w:tcW w:w="388" w:type="pct"/>
            <w:tcBorders>
              <w:top w:val="nil"/>
              <w:left w:val="nil"/>
            </w:tcBorders>
            <w:shd w:val="clear" w:color="auto" w:fill="auto"/>
            <w:noWrap/>
            <w:vAlign w:val="center"/>
          </w:tcPr>
          <w:p w14:paraId="48A2DF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年</w:t>
            </w:r>
          </w:p>
        </w:tc>
      </w:tr>
    </w:tbl>
    <w:p w14:paraId="7CC3EE6F">
      <w:pPr>
        <w:pStyle w:val="79"/>
        <w:adjustRightInd w:val="0"/>
        <w:snapToGrid w:val="0"/>
        <w:spacing w:line="360" w:lineRule="auto"/>
        <w:jc w:val="center"/>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附表8  财务计划现金流量表（单位：万元）</w:t>
      </w:r>
    </w:p>
    <w:tbl>
      <w:tblPr>
        <w:tblStyle w:val="6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2696"/>
        <w:gridCol w:w="995"/>
        <w:gridCol w:w="995"/>
        <w:gridCol w:w="995"/>
        <w:gridCol w:w="995"/>
        <w:gridCol w:w="996"/>
        <w:gridCol w:w="996"/>
        <w:gridCol w:w="996"/>
        <w:gridCol w:w="996"/>
        <w:gridCol w:w="996"/>
        <w:gridCol w:w="996"/>
      </w:tblGrid>
      <w:tr w14:paraId="24402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8" w:type="pct"/>
            <w:tcBorders>
              <w:top w:val="single" w:color="000000" w:sz="4" w:space="0"/>
              <w:left w:val="single" w:color="000000" w:sz="4" w:space="0"/>
              <w:bottom w:val="nil"/>
              <w:right w:val="single" w:color="000000" w:sz="4" w:space="0"/>
            </w:tcBorders>
            <w:shd w:val="clear" w:color="auto" w:fill="auto"/>
            <w:noWrap/>
            <w:vAlign w:val="center"/>
          </w:tcPr>
          <w:p w14:paraId="019354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序号</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9D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项    目</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BC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合计</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5D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建设期</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54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08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3F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AC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73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36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07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7</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CF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8</w:t>
            </w:r>
          </w:p>
        </w:tc>
      </w:tr>
      <w:tr w14:paraId="0B83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CB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8AD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经营活动净现金流量</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6F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1204</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BF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38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A4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159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73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159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7B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159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8E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159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B8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159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E0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159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C9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159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B4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53 </w:t>
            </w:r>
          </w:p>
        </w:tc>
      </w:tr>
      <w:tr w14:paraId="7EA10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5AAB46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8DC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现金流入</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56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4226</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31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113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5F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20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9A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E1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72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D4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D6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01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158 </w:t>
            </w:r>
          </w:p>
        </w:tc>
      </w:tr>
      <w:tr w14:paraId="051F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5A50F8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1.1.1</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58F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销售收入</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AD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3740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93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100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9D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500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B9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500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07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500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0C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500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55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500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4B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500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DA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500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E6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140 </w:t>
            </w:r>
          </w:p>
        </w:tc>
      </w:tr>
      <w:tr w14:paraId="4D06F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275C99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1.1.2</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990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增值税销项税额</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87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486</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BC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13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1B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3B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78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4B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6C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00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40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C1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18 </w:t>
            </w:r>
          </w:p>
        </w:tc>
      </w:tr>
      <w:tr w14:paraId="0F93D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78D4A4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DA9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现金流出</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DD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3023</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DE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75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C1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406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78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406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11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406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5D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406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0E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406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04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406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BA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406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C5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105 </w:t>
            </w:r>
          </w:p>
        </w:tc>
      </w:tr>
      <w:tr w14:paraId="6529B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08CD07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1.2.1</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6BA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经营成本</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B5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1990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8E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96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B0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261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72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260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5A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260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6D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260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AD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260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D5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260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98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260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73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73 </w:t>
            </w:r>
          </w:p>
        </w:tc>
      </w:tr>
      <w:tr w14:paraId="5245E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09AA1C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1.2.2</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86D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增值税进项税额</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16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16</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2A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89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39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53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23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E2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83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E8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B2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 </w:t>
            </w:r>
          </w:p>
        </w:tc>
      </w:tr>
      <w:tr w14:paraId="66A3A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498928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1.2.3</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02D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销售税金及附加</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5C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327</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64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9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0F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BC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F4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DF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BC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08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D6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88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12 </w:t>
            </w:r>
          </w:p>
        </w:tc>
      </w:tr>
      <w:tr w14:paraId="2CD3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45DADE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1.2.4</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FB9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增值税</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14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470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1A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13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EE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63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4E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63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30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63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56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63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A5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63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30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63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02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63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6D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18 </w:t>
            </w:r>
          </w:p>
        </w:tc>
      </w:tr>
      <w:tr w14:paraId="08D2E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03818F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1.2.5</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A4E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所得税</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55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219</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85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-42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EB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37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93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37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E3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37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AC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37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40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37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5F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37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1A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37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51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 </w:t>
            </w:r>
          </w:p>
        </w:tc>
      </w:tr>
      <w:tr w14:paraId="61A7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5FE05A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A6E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投资活动净现金流量</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8D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-547</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00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-570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6E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-38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555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E70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0E9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F91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04F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9D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20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17 </w:t>
            </w:r>
          </w:p>
        </w:tc>
      </w:tr>
      <w:tr w14:paraId="5851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10A6F4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2.1</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A57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现金流入</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FFF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72F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D53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753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945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20C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D11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18F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485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7BA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2F8C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0B4D61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2.2</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48D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现金流出</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A2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547</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F3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570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99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38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077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687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4CB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74B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19F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56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26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-17 </w:t>
            </w:r>
          </w:p>
        </w:tc>
      </w:tr>
      <w:tr w14:paraId="12B48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4328F3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2.2.1</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60A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建设投资</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B6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570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F1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570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6A0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899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CCF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5E4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63F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9AA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FEE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8B8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3AEF6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6A4FD9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2.2.2</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779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利用原有资产净值</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19F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B8F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25E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AE2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C77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C3A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8BE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A88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C69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8CD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0677D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544C8C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2.2.3</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9ED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维持运营投资</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41C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E0B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134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5EC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D49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671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E07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37A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C5B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363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6DC70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197BDD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2.2.4</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742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流动资金</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4E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EEB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4F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38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CC3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41F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524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B5E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9FC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24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2D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-17 </w:t>
            </w:r>
          </w:p>
        </w:tc>
      </w:tr>
      <w:tr w14:paraId="5057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5A2FFC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411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筹资活动净现金流量</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0A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571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FF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594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D4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38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545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E24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4A8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E2C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47A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63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44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-17 </w:t>
            </w:r>
          </w:p>
        </w:tc>
      </w:tr>
      <w:tr w14:paraId="5082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6223A2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3.1</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BEF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现金流入</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8F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571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D4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594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F5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38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3A8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92D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E55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45E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8CE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03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-44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28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-17 </w:t>
            </w:r>
          </w:p>
        </w:tc>
      </w:tr>
      <w:tr w14:paraId="52BE7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35FF32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AF8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净现金流量</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82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1227</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05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61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37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159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01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159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42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159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F7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159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D6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159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D2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159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6B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159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AD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53 </w:t>
            </w:r>
          </w:p>
        </w:tc>
      </w:tr>
      <w:tr w14:paraId="7C6C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8" w:type="pct"/>
            <w:tcBorders>
              <w:top w:val="nil"/>
              <w:left w:val="single" w:color="000000" w:sz="4" w:space="0"/>
              <w:bottom w:val="single" w:color="000000" w:sz="4" w:space="0"/>
              <w:right w:val="single" w:color="000000" w:sz="4" w:space="0"/>
            </w:tcBorders>
            <w:shd w:val="clear" w:color="auto" w:fill="auto"/>
            <w:noWrap/>
            <w:vAlign w:val="center"/>
          </w:tcPr>
          <w:p w14:paraId="67BEF2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CE9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累计盈余资金</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0C0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29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61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41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220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0F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379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76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537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D0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696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A7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855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A2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1014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38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1174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A5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1227 </w:t>
            </w:r>
          </w:p>
        </w:tc>
      </w:tr>
    </w:tbl>
    <w:p w14:paraId="74A33457">
      <w:pPr>
        <w:pStyle w:val="79"/>
        <w:adjustRightInd w:val="0"/>
        <w:snapToGrid w:val="0"/>
        <w:spacing w:line="360" w:lineRule="auto"/>
        <w:rPr>
          <w:rFonts w:hint="eastAsia" w:ascii="仿宋_GB2312" w:eastAsia="仿宋_GB2312" w:cs="仿宋_GB2312"/>
          <w:color w:val="auto"/>
          <w:sz w:val="28"/>
          <w:szCs w:val="28"/>
          <w:highlight w:val="none"/>
        </w:rPr>
        <w:sectPr>
          <w:pgSz w:w="16838" w:h="11906" w:orient="landscape"/>
          <w:pgMar w:top="1474" w:right="1814" w:bottom="1474" w:left="1814" w:header="1361" w:footer="1361" w:gutter="0"/>
          <w:cols w:space="720" w:num="1"/>
          <w:rtlGutter w:val="1"/>
          <w:docGrid w:type="lines" w:linePitch="389" w:charSpace="0"/>
        </w:sectPr>
      </w:pPr>
    </w:p>
    <w:p w14:paraId="53598461">
      <w:pPr>
        <w:pStyle w:val="79"/>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附表9  资产负债表（单位：万元）</w:t>
      </w:r>
    </w:p>
    <w:tbl>
      <w:tblPr>
        <w:tblStyle w:val="6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3707"/>
        <w:gridCol w:w="1343"/>
        <w:gridCol w:w="836"/>
        <w:gridCol w:w="836"/>
        <w:gridCol w:w="836"/>
        <w:gridCol w:w="836"/>
        <w:gridCol w:w="1005"/>
        <w:gridCol w:w="1005"/>
        <w:gridCol w:w="1005"/>
        <w:gridCol w:w="1005"/>
      </w:tblGrid>
      <w:tr w14:paraId="671AC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74" w:type="pct"/>
            <w:tcBorders>
              <w:top w:val="single" w:color="000000" w:sz="4" w:space="0"/>
              <w:left w:val="single" w:color="000000" w:sz="4" w:space="0"/>
              <w:bottom w:val="nil"/>
              <w:right w:val="single" w:color="000000" w:sz="4" w:space="0"/>
            </w:tcBorders>
            <w:shd w:val="clear" w:color="auto" w:fill="auto"/>
            <w:noWrap/>
            <w:vAlign w:val="center"/>
          </w:tcPr>
          <w:p w14:paraId="4C1D67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序号</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6C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项    目</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9E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建设期</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E8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F8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75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07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74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25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68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96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8</w:t>
            </w:r>
          </w:p>
        </w:tc>
      </w:tr>
      <w:tr w14:paraId="5AB2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B2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9C9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资产</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CE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655</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D4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283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24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441</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1F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36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759</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F4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918</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0B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1077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A4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1236</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8B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1244</w:t>
            </w:r>
          </w:p>
        </w:tc>
      </w:tr>
      <w:tr w14:paraId="1C04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D8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3DF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流动资产总额</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8F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85</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85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283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29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441</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2D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13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759</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FA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918</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C0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1077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F7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1236</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AA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1244</w:t>
            </w:r>
          </w:p>
        </w:tc>
      </w:tr>
      <w:tr w14:paraId="338F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09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1.1.1</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8E6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货币资金</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EF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68</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2E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238</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F5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397</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B5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555</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82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714</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D7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873</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ED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1032</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47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1192</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BB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1232</w:t>
            </w:r>
          </w:p>
        </w:tc>
      </w:tr>
      <w:tr w14:paraId="6AA6D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7B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1.1.2</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512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应收账款</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06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8</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1A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22</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1F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22</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C2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22</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3E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22</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07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22</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45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22</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67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22</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37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w:t>
            </w:r>
          </w:p>
        </w:tc>
      </w:tr>
      <w:tr w14:paraId="7E60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7D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1.1.3</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270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预付账款</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5E3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8B4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E74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2D4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802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457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B68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581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214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4BA1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79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1.1.4</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746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存货</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90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8</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96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05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63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FC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58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83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CB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ED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w:t>
            </w:r>
          </w:p>
        </w:tc>
      </w:tr>
      <w:tr w14:paraId="45C53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A9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1.1.5</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CC0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其他</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929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77C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8C4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812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3EA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4C4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E6E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5CF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4B3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5930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1D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F56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在建工程</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4D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570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94B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F39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D36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88F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A9E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501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92E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B3A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5BEE2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27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1.3</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32E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固定资产净值</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0A8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6B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523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9C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475</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0C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428</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08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380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05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333</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44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285</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8B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238</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44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190</w:t>
            </w:r>
          </w:p>
        </w:tc>
      </w:tr>
      <w:tr w14:paraId="5CA15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3E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1.4</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DC8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无形及递延资产净值</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351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9AF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C9E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A95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257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1D9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F14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AAA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2BB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6673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DF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BF9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负债及所有者权益</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C9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444</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05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594</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7A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705</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F9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817</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E6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928</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4E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1040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B7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1151</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82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1219</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88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1206</w:t>
            </w:r>
          </w:p>
        </w:tc>
      </w:tr>
      <w:tr w14:paraId="3C355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8A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2.1</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ECE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流动负债总额</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63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0E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1A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4B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87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1D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A8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0C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63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w:t>
            </w:r>
          </w:p>
        </w:tc>
      </w:tr>
      <w:tr w14:paraId="7E5BF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B2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2.1.1</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84A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短期借款</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1BD0">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477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534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365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1B4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57A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4B9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9DD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2AC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15ED0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DE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2.1.2</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A27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应付账款</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2E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B4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5E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5A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EA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47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D4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5D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D1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w:t>
            </w:r>
          </w:p>
        </w:tc>
      </w:tr>
      <w:tr w14:paraId="7E1B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14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2.1.3</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88D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预收账款</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C4B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459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88B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A2B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813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241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587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A84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F7F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1F0A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09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2.1.4</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5A6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其他</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357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131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AE2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566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4DF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DAF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102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E9C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A58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3DD78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7D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2.2</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622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建设投资借款</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757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A22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94BD">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301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DB7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7B2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5C04">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2E9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ACF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5BE7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EF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0A2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流动资金借款</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066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612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4ED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7DE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388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8C5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C4C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C34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555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3F2A6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9F3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5D3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 xml:space="preserve">         负债小计</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51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29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91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CE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C3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4C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A0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28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87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w:t>
            </w:r>
          </w:p>
        </w:tc>
      </w:tr>
      <w:tr w14:paraId="51F6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03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4DD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所有者权益</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4B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443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55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593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8C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704</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B5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815</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CB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927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4A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1038</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68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1150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83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1217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0A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1206</w:t>
            </w:r>
          </w:p>
        </w:tc>
      </w:tr>
      <w:tr w14:paraId="0F83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3A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2.3.1</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13B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资本金</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BC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570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83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609</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4F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609</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24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609</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B2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609</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57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609</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5A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609</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40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565</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5B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547</w:t>
            </w:r>
          </w:p>
        </w:tc>
      </w:tr>
      <w:tr w14:paraId="1FD0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4C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2.3.2</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6C7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利用原有固定资产净值</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13F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022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88E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7C9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DC8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A50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78E8">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B19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D3F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6131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80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2.3.3</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F26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累计盈余公积金</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9D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AE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6D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48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21</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E6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32</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91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43</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DA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54</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0B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65</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5D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66</w:t>
            </w:r>
          </w:p>
        </w:tc>
      </w:tr>
      <w:tr w14:paraId="61D7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46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2.3.4</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5B1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累计未分配利润</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C5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-114</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4C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-14</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53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86</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D2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186</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4F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286</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DC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387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00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487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49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587</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AB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592</w:t>
            </w:r>
          </w:p>
        </w:tc>
      </w:tr>
      <w:tr w14:paraId="40CA9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9BB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9E0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计算指标:</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4C57">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340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0A4C">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25A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3EF3">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E4BB">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800A">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83A2">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4EE6">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r>
      <w:tr w14:paraId="73C0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37A1">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eastAsia="仿宋_GB2312" w:cs="仿宋_GB2312"/>
                <w:i w:val="0"/>
                <w:iCs w:val="0"/>
                <w:color w:val="auto"/>
                <w:sz w:val="22"/>
                <w:szCs w:val="22"/>
                <w:u w:val="none"/>
              </w:rPr>
            </w:pP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504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资产负债率(%):</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39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C5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0.5</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F8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FE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0.2</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A9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0.2</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E7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0.1</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2C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0.1</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3F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0.1</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D4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eastAsia="仿宋_GB2312" w:cs="仿宋_GB2312"/>
                <w:i w:val="0"/>
                <w:iCs w:val="0"/>
                <w:color w:val="auto"/>
                <w:sz w:val="22"/>
                <w:szCs w:val="22"/>
                <w:u w:val="none"/>
              </w:rPr>
            </w:pPr>
            <w:r>
              <w:rPr>
                <w:rFonts w:hint="eastAsia" w:ascii="仿宋_GB2312" w:eastAsia="仿宋_GB2312" w:cs="仿宋_GB2312"/>
                <w:i w:val="0"/>
                <w:iCs w:val="0"/>
                <w:color w:val="auto"/>
                <w:kern w:val="0"/>
                <w:sz w:val="22"/>
                <w:szCs w:val="22"/>
                <w:u w:val="none"/>
                <w:lang w:val="en-US" w:eastAsia="zh-CN"/>
              </w:rPr>
              <w:t>0.0</w:t>
            </w:r>
          </w:p>
        </w:tc>
      </w:tr>
    </w:tbl>
    <w:p w14:paraId="6EAE468D">
      <w:pPr>
        <w:pStyle w:val="79"/>
        <w:adjustRightInd w:val="0"/>
        <w:snapToGrid w:val="0"/>
        <w:spacing w:line="360" w:lineRule="auto"/>
        <w:rPr>
          <w:rFonts w:hint="eastAsia" w:ascii="仿宋_GB2312" w:eastAsia="仿宋_GB2312" w:cs="仿宋_GB2312"/>
          <w:color w:val="auto"/>
          <w:sz w:val="28"/>
          <w:szCs w:val="28"/>
        </w:rPr>
      </w:pPr>
    </w:p>
    <w:sectPr>
      <w:pgSz w:w="16838" w:h="11906" w:orient="landscape"/>
      <w:pgMar w:top="1474" w:right="1814" w:bottom="1474" w:left="1814" w:header="1361" w:footer="1361" w:gutter="0"/>
      <w:cols w:space="720" w:num="1"/>
      <w:rtlGutter w:val="1"/>
      <w:docGrid w:type="lines" w:linePitch="38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简标宋">
    <w:altName w:val="黑体"/>
    <w:panose1 w:val="00000000000000000000"/>
    <w:charset w:val="86"/>
    <w:family w:val="auto"/>
    <w:pitch w:val="default"/>
    <w:sig w:usb0="00000000" w:usb1="00000000" w:usb2="00000010" w:usb3="00000000" w:csb0="00040000" w:csb1="00000000"/>
  </w:font>
  <w:font w:name="方正粗活意简体">
    <w:altName w:val="微软雅黑"/>
    <w:panose1 w:val="00000000000000000000"/>
    <w:charset w:val="86"/>
    <w:family w:val="script"/>
    <w:pitch w:val="default"/>
    <w:sig w:usb0="00000000" w:usb1="00000000" w:usb2="00000000" w:usb3="00000000" w:csb0="00040000" w:csb1="00000000"/>
  </w:font>
  <w:font w:name="方正综艺简体">
    <w:altName w:val="微软雅黑"/>
    <w:panose1 w:val="00000000000000000000"/>
    <w:charset w:val="86"/>
    <w:family w:val="auto"/>
    <w:pitch w:val="default"/>
    <w:sig w:usb0="00000000" w:usb1="0000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Arial Narrow">
    <w:panose1 w:val="020B0606020202030204"/>
    <w:charset w:val="00"/>
    <w:family w:val="swiss"/>
    <w:pitch w:val="default"/>
    <w:sig w:usb0="00000287" w:usb1="00000800" w:usb2="00000000" w:usb3="00000000" w:csb0="2000009F" w:csb1="DFD70000"/>
  </w:font>
  <w:font w:name="HGHP_CNKI">
    <w:altName w:val="Cambria"/>
    <w:panose1 w:val="00000000000000000000"/>
    <w:charset w:val="00"/>
    <w:family w:val="roman"/>
    <w:pitch w:val="default"/>
    <w:sig w:usb0="00000000" w:usb1="00000000" w:usb2="00000000" w:usb3="00000000" w:csb0="00000000" w:csb1="00000000"/>
  </w:font>
  <w:font w:name="TimesNewRoman">
    <w:altName w:val="Times New Roman"/>
    <w:panose1 w:val="00000000000000000000"/>
    <w:charset w:val="00"/>
    <w:family w:val="roman"/>
    <w:pitch w:val="default"/>
    <w:sig w:usb0="00000000" w:usb1="00000000" w:usb2="00000000" w:usb3="00000000" w:csb0="00000000" w:csb1="00000000"/>
  </w:font>
  <w:font w:name="隶书">
    <w:altName w:val="微软雅黑"/>
    <w:panose1 w:val="0201050906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大标宋简体">
    <w:altName w:val="微软雅黑"/>
    <w:panose1 w:val="00000000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41C57">
    <w:pPr>
      <w:pStyle w:val="40"/>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1591544"/>
      <w:docPartList>
        <w:docPartGallery w:val="autotext"/>
      </w:docPartList>
    </w:sdtPr>
    <w:sdtContent>
      <w:p w14:paraId="69ACFBBA">
        <w:pPr>
          <w:pStyle w:val="40"/>
          <w:jc w:val="center"/>
        </w:pPr>
        <w:r>
          <w:fldChar w:fldCharType="begin"/>
        </w:r>
        <w:r>
          <w:instrText xml:space="preserve">PAGE   \* MERGEFORMAT</w:instrText>
        </w:r>
        <w:r>
          <w:fldChar w:fldCharType="separate"/>
        </w:r>
        <w:r>
          <w:rPr>
            <w:lang w:val="zh-CN"/>
          </w:rPr>
          <w:t>2</w:t>
        </w:r>
        <w:r>
          <w:fldChar w:fldCharType="end"/>
        </w:r>
      </w:p>
    </w:sdtContent>
  </w:sdt>
  <w:p w14:paraId="036E4488">
    <w:pPr>
      <w:pStyle w:val="40"/>
      <w:pBdr>
        <w:top w:val="single" w:color="auto" w:sz="18" w:space="1"/>
      </w:pBdr>
      <w:jc w:val="right"/>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62766">
    <w:pPr>
      <w:pStyle w:val="40"/>
      <w:tabs>
        <w:tab w:val="right" w:pos="9006"/>
        <w:tab w:val="clear" w:pos="8306"/>
      </w:tabs>
      <w:jc w:val="center"/>
    </w:pPr>
    <w:r>
      <w:rPr>
        <w:rStyle w:val="66"/>
      </w:rPr>
      <w:fldChar w:fldCharType="begin"/>
    </w:r>
    <w:r>
      <w:rPr>
        <w:rStyle w:val="66"/>
      </w:rPr>
      <w:instrText xml:space="preserve"> PAGE </w:instrText>
    </w:r>
    <w:r>
      <w:rPr>
        <w:rStyle w:val="66"/>
      </w:rPr>
      <w:fldChar w:fldCharType="separate"/>
    </w:r>
    <w:r>
      <w:rPr>
        <w:rStyle w:val="66"/>
      </w:rPr>
      <w:t>4</w:t>
    </w:r>
    <w:r>
      <w:rPr>
        <w:rStyle w:val="6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6855F">
    <w:pPr>
      <w:pStyle w:val="41"/>
      <w:pBdr>
        <w:bottom w:val="none" w:color="auto" w:sz="0" w:space="0"/>
      </w:pBdr>
    </w:pPr>
  </w:p>
  <w:p w14:paraId="1FB290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BB6B">
    <w:pPr>
      <w:pStyle w:val="41"/>
      <w:pBdr>
        <w:bottom w:val="thinThickSmallGap" w:color="auto" w:sz="24" w:space="1"/>
        <w:between w:val="thinThickSmallGap" w:color="auto" w:sz="24" w:space="1"/>
      </w:pBdr>
      <w:jc w:val="left"/>
      <w:rPr>
        <w:rFonts w:eastAsia="方正大标宋简体"/>
        <w:sz w:val="21"/>
        <w:szCs w:val="21"/>
      </w:rPr>
    </w:pPr>
    <w:r>
      <w:rPr>
        <w:rFonts w:hint="eastAsia" w:eastAsia="方正大标宋简体"/>
        <w:sz w:val="21"/>
        <w:szCs w:val="21"/>
        <w:lang w:eastAsia="zh-CN"/>
      </w:rPr>
      <w:t>四川省大英县汇龙桥村砖瓦用页岩矿</w:t>
    </w:r>
    <w:r>
      <w:rPr>
        <w:rFonts w:hint="eastAsia" w:eastAsia="方正大标宋简体"/>
        <w:sz w:val="21"/>
        <w:szCs w:val="21"/>
      </w:rPr>
      <w:t xml:space="preserve"> </w:t>
    </w:r>
    <w:r>
      <w:rPr>
        <w:rFonts w:eastAsia="方正大标宋简体"/>
        <w:sz w:val="21"/>
        <w:szCs w:val="21"/>
      </w:rPr>
      <w:t xml:space="preserve">                              </w:t>
    </w:r>
    <w:r>
      <w:rPr>
        <w:rFonts w:hint="eastAsia" w:eastAsia="方正大标宋简体"/>
        <w:sz w:val="21"/>
        <w:szCs w:val="21"/>
      </w:rPr>
      <w:t>矿产资源开发利用方案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8F8AF7"/>
    <w:multiLevelType w:val="singleLevel"/>
    <w:tmpl w:val="E58F8AF7"/>
    <w:lvl w:ilvl="0" w:tentative="0">
      <w:start w:val="1"/>
      <w:numFmt w:val="decimal"/>
      <w:suff w:val="nothing"/>
      <w:lvlText w:val="%1、"/>
      <w:lvlJc w:val="left"/>
      <w:pPr>
        <w:ind w:left="0" w:firstLine="0"/>
      </w:pPr>
    </w:lvl>
  </w:abstractNum>
  <w:abstractNum w:abstractNumId="1">
    <w:nsid w:val="29F25DFA"/>
    <w:multiLevelType w:val="multilevel"/>
    <w:tmpl w:val="29F25DFA"/>
    <w:lvl w:ilvl="0" w:tentative="0">
      <w:start w:val="1"/>
      <w:numFmt w:val="decimal"/>
      <w:lvlText w:val="%1"/>
      <w:lvlJc w:val="left"/>
      <w:pPr>
        <w:ind w:left="480" w:hanging="480"/>
      </w:pPr>
      <w:rPr>
        <w:rFonts w:hint="default"/>
      </w:rPr>
    </w:lvl>
    <w:lvl w:ilvl="1" w:tentative="0">
      <w:start w:val="6"/>
      <w:numFmt w:val="decimal"/>
      <w:isLgl/>
      <w:lvlText w:val="%1.%2"/>
      <w:lvlJc w:val="left"/>
      <w:pPr>
        <w:ind w:left="720" w:hanging="720"/>
      </w:pPr>
      <w:rPr>
        <w:rFonts w:hint="default"/>
      </w:rPr>
    </w:lvl>
    <w:lvl w:ilvl="2" w:tentative="0">
      <w:start w:val="2"/>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2160" w:hanging="216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2">
    <w:nsid w:val="41BD3E87"/>
    <w:multiLevelType w:val="multilevel"/>
    <w:tmpl w:val="41BD3E87"/>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lvl>
    <w:lvl w:ilvl="2" w:tentative="0">
      <w:start w:val="1"/>
      <w:numFmt w:val="decimal"/>
      <w:pStyle w:val="176"/>
      <w:suff w:val="space"/>
      <w:lvlText w:val="%1.%2.%3"/>
      <w:lvlJc w:val="left"/>
      <w:pPr>
        <w:ind w:left="0" w:firstLine="0"/>
      </w:pPr>
      <w:rPr>
        <w:b w:val="0"/>
        <w:bCs w:val="0"/>
        <w:i w:val="0"/>
        <w:iCs w:val="0"/>
        <w:caps w:val="0"/>
        <w:smallCaps w:val="0"/>
        <w:strike w:val="0"/>
        <w:dstrike w:val="0"/>
        <w:vanish w:val="0"/>
        <w:color w:val="auto"/>
        <w:spacing w:val="0"/>
        <w:position w:val="0"/>
        <w:u w:val="none"/>
        <w:vertAlign w:val="baseline"/>
      </w:rPr>
    </w:lvl>
    <w:lvl w:ilvl="3" w:tentative="0">
      <w:start w:val="1"/>
      <w:numFmt w:val="decimal"/>
      <w:suff w:val="space"/>
      <w:lvlText w:val="%1.%2.%3.%4"/>
      <w:lvlJc w:val="left"/>
      <w:pPr>
        <w:ind w:left="0" w:firstLine="0"/>
      </w:pPr>
      <w:rPr>
        <w:rFonts w:hint="eastAsia"/>
        <w:b w:val="0"/>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4C1743BD"/>
    <w:multiLevelType w:val="multilevel"/>
    <w:tmpl w:val="4C1743BD"/>
    <w:lvl w:ilvl="0" w:tentative="0">
      <w:start w:val="1"/>
      <w:numFmt w:val="bullet"/>
      <w:pStyle w:val="174"/>
      <w:lvlText w:val="•"/>
      <w:lvlJc w:val="left"/>
      <w:pPr>
        <w:ind w:left="720" w:hanging="360"/>
      </w:pPr>
      <w:rPr>
        <w:rFonts w:hint="default" w:ascii="宋体" w:hAnsi="宋体"/>
      </w:rPr>
    </w:lvl>
    <w:lvl w:ilvl="1" w:tentative="0">
      <w:start w:val="1"/>
      <w:numFmt w:val="bullet"/>
      <w:lvlText w:val="•"/>
      <w:lvlJc w:val="left"/>
      <w:pPr>
        <w:ind w:left="1440" w:hanging="360"/>
      </w:pPr>
      <w:rPr>
        <w:rFonts w:hint="default" w:ascii="宋体" w:hAnsi="宋体"/>
      </w:rPr>
    </w:lvl>
    <w:lvl w:ilvl="2" w:tentative="0">
      <w:start w:val="1"/>
      <w:numFmt w:val="bullet"/>
      <w:lvlText w:val="•"/>
      <w:lvlJc w:val="left"/>
      <w:pPr>
        <w:ind w:left="2160" w:hanging="360"/>
      </w:pPr>
      <w:rPr>
        <w:rFonts w:hint="default" w:ascii="宋体" w:hAnsi="宋体"/>
      </w:rPr>
    </w:lvl>
    <w:lvl w:ilvl="3" w:tentative="0">
      <w:start w:val="1"/>
      <w:numFmt w:val="bullet"/>
      <w:lvlText w:val="•"/>
      <w:lvlJc w:val="left"/>
      <w:pPr>
        <w:ind w:left="2880" w:hanging="360"/>
      </w:pPr>
      <w:rPr>
        <w:rFonts w:hint="default" w:ascii="宋体" w:hAnsi="宋体"/>
      </w:rPr>
    </w:lvl>
    <w:lvl w:ilvl="4" w:tentative="0">
      <w:start w:val="1"/>
      <w:numFmt w:val="bullet"/>
      <w:lvlText w:val="•"/>
      <w:lvlJc w:val="left"/>
      <w:pPr>
        <w:ind w:left="3600" w:hanging="360"/>
      </w:pPr>
      <w:rPr>
        <w:rFonts w:hint="default" w:ascii="宋体" w:hAnsi="宋体"/>
      </w:rPr>
    </w:lvl>
    <w:lvl w:ilvl="5" w:tentative="0">
      <w:start w:val="1"/>
      <w:numFmt w:val="bullet"/>
      <w:lvlText w:val="•"/>
      <w:lvlJc w:val="left"/>
      <w:pPr>
        <w:ind w:left="4320" w:hanging="360"/>
      </w:pPr>
      <w:rPr>
        <w:rFonts w:hint="default" w:ascii="宋体" w:hAnsi="宋体"/>
      </w:rPr>
    </w:lvl>
    <w:lvl w:ilvl="6" w:tentative="0">
      <w:start w:val="1"/>
      <w:numFmt w:val="bullet"/>
      <w:lvlText w:val="•"/>
      <w:lvlJc w:val="left"/>
      <w:pPr>
        <w:ind w:left="5040" w:hanging="360"/>
      </w:pPr>
      <w:rPr>
        <w:rFonts w:hint="default" w:ascii="宋体" w:hAnsi="宋体"/>
      </w:rPr>
    </w:lvl>
    <w:lvl w:ilvl="7" w:tentative="0">
      <w:start w:val="1"/>
      <w:numFmt w:val="bullet"/>
      <w:lvlText w:val="•"/>
      <w:lvlJc w:val="left"/>
      <w:pPr>
        <w:ind w:left="5760" w:hanging="360"/>
      </w:pPr>
      <w:rPr>
        <w:rFonts w:hint="default" w:ascii="宋体" w:hAnsi="宋体"/>
      </w:rPr>
    </w:lvl>
    <w:lvl w:ilvl="8" w:tentative="0">
      <w:start w:val="1"/>
      <w:numFmt w:val="bullet"/>
      <w:lvlText w:val="•"/>
      <w:lvlJc w:val="left"/>
      <w:pPr>
        <w:ind w:left="6480" w:hanging="360"/>
      </w:pPr>
      <w:rPr>
        <w:rFonts w:hint="default" w:ascii="宋体" w:hAnsi="宋体"/>
      </w:rPr>
    </w:lvl>
  </w:abstractNum>
  <w:abstractNum w:abstractNumId="4">
    <w:nsid w:val="772277B6"/>
    <w:multiLevelType w:val="singleLevel"/>
    <w:tmpl w:val="772277B6"/>
    <w:lvl w:ilvl="0" w:tentative="0">
      <w:start w:val="1"/>
      <w:numFmt w:val="decimal"/>
      <w:suff w:val="nothing"/>
      <w:lvlText w:val="%1、"/>
      <w:lvlJc w:val="left"/>
      <w:pPr>
        <w:ind w:left="0" w:firstLine="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40"/>
  <w:drawingGridVerticalSpacing w:val="19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5"/>
  </w:compat>
  <w:docVars>
    <w:docVar w:name="commondata" w:val="eyJoZGlkIjoiYmYyMTkwMTk1NWMzMGJlOGQ0Y2ZiMTBlMzQ2ZTZiOGUifQ=="/>
  </w:docVars>
  <w:rsids>
    <w:rsidRoot w:val="00000000"/>
    <w:rsid w:val="59812CE5"/>
    <w:rsid w:val="6A0768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520" w:lineRule="exact"/>
      <w:jc w:val="both"/>
    </w:pPr>
    <w:rPr>
      <w:rFonts w:ascii="Times New Roman" w:hAnsi="Times New Roman" w:eastAsia="宋体" w:cs="Times New Roman"/>
      <w:kern w:val="2"/>
      <w:sz w:val="28"/>
      <w:szCs w:val="28"/>
      <w:lang w:val="en-US" w:eastAsia="zh-CN" w:bidi="ar-SA"/>
    </w:rPr>
  </w:style>
  <w:style w:type="paragraph" w:styleId="3">
    <w:name w:val="heading 1"/>
    <w:basedOn w:val="1"/>
    <w:next w:val="1"/>
    <w:qFormat/>
    <w:uiPriority w:val="0"/>
    <w:pPr>
      <w:keepNext/>
      <w:keepLines/>
      <w:widowControl w:val="0"/>
      <w:spacing w:before="240" w:after="120" w:line="360" w:lineRule="auto"/>
      <w:jc w:val="left"/>
      <w:outlineLvl w:val="0"/>
    </w:pPr>
    <w:rPr>
      <w:rFonts w:ascii="黑体" w:eastAsia="黑体"/>
      <w:b/>
      <w:bCs/>
      <w:kern w:val="44"/>
      <w:sz w:val="32"/>
      <w:szCs w:val="44"/>
    </w:rPr>
  </w:style>
  <w:style w:type="paragraph" w:styleId="4">
    <w:name w:val="heading 2"/>
    <w:basedOn w:val="1"/>
    <w:next w:val="1"/>
    <w:autoRedefine/>
    <w:qFormat/>
    <w:uiPriority w:val="0"/>
    <w:pPr>
      <w:keepNext/>
      <w:keepLines/>
      <w:widowControl w:val="0"/>
      <w:spacing w:before="240" w:line="360" w:lineRule="auto"/>
      <w:outlineLvl w:val="1"/>
    </w:pPr>
    <w:rPr>
      <w:rFonts w:ascii="黑体" w:eastAsia="黑体" w:cs="Times New Roman"/>
      <w:bCs/>
      <w:sz w:val="30"/>
      <w:szCs w:val="32"/>
    </w:rPr>
  </w:style>
  <w:style w:type="paragraph" w:styleId="5">
    <w:name w:val="heading 3"/>
    <w:basedOn w:val="1"/>
    <w:next w:val="1"/>
    <w:autoRedefine/>
    <w:uiPriority w:val="0"/>
    <w:pPr>
      <w:keepNext/>
      <w:keepLines/>
      <w:widowControl w:val="0"/>
      <w:spacing w:before="120" w:line="520" w:lineRule="atLeast"/>
      <w:outlineLvl w:val="2"/>
    </w:pPr>
    <w:rPr>
      <w:bCs/>
      <w:sz w:val="30"/>
      <w:szCs w:val="32"/>
    </w:rPr>
  </w:style>
  <w:style w:type="paragraph" w:styleId="6">
    <w:name w:val="heading 4"/>
    <w:basedOn w:val="1"/>
    <w:next w:val="1"/>
    <w:qFormat/>
    <w:uiPriority w:val="0"/>
    <w:pPr>
      <w:keepNext/>
      <w:keepLines/>
      <w:widowControl w:val="0"/>
      <w:spacing w:before="120"/>
      <w:outlineLvl w:val="3"/>
    </w:pPr>
    <w:rPr>
      <w:rFonts w:cs="Times New Roman"/>
      <w:bCs/>
    </w:rPr>
  </w:style>
  <w:style w:type="paragraph" w:styleId="7">
    <w:name w:val="heading 5"/>
    <w:basedOn w:val="1"/>
    <w:next w:val="1"/>
    <w:uiPriority w:val="0"/>
    <w:pPr>
      <w:keepLines/>
      <w:widowControl w:val="0"/>
      <w:tabs>
        <w:tab w:val="left" w:pos="700"/>
      </w:tabs>
      <w:overflowPunct w:val="0"/>
      <w:adjustRightInd w:val="0"/>
      <w:spacing w:line="360" w:lineRule="auto"/>
      <w:ind w:firstLine="567"/>
      <w:textAlignment w:val="baseline"/>
      <w:outlineLvl w:val="4"/>
    </w:pPr>
    <w:rPr>
      <w:rFonts w:ascii="宋体"/>
      <w:color w:val="800080"/>
      <w:kern w:val="28"/>
      <w:szCs w:val="24"/>
      <w:lang w:val="zh-CN"/>
    </w:rPr>
  </w:style>
  <w:style w:type="paragraph" w:styleId="8">
    <w:name w:val="heading 6"/>
    <w:basedOn w:val="1"/>
    <w:next w:val="1"/>
    <w:autoRedefine/>
    <w:qFormat/>
    <w:uiPriority w:val="0"/>
    <w:pPr>
      <w:tabs>
        <w:tab w:val="left" w:pos="1080"/>
      </w:tabs>
      <w:overflowPunct w:val="0"/>
      <w:adjustRightInd w:val="0"/>
      <w:spacing w:line="360" w:lineRule="auto"/>
      <w:ind w:firstLine="567"/>
      <w:textAlignment w:val="baseline"/>
      <w:outlineLvl w:val="5"/>
    </w:pPr>
    <w:rPr>
      <w:rFonts w:ascii="宋体"/>
      <w:color w:val="808000"/>
      <w:kern w:val="28"/>
      <w:szCs w:val="24"/>
      <w:lang w:val="zh-CN"/>
    </w:rPr>
  </w:style>
  <w:style w:type="paragraph" w:styleId="9">
    <w:name w:val="heading 7"/>
    <w:basedOn w:val="1"/>
    <w:next w:val="10"/>
    <w:qFormat/>
    <w:uiPriority w:val="0"/>
    <w:pPr>
      <w:tabs>
        <w:tab w:val="left" w:pos="1320"/>
      </w:tabs>
      <w:overflowPunct w:val="0"/>
      <w:adjustRightInd w:val="0"/>
      <w:spacing w:before="80" w:after="80" w:line="0" w:lineRule="atLeast"/>
      <w:ind w:firstLine="567"/>
      <w:textAlignment w:val="baseline"/>
      <w:outlineLvl w:val="6"/>
    </w:pPr>
    <w:rPr>
      <w:rFonts w:ascii="宋体"/>
      <w:b/>
      <w:color w:val="800080"/>
      <w:kern w:val="28"/>
      <w:szCs w:val="24"/>
      <w:lang w:val="zh-CN"/>
    </w:rPr>
  </w:style>
  <w:style w:type="paragraph" w:styleId="10">
    <w:name w:val="heading 8"/>
    <w:basedOn w:val="1"/>
    <w:next w:val="1"/>
    <w:qFormat/>
    <w:uiPriority w:val="0"/>
    <w:pPr>
      <w:keepLines/>
      <w:widowControl w:val="0"/>
      <w:overflowPunct w:val="0"/>
      <w:adjustRightInd w:val="0"/>
      <w:spacing w:before="80" w:after="80" w:line="240" w:lineRule="auto"/>
      <w:ind w:firstLine="680"/>
      <w:textAlignment w:val="baseline"/>
      <w:outlineLvl w:val="7"/>
    </w:pPr>
    <w:rPr>
      <w:rFonts w:ascii="宋体"/>
      <w:color w:val="008000"/>
      <w:kern w:val="28"/>
      <w:szCs w:val="24"/>
      <w:lang w:val="zh-CN"/>
    </w:rPr>
  </w:style>
  <w:style w:type="paragraph" w:styleId="11">
    <w:name w:val="heading 9"/>
    <w:basedOn w:val="1"/>
    <w:next w:val="1"/>
    <w:uiPriority w:val="0"/>
    <w:pPr>
      <w:keepNext/>
      <w:keepLines/>
      <w:widowControl w:val="0"/>
      <w:overflowPunct w:val="0"/>
      <w:adjustRightInd w:val="0"/>
      <w:spacing w:before="480" w:line="360" w:lineRule="auto"/>
      <w:textAlignment w:val="baseline"/>
      <w:outlineLvl w:val="8"/>
    </w:pPr>
    <w:rPr>
      <w:rFonts w:ascii="宋体"/>
      <w:b/>
      <w:color w:val="FF0000"/>
      <w:kern w:val="28"/>
      <w:sz w:val="32"/>
      <w:szCs w:val="24"/>
      <w:lang w:val="zh-CN"/>
    </w:rPr>
  </w:style>
  <w:style w:type="character" w:default="1" w:styleId="63">
    <w:name w:val="Default Paragraph Font"/>
    <w:autoRedefine/>
    <w:qFormat/>
    <w:uiPriority w:val="0"/>
  </w:style>
  <w:style w:type="table" w:default="1" w:styleId="62">
    <w:name w:val="Normal Table"/>
    <w:semiHidden/>
    <w:uiPriority w:val="0"/>
    <w:tblPr>
      <w:tblCellMar>
        <w:top w:w="0" w:type="dxa"/>
        <w:left w:w="108" w:type="dxa"/>
        <w:bottom w:w="0" w:type="dxa"/>
        <w:right w:w="108" w:type="dxa"/>
      </w:tblCellMar>
    </w:tblPr>
  </w:style>
  <w:style w:type="paragraph" w:styleId="2">
    <w:name w:val="macro"/>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napToGrid w:val="0"/>
      <w:sz w:val="24"/>
      <w:szCs w:val="24"/>
      <w:lang w:val="en-US" w:eastAsia="zh-CN" w:bidi="ar-SA"/>
    </w:rPr>
  </w:style>
  <w:style w:type="paragraph" w:styleId="12">
    <w:name w:val="toc 7"/>
    <w:basedOn w:val="1"/>
    <w:next w:val="1"/>
    <w:autoRedefine/>
    <w:qFormat/>
    <w:uiPriority w:val="0"/>
    <w:pPr>
      <w:spacing w:line="240" w:lineRule="auto"/>
      <w:ind w:left="1200" w:leftChars="1200"/>
    </w:pPr>
    <w:rPr>
      <w:rFonts w:ascii="等线" w:eastAsia="等线" w:cs="Arial"/>
      <w:sz w:val="21"/>
      <w:szCs w:val="22"/>
    </w:rPr>
  </w:style>
  <w:style w:type="paragraph" w:styleId="13">
    <w:name w:val="List Number 2"/>
    <w:basedOn w:val="1"/>
    <w:autoRedefine/>
    <w:qFormat/>
    <w:uiPriority w:val="0"/>
    <w:pPr>
      <w:tabs>
        <w:tab w:val="left" w:pos="1280"/>
      </w:tabs>
      <w:spacing w:line="240" w:lineRule="auto"/>
      <w:ind w:left="1280" w:hanging="720"/>
    </w:pPr>
    <w:rPr>
      <w:sz w:val="21"/>
      <w:szCs w:val="21"/>
    </w:rPr>
  </w:style>
  <w:style w:type="paragraph" w:styleId="14">
    <w:name w:val="Note Heading"/>
    <w:basedOn w:val="1"/>
    <w:next w:val="1"/>
    <w:autoRedefine/>
    <w:qFormat/>
    <w:uiPriority w:val="0"/>
    <w:pPr>
      <w:spacing w:line="240" w:lineRule="auto"/>
      <w:jc w:val="center"/>
    </w:pPr>
    <w:rPr>
      <w:szCs w:val="21"/>
    </w:rPr>
  </w:style>
  <w:style w:type="paragraph" w:styleId="15">
    <w:name w:val="List Bullet 4"/>
    <w:basedOn w:val="1"/>
    <w:autoRedefine/>
    <w:qFormat/>
    <w:uiPriority w:val="0"/>
    <w:pPr>
      <w:tabs>
        <w:tab w:val="left" w:pos="990"/>
        <w:tab w:val="left" w:pos="2040"/>
      </w:tabs>
      <w:spacing w:line="240" w:lineRule="auto"/>
      <w:ind w:left="1000" w:leftChars="800" w:hanging="200" w:hangingChars="200"/>
    </w:pPr>
    <w:rPr>
      <w:sz w:val="21"/>
      <w:szCs w:val="21"/>
    </w:rPr>
  </w:style>
  <w:style w:type="paragraph" w:styleId="16">
    <w:name w:val="List Number"/>
    <w:basedOn w:val="1"/>
    <w:autoRedefine/>
    <w:qFormat/>
    <w:uiPriority w:val="0"/>
    <w:pPr>
      <w:tabs>
        <w:tab w:val="left" w:pos="495"/>
      </w:tabs>
      <w:spacing w:line="240" w:lineRule="auto"/>
      <w:ind w:left="495" w:hanging="495"/>
    </w:pPr>
    <w:rPr>
      <w:sz w:val="21"/>
      <w:szCs w:val="21"/>
    </w:rPr>
  </w:style>
  <w:style w:type="paragraph" w:styleId="17">
    <w:name w:val="Normal Indent"/>
    <w:basedOn w:val="1"/>
    <w:next w:val="1"/>
    <w:autoRedefine/>
    <w:qFormat/>
    <w:uiPriority w:val="0"/>
    <w:pPr>
      <w:ind w:firstLine="200" w:firstLineChars="200"/>
    </w:pPr>
    <w:rPr>
      <w:szCs w:val="21"/>
    </w:rPr>
  </w:style>
  <w:style w:type="paragraph" w:styleId="18">
    <w:name w:val="caption"/>
    <w:basedOn w:val="1"/>
    <w:next w:val="1"/>
    <w:autoRedefine/>
    <w:qFormat/>
    <w:uiPriority w:val="0"/>
    <w:rPr>
      <w:rFonts w:ascii="等线 Light" w:hAnsi="等线 Light" w:eastAsia="黑体" w:cs="Times New Roman"/>
      <w:sz w:val="20"/>
      <w:szCs w:val="20"/>
    </w:rPr>
  </w:style>
  <w:style w:type="paragraph" w:styleId="19">
    <w:name w:val="List Bullet"/>
    <w:basedOn w:val="1"/>
    <w:autoRedefine/>
    <w:qFormat/>
    <w:uiPriority w:val="0"/>
    <w:pPr>
      <w:tabs>
        <w:tab w:val="left" w:pos="780"/>
      </w:tabs>
      <w:spacing w:line="240" w:lineRule="auto"/>
      <w:ind w:left="560" w:leftChars="200" w:hanging="360"/>
    </w:pPr>
    <w:rPr>
      <w:sz w:val="21"/>
      <w:szCs w:val="21"/>
    </w:rPr>
  </w:style>
  <w:style w:type="paragraph" w:styleId="20">
    <w:name w:val="Document Map"/>
    <w:basedOn w:val="1"/>
    <w:autoRedefine/>
    <w:qFormat/>
    <w:uiPriority w:val="0"/>
    <w:pPr>
      <w:shd w:val="clear" w:color="auto" w:fill="000080"/>
      <w:spacing w:line="240" w:lineRule="auto"/>
    </w:pPr>
    <w:rPr>
      <w:rFonts w:ascii="Calibri" w:hAnsi="Calibri"/>
      <w:sz w:val="21"/>
      <w:szCs w:val="24"/>
      <w:lang w:val="zh-CN"/>
    </w:rPr>
  </w:style>
  <w:style w:type="paragraph" w:styleId="21">
    <w:name w:val="annotation text"/>
    <w:basedOn w:val="1"/>
    <w:autoRedefine/>
    <w:qFormat/>
    <w:uiPriority w:val="0"/>
    <w:pPr>
      <w:jc w:val="left"/>
    </w:pPr>
    <w:rPr>
      <w:szCs w:val="21"/>
    </w:rPr>
  </w:style>
  <w:style w:type="paragraph" w:styleId="22">
    <w:name w:val="Salutation"/>
    <w:basedOn w:val="1"/>
    <w:next w:val="1"/>
    <w:autoRedefine/>
    <w:qFormat/>
    <w:uiPriority w:val="0"/>
    <w:pPr>
      <w:spacing w:line="240" w:lineRule="auto"/>
    </w:pPr>
    <w:rPr>
      <w:szCs w:val="21"/>
    </w:rPr>
  </w:style>
  <w:style w:type="paragraph" w:styleId="23">
    <w:name w:val="Body Text 3"/>
    <w:basedOn w:val="1"/>
    <w:autoRedefine/>
    <w:qFormat/>
    <w:uiPriority w:val="0"/>
    <w:pPr>
      <w:spacing w:line="240" w:lineRule="auto"/>
      <w:jc w:val="center"/>
    </w:pPr>
    <w:rPr>
      <w:sz w:val="24"/>
      <w:szCs w:val="24"/>
    </w:rPr>
  </w:style>
  <w:style w:type="paragraph" w:styleId="24">
    <w:name w:val="List Bullet 3"/>
    <w:basedOn w:val="1"/>
    <w:autoRedefine/>
    <w:qFormat/>
    <w:uiPriority w:val="0"/>
    <w:pPr>
      <w:tabs>
        <w:tab w:val="left" w:pos="360"/>
        <w:tab w:val="left" w:pos="1620"/>
      </w:tabs>
      <w:spacing w:line="240" w:lineRule="auto"/>
      <w:ind w:left="800" w:leftChars="600" w:hanging="200" w:hangingChars="200"/>
    </w:pPr>
    <w:rPr>
      <w:sz w:val="21"/>
      <w:szCs w:val="21"/>
    </w:rPr>
  </w:style>
  <w:style w:type="paragraph" w:styleId="25">
    <w:name w:val="Body Text"/>
    <w:basedOn w:val="1"/>
    <w:autoRedefine/>
    <w:qFormat/>
    <w:uiPriority w:val="0"/>
    <w:pPr>
      <w:autoSpaceDE w:val="0"/>
      <w:autoSpaceDN w:val="0"/>
      <w:ind w:firstLine="200" w:firstLineChars="200"/>
    </w:pPr>
    <w:rPr>
      <w:rFonts w:cs="宋体"/>
      <w:kern w:val="0"/>
    </w:rPr>
  </w:style>
  <w:style w:type="paragraph" w:styleId="26">
    <w:name w:val="Body Text Indent"/>
    <w:basedOn w:val="1"/>
    <w:autoRedefine/>
    <w:qFormat/>
    <w:uiPriority w:val="0"/>
    <w:pPr>
      <w:spacing w:after="120" w:line="240" w:lineRule="auto"/>
      <w:ind w:left="200" w:leftChars="200"/>
    </w:pPr>
    <w:rPr>
      <w:rFonts w:ascii="Calibri" w:hAnsi="Calibri"/>
      <w:szCs w:val="24"/>
    </w:rPr>
  </w:style>
  <w:style w:type="paragraph" w:styleId="27">
    <w:name w:val="List Number 3"/>
    <w:basedOn w:val="1"/>
    <w:autoRedefine/>
    <w:qFormat/>
    <w:uiPriority w:val="0"/>
    <w:pPr>
      <w:tabs>
        <w:tab w:val="left" w:pos="420"/>
      </w:tabs>
      <w:spacing w:line="240" w:lineRule="auto"/>
      <w:ind w:left="420" w:hanging="420"/>
    </w:pPr>
    <w:rPr>
      <w:sz w:val="21"/>
      <w:szCs w:val="21"/>
    </w:rPr>
  </w:style>
  <w:style w:type="paragraph" w:styleId="28">
    <w:name w:val="Block Text"/>
    <w:basedOn w:val="1"/>
    <w:autoRedefine/>
    <w:qFormat/>
    <w:uiPriority w:val="0"/>
    <w:pPr>
      <w:adjustRightInd w:val="0"/>
      <w:spacing w:line="240" w:lineRule="auto"/>
      <w:ind w:left="-720" w:right="-232" w:rightChars="-232" w:firstLine="214" w:firstLineChars="214"/>
      <w:textAlignment w:val="baseline"/>
    </w:pPr>
    <w:rPr>
      <w:rFonts w:ascii="宋体"/>
      <w:kern w:val="0"/>
      <w:szCs w:val="20"/>
    </w:rPr>
  </w:style>
  <w:style w:type="paragraph" w:styleId="29">
    <w:name w:val="List Bullet 2"/>
    <w:basedOn w:val="1"/>
    <w:autoRedefine/>
    <w:qFormat/>
    <w:uiPriority w:val="0"/>
    <w:pPr>
      <w:tabs>
        <w:tab w:val="left" w:pos="360"/>
        <w:tab w:val="left" w:pos="1200"/>
      </w:tabs>
      <w:spacing w:line="240" w:lineRule="auto"/>
      <w:ind w:left="600" w:leftChars="400" w:hanging="200" w:hangingChars="200"/>
    </w:pPr>
    <w:rPr>
      <w:sz w:val="21"/>
      <w:szCs w:val="21"/>
    </w:rPr>
  </w:style>
  <w:style w:type="paragraph" w:styleId="30">
    <w:name w:val="toc 5"/>
    <w:basedOn w:val="1"/>
    <w:next w:val="1"/>
    <w:autoRedefine/>
    <w:qFormat/>
    <w:uiPriority w:val="0"/>
    <w:pPr>
      <w:spacing w:line="240" w:lineRule="auto"/>
      <w:ind w:left="800" w:leftChars="800"/>
    </w:pPr>
    <w:rPr>
      <w:rFonts w:ascii="等线" w:eastAsia="等线" w:cs="Arial"/>
      <w:sz w:val="21"/>
      <w:szCs w:val="22"/>
    </w:rPr>
  </w:style>
  <w:style w:type="paragraph" w:styleId="31">
    <w:name w:val="toc 3"/>
    <w:basedOn w:val="1"/>
    <w:next w:val="1"/>
    <w:autoRedefine/>
    <w:qFormat/>
    <w:uiPriority w:val="0"/>
    <w:pPr>
      <w:spacing w:line="440" w:lineRule="exact"/>
      <w:ind w:left="400" w:leftChars="400"/>
    </w:pPr>
    <w:rPr>
      <w:sz w:val="24"/>
    </w:rPr>
  </w:style>
  <w:style w:type="paragraph" w:styleId="32">
    <w:name w:val="Plain Text"/>
    <w:basedOn w:val="1"/>
    <w:autoRedefine/>
    <w:qFormat/>
    <w:uiPriority w:val="0"/>
    <w:pPr>
      <w:spacing w:line="240" w:lineRule="auto"/>
    </w:pPr>
    <w:rPr>
      <w:rFonts w:ascii="宋体"/>
      <w:sz w:val="21"/>
      <w:szCs w:val="20"/>
    </w:rPr>
  </w:style>
  <w:style w:type="paragraph" w:styleId="33">
    <w:name w:val="List Bullet 5"/>
    <w:basedOn w:val="1"/>
    <w:autoRedefine/>
    <w:qFormat/>
    <w:uiPriority w:val="0"/>
    <w:pPr>
      <w:spacing w:line="240" w:lineRule="auto"/>
      <w:ind w:left="200" w:hanging="200" w:hangingChars="200"/>
    </w:pPr>
    <w:rPr>
      <w:sz w:val="21"/>
      <w:szCs w:val="21"/>
    </w:rPr>
  </w:style>
  <w:style w:type="paragraph" w:styleId="34">
    <w:name w:val="List Number 4"/>
    <w:basedOn w:val="1"/>
    <w:autoRedefine/>
    <w:qFormat/>
    <w:uiPriority w:val="0"/>
    <w:pPr>
      <w:tabs>
        <w:tab w:val="left" w:pos="375"/>
      </w:tabs>
      <w:spacing w:line="240" w:lineRule="auto"/>
      <w:ind w:left="375" w:hanging="375"/>
    </w:pPr>
    <w:rPr>
      <w:sz w:val="21"/>
      <w:szCs w:val="21"/>
    </w:rPr>
  </w:style>
  <w:style w:type="paragraph" w:styleId="35">
    <w:name w:val="toc 8"/>
    <w:basedOn w:val="1"/>
    <w:next w:val="1"/>
    <w:autoRedefine/>
    <w:qFormat/>
    <w:uiPriority w:val="0"/>
    <w:pPr>
      <w:spacing w:line="240" w:lineRule="auto"/>
      <w:ind w:left="1400" w:leftChars="1400"/>
    </w:pPr>
    <w:rPr>
      <w:rFonts w:ascii="等线" w:eastAsia="等线" w:cs="Arial"/>
      <w:sz w:val="21"/>
      <w:szCs w:val="22"/>
    </w:rPr>
  </w:style>
  <w:style w:type="paragraph" w:styleId="36">
    <w:name w:val="Date"/>
    <w:basedOn w:val="1"/>
    <w:next w:val="1"/>
    <w:autoRedefine/>
    <w:qFormat/>
    <w:uiPriority w:val="0"/>
    <w:pPr>
      <w:ind w:left="2500" w:leftChars="2500"/>
    </w:pPr>
  </w:style>
  <w:style w:type="paragraph" w:styleId="37">
    <w:name w:val="Body Text Indent 2"/>
    <w:basedOn w:val="1"/>
    <w:next w:val="1"/>
    <w:qFormat/>
    <w:uiPriority w:val="0"/>
    <w:pPr>
      <w:spacing w:after="120" w:line="480" w:lineRule="auto"/>
      <w:ind w:left="200" w:leftChars="200"/>
    </w:pPr>
    <w:rPr>
      <w:szCs w:val="21"/>
    </w:rPr>
  </w:style>
  <w:style w:type="paragraph" w:styleId="38">
    <w:name w:val="endnote text"/>
    <w:basedOn w:val="1"/>
    <w:autoRedefine/>
    <w:qFormat/>
    <w:uiPriority w:val="0"/>
    <w:pPr>
      <w:snapToGrid w:val="0"/>
      <w:spacing w:line="240" w:lineRule="auto"/>
      <w:jc w:val="left"/>
    </w:pPr>
  </w:style>
  <w:style w:type="paragraph" w:styleId="39">
    <w:name w:val="Balloon Text"/>
    <w:basedOn w:val="1"/>
    <w:autoRedefine/>
    <w:qFormat/>
    <w:uiPriority w:val="0"/>
    <w:pPr>
      <w:spacing w:line="240" w:lineRule="auto"/>
    </w:pPr>
    <w:rPr>
      <w:sz w:val="18"/>
      <w:szCs w:val="18"/>
    </w:rPr>
  </w:style>
  <w:style w:type="paragraph" w:styleId="40">
    <w:name w:val="footer"/>
    <w:basedOn w:val="1"/>
    <w:qFormat/>
    <w:uiPriority w:val="0"/>
    <w:pPr>
      <w:tabs>
        <w:tab w:val="center" w:pos="4153"/>
        <w:tab w:val="right" w:pos="8306"/>
      </w:tabs>
      <w:snapToGrid w:val="0"/>
      <w:spacing w:line="240" w:lineRule="atLeast"/>
      <w:jc w:val="left"/>
    </w:pPr>
    <w:rPr>
      <w:sz w:val="18"/>
      <w:szCs w:val="18"/>
    </w:rPr>
  </w:style>
  <w:style w:type="paragraph" w:styleId="41">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42">
    <w:name w:val="toc 1"/>
    <w:basedOn w:val="1"/>
    <w:next w:val="1"/>
    <w:autoRedefine/>
    <w:qFormat/>
    <w:uiPriority w:val="0"/>
    <w:pPr>
      <w:spacing w:line="440" w:lineRule="exact"/>
    </w:pPr>
    <w:rPr>
      <w:sz w:val="24"/>
    </w:rPr>
  </w:style>
  <w:style w:type="paragraph" w:styleId="43">
    <w:name w:val="toc 4"/>
    <w:basedOn w:val="1"/>
    <w:next w:val="1"/>
    <w:autoRedefine/>
    <w:qFormat/>
    <w:uiPriority w:val="0"/>
    <w:pPr>
      <w:spacing w:line="440" w:lineRule="exact"/>
      <w:ind w:left="600" w:leftChars="600"/>
    </w:pPr>
    <w:rPr>
      <w:sz w:val="24"/>
    </w:rPr>
  </w:style>
  <w:style w:type="paragraph" w:styleId="44">
    <w:name w:val="Subtitle"/>
    <w:basedOn w:val="4"/>
    <w:next w:val="1"/>
    <w:autoRedefine/>
    <w:qFormat/>
    <w:uiPriority w:val="0"/>
    <w:pPr>
      <w:spacing w:after="60" w:line="312" w:lineRule="auto"/>
      <w:ind w:left="420" w:hanging="420"/>
      <w:jc w:val="left"/>
    </w:pPr>
    <w:rPr>
      <w:rFonts w:ascii="Times New Roman" w:hAnsi="Times New Roman" w:cs="Times New Roman"/>
      <w:b/>
      <w:bCs w:val="0"/>
      <w:kern w:val="28"/>
      <w:sz w:val="32"/>
      <w:lang w:val="zh-CN"/>
    </w:rPr>
  </w:style>
  <w:style w:type="paragraph" w:styleId="45">
    <w:name w:val="List Number 5"/>
    <w:basedOn w:val="1"/>
    <w:autoRedefine/>
    <w:qFormat/>
    <w:uiPriority w:val="0"/>
    <w:pPr>
      <w:tabs>
        <w:tab w:val="left" w:pos="360"/>
      </w:tabs>
      <w:spacing w:line="240" w:lineRule="auto"/>
      <w:ind w:left="360" w:hanging="360"/>
    </w:pPr>
    <w:rPr>
      <w:sz w:val="21"/>
      <w:szCs w:val="21"/>
    </w:rPr>
  </w:style>
  <w:style w:type="paragraph" w:styleId="46">
    <w:name w:val="List"/>
    <w:basedOn w:val="1"/>
    <w:autoRedefine/>
    <w:qFormat/>
    <w:uiPriority w:val="0"/>
    <w:pPr>
      <w:autoSpaceDE w:val="0"/>
      <w:autoSpaceDN w:val="0"/>
      <w:adjustRightInd w:val="0"/>
      <w:spacing w:line="240" w:lineRule="auto"/>
      <w:ind w:left="200" w:hanging="200" w:hangingChars="200"/>
      <w:jc w:val="center"/>
    </w:pPr>
    <w:rPr>
      <w:rFonts w:ascii="宋体"/>
      <w:color w:val="000000"/>
      <w:spacing w:val="-12"/>
      <w:szCs w:val="20"/>
    </w:rPr>
  </w:style>
  <w:style w:type="paragraph" w:styleId="47">
    <w:name w:val="footnote text"/>
    <w:basedOn w:val="1"/>
    <w:autoRedefine/>
    <w:qFormat/>
    <w:uiPriority w:val="0"/>
    <w:pPr>
      <w:snapToGrid w:val="0"/>
      <w:spacing w:line="240" w:lineRule="auto"/>
      <w:ind w:firstLine="200" w:firstLineChars="200"/>
      <w:jc w:val="left"/>
    </w:pPr>
    <w:rPr>
      <w:rFonts w:ascii="Calibri" w:hAnsi="Calibri"/>
      <w:sz w:val="18"/>
      <w:szCs w:val="18"/>
    </w:rPr>
  </w:style>
  <w:style w:type="paragraph" w:styleId="48">
    <w:name w:val="toc 6"/>
    <w:basedOn w:val="1"/>
    <w:next w:val="1"/>
    <w:autoRedefine/>
    <w:qFormat/>
    <w:uiPriority w:val="0"/>
    <w:pPr>
      <w:spacing w:line="240" w:lineRule="auto"/>
      <w:ind w:left="1000" w:leftChars="1000"/>
    </w:pPr>
    <w:rPr>
      <w:rFonts w:ascii="等线" w:eastAsia="等线" w:cs="Arial"/>
      <w:sz w:val="21"/>
      <w:szCs w:val="22"/>
    </w:rPr>
  </w:style>
  <w:style w:type="paragraph" w:styleId="49">
    <w:name w:val="Body Text Indent 3"/>
    <w:basedOn w:val="1"/>
    <w:autoRedefine/>
    <w:qFormat/>
    <w:uiPriority w:val="0"/>
    <w:pPr>
      <w:spacing w:after="120" w:line="240" w:lineRule="auto"/>
      <w:ind w:left="200" w:leftChars="200"/>
    </w:pPr>
    <w:rPr>
      <w:sz w:val="16"/>
      <w:szCs w:val="16"/>
      <w:lang w:val="zh-CN"/>
    </w:rPr>
  </w:style>
  <w:style w:type="paragraph" w:styleId="50">
    <w:name w:val="index 7"/>
    <w:basedOn w:val="1"/>
    <w:next w:val="1"/>
    <w:autoRedefine/>
    <w:qFormat/>
    <w:uiPriority w:val="0"/>
    <w:pPr>
      <w:spacing w:line="240" w:lineRule="auto"/>
      <w:jc w:val="center"/>
    </w:pPr>
    <w:rPr>
      <w:rFonts w:ascii="仿宋_GB2312" w:eastAsia="仿宋_GB2312"/>
      <w:b/>
      <w:bCs/>
      <w:spacing w:val="-24"/>
      <w:w w:val="90"/>
      <w:kern w:val="144"/>
      <w:sz w:val="44"/>
      <w:szCs w:val="24"/>
    </w:rPr>
  </w:style>
  <w:style w:type="paragraph" w:styleId="51">
    <w:name w:val="table of figures"/>
    <w:basedOn w:val="1"/>
    <w:next w:val="1"/>
    <w:autoRedefine/>
    <w:qFormat/>
    <w:uiPriority w:val="0"/>
    <w:pPr>
      <w:spacing w:line="240" w:lineRule="auto"/>
      <w:ind w:left="400" w:leftChars="200" w:hanging="200" w:hangingChars="200"/>
    </w:pPr>
    <w:rPr>
      <w:sz w:val="21"/>
    </w:rPr>
  </w:style>
  <w:style w:type="paragraph" w:styleId="52">
    <w:name w:val="toc 2"/>
    <w:basedOn w:val="1"/>
    <w:next w:val="1"/>
    <w:autoRedefine/>
    <w:qFormat/>
    <w:uiPriority w:val="0"/>
    <w:pPr>
      <w:spacing w:line="440" w:lineRule="exact"/>
      <w:ind w:left="200" w:leftChars="200"/>
    </w:pPr>
    <w:rPr>
      <w:sz w:val="24"/>
    </w:rPr>
  </w:style>
  <w:style w:type="paragraph" w:styleId="53">
    <w:name w:val="toc 9"/>
    <w:basedOn w:val="1"/>
    <w:next w:val="1"/>
    <w:autoRedefine/>
    <w:qFormat/>
    <w:uiPriority w:val="0"/>
    <w:pPr>
      <w:spacing w:line="240" w:lineRule="auto"/>
      <w:ind w:left="1600" w:leftChars="1600"/>
    </w:pPr>
    <w:rPr>
      <w:rFonts w:ascii="等线" w:eastAsia="等线" w:cs="Arial"/>
      <w:sz w:val="21"/>
      <w:szCs w:val="22"/>
    </w:rPr>
  </w:style>
  <w:style w:type="paragraph" w:styleId="54">
    <w:name w:val="Body Text 2"/>
    <w:basedOn w:val="1"/>
    <w:qFormat/>
    <w:uiPriority w:val="0"/>
    <w:pPr>
      <w:spacing w:after="120" w:line="480" w:lineRule="auto"/>
    </w:pPr>
    <w:rPr>
      <w:sz w:val="24"/>
      <w:szCs w:val="24"/>
    </w:rPr>
  </w:style>
  <w:style w:type="paragraph" w:styleId="5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cs="宋体"/>
      <w:sz w:val="24"/>
      <w:szCs w:val="24"/>
    </w:rPr>
  </w:style>
  <w:style w:type="paragraph" w:styleId="56">
    <w:name w:val="Normal (Web)"/>
    <w:basedOn w:val="1"/>
    <w:autoRedefine/>
    <w:qFormat/>
    <w:uiPriority w:val="0"/>
    <w:pPr>
      <w:widowControl/>
      <w:spacing w:before="100" w:beforeAutospacing="1" w:after="100" w:afterAutospacing="1" w:line="240" w:lineRule="auto"/>
      <w:jc w:val="left"/>
    </w:pPr>
    <w:rPr>
      <w:rFonts w:ascii="宋体" w:cs="宋体"/>
      <w:kern w:val="0"/>
      <w:sz w:val="24"/>
      <w:szCs w:val="24"/>
    </w:rPr>
  </w:style>
  <w:style w:type="paragraph" w:styleId="57">
    <w:name w:val="index 1"/>
    <w:basedOn w:val="1"/>
    <w:next w:val="1"/>
    <w:autoRedefine/>
    <w:qFormat/>
    <w:uiPriority w:val="0"/>
    <w:pPr>
      <w:spacing w:line="240" w:lineRule="auto"/>
    </w:pPr>
    <w:rPr>
      <w:sz w:val="21"/>
      <w:szCs w:val="24"/>
    </w:rPr>
  </w:style>
  <w:style w:type="paragraph" w:styleId="58">
    <w:name w:val="Title"/>
    <w:basedOn w:val="1"/>
    <w:next w:val="1"/>
    <w:autoRedefine/>
    <w:qFormat/>
    <w:uiPriority w:val="0"/>
    <w:pPr>
      <w:spacing w:before="240" w:after="60" w:line="240" w:lineRule="auto"/>
      <w:jc w:val="center"/>
      <w:outlineLvl w:val="0"/>
    </w:pPr>
    <w:rPr>
      <w:rFonts w:ascii="Calibri Light" w:hAnsi="Calibri Light"/>
      <w:b/>
      <w:bCs/>
      <w:sz w:val="32"/>
      <w:szCs w:val="32"/>
      <w:lang w:val="zh-CN"/>
    </w:rPr>
  </w:style>
  <w:style w:type="paragraph" w:styleId="59">
    <w:name w:val="annotation subject"/>
    <w:basedOn w:val="21"/>
    <w:next w:val="21"/>
    <w:autoRedefine/>
    <w:qFormat/>
    <w:uiPriority w:val="0"/>
    <w:rPr>
      <w:b/>
      <w:bCs/>
    </w:rPr>
  </w:style>
  <w:style w:type="paragraph" w:styleId="60">
    <w:name w:val="Body Text First Indent"/>
    <w:basedOn w:val="25"/>
    <w:autoRedefine/>
    <w:qFormat/>
    <w:uiPriority w:val="0"/>
    <w:pPr>
      <w:adjustRightInd w:val="0"/>
      <w:spacing w:after="120" w:line="240" w:lineRule="auto"/>
      <w:ind w:firstLine="100" w:firstLineChars="100"/>
      <w:jc w:val="center"/>
    </w:pPr>
    <w:rPr>
      <w:rFonts w:ascii="宋体" w:cs="Times New Roman"/>
      <w:color w:val="000000"/>
      <w:spacing w:val="-12"/>
      <w:kern w:val="2"/>
      <w:szCs w:val="24"/>
    </w:rPr>
  </w:style>
  <w:style w:type="paragraph" w:styleId="61">
    <w:name w:val="Body Text First Indent 2"/>
    <w:basedOn w:val="26"/>
    <w:autoRedefine/>
    <w:qFormat/>
    <w:uiPriority w:val="0"/>
    <w:pPr>
      <w:spacing w:line="520" w:lineRule="exact"/>
      <w:ind w:firstLine="200" w:firstLineChars="200"/>
    </w:pPr>
    <w:rPr>
      <w:rFonts w:ascii="Times New Roman" w:hAnsi="Times New Roman"/>
      <w:szCs w:val="28"/>
    </w:rPr>
  </w:style>
  <w:style w:type="character" w:styleId="64">
    <w:name w:val="Strong"/>
    <w:qFormat/>
    <w:uiPriority w:val="0"/>
    <w:rPr>
      <w:b/>
      <w:bCs/>
    </w:rPr>
  </w:style>
  <w:style w:type="character" w:styleId="65">
    <w:name w:val="endnote reference"/>
    <w:autoRedefine/>
    <w:qFormat/>
    <w:uiPriority w:val="0"/>
    <w:rPr>
      <w:vertAlign w:val="superscript"/>
    </w:rPr>
  </w:style>
  <w:style w:type="character" w:styleId="66">
    <w:name w:val="page number"/>
    <w:basedOn w:val="63"/>
    <w:qFormat/>
    <w:uiPriority w:val="0"/>
  </w:style>
  <w:style w:type="character" w:styleId="67">
    <w:name w:val="FollowedHyperlink"/>
    <w:basedOn w:val="63"/>
    <w:autoRedefine/>
    <w:qFormat/>
    <w:uiPriority w:val="0"/>
    <w:rPr>
      <w:color w:val="954F72"/>
      <w:u w:val="single"/>
    </w:rPr>
  </w:style>
  <w:style w:type="character" w:styleId="68">
    <w:name w:val="Emphasis"/>
    <w:qFormat/>
    <w:uiPriority w:val="0"/>
    <w:rPr>
      <w:rFonts w:ascii="Times New Roman" w:hAnsi="Times New Roman" w:eastAsia="仿宋_GB2312" w:cs="Times New Roman"/>
      <w:b/>
      <w:bCs/>
      <w:color w:val="auto"/>
      <w:sz w:val="24"/>
      <w:szCs w:val="24"/>
    </w:rPr>
  </w:style>
  <w:style w:type="character" w:styleId="69">
    <w:name w:val="line number"/>
    <w:autoRedefine/>
    <w:qFormat/>
    <w:uiPriority w:val="0"/>
  </w:style>
  <w:style w:type="character" w:styleId="70">
    <w:name w:val="Hyperlink"/>
    <w:basedOn w:val="63"/>
    <w:autoRedefine/>
    <w:qFormat/>
    <w:uiPriority w:val="0"/>
    <w:rPr>
      <w:color w:val="0563C1"/>
      <w:u w:val="single"/>
    </w:rPr>
  </w:style>
  <w:style w:type="character" w:styleId="71">
    <w:name w:val="annotation reference"/>
    <w:basedOn w:val="63"/>
    <w:autoRedefine/>
    <w:uiPriority w:val="0"/>
    <w:rPr>
      <w:sz w:val="21"/>
      <w:szCs w:val="21"/>
    </w:rPr>
  </w:style>
  <w:style w:type="character" w:styleId="72">
    <w:name w:val="footnote reference"/>
    <w:basedOn w:val="63"/>
    <w:autoRedefine/>
    <w:qFormat/>
    <w:uiPriority w:val="0"/>
    <w:rPr>
      <w:vertAlign w:val="superscript"/>
    </w:rPr>
  </w:style>
  <w:style w:type="character" w:customStyle="1" w:styleId="73">
    <w:name w:val="未处理的提及1"/>
    <w:basedOn w:val="63"/>
    <w:qFormat/>
    <w:uiPriority w:val="0"/>
    <w:rPr>
      <w:color w:val="605E5C"/>
      <w:shd w:val="clear" w:color="auto" w:fill="E1DFDD"/>
    </w:rPr>
  </w:style>
  <w:style w:type="character" w:customStyle="1" w:styleId="74">
    <w:name w:val="纯文本 字符"/>
    <w:basedOn w:val="63"/>
    <w:autoRedefine/>
    <w:qFormat/>
    <w:uiPriority w:val="0"/>
    <w:rPr>
      <w:rFonts w:ascii="等线" w:hAnsi="等线" w:cs="Courier New"/>
      <w:sz w:val="28"/>
      <w:szCs w:val="21"/>
    </w:rPr>
  </w:style>
  <w:style w:type="paragraph" w:styleId="75">
    <w:name w:val="No Spacing"/>
    <w:qFormat/>
    <w:uiPriority w:val="0"/>
    <w:pPr>
      <w:widowControl w:val="0"/>
      <w:jc w:val="both"/>
    </w:pPr>
    <w:rPr>
      <w:rFonts w:ascii="Times New Roman" w:hAnsi="Times New Roman" w:eastAsia="宋体" w:cs="Times New Roman"/>
      <w:kern w:val="2"/>
      <w:sz w:val="28"/>
      <w:szCs w:val="28"/>
      <w:lang w:val="en-US" w:eastAsia="zh-CN" w:bidi="ar-SA"/>
    </w:rPr>
  </w:style>
  <w:style w:type="paragraph" w:customStyle="1" w:styleId="76">
    <w:name w:val="图名-正文"/>
    <w:qFormat/>
    <w:uiPriority w:val="0"/>
    <w:pPr>
      <w:spacing w:line="520" w:lineRule="exact"/>
      <w:jc w:val="center"/>
    </w:pPr>
    <w:rPr>
      <w:rFonts w:ascii="黑体" w:hAnsi="Times New Roman" w:eastAsia="黑体" w:cs="Times New Roman"/>
      <w:kern w:val="2"/>
      <w:sz w:val="24"/>
      <w:szCs w:val="24"/>
      <w:lang w:val="en-US" w:eastAsia="zh-CN" w:bidi="ar-SA"/>
    </w:rPr>
  </w:style>
  <w:style w:type="character" w:customStyle="1" w:styleId="77">
    <w:name w:val="正文缩进 字符1"/>
    <w:qFormat/>
    <w:uiPriority w:val="0"/>
    <w:rPr>
      <w:rFonts w:ascii="Times New Roman" w:hAnsi="Times New Roman" w:eastAsia="宋体"/>
      <w:sz w:val="28"/>
      <w:szCs w:val="24"/>
    </w:rPr>
  </w:style>
  <w:style w:type="paragraph" w:customStyle="1" w:styleId="78">
    <w:name w:val="表头"/>
    <w:basedOn w:val="18"/>
    <w:qFormat/>
    <w:uiPriority w:val="0"/>
    <w:pPr>
      <w:jc w:val="right"/>
    </w:pPr>
    <w:rPr>
      <w:rFonts w:ascii="黑体" w:cs="Times New Roman"/>
      <w:iCs/>
      <w:sz w:val="24"/>
      <w:szCs w:val="24"/>
    </w:rPr>
  </w:style>
  <w:style w:type="paragraph" w:customStyle="1" w:styleId="79">
    <w:name w:val="cx正文"/>
    <w:basedOn w:val="1"/>
    <w:qFormat/>
    <w:uiPriority w:val="0"/>
    <w:pPr>
      <w:widowControl/>
      <w:ind w:firstLine="200" w:firstLineChars="200"/>
    </w:pPr>
    <w:rPr>
      <w:szCs w:val="24"/>
    </w:rPr>
  </w:style>
  <w:style w:type="paragraph" w:customStyle="1" w:styleId="80">
    <w:name w:val="msonormal"/>
    <w:basedOn w:val="1"/>
    <w:qFormat/>
    <w:uiPriority w:val="0"/>
    <w:pPr>
      <w:widowControl/>
      <w:spacing w:before="100" w:beforeAutospacing="1" w:after="100" w:afterAutospacing="1" w:line="240" w:lineRule="auto"/>
      <w:jc w:val="left"/>
    </w:pPr>
    <w:rPr>
      <w:rFonts w:ascii="宋体" w:cs="宋体"/>
      <w:kern w:val="0"/>
      <w:sz w:val="24"/>
      <w:szCs w:val="24"/>
    </w:rPr>
  </w:style>
  <w:style w:type="paragraph" w:customStyle="1" w:styleId="81">
    <w:name w:val="font5"/>
    <w:basedOn w:val="1"/>
    <w:qFormat/>
    <w:uiPriority w:val="0"/>
    <w:pPr>
      <w:widowControl/>
      <w:spacing w:before="100" w:beforeAutospacing="1" w:after="100" w:afterAutospacing="1" w:line="240" w:lineRule="auto"/>
      <w:jc w:val="left"/>
    </w:pPr>
    <w:rPr>
      <w:rFonts w:ascii="等线" w:eastAsia="等线" w:cs="宋体"/>
      <w:kern w:val="0"/>
      <w:sz w:val="18"/>
      <w:szCs w:val="18"/>
    </w:rPr>
  </w:style>
  <w:style w:type="paragraph" w:customStyle="1" w:styleId="82">
    <w:name w:val="font6"/>
    <w:basedOn w:val="1"/>
    <w:qFormat/>
    <w:uiPriority w:val="0"/>
    <w:pPr>
      <w:widowControl/>
      <w:spacing w:before="100" w:beforeAutospacing="1" w:after="100" w:afterAutospacing="1" w:line="240" w:lineRule="auto"/>
      <w:jc w:val="left"/>
    </w:pPr>
    <w:rPr>
      <w:rFonts w:ascii="等线" w:eastAsia="等线" w:cs="宋体"/>
      <w:kern w:val="0"/>
      <w:sz w:val="18"/>
      <w:szCs w:val="18"/>
    </w:rPr>
  </w:style>
  <w:style w:type="paragraph" w:customStyle="1" w:styleId="83">
    <w:name w:val="font7"/>
    <w:basedOn w:val="1"/>
    <w:qFormat/>
    <w:uiPriority w:val="0"/>
    <w:pPr>
      <w:widowControl/>
      <w:spacing w:before="100" w:beforeAutospacing="1" w:after="100" w:afterAutospacing="1" w:line="240" w:lineRule="auto"/>
      <w:jc w:val="left"/>
    </w:pPr>
    <w:rPr>
      <w:rFonts w:ascii="宋体" w:cs="宋体"/>
      <w:kern w:val="0"/>
      <w:sz w:val="20"/>
      <w:szCs w:val="20"/>
    </w:rPr>
  </w:style>
  <w:style w:type="paragraph" w:customStyle="1" w:styleId="84">
    <w:name w:val="font8"/>
    <w:basedOn w:val="1"/>
    <w:qFormat/>
    <w:uiPriority w:val="0"/>
    <w:pPr>
      <w:widowControl/>
      <w:spacing w:before="100" w:beforeAutospacing="1" w:after="100" w:afterAutospacing="1" w:line="240" w:lineRule="auto"/>
      <w:jc w:val="left"/>
    </w:pPr>
    <w:rPr>
      <w:rFonts w:ascii="宋体" w:cs="宋体"/>
      <w:color w:val="FF0000"/>
      <w:kern w:val="0"/>
      <w:sz w:val="20"/>
      <w:szCs w:val="20"/>
    </w:rPr>
  </w:style>
  <w:style w:type="paragraph" w:customStyle="1" w:styleId="85">
    <w:name w:val="font9"/>
    <w:basedOn w:val="1"/>
    <w:qFormat/>
    <w:uiPriority w:val="0"/>
    <w:pPr>
      <w:widowControl/>
      <w:spacing w:before="100" w:beforeAutospacing="1" w:after="100" w:afterAutospacing="1" w:line="240" w:lineRule="auto"/>
      <w:jc w:val="left"/>
    </w:pPr>
    <w:rPr>
      <w:rFonts w:ascii="宋体" w:cs="宋体"/>
      <w:kern w:val="0"/>
      <w:sz w:val="18"/>
      <w:szCs w:val="18"/>
    </w:rPr>
  </w:style>
  <w:style w:type="paragraph" w:customStyle="1" w:styleId="86">
    <w:name w:val="font10"/>
    <w:basedOn w:val="1"/>
    <w:qFormat/>
    <w:uiPriority w:val="0"/>
    <w:pPr>
      <w:widowControl/>
      <w:spacing w:before="100" w:beforeAutospacing="1" w:after="100" w:afterAutospacing="1" w:line="240" w:lineRule="auto"/>
      <w:jc w:val="left"/>
    </w:pPr>
    <w:rPr>
      <w:kern w:val="0"/>
      <w:sz w:val="20"/>
      <w:szCs w:val="20"/>
    </w:rPr>
  </w:style>
  <w:style w:type="paragraph" w:customStyle="1" w:styleId="87">
    <w:name w:val="font11"/>
    <w:basedOn w:val="1"/>
    <w:qFormat/>
    <w:uiPriority w:val="0"/>
    <w:pPr>
      <w:widowControl/>
      <w:spacing w:before="100" w:beforeAutospacing="1" w:after="100" w:afterAutospacing="1" w:line="240" w:lineRule="auto"/>
      <w:jc w:val="left"/>
    </w:pPr>
    <w:rPr>
      <w:kern w:val="0"/>
      <w:sz w:val="20"/>
      <w:szCs w:val="20"/>
    </w:rPr>
  </w:style>
  <w:style w:type="paragraph" w:customStyle="1" w:styleId="88">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89">
    <w:name w:val="xl66"/>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90">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1">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9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9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kern w:val="0"/>
      <w:sz w:val="20"/>
      <w:szCs w:val="20"/>
    </w:rPr>
  </w:style>
  <w:style w:type="paragraph" w:customStyle="1" w:styleId="9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9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9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9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100">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10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10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10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104">
    <w:name w:val="xl81"/>
    <w:basedOn w:val="1"/>
    <w:qFormat/>
    <w:uiPriority w:val="0"/>
    <w:pPr>
      <w:widowControl/>
      <w:spacing w:before="100" w:beforeAutospacing="1" w:after="100" w:afterAutospacing="1" w:line="240" w:lineRule="auto"/>
      <w:jc w:val="left"/>
    </w:pPr>
    <w:rPr>
      <w:kern w:val="0"/>
      <w:sz w:val="20"/>
      <w:szCs w:val="20"/>
    </w:rPr>
  </w:style>
  <w:style w:type="paragraph" w:customStyle="1" w:styleId="1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1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0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108">
    <w:name w:val="xl85"/>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10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color w:val="FF0000"/>
      <w:kern w:val="0"/>
      <w:sz w:val="20"/>
      <w:szCs w:val="20"/>
    </w:rPr>
  </w:style>
  <w:style w:type="paragraph" w:customStyle="1" w:styleId="11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color w:val="FF0000"/>
      <w:kern w:val="0"/>
      <w:sz w:val="20"/>
      <w:szCs w:val="20"/>
    </w:rPr>
  </w:style>
  <w:style w:type="paragraph" w:customStyle="1" w:styleId="11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color w:val="FF0000"/>
      <w:kern w:val="0"/>
      <w:sz w:val="20"/>
      <w:szCs w:val="20"/>
    </w:rPr>
  </w:style>
  <w:style w:type="paragraph" w:customStyle="1" w:styleId="112">
    <w:name w:val="xl89"/>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113">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114">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11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11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cs="宋体"/>
      <w:kern w:val="0"/>
      <w:sz w:val="20"/>
      <w:szCs w:val="20"/>
    </w:rPr>
  </w:style>
  <w:style w:type="paragraph" w:customStyle="1" w:styleId="11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11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color w:val="FF0000"/>
      <w:kern w:val="0"/>
      <w:sz w:val="20"/>
      <w:szCs w:val="20"/>
    </w:rPr>
  </w:style>
  <w:style w:type="paragraph" w:customStyle="1" w:styleId="11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cs="宋体"/>
      <w:color w:val="FF0000"/>
      <w:kern w:val="0"/>
      <w:sz w:val="20"/>
      <w:szCs w:val="20"/>
    </w:rPr>
  </w:style>
  <w:style w:type="paragraph" w:customStyle="1" w:styleId="12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color w:val="FF0000"/>
      <w:kern w:val="0"/>
      <w:sz w:val="20"/>
      <w:szCs w:val="20"/>
    </w:rPr>
  </w:style>
  <w:style w:type="paragraph" w:customStyle="1" w:styleId="121">
    <w:name w:val="头"/>
    <w:qFormat/>
    <w:uiPriority w:val="0"/>
    <w:pPr>
      <w:spacing w:line="700" w:lineRule="exact"/>
      <w:jc w:val="center"/>
    </w:pPr>
    <w:rPr>
      <w:rFonts w:ascii="Times New Roman" w:hAnsi="Times New Roman" w:eastAsia="黑体" w:cs="Times New Roman"/>
      <w:b/>
      <w:kern w:val="2"/>
      <w:sz w:val="48"/>
      <w:szCs w:val="24"/>
      <w:lang w:val="en-US" w:eastAsia="zh-CN" w:bidi="ar-SA"/>
    </w:rPr>
  </w:style>
  <w:style w:type="character" w:customStyle="1" w:styleId="122">
    <w:name w:val="标题 1 字符1"/>
    <w:qFormat/>
    <w:uiPriority w:val="0"/>
    <w:rPr>
      <w:rFonts w:ascii="黑体" w:eastAsia="黑体" w:cs="Times New Roman"/>
      <w:b/>
      <w:kern w:val="44"/>
      <w:sz w:val="32"/>
      <w:szCs w:val="20"/>
    </w:rPr>
  </w:style>
  <w:style w:type="character" w:customStyle="1" w:styleId="123">
    <w:name w:val="标题 2 字符1"/>
    <w:qFormat/>
    <w:uiPriority w:val="0"/>
    <w:rPr>
      <w:rFonts w:ascii="Times New Roman" w:hAnsi="Times New Roman" w:eastAsia="宋体" w:cs="Times New Roman"/>
      <w:b/>
      <w:bCs/>
      <w:kern w:val="2"/>
      <w:sz w:val="30"/>
      <w:szCs w:val="32"/>
    </w:rPr>
  </w:style>
  <w:style w:type="character" w:customStyle="1" w:styleId="124">
    <w:name w:val="标题 3 字符1"/>
    <w:qFormat/>
    <w:uiPriority w:val="0"/>
    <w:rPr>
      <w:rFonts w:ascii="Times New Roman" w:hAnsi="Times New Roman" w:eastAsia="宋体" w:cs="Times New Roman"/>
      <w:bCs/>
      <w:sz w:val="30"/>
      <w:szCs w:val="32"/>
    </w:rPr>
  </w:style>
  <w:style w:type="paragraph" w:customStyle="1" w:styleId="125">
    <w:name w:val="说"/>
    <w:qFormat/>
    <w:uiPriority w:val="0"/>
    <w:pPr>
      <w:spacing w:before="100" w:beforeLines="100"/>
      <w:jc w:val="center"/>
    </w:pPr>
    <w:rPr>
      <w:rFonts w:ascii="Times New Roman" w:hAnsi="Times New Roman" w:eastAsia="华文新魏" w:cs="Times New Roman"/>
      <w:b/>
      <w:kern w:val="2"/>
      <w:sz w:val="80"/>
      <w:szCs w:val="24"/>
      <w:lang w:val="en-US" w:eastAsia="zh-CN" w:bidi="ar-SA"/>
    </w:rPr>
  </w:style>
  <w:style w:type="paragraph" w:customStyle="1" w:styleId="126">
    <w:name w:val="无进"/>
    <w:qFormat/>
    <w:uiPriority w:val="0"/>
    <w:pPr>
      <w:spacing w:line="520" w:lineRule="exact"/>
    </w:pPr>
    <w:rPr>
      <w:rFonts w:ascii="Times New Roman" w:hAnsi="Times New Roman" w:eastAsia="宋体" w:cs="Times New Roman"/>
      <w:kern w:val="2"/>
      <w:sz w:val="28"/>
      <w:szCs w:val="24"/>
      <w:lang w:val="en-US" w:eastAsia="zh-CN" w:bidi="ar-SA"/>
    </w:rPr>
  </w:style>
  <w:style w:type="paragraph" w:styleId="127">
    <w:name w:val="List Paragraph"/>
    <w:basedOn w:val="1"/>
    <w:qFormat/>
    <w:uiPriority w:val="0"/>
    <w:pPr>
      <w:spacing w:line="240" w:lineRule="auto"/>
      <w:ind w:firstLine="200" w:firstLineChars="200"/>
    </w:pPr>
    <w:rPr>
      <w:rFonts w:ascii="等线" w:eastAsia="等线" w:cs="Arial"/>
      <w:sz w:val="21"/>
      <w:szCs w:val="22"/>
    </w:rPr>
  </w:style>
  <w:style w:type="paragraph" w:customStyle="1" w:styleId="128">
    <w:name w:val="Char Char Char Char Char Char Char"/>
    <w:basedOn w:val="1"/>
    <w:qFormat/>
    <w:uiPriority w:val="0"/>
    <w:pPr>
      <w:spacing w:line="240" w:lineRule="auto"/>
    </w:pPr>
    <w:rPr>
      <w:sz w:val="21"/>
      <w:szCs w:val="24"/>
    </w:rPr>
  </w:style>
  <w:style w:type="paragraph" w:customStyle="1" w:styleId="129">
    <w:name w:val="正文_5"/>
    <w:qFormat/>
    <w:uiPriority w:val="0"/>
    <w:pPr>
      <w:widowControl w:val="0"/>
    </w:pPr>
    <w:rPr>
      <w:rFonts w:ascii="宋体" w:hAnsi="Times New Roman" w:eastAsia="宋体" w:cs="宋体"/>
      <w:sz w:val="22"/>
      <w:szCs w:val="22"/>
      <w:lang w:val="en-US" w:eastAsia="zh-CN" w:bidi="ar-SA"/>
    </w:rPr>
  </w:style>
  <w:style w:type="paragraph" w:customStyle="1" w:styleId="130">
    <w:name w:val="表-标题"/>
    <w:basedOn w:val="1"/>
    <w:qFormat/>
    <w:uiPriority w:val="0"/>
    <w:pPr>
      <w:widowControl/>
      <w:spacing w:line="500" w:lineRule="exact"/>
      <w:jc w:val="center"/>
    </w:pPr>
    <w:rPr>
      <w:rFonts w:ascii="宋体" w:cs="宋体"/>
      <w:b/>
      <w:bCs/>
      <w:sz w:val="24"/>
    </w:rPr>
  </w:style>
  <w:style w:type="paragraph" w:customStyle="1" w:styleId="131">
    <w:name w:val="行距"/>
    <w:qFormat/>
    <w:uiPriority w:val="0"/>
    <w:pPr>
      <w:spacing w:line="520" w:lineRule="exact"/>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132">
    <w:name w:val="B正文"/>
    <w:basedOn w:val="1"/>
    <w:next w:val="1"/>
    <w:qFormat/>
    <w:uiPriority w:val="0"/>
    <w:pPr>
      <w:widowControl/>
      <w:spacing w:line="360" w:lineRule="auto"/>
      <w:ind w:firstLine="480"/>
      <w:jc w:val="left"/>
    </w:pPr>
    <w:rPr>
      <w:rFonts w:ascii="宋体" w:cs="宋体"/>
      <w:bCs/>
      <w:sz w:val="24"/>
    </w:rPr>
  </w:style>
  <w:style w:type="paragraph" w:customStyle="1" w:styleId="133">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left"/>
    </w:pPr>
    <w:rPr>
      <w:rFonts w:ascii="宋体" w:cs="宋体"/>
      <w:b/>
      <w:bCs/>
      <w:kern w:val="0"/>
    </w:rPr>
  </w:style>
  <w:style w:type="paragraph" w:customStyle="1" w:styleId="134">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left"/>
    </w:pPr>
    <w:rPr>
      <w:rFonts w:ascii="宋体" w:cs="宋体"/>
      <w:b/>
      <w:bCs/>
      <w:kern w:val="0"/>
      <w:sz w:val="20"/>
      <w:szCs w:val="20"/>
    </w:rPr>
  </w:style>
  <w:style w:type="paragraph" w:customStyle="1" w:styleId="135">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left"/>
    </w:pPr>
    <w:rPr>
      <w:rFonts w:ascii="宋体" w:cs="宋体"/>
      <w:b/>
      <w:bCs/>
      <w:kern w:val="0"/>
      <w:sz w:val="20"/>
      <w:szCs w:val="20"/>
    </w:rPr>
  </w:style>
  <w:style w:type="paragraph" w:customStyle="1" w:styleId="13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宋体" w:cs="宋体"/>
      <w:kern w:val="0"/>
      <w:sz w:val="20"/>
      <w:szCs w:val="20"/>
    </w:rPr>
  </w:style>
  <w:style w:type="paragraph" w:customStyle="1" w:styleId="137">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D966"/>
      <w:spacing w:before="100" w:beforeAutospacing="1" w:after="100" w:afterAutospacing="1" w:line="240" w:lineRule="auto"/>
      <w:jc w:val="left"/>
    </w:pPr>
    <w:rPr>
      <w:rFonts w:ascii="宋体" w:cs="宋体"/>
      <w:color w:val="FF0000"/>
      <w:kern w:val="0"/>
      <w:sz w:val="20"/>
      <w:szCs w:val="20"/>
    </w:rPr>
  </w:style>
  <w:style w:type="paragraph" w:customStyle="1" w:styleId="13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cs="宋体"/>
      <w:color w:val="FF0000"/>
      <w:kern w:val="0"/>
      <w:sz w:val="20"/>
      <w:szCs w:val="20"/>
    </w:rPr>
  </w:style>
  <w:style w:type="paragraph" w:customStyle="1" w:styleId="139">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BDD7EE"/>
      <w:spacing w:before="100" w:beforeAutospacing="1" w:after="100" w:afterAutospacing="1" w:line="240" w:lineRule="auto"/>
      <w:jc w:val="left"/>
    </w:pPr>
    <w:rPr>
      <w:rFonts w:ascii="宋体" w:cs="宋体"/>
      <w:color w:val="FF0000"/>
      <w:kern w:val="0"/>
      <w:sz w:val="20"/>
      <w:szCs w:val="20"/>
    </w:rPr>
  </w:style>
  <w:style w:type="paragraph" w:customStyle="1" w:styleId="140">
    <w:name w:val="xl105"/>
    <w:basedOn w:val="1"/>
    <w:qFormat/>
    <w:uiPriority w:val="0"/>
    <w:pPr>
      <w:widowControl/>
      <w:spacing w:before="100" w:beforeAutospacing="1" w:after="100" w:afterAutospacing="1" w:line="240" w:lineRule="auto"/>
      <w:jc w:val="left"/>
    </w:pPr>
    <w:rPr>
      <w:rFonts w:ascii="宋体" w:cs="宋体"/>
      <w:color w:val="FF0000"/>
      <w:kern w:val="0"/>
      <w:sz w:val="24"/>
      <w:szCs w:val="24"/>
    </w:rPr>
  </w:style>
  <w:style w:type="paragraph" w:customStyle="1" w:styleId="14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cs="宋体"/>
      <w:kern w:val="0"/>
      <w:sz w:val="20"/>
      <w:szCs w:val="20"/>
    </w:rPr>
  </w:style>
  <w:style w:type="paragraph" w:customStyle="1" w:styleId="142">
    <w:name w:val="xl107"/>
    <w:basedOn w:val="1"/>
    <w:qFormat/>
    <w:uiPriority w:val="0"/>
    <w:pPr>
      <w:widowControl/>
      <w:pBdr>
        <w:top w:val="single" w:color="auto" w:sz="4" w:space="0"/>
        <w:bottom w:val="single" w:color="auto" w:sz="4" w:space="0"/>
      </w:pBdr>
      <w:spacing w:before="100" w:beforeAutospacing="1" w:after="100" w:afterAutospacing="1" w:line="240" w:lineRule="auto"/>
      <w:jc w:val="center"/>
      <w:textAlignment w:val="center"/>
    </w:pPr>
    <w:rPr>
      <w:rFonts w:ascii="宋体" w:cs="宋体"/>
      <w:kern w:val="0"/>
      <w:sz w:val="20"/>
      <w:szCs w:val="20"/>
    </w:rPr>
  </w:style>
  <w:style w:type="paragraph" w:customStyle="1" w:styleId="14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cs="宋体"/>
      <w:kern w:val="0"/>
      <w:sz w:val="20"/>
      <w:szCs w:val="20"/>
    </w:rPr>
  </w:style>
  <w:style w:type="paragraph" w:customStyle="1" w:styleId="144">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cs="宋体"/>
      <w:kern w:val="0"/>
      <w:sz w:val="20"/>
      <w:szCs w:val="20"/>
    </w:rPr>
  </w:style>
  <w:style w:type="character" w:customStyle="1" w:styleId="145">
    <w:name w:val="正文缩进 Char1"/>
    <w:basedOn w:val="63"/>
    <w:qFormat/>
    <w:uiPriority w:val="0"/>
    <w:rPr>
      <w:rFonts w:ascii="Times New Roman" w:hAnsi="Times New Roman" w:eastAsia="宋体" w:cs="Times New Roman"/>
      <w:szCs w:val="20"/>
    </w:rPr>
  </w:style>
  <w:style w:type="character" w:customStyle="1" w:styleId="146">
    <w:name w:val="无进 Char Char"/>
    <w:basedOn w:val="63"/>
    <w:qFormat/>
    <w:uiPriority w:val="0"/>
    <w:rPr>
      <w:rFonts w:ascii="Times New Roman" w:hAnsi="Times New Roman"/>
      <w:kern w:val="2"/>
      <w:sz w:val="28"/>
      <w:szCs w:val="24"/>
      <w:lang w:val="en-US" w:eastAsia="zh-CN" w:bidi="ar-SA"/>
    </w:rPr>
  </w:style>
  <w:style w:type="character" w:customStyle="1" w:styleId="147">
    <w:name w:val="表头 Char Char"/>
    <w:qFormat/>
    <w:uiPriority w:val="0"/>
    <w:rPr>
      <w:rFonts w:ascii="Times New Roman" w:hAnsi="Times New Roman" w:eastAsia="黑体"/>
      <w:iCs/>
      <w:kern w:val="2"/>
      <w:sz w:val="24"/>
      <w:szCs w:val="24"/>
      <w:lang w:val="en-US" w:eastAsia="zh-CN" w:bidi="ar-SA"/>
    </w:rPr>
  </w:style>
  <w:style w:type="character" w:customStyle="1" w:styleId="148">
    <w:name w:val="未处理的提及11"/>
    <w:basedOn w:val="63"/>
    <w:qFormat/>
    <w:uiPriority w:val="0"/>
    <w:rPr>
      <w:color w:val="605E5C"/>
      <w:shd w:val="clear" w:color="auto" w:fill="E1DFDD"/>
    </w:rPr>
  </w:style>
  <w:style w:type="paragraph" w:customStyle="1" w:styleId="149">
    <w:name w:val="4正文"/>
    <w:basedOn w:val="1"/>
    <w:qFormat/>
    <w:uiPriority w:val="0"/>
    <w:pPr>
      <w:widowControl/>
      <w:ind w:firstLine="200" w:firstLineChars="200"/>
    </w:pPr>
    <w:rPr>
      <w:kern w:val="0"/>
      <w:szCs w:val="24"/>
      <w:lang w:val="zh-CN"/>
    </w:rPr>
  </w:style>
  <w:style w:type="paragraph" w:customStyle="1" w:styleId="150">
    <w:name w:val="图名"/>
    <w:basedOn w:val="1"/>
    <w:qFormat/>
    <w:uiPriority w:val="0"/>
    <w:pPr>
      <w:adjustRightInd w:val="0"/>
      <w:snapToGrid w:val="0"/>
      <w:jc w:val="center"/>
    </w:pPr>
    <w:rPr>
      <w:rFonts w:ascii="黑体" w:eastAsia="黑体"/>
      <w:snapToGrid w:val="0"/>
      <w:kern w:val="0"/>
      <w:sz w:val="24"/>
      <w:szCs w:val="22"/>
    </w:rPr>
  </w:style>
  <w:style w:type="paragraph" w:customStyle="1" w:styleId="151">
    <w:name w:val="正文 首行缩进"/>
    <w:basedOn w:val="1"/>
    <w:qFormat/>
    <w:uiPriority w:val="0"/>
    <w:pPr>
      <w:adjustRightInd w:val="0"/>
      <w:snapToGrid w:val="0"/>
      <w:ind w:firstLine="200" w:firstLineChars="200"/>
      <w:textAlignment w:val="center"/>
    </w:pPr>
    <w:rPr>
      <w:szCs w:val="22"/>
    </w:rPr>
  </w:style>
  <w:style w:type="paragraph" w:customStyle="1" w:styleId="152">
    <w:name w:val="cx图表标题"/>
    <w:basedOn w:val="79"/>
    <w:next w:val="79"/>
    <w:qFormat/>
    <w:uiPriority w:val="0"/>
    <w:pPr>
      <w:ind w:firstLine="0" w:firstLineChars="0"/>
      <w:jc w:val="center"/>
    </w:pPr>
    <w:rPr>
      <w:rFonts w:eastAsia="黑体"/>
      <w:sz w:val="24"/>
    </w:rPr>
  </w:style>
  <w:style w:type="paragraph" w:customStyle="1" w:styleId="153">
    <w:name w:val="表名"/>
    <w:qFormat/>
    <w:uiPriority w:val="0"/>
    <w:pPr>
      <w:spacing w:line="520" w:lineRule="exact"/>
      <w:jc w:val="right"/>
    </w:pPr>
    <w:rPr>
      <w:rFonts w:ascii="黑体" w:hAnsi="Times New Roman" w:eastAsia="黑体" w:cs="Times New Roman"/>
      <w:sz w:val="24"/>
      <w:szCs w:val="24"/>
      <w:lang w:val="en-US" w:eastAsia="zh-CN" w:bidi="ar-SA"/>
    </w:rPr>
  </w:style>
  <w:style w:type="paragraph" w:customStyle="1" w:styleId="154">
    <w:name w:val="表体"/>
    <w:basedOn w:val="1"/>
    <w:qFormat/>
    <w:uiPriority w:val="0"/>
    <w:pPr>
      <w:overflowPunct w:val="0"/>
      <w:adjustRightInd w:val="0"/>
      <w:spacing w:line="240" w:lineRule="auto"/>
      <w:ind w:firstLine="200" w:firstLineChars="200"/>
      <w:jc w:val="center"/>
      <w:textAlignment w:val="baseline"/>
    </w:pPr>
    <w:rPr>
      <w:w w:val="90"/>
      <w:kern w:val="24"/>
      <w:sz w:val="24"/>
      <w:szCs w:val="20"/>
    </w:rPr>
  </w:style>
  <w:style w:type="paragraph" w:customStyle="1" w:styleId="155">
    <w:name w:val="表内容"/>
    <w:basedOn w:val="18"/>
    <w:qFormat/>
    <w:uiPriority w:val="0"/>
    <w:pPr>
      <w:widowControl w:val="0"/>
      <w:adjustRightInd w:val="0"/>
      <w:snapToGrid w:val="0"/>
      <w:spacing w:line="240" w:lineRule="auto"/>
      <w:ind w:firstLine="0"/>
      <w:jc w:val="center"/>
    </w:pPr>
    <w:rPr>
      <w:w w:val="80"/>
      <w:sz w:val="24"/>
    </w:rPr>
  </w:style>
  <w:style w:type="paragraph" w:customStyle="1" w:styleId="156">
    <w:name w:val="正文_最终"/>
    <w:basedOn w:val="1"/>
    <w:qFormat/>
    <w:uiPriority w:val="0"/>
    <w:pPr>
      <w:widowControl/>
      <w:adjustRightInd w:val="0"/>
      <w:snapToGrid w:val="0"/>
      <w:ind w:firstLine="200" w:firstLineChars="200"/>
    </w:pPr>
  </w:style>
  <w:style w:type="paragraph" w:customStyle="1" w:styleId="157">
    <w:name w:val="reader-word-layer"/>
    <w:basedOn w:val="1"/>
    <w:qFormat/>
    <w:uiPriority w:val="0"/>
    <w:pPr>
      <w:widowControl/>
      <w:spacing w:before="100" w:beforeAutospacing="1" w:after="100" w:afterAutospacing="1" w:line="240" w:lineRule="auto"/>
      <w:jc w:val="left"/>
    </w:pPr>
    <w:rPr>
      <w:rFonts w:ascii="宋体" w:cs="宋体"/>
      <w:kern w:val="0"/>
      <w:sz w:val="24"/>
      <w:szCs w:val="24"/>
    </w:rPr>
  </w:style>
  <w:style w:type="paragraph" w:customStyle="1" w:styleId="158">
    <w:name w:val="表格"/>
    <w:qFormat/>
    <w:uiPriority w:val="0"/>
    <w:pPr>
      <w:spacing w:line="240" w:lineRule="atLeast"/>
      <w:jc w:val="center"/>
    </w:pPr>
    <w:rPr>
      <w:rFonts w:ascii="Times New Roman" w:hAnsi="Times New Roman" w:eastAsia="宋体" w:cs="Times New Roman"/>
      <w:kern w:val="2"/>
      <w:sz w:val="24"/>
      <w:szCs w:val="24"/>
      <w:lang w:val="en-US" w:eastAsia="zh-CN" w:bidi="ar-SA"/>
    </w:rPr>
  </w:style>
  <w:style w:type="character" w:customStyle="1" w:styleId="159">
    <w:name w:val="正文缩进 Char2"/>
    <w:qFormat/>
    <w:uiPriority w:val="0"/>
    <w:rPr>
      <w:rFonts w:ascii="Times New Roman" w:hAnsi="Times New Roman" w:eastAsia="宋体" w:cs="Times New Roman"/>
      <w:sz w:val="28"/>
      <w:szCs w:val="21"/>
      <w:lang w:val="zh-CN" w:eastAsia="zh-CN"/>
    </w:rPr>
  </w:style>
  <w:style w:type="paragraph" w:customStyle="1" w:styleId="160">
    <w:name w:val="CBW正(）"/>
    <w:qFormat/>
    <w:uiPriority w:val="0"/>
    <w:pPr>
      <w:widowControl w:val="0"/>
      <w:overflowPunct w:val="0"/>
      <w:autoSpaceDE w:val="0"/>
      <w:autoSpaceDN w:val="0"/>
      <w:adjustRightInd w:val="0"/>
      <w:snapToGrid w:val="0"/>
      <w:spacing w:line="360" w:lineRule="auto"/>
      <w:ind w:firstLine="200" w:firstLineChars="200"/>
      <w:jc w:val="both"/>
      <w:textAlignment w:val="bottom"/>
    </w:pPr>
    <w:rPr>
      <w:rFonts w:ascii="Times New Roman" w:hAnsi="Times New Roman" w:eastAsia="仿宋" w:cs="Times New Roman"/>
      <w:kern w:val="2"/>
      <w:sz w:val="28"/>
      <w:szCs w:val="24"/>
      <w:lang w:val="en-US" w:eastAsia="zh-CN" w:bidi="ar-SA"/>
    </w:rPr>
  </w:style>
  <w:style w:type="character" w:customStyle="1" w:styleId="161">
    <w:name w:val="批注文字 字符1"/>
    <w:qFormat/>
    <w:uiPriority w:val="0"/>
    <w:rPr>
      <w:kern w:val="2"/>
      <w:sz w:val="21"/>
      <w:szCs w:val="24"/>
    </w:rPr>
  </w:style>
  <w:style w:type="paragraph" w:customStyle="1" w:styleId="162">
    <w:name w:val="cx表内容"/>
    <w:basedOn w:val="79"/>
    <w:qFormat/>
    <w:uiPriority w:val="0"/>
    <w:pPr>
      <w:adjustRightInd w:val="0"/>
      <w:snapToGrid w:val="0"/>
      <w:spacing w:line="240" w:lineRule="auto"/>
      <w:ind w:firstLine="0" w:firstLineChars="0"/>
      <w:jc w:val="center"/>
    </w:pPr>
    <w:rPr>
      <w:sz w:val="24"/>
    </w:rPr>
  </w:style>
  <w:style w:type="character" w:styleId="163">
    <w:name w:val="Placeholder Text"/>
    <w:basedOn w:val="63"/>
    <w:qFormat/>
    <w:uiPriority w:val="0"/>
    <w:rPr>
      <w:color w:val="808080"/>
    </w:rPr>
  </w:style>
  <w:style w:type="character" w:customStyle="1" w:styleId="164">
    <w:name w:val="标题 5 字符"/>
    <w:basedOn w:val="63"/>
    <w:qFormat/>
    <w:uiPriority w:val="0"/>
    <w:rPr>
      <w:b/>
      <w:bCs/>
    </w:rPr>
  </w:style>
  <w:style w:type="character" w:customStyle="1" w:styleId="165">
    <w:name w:val="标题 6 字符"/>
    <w:basedOn w:val="63"/>
    <w:qFormat/>
    <w:uiPriority w:val="0"/>
    <w:rPr>
      <w:rFonts w:ascii="等线 Light" w:eastAsia="等线 Light" w:cs="Times New Roman"/>
      <w:b/>
      <w:bCs/>
      <w:sz w:val="24"/>
      <w:szCs w:val="24"/>
    </w:rPr>
  </w:style>
  <w:style w:type="character" w:customStyle="1" w:styleId="166">
    <w:name w:val="标题 7 字符"/>
    <w:basedOn w:val="63"/>
    <w:qFormat/>
    <w:uiPriority w:val="0"/>
    <w:rPr>
      <w:b/>
      <w:bCs/>
      <w:sz w:val="24"/>
      <w:szCs w:val="24"/>
    </w:rPr>
  </w:style>
  <w:style w:type="character" w:customStyle="1" w:styleId="167">
    <w:name w:val="标题 8 字符"/>
    <w:basedOn w:val="63"/>
    <w:qFormat/>
    <w:uiPriority w:val="0"/>
    <w:rPr>
      <w:rFonts w:ascii="等线 Light" w:eastAsia="等线 Light" w:cs="Times New Roman"/>
      <w:sz w:val="24"/>
      <w:szCs w:val="24"/>
    </w:rPr>
  </w:style>
  <w:style w:type="character" w:customStyle="1" w:styleId="168">
    <w:name w:val="标题 9 字符"/>
    <w:basedOn w:val="63"/>
    <w:qFormat/>
    <w:uiPriority w:val="0"/>
    <w:rPr>
      <w:rFonts w:ascii="等线 Light" w:eastAsia="等线 Light" w:cs="Times New Roman"/>
      <w:sz w:val="21"/>
      <w:szCs w:val="21"/>
    </w:rPr>
  </w:style>
  <w:style w:type="character" w:customStyle="1" w:styleId="169">
    <w:name w:val="页眉 字符1"/>
    <w:qFormat/>
    <w:uiPriority w:val="0"/>
    <w:rPr>
      <w:kern w:val="2"/>
      <w:sz w:val="18"/>
      <w:szCs w:val="18"/>
    </w:rPr>
  </w:style>
  <w:style w:type="character" w:customStyle="1" w:styleId="170">
    <w:name w:val="页脚 字符1"/>
    <w:qFormat/>
    <w:uiPriority w:val="0"/>
    <w:rPr>
      <w:kern w:val="2"/>
      <w:sz w:val="18"/>
      <w:szCs w:val="18"/>
    </w:rPr>
  </w:style>
  <w:style w:type="character" w:customStyle="1" w:styleId="171">
    <w:name w:val="文档结构图 字符"/>
    <w:basedOn w:val="63"/>
    <w:qFormat/>
    <w:uiPriority w:val="0"/>
    <w:rPr>
      <w:rFonts w:ascii="Microsoft YaHei UI" w:hAnsi="Microsoft YaHei UI" w:eastAsia="Microsoft YaHei UI"/>
      <w:sz w:val="18"/>
      <w:szCs w:val="18"/>
    </w:rPr>
  </w:style>
  <w:style w:type="paragraph" w:customStyle="1" w:styleId="172">
    <w:name w:val="TOC 标题1"/>
    <w:basedOn w:val="3"/>
    <w:next w:val="1"/>
    <w:qFormat/>
    <w:uiPriority w:val="0"/>
    <w:pPr>
      <w:keepNext/>
      <w:keepLines/>
      <w:widowControl/>
      <w:spacing w:after="0" w:line="259" w:lineRule="auto"/>
      <w:outlineLvl w:val="9"/>
    </w:pPr>
    <w:rPr>
      <w:rFonts w:ascii="Calibri Light" w:hAnsi="Calibri Light" w:eastAsia="宋体"/>
      <w:b w:val="0"/>
      <w:bCs w:val="0"/>
      <w:color w:val="2E74B5"/>
      <w:kern w:val="0"/>
      <w:szCs w:val="32"/>
      <w:lang w:val="zh-CN"/>
    </w:rPr>
  </w:style>
  <w:style w:type="character" w:customStyle="1" w:styleId="173">
    <w:name w:val="标题 字符"/>
    <w:basedOn w:val="63"/>
    <w:qFormat/>
    <w:uiPriority w:val="0"/>
    <w:rPr>
      <w:rFonts w:ascii="等线 Light" w:eastAsia="等线 Light" w:cs="Times New Roman"/>
      <w:b/>
      <w:bCs/>
      <w:sz w:val="32"/>
      <w:szCs w:val="32"/>
    </w:rPr>
  </w:style>
  <w:style w:type="paragraph" w:customStyle="1" w:styleId="174">
    <w:name w:val="cx标题1"/>
    <w:basedOn w:val="79"/>
    <w:next w:val="79"/>
    <w:qFormat/>
    <w:uiPriority w:val="0"/>
    <w:pPr>
      <w:keepNext/>
      <w:keepLines/>
      <w:pageBreakBefore/>
      <w:widowControl/>
      <w:numPr>
        <w:ilvl w:val="0"/>
        <w:numId w:val="1"/>
      </w:numPr>
      <w:spacing w:before="600" w:after="260" w:line="600" w:lineRule="exact"/>
      <w:ind w:left="0" w:firstLine="0" w:firstLineChars="0"/>
      <w:outlineLvl w:val="1"/>
    </w:pPr>
    <w:rPr>
      <w:rFonts w:eastAsia="黑体"/>
      <w:b/>
      <w:sz w:val="32"/>
      <w:lang w:val="zh-CN"/>
    </w:rPr>
  </w:style>
  <w:style w:type="paragraph" w:customStyle="1" w:styleId="175">
    <w:name w:val="cx标题2"/>
    <w:basedOn w:val="79"/>
    <w:next w:val="79"/>
    <w:qFormat/>
    <w:uiPriority w:val="0"/>
    <w:pPr>
      <w:keepNext/>
      <w:keepLines/>
      <w:widowControl/>
      <w:tabs>
        <w:tab w:val="left" w:pos="1440"/>
      </w:tabs>
      <w:adjustRightInd w:val="0"/>
      <w:spacing w:before="260" w:after="260" w:line="600" w:lineRule="exact"/>
      <w:ind w:firstLine="0" w:firstLineChars="0"/>
      <w:jc w:val="left"/>
      <w:outlineLvl w:val="2"/>
    </w:pPr>
    <w:rPr>
      <w:b/>
      <w:sz w:val="30"/>
      <w:lang w:val="zh-CN"/>
    </w:rPr>
  </w:style>
  <w:style w:type="paragraph" w:customStyle="1" w:styleId="176">
    <w:name w:val="cx标题3"/>
    <w:basedOn w:val="79"/>
    <w:next w:val="79"/>
    <w:qFormat/>
    <w:uiPriority w:val="0"/>
    <w:pPr>
      <w:keepNext/>
      <w:keepLines/>
      <w:widowControl/>
      <w:numPr>
        <w:ilvl w:val="2"/>
        <w:numId w:val="2"/>
      </w:numPr>
      <w:spacing w:before="100" w:after="100" w:line="600" w:lineRule="exact"/>
      <w:ind w:firstLineChars="0"/>
      <w:outlineLvl w:val="3"/>
    </w:pPr>
    <w:rPr>
      <w:b/>
      <w:lang w:val="zh-CN"/>
    </w:rPr>
  </w:style>
  <w:style w:type="paragraph" w:customStyle="1" w:styleId="177">
    <w:name w:val="中二"/>
    <w:qFormat/>
    <w:uiPriority w:val="0"/>
    <w:pPr>
      <w:jc w:val="center"/>
    </w:pPr>
    <w:rPr>
      <w:rFonts w:ascii="Times New Roman" w:hAnsi="Times New Roman" w:eastAsia="楷体_GB2312" w:cs="Times New Roman"/>
      <w:b/>
      <w:kern w:val="2"/>
      <w:sz w:val="36"/>
      <w:szCs w:val="24"/>
      <w:lang w:val="en-US" w:eastAsia="zh-CN" w:bidi="ar-SA"/>
    </w:rPr>
  </w:style>
  <w:style w:type="character" w:customStyle="1" w:styleId="178">
    <w:name w:val="批注主题 字符1"/>
    <w:qFormat/>
    <w:uiPriority w:val="0"/>
    <w:rPr>
      <w:b/>
      <w:bCs/>
      <w:kern w:val="2"/>
      <w:sz w:val="21"/>
      <w:szCs w:val="24"/>
    </w:rPr>
  </w:style>
  <w:style w:type="character" w:customStyle="1" w:styleId="179">
    <w:name w:val="日期 字符1"/>
    <w:qFormat/>
    <w:uiPriority w:val="0"/>
    <w:rPr>
      <w:kern w:val="2"/>
      <w:sz w:val="21"/>
      <w:szCs w:val="24"/>
    </w:rPr>
  </w:style>
  <w:style w:type="paragraph" w:customStyle="1" w:styleId="180">
    <w:name w:val="cx标题4"/>
    <w:basedOn w:val="79"/>
    <w:next w:val="79"/>
    <w:qFormat/>
    <w:uiPriority w:val="0"/>
    <w:pPr>
      <w:keepNext/>
      <w:keepLines/>
      <w:widowControl/>
      <w:ind w:firstLine="0" w:firstLineChars="0"/>
    </w:pPr>
    <w:rPr>
      <w:lang w:val="zh-CN"/>
    </w:rPr>
  </w:style>
  <w:style w:type="paragraph" w:customStyle="1" w:styleId="181">
    <w:name w:val="库"/>
    <w:qFormat/>
    <w:uiPriority w:val="0"/>
    <w:pPr>
      <w:jc w:val="center"/>
    </w:pPr>
    <w:rPr>
      <w:rFonts w:ascii="Times New Roman" w:hAnsi="Times New Roman" w:eastAsia="黑体" w:cs="Times New Roman"/>
      <w:b/>
      <w:kern w:val="2"/>
      <w:sz w:val="32"/>
      <w:szCs w:val="24"/>
      <w:lang w:val="en-US" w:eastAsia="zh-CN" w:bidi="ar-SA"/>
    </w:rPr>
  </w:style>
  <w:style w:type="character" w:customStyle="1" w:styleId="182">
    <w:name w:val="标题 4 Char"/>
    <w:qFormat/>
    <w:uiPriority w:val="0"/>
    <w:rPr>
      <w:rFonts w:ascii="Cambria" w:hAnsi="Cambria" w:eastAsia="宋体" w:cs="Times New Roman"/>
      <w:b/>
      <w:bCs/>
      <w:kern w:val="2"/>
      <w:sz w:val="28"/>
      <w:szCs w:val="28"/>
    </w:rPr>
  </w:style>
  <w:style w:type="paragraph" w:customStyle="1" w:styleId="183">
    <w:name w:val="正文小四缩"/>
    <w:basedOn w:val="1"/>
    <w:qFormat/>
    <w:uiPriority w:val="0"/>
    <w:pPr>
      <w:adjustRightInd w:val="0"/>
      <w:spacing w:before="120" w:line="420" w:lineRule="atLeast"/>
      <w:ind w:firstLine="510"/>
      <w:textAlignment w:val="baseline"/>
    </w:pPr>
    <w:rPr>
      <w:rFonts w:ascii="宋体"/>
      <w:bCs/>
      <w:kern w:val="0"/>
      <w:sz w:val="24"/>
      <w:szCs w:val="20"/>
    </w:rPr>
  </w:style>
  <w:style w:type="character" w:customStyle="1" w:styleId="184">
    <w:name w:val="正文文本缩进 字符1"/>
    <w:qFormat/>
    <w:uiPriority w:val="0"/>
    <w:rPr>
      <w:rFonts w:ascii="宋体" w:hAnsi="宋体"/>
      <w:kern w:val="2"/>
      <w:sz w:val="28"/>
    </w:rPr>
  </w:style>
  <w:style w:type="paragraph" w:customStyle="1" w:styleId="185">
    <w:name w:val="3号宋体正文"/>
    <w:basedOn w:val="1"/>
    <w:qFormat/>
    <w:uiPriority w:val="0"/>
    <w:pPr>
      <w:spacing w:line="360" w:lineRule="auto"/>
      <w:ind w:firstLine="737"/>
      <w:jc w:val="left"/>
    </w:pPr>
    <w:rPr>
      <w:rFonts w:eastAsia="仿宋_GB2312"/>
      <w:snapToGrid w:val="0"/>
      <w:spacing w:val="20"/>
      <w:sz w:val="32"/>
      <w:szCs w:val="24"/>
    </w:rPr>
  </w:style>
  <w:style w:type="character" w:customStyle="1" w:styleId="186">
    <w:name w:val="标题 2 Char1"/>
    <w:qFormat/>
    <w:uiPriority w:val="0"/>
    <w:rPr>
      <w:rFonts w:ascii="Arial" w:hAnsi="Arial" w:eastAsia="黑体"/>
      <w:b/>
      <w:bCs/>
      <w:kern w:val="2"/>
      <w:sz w:val="32"/>
      <w:szCs w:val="32"/>
    </w:rPr>
  </w:style>
  <w:style w:type="paragraph" w:customStyle="1" w:styleId="187">
    <w:name w:val="m正文"/>
    <w:basedOn w:val="1"/>
    <w:qFormat/>
    <w:uiPriority w:val="0"/>
    <w:pPr>
      <w:spacing w:line="360" w:lineRule="auto"/>
      <w:ind w:firstLine="200" w:firstLineChars="200"/>
      <w:jc w:val="left"/>
    </w:pPr>
    <w:rPr>
      <w:bCs/>
      <w:color w:val="008000"/>
      <w:lang w:val="zh-CN"/>
    </w:rPr>
  </w:style>
  <w:style w:type="paragraph" w:customStyle="1" w:styleId="188">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color w:val="0000FF"/>
      <w:kern w:val="0"/>
      <w:sz w:val="21"/>
      <w:szCs w:val="21"/>
    </w:rPr>
  </w:style>
  <w:style w:type="character" w:customStyle="1" w:styleId="189">
    <w:name w:val="正文文本 Char"/>
    <w:qFormat/>
    <w:uiPriority w:val="0"/>
    <w:rPr>
      <w:kern w:val="2"/>
      <w:sz w:val="21"/>
      <w:szCs w:val="24"/>
    </w:rPr>
  </w:style>
  <w:style w:type="character" w:customStyle="1" w:styleId="190">
    <w:name w:val="表头 Char1"/>
    <w:qFormat/>
    <w:uiPriority w:val="0"/>
    <w:rPr>
      <w:rFonts w:ascii="Times New Roman" w:hAnsi="Times New Roman" w:eastAsia="黑体"/>
      <w:iCs/>
      <w:sz w:val="24"/>
      <w:szCs w:val="24"/>
    </w:rPr>
  </w:style>
  <w:style w:type="character" w:customStyle="1" w:styleId="191">
    <w:name w:val="页眉 Char1"/>
    <w:qFormat/>
    <w:uiPriority w:val="0"/>
    <w:rPr>
      <w:sz w:val="18"/>
      <w:szCs w:val="18"/>
    </w:rPr>
  </w:style>
  <w:style w:type="character" w:customStyle="1" w:styleId="192">
    <w:name w:val="font71"/>
    <w:qFormat/>
    <w:uiPriority w:val="0"/>
    <w:rPr>
      <w:rFonts w:ascii="宋体" w:eastAsia="宋体" w:cs="宋体"/>
      <w:color w:val="000000"/>
      <w:sz w:val="21"/>
      <w:szCs w:val="21"/>
      <w:u w:val="none"/>
    </w:rPr>
  </w:style>
  <w:style w:type="character" w:customStyle="1" w:styleId="193">
    <w:name w:val="font31"/>
    <w:qFormat/>
    <w:uiPriority w:val="0"/>
    <w:rPr>
      <w:rFonts w:ascii="宋体" w:eastAsia="宋体" w:cs="宋体"/>
      <w:color w:val="000000"/>
      <w:sz w:val="21"/>
      <w:szCs w:val="21"/>
      <w:u w:val="none"/>
    </w:rPr>
  </w:style>
  <w:style w:type="character" w:customStyle="1" w:styleId="194">
    <w:name w:val="font81"/>
    <w:qFormat/>
    <w:uiPriority w:val="0"/>
    <w:rPr>
      <w:rFonts w:ascii="Times New Roman" w:hAnsi="Times New Roman" w:cs="Times New Roman"/>
      <w:color w:val="000000"/>
      <w:sz w:val="21"/>
      <w:szCs w:val="21"/>
      <w:u w:val="none"/>
    </w:rPr>
  </w:style>
  <w:style w:type="character" w:customStyle="1" w:styleId="195">
    <w:name w:val="font41"/>
    <w:qFormat/>
    <w:uiPriority w:val="0"/>
    <w:rPr>
      <w:rFonts w:ascii="宋体" w:eastAsia="宋体" w:cs="宋体"/>
      <w:color w:val="000000"/>
      <w:sz w:val="22"/>
      <w:szCs w:val="22"/>
      <w:u w:val="none"/>
    </w:rPr>
  </w:style>
  <w:style w:type="character" w:customStyle="1" w:styleId="196">
    <w:name w:val="font51"/>
    <w:qFormat/>
    <w:uiPriority w:val="0"/>
    <w:rPr>
      <w:rFonts w:ascii="Times New Roman" w:hAnsi="Times New Roman" w:cs="Times New Roman"/>
      <w:color w:val="000000"/>
      <w:sz w:val="22"/>
      <w:szCs w:val="22"/>
      <w:u w:val="none"/>
    </w:rPr>
  </w:style>
  <w:style w:type="paragraph" w:customStyle="1" w:styleId="19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98">
    <w:name w:val="正文文本缩进 3 字符"/>
    <w:basedOn w:val="63"/>
    <w:qFormat/>
    <w:uiPriority w:val="0"/>
    <w:rPr>
      <w:sz w:val="16"/>
      <w:szCs w:val="16"/>
    </w:rPr>
  </w:style>
  <w:style w:type="character" w:customStyle="1" w:styleId="199">
    <w:name w:val="正文文本缩进 2 字符1"/>
    <w:qFormat/>
    <w:uiPriority w:val="0"/>
    <w:rPr>
      <w:rFonts w:ascii="Times New Roman" w:hAnsi="Times New Roman"/>
      <w:kern w:val="2"/>
      <w:sz w:val="21"/>
      <w:szCs w:val="24"/>
    </w:rPr>
  </w:style>
  <w:style w:type="paragraph" w:customStyle="1" w:styleId="200">
    <w:name w:val="2级标题0.5"/>
    <w:basedOn w:val="4"/>
    <w:qFormat/>
    <w:uiPriority w:val="0"/>
    <w:pPr>
      <w:spacing w:before="50" w:beforeLines="50" w:after="50" w:afterLines="50" w:line="500" w:lineRule="exact"/>
      <w:ind w:firstLine="200" w:firstLineChars="200"/>
      <w:jc w:val="left"/>
    </w:pPr>
    <w:rPr>
      <w:rFonts w:ascii="Times New Roman" w:hAnsi="Times New Roman" w:eastAsia="仿宋_GB2312" w:cs="Times New Roman"/>
      <w:b/>
      <w:sz w:val="32"/>
    </w:rPr>
  </w:style>
  <w:style w:type="paragraph" w:customStyle="1" w:styleId="201">
    <w:name w:val="报告正文"/>
    <w:basedOn w:val="17"/>
    <w:qFormat/>
    <w:uiPriority w:val="0"/>
    <w:pPr>
      <w:jc w:val="center"/>
    </w:pPr>
    <w:rPr>
      <w:color w:val="FF0000"/>
      <w:sz w:val="24"/>
      <w:szCs w:val="24"/>
      <w:lang w:val="zh-CN"/>
    </w:rPr>
  </w:style>
  <w:style w:type="character" w:customStyle="1" w:styleId="202">
    <w:name w:val="行距 Char Char"/>
    <w:qFormat/>
    <w:uiPriority w:val="0"/>
    <w:rPr>
      <w:kern w:val="2"/>
      <w:sz w:val="28"/>
      <w:szCs w:val="24"/>
      <w:lang w:val="en-US" w:eastAsia="zh-CN" w:bidi="ar-SA"/>
    </w:rPr>
  </w:style>
  <w:style w:type="paragraph" w:customStyle="1" w:styleId="203">
    <w:name w:val="xl40"/>
    <w:basedOn w:val="1"/>
    <w:qFormat/>
    <w:uiPriority w:val="0"/>
    <w:pPr>
      <w:widowControl/>
      <w:spacing w:before="100" w:beforeAutospacing="1" w:after="100" w:afterAutospacing="1" w:line="240" w:lineRule="auto"/>
      <w:jc w:val="center"/>
    </w:pPr>
    <w:rPr>
      <w:rFonts w:ascii="宋体"/>
      <w:kern w:val="0"/>
      <w:sz w:val="24"/>
      <w:szCs w:val="24"/>
    </w:rPr>
  </w:style>
  <w:style w:type="paragraph" w:customStyle="1" w:styleId="204">
    <w:name w:val="修订1"/>
    <w:qFormat/>
    <w:uiPriority w:val="0"/>
    <w:rPr>
      <w:rFonts w:ascii="Times New Roman" w:hAnsi="Times New Roman" w:eastAsia="宋体" w:cs="Times New Roman"/>
      <w:kern w:val="2"/>
      <w:sz w:val="21"/>
      <w:szCs w:val="24"/>
      <w:lang w:val="en-US" w:eastAsia="zh-CN" w:bidi="ar-SA"/>
    </w:rPr>
  </w:style>
  <w:style w:type="character" w:customStyle="1" w:styleId="205">
    <w:name w:val="批注框文本 Char"/>
    <w:qFormat/>
    <w:uiPriority w:val="0"/>
    <w:rPr>
      <w:rFonts w:ascii="Times New Roman" w:hAnsi="Times New Roman" w:eastAsia="宋体" w:cs="Times New Roman"/>
      <w:sz w:val="18"/>
      <w:szCs w:val="18"/>
    </w:rPr>
  </w:style>
  <w:style w:type="paragraph" w:customStyle="1" w:styleId="206">
    <w:name w:val="font12"/>
    <w:basedOn w:val="1"/>
    <w:qFormat/>
    <w:uiPriority w:val="0"/>
    <w:pPr>
      <w:widowControl/>
      <w:spacing w:before="100" w:beforeAutospacing="1" w:after="100" w:afterAutospacing="1" w:line="240" w:lineRule="auto"/>
      <w:jc w:val="left"/>
    </w:pPr>
    <w:rPr>
      <w:kern w:val="0"/>
      <w:sz w:val="22"/>
      <w:szCs w:val="22"/>
    </w:rPr>
  </w:style>
  <w:style w:type="paragraph" w:customStyle="1" w:styleId="207">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kern w:val="0"/>
      <w:sz w:val="24"/>
      <w:szCs w:val="24"/>
    </w:rPr>
  </w:style>
  <w:style w:type="paragraph" w:customStyle="1" w:styleId="208">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kern w:val="0"/>
      <w:sz w:val="24"/>
      <w:szCs w:val="24"/>
    </w:rPr>
  </w:style>
  <w:style w:type="paragraph" w:customStyle="1" w:styleId="209">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kern w:val="0"/>
      <w:sz w:val="24"/>
      <w:szCs w:val="24"/>
    </w:rPr>
  </w:style>
  <w:style w:type="paragraph" w:customStyle="1" w:styleId="210">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kern w:val="0"/>
      <w:sz w:val="24"/>
      <w:szCs w:val="24"/>
    </w:rPr>
  </w:style>
  <w:style w:type="paragraph" w:customStyle="1" w:styleId="211">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kern w:val="0"/>
      <w:sz w:val="24"/>
      <w:szCs w:val="24"/>
    </w:rPr>
  </w:style>
  <w:style w:type="paragraph" w:customStyle="1" w:styleId="212">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cs="宋体"/>
      <w:kern w:val="0"/>
      <w:sz w:val="24"/>
      <w:szCs w:val="24"/>
    </w:rPr>
  </w:style>
  <w:style w:type="paragraph" w:customStyle="1" w:styleId="213">
    <w:name w:val="xl11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cs="宋体"/>
      <w:kern w:val="0"/>
      <w:sz w:val="24"/>
      <w:szCs w:val="24"/>
    </w:rPr>
  </w:style>
  <w:style w:type="paragraph" w:customStyle="1" w:styleId="214">
    <w:name w:val="注"/>
    <w:qFormat/>
    <w:uiPriority w:val="0"/>
    <w:pPr>
      <w:spacing w:line="400" w:lineRule="exact"/>
      <w:ind w:firstLine="200" w:firstLineChars="200"/>
    </w:pPr>
    <w:rPr>
      <w:rFonts w:ascii="Times New Roman" w:hAnsi="Times New Roman" w:eastAsia="宋体" w:cs="Times New Roman"/>
      <w:kern w:val="2"/>
      <w:sz w:val="24"/>
      <w:szCs w:val="24"/>
      <w:lang w:val="en-US" w:eastAsia="zh-CN" w:bidi="ar-SA"/>
    </w:rPr>
  </w:style>
  <w:style w:type="character" w:customStyle="1" w:styleId="215">
    <w:name w:val="正文文本缩进 Char2"/>
    <w:qFormat/>
    <w:uiPriority w:val="0"/>
    <w:rPr>
      <w:rFonts w:ascii="宋体" w:hAnsi="宋体"/>
      <w:color w:val="0000FF"/>
      <w:sz w:val="28"/>
    </w:rPr>
  </w:style>
  <w:style w:type="character" w:customStyle="1" w:styleId="216">
    <w:name w:val="font112"/>
    <w:qFormat/>
    <w:uiPriority w:val="0"/>
    <w:rPr>
      <w:rFonts w:ascii="仿宋" w:eastAsia="仿宋" w:cs="仿宋"/>
      <w:color w:val="C00000"/>
      <w:sz w:val="21"/>
      <w:szCs w:val="21"/>
      <w:u w:val="none"/>
    </w:rPr>
  </w:style>
  <w:style w:type="character" w:customStyle="1" w:styleId="217">
    <w:name w:val="称呼 Char1"/>
    <w:qFormat/>
    <w:uiPriority w:val="0"/>
    <w:rPr>
      <w:kern w:val="2"/>
      <w:sz w:val="28"/>
      <w:szCs w:val="24"/>
    </w:rPr>
  </w:style>
  <w:style w:type="character" w:customStyle="1" w:styleId="218">
    <w:name w:val="HTML 预设格式 字符1"/>
    <w:basedOn w:val="63"/>
    <w:qFormat/>
    <w:uiPriority w:val="0"/>
    <w:rPr>
      <w:rFonts w:ascii="Courier New" w:hAnsi="Courier New" w:cs="Courier New"/>
      <w:sz w:val="20"/>
      <w:szCs w:val="20"/>
    </w:rPr>
  </w:style>
  <w:style w:type="character" w:customStyle="1" w:styleId="219">
    <w:name w:val="style181"/>
    <w:qFormat/>
    <w:uiPriority w:val="0"/>
    <w:rPr>
      <w:sz w:val="20"/>
      <w:szCs w:val="20"/>
    </w:rPr>
  </w:style>
  <w:style w:type="character" w:customStyle="1" w:styleId="220">
    <w:name w:val="Char3"/>
    <w:qFormat/>
    <w:uiPriority w:val="0"/>
    <w:rPr>
      <w:rFonts w:ascii="Arial" w:hAnsi="Arial" w:eastAsia="黑体"/>
      <w:b/>
      <w:bCs/>
      <w:kern w:val="2"/>
      <w:sz w:val="32"/>
      <w:szCs w:val="32"/>
      <w:lang w:val="en-US" w:eastAsia="zh-CN" w:bidi="ar-SA"/>
    </w:rPr>
  </w:style>
  <w:style w:type="character" w:customStyle="1" w:styleId="221">
    <w:name w:val="引用 Char1"/>
    <w:qFormat/>
    <w:uiPriority w:val="0"/>
    <w:rPr>
      <w:i/>
      <w:iCs/>
      <w:color w:val="404040"/>
      <w:kern w:val="2"/>
      <w:sz w:val="28"/>
      <w:szCs w:val="24"/>
    </w:rPr>
  </w:style>
  <w:style w:type="character" w:customStyle="1" w:styleId="222">
    <w:name w:val="尾注文本 字符1"/>
    <w:basedOn w:val="63"/>
    <w:qFormat/>
    <w:uiPriority w:val="0"/>
  </w:style>
  <w:style w:type="character" w:customStyle="1" w:styleId="223">
    <w:name w:val="注释标题 Char1"/>
    <w:qFormat/>
    <w:uiPriority w:val="0"/>
    <w:rPr>
      <w:kern w:val="2"/>
      <w:sz w:val="28"/>
      <w:szCs w:val="24"/>
    </w:rPr>
  </w:style>
  <w:style w:type="character" w:customStyle="1" w:styleId="224">
    <w:name w:val="BMCL Char Char3"/>
    <w:qFormat/>
    <w:uiPriority w:val="0"/>
    <w:rPr>
      <w:kern w:val="2"/>
      <w:sz w:val="18"/>
      <w:szCs w:val="18"/>
    </w:rPr>
  </w:style>
  <w:style w:type="character" w:customStyle="1" w:styleId="225">
    <w:name w:val="Char Char15"/>
    <w:qFormat/>
    <w:uiPriority w:val="0"/>
    <w:rPr>
      <w:rFonts w:ascii="宋体" w:eastAsia="宋体"/>
      <w:sz w:val="18"/>
    </w:rPr>
  </w:style>
  <w:style w:type="character" w:customStyle="1" w:styleId="226">
    <w:name w:val="BMCL Char Char2"/>
    <w:qFormat/>
    <w:uiPriority w:val="0"/>
    <w:rPr>
      <w:rFonts w:ascii="Times New Roman" w:hAnsi="Times New Roman" w:eastAsia="宋体" w:cs="Times New Roman"/>
      <w:sz w:val="18"/>
      <w:szCs w:val="18"/>
    </w:rPr>
  </w:style>
  <w:style w:type="character" w:customStyle="1" w:styleId="227">
    <w:name w:val="正文文本 3 Char1"/>
    <w:qFormat/>
    <w:uiPriority w:val="0"/>
    <w:rPr>
      <w:kern w:val="2"/>
      <w:sz w:val="16"/>
      <w:szCs w:val="16"/>
    </w:rPr>
  </w:style>
  <w:style w:type="character" w:customStyle="1" w:styleId="228">
    <w:name w:val="Char31"/>
    <w:qFormat/>
    <w:uiPriority w:val="0"/>
    <w:rPr>
      <w:rFonts w:ascii="Arial" w:hAnsi="Arial" w:eastAsia="黑体" w:cs="Arial"/>
      <w:b/>
      <w:bCs/>
      <w:kern w:val="2"/>
      <w:sz w:val="32"/>
      <w:szCs w:val="32"/>
      <w:lang w:val="en-US" w:eastAsia="zh-CN" w:bidi="ar-SA"/>
    </w:rPr>
  </w:style>
  <w:style w:type="character" w:customStyle="1" w:styleId="229">
    <w:name w:val="Char Char28"/>
    <w:qFormat/>
    <w:uiPriority w:val="0"/>
    <w:rPr>
      <w:rFonts w:ascii="Times New Roman" w:hAnsi="Times New Roman" w:eastAsia="宋体" w:cs="Times New Roman"/>
      <w:b/>
      <w:bCs/>
      <w:kern w:val="44"/>
      <w:sz w:val="44"/>
      <w:szCs w:val="44"/>
    </w:rPr>
  </w:style>
  <w:style w:type="paragraph" w:customStyle="1" w:styleId="230">
    <w:name w:val="样式4"/>
    <w:basedOn w:val="5"/>
    <w:qFormat/>
    <w:uiPriority w:val="0"/>
    <w:pPr>
      <w:spacing w:before="260" w:after="260" w:line="415" w:lineRule="auto"/>
    </w:pPr>
    <w:rPr>
      <w:rFonts w:ascii="宋体"/>
      <w:bCs w:val="0"/>
      <w:color w:val="800000"/>
      <w:kern w:val="28"/>
    </w:rPr>
  </w:style>
  <w:style w:type="character" w:customStyle="1" w:styleId="231">
    <w:name w:val="注释标题 字符1"/>
    <w:basedOn w:val="63"/>
    <w:uiPriority w:val="0"/>
  </w:style>
  <w:style w:type="character" w:customStyle="1" w:styleId="232">
    <w:name w:val="1.1.1.1标题 4 Char Char2"/>
    <w:qFormat/>
    <w:uiPriority w:val="0"/>
    <w:rPr>
      <w:rFonts w:ascii="宋体" w:eastAsia="宋体" w:cs="Times New Roman"/>
      <w:color w:val="800000"/>
      <w:kern w:val="28"/>
      <w:sz w:val="28"/>
      <w:szCs w:val="20"/>
    </w:rPr>
  </w:style>
  <w:style w:type="character" w:customStyle="1" w:styleId="233">
    <w:name w:val="BMCL Char Char"/>
    <w:qFormat/>
    <w:uiPriority w:val="0"/>
    <w:rPr>
      <w:rFonts w:eastAsia="楷体_GB2312"/>
      <w:kern w:val="2"/>
      <w:sz w:val="18"/>
      <w:szCs w:val="18"/>
      <w:lang w:val="en-US" w:eastAsia="zh-CN" w:bidi="ar-SA"/>
    </w:rPr>
  </w:style>
  <w:style w:type="character" w:customStyle="1" w:styleId="234">
    <w:name w:val="Char Char25"/>
    <w:qFormat/>
    <w:uiPriority w:val="0"/>
    <w:rPr>
      <w:rFonts w:ascii="宋体" w:eastAsia="宋体" w:cs="Times New Roman"/>
      <w:color w:val="800000"/>
      <w:kern w:val="28"/>
      <w:sz w:val="28"/>
      <w:szCs w:val="24"/>
    </w:rPr>
  </w:style>
  <w:style w:type="character" w:customStyle="1" w:styleId="235">
    <w:name w:val="正文文本 3 字符1"/>
    <w:basedOn w:val="63"/>
    <w:qFormat/>
    <w:uiPriority w:val="0"/>
    <w:rPr>
      <w:sz w:val="16"/>
      <w:szCs w:val="16"/>
    </w:rPr>
  </w:style>
  <w:style w:type="character" w:customStyle="1" w:styleId="236">
    <w:name w:val="纯文本 Char Char"/>
    <w:qFormat/>
    <w:uiPriority w:val="0"/>
    <w:rPr>
      <w:rFonts w:ascii="宋体" w:eastAsia="宋体" w:cs="Courier New"/>
      <w:kern w:val="2"/>
      <w:sz w:val="21"/>
      <w:szCs w:val="21"/>
      <w:lang w:val="en-US" w:eastAsia="zh-CN" w:bidi="ar-SA"/>
    </w:rPr>
  </w:style>
  <w:style w:type="character" w:customStyle="1" w:styleId="237">
    <w:name w:val="小标题 Char"/>
    <w:qFormat/>
    <w:uiPriority w:val="0"/>
    <w:rPr>
      <w:rFonts w:eastAsia="宋体"/>
      <w:b/>
      <w:bCs/>
      <w:kern w:val="2"/>
      <w:sz w:val="30"/>
      <w:szCs w:val="32"/>
      <w:lang w:val="en-US" w:eastAsia="zh-CN" w:bidi="ar-SA"/>
    </w:rPr>
  </w:style>
  <w:style w:type="character" w:customStyle="1" w:styleId="238">
    <w:name w:val="1.1标题 2 Char Char"/>
    <w:qFormat/>
    <w:uiPriority w:val="0"/>
    <w:rPr>
      <w:rFonts w:ascii="Arial" w:hAnsi="Arial" w:eastAsia="黑体"/>
      <w:b/>
      <w:bCs/>
      <w:kern w:val="2"/>
      <w:sz w:val="32"/>
      <w:szCs w:val="32"/>
      <w:lang w:val="en-US" w:eastAsia="zh-CN" w:bidi="ar-SA"/>
    </w:rPr>
  </w:style>
  <w:style w:type="paragraph" w:styleId="239">
    <w:name w:val="Quote"/>
    <w:basedOn w:val="1"/>
    <w:next w:val="1"/>
    <w:qFormat/>
    <w:uiPriority w:val="0"/>
    <w:pPr>
      <w:spacing w:line="240" w:lineRule="auto"/>
    </w:pPr>
    <w:rPr>
      <w:i/>
      <w:iCs/>
      <w:color w:val="0000FF"/>
      <w:szCs w:val="24"/>
    </w:rPr>
  </w:style>
  <w:style w:type="character" w:customStyle="1" w:styleId="240">
    <w:name w:val="引用 字符1"/>
    <w:basedOn w:val="63"/>
    <w:qFormat/>
    <w:uiPriority w:val="0"/>
    <w:rPr>
      <w:i/>
      <w:iCs/>
      <w:color w:val="404040"/>
    </w:rPr>
  </w:style>
  <w:style w:type="character" w:customStyle="1" w:styleId="241">
    <w:name w:val="Char Char Char"/>
    <w:qFormat/>
    <w:uiPriority w:val="0"/>
    <w:rPr>
      <w:kern w:val="2"/>
      <w:sz w:val="18"/>
      <w:szCs w:val="18"/>
    </w:rPr>
  </w:style>
  <w:style w:type="character" w:customStyle="1" w:styleId="242">
    <w:name w:val="Char Char3"/>
    <w:qFormat/>
    <w:uiPriority w:val="0"/>
    <w:rPr>
      <w:rFonts w:eastAsia="宋体"/>
      <w:b/>
      <w:bCs/>
      <w:kern w:val="2"/>
      <w:sz w:val="30"/>
      <w:szCs w:val="32"/>
      <w:lang w:val="en-US" w:eastAsia="zh-CN" w:bidi="ar-SA"/>
    </w:rPr>
  </w:style>
  <w:style w:type="character" w:customStyle="1" w:styleId="243">
    <w:name w:val="Char Char20"/>
    <w:qFormat/>
    <w:uiPriority w:val="0"/>
    <w:rPr>
      <w:rFonts w:ascii="宋体" w:eastAsia="宋体" w:cs="Times New Roman"/>
      <w:b/>
      <w:color w:val="FF0000"/>
      <w:kern w:val="28"/>
      <w:sz w:val="32"/>
      <w:szCs w:val="24"/>
    </w:rPr>
  </w:style>
  <w:style w:type="character" w:customStyle="1" w:styleId="244">
    <w:name w:val="even Char Char"/>
    <w:qFormat/>
    <w:uiPriority w:val="0"/>
    <w:rPr>
      <w:rFonts w:eastAsia="宋体"/>
      <w:kern w:val="2"/>
      <w:sz w:val="18"/>
      <w:lang w:val="en-US" w:eastAsia="zh-CN" w:bidi="ar-SA"/>
    </w:rPr>
  </w:style>
  <w:style w:type="character" w:customStyle="1" w:styleId="245">
    <w:name w:val="Char Char26"/>
    <w:qFormat/>
    <w:uiPriority w:val="0"/>
    <w:rPr>
      <w:rFonts w:ascii="Arial" w:hAnsi="Arial"/>
      <w:b/>
      <w:bCs/>
      <w:kern w:val="2"/>
      <w:sz w:val="30"/>
      <w:szCs w:val="32"/>
    </w:rPr>
  </w:style>
  <w:style w:type="character" w:customStyle="1" w:styleId="246">
    <w:name w:val="BMCL Char Char1"/>
    <w:qFormat/>
    <w:uiPriority w:val="0"/>
    <w:rPr>
      <w:rFonts w:eastAsia="宋体"/>
      <w:kern w:val="2"/>
      <w:sz w:val="18"/>
      <w:szCs w:val="18"/>
      <w:lang w:val="en-US" w:eastAsia="zh-CN" w:bidi="ar-SA"/>
    </w:rPr>
  </w:style>
  <w:style w:type="character" w:customStyle="1" w:styleId="247">
    <w:name w:val="Char Char27"/>
    <w:qFormat/>
    <w:uiPriority w:val="0"/>
    <w:rPr>
      <w:rFonts w:ascii="Times New Roman" w:hAnsi="Times New Roman" w:eastAsia="黑体"/>
      <w:b/>
      <w:bCs/>
      <w:kern w:val="44"/>
      <w:sz w:val="32"/>
      <w:szCs w:val="44"/>
    </w:rPr>
  </w:style>
  <w:style w:type="character" w:customStyle="1" w:styleId="248">
    <w:name w:val="正文文本 2 字符"/>
    <w:basedOn w:val="63"/>
    <w:qFormat/>
    <w:uiPriority w:val="0"/>
  </w:style>
  <w:style w:type="character" w:customStyle="1" w:styleId="249">
    <w:name w:val="style11"/>
    <w:qFormat/>
    <w:uiPriority w:val="0"/>
    <w:rPr>
      <w:color w:val="000000"/>
    </w:rPr>
  </w:style>
  <w:style w:type="character" w:customStyle="1" w:styleId="250">
    <w:name w:val="纯文本 Char2"/>
    <w:qFormat/>
    <w:uiPriority w:val="0"/>
    <w:rPr>
      <w:rFonts w:ascii="宋体" w:hAnsi="宋体" w:cs="宋体"/>
      <w:sz w:val="28"/>
      <w:szCs w:val="21"/>
    </w:rPr>
  </w:style>
  <w:style w:type="character" w:customStyle="1" w:styleId="251">
    <w:name w:val="深圳4 Char Char"/>
    <w:qFormat/>
    <w:uiPriority w:val="0"/>
    <w:rPr>
      <w:rFonts w:ascii="Arial" w:hAnsi="Arial" w:eastAsia="黑体" w:cs="Arial"/>
      <w:b/>
      <w:bCs/>
      <w:kern w:val="2"/>
      <w:sz w:val="28"/>
      <w:szCs w:val="28"/>
      <w:lang w:val="en-US" w:eastAsia="zh-CN"/>
    </w:rPr>
  </w:style>
  <w:style w:type="character" w:customStyle="1" w:styleId="252">
    <w:name w:val="Char Char19"/>
    <w:qFormat/>
    <w:uiPriority w:val="0"/>
    <w:rPr>
      <w:rFonts w:eastAsia="宋体"/>
      <w:sz w:val="16"/>
      <w:szCs w:val="16"/>
    </w:rPr>
  </w:style>
  <w:style w:type="character" w:customStyle="1" w:styleId="253">
    <w:name w:val="style81"/>
    <w:qFormat/>
    <w:uiPriority w:val="0"/>
    <w:rPr>
      <w:sz w:val="28"/>
      <w:szCs w:val="28"/>
    </w:rPr>
  </w:style>
  <w:style w:type="character" w:customStyle="1" w:styleId="254">
    <w:name w:val="正文文本首行缩进 2 字符1"/>
    <w:qFormat/>
    <w:uiPriority w:val="0"/>
    <w:rPr>
      <w:rFonts w:ascii="宋体" w:hAnsi="宋体"/>
      <w:color w:val="000000"/>
      <w:szCs w:val="21"/>
    </w:rPr>
  </w:style>
  <w:style w:type="paragraph" w:customStyle="1" w:styleId="255">
    <w:name w:val="正文文本首行缩进1"/>
    <w:basedOn w:val="25"/>
    <w:qFormat/>
    <w:uiPriority w:val="0"/>
    <w:pPr>
      <w:autoSpaceDE/>
      <w:autoSpaceDN/>
      <w:spacing w:after="120"/>
      <w:ind w:firstLine="100" w:firstLineChars="100"/>
    </w:pPr>
  </w:style>
  <w:style w:type="character" w:customStyle="1" w:styleId="256">
    <w:name w:val="Char Char"/>
    <w:qFormat/>
    <w:uiPriority w:val="0"/>
    <w:rPr>
      <w:kern w:val="2"/>
      <w:sz w:val="18"/>
      <w:szCs w:val="18"/>
    </w:rPr>
  </w:style>
  <w:style w:type="character" w:customStyle="1" w:styleId="257">
    <w:name w:val="样式4 Char"/>
    <w:qFormat/>
    <w:uiPriority w:val="0"/>
    <w:rPr>
      <w:rFonts w:ascii="宋体" w:eastAsia="宋体" w:cs="Times New Roman"/>
      <w:b/>
      <w:bCs/>
      <w:color w:val="800000"/>
      <w:kern w:val="2"/>
      <w:sz w:val="30"/>
      <w:szCs w:val="32"/>
      <w:lang w:val="en-US" w:eastAsia="zh-CN" w:bidi="ar-SA"/>
    </w:rPr>
  </w:style>
  <w:style w:type="character" w:customStyle="1" w:styleId="258">
    <w:name w:val="深圳4 Char Char Char"/>
    <w:qFormat/>
    <w:uiPriority w:val="0"/>
    <w:rPr>
      <w:rFonts w:ascii="Arial" w:hAnsi="Arial" w:eastAsia="黑体" w:cs="Arial"/>
      <w:b/>
      <w:bCs/>
      <w:kern w:val="2"/>
      <w:sz w:val="28"/>
      <w:szCs w:val="28"/>
      <w:lang w:val="en-US" w:eastAsia="zh-CN"/>
    </w:rPr>
  </w:style>
  <w:style w:type="character" w:customStyle="1" w:styleId="259">
    <w:name w:val="even Char Char1"/>
    <w:qFormat/>
    <w:uiPriority w:val="0"/>
    <w:rPr>
      <w:rFonts w:ascii="Times New Roman" w:hAnsi="Times New Roman" w:eastAsia="宋体" w:cs="Times New Roman"/>
      <w:sz w:val="18"/>
      <w:szCs w:val="18"/>
    </w:rPr>
  </w:style>
  <w:style w:type="character" w:customStyle="1" w:styleId="260">
    <w:name w:val="Char Char21"/>
    <w:qFormat/>
    <w:uiPriority w:val="0"/>
    <w:rPr>
      <w:rFonts w:ascii="宋体" w:eastAsia="宋体" w:cs="Times New Roman"/>
      <w:color w:val="008000"/>
      <w:kern w:val="28"/>
      <w:sz w:val="28"/>
      <w:szCs w:val="24"/>
    </w:rPr>
  </w:style>
  <w:style w:type="character" w:customStyle="1" w:styleId="261">
    <w:name w:val="正文文本 Char3"/>
    <w:qFormat/>
    <w:uiPriority w:val="0"/>
    <w:rPr>
      <w:rFonts w:ascii="宋体" w:eastAsia="宋体"/>
      <w:sz w:val="18"/>
    </w:rPr>
  </w:style>
  <w:style w:type="character" w:customStyle="1" w:styleId="262">
    <w:name w:val="Char Char23"/>
    <w:qFormat/>
    <w:uiPriority w:val="0"/>
    <w:rPr>
      <w:rFonts w:ascii="宋体" w:eastAsia="宋体" w:cs="Times New Roman"/>
      <w:color w:val="808000"/>
      <w:kern w:val="28"/>
      <w:sz w:val="28"/>
      <w:szCs w:val="24"/>
    </w:rPr>
  </w:style>
  <w:style w:type="character" w:customStyle="1" w:styleId="263">
    <w:name w:val="1.1.1.1标题 4 Char Char"/>
    <w:qFormat/>
    <w:uiPriority w:val="0"/>
    <w:rPr>
      <w:rFonts w:ascii="宋体" w:eastAsia="宋体"/>
      <w:color w:val="800000"/>
      <w:kern w:val="28"/>
      <w:sz w:val="28"/>
      <w:lang w:val="en-US" w:eastAsia="zh-CN" w:bidi="ar-SA"/>
    </w:rPr>
  </w:style>
  <w:style w:type="character" w:customStyle="1" w:styleId="264">
    <w:name w:val="标题 Char1"/>
    <w:qFormat/>
    <w:uiPriority w:val="0"/>
    <w:rPr>
      <w:rFonts w:ascii="Calibri Light" w:hAnsi="Calibri Light" w:cs="Times New Roman"/>
      <w:b/>
      <w:bCs/>
      <w:kern w:val="2"/>
      <w:sz w:val="32"/>
      <w:szCs w:val="32"/>
    </w:rPr>
  </w:style>
  <w:style w:type="character" w:customStyle="1" w:styleId="265">
    <w:name w:val="Char Char13"/>
    <w:qFormat/>
    <w:uiPriority w:val="0"/>
    <w:rPr>
      <w:rFonts w:ascii="Times New Roman" w:hAnsi="Times New Roman" w:eastAsia="宋体" w:cs="Times New Roman"/>
      <w:szCs w:val="24"/>
    </w:rPr>
  </w:style>
  <w:style w:type="character" w:customStyle="1" w:styleId="266">
    <w:name w:val="font01"/>
    <w:qFormat/>
    <w:uiPriority w:val="0"/>
    <w:rPr>
      <w:rFonts w:ascii="仿宋_GB2312" w:eastAsia="仿宋_GB2312" w:cs="仿宋_GB2312"/>
      <w:color w:val="000000"/>
      <w:sz w:val="21"/>
      <w:szCs w:val="21"/>
      <w:u w:val="none"/>
    </w:rPr>
  </w:style>
  <w:style w:type="character" w:customStyle="1" w:styleId="267">
    <w:name w:val="正文文本 Char1"/>
    <w:qFormat/>
    <w:uiPriority w:val="0"/>
    <w:rPr>
      <w:rFonts w:ascii="Times New Roman" w:hAnsi="Times New Roman" w:eastAsia="宋体" w:cs="Times New Roman"/>
      <w:szCs w:val="24"/>
    </w:rPr>
  </w:style>
  <w:style w:type="character" w:customStyle="1" w:styleId="268">
    <w:name w:val="批注主题 Char1"/>
    <w:qFormat/>
    <w:uiPriority w:val="0"/>
    <w:rPr>
      <w:b/>
      <w:bCs/>
      <w:kern w:val="2"/>
      <w:sz w:val="28"/>
      <w:szCs w:val="24"/>
    </w:rPr>
  </w:style>
  <w:style w:type="character" w:customStyle="1" w:styleId="269">
    <w:name w:val="Char Char2"/>
    <w:qFormat/>
    <w:uiPriority w:val="0"/>
    <w:rPr>
      <w:rFonts w:ascii="宋体" w:eastAsia="宋体"/>
      <w:kern w:val="2"/>
      <w:sz w:val="18"/>
      <w:lang w:val="en-US" w:eastAsia="zh-CN" w:bidi="ar-SA"/>
    </w:rPr>
  </w:style>
  <w:style w:type="character" w:customStyle="1" w:styleId="270">
    <w:name w:val="尾注文本 Char1"/>
    <w:qFormat/>
    <w:uiPriority w:val="0"/>
    <w:rPr>
      <w:kern w:val="2"/>
      <w:sz w:val="28"/>
      <w:szCs w:val="24"/>
    </w:rPr>
  </w:style>
  <w:style w:type="character" w:customStyle="1" w:styleId="271">
    <w:name w:val="font121"/>
    <w:qFormat/>
    <w:uiPriority w:val="0"/>
    <w:rPr>
      <w:rFonts w:ascii="宋体" w:eastAsia="宋体" w:cs="宋体"/>
      <w:color w:val="C00000"/>
      <w:sz w:val="21"/>
      <w:szCs w:val="21"/>
      <w:u w:val="none"/>
    </w:rPr>
  </w:style>
  <w:style w:type="character" w:customStyle="1" w:styleId="272">
    <w:name w:val="正文文本 Char2"/>
    <w:qFormat/>
    <w:uiPriority w:val="0"/>
    <w:rPr>
      <w:rFonts w:ascii="Times New Roman" w:hAnsi="Times New Roman" w:eastAsia="宋体" w:cs="Times New Roman"/>
      <w:szCs w:val="24"/>
    </w:rPr>
  </w:style>
  <w:style w:type="character" w:customStyle="1" w:styleId="273">
    <w:name w:val="Char Char22"/>
    <w:qFormat/>
    <w:uiPriority w:val="0"/>
    <w:rPr>
      <w:rFonts w:ascii="宋体" w:eastAsia="宋体" w:cs="Times New Roman"/>
      <w:b/>
      <w:color w:val="800080"/>
      <w:kern w:val="28"/>
      <w:sz w:val="28"/>
      <w:szCs w:val="24"/>
    </w:rPr>
  </w:style>
  <w:style w:type="character" w:customStyle="1" w:styleId="274">
    <w:name w:val="Char Char7"/>
    <w:qFormat/>
    <w:uiPriority w:val="0"/>
    <w:rPr>
      <w:rFonts w:eastAsia="宋体"/>
      <w:b/>
      <w:bCs/>
      <w:kern w:val="2"/>
      <w:sz w:val="30"/>
      <w:szCs w:val="32"/>
      <w:lang w:val="en-US" w:eastAsia="zh-CN" w:bidi="ar-SA"/>
    </w:rPr>
  </w:style>
  <w:style w:type="character" w:customStyle="1" w:styleId="275">
    <w:name w:val="正文首行缩进 2 Char1"/>
    <w:qFormat/>
    <w:uiPriority w:val="0"/>
    <w:rPr>
      <w:rFonts w:ascii="宋体" w:hAnsi="宋体"/>
      <w:color w:val="0000FF"/>
      <w:kern w:val="2"/>
      <w:sz w:val="28"/>
      <w:szCs w:val="24"/>
    </w:rPr>
  </w:style>
  <w:style w:type="character" w:customStyle="1" w:styleId="276">
    <w:name w:val="纯文本 Char1"/>
    <w:qFormat/>
    <w:uiPriority w:val="0"/>
    <w:rPr>
      <w:rFonts w:ascii="宋体" w:eastAsia="宋体" w:cs="Courier New"/>
      <w:szCs w:val="21"/>
    </w:rPr>
  </w:style>
  <w:style w:type="character" w:customStyle="1" w:styleId="277">
    <w:name w:val="称呼 字符1"/>
    <w:basedOn w:val="63"/>
    <w:qFormat/>
    <w:uiPriority w:val="0"/>
  </w:style>
  <w:style w:type="character" w:customStyle="1" w:styleId="278">
    <w:name w:val="apple-style-span"/>
    <w:qFormat/>
    <w:uiPriority w:val="0"/>
  </w:style>
  <w:style w:type="character" w:customStyle="1" w:styleId="279">
    <w:name w:val="style171"/>
    <w:qFormat/>
    <w:uiPriority w:val="0"/>
    <w:rPr>
      <w:sz w:val="18"/>
      <w:szCs w:val="18"/>
    </w:rPr>
  </w:style>
  <w:style w:type="character" w:customStyle="1" w:styleId="280">
    <w:name w:val="Char Char24"/>
    <w:qFormat/>
    <w:uiPriority w:val="0"/>
    <w:rPr>
      <w:rFonts w:ascii="宋体" w:eastAsia="宋体" w:cs="Times New Roman"/>
      <w:color w:val="800080"/>
      <w:kern w:val="28"/>
      <w:sz w:val="28"/>
      <w:szCs w:val="24"/>
    </w:rPr>
  </w:style>
  <w:style w:type="character" w:customStyle="1" w:styleId="281">
    <w:name w:val="正文文本 2 Char1"/>
    <w:qFormat/>
    <w:uiPriority w:val="0"/>
    <w:rPr>
      <w:kern w:val="2"/>
      <w:sz w:val="28"/>
      <w:szCs w:val="24"/>
    </w:rPr>
  </w:style>
  <w:style w:type="character" w:customStyle="1" w:styleId="282">
    <w:name w:val="Char Char1"/>
    <w:qFormat/>
    <w:uiPriority w:val="0"/>
    <w:rPr>
      <w:kern w:val="2"/>
      <w:sz w:val="18"/>
      <w:szCs w:val="18"/>
    </w:rPr>
  </w:style>
  <w:style w:type="paragraph" w:customStyle="1" w:styleId="283">
    <w:name w:val="正文首行缩进1"/>
    <w:basedOn w:val="1"/>
    <w:qFormat/>
    <w:uiPriority w:val="0"/>
    <w:pPr>
      <w:tabs>
        <w:tab w:val="left" w:pos="560"/>
        <w:tab w:val="left" w:pos="1117"/>
        <w:tab w:val="left" w:pos="3920"/>
        <w:tab w:val="left" w:pos="5600"/>
      </w:tabs>
      <w:spacing w:before="60" w:after="60"/>
      <w:ind w:firstLine="200" w:firstLineChars="200"/>
      <w:textAlignment w:val="baseline"/>
    </w:pPr>
    <w:rPr>
      <w:szCs w:val="24"/>
    </w:rPr>
  </w:style>
  <w:style w:type="character" w:customStyle="1" w:styleId="284">
    <w:name w:val="font61"/>
    <w:qFormat/>
    <w:uiPriority w:val="0"/>
    <w:rPr>
      <w:rFonts w:ascii="宋体" w:eastAsia="宋体" w:cs="宋体"/>
      <w:color w:val="FF0000"/>
      <w:sz w:val="21"/>
      <w:szCs w:val="21"/>
      <w:u w:val="none"/>
    </w:rPr>
  </w:style>
  <w:style w:type="character" w:customStyle="1" w:styleId="285">
    <w:name w:val="font101"/>
    <w:qFormat/>
    <w:uiPriority w:val="0"/>
    <w:rPr>
      <w:rFonts w:ascii="宋体" w:eastAsia="宋体" w:cs="宋体"/>
      <w:color w:val="000000"/>
      <w:sz w:val="21"/>
      <w:szCs w:val="21"/>
      <w:u w:val="none"/>
    </w:rPr>
  </w:style>
  <w:style w:type="character" w:customStyle="1" w:styleId="286">
    <w:name w:val="批注框文本 Char1"/>
    <w:qFormat/>
    <w:uiPriority w:val="0"/>
    <w:rPr>
      <w:kern w:val="2"/>
      <w:sz w:val="18"/>
      <w:szCs w:val="18"/>
    </w:rPr>
  </w:style>
  <w:style w:type="paragraph" w:customStyle="1" w:styleId="287">
    <w:name w:val="表格文字"/>
    <w:basedOn w:val="1"/>
    <w:qFormat/>
    <w:uiPriority w:val="0"/>
    <w:pPr>
      <w:spacing w:line="240" w:lineRule="auto"/>
      <w:jc w:val="center"/>
    </w:pPr>
    <w:rPr>
      <w:i/>
      <w:iCs/>
      <w:color w:val="000000"/>
      <w:sz w:val="18"/>
      <w:szCs w:val="24"/>
    </w:rPr>
  </w:style>
  <w:style w:type="paragraph" w:customStyle="1" w:styleId="288">
    <w:name w:val="图说"/>
    <w:qFormat/>
    <w:uiPriority w:val="0"/>
    <w:pPr>
      <w:spacing w:line="520" w:lineRule="exact"/>
      <w:jc w:val="center"/>
    </w:pPr>
    <w:rPr>
      <w:rFonts w:ascii="黑体" w:hAnsi="Times New Roman" w:eastAsia="黑体" w:cs="Times New Roman"/>
      <w:kern w:val="2"/>
      <w:sz w:val="24"/>
      <w:szCs w:val="24"/>
      <w:lang w:val="en-US" w:eastAsia="zh-CN" w:bidi="ar-SA"/>
    </w:rPr>
  </w:style>
  <w:style w:type="character" w:customStyle="1" w:styleId="289">
    <w:name w:val="font21"/>
    <w:qFormat/>
    <w:uiPriority w:val="0"/>
    <w:rPr>
      <w:rFonts w:ascii="Times New Roman" w:hAnsi="Times New Roman" w:cs="Times New Roman"/>
      <w:color w:val="000000"/>
      <w:sz w:val="21"/>
      <w:szCs w:val="21"/>
      <w:u w:val="none"/>
    </w:rPr>
  </w:style>
  <w:style w:type="character" w:customStyle="1" w:styleId="290">
    <w:name w:val="正文1"/>
    <w:qFormat/>
    <w:uiPriority w:val="0"/>
    <w:rPr>
      <w:rFonts w:eastAsia="仿宋_GB2312"/>
      <w:sz w:val="28"/>
    </w:rPr>
  </w:style>
  <w:style w:type="character" w:customStyle="1" w:styleId="291">
    <w:name w:val="font91"/>
    <w:qFormat/>
    <w:uiPriority w:val="0"/>
    <w:rPr>
      <w:rFonts w:ascii="Times New Roman" w:hAnsi="Times New Roman" w:cs="Times New Roman"/>
      <w:color w:val="FF0000"/>
      <w:sz w:val="21"/>
      <w:szCs w:val="21"/>
      <w:u w:val="none"/>
    </w:rPr>
  </w:style>
  <w:style w:type="character" w:customStyle="1" w:styleId="292">
    <w:name w:val="标题 3 Char Char"/>
    <w:qFormat/>
    <w:uiPriority w:val="0"/>
    <w:rPr>
      <w:rFonts w:eastAsia="宋体"/>
      <w:b/>
      <w:bCs/>
      <w:kern w:val="2"/>
      <w:sz w:val="30"/>
      <w:szCs w:val="32"/>
      <w:lang w:val="en-US" w:eastAsia="zh-CN" w:bidi="ar-SA"/>
    </w:rPr>
  </w:style>
  <w:style w:type="character" w:customStyle="1" w:styleId="293">
    <w:name w:val="1.1.1.1标题 4 Char Char1"/>
    <w:qFormat/>
    <w:uiPriority w:val="0"/>
    <w:rPr>
      <w:rFonts w:ascii="Arial" w:hAnsi="Arial" w:eastAsia="黑体"/>
      <w:b/>
      <w:sz w:val="28"/>
      <w:lang w:val="en-US" w:eastAsia="zh-CN" w:bidi="ar-SA"/>
    </w:rPr>
  </w:style>
  <w:style w:type="character" w:customStyle="1" w:styleId="294">
    <w:name w:val="批注文字 Char2"/>
    <w:qFormat/>
    <w:uiPriority w:val="0"/>
    <w:rPr>
      <w:sz w:val="28"/>
      <w:szCs w:val="24"/>
    </w:rPr>
  </w:style>
  <w:style w:type="character" w:customStyle="1" w:styleId="295">
    <w:name w:val="尾注文本 Char2"/>
    <w:qFormat/>
    <w:uiPriority w:val="0"/>
    <w:rPr>
      <w:kern w:val="2"/>
      <w:sz w:val="21"/>
      <w:szCs w:val="24"/>
    </w:rPr>
  </w:style>
  <w:style w:type="character" w:customStyle="1" w:styleId="296">
    <w:name w:val="正文文本 3 Char2"/>
    <w:qFormat/>
    <w:uiPriority w:val="0"/>
    <w:rPr>
      <w:kern w:val="2"/>
      <w:sz w:val="16"/>
      <w:szCs w:val="16"/>
    </w:rPr>
  </w:style>
  <w:style w:type="character" w:customStyle="1" w:styleId="297">
    <w:name w:val="HTML 预设格式 Char1"/>
    <w:qFormat/>
    <w:uiPriority w:val="0"/>
    <w:rPr>
      <w:rFonts w:ascii="Courier New" w:hAnsi="Courier New" w:cs="Courier New"/>
      <w:kern w:val="2"/>
    </w:rPr>
  </w:style>
  <w:style w:type="character" w:customStyle="1" w:styleId="298">
    <w:name w:val="正文首行缩进 2 Char2"/>
    <w:qFormat/>
    <w:uiPriority w:val="0"/>
    <w:rPr>
      <w:rFonts w:ascii="宋体" w:hAnsi="宋体"/>
      <w:kern w:val="2"/>
      <w:sz w:val="21"/>
      <w:szCs w:val="24"/>
    </w:rPr>
  </w:style>
  <w:style w:type="character" w:customStyle="1" w:styleId="299">
    <w:name w:val="称呼 Char2"/>
    <w:qFormat/>
    <w:uiPriority w:val="0"/>
    <w:rPr>
      <w:kern w:val="2"/>
      <w:sz w:val="21"/>
      <w:szCs w:val="24"/>
    </w:rPr>
  </w:style>
  <w:style w:type="character" w:customStyle="1" w:styleId="300">
    <w:name w:val="批注文字 Char3"/>
    <w:qFormat/>
    <w:uiPriority w:val="0"/>
    <w:rPr>
      <w:rFonts w:ascii="Times New Roman" w:hAnsi="Times New Roman" w:eastAsia="宋体" w:cs="Times New Roman"/>
      <w:sz w:val="28"/>
      <w:szCs w:val="24"/>
    </w:rPr>
  </w:style>
  <w:style w:type="character" w:customStyle="1" w:styleId="301">
    <w:name w:val="标题 Char2"/>
    <w:qFormat/>
    <w:uiPriority w:val="0"/>
    <w:rPr>
      <w:rFonts w:ascii="Calibri Light" w:hAnsi="Calibri Light" w:eastAsia="宋体" w:cs="Times New Roman"/>
      <w:b/>
      <w:bCs/>
      <w:sz w:val="32"/>
      <w:szCs w:val="32"/>
    </w:rPr>
  </w:style>
  <w:style w:type="character" w:customStyle="1" w:styleId="302">
    <w:name w:val="正文首行缩进 Char2"/>
    <w:qFormat/>
    <w:uiPriority w:val="0"/>
    <w:rPr>
      <w:rFonts w:ascii="Times New Roman" w:hAnsi="Times New Roman"/>
      <w:kern w:val="2"/>
      <w:sz w:val="21"/>
      <w:szCs w:val="24"/>
    </w:rPr>
  </w:style>
  <w:style w:type="character" w:customStyle="1" w:styleId="303">
    <w:name w:val="注释标题 Char2"/>
    <w:qFormat/>
    <w:uiPriority w:val="0"/>
    <w:rPr>
      <w:kern w:val="2"/>
      <w:sz w:val="21"/>
      <w:szCs w:val="24"/>
    </w:rPr>
  </w:style>
  <w:style w:type="character" w:customStyle="1" w:styleId="304">
    <w:name w:val="正文文本 2 Char2"/>
    <w:qFormat/>
    <w:uiPriority w:val="0"/>
    <w:rPr>
      <w:kern w:val="2"/>
      <w:sz w:val="21"/>
      <w:szCs w:val="24"/>
    </w:rPr>
  </w:style>
  <w:style w:type="paragraph" w:customStyle="1" w:styleId="305">
    <w:name w:val="深圳4 Char"/>
    <w:basedOn w:val="6"/>
    <w:qFormat/>
    <w:uiPriority w:val="0"/>
    <w:pPr>
      <w:spacing w:before="280" w:after="290" w:line="377" w:lineRule="auto"/>
    </w:pPr>
    <w:rPr>
      <w:rFonts w:ascii="Arial" w:hAnsi="Arial" w:cs="Arial"/>
      <w:bCs w:val="0"/>
      <w:lang w:val="zh-CN"/>
    </w:rPr>
  </w:style>
  <w:style w:type="paragraph" w:customStyle="1" w:styleId="306">
    <w:name w:val="Char1 Char Char Char Char Char Char Char Char Char"/>
    <w:basedOn w:val="1"/>
    <w:qFormat/>
    <w:uiPriority w:val="0"/>
    <w:pPr>
      <w:spacing w:line="240" w:lineRule="auto"/>
      <w:ind w:left="-48"/>
    </w:pPr>
    <w:rPr>
      <w:sz w:val="21"/>
      <w:szCs w:val="24"/>
    </w:rPr>
  </w:style>
  <w:style w:type="paragraph" w:customStyle="1" w:styleId="307">
    <w:name w:val="et13"/>
    <w:basedOn w:val="1"/>
    <w:qFormat/>
    <w:uiPriority w:val="0"/>
    <w:pPr>
      <w:widowControl/>
      <w:spacing w:before="100" w:beforeAutospacing="1" w:after="100" w:afterAutospacing="1" w:line="240" w:lineRule="auto"/>
      <w:jc w:val="left"/>
      <w:textAlignment w:val="bottom"/>
    </w:pPr>
    <w:rPr>
      <w:color w:val="000000"/>
      <w:kern w:val="0"/>
      <w:sz w:val="24"/>
      <w:szCs w:val="24"/>
    </w:rPr>
  </w:style>
  <w:style w:type="paragraph" w:customStyle="1" w:styleId="308">
    <w:name w:val="居中表格"/>
    <w:basedOn w:val="1"/>
    <w:qFormat/>
    <w:uiPriority w:val="0"/>
    <w:pPr>
      <w:autoSpaceDE w:val="0"/>
      <w:autoSpaceDN w:val="0"/>
      <w:adjustRightInd w:val="0"/>
      <w:snapToGrid w:val="0"/>
      <w:spacing w:before="20" w:after="20" w:line="240" w:lineRule="auto"/>
      <w:jc w:val="center"/>
    </w:pPr>
    <w:rPr>
      <w:rFonts w:ascii="仿宋_GB2312" w:eastAsia="仿宋_GB2312"/>
      <w:kern w:val="0"/>
      <w:sz w:val="24"/>
      <w:szCs w:val="20"/>
    </w:rPr>
  </w:style>
  <w:style w:type="paragraph" w:customStyle="1" w:styleId="309">
    <w:name w:val="样式 样式 正文缩进 + 左侧:  1 字符 右侧:  1 字符 + 左侧:  1 字符 右侧:  1 字符"/>
    <w:basedOn w:val="1"/>
    <w:qFormat/>
    <w:uiPriority w:val="0"/>
    <w:pPr>
      <w:autoSpaceDE w:val="0"/>
      <w:autoSpaceDN w:val="0"/>
      <w:adjustRightInd w:val="0"/>
      <w:spacing w:line="560" w:lineRule="exact"/>
      <w:ind w:firstLine="223" w:firstLineChars="223"/>
      <w:textAlignment w:val="top"/>
    </w:pPr>
    <w:rPr>
      <w:rFonts w:ascii="宋体" w:cs="宋体"/>
      <w:color w:val="000000"/>
      <w:szCs w:val="20"/>
    </w:rPr>
  </w:style>
  <w:style w:type="paragraph" w:customStyle="1" w:styleId="310">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eastAsia="Times New Roman"/>
      <w:kern w:val="0"/>
      <w:sz w:val="40"/>
      <w:szCs w:val="40"/>
    </w:rPr>
  </w:style>
  <w:style w:type="paragraph" w:customStyle="1" w:styleId="311">
    <w:name w:val="xl3024090"/>
    <w:basedOn w:val="1"/>
    <w:autoRedefine/>
    <w:qFormat/>
    <w:uiPriority w:val="0"/>
    <w:pPr>
      <w:widowControl/>
      <w:pBdr>
        <w:top w:val="single" w:color="auto" w:sz="8" w:space="1"/>
        <w:bottom w:val="single" w:color="auto" w:sz="8" w:space="0"/>
        <w:right w:val="single" w:color="auto" w:sz="8" w:space="1"/>
      </w:pBdr>
      <w:spacing w:before="100" w:beforeAutospacing="1" w:after="100" w:afterAutospacing="1" w:line="240" w:lineRule="auto"/>
      <w:jc w:val="center"/>
      <w:textAlignment w:val="center"/>
    </w:pPr>
    <w:rPr>
      <w:rFonts w:ascii="宋体" w:cs="宋体"/>
      <w:kern w:val="0"/>
      <w:sz w:val="21"/>
      <w:szCs w:val="21"/>
    </w:rPr>
  </w:style>
  <w:style w:type="paragraph" w:customStyle="1" w:styleId="312">
    <w:name w:val="1"/>
    <w:basedOn w:val="1"/>
    <w:next w:val="37"/>
    <w:qFormat/>
    <w:uiPriority w:val="0"/>
    <w:pPr>
      <w:spacing w:line="240" w:lineRule="auto"/>
      <w:ind w:firstLine="200" w:firstLineChars="200"/>
    </w:pPr>
    <w:rPr>
      <w:rFonts w:eastAsia="仿宋_GB2312"/>
      <w:szCs w:val="24"/>
    </w:rPr>
  </w:style>
  <w:style w:type="paragraph" w:customStyle="1" w:styleId="313">
    <w:name w:val="样式3"/>
    <w:basedOn w:val="6"/>
    <w:autoRedefine/>
    <w:qFormat/>
    <w:uiPriority w:val="0"/>
    <w:pPr>
      <w:spacing w:before="280" w:after="290" w:line="440" w:lineRule="exact"/>
    </w:pPr>
    <w:rPr>
      <w:rFonts w:ascii="幼圆" w:eastAsia="幼圆" w:cs="幼圆"/>
      <w:b/>
      <w:lang w:val="zh-CN"/>
    </w:rPr>
  </w:style>
  <w:style w:type="paragraph" w:customStyle="1" w:styleId="314">
    <w:name w:val="表文"/>
    <w:basedOn w:val="1"/>
    <w:qFormat/>
    <w:uiPriority w:val="0"/>
    <w:pPr>
      <w:tabs>
        <w:tab w:val="left" w:pos="1260"/>
      </w:tabs>
      <w:autoSpaceDE w:val="0"/>
      <w:autoSpaceDN w:val="0"/>
      <w:adjustRightInd w:val="0"/>
      <w:spacing w:line="0" w:lineRule="atLeast"/>
      <w:jc w:val="center"/>
      <w:textAlignment w:val="top"/>
    </w:pPr>
    <w:rPr>
      <w:rFonts w:ascii="宋体"/>
      <w:color w:val="000000"/>
      <w:spacing w:val="-10"/>
      <w:kern w:val="0"/>
      <w:sz w:val="21"/>
      <w:szCs w:val="20"/>
    </w:rPr>
  </w:style>
  <w:style w:type="paragraph" w:customStyle="1" w:styleId="315">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olor w:val="000000"/>
      <w:kern w:val="0"/>
      <w:sz w:val="20"/>
      <w:szCs w:val="20"/>
    </w:rPr>
  </w:style>
  <w:style w:type="paragraph" w:customStyle="1" w:styleId="316">
    <w:name w:val="et10"/>
    <w:basedOn w:val="1"/>
    <w:qFormat/>
    <w:uiPriority w:val="0"/>
    <w:pPr>
      <w:widowControl/>
      <w:spacing w:before="100" w:beforeAutospacing="1" w:after="100" w:afterAutospacing="1" w:line="240" w:lineRule="auto"/>
      <w:jc w:val="left"/>
      <w:textAlignment w:val="bottom"/>
    </w:pPr>
    <w:rPr>
      <w:color w:val="000000"/>
      <w:kern w:val="0"/>
      <w:sz w:val="24"/>
      <w:szCs w:val="24"/>
    </w:rPr>
  </w:style>
  <w:style w:type="paragraph" w:customStyle="1" w:styleId="317">
    <w:name w:val="深圳2"/>
    <w:basedOn w:val="4"/>
    <w:autoRedefine/>
    <w:qFormat/>
    <w:uiPriority w:val="0"/>
    <w:pPr>
      <w:spacing w:before="260" w:after="260"/>
    </w:pPr>
    <w:rPr>
      <w:rFonts w:ascii="Times New Roman" w:hAnsi="Times New Roman" w:cs="黑体"/>
      <w:b/>
      <w:sz w:val="32"/>
      <w:lang w:val="zh-CN"/>
    </w:rPr>
  </w:style>
  <w:style w:type="paragraph" w:customStyle="1" w:styleId="318">
    <w:name w:val="font824090"/>
    <w:basedOn w:val="1"/>
    <w:autoRedefine/>
    <w:qFormat/>
    <w:uiPriority w:val="0"/>
    <w:pPr>
      <w:widowControl/>
      <w:spacing w:before="100" w:beforeAutospacing="1" w:after="100" w:afterAutospacing="1" w:line="240" w:lineRule="auto"/>
      <w:jc w:val="left"/>
    </w:pPr>
    <w:rPr>
      <w:rFonts w:ascii="宋体" w:cs="宋体"/>
      <w:kern w:val="0"/>
      <w:sz w:val="21"/>
      <w:szCs w:val="21"/>
    </w:rPr>
  </w:style>
  <w:style w:type="paragraph" w:customStyle="1" w:styleId="319">
    <w:name w:val="xl186"/>
    <w:basedOn w:val="1"/>
    <w:qFormat/>
    <w:uiPriority w:val="0"/>
    <w:pPr>
      <w:widowControl/>
      <w:spacing w:before="100" w:beforeAutospacing="1" w:after="100" w:afterAutospacing="1" w:line="240" w:lineRule="auto"/>
      <w:jc w:val="center"/>
      <w:textAlignment w:val="center"/>
    </w:pPr>
    <w:rPr>
      <w:rFonts w:ascii="楷体_GB2312" w:eastAsia="楷体_GB2312"/>
      <w:b/>
      <w:bCs/>
      <w:kern w:val="0"/>
      <w:sz w:val="40"/>
      <w:szCs w:val="40"/>
    </w:rPr>
  </w:style>
  <w:style w:type="paragraph" w:customStyle="1" w:styleId="320">
    <w:name w:val="xl1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b/>
      <w:bCs/>
      <w:kern w:val="0"/>
      <w:sz w:val="24"/>
      <w:szCs w:val="24"/>
    </w:rPr>
  </w:style>
  <w:style w:type="paragraph" w:customStyle="1" w:styleId="321">
    <w:name w:val="默认段落字体 Para Char Char Char Char Char Char Char"/>
    <w:basedOn w:val="1"/>
    <w:qFormat/>
    <w:uiPriority w:val="0"/>
    <w:pPr>
      <w:adjustRightInd w:val="0"/>
      <w:spacing w:line="360" w:lineRule="auto"/>
      <w:textAlignment w:val="baseline"/>
    </w:pPr>
    <w:rPr>
      <w:kern w:val="0"/>
      <w:sz w:val="24"/>
      <w:szCs w:val="20"/>
    </w:rPr>
  </w:style>
  <w:style w:type="paragraph" w:customStyle="1" w:styleId="322">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olor w:val="000000"/>
      <w:kern w:val="0"/>
      <w:sz w:val="20"/>
      <w:szCs w:val="20"/>
    </w:rPr>
  </w:style>
  <w:style w:type="paragraph" w:customStyle="1" w:styleId="323">
    <w:name w:val="xl1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20"/>
      <w:szCs w:val="20"/>
    </w:rPr>
  </w:style>
  <w:style w:type="paragraph" w:customStyle="1" w:styleId="324">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cs="宋体"/>
      <w:kern w:val="0"/>
      <w:sz w:val="20"/>
      <w:szCs w:val="20"/>
    </w:rPr>
  </w:style>
  <w:style w:type="paragraph" w:customStyle="1" w:styleId="325">
    <w:name w:val="xl1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Arial Unicode MS" w:hAnsi="Arial Unicode MS"/>
      <w:kern w:val="0"/>
      <w:sz w:val="20"/>
      <w:szCs w:val="20"/>
    </w:rPr>
  </w:style>
  <w:style w:type="paragraph" w:customStyle="1" w:styleId="32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eastAsia="Arial Unicode MS" w:cs="Arial Unicode MS"/>
      <w:kern w:val="0"/>
      <w:sz w:val="24"/>
      <w:szCs w:val="24"/>
    </w:rPr>
  </w:style>
  <w:style w:type="paragraph" w:customStyle="1" w:styleId="327">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kern w:val="0"/>
      <w:sz w:val="20"/>
      <w:szCs w:val="20"/>
    </w:rPr>
  </w:style>
  <w:style w:type="paragraph" w:customStyle="1" w:styleId="328">
    <w:name w:val="xl2624090"/>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line="240" w:lineRule="auto"/>
      <w:jc w:val="center"/>
      <w:textAlignment w:val="center"/>
    </w:pPr>
    <w:rPr>
      <w:rFonts w:ascii="宋体" w:cs="宋体"/>
      <w:kern w:val="0"/>
      <w:sz w:val="24"/>
      <w:szCs w:val="24"/>
    </w:rPr>
  </w:style>
  <w:style w:type="paragraph" w:customStyle="1" w:styleId="3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cs="宋体"/>
      <w:kern w:val="0"/>
      <w:sz w:val="20"/>
      <w:szCs w:val="20"/>
    </w:rPr>
  </w:style>
  <w:style w:type="paragraph" w:customStyle="1" w:styleId="330">
    <w:name w:val="xl59"/>
    <w:basedOn w:val="1"/>
    <w:qFormat/>
    <w:uiPriority w:val="0"/>
    <w:pPr>
      <w:widowControl/>
      <w:spacing w:before="100" w:beforeAutospacing="1" w:after="100" w:afterAutospacing="1" w:line="240" w:lineRule="auto"/>
      <w:jc w:val="left"/>
    </w:pPr>
    <w:rPr>
      <w:rFonts w:ascii="Arial Unicode MS" w:hAnsi="Arial Unicode MS" w:eastAsia="Times New Roman" w:cs="Arial Unicode MS"/>
      <w:kern w:val="0"/>
      <w:sz w:val="40"/>
      <w:szCs w:val="40"/>
    </w:rPr>
  </w:style>
  <w:style w:type="paragraph" w:customStyle="1" w:styleId="331">
    <w:name w:val="xl1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Arial Unicode MS" w:hAnsi="Arial Unicode MS"/>
      <w:kern w:val="0"/>
      <w:sz w:val="20"/>
      <w:szCs w:val="20"/>
    </w:rPr>
  </w:style>
  <w:style w:type="paragraph" w:customStyle="1" w:styleId="332">
    <w:name w:val="xl14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kern w:val="0"/>
      <w:sz w:val="20"/>
      <w:szCs w:val="20"/>
    </w:rPr>
  </w:style>
  <w:style w:type="paragraph" w:customStyle="1" w:styleId="333">
    <w:name w:val="xl15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kern w:val="0"/>
      <w:sz w:val="20"/>
      <w:szCs w:val="20"/>
    </w:rPr>
  </w:style>
  <w:style w:type="paragraph" w:customStyle="1" w:styleId="334">
    <w:name w:val="样式 紧缩量  0.6 磅 行距: 固定值 15 磅"/>
    <w:basedOn w:val="1"/>
    <w:autoRedefine/>
    <w:qFormat/>
    <w:uiPriority w:val="0"/>
    <w:pPr>
      <w:spacing w:before="100" w:beforeAutospacing="1" w:line="300" w:lineRule="exact"/>
    </w:pPr>
    <w:rPr>
      <w:rFonts w:cs="宋体"/>
      <w:spacing w:val="-12"/>
      <w:szCs w:val="20"/>
    </w:rPr>
  </w:style>
  <w:style w:type="paragraph" w:customStyle="1" w:styleId="335">
    <w:name w:val="正文文本缩进 33"/>
    <w:basedOn w:val="1"/>
    <w:qFormat/>
    <w:uiPriority w:val="0"/>
    <w:pPr>
      <w:autoSpaceDE w:val="0"/>
      <w:autoSpaceDN w:val="0"/>
      <w:adjustRightInd w:val="0"/>
      <w:spacing w:line="240" w:lineRule="auto"/>
      <w:ind w:left="454"/>
      <w:textAlignment w:val="baseline"/>
    </w:pPr>
    <w:rPr>
      <w:sz w:val="24"/>
      <w:szCs w:val="20"/>
    </w:rPr>
  </w:style>
  <w:style w:type="paragraph" w:customStyle="1" w:styleId="336">
    <w:name w:val="标书正文"/>
    <w:basedOn w:val="1"/>
    <w:autoRedefine/>
    <w:qFormat/>
    <w:uiPriority w:val="0"/>
    <w:pPr>
      <w:spacing w:line="360" w:lineRule="auto"/>
      <w:ind w:firstLine="200" w:firstLineChars="200"/>
      <w:jc w:val="left"/>
    </w:pPr>
    <w:rPr>
      <w:rFonts w:ascii="Calibri" w:hAnsi="Calibri"/>
      <w:spacing w:val="1"/>
      <w:sz w:val="24"/>
      <w:szCs w:val="24"/>
    </w:rPr>
  </w:style>
  <w:style w:type="paragraph" w:customStyle="1" w:styleId="337">
    <w:name w:val="xl56"/>
    <w:basedOn w:val="1"/>
    <w:qFormat/>
    <w:uiPriority w:val="0"/>
    <w:pPr>
      <w:widowControl/>
      <w:spacing w:before="100" w:beforeAutospacing="1" w:after="100" w:afterAutospacing="1" w:line="240" w:lineRule="auto"/>
      <w:jc w:val="left"/>
    </w:pPr>
    <w:rPr>
      <w:rFonts w:ascii="楷体" w:eastAsia="楷体" w:cs="楷体"/>
      <w:kern w:val="0"/>
      <w:sz w:val="36"/>
      <w:szCs w:val="36"/>
    </w:rPr>
  </w:style>
  <w:style w:type="paragraph" w:customStyle="1" w:styleId="338">
    <w:name w:val="地址"/>
    <w:basedOn w:val="1"/>
    <w:qFormat/>
    <w:uiPriority w:val="0"/>
    <w:pPr>
      <w:adjustRightInd w:val="0"/>
      <w:snapToGrid w:val="0"/>
      <w:spacing w:line="313" w:lineRule="atLeast"/>
      <w:jc w:val="center"/>
    </w:pPr>
    <w:rPr>
      <w:sz w:val="21"/>
      <w:szCs w:val="20"/>
    </w:rPr>
  </w:style>
  <w:style w:type="paragraph" w:customStyle="1" w:styleId="339">
    <w:name w:val="et18"/>
    <w:basedOn w:val="1"/>
    <w:qFormat/>
    <w:uiPriority w:val="0"/>
    <w:pPr>
      <w:widowControl/>
      <w:spacing w:before="100" w:beforeAutospacing="1" w:after="100" w:afterAutospacing="1" w:line="240" w:lineRule="auto"/>
      <w:jc w:val="left"/>
      <w:textAlignment w:val="bottom"/>
    </w:pPr>
    <w:rPr>
      <w:rFonts w:ascii="宋体" w:cs="宋体"/>
      <w:color w:val="000000"/>
      <w:kern w:val="0"/>
      <w:sz w:val="24"/>
      <w:szCs w:val="24"/>
    </w:rPr>
  </w:style>
  <w:style w:type="paragraph" w:customStyle="1" w:styleId="340">
    <w:name w:val="xl168"/>
    <w:basedOn w:val="1"/>
    <w:autoRedefine/>
    <w:qFormat/>
    <w:uiPriority w:val="0"/>
    <w:pPr>
      <w:widowControl/>
      <w:pBdr>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kern w:val="0"/>
      <w:sz w:val="20"/>
      <w:szCs w:val="20"/>
    </w:rPr>
  </w:style>
  <w:style w:type="paragraph" w:customStyle="1" w:styleId="341">
    <w:name w:val="Char Char Char Char Char Char Char Char Char Char Char Char Char"/>
    <w:basedOn w:val="1"/>
    <w:qFormat/>
    <w:uiPriority w:val="0"/>
    <w:pPr>
      <w:spacing w:line="240" w:lineRule="auto"/>
    </w:pPr>
    <w:rPr>
      <w:rFonts w:ascii="Tahoma" w:hAnsi="Tahoma"/>
      <w:sz w:val="24"/>
      <w:szCs w:val="20"/>
    </w:rPr>
  </w:style>
  <w:style w:type="paragraph" w:customStyle="1" w:styleId="342">
    <w:name w:val="样式 正文缩进正文（首行缩进两字）正文（首行缩进两字） Char Char Char Char Char Char + 左侧..."/>
    <w:basedOn w:val="17"/>
    <w:qFormat/>
    <w:uiPriority w:val="0"/>
    <w:pPr>
      <w:autoSpaceDE w:val="0"/>
      <w:autoSpaceDN w:val="0"/>
      <w:adjustRightInd w:val="0"/>
      <w:ind w:left="100" w:right="100"/>
      <w:textAlignment w:val="top"/>
    </w:pPr>
    <w:rPr>
      <w:rFonts w:ascii="宋体"/>
      <w:spacing w:val="-12"/>
      <w:szCs w:val="22"/>
      <w:lang w:val="zh-CN"/>
    </w:rPr>
  </w:style>
  <w:style w:type="paragraph" w:customStyle="1" w:styleId="343">
    <w:name w:val="et7"/>
    <w:basedOn w:val="1"/>
    <w:autoRedefine/>
    <w:qFormat/>
    <w:uiPriority w:val="0"/>
    <w:pPr>
      <w:widowControl/>
      <w:spacing w:before="100" w:beforeAutospacing="1" w:after="100" w:afterAutospacing="1" w:line="240" w:lineRule="auto"/>
      <w:jc w:val="left"/>
      <w:textAlignment w:val="bottom"/>
    </w:pPr>
    <w:rPr>
      <w:rFonts w:ascii="宋体" w:cs="宋体"/>
      <w:color w:val="000000"/>
      <w:kern w:val="0"/>
      <w:sz w:val="24"/>
      <w:szCs w:val="24"/>
    </w:rPr>
  </w:style>
  <w:style w:type="paragraph" w:customStyle="1" w:styleId="34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eastAsia="Arial Unicode MS" w:cs="Arial Unicode MS"/>
      <w:color w:val="000000"/>
      <w:kern w:val="0"/>
      <w:sz w:val="24"/>
      <w:szCs w:val="24"/>
    </w:rPr>
  </w:style>
  <w:style w:type="paragraph" w:customStyle="1" w:styleId="345">
    <w:name w:val="xl15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line="240" w:lineRule="auto"/>
      <w:jc w:val="center"/>
      <w:textAlignment w:val="center"/>
    </w:pPr>
    <w:rPr>
      <w:rFonts w:ascii="Arial Unicode MS" w:hAnsi="Arial Unicode MS"/>
      <w:kern w:val="0"/>
      <w:sz w:val="20"/>
      <w:szCs w:val="20"/>
    </w:rPr>
  </w:style>
  <w:style w:type="paragraph" w:customStyle="1" w:styleId="346">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rPr>
  </w:style>
  <w:style w:type="paragraph" w:customStyle="1" w:styleId="34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olor w:val="000000"/>
      <w:kern w:val="0"/>
      <w:sz w:val="20"/>
      <w:szCs w:val="20"/>
    </w:rPr>
  </w:style>
  <w:style w:type="paragraph" w:customStyle="1" w:styleId="348">
    <w:name w:val="正文文本缩进 32"/>
    <w:basedOn w:val="1"/>
    <w:qFormat/>
    <w:uiPriority w:val="0"/>
    <w:pPr>
      <w:autoSpaceDE w:val="0"/>
      <w:autoSpaceDN w:val="0"/>
      <w:adjustRightInd w:val="0"/>
      <w:spacing w:line="240" w:lineRule="auto"/>
      <w:ind w:left="454"/>
      <w:textAlignment w:val="baseline"/>
    </w:pPr>
    <w:rPr>
      <w:sz w:val="24"/>
      <w:szCs w:val="20"/>
    </w:rPr>
  </w:style>
  <w:style w:type="paragraph" w:customStyle="1" w:styleId="349">
    <w:name w:val="xl195"/>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Arial Unicode MS" w:hAnsi="Arial Unicode MS"/>
      <w:b/>
      <w:bCs/>
      <w:kern w:val="0"/>
      <w:sz w:val="24"/>
      <w:szCs w:val="24"/>
    </w:rPr>
  </w:style>
  <w:style w:type="paragraph" w:customStyle="1" w:styleId="350">
    <w:name w:val="font0"/>
    <w:basedOn w:val="1"/>
    <w:qFormat/>
    <w:uiPriority w:val="0"/>
    <w:pPr>
      <w:widowControl/>
      <w:spacing w:before="100" w:beforeAutospacing="1" w:after="100" w:afterAutospacing="1" w:line="240" w:lineRule="auto"/>
      <w:jc w:val="left"/>
    </w:pPr>
    <w:rPr>
      <w:rFonts w:ascii="宋体" w:cs="Arial Unicode MS"/>
      <w:kern w:val="0"/>
      <w:sz w:val="24"/>
      <w:szCs w:val="24"/>
    </w:rPr>
  </w:style>
  <w:style w:type="paragraph" w:customStyle="1" w:styleId="351">
    <w:name w:val="xl29"/>
    <w:basedOn w:val="1"/>
    <w:qFormat/>
    <w:uiPriority w:val="0"/>
    <w:pPr>
      <w:widowControl/>
      <w:spacing w:before="100" w:beforeAutospacing="1" w:after="100" w:afterAutospacing="1" w:line="240" w:lineRule="auto"/>
      <w:jc w:val="left"/>
    </w:pPr>
    <w:rPr>
      <w:rFonts w:ascii="宋体" w:cs="宋体"/>
      <w:kern w:val="0"/>
      <w:sz w:val="20"/>
      <w:szCs w:val="20"/>
    </w:rPr>
  </w:style>
  <w:style w:type="paragraph" w:customStyle="1" w:styleId="352">
    <w:name w:val="xl174"/>
    <w:basedOn w:val="1"/>
    <w:qFormat/>
    <w:uiPriority w:val="0"/>
    <w:pPr>
      <w:widowControl/>
      <w:pBdr>
        <w:bottom w:val="single" w:color="auto" w:sz="4" w:space="0"/>
        <w:right w:val="single" w:color="auto" w:sz="4" w:space="0"/>
      </w:pBdr>
      <w:spacing w:before="100" w:beforeAutospacing="1" w:after="100" w:afterAutospacing="1" w:line="240" w:lineRule="auto"/>
      <w:jc w:val="left"/>
    </w:pPr>
    <w:rPr>
      <w:rFonts w:ascii="Arial Unicode MS" w:hAnsi="Arial Unicode MS"/>
      <w:kern w:val="0"/>
      <w:sz w:val="20"/>
      <w:szCs w:val="20"/>
    </w:rPr>
  </w:style>
  <w:style w:type="paragraph" w:customStyle="1" w:styleId="353">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w:hAnsi="Arial" w:eastAsia="Times New Roman" w:cs="Arial"/>
      <w:kern w:val="0"/>
    </w:rPr>
  </w:style>
  <w:style w:type="paragraph" w:customStyle="1" w:styleId="354">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b/>
      <w:bCs/>
      <w:kern w:val="0"/>
      <w:sz w:val="20"/>
      <w:szCs w:val="20"/>
    </w:rPr>
  </w:style>
  <w:style w:type="paragraph" w:customStyle="1" w:styleId="355">
    <w:name w:val="xl18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textAlignment w:val="center"/>
    </w:pPr>
    <w:rPr>
      <w:rFonts w:ascii="Arial Unicode MS" w:hAnsi="Arial Unicode MS"/>
      <w:b/>
      <w:bCs/>
      <w:kern w:val="0"/>
      <w:sz w:val="24"/>
      <w:szCs w:val="24"/>
    </w:rPr>
  </w:style>
  <w:style w:type="paragraph" w:customStyle="1" w:styleId="356">
    <w:name w:val="xl44"/>
    <w:basedOn w:val="1"/>
    <w:qFormat/>
    <w:uiPriority w:val="0"/>
    <w:pPr>
      <w:widowControl/>
      <w:pBdr>
        <w:left w:val="single" w:color="auto" w:sz="4" w:space="0"/>
        <w:bottom w:val="single" w:color="auto" w:sz="4" w:space="0"/>
        <w:right w:val="single" w:color="auto" w:sz="4" w:space="0"/>
      </w:pBdr>
      <w:spacing w:before="100" w:after="100" w:line="240" w:lineRule="auto"/>
      <w:jc w:val="center"/>
    </w:pPr>
    <w:rPr>
      <w:rFonts w:ascii="宋体"/>
      <w:kern w:val="0"/>
      <w:sz w:val="24"/>
      <w:szCs w:val="20"/>
    </w:rPr>
  </w:style>
  <w:style w:type="paragraph" w:customStyle="1" w:styleId="357">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b/>
      <w:bCs/>
      <w:kern w:val="0"/>
      <w:sz w:val="20"/>
      <w:szCs w:val="20"/>
    </w:rPr>
  </w:style>
  <w:style w:type="paragraph" w:customStyle="1" w:styleId="358">
    <w:name w:val="xl2724090"/>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line="240" w:lineRule="auto"/>
      <w:jc w:val="center"/>
      <w:textAlignment w:val="center"/>
    </w:pPr>
    <w:rPr>
      <w:rFonts w:ascii="宋体" w:cs="宋体"/>
      <w:kern w:val="0"/>
      <w:sz w:val="21"/>
      <w:szCs w:val="21"/>
    </w:rPr>
  </w:style>
  <w:style w:type="paragraph" w:customStyle="1" w:styleId="359">
    <w:name w:val="项目标题"/>
    <w:basedOn w:val="1"/>
    <w:next w:val="1"/>
    <w:autoRedefine/>
    <w:qFormat/>
    <w:uiPriority w:val="0"/>
    <w:pPr>
      <w:autoSpaceDE w:val="0"/>
      <w:autoSpaceDN w:val="0"/>
      <w:adjustRightInd w:val="0"/>
      <w:spacing w:line="0" w:lineRule="atLeast"/>
      <w:jc w:val="center"/>
      <w:textAlignment w:val="top"/>
    </w:pPr>
    <w:rPr>
      <w:rFonts w:ascii="微软简标宋" w:eastAsia="微软简标宋"/>
      <w:b/>
      <w:color w:val="000000"/>
      <w:szCs w:val="20"/>
    </w:rPr>
  </w:style>
  <w:style w:type="paragraph" w:customStyle="1" w:styleId="360">
    <w:name w:val="et16"/>
    <w:basedOn w:val="1"/>
    <w:qFormat/>
    <w:uiPriority w:val="0"/>
    <w:pPr>
      <w:widowControl/>
      <w:spacing w:before="100" w:beforeAutospacing="1" w:after="100" w:afterAutospacing="1" w:line="240" w:lineRule="auto"/>
      <w:jc w:val="left"/>
      <w:textAlignment w:val="bottom"/>
    </w:pPr>
    <w:rPr>
      <w:color w:val="000000"/>
      <w:kern w:val="0"/>
      <w:sz w:val="24"/>
      <w:szCs w:val="24"/>
    </w:rPr>
  </w:style>
  <w:style w:type="paragraph" w:customStyle="1" w:styleId="361">
    <w:name w:val="et5"/>
    <w:basedOn w:val="1"/>
    <w:qFormat/>
    <w:uiPriority w:val="0"/>
    <w:pPr>
      <w:widowControl/>
      <w:spacing w:before="100" w:beforeAutospacing="1" w:after="100" w:afterAutospacing="1" w:line="240" w:lineRule="auto"/>
      <w:jc w:val="left"/>
      <w:textAlignment w:val="bottom"/>
    </w:pPr>
    <w:rPr>
      <w:rFonts w:ascii="宋体" w:cs="宋体"/>
      <w:color w:val="000000"/>
      <w:kern w:val="0"/>
      <w:sz w:val="24"/>
      <w:szCs w:val="24"/>
    </w:rPr>
  </w:style>
  <w:style w:type="paragraph" w:customStyle="1" w:styleId="362">
    <w:name w:val="xl119"/>
    <w:basedOn w:val="1"/>
    <w:qFormat/>
    <w:uiPriority w:val="0"/>
    <w:pPr>
      <w:widowControl/>
      <w:pBdr>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olor w:val="000000"/>
      <w:kern w:val="0"/>
      <w:sz w:val="20"/>
      <w:szCs w:val="20"/>
    </w:rPr>
  </w:style>
  <w:style w:type="paragraph" w:customStyle="1" w:styleId="363">
    <w:name w:val="et8"/>
    <w:basedOn w:val="1"/>
    <w:qFormat/>
    <w:uiPriority w:val="0"/>
    <w:pPr>
      <w:widowControl/>
      <w:spacing w:before="100" w:beforeAutospacing="1" w:after="100" w:afterAutospacing="1" w:line="240" w:lineRule="auto"/>
      <w:jc w:val="left"/>
      <w:textAlignment w:val="bottom"/>
    </w:pPr>
    <w:rPr>
      <w:rFonts w:ascii="宋体" w:cs="宋体"/>
      <w:color w:val="000000"/>
      <w:kern w:val="0"/>
      <w:sz w:val="24"/>
      <w:szCs w:val="24"/>
    </w:rPr>
  </w:style>
  <w:style w:type="paragraph" w:customStyle="1" w:styleId="364">
    <w:name w:val="Char1 Char Char Char Char Char Char"/>
    <w:basedOn w:val="1"/>
    <w:qFormat/>
    <w:uiPriority w:val="0"/>
    <w:pPr>
      <w:spacing w:line="240" w:lineRule="auto"/>
      <w:ind w:left="-48"/>
    </w:pPr>
    <w:rPr>
      <w:sz w:val="21"/>
      <w:szCs w:val="24"/>
    </w:rPr>
  </w:style>
  <w:style w:type="paragraph" w:customStyle="1" w:styleId="365">
    <w:name w:val="xl2824090"/>
    <w:basedOn w:val="1"/>
    <w:qFormat/>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line="240" w:lineRule="auto"/>
      <w:jc w:val="center"/>
      <w:textAlignment w:val="center"/>
    </w:pPr>
    <w:rPr>
      <w:rFonts w:ascii="宋体" w:cs="宋体"/>
      <w:kern w:val="0"/>
      <w:sz w:val="22"/>
      <w:szCs w:val="22"/>
    </w:rPr>
  </w:style>
  <w:style w:type="paragraph" w:customStyle="1" w:styleId="366">
    <w:name w:val="xl17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textAlignment w:val="center"/>
    </w:pPr>
    <w:rPr>
      <w:rFonts w:ascii="Arial Unicode MS" w:hAnsi="Arial Unicode MS"/>
      <w:color w:val="000000"/>
      <w:kern w:val="0"/>
      <w:sz w:val="20"/>
      <w:szCs w:val="20"/>
    </w:rPr>
  </w:style>
  <w:style w:type="paragraph" w:customStyle="1" w:styleId="367">
    <w:name w:val="font924090"/>
    <w:basedOn w:val="1"/>
    <w:qFormat/>
    <w:uiPriority w:val="0"/>
    <w:pPr>
      <w:widowControl/>
      <w:spacing w:before="100" w:beforeAutospacing="1" w:after="100" w:afterAutospacing="1" w:line="240" w:lineRule="auto"/>
      <w:jc w:val="left"/>
    </w:pPr>
    <w:rPr>
      <w:kern w:val="0"/>
      <w:sz w:val="21"/>
      <w:szCs w:val="21"/>
    </w:rPr>
  </w:style>
  <w:style w:type="paragraph" w:customStyle="1" w:styleId="368">
    <w:name w:val="xl13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kern w:val="0"/>
      <w:sz w:val="20"/>
      <w:szCs w:val="20"/>
    </w:rPr>
  </w:style>
  <w:style w:type="paragraph" w:customStyle="1" w:styleId="369">
    <w:name w:val="et23"/>
    <w:basedOn w:val="1"/>
    <w:qFormat/>
    <w:uiPriority w:val="0"/>
    <w:pPr>
      <w:widowControl/>
      <w:spacing w:before="100" w:beforeAutospacing="1" w:after="100" w:afterAutospacing="1" w:line="240" w:lineRule="auto"/>
      <w:jc w:val="left"/>
      <w:textAlignment w:val="bottom"/>
    </w:pPr>
    <w:rPr>
      <w:rFonts w:ascii="宋体" w:cs="宋体"/>
      <w:color w:val="000000"/>
      <w:kern w:val="0"/>
      <w:sz w:val="24"/>
      <w:szCs w:val="24"/>
    </w:rPr>
  </w:style>
  <w:style w:type="paragraph" w:customStyle="1" w:styleId="370">
    <w:name w:val="xl14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Arial Unicode MS" w:hAnsi="Arial Unicode MS"/>
      <w:kern w:val="0"/>
      <w:sz w:val="20"/>
      <w:szCs w:val="20"/>
    </w:rPr>
  </w:style>
  <w:style w:type="paragraph" w:customStyle="1" w:styleId="37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olor w:val="000000"/>
      <w:kern w:val="0"/>
      <w:sz w:val="20"/>
      <w:szCs w:val="20"/>
    </w:rPr>
  </w:style>
  <w:style w:type="paragraph" w:customStyle="1" w:styleId="372">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color w:val="000000"/>
      <w:kern w:val="0"/>
      <w:sz w:val="20"/>
      <w:szCs w:val="20"/>
    </w:rPr>
  </w:style>
  <w:style w:type="paragraph" w:customStyle="1" w:styleId="373">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olor w:val="000000"/>
      <w:kern w:val="0"/>
      <w:sz w:val="20"/>
      <w:szCs w:val="20"/>
    </w:rPr>
  </w:style>
  <w:style w:type="paragraph" w:customStyle="1" w:styleId="374">
    <w:name w:val="et9"/>
    <w:basedOn w:val="1"/>
    <w:qFormat/>
    <w:uiPriority w:val="0"/>
    <w:pPr>
      <w:widowControl/>
      <w:spacing w:before="100" w:beforeAutospacing="1" w:after="100" w:afterAutospacing="1" w:line="240" w:lineRule="auto"/>
      <w:jc w:val="left"/>
      <w:textAlignment w:val="bottom"/>
    </w:pPr>
    <w:rPr>
      <w:rFonts w:ascii="宋体" w:cs="宋体"/>
      <w:color w:val="000000"/>
      <w:kern w:val="0"/>
      <w:sz w:val="24"/>
      <w:szCs w:val="24"/>
    </w:rPr>
  </w:style>
  <w:style w:type="paragraph" w:customStyle="1" w:styleId="375">
    <w:name w:val="xl176"/>
    <w:basedOn w:val="1"/>
    <w:autoRedefine/>
    <w:qFormat/>
    <w:uiPriority w:val="0"/>
    <w:pPr>
      <w:widowControl/>
      <w:pBdr>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b/>
      <w:bCs/>
      <w:kern w:val="0"/>
      <w:sz w:val="24"/>
      <w:szCs w:val="24"/>
    </w:rPr>
  </w:style>
  <w:style w:type="paragraph" w:customStyle="1" w:styleId="376">
    <w:name w:val="1.标题 1"/>
    <w:next w:val="3"/>
    <w:qFormat/>
    <w:uiPriority w:val="0"/>
    <w:pPr>
      <w:keepNext/>
      <w:keepLines/>
      <w:widowControl w:val="0"/>
      <w:spacing w:before="50" w:beforeLines="50" w:after="50" w:afterLines="50" w:line="500" w:lineRule="exact"/>
      <w:jc w:val="both"/>
      <w:outlineLvl w:val="0"/>
    </w:pPr>
    <w:rPr>
      <w:rFonts w:ascii="Times New Roman" w:hAnsi="Times New Roman" w:eastAsia="仿宋_GB2312" w:cs="Times New Roman"/>
      <w:b/>
      <w:bCs/>
      <w:kern w:val="44"/>
      <w:sz w:val="30"/>
      <w:szCs w:val="44"/>
      <w:lang w:val="en-US" w:eastAsia="zh-CN" w:bidi="ar-SA"/>
    </w:rPr>
  </w:style>
  <w:style w:type="paragraph" w:customStyle="1" w:styleId="377">
    <w:name w:val="xl189"/>
    <w:basedOn w:val="1"/>
    <w:qFormat/>
    <w:uiPriority w:val="0"/>
    <w:pPr>
      <w:widowControl/>
      <w:pBdr>
        <w:left w:val="single" w:color="auto" w:sz="4" w:space="0"/>
        <w:bottom w:val="single" w:color="auto" w:sz="4" w:space="0"/>
      </w:pBdr>
      <w:spacing w:before="100" w:beforeAutospacing="1" w:after="100" w:afterAutospacing="1" w:line="240" w:lineRule="auto"/>
      <w:jc w:val="center"/>
      <w:textAlignment w:val="center"/>
    </w:pPr>
    <w:rPr>
      <w:b/>
      <w:bCs/>
      <w:kern w:val="0"/>
      <w:sz w:val="24"/>
      <w:szCs w:val="24"/>
    </w:rPr>
  </w:style>
  <w:style w:type="paragraph" w:customStyle="1" w:styleId="37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cs="宋体"/>
      <w:kern w:val="0"/>
      <w:sz w:val="40"/>
      <w:szCs w:val="40"/>
    </w:rPr>
  </w:style>
  <w:style w:type="paragraph" w:customStyle="1" w:styleId="379">
    <w:name w:val="xl188"/>
    <w:basedOn w:val="1"/>
    <w:qFormat/>
    <w:uiPriority w:val="0"/>
    <w:pPr>
      <w:widowControl/>
      <w:pBdr>
        <w:left w:val="single" w:color="auto" w:sz="4" w:space="0"/>
      </w:pBdr>
      <w:spacing w:before="100" w:beforeAutospacing="1" w:after="100" w:afterAutospacing="1" w:line="240" w:lineRule="auto"/>
      <w:jc w:val="center"/>
      <w:textAlignment w:val="center"/>
    </w:pPr>
    <w:rPr>
      <w:b/>
      <w:bCs/>
      <w:kern w:val="0"/>
      <w:sz w:val="24"/>
      <w:szCs w:val="24"/>
    </w:rPr>
  </w:style>
  <w:style w:type="paragraph" w:customStyle="1" w:styleId="380">
    <w:name w:val="xl15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olor w:val="000000"/>
      <w:kern w:val="0"/>
      <w:sz w:val="20"/>
      <w:szCs w:val="20"/>
    </w:rPr>
  </w:style>
  <w:style w:type="paragraph" w:customStyle="1" w:styleId="381">
    <w:name w:val="et15"/>
    <w:basedOn w:val="1"/>
    <w:qFormat/>
    <w:uiPriority w:val="0"/>
    <w:pPr>
      <w:widowControl/>
      <w:spacing w:before="100" w:beforeAutospacing="1" w:after="100" w:afterAutospacing="1" w:line="240" w:lineRule="auto"/>
      <w:jc w:val="left"/>
      <w:textAlignment w:val="bottom"/>
    </w:pPr>
    <w:rPr>
      <w:color w:val="000000"/>
      <w:kern w:val="0"/>
      <w:sz w:val="24"/>
      <w:szCs w:val="24"/>
    </w:rPr>
  </w:style>
  <w:style w:type="paragraph" w:customStyle="1" w:styleId="382">
    <w:name w:val="默认段落字体 Para Char Char Char Char"/>
    <w:basedOn w:val="1"/>
    <w:qFormat/>
    <w:uiPriority w:val="0"/>
    <w:pPr>
      <w:spacing w:line="240" w:lineRule="auto"/>
    </w:pPr>
    <w:rPr>
      <w:sz w:val="21"/>
      <w:szCs w:val="24"/>
    </w:rPr>
  </w:style>
  <w:style w:type="paragraph" w:customStyle="1" w:styleId="383">
    <w:name w:val="报告正文小四"/>
    <w:basedOn w:val="1"/>
    <w:autoRedefine/>
    <w:qFormat/>
    <w:uiPriority w:val="0"/>
    <w:pPr>
      <w:adjustRightInd w:val="0"/>
      <w:snapToGrid w:val="0"/>
      <w:spacing w:before="120" w:line="360" w:lineRule="atLeast"/>
      <w:ind w:firstLine="750"/>
    </w:pPr>
    <w:rPr>
      <w:rFonts w:ascii="宋体"/>
      <w:sz w:val="24"/>
      <w:szCs w:val="20"/>
    </w:rPr>
  </w:style>
  <w:style w:type="paragraph" w:customStyle="1" w:styleId="384">
    <w:name w:val="xl14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kern w:val="0"/>
      <w:sz w:val="20"/>
      <w:szCs w:val="20"/>
    </w:rPr>
  </w:style>
  <w:style w:type="paragraph" w:customStyle="1" w:styleId="385">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w:hAnsi="Arial" w:eastAsia="Times New Roman" w:cs="Arial"/>
      <w:kern w:val="0"/>
      <w:sz w:val="36"/>
      <w:szCs w:val="36"/>
    </w:rPr>
  </w:style>
  <w:style w:type="paragraph" w:customStyle="1" w:styleId="38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eastAsia="Arial Unicode MS" w:cs="Arial Unicode MS"/>
      <w:kern w:val="0"/>
      <w:sz w:val="24"/>
      <w:szCs w:val="24"/>
    </w:rPr>
  </w:style>
  <w:style w:type="paragraph" w:customStyle="1" w:styleId="387">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b/>
      <w:bCs/>
      <w:kern w:val="0"/>
      <w:sz w:val="20"/>
      <w:szCs w:val="20"/>
    </w:rPr>
  </w:style>
  <w:style w:type="paragraph" w:customStyle="1" w:styleId="388">
    <w:name w:val="xl192"/>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pPr>
    <w:rPr>
      <w:b/>
      <w:bCs/>
      <w:kern w:val="0"/>
      <w:sz w:val="24"/>
      <w:szCs w:val="24"/>
    </w:rPr>
  </w:style>
  <w:style w:type="paragraph" w:customStyle="1" w:styleId="389">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kern w:val="0"/>
      <w:sz w:val="20"/>
      <w:szCs w:val="20"/>
    </w:rPr>
  </w:style>
  <w:style w:type="paragraph" w:customStyle="1" w:styleId="390">
    <w:name w:val="正"/>
    <w:basedOn w:val="1"/>
    <w:autoRedefine/>
    <w:qFormat/>
    <w:uiPriority w:val="0"/>
    <w:pPr>
      <w:adjustRightInd w:val="0"/>
      <w:spacing w:line="360" w:lineRule="auto"/>
      <w:ind w:firstLine="200" w:firstLineChars="200"/>
      <w:jc w:val="left"/>
      <w:textAlignment w:val="baseline"/>
    </w:pPr>
    <w:rPr>
      <w:rFonts w:ascii="宋体"/>
      <w:szCs w:val="22"/>
    </w:rPr>
  </w:style>
  <w:style w:type="paragraph" w:customStyle="1" w:styleId="391">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Arial Unicode MS" w:hAnsi="Arial Unicode MS"/>
      <w:color w:val="0000FF"/>
      <w:kern w:val="0"/>
      <w:sz w:val="20"/>
      <w:szCs w:val="20"/>
    </w:rPr>
  </w:style>
  <w:style w:type="paragraph" w:customStyle="1" w:styleId="392">
    <w:name w:val="xl22"/>
    <w:basedOn w:val="1"/>
    <w:qFormat/>
    <w:uiPriority w:val="0"/>
    <w:pPr>
      <w:widowControl/>
      <w:pBdr>
        <w:bottom w:val="single" w:color="auto" w:sz="4" w:space="0"/>
        <w:right w:val="single" w:color="auto" w:sz="4" w:space="0"/>
      </w:pBdr>
      <w:spacing w:before="100" w:beforeAutospacing="1" w:after="100" w:afterAutospacing="1" w:line="240" w:lineRule="auto"/>
      <w:jc w:val="center"/>
    </w:pPr>
    <w:rPr>
      <w:rFonts w:ascii="宋体"/>
      <w:kern w:val="0"/>
      <w:sz w:val="24"/>
      <w:szCs w:val="24"/>
    </w:rPr>
  </w:style>
  <w:style w:type="paragraph" w:customStyle="1" w:styleId="393">
    <w:name w:val="图片及公式"/>
    <w:qFormat/>
    <w:uiPriority w:val="0"/>
    <w:pPr>
      <w:jc w:val="center"/>
    </w:pPr>
    <w:rPr>
      <w:rFonts w:ascii="Times New Roman" w:hAnsi="Times New Roman" w:eastAsia="仿宋_GB2312" w:cs="Times New Roman"/>
      <w:b/>
      <w:kern w:val="2"/>
      <w:sz w:val="28"/>
      <w:szCs w:val="20"/>
      <w:lang w:val="en-US" w:eastAsia="zh-CN" w:bidi="ar-SA"/>
    </w:rPr>
  </w:style>
  <w:style w:type="paragraph" w:customStyle="1" w:styleId="394">
    <w:name w:val="xl53"/>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line="240" w:lineRule="auto"/>
      <w:ind w:firstLine="50" w:firstLineChars="50"/>
      <w:jc w:val="center"/>
      <w:textAlignment w:val="center"/>
    </w:pPr>
    <w:rPr>
      <w:rFonts w:ascii="宋体" w:cs="宋体"/>
      <w:kern w:val="0"/>
    </w:rPr>
  </w:style>
  <w:style w:type="paragraph" w:customStyle="1" w:styleId="395">
    <w:name w:val="xl49"/>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center"/>
    </w:pPr>
    <w:rPr>
      <w:kern w:val="0"/>
    </w:rPr>
  </w:style>
  <w:style w:type="paragraph" w:customStyle="1" w:styleId="396">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olor w:val="0000FF"/>
      <w:kern w:val="0"/>
      <w:sz w:val="20"/>
      <w:szCs w:val="20"/>
    </w:rPr>
  </w:style>
  <w:style w:type="paragraph" w:customStyle="1" w:styleId="397">
    <w:name w:val="font13"/>
    <w:basedOn w:val="1"/>
    <w:qFormat/>
    <w:uiPriority w:val="0"/>
    <w:pPr>
      <w:widowControl/>
      <w:spacing w:before="100" w:beforeAutospacing="1" w:after="100" w:afterAutospacing="1" w:line="240" w:lineRule="auto"/>
      <w:jc w:val="left"/>
    </w:pPr>
    <w:rPr>
      <w:rFonts w:ascii="宋体"/>
      <w:color w:val="000000"/>
      <w:kern w:val="0"/>
      <w:sz w:val="20"/>
      <w:szCs w:val="20"/>
    </w:rPr>
  </w:style>
  <w:style w:type="paragraph" w:customStyle="1" w:styleId="398">
    <w:name w:val="xl1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textAlignment w:val="center"/>
    </w:pPr>
    <w:rPr>
      <w:rFonts w:ascii="Arial Unicode MS" w:hAnsi="Arial Unicode MS"/>
      <w:color w:val="000000"/>
      <w:kern w:val="0"/>
      <w:sz w:val="20"/>
      <w:szCs w:val="20"/>
    </w:rPr>
  </w:style>
  <w:style w:type="paragraph" w:customStyle="1" w:styleId="399">
    <w:name w:val="p0"/>
    <w:basedOn w:val="1"/>
    <w:qFormat/>
    <w:uiPriority w:val="0"/>
    <w:pPr>
      <w:widowControl/>
      <w:spacing w:line="240" w:lineRule="auto"/>
    </w:pPr>
    <w:rPr>
      <w:kern w:val="0"/>
      <w:sz w:val="21"/>
      <w:szCs w:val="21"/>
    </w:rPr>
  </w:style>
  <w:style w:type="paragraph" w:customStyle="1" w:styleId="400">
    <w:name w:val="xl55"/>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rFonts w:eastAsia="Times New Roman"/>
      <w:kern w:val="0"/>
      <w:sz w:val="40"/>
      <w:szCs w:val="40"/>
    </w:rPr>
  </w:style>
  <w:style w:type="paragraph" w:customStyle="1" w:styleId="401">
    <w:name w:val="xl2424090"/>
    <w:basedOn w:val="1"/>
    <w:qFormat/>
    <w:uiPriority w:val="0"/>
    <w:pPr>
      <w:widowControl/>
      <w:spacing w:before="100" w:beforeAutospacing="1" w:after="100" w:afterAutospacing="1" w:line="240" w:lineRule="auto"/>
      <w:jc w:val="left"/>
      <w:textAlignment w:val="center"/>
    </w:pPr>
    <w:rPr>
      <w:rFonts w:ascii="宋体" w:cs="宋体"/>
      <w:kern w:val="0"/>
      <w:sz w:val="22"/>
      <w:szCs w:val="22"/>
    </w:rPr>
  </w:style>
  <w:style w:type="paragraph" w:customStyle="1" w:styleId="402">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Arial Unicode MS" w:hAnsi="Arial Unicode MS"/>
      <w:kern w:val="0"/>
      <w:sz w:val="20"/>
      <w:szCs w:val="20"/>
    </w:rPr>
  </w:style>
  <w:style w:type="paragraph" w:customStyle="1" w:styleId="403">
    <w:name w:val="总"/>
    <w:qFormat/>
    <w:uiPriority w:val="0"/>
    <w:pPr>
      <w:spacing w:line="800" w:lineRule="exact"/>
    </w:pPr>
    <w:rPr>
      <w:rFonts w:ascii="Times New Roman" w:hAnsi="Times New Roman" w:eastAsia="宋体" w:cs="Times New Roman"/>
      <w:b/>
      <w:kern w:val="2"/>
      <w:sz w:val="32"/>
      <w:szCs w:val="24"/>
      <w:lang w:val="en-US" w:eastAsia="zh-CN" w:bidi="ar-SA"/>
    </w:rPr>
  </w:style>
  <w:style w:type="paragraph" w:customStyle="1" w:styleId="404">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textAlignment w:val="center"/>
    </w:pPr>
    <w:rPr>
      <w:rFonts w:ascii="Arial Unicode MS" w:hAnsi="Arial Unicode MS"/>
      <w:b/>
      <w:bCs/>
      <w:color w:val="000000"/>
      <w:kern w:val="0"/>
      <w:sz w:val="20"/>
      <w:szCs w:val="20"/>
    </w:rPr>
  </w:style>
  <w:style w:type="paragraph" w:customStyle="1" w:styleId="405">
    <w:name w:val="样式 标题 3 + 小三 行距: 固定值 30 磅"/>
    <w:basedOn w:val="5"/>
    <w:qFormat/>
    <w:uiPriority w:val="0"/>
    <w:pPr>
      <w:spacing w:before="260" w:after="260" w:line="600" w:lineRule="exact"/>
    </w:pPr>
    <w:rPr>
      <w:rFonts w:cs="宋体"/>
      <w:b/>
      <w:szCs w:val="20"/>
      <w:lang w:val="zh-CN"/>
    </w:rPr>
  </w:style>
  <w:style w:type="paragraph" w:customStyle="1" w:styleId="406">
    <w:name w:val="xl123"/>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line="240" w:lineRule="auto"/>
      <w:jc w:val="center"/>
      <w:textAlignment w:val="center"/>
    </w:pPr>
    <w:rPr>
      <w:rFonts w:ascii="Arial Unicode MS" w:hAnsi="Arial Unicode MS"/>
      <w:color w:val="000000"/>
      <w:kern w:val="0"/>
      <w:sz w:val="20"/>
      <w:szCs w:val="20"/>
    </w:rPr>
  </w:style>
  <w:style w:type="paragraph" w:customStyle="1" w:styleId="407">
    <w:name w:val="font4"/>
    <w:basedOn w:val="1"/>
    <w:qFormat/>
    <w:uiPriority w:val="0"/>
    <w:pPr>
      <w:widowControl/>
      <w:spacing w:before="100" w:beforeAutospacing="1" w:after="100" w:afterAutospacing="1" w:line="240" w:lineRule="auto"/>
      <w:jc w:val="left"/>
    </w:pPr>
    <w:rPr>
      <w:rFonts w:ascii="宋体" w:cs="宋体"/>
      <w:color w:val="000000"/>
      <w:kern w:val="0"/>
      <w:sz w:val="14"/>
      <w:szCs w:val="14"/>
    </w:rPr>
  </w:style>
  <w:style w:type="paragraph" w:customStyle="1" w:styleId="408">
    <w:name w:val="xl1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textAlignment w:val="center"/>
    </w:pPr>
    <w:rPr>
      <w:rFonts w:ascii="Arial Unicode MS" w:hAnsi="Arial Unicode MS"/>
      <w:b/>
      <w:bCs/>
      <w:color w:val="FF0000"/>
      <w:kern w:val="0"/>
      <w:sz w:val="20"/>
      <w:szCs w:val="20"/>
    </w:rPr>
  </w:style>
  <w:style w:type="character" w:customStyle="1" w:styleId="409">
    <w:name w:val="引用 Char2"/>
    <w:qFormat/>
    <w:uiPriority w:val="0"/>
    <w:rPr>
      <w:i/>
      <w:iCs/>
      <w:color w:val="404040"/>
      <w:kern w:val="2"/>
      <w:sz w:val="21"/>
      <w:szCs w:val="24"/>
    </w:rPr>
  </w:style>
  <w:style w:type="paragraph" w:customStyle="1" w:styleId="410">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kern w:val="0"/>
      <w:sz w:val="20"/>
      <w:szCs w:val="20"/>
    </w:rPr>
  </w:style>
  <w:style w:type="paragraph" w:customStyle="1" w:styleId="411">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kern w:val="0"/>
    </w:rPr>
  </w:style>
  <w:style w:type="paragraph" w:customStyle="1" w:styleId="412">
    <w:name w:val="样式5"/>
    <w:basedOn w:val="42"/>
    <w:qFormat/>
    <w:uiPriority w:val="0"/>
    <w:pPr>
      <w:tabs>
        <w:tab w:val="right" w:leader="dot" w:pos="8948"/>
      </w:tabs>
      <w:spacing w:before="50" w:beforeLines="50" w:after="50" w:afterLines="50" w:line="240" w:lineRule="auto"/>
      <w:ind w:left="295" w:leftChars="95" w:hanging="200" w:hangingChars="200"/>
      <w:jc w:val="left"/>
    </w:pPr>
    <w:rPr>
      <w:rFonts w:eastAsia="楷体_GB2312"/>
      <w:caps/>
      <w:sz w:val="20"/>
    </w:rPr>
  </w:style>
  <w:style w:type="paragraph" w:customStyle="1" w:styleId="413">
    <w:name w:val="深圳1"/>
    <w:basedOn w:val="3"/>
    <w:qFormat/>
    <w:uiPriority w:val="0"/>
    <w:pPr>
      <w:spacing w:before="120" w:line="578" w:lineRule="auto"/>
      <w:ind w:left="57" w:right="57" w:firstLine="425"/>
      <w:jc w:val="both"/>
    </w:pPr>
    <w:rPr>
      <w:rFonts w:cs="黑体"/>
      <w:b w:val="0"/>
      <w:szCs w:val="32"/>
      <w:lang w:val="zh-CN"/>
    </w:rPr>
  </w:style>
  <w:style w:type="paragraph" w:customStyle="1" w:styleId="414">
    <w:name w:val="公式"/>
    <w:basedOn w:val="1"/>
    <w:next w:val="1"/>
    <w:qFormat/>
    <w:uiPriority w:val="0"/>
    <w:pPr>
      <w:overflowPunct w:val="0"/>
      <w:adjustRightInd w:val="0"/>
      <w:snapToGrid w:val="0"/>
      <w:spacing w:line="312" w:lineRule="auto"/>
      <w:jc w:val="center"/>
      <w:textAlignment w:val="baseline"/>
    </w:pPr>
    <w:rPr>
      <w:rFonts w:ascii="宋体"/>
      <w:kern w:val="24"/>
      <w:sz w:val="24"/>
      <w:szCs w:val="20"/>
    </w:rPr>
  </w:style>
  <w:style w:type="paragraph" w:customStyle="1" w:styleId="415">
    <w:name w:val="Char Char Char Char Char Char1 Char"/>
    <w:basedOn w:val="1"/>
    <w:qFormat/>
    <w:uiPriority w:val="0"/>
    <w:pPr>
      <w:spacing w:line="240" w:lineRule="auto"/>
    </w:pPr>
    <w:rPr>
      <w:sz w:val="21"/>
      <w:szCs w:val="24"/>
    </w:rPr>
  </w:style>
  <w:style w:type="paragraph" w:customStyle="1" w:styleId="416">
    <w:name w:val="xl131"/>
    <w:basedOn w:val="1"/>
    <w:qFormat/>
    <w:uiPriority w:val="0"/>
    <w:pPr>
      <w:widowControl/>
      <w:pBdr>
        <w:bottom w:val="single" w:color="auto" w:sz="4" w:space="0"/>
        <w:right w:val="single" w:color="auto" w:sz="4" w:space="0"/>
      </w:pBdr>
      <w:spacing w:before="100" w:beforeAutospacing="1" w:after="100" w:afterAutospacing="1" w:line="240" w:lineRule="auto"/>
      <w:jc w:val="right"/>
      <w:textAlignment w:val="center"/>
    </w:pPr>
    <w:rPr>
      <w:rFonts w:ascii="Arial Unicode MS" w:hAnsi="Arial Unicode MS"/>
      <w:kern w:val="0"/>
      <w:sz w:val="20"/>
      <w:szCs w:val="20"/>
    </w:rPr>
  </w:style>
  <w:style w:type="paragraph" w:customStyle="1" w:styleId="417">
    <w:name w:val="目录"/>
    <w:qFormat/>
    <w:uiPriority w:val="0"/>
    <w:pPr>
      <w:jc w:val="center"/>
      <w:outlineLvl w:val="0"/>
    </w:pPr>
    <w:rPr>
      <w:rFonts w:ascii="宋体" w:hAnsi="Times New Roman" w:eastAsia="宋体" w:cs="Times New Roman"/>
      <w:color w:val="FF0000"/>
      <w:sz w:val="32"/>
      <w:szCs w:val="20"/>
      <w:lang w:val="en-US" w:eastAsia="zh-CN" w:bidi="ar-SA"/>
    </w:rPr>
  </w:style>
  <w:style w:type="paragraph" w:customStyle="1" w:styleId="418">
    <w:name w:val="xl13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kern w:val="0"/>
      <w:sz w:val="20"/>
      <w:szCs w:val="20"/>
    </w:rPr>
  </w:style>
  <w:style w:type="paragraph" w:customStyle="1" w:styleId="41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cs="宋体"/>
      <w:kern w:val="0"/>
      <w:sz w:val="20"/>
      <w:szCs w:val="20"/>
    </w:rPr>
  </w:style>
  <w:style w:type="paragraph" w:customStyle="1" w:styleId="42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eastAsia="Arial Unicode MS" w:cs="Arial Unicode MS"/>
      <w:kern w:val="0"/>
      <w:sz w:val="24"/>
      <w:szCs w:val="24"/>
    </w:rPr>
  </w:style>
  <w:style w:type="paragraph" w:customStyle="1" w:styleId="421">
    <w:name w:val="xl13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kern w:val="0"/>
      <w:sz w:val="20"/>
      <w:szCs w:val="20"/>
    </w:rPr>
  </w:style>
  <w:style w:type="paragraph" w:customStyle="1" w:styleId="422">
    <w:name w:val="xl41"/>
    <w:basedOn w:val="1"/>
    <w:qFormat/>
    <w:uiPriority w:val="0"/>
    <w:pPr>
      <w:widowControl/>
      <w:spacing w:before="100" w:beforeAutospacing="1" w:after="100" w:afterAutospacing="1" w:line="240" w:lineRule="auto"/>
      <w:jc w:val="left"/>
    </w:pPr>
    <w:rPr>
      <w:rFonts w:ascii="Arial" w:hAnsi="Arial" w:eastAsia="Times New Roman" w:cs="Arial"/>
      <w:kern w:val="0"/>
      <w:sz w:val="30"/>
      <w:szCs w:val="30"/>
    </w:rPr>
  </w:style>
  <w:style w:type="paragraph" w:customStyle="1" w:styleId="423">
    <w:name w:val="et17"/>
    <w:basedOn w:val="1"/>
    <w:qFormat/>
    <w:uiPriority w:val="0"/>
    <w:pPr>
      <w:widowControl/>
      <w:spacing w:before="100" w:beforeAutospacing="1" w:after="100" w:afterAutospacing="1" w:line="240" w:lineRule="auto"/>
      <w:jc w:val="left"/>
      <w:textAlignment w:val="bottom"/>
    </w:pPr>
    <w:rPr>
      <w:color w:val="000000"/>
      <w:kern w:val="0"/>
      <w:sz w:val="24"/>
      <w:szCs w:val="24"/>
    </w:rPr>
  </w:style>
  <w:style w:type="paragraph" w:customStyle="1" w:styleId="42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cs="宋体"/>
      <w:b/>
      <w:bCs/>
      <w:kern w:val="0"/>
      <w:sz w:val="20"/>
      <w:szCs w:val="20"/>
    </w:rPr>
  </w:style>
  <w:style w:type="paragraph" w:customStyle="1" w:styleId="425">
    <w:name w:val="Char Char Char Char"/>
    <w:basedOn w:val="1"/>
    <w:qFormat/>
    <w:uiPriority w:val="0"/>
    <w:pPr>
      <w:spacing w:line="240" w:lineRule="auto"/>
    </w:pPr>
    <w:rPr>
      <w:sz w:val="21"/>
      <w:szCs w:val="24"/>
    </w:rPr>
  </w:style>
  <w:style w:type="paragraph" w:customStyle="1" w:styleId="426">
    <w:name w:val="表注"/>
    <w:basedOn w:val="1"/>
    <w:next w:val="427"/>
    <w:qFormat/>
    <w:uiPriority w:val="0"/>
    <w:pPr>
      <w:keepLines/>
      <w:widowControl w:val="0"/>
      <w:overflowPunct w:val="0"/>
      <w:adjustRightInd w:val="0"/>
      <w:spacing w:line="240" w:lineRule="auto"/>
      <w:ind w:left="300" w:leftChars="100" w:right="50" w:rightChars="50" w:hanging="200" w:hangingChars="200"/>
      <w:textAlignment w:val="baseline"/>
    </w:pPr>
    <w:rPr>
      <w:rFonts w:ascii="宋体"/>
      <w:color w:val="FF0000"/>
      <w:kern w:val="28"/>
      <w:sz w:val="21"/>
      <w:szCs w:val="20"/>
    </w:rPr>
  </w:style>
  <w:style w:type="paragraph" w:customStyle="1" w:styleId="427">
    <w:name w:val="表后空行"/>
    <w:basedOn w:val="1"/>
    <w:qFormat/>
    <w:uiPriority w:val="0"/>
    <w:pPr>
      <w:overflowPunct w:val="0"/>
      <w:adjustRightInd w:val="0"/>
      <w:spacing w:line="360" w:lineRule="auto"/>
      <w:textAlignment w:val="baseline"/>
    </w:pPr>
    <w:rPr>
      <w:kern w:val="28"/>
      <w:sz w:val="18"/>
      <w:szCs w:val="20"/>
    </w:rPr>
  </w:style>
  <w:style w:type="paragraph" w:customStyle="1" w:styleId="428">
    <w:name w:val="xl39"/>
    <w:basedOn w:val="1"/>
    <w:qFormat/>
    <w:uiPriority w:val="0"/>
    <w:pPr>
      <w:widowControl/>
      <w:pBdr>
        <w:bottom w:val="single" w:color="auto" w:sz="4" w:space="0"/>
      </w:pBdr>
      <w:spacing w:before="100" w:beforeAutospacing="1" w:after="100" w:afterAutospacing="1" w:line="240" w:lineRule="auto"/>
      <w:jc w:val="center"/>
    </w:pPr>
    <w:rPr>
      <w:rFonts w:ascii="Arial Unicode MS" w:hAnsi="Arial Unicode MS" w:eastAsia="Arial Unicode MS" w:cs="Arial Unicode MS"/>
      <w:kern w:val="0"/>
      <w:sz w:val="32"/>
      <w:szCs w:val="32"/>
    </w:rPr>
  </w:style>
  <w:style w:type="paragraph" w:customStyle="1" w:styleId="429">
    <w:name w:val="Char1"/>
    <w:basedOn w:val="1"/>
    <w:qFormat/>
    <w:uiPriority w:val="0"/>
    <w:pPr>
      <w:spacing w:line="240" w:lineRule="auto"/>
      <w:ind w:left="-48"/>
    </w:pPr>
    <w:rPr>
      <w:sz w:val="21"/>
      <w:szCs w:val="24"/>
    </w:rPr>
  </w:style>
  <w:style w:type="paragraph" w:customStyle="1" w:styleId="430">
    <w:name w:val="xl146"/>
    <w:basedOn w:val="1"/>
    <w:qFormat/>
    <w:uiPriority w:val="0"/>
    <w:pPr>
      <w:widowControl/>
      <w:pBdr>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kern w:val="0"/>
      <w:sz w:val="20"/>
      <w:szCs w:val="20"/>
    </w:rPr>
  </w:style>
  <w:style w:type="paragraph" w:customStyle="1" w:styleId="431">
    <w:name w:val="xl148"/>
    <w:basedOn w:val="1"/>
    <w:qFormat/>
    <w:uiPriority w:val="0"/>
    <w:pPr>
      <w:widowControl/>
      <w:pBdr>
        <w:bottom w:val="single" w:color="auto" w:sz="4" w:space="0"/>
        <w:right w:val="single" w:color="auto" w:sz="4" w:space="0"/>
      </w:pBdr>
      <w:spacing w:before="100" w:beforeAutospacing="1" w:after="100" w:afterAutospacing="1" w:line="240" w:lineRule="auto"/>
      <w:textAlignment w:val="center"/>
    </w:pPr>
    <w:rPr>
      <w:rFonts w:ascii="Arial Unicode MS" w:hAnsi="Arial Unicode MS"/>
      <w:color w:val="0000FF"/>
      <w:kern w:val="0"/>
      <w:sz w:val="20"/>
      <w:szCs w:val="20"/>
    </w:rPr>
  </w:style>
  <w:style w:type="paragraph" w:customStyle="1" w:styleId="432">
    <w:name w:val="表项"/>
    <w:basedOn w:val="314"/>
    <w:qFormat/>
    <w:uiPriority w:val="0"/>
    <w:pPr>
      <w:tabs>
        <w:tab w:val="clear" w:pos="1260"/>
      </w:tabs>
      <w:autoSpaceDE/>
      <w:autoSpaceDN/>
      <w:adjustRightInd/>
      <w:spacing w:line="240" w:lineRule="auto"/>
      <w:jc w:val="left"/>
      <w:textAlignment w:val="auto"/>
    </w:pPr>
    <w:rPr>
      <w:rFonts w:ascii="仿宋_GB2312" w:hAnsi="仿宋_GB2312" w:eastAsia="楷体_GB2312"/>
      <w:b/>
      <w:color w:val="auto"/>
      <w:spacing w:val="0"/>
      <w:kern w:val="2"/>
      <w:sz w:val="18"/>
      <w:szCs w:val="18"/>
    </w:rPr>
  </w:style>
  <w:style w:type="paragraph" w:customStyle="1" w:styleId="433">
    <w:name w:val="xl18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b/>
      <w:bCs/>
      <w:kern w:val="0"/>
      <w:sz w:val="24"/>
      <w:szCs w:val="24"/>
    </w:rPr>
  </w:style>
  <w:style w:type="paragraph" w:customStyle="1" w:styleId="434">
    <w:name w:val="正文文字4"/>
    <w:basedOn w:val="1"/>
    <w:qFormat/>
    <w:uiPriority w:val="0"/>
    <w:pPr>
      <w:tabs>
        <w:tab w:val="left" w:pos="495"/>
      </w:tabs>
      <w:spacing w:line="240" w:lineRule="auto"/>
      <w:ind w:left="495" w:hanging="495"/>
    </w:pPr>
    <w:rPr>
      <w:sz w:val="21"/>
      <w:szCs w:val="20"/>
    </w:rPr>
  </w:style>
  <w:style w:type="paragraph" w:customStyle="1" w:styleId="435">
    <w:name w:val="et14"/>
    <w:basedOn w:val="1"/>
    <w:qFormat/>
    <w:uiPriority w:val="0"/>
    <w:pPr>
      <w:widowControl/>
      <w:spacing w:before="100" w:beforeAutospacing="1" w:after="100" w:afterAutospacing="1" w:line="240" w:lineRule="auto"/>
      <w:jc w:val="left"/>
      <w:textAlignment w:val="bottom"/>
    </w:pPr>
    <w:rPr>
      <w:rFonts w:ascii="宋体" w:cs="宋体"/>
      <w:color w:val="000000"/>
      <w:kern w:val="0"/>
      <w:sz w:val="24"/>
      <w:szCs w:val="24"/>
    </w:rPr>
  </w:style>
  <w:style w:type="paragraph" w:customStyle="1" w:styleId="4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cs="宋体"/>
      <w:kern w:val="0"/>
      <w:sz w:val="20"/>
      <w:szCs w:val="20"/>
    </w:rPr>
  </w:style>
  <w:style w:type="paragraph" w:customStyle="1" w:styleId="437">
    <w:name w:val="眉"/>
    <w:qFormat/>
    <w:uiPriority w:val="0"/>
    <w:pPr>
      <w:pBdr>
        <w:bottom w:val="thinThickSmallGap" w:color="auto" w:sz="24" w:space="1"/>
      </w:pBdr>
      <w:jc w:val="right"/>
    </w:pPr>
    <w:rPr>
      <w:rFonts w:ascii="宋体" w:hAnsi="宋体" w:eastAsia="方正粗活意简体" w:cs="Times New Roman"/>
      <w:kern w:val="2"/>
      <w:sz w:val="21"/>
      <w:szCs w:val="20"/>
      <w:lang w:val="en-US" w:eastAsia="zh-CN" w:bidi="ar-SA"/>
    </w:rPr>
  </w:style>
  <w:style w:type="paragraph" w:customStyle="1" w:styleId="438">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kern w:val="0"/>
      <w:sz w:val="20"/>
      <w:szCs w:val="20"/>
    </w:rPr>
  </w:style>
  <w:style w:type="paragraph" w:customStyle="1" w:styleId="439">
    <w:name w:val="正文文本缩进 31"/>
    <w:basedOn w:val="1"/>
    <w:qFormat/>
    <w:uiPriority w:val="0"/>
    <w:pPr>
      <w:autoSpaceDE w:val="0"/>
      <w:autoSpaceDN w:val="0"/>
      <w:adjustRightInd w:val="0"/>
      <w:spacing w:line="240" w:lineRule="auto"/>
      <w:ind w:left="454"/>
      <w:textAlignment w:val="baseline"/>
    </w:pPr>
    <w:rPr>
      <w:sz w:val="24"/>
      <w:szCs w:val="20"/>
    </w:rPr>
  </w:style>
  <w:style w:type="paragraph" w:customStyle="1" w:styleId="440">
    <w:name w:val="et21"/>
    <w:basedOn w:val="1"/>
    <w:qFormat/>
    <w:uiPriority w:val="0"/>
    <w:pPr>
      <w:widowControl/>
      <w:spacing w:before="100" w:beforeAutospacing="1" w:after="100" w:afterAutospacing="1" w:line="240" w:lineRule="auto"/>
      <w:jc w:val="left"/>
      <w:textAlignment w:val="bottom"/>
    </w:pPr>
    <w:rPr>
      <w:rFonts w:ascii="宋体" w:cs="宋体"/>
      <w:color w:val="000000"/>
      <w:kern w:val="0"/>
      <w:sz w:val="24"/>
      <w:szCs w:val="24"/>
    </w:rPr>
  </w:style>
  <w:style w:type="paragraph" w:customStyle="1" w:styleId="44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eastAsia="Times New Roman"/>
      <w:kern w:val="0"/>
      <w:sz w:val="40"/>
      <w:szCs w:val="40"/>
    </w:rPr>
  </w:style>
  <w:style w:type="paragraph" w:customStyle="1" w:styleId="442">
    <w:name w:val="样式1"/>
    <w:basedOn w:val="42"/>
    <w:qFormat/>
    <w:uiPriority w:val="0"/>
    <w:pPr>
      <w:tabs>
        <w:tab w:val="left" w:pos="425"/>
        <w:tab w:val="right" w:leader="dot" w:pos="8948"/>
      </w:tabs>
      <w:spacing w:before="50" w:beforeLines="50" w:after="50" w:afterLines="50" w:line="240" w:lineRule="auto"/>
      <w:ind w:left="200" w:leftChars="200" w:firstLine="200" w:firstLineChars="200"/>
      <w:jc w:val="left"/>
    </w:pPr>
    <w:rPr>
      <w:bCs/>
      <w:caps/>
      <w:sz w:val="20"/>
      <w:szCs w:val="20"/>
    </w:rPr>
  </w:style>
  <w:style w:type="paragraph" w:customStyle="1" w:styleId="443">
    <w:name w:val="font724090"/>
    <w:basedOn w:val="1"/>
    <w:qFormat/>
    <w:uiPriority w:val="0"/>
    <w:pPr>
      <w:widowControl/>
      <w:spacing w:before="100" w:beforeAutospacing="1" w:after="100" w:afterAutospacing="1" w:line="240" w:lineRule="auto"/>
      <w:jc w:val="left"/>
    </w:pPr>
    <w:rPr>
      <w:rFonts w:ascii="宋体" w:cs="宋体"/>
      <w:kern w:val="0"/>
      <w:sz w:val="22"/>
      <w:szCs w:val="22"/>
    </w:rPr>
  </w:style>
  <w:style w:type="paragraph" w:customStyle="1" w:styleId="444">
    <w:name w:val="样式 标题 2 + 行距: 固定值 40 磅"/>
    <w:basedOn w:val="4"/>
    <w:qFormat/>
    <w:uiPriority w:val="0"/>
    <w:pPr>
      <w:spacing w:before="260" w:after="260" w:line="800" w:lineRule="exact"/>
    </w:pPr>
    <w:rPr>
      <w:rFonts w:ascii="Times New Roman" w:hAnsi="Times New Roman" w:cs="Times New Roman"/>
      <w:sz w:val="32"/>
      <w:szCs w:val="20"/>
      <w:lang w:val="zh-CN"/>
    </w:rPr>
  </w:style>
  <w:style w:type="paragraph" w:customStyle="1" w:styleId="445">
    <w:name w:val="默认段落字体 Para Char"/>
    <w:basedOn w:val="1"/>
    <w:qFormat/>
    <w:uiPriority w:val="0"/>
    <w:pPr>
      <w:spacing w:line="360" w:lineRule="auto"/>
      <w:ind w:firstLine="200" w:firstLineChars="200"/>
    </w:pPr>
    <w:rPr>
      <w:rFonts w:ascii="宋体" w:cs="宋体"/>
      <w:sz w:val="24"/>
      <w:szCs w:val="24"/>
    </w:rPr>
  </w:style>
  <w:style w:type="paragraph" w:customStyle="1" w:styleId="446">
    <w:name w:val="cucd-0"/>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447">
    <w:name w:val="正文文本缩进 34"/>
    <w:basedOn w:val="1"/>
    <w:qFormat/>
    <w:uiPriority w:val="0"/>
    <w:pPr>
      <w:autoSpaceDE w:val="0"/>
      <w:autoSpaceDN w:val="0"/>
      <w:adjustRightInd w:val="0"/>
      <w:spacing w:line="240" w:lineRule="auto"/>
      <w:ind w:left="454"/>
      <w:textAlignment w:val="baseline"/>
    </w:pPr>
    <w:rPr>
      <w:sz w:val="24"/>
      <w:szCs w:val="20"/>
    </w:rPr>
  </w:style>
  <w:style w:type="paragraph" w:customStyle="1" w:styleId="448">
    <w:name w:val="作者"/>
    <w:basedOn w:val="1"/>
    <w:qFormat/>
    <w:uiPriority w:val="0"/>
    <w:pPr>
      <w:adjustRightInd w:val="0"/>
      <w:snapToGrid w:val="0"/>
      <w:spacing w:line="313" w:lineRule="atLeast"/>
      <w:jc w:val="center"/>
    </w:pPr>
    <w:rPr>
      <w:rFonts w:eastAsia="仿宋_GB2312"/>
      <w:szCs w:val="20"/>
    </w:rPr>
  </w:style>
  <w:style w:type="paragraph" w:customStyle="1" w:styleId="449">
    <w:name w:val="et11"/>
    <w:basedOn w:val="1"/>
    <w:qFormat/>
    <w:uiPriority w:val="0"/>
    <w:pPr>
      <w:widowControl/>
      <w:spacing w:before="100" w:beforeAutospacing="1" w:after="100" w:afterAutospacing="1" w:line="240" w:lineRule="auto"/>
      <w:jc w:val="left"/>
      <w:textAlignment w:val="bottom"/>
    </w:pPr>
    <w:rPr>
      <w:rFonts w:ascii="宋体" w:cs="宋体"/>
      <w:color w:val="000000"/>
      <w:kern w:val="0"/>
      <w:sz w:val="24"/>
      <w:szCs w:val="24"/>
    </w:rPr>
  </w:style>
  <w:style w:type="paragraph" w:customStyle="1" w:styleId="450">
    <w:name w:val="无间隔1"/>
    <w:qFormat/>
    <w:uiPriority w:val="0"/>
    <w:pPr>
      <w:widowControl w:val="0"/>
      <w:spacing w:line="500" w:lineRule="exact"/>
      <w:ind w:firstLine="200" w:firstLineChars="200"/>
      <w:jc w:val="both"/>
    </w:pPr>
    <w:rPr>
      <w:rFonts w:ascii="宋体" w:hAnsi="Times New Roman" w:eastAsia="宋体" w:cs="Times New Roman"/>
      <w:kern w:val="2"/>
      <w:sz w:val="28"/>
      <w:szCs w:val="22"/>
      <w:lang w:val="en-US" w:eastAsia="zh-CN" w:bidi="ar-SA"/>
    </w:rPr>
  </w:style>
  <w:style w:type="paragraph" w:customStyle="1" w:styleId="451">
    <w:name w:val="xl118"/>
    <w:basedOn w:val="1"/>
    <w:qFormat/>
    <w:uiPriority w:val="0"/>
    <w:pPr>
      <w:widowControl/>
      <w:pBdr>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olor w:val="0000FF"/>
      <w:kern w:val="0"/>
      <w:sz w:val="20"/>
      <w:szCs w:val="20"/>
    </w:rPr>
  </w:style>
  <w:style w:type="paragraph" w:customStyle="1" w:styleId="45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cs="宋体"/>
      <w:kern w:val="0"/>
      <w:sz w:val="20"/>
      <w:szCs w:val="20"/>
    </w:rPr>
  </w:style>
  <w:style w:type="paragraph" w:customStyle="1" w:styleId="453">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b/>
      <w:bCs/>
      <w:kern w:val="0"/>
      <w:sz w:val="20"/>
      <w:szCs w:val="20"/>
    </w:rPr>
  </w:style>
  <w:style w:type="paragraph" w:customStyle="1" w:styleId="454">
    <w:name w:val="表内文字"/>
    <w:basedOn w:val="1"/>
    <w:next w:val="1"/>
    <w:qFormat/>
    <w:uiPriority w:val="0"/>
    <w:pPr>
      <w:jc w:val="center"/>
    </w:pPr>
    <w:rPr>
      <w:rFonts w:eastAsia="仿宋_GB2312"/>
      <w:color w:val="000000"/>
      <w:kern w:val="0"/>
      <w:sz w:val="24"/>
    </w:rPr>
  </w:style>
  <w:style w:type="paragraph" w:customStyle="1" w:styleId="455">
    <w:name w:val="xl136"/>
    <w:basedOn w:val="1"/>
    <w:qFormat/>
    <w:uiPriority w:val="0"/>
    <w:pPr>
      <w:widowControl/>
      <w:pBdr>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kern w:val="0"/>
      <w:sz w:val="20"/>
      <w:szCs w:val="20"/>
    </w:rPr>
  </w:style>
  <w:style w:type="paragraph" w:customStyle="1" w:styleId="456">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b/>
      <w:bCs/>
      <w:kern w:val="0"/>
      <w:sz w:val="20"/>
      <w:szCs w:val="20"/>
    </w:rPr>
  </w:style>
  <w:style w:type="paragraph" w:customStyle="1" w:styleId="457">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b/>
      <w:bCs/>
      <w:kern w:val="0"/>
      <w:sz w:val="20"/>
      <w:szCs w:val="20"/>
    </w:rPr>
  </w:style>
  <w:style w:type="paragraph" w:customStyle="1" w:styleId="458">
    <w:name w:val="脚"/>
    <w:basedOn w:val="1"/>
    <w:qFormat/>
    <w:uiPriority w:val="0"/>
    <w:pPr>
      <w:pBdr>
        <w:top w:val="single" w:color="auto" w:sz="18" w:space="1"/>
      </w:pBdr>
      <w:spacing w:line="240" w:lineRule="auto"/>
      <w:jc w:val="left"/>
    </w:pPr>
    <w:rPr>
      <w:rFonts w:eastAsia="方正综艺简体"/>
      <w:i/>
      <w:sz w:val="21"/>
      <w:szCs w:val="24"/>
    </w:rPr>
  </w:style>
  <w:style w:type="paragraph" w:customStyle="1" w:styleId="459">
    <w:name w:val="et19"/>
    <w:basedOn w:val="1"/>
    <w:qFormat/>
    <w:uiPriority w:val="0"/>
    <w:pPr>
      <w:widowControl/>
      <w:spacing w:before="100" w:beforeAutospacing="1" w:after="100" w:afterAutospacing="1" w:line="240" w:lineRule="auto"/>
      <w:jc w:val="left"/>
      <w:textAlignment w:val="bottom"/>
    </w:pPr>
    <w:rPr>
      <w:color w:val="000000"/>
      <w:kern w:val="0"/>
      <w:sz w:val="24"/>
      <w:szCs w:val="24"/>
    </w:rPr>
  </w:style>
  <w:style w:type="paragraph" w:customStyle="1" w:styleId="460">
    <w:name w:val="xl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b/>
      <w:bCs/>
      <w:kern w:val="0"/>
      <w:sz w:val="24"/>
      <w:szCs w:val="24"/>
    </w:rPr>
  </w:style>
  <w:style w:type="paragraph" w:customStyle="1" w:styleId="461">
    <w:name w:val="样式2"/>
    <w:basedOn w:val="4"/>
    <w:qFormat/>
    <w:uiPriority w:val="0"/>
    <w:pPr>
      <w:tabs>
        <w:tab w:val="left" w:pos="1200"/>
      </w:tabs>
      <w:spacing w:before="0"/>
      <w:ind w:left="1200" w:hanging="360"/>
    </w:pPr>
    <w:rPr>
      <w:rFonts w:ascii="Times New Roman" w:hAnsi="Times New Roman" w:cs="Times New Roman"/>
      <w:b/>
      <w:lang w:val="zh-CN"/>
    </w:rPr>
  </w:style>
  <w:style w:type="paragraph" w:customStyle="1" w:styleId="462">
    <w:name w:val="xl126"/>
    <w:basedOn w:val="1"/>
    <w:qFormat/>
    <w:uiPriority w:val="0"/>
    <w:pPr>
      <w:widowControl/>
      <w:pBdr>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olor w:val="000000"/>
      <w:kern w:val="0"/>
      <w:sz w:val="20"/>
      <w:szCs w:val="20"/>
    </w:rPr>
  </w:style>
  <w:style w:type="paragraph" w:customStyle="1" w:styleId="463">
    <w:name w:val="Char"/>
    <w:basedOn w:val="1"/>
    <w:qFormat/>
    <w:uiPriority w:val="0"/>
    <w:pPr>
      <w:spacing w:line="240" w:lineRule="auto"/>
      <w:ind w:left="-48"/>
    </w:pPr>
    <w:rPr>
      <w:sz w:val="21"/>
      <w:szCs w:val="24"/>
    </w:rPr>
  </w:style>
  <w:style w:type="paragraph" w:customStyle="1" w:styleId="46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cs="宋体"/>
      <w:kern w:val="0"/>
    </w:rPr>
  </w:style>
  <w:style w:type="paragraph" w:customStyle="1" w:styleId="465">
    <w:name w:val="font524090"/>
    <w:basedOn w:val="1"/>
    <w:qFormat/>
    <w:uiPriority w:val="0"/>
    <w:pPr>
      <w:widowControl/>
      <w:spacing w:before="100" w:beforeAutospacing="1" w:after="100" w:afterAutospacing="1" w:line="240" w:lineRule="auto"/>
      <w:jc w:val="left"/>
    </w:pPr>
    <w:rPr>
      <w:rFonts w:ascii="宋体" w:cs="宋体"/>
      <w:kern w:val="0"/>
      <w:sz w:val="18"/>
      <w:szCs w:val="18"/>
    </w:rPr>
  </w:style>
  <w:style w:type="paragraph" w:customStyle="1" w:styleId="466">
    <w:name w:val="我的正文"/>
    <w:basedOn w:val="1"/>
    <w:qFormat/>
    <w:uiPriority w:val="0"/>
    <w:pPr>
      <w:spacing w:line="440" w:lineRule="exact"/>
      <w:ind w:firstLine="200" w:firstLineChars="200"/>
    </w:pPr>
    <w:rPr>
      <w:rFonts w:ascii="宋体"/>
      <w:sz w:val="24"/>
      <w:szCs w:val="24"/>
    </w:rPr>
  </w:style>
  <w:style w:type="paragraph" w:customStyle="1" w:styleId="467">
    <w:name w:val="et22"/>
    <w:basedOn w:val="1"/>
    <w:qFormat/>
    <w:uiPriority w:val="0"/>
    <w:pPr>
      <w:widowControl/>
      <w:spacing w:before="100" w:beforeAutospacing="1" w:after="100" w:afterAutospacing="1" w:line="240" w:lineRule="auto"/>
      <w:jc w:val="left"/>
      <w:textAlignment w:val="bottom"/>
    </w:pPr>
    <w:rPr>
      <w:color w:val="000000"/>
      <w:kern w:val="0"/>
      <w:sz w:val="24"/>
      <w:szCs w:val="24"/>
    </w:rPr>
  </w:style>
  <w:style w:type="paragraph" w:customStyle="1" w:styleId="468">
    <w:name w:val="xl2524090"/>
    <w:basedOn w:val="1"/>
    <w:qFormat/>
    <w:uiPriority w:val="0"/>
    <w:pPr>
      <w:widowControl/>
      <w:pBdr>
        <w:top w:val="single" w:color="auto" w:sz="8" w:space="1"/>
        <w:bottom w:val="single" w:color="auto" w:sz="8" w:space="0"/>
        <w:right w:val="single" w:color="auto" w:sz="8" w:space="1"/>
      </w:pBdr>
      <w:spacing w:before="100" w:beforeAutospacing="1" w:after="100" w:afterAutospacing="1" w:line="240" w:lineRule="auto"/>
      <w:jc w:val="center"/>
      <w:textAlignment w:val="center"/>
    </w:pPr>
    <w:rPr>
      <w:rFonts w:ascii="宋体" w:cs="宋体"/>
      <w:kern w:val="0"/>
      <w:sz w:val="22"/>
      <w:szCs w:val="22"/>
    </w:rPr>
  </w:style>
  <w:style w:type="paragraph" w:customStyle="1" w:styleId="469">
    <w:name w:val="xl13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Arial Unicode MS" w:hAnsi="Arial Unicode MS"/>
      <w:kern w:val="0"/>
      <w:sz w:val="20"/>
      <w:szCs w:val="20"/>
    </w:rPr>
  </w:style>
  <w:style w:type="paragraph" w:customStyle="1" w:styleId="470">
    <w:name w:val="xl1524090"/>
    <w:basedOn w:val="1"/>
    <w:qFormat/>
    <w:uiPriority w:val="0"/>
    <w:pPr>
      <w:widowControl/>
      <w:spacing w:before="100" w:beforeAutospacing="1" w:after="100" w:afterAutospacing="1" w:line="240" w:lineRule="auto"/>
      <w:jc w:val="left"/>
      <w:textAlignment w:val="center"/>
    </w:pPr>
    <w:rPr>
      <w:rFonts w:ascii="宋体" w:cs="宋体"/>
      <w:kern w:val="0"/>
      <w:sz w:val="24"/>
      <w:szCs w:val="24"/>
    </w:rPr>
  </w:style>
  <w:style w:type="paragraph" w:customStyle="1" w:styleId="471">
    <w:name w:val="xl15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right"/>
      <w:textAlignment w:val="center"/>
    </w:pPr>
    <w:rPr>
      <w:rFonts w:ascii="Arial Unicode MS" w:hAnsi="Arial Unicode MS"/>
      <w:b/>
      <w:bCs/>
      <w:kern w:val="0"/>
      <w:sz w:val="20"/>
      <w:szCs w:val="20"/>
    </w:rPr>
  </w:style>
  <w:style w:type="paragraph" w:customStyle="1" w:styleId="472">
    <w:name w:val="xl150"/>
    <w:basedOn w:val="1"/>
    <w:qFormat/>
    <w:uiPriority w:val="0"/>
    <w:pPr>
      <w:widowControl/>
      <w:pBdr>
        <w:bottom w:val="single" w:color="auto" w:sz="4" w:space="0"/>
        <w:right w:val="single" w:color="auto" w:sz="4" w:space="0"/>
      </w:pBdr>
      <w:spacing w:before="100" w:beforeAutospacing="1" w:after="100" w:afterAutospacing="1" w:line="240" w:lineRule="auto"/>
      <w:textAlignment w:val="center"/>
    </w:pPr>
    <w:rPr>
      <w:rFonts w:ascii="Arial Unicode MS" w:hAnsi="Arial Unicode MS"/>
      <w:color w:val="000000"/>
      <w:kern w:val="0"/>
      <w:sz w:val="20"/>
      <w:szCs w:val="20"/>
    </w:rPr>
  </w:style>
  <w:style w:type="paragraph" w:customStyle="1" w:styleId="473">
    <w:name w:val="p17"/>
    <w:basedOn w:val="1"/>
    <w:qFormat/>
    <w:uiPriority w:val="0"/>
    <w:pPr>
      <w:widowControl/>
      <w:spacing w:line="240" w:lineRule="auto"/>
    </w:pPr>
    <w:rPr>
      <w:kern w:val="0"/>
      <w:sz w:val="21"/>
      <w:szCs w:val="21"/>
    </w:rPr>
  </w:style>
  <w:style w:type="paragraph" w:customStyle="1" w:styleId="474">
    <w:name w:val="font14"/>
    <w:basedOn w:val="1"/>
    <w:qFormat/>
    <w:uiPriority w:val="0"/>
    <w:pPr>
      <w:widowControl/>
      <w:spacing w:before="100" w:beforeAutospacing="1" w:after="100" w:afterAutospacing="1" w:line="240" w:lineRule="auto"/>
      <w:jc w:val="left"/>
    </w:pPr>
    <w:rPr>
      <w:rFonts w:ascii="宋体"/>
      <w:kern w:val="0"/>
      <w:sz w:val="20"/>
      <w:szCs w:val="20"/>
    </w:rPr>
  </w:style>
  <w:style w:type="paragraph" w:customStyle="1" w:styleId="475">
    <w:name w:val="xl14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b/>
      <w:bCs/>
      <w:kern w:val="0"/>
      <w:sz w:val="20"/>
      <w:szCs w:val="20"/>
    </w:rPr>
  </w:style>
  <w:style w:type="paragraph" w:customStyle="1" w:styleId="476">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right"/>
    </w:pPr>
    <w:rPr>
      <w:rFonts w:ascii="Arial Unicode MS" w:hAnsi="Arial Unicode MS"/>
      <w:kern w:val="0"/>
      <w:sz w:val="20"/>
      <w:szCs w:val="20"/>
    </w:rPr>
  </w:style>
  <w:style w:type="paragraph" w:customStyle="1" w:styleId="477">
    <w:name w:val="xl14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olor w:val="0000FF"/>
      <w:kern w:val="0"/>
      <w:sz w:val="20"/>
      <w:szCs w:val="20"/>
    </w:rPr>
  </w:style>
  <w:style w:type="paragraph" w:customStyle="1" w:styleId="478">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olor w:val="000000"/>
      <w:kern w:val="0"/>
      <w:sz w:val="20"/>
      <w:szCs w:val="20"/>
    </w:rPr>
  </w:style>
  <w:style w:type="paragraph" w:customStyle="1" w:styleId="479">
    <w:name w:val="xl50"/>
    <w:basedOn w:val="1"/>
    <w:qFormat/>
    <w:uiPriority w:val="0"/>
    <w:pPr>
      <w:widowControl/>
      <w:pBdr>
        <w:left w:val="single" w:color="auto" w:sz="4" w:space="0"/>
      </w:pBdr>
      <w:spacing w:before="100" w:beforeAutospacing="1" w:after="100" w:afterAutospacing="1" w:line="240" w:lineRule="auto"/>
      <w:jc w:val="left"/>
    </w:pPr>
    <w:rPr>
      <w:rFonts w:eastAsia="Times New Roman"/>
      <w:kern w:val="0"/>
      <w:sz w:val="40"/>
      <w:szCs w:val="40"/>
    </w:rPr>
  </w:style>
  <w:style w:type="paragraph" w:customStyle="1" w:styleId="480">
    <w:name w:val="xl185"/>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b/>
      <w:bCs/>
      <w:kern w:val="0"/>
      <w:sz w:val="24"/>
      <w:szCs w:val="24"/>
    </w:rPr>
  </w:style>
  <w:style w:type="paragraph" w:customStyle="1" w:styleId="481">
    <w:name w:val="Char Char Char Char Char Char Char6"/>
    <w:basedOn w:val="1"/>
    <w:qFormat/>
    <w:uiPriority w:val="0"/>
    <w:pPr>
      <w:spacing w:line="240" w:lineRule="auto"/>
    </w:pPr>
    <w:rPr>
      <w:sz w:val="21"/>
      <w:szCs w:val="24"/>
    </w:rPr>
  </w:style>
  <w:style w:type="paragraph" w:customStyle="1" w:styleId="48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eastAsia="Arial Unicode MS"/>
      <w:kern w:val="0"/>
      <w:sz w:val="24"/>
      <w:szCs w:val="24"/>
    </w:rPr>
  </w:style>
  <w:style w:type="paragraph" w:customStyle="1" w:styleId="483">
    <w:name w:val="标"/>
    <w:basedOn w:val="1"/>
    <w:qFormat/>
    <w:uiPriority w:val="0"/>
    <w:pPr>
      <w:spacing w:line="700" w:lineRule="exact"/>
      <w:jc w:val="center"/>
    </w:pPr>
    <w:rPr>
      <w:rFonts w:eastAsia="黑体"/>
      <w:b/>
      <w:sz w:val="48"/>
      <w:szCs w:val="24"/>
    </w:rPr>
  </w:style>
  <w:style w:type="paragraph" w:customStyle="1" w:styleId="484">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b/>
      <w:bCs/>
      <w:color w:val="000000"/>
      <w:kern w:val="0"/>
      <w:sz w:val="20"/>
      <w:szCs w:val="20"/>
    </w:rPr>
  </w:style>
  <w:style w:type="paragraph" w:customStyle="1" w:styleId="485">
    <w:name w:val="_Style 45"/>
    <w:next w:val="1"/>
    <w:qFormat/>
    <w:uiPriority w:val="0"/>
    <w:pPr>
      <w:widowControl w:val="0"/>
      <w:spacing w:line="520" w:lineRule="exact"/>
    </w:pPr>
    <w:rPr>
      <w:rFonts w:ascii="Times New Roman" w:hAnsi="Times New Roman" w:eastAsia="宋体" w:cs="Times New Roman"/>
      <w:kern w:val="2"/>
      <w:sz w:val="28"/>
      <w:szCs w:val="24"/>
      <w:lang w:val="en-US" w:eastAsia="zh-CN" w:bidi="ar-SA"/>
    </w:rPr>
  </w:style>
  <w:style w:type="paragraph" w:customStyle="1" w:styleId="486">
    <w:name w:val="xl190"/>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b/>
      <w:bCs/>
      <w:kern w:val="0"/>
      <w:sz w:val="24"/>
      <w:szCs w:val="24"/>
    </w:rPr>
  </w:style>
  <w:style w:type="paragraph" w:customStyle="1" w:styleId="487">
    <w:name w:val="xl1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textAlignment w:val="center"/>
    </w:pPr>
    <w:rPr>
      <w:rFonts w:ascii="Arial Unicode MS" w:hAnsi="Arial Unicode MS"/>
      <w:b/>
      <w:bCs/>
      <w:color w:val="000000"/>
      <w:kern w:val="0"/>
      <w:sz w:val="20"/>
      <w:szCs w:val="20"/>
    </w:rPr>
  </w:style>
  <w:style w:type="paragraph" w:customStyle="1" w:styleId="488">
    <w:name w:val="xl60"/>
    <w:basedOn w:val="1"/>
    <w:qFormat/>
    <w:uiPriority w:val="0"/>
    <w:pPr>
      <w:widowControl/>
      <w:spacing w:before="100" w:beforeAutospacing="1" w:after="100" w:afterAutospacing="1" w:line="240" w:lineRule="auto"/>
      <w:jc w:val="left"/>
    </w:pPr>
    <w:rPr>
      <w:rFonts w:ascii="Arial" w:hAnsi="Arial" w:eastAsia="Times New Roman" w:cs="Arial"/>
      <w:kern w:val="0"/>
      <w:sz w:val="36"/>
      <w:szCs w:val="36"/>
    </w:rPr>
  </w:style>
  <w:style w:type="paragraph" w:customStyle="1" w:styleId="489">
    <w:name w:val="xl46"/>
    <w:basedOn w:val="1"/>
    <w:qFormat/>
    <w:uiPriority w:val="0"/>
    <w:pPr>
      <w:widowControl/>
      <w:spacing w:before="100" w:beforeAutospacing="1" w:after="100" w:afterAutospacing="1" w:line="240" w:lineRule="auto"/>
      <w:jc w:val="center"/>
    </w:pPr>
    <w:rPr>
      <w:rFonts w:ascii="宋体" w:cs="宋体"/>
      <w:kern w:val="0"/>
      <w:sz w:val="24"/>
      <w:szCs w:val="24"/>
    </w:rPr>
  </w:style>
  <w:style w:type="paragraph" w:customStyle="1" w:styleId="490">
    <w:name w:val="xl184"/>
    <w:basedOn w:val="1"/>
    <w:qFormat/>
    <w:uiPriority w:val="0"/>
    <w:pPr>
      <w:widowControl/>
      <w:pBdr>
        <w:top w:val="single" w:color="auto" w:sz="4" w:space="0"/>
        <w:bottom w:val="single" w:color="auto" w:sz="4" w:space="0"/>
      </w:pBdr>
      <w:spacing w:before="100" w:beforeAutospacing="1" w:after="100" w:afterAutospacing="1" w:line="240" w:lineRule="auto"/>
      <w:jc w:val="left"/>
      <w:textAlignment w:val="center"/>
    </w:pPr>
    <w:rPr>
      <w:rFonts w:ascii="Arial Unicode MS" w:hAnsi="Arial Unicode MS"/>
      <w:b/>
      <w:bCs/>
      <w:kern w:val="0"/>
      <w:sz w:val="24"/>
      <w:szCs w:val="24"/>
    </w:rPr>
  </w:style>
  <w:style w:type="paragraph" w:customStyle="1" w:styleId="491">
    <w:name w:val="标题 2 + 加粗 行距: 固定值 30 磅"/>
    <w:basedOn w:val="4"/>
    <w:qFormat/>
    <w:uiPriority w:val="0"/>
    <w:pPr>
      <w:spacing w:before="260" w:after="260" w:line="600" w:lineRule="exact"/>
    </w:pPr>
    <w:rPr>
      <w:rFonts w:ascii="Times New Roman" w:hAnsi="Times New Roman" w:eastAsia="宋体" w:cs="Times New Roman"/>
      <w:b/>
      <w:bCs w:val="0"/>
      <w:kern w:val="44"/>
      <w:szCs w:val="30"/>
      <w:lang w:val="zh-CN"/>
    </w:rPr>
  </w:style>
  <w:style w:type="paragraph" w:customStyle="1" w:styleId="49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cs="宋体"/>
      <w:b/>
      <w:bCs/>
      <w:kern w:val="0"/>
      <w:sz w:val="20"/>
      <w:szCs w:val="20"/>
    </w:rPr>
  </w:style>
  <w:style w:type="paragraph" w:customStyle="1" w:styleId="493">
    <w:name w:val="样式 ZW + 首行缩进:  2 字符1"/>
    <w:basedOn w:val="1"/>
    <w:qFormat/>
    <w:uiPriority w:val="0"/>
    <w:pPr>
      <w:widowControl/>
      <w:adjustRightInd w:val="0"/>
      <w:ind w:firstLine="200" w:firstLineChars="200"/>
    </w:pPr>
    <w:rPr>
      <w:rFonts w:ascii="宋体"/>
      <w:spacing w:val="10"/>
      <w:w w:val="99"/>
      <w:kern w:val="0"/>
    </w:rPr>
  </w:style>
  <w:style w:type="paragraph" w:customStyle="1" w:styleId="494">
    <w:name w:val="xl57"/>
    <w:basedOn w:val="1"/>
    <w:qFormat/>
    <w:uiPriority w:val="0"/>
    <w:pPr>
      <w:widowControl/>
      <w:spacing w:before="100" w:beforeAutospacing="1" w:after="100" w:afterAutospacing="1" w:line="240" w:lineRule="auto"/>
      <w:jc w:val="left"/>
    </w:pPr>
    <w:rPr>
      <w:rFonts w:ascii="Arial Unicode MS" w:hAnsi="Arial Unicode MS" w:eastAsia="Times New Roman" w:cs="Arial Unicode MS"/>
      <w:kern w:val="0"/>
      <w:sz w:val="36"/>
      <w:szCs w:val="36"/>
    </w:rPr>
  </w:style>
  <w:style w:type="paragraph" w:customStyle="1" w:styleId="495">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eastAsia="Times New Roman"/>
      <w:kern w:val="0"/>
      <w:sz w:val="40"/>
      <w:szCs w:val="40"/>
    </w:rPr>
  </w:style>
  <w:style w:type="paragraph" w:customStyle="1" w:styleId="49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cs="宋体"/>
      <w:kern w:val="0"/>
      <w:sz w:val="20"/>
      <w:szCs w:val="20"/>
    </w:rPr>
  </w:style>
  <w:style w:type="paragraph" w:customStyle="1" w:styleId="497">
    <w:name w:val="xl129"/>
    <w:basedOn w:val="1"/>
    <w:qFormat/>
    <w:uiPriority w:val="0"/>
    <w:pPr>
      <w:widowControl/>
      <w:spacing w:before="100" w:beforeAutospacing="1" w:after="100" w:afterAutospacing="1" w:line="240" w:lineRule="auto"/>
      <w:jc w:val="left"/>
    </w:pPr>
    <w:rPr>
      <w:rFonts w:ascii="Arial Unicode MS" w:hAnsi="Arial Unicode MS"/>
      <w:kern w:val="0"/>
      <w:sz w:val="20"/>
      <w:szCs w:val="20"/>
    </w:rPr>
  </w:style>
  <w:style w:type="paragraph" w:customStyle="1" w:styleId="498">
    <w:name w:val="font1024090"/>
    <w:basedOn w:val="1"/>
    <w:qFormat/>
    <w:uiPriority w:val="0"/>
    <w:pPr>
      <w:widowControl/>
      <w:spacing w:before="100" w:beforeAutospacing="1" w:after="100" w:afterAutospacing="1" w:line="240" w:lineRule="auto"/>
      <w:jc w:val="left"/>
    </w:pPr>
    <w:rPr>
      <w:kern w:val="0"/>
      <w:sz w:val="21"/>
      <w:szCs w:val="21"/>
    </w:rPr>
  </w:style>
  <w:style w:type="paragraph" w:customStyle="1" w:styleId="499">
    <w:name w:val="font1"/>
    <w:basedOn w:val="1"/>
    <w:qFormat/>
    <w:uiPriority w:val="0"/>
    <w:pPr>
      <w:widowControl/>
      <w:spacing w:before="100" w:beforeAutospacing="1" w:after="100" w:afterAutospacing="1" w:line="240" w:lineRule="auto"/>
      <w:jc w:val="left"/>
    </w:pPr>
    <w:rPr>
      <w:b/>
      <w:bCs/>
      <w:kern w:val="0"/>
      <w:sz w:val="24"/>
      <w:szCs w:val="24"/>
    </w:rPr>
  </w:style>
  <w:style w:type="paragraph" w:customStyle="1" w:styleId="500">
    <w:name w:val="样式16"/>
    <w:basedOn w:val="3"/>
    <w:qFormat/>
    <w:uiPriority w:val="0"/>
    <w:pPr>
      <w:keepNext w:val="0"/>
      <w:keepLines w:val="0"/>
      <w:widowControl w:val="0"/>
      <w:tabs>
        <w:tab w:val="left" w:pos="425"/>
        <w:tab w:val="left" w:pos="567"/>
      </w:tabs>
      <w:autoSpaceDE w:val="0"/>
      <w:autoSpaceDN w:val="0"/>
      <w:adjustRightInd w:val="0"/>
      <w:spacing w:before="0" w:after="0" w:line="240" w:lineRule="auto"/>
      <w:ind w:left="425" w:right="57" w:hanging="137"/>
      <w:jc w:val="both"/>
      <w:textAlignment w:val="top"/>
    </w:pPr>
    <w:rPr>
      <w:rFonts w:ascii="宋体" w:eastAsia="宋体" w:cs="宋体"/>
      <w:bCs w:val="0"/>
      <w:color w:val="000000"/>
      <w:spacing w:val="20"/>
      <w:sz w:val="28"/>
      <w:szCs w:val="28"/>
      <w:lang w:val="zh-CN"/>
    </w:rPr>
  </w:style>
  <w:style w:type="paragraph" w:customStyle="1" w:styleId="501">
    <w:name w:val="xl191"/>
    <w:basedOn w:val="1"/>
    <w:qFormat/>
    <w:uiPriority w:val="0"/>
    <w:pPr>
      <w:widowControl/>
      <w:pBdr>
        <w:top w:val="single" w:color="auto" w:sz="4" w:space="0"/>
        <w:bottom w:val="single" w:color="auto" w:sz="4" w:space="0"/>
      </w:pBdr>
      <w:spacing w:before="100" w:beforeAutospacing="1" w:after="100" w:afterAutospacing="1" w:line="240" w:lineRule="auto"/>
      <w:jc w:val="left"/>
    </w:pPr>
    <w:rPr>
      <w:b/>
      <w:bCs/>
      <w:kern w:val="0"/>
      <w:sz w:val="24"/>
      <w:szCs w:val="24"/>
    </w:rPr>
  </w:style>
  <w:style w:type="paragraph" w:customStyle="1" w:styleId="502">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color w:val="0000FF"/>
      <w:kern w:val="0"/>
      <w:sz w:val="20"/>
      <w:szCs w:val="20"/>
    </w:rPr>
  </w:style>
  <w:style w:type="paragraph" w:customStyle="1" w:styleId="503">
    <w:name w:val="xl19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Arial Unicode MS" w:hAnsi="Arial Unicode MS"/>
      <w:kern w:val="0"/>
      <w:sz w:val="24"/>
      <w:szCs w:val="24"/>
    </w:rPr>
  </w:style>
  <w:style w:type="paragraph" w:customStyle="1" w:styleId="504">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b/>
      <w:bCs/>
      <w:color w:val="000000"/>
      <w:kern w:val="0"/>
      <w:sz w:val="20"/>
      <w:szCs w:val="20"/>
    </w:rPr>
  </w:style>
  <w:style w:type="paragraph" w:customStyle="1" w:styleId="505">
    <w:name w:val="xl196"/>
    <w:basedOn w:val="1"/>
    <w:qFormat/>
    <w:uiPriority w:val="0"/>
    <w:pPr>
      <w:widowControl/>
      <w:pBdr>
        <w:top w:val="single" w:color="auto" w:sz="4" w:space="0"/>
        <w:bottom w:val="single" w:color="auto" w:sz="4" w:space="0"/>
      </w:pBdr>
      <w:spacing w:before="100" w:beforeAutospacing="1" w:after="100" w:afterAutospacing="1" w:line="240" w:lineRule="auto"/>
      <w:jc w:val="center"/>
    </w:pPr>
    <w:rPr>
      <w:rFonts w:ascii="Arial Unicode MS" w:hAnsi="Arial Unicode MS"/>
      <w:kern w:val="0"/>
      <w:sz w:val="24"/>
      <w:szCs w:val="24"/>
    </w:rPr>
  </w:style>
  <w:style w:type="paragraph" w:customStyle="1" w:styleId="506">
    <w:name w:val="font624090"/>
    <w:basedOn w:val="1"/>
    <w:uiPriority w:val="0"/>
    <w:pPr>
      <w:widowControl/>
      <w:spacing w:before="100" w:beforeAutospacing="1" w:after="100" w:afterAutospacing="1" w:line="240" w:lineRule="auto"/>
      <w:jc w:val="left"/>
    </w:pPr>
    <w:rPr>
      <w:rFonts w:ascii="宋体" w:cs="宋体"/>
      <w:kern w:val="0"/>
      <w:sz w:val="22"/>
      <w:szCs w:val="22"/>
    </w:rPr>
  </w:style>
  <w:style w:type="paragraph" w:customStyle="1" w:styleId="507">
    <w:name w:val="标题3"/>
    <w:basedOn w:val="5"/>
    <w:qFormat/>
    <w:uiPriority w:val="0"/>
    <w:pPr>
      <w:tabs>
        <w:tab w:val="left" w:pos="720"/>
      </w:tabs>
      <w:overflowPunct w:val="0"/>
      <w:adjustRightInd w:val="0"/>
      <w:spacing w:after="120" w:line="360" w:lineRule="auto"/>
      <w:ind w:left="720" w:hanging="720"/>
      <w:textAlignment w:val="baseline"/>
    </w:pPr>
    <w:rPr>
      <w:rFonts w:ascii="宋体" w:hAnsi="宋体" w:eastAsia="黑体"/>
      <w:b/>
      <w:bCs w:val="0"/>
      <w:color w:val="008000"/>
      <w:kern w:val="28"/>
      <w:sz w:val="28"/>
      <w:szCs w:val="20"/>
      <w:lang w:val="zh-CN"/>
    </w:rPr>
  </w:style>
  <w:style w:type="paragraph" w:customStyle="1" w:styleId="508">
    <w:name w:val="xl2924090"/>
    <w:basedOn w:val="1"/>
    <w:uiPriority w:val="0"/>
    <w:pPr>
      <w:widowControl/>
      <w:pBdr>
        <w:top w:val="single" w:color="auto" w:sz="4" w:space="1"/>
        <w:left w:val="single" w:color="auto" w:sz="4" w:space="1"/>
        <w:bottom w:val="single" w:color="auto" w:sz="4" w:space="0"/>
        <w:right w:val="single" w:color="auto" w:sz="4" w:space="1"/>
      </w:pBdr>
      <w:spacing w:before="100" w:beforeAutospacing="1" w:after="100" w:afterAutospacing="1" w:line="240" w:lineRule="auto"/>
      <w:jc w:val="center"/>
      <w:textAlignment w:val="center"/>
    </w:pPr>
    <w:rPr>
      <w:rFonts w:ascii="宋体" w:cs="宋体"/>
      <w:kern w:val="0"/>
      <w:sz w:val="24"/>
      <w:szCs w:val="24"/>
    </w:rPr>
  </w:style>
  <w:style w:type="paragraph" w:customStyle="1" w:styleId="50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olor w:val="000000"/>
      <w:kern w:val="0"/>
      <w:sz w:val="20"/>
      <w:szCs w:val="20"/>
    </w:rPr>
  </w:style>
  <w:style w:type="paragraph" w:customStyle="1" w:styleId="510">
    <w:name w:val="xl62"/>
    <w:basedOn w:val="1"/>
    <w:qFormat/>
    <w:uiPriority w:val="0"/>
    <w:pPr>
      <w:widowControl/>
      <w:spacing w:before="100" w:beforeAutospacing="1" w:after="100" w:afterAutospacing="1" w:line="240" w:lineRule="auto"/>
      <w:jc w:val="left"/>
    </w:pPr>
    <w:rPr>
      <w:rFonts w:ascii="宋体" w:cs="宋体"/>
      <w:kern w:val="0"/>
      <w:sz w:val="36"/>
      <w:szCs w:val="36"/>
    </w:rPr>
  </w:style>
  <w:style w:type="paragraph" w:customStyle="1" w:styleId="511">
    <w:name w:val="单位及时间"/>
    <w:basedOn w:val="7"/>
    <w:uiPriority w:val="0"/>
    <w:pPr>
      <w:keepLines w:val="0"/>
      <w:widowControl w:val="0"/>
      <w:tabs>
        <w:tab w:val="left" w:pos="1008"/>
        <w:tab w:val="clear" w:pos="700"/>
      </w:tabs>
      <w:overflowPunct/>
      <w:autoSpaceDE w:val="0"/>
      <w:autoSpaceDN w:val="0"/>
      <w:spacing w:line="240" w:lineRule="auto"/>
      <w:ind w:left="1008" w:hanging="1008"/>
      <w:jc w:val="center"/>
      <w:textAlignment w:val="top"/>
    </w:pPr>
    <w:rPr>
      <w:rFonts w:ascii="Arial" w:hAnsi="Arial" w:eastAsia="仿宋_GB2312"/>
      <w:b/>
      <w:color w:val="000000"/>
      <w:kern w:val="2"/>
      <w:sz w:val="32"/>
    </w:rPr>
  </w:style>
  <w:style w:type="paragraph" w:customStyle="1" w:styleId="512">
    <w:name w:val="xl11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olor w:val="0000FF"/>
      <w:kern w:val="0"/>
      <w:sz w:val="20"/>
      <w:szCs w:val="20"/>
    </w:rPr>
  </w:style>
  <w:style w:type="paragraph" w:customStyle="1" w:styleId="513">
    <w:name w:val="样式 标题 21.1标题 2 + 宋体"/>
    <w:basedOn w:val="4"/>
    <w:qFormat/>
    <w:uiPriority w:val="0"/>
    <w:pPr>
      <w:keepNext w:val="0"/>
      <w:keepLines w:val="0"/>
      <w:widowControl w:val="0"/>
      <w:tabs>
        <w:tab w:val="left" w:pos="567"/>
        <w:tab w:val="left" w:pos="721"/>
      </w:tabs>
      <w:autoSpaceDE w:val="0"/>
      <w:autoSpaceDN w:val="0"/>
      <w:adjustRightInd w:val="0"/>
      <w:snapToGrid w:val="0"/>
      <w:spacing w:before="120" w:after="50" w:afterLines="50" w:line="240" w:lineRule="auto"/>
      <w:ind w:left="136" w:hanging="136"/>
      <w:jc w:val="left"/>
      <w:textAlignment w:val="top"/>
    </w:pPr>
    <w:rPr>
      <w:rFonts w:ascii="宋体" w:eastAsia="宋体" w:cs="Times New Roman"/>
      <w:b/>
      <w:color w:val="000000"/>
      <w:szCs w:val="20"/>
      <w:lang w:val="zh-CN"/>
    </w:rPr>
  </w:style>
  <w:style w:type="paragraph" w:customStyle="1" w:styleId="51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cs="宋体"/>
      <w:kern w:val="0"/>
      <w:sz w:val="40"/>
      <w:szCs w:val="40"/>
    </w:rPr>
  </w:style>
  <w:style w:type="paragraph" w:customStyle="1" w:styleId="515">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eastAsia="Arial Unicode MS" w:cs="Arial Unicode MS"/>
      <w:kern w:val="0"/>
      <w:sz w:val="24"/>
      <w:szCs w:val="24"/>
    </w:rPr>
  </w:style>
  <w:style w:type="paragraph" w:customStyle="1" w:styleId="516">
    <w:name w:val="et20"/>
    <w:basedOn w:val="1"/>
    <w:uiPriority w:val="0"/>
    <w:pPr>
      <w:widowControl/>
      <w:spacing w:before="100" w:beforeAutospacing="1" w:after="100" w:afterAutospacing="1" w:line="240" w:lineRule="auto"/>
      <w:jc w:val="left"/>
      <w:textAlignment w:val="bottom"/>
    </w:pPr>
    <w:rPr>
      <w:color w:val="000000"/>
      <w:kern w:val="0"/>
      <w:sz w:val="24"/>
      <w:szCs w:val="24"/>
    </w:rPr>
  </w:style>
  <w:style w:type="paragraph" w:customStyle="1" w:styleId="517">
    <w:name w:val="xl135"/>
    <w:basedOn w:val="1"/>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kern w:val="0"/>
      <w:sz w:val="20"/>
      <w:szCs w:val="20"/>
    </w:rPr>
  </w:style>
  <w:style w:type="paragraph" w:customStyle="1" w:styleId="51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Arial Unicode MS" w:hAnsi="Arial Unicode MS"/>
      <w:color w:val="000000"/>
      <w:kern w:val="0"/>
      <w:sz w:val="20"/>
      <w:szCs w:val="20"/>
    </w:rPr>
  </w:style>
  <w:style w:type="paragraph" w:customStyle="1" w:styleId="51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cs="宋体"/>
      <w:b/>
      <w:bCs/>
      <w:kern w:val="0"/>
      <w:sz w:val="20"/>
      <w:szCs w:val="20"/>
    </w:rPr>
  </w:style>
  <w:style w:type="paragraph" w:customStyle="1" w:styleId="520">
    <w:name w:val="xl51"/>
    <w:basedOn w:val="1"/>
    <w:qFormat/>
    <w:uiPriority w:val="0"/>
    <w:pPr>
      <w:widowControl/>
      <w:pBdr>
        <w:top w:val="single" w:color="auto" w:sz="4" w:space="0"/>
        <w:left w:val="single" w:color="auto" w:sz="4" w:space="0"/>
      </w:pBdr>
      <w:spacing w:before="100" w:beforeAutospacing="1" w:after="100" w:afterAutospacing="1" w:line="240" w:lineRule="auto"/>
      <w:jc w:val="center"/>
    </w:pPr>
    <w:rPr>
      <w:rFonts w:ascii="宋体" w:cs="宋体"/>
      <w:kern w:val="0"/>
    </w:rPr>
  </w:style>
  <w:style w:type="paragraph" w:customStyle="1" w:styleId="521">
    <w:name w:val="xl1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kern w:val="0"/>
      <w:sz w:val="20"/>
      <w:szCs w:val="20"/>
    </w:rPr>
  </w:style>
  <w:style w:type="paragraph" w:customStyle="1" w:styleId="522">
    <w:name w:val="深圳3"/>
    <w:basedOn w:val="5"/>
    <w:uiPriority w:val="0"/>
    <w:pPr>
      <w:spacing w:after="120" w:line="360" w:lineRule="auto"/>
    </w:pPr>
    <w:rPr>
      <w:rFonts w:eastAsia="黑体" w:cs="宋体"/>
      <w:b/>
      <w:bCs w:val="0"/>
      <w:sz w:val="24"/>
      <w:szCs w:val="24"/>
      <w:lang w:val="zh-CN"/>
    </w:rPr>
  </w:style>
  <w:style w:type="paragraph" w:customStyle="1" w:styleId="523">
    <w:name w:val="xl14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Arial Unicode MS" w:hAnsi="Arial Unicode MS"/>
      <w:kern w:val="0"/>
      <w:sz w:val="20"/>
      <w:szCs w:val="20"/>
    </w:rPr>
  </w:style>
  <w:style w:type="paragraph" w:customStyle="1" w:styleId="524">
    <w:name w:val="xl47"/>
    <w:basedOn w:val="1"/>
    <w:qFormat/>
    <w:uiPriority w:val="0"/>
    <w:pPr>
      <w:widowControl/>
      <w:pBdr>
        <w:bottom w:val="single" w:color="auto" w:sz="4" w:space="0"/>
      </w:pBdr>
      <w:spacing w:before="100" w:beforeAutospacing="1" w:after="100" w:afterAutospacing="1" w:line="240" w:lineRule="auto"/>
      <w:jc w:val="center"/>
      <w:textAlignment w:val="center"/>
    </w:pPr>
    <w:rPr>
      <w:rFonts w:ascii="宋体" w:cs="宋体"/>
      <w:kern w:val="0"/>
    </w:rPr>
  </w:style>
  <w:style w:type="paragraph" w:customStyle="1" w:styleId="525">
    <w:name w:val="石榴石正文 (中文) 仿宋_GB2312 四号 首行缩进:  2 字符"/>
    <w:basedOn w:val="17"/>
    <w:uiPriority w:val="0"/>
    <w:pPr>
      <w:spacing w:line="240" w:lineRule="auto"/>
      <w:ind w:firstLine="0" w:firstLineChars="0"/>
      <w:jc w:val="center"/>
    </w:pPr>
    <w:rPr>
      <w:rFonts w:ascii="宋体"/>
      <w:b/>
      <w:sz w:val="24"/>
      <w:szCs w:val="22"/>
      <w:lang w:val="zh-CN"/>
    </w:rPr>
  </w:style>
  <w:style w:type="paragraph" w:customStyle="1" w:styleId="526">
    <w:name w:val="xl151"/>
    <w:basedOn w:val="1"/>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line="240" w:lineRule="auto"/>
      <w:jc w:val="center"/>
      <w:textAlignment w:val="center"/>
    </w:pPr>
    <w:rPr>
      <w:rFonts w:ascii="Arial Unicode MS" w:hAnsi="Arial Unicode MS"/>
      <w:color w:val="FF0000"/>
      <w:kern w:val="0"/>
      <w:sz w:val="20"/>
      <w:szCs w:val="20"/>
    </w:rPr>
  </w:style>
  <w:style w:type="character" w:customStyle="1" w:styleId="527">
    <w:name w:val="1.1.1标题 3 Char Char1"/>
    <w:uiPriority w:val="0"/>
    <w:rPr>
      <w:rFonts w:eastAsia="宋体"/>
      <w:b/>
      <w:bCs/>
      <w:kern w:val="2"/>
      <w:sz w:val="30"/>
      <w:szCs w:val="32"/>
      <w:lang w:val="en-US" w:eastAsia="zh-CN" w:bidi="ar-SA"/>
    </w:rPr>
  </w:style>
  <w:style w:type="character" w:customStyle="1" w:styleId="528">
    <w:name w:val="Char Char12"/>
    <w:uiPriority w:val="0"/>
    <w:rPr>
      <w:rFonts w:ascii="宋体" w:hAnsi="宋体" w:cs="Courier New"/>
      <w:kern w:val="2"/>
      <w:sz w:val="21"/>
      <w:szCs w:val="21"/>
    </w:rPr>
  </w:style>
  <w:style w:type="paragraph" w:customStyle="1" w:styleId="529">
    <w:name w:val="样式 表头 +1"/>
    <w:basedOn w:val="78"/>
    <w:uiPriority w:val="0"/>
    <w:rPr>
      <w:rFonts w:ascii="Times New Roman" w:hAnsi="Times New Roman"/>
      <w:iCs w:val="0"/>
      <w:kern w:val="0"/>
      <w:szCs w:val="20"/>
    </w:rPr>
  </w:style>
  <w:style w:type="paragraph" w:customStyle="1" w:styleId="530">
    <w:name w:val="样式 表头 + 首行缩进:  2 字符1"/>
    <w:basedOn w:val="78"/>
    <w:qFormat/>
    <w:uiPriority w:val="0"/>
    <w:pPr>
      <w:overflowPunct w:val="0"/>
      <w:adjustRightInd w:val="0"/>
      <w:textAlignment w:val="baseline"/>
    </w:pPr>
    <w:rPr>
      <w:rFonts w:ascii="宋体" w:hAnsi="宋体" w:cs="宋体"/>
      <w:iCs w:val="0"/>
      <w:kern w:val="24"/>
      <w:szCs w:val="20"/>
    </w:rPr>
  </w:style>
  <w:style w:type="paragraph" w:customStyle="1" w:styleId="531">
    <w:name w:val="样式 表头 + (符号) 宋体"/>
    <w:basedOn w:val="78"/>
    <w:qFormat/>
    <w:uiPriority w:val="0"/>
    <w:rPr>
      <w:rFonts w:ascii="Times New Roman" w:hAnsi="Times New Roman"/>
      <w:iCs w:val="0"/>
      <w:lang w:val="zh-CN"/>
    </w:rPr>
  </w:style>
  <w:style w:type="paragraph" w:customStyle="1" w:styleId="532">
    <w:name w:val="样式 表头 + 行距: 固定值 26 磅"/>
    <w:basedOn w:val="78"/>
    <w:uiPriority w:val="0"/>
    <w:rPr>
      <w:rFonts w:ascii="Times New Roman" w:hAnsi="Times New Roman" w:cs="宋体"/>
      <w:iCs w:val="0"/>
      <w:szCs w:val="20"/>
    </w:rPr>
  </w:style>
  <w:style w:type="paragraph" w:customStyle="1" w:styleId="533">
    <w:name w:val="z-窗体底端1"/>
    <w:basedOn w:val="1"/>
    <w:next w:val="1"/>
    <w:qFormat/>
    <w:uiPriority w:val="0"/>
    <w:pPr>
      <w:pBdr>
        <w:top w:val="single" w:color="auto" w:sz="6" w:space="1"/>
      </w:pBdr>
      <w:spacing w:line="240" w:lineRule="auto"/>
      <w:jc w:val="center"/>
    </w:pPr>
    <w:rPr>
      <w:rFonts w:ascii="Arial" w:hAnsi="Arial"/>
      <w:vanish/>
      <w:sz w:val="16"/>
      <w:szCs w:val="16"/>
      <w:lang w:val="zh-CN"/>
    </w:rPr>
  </w:style>
  <w:style w:type="paragraph" w:customStyle="1" w:styleId="534">
    <w:name w:val="z-窗体顶端1"/>
    <w:basedOn w:val="1"/>
    <w:next w:val="1"/>
    <w:qFormat/>
    <w:uiPriority w:val="0"/>
    <w:pPr>
      <w:pBdr>
        <w:bottom w:val="single" w:color="auto" w:sz="6" w:space="1"/>
      </w:pBdr>
      <w:spacing w:line="240" w:lineRule="auto"/>
      <w:jc w:val="center"/>
    </w:pPr>
    <w:rPr>
      <w:rFonts w:ascii="Arial" w:hAnsi="Arial"/>
      <w:vanish/>
      <w:sz w:val="16"/>
      <w:szCs w:val="16"/>
      <w:lang w:val="zh-CN"/>
    </w:rPr>
  </w:style>
  <w:style w:type="paragraph" w:customStyle="1" w:styleId="535">
    <w:name w:val="样式 宋体 段前: 2 磅 段后: 2 磅"/>
    <w:basedOn w:val="1"/>
    <w:qFormat/>
    <w:uiPriority w:val="0"/>
    <w:pPr>
      <w:spacing w:before="40" w:after="40" w:line="240" w:lineRule="auto"/>
      <w:ind w:firstLine="163" w:firstLineChars="163"/>
    </w:pPr>
    <w:rPr>
      <w:sz w:val="24"/>
      <w:szCs w:val="24"/>
    </w:rPr>
  </w:style>
  <w:style w:type="paragraph" w:customStyle="1" w:styleId="536">
    <w:name w:val="Char1 Char Char Char"/>
    <w:basedOn w:val="1"/>
    <w:qFormat/>
    <w:uiPriority w:val="0"/>
    <w:pPr>
      <w:snapToGrid w:val="0"/>
      <w:spacing w:line="440" w:lineRule="atLeast"/>
    </w:pPr>
    <w:rPr>
      <w:rFonts w:ascii="宋体"/>
      <w:sz w:val="24"/>
      <w:szCs w:val="24"/>
    </w:rPr>
  </w:style>
  <w:style w:type="paragraph" w:customStyle="1" w:styleId="537">
    <w:name w:val="正文格式"/>
    <w:basedOn w:val="1"/>
    <w:qFormat/>
    <w:uiPriority w:val="0"/>
    <w:pPr>
      <w:spacing w:line="480" w:lineRule="exact"/>
      <w:ind w:firstLine="567"/>
    </w:pPr>
    <w:rPr>
      <w:rFonts w:eastAsia="仿宋_GB2312"/>
      <w:szCs w:val="20"/>
    </w:rPr>
  </w:style>
  <w:style w:type="character" w:customStyle="1" w:styleId="538">
    <w:name w:val="标题 11 Char"/>
    <w:qFormat/>
    <w:uiPriority w:val="0"/>
    <w:rPr>
      <w:rFonts w:ascii="宋体" w:eastAsia="宋体"/>
      <w:b/>
      <w:color w:val="0000FF"/>
      <w:kern w:val="32"/>
      <w:sz w:val="32"/>
      <w:szCs w:val="24"/>
      <w:lang w:val="en-US" w:eastAsia="zh-CN" w:bidi="ar-SA"/>
    </w:rPr>
  </w:style>
  <w:style w:type="character" w:customStyle="1" w:styleId="539">
    <w:name w:val="1.1.1标题 3 Char"/>
    <w:qFormat/>
    <w:uiPriority w:val="0"/>
    <w:rPr>
      <w:rFonts w:ascii="Times New Roman" w:hAnsi="Times New Roman" w:eastAsia="宋体" w:cs="Times New Roman"/>
      <w:b/>
      <w:bCs/>
      <w:sz w:val="30"/>
      <w:szCs w:val="32"/>
    </w:rPr>
  </w:style>
  <w:style w:type="paragraph" w:customStyle="1" w:styleId="540">
    <w:name w:val="font15"/>
    <w:basedOn w:val="1"/>
    <w:uiPriority w:val="0"/>
    <w:pPr>
      <w:widowControl/>
      <w:spacing w:before="100" w:beforeAutospacing="1" w:after="100" w:afterAutospacing="1" w:line="240" w:lineRule="auto"/>
      <w:jc w:val="left"/>
    </w:pPr>
    <w:rPr>
      <w:rFonts w:ascii="宋体" w:cs="宋体"/>
      <w:kern w:val="0"/>
      <w:sz w:val="24"/>
      <w:szCs w:val="24"/>
    </w:rPr>
  </w:style>
  <w:style w:type="paragraph" w:customStyle="1" w:styleId="541">
    <w:name w:val="font16"/>
    <w:basedOn w:val="1"/>
    <w:qFormat/>
    <w:uiPriority w:val="0"/>
    <w:pPr>
      <w:widowControl/>
      <w:spacing w:before="100" w:beforeAutospacing="1" w:after="100" w:afterAutospacing="1" w:line="240" w:lineRule="auto"/>
      <w:jc w:val="left"/>
    </w:pPr>
    <w:rPr>
      <w:rFonts w:ascii="宋体" w:cs="宋体"/>
      <w:kern w:val="0"/>
      <w:sz w:val="18"/>
      <w:szCs w:val="18"/>
    </w:rPr>
  </w:style>
  <w:style w:type="paragraph" w:customStyle="1" w:styleId="542">
    <w:name w:val="font17"/>
    <w:basedOn w:val="1"/>
    <w:qFormat/>
    <w:uiPriority w:val="0"/>
    <w:pPr>
      <w:widowControl/>
      <w:spacing w:before="100" w:beforeAutospacing="1" w:after="100" w:afterAutospacing="1" w:line="240" w:lineRule="auto"/>
      <w:jc w:val="left"/>
    </w:pPr>
    <w:rPr>
      <w:rFonts w:ascii="宋体" w:cs="宋体"/>
      <w:color w:val="000000"/>
      <w:kern w:val="0"/>
      <w:sz w:val="24"/>
      <w:szCs w:val="24"/>
    </w:rPr>
  </w:style>
  <w:style w:type="paragraph" w:customStyle="1" w:styleId="543">
    <w:name w:val="Char Char Char Char Char Char Char Char Char Char Char Char Char Char Char Char Char Char Char"/>
    <w:basedOn w:val="1"/>
    <w:qFormat/>
    <w:uiPriority w:val="0"/>
    <w:pPr>
      <w:spacing w:line="240" w:lineRule="auto"/>
    </w:pPr>
    <w:rPr>
      <w:sz w:val="21"/>
      <w:szCs w:val="24"/>
    </w:rPr>
  </w:style>
  <w:style w:type="character" w:customStyle="1" w:styleId="544">
    <w:name w:val="queryrighthover"/>
    <w:uiPriority w:val="0"/>
  </w:style>
  <w:style w:type="paragraph" w:customStyle="1" w:styleId="545">
    <w:name w:val="正文文本1"/>
    <w:basedOn w:val="1"/>
    <w:qFormat/>
    <w:uiPriority w:val="0"/>
    <w:pPr>
      <w:shd w:val="clear" w:color="auto" w:fill="FFFFFF"/>
      <w:spacing w:after="240" w:line="0" w:lineRule="atLeast"/>
      <w:jc w:val="left"/>
    </w:pPr>
    <w:rPr>
      <w:rFonts w:ascii="MingLiU" w:hAnsi="MingLiU" w:eastAsia="MingLiU"/>
      <w:shd w:val="clear" w:color="auto" w:fill="FFFFFF"/>
    </w:rPr>
  </w:style>
  <w:style w:type="character" w:customStyle="1" w:styleId="546">
    <w:name w:val="正文文本缩进 Char1"/>
    <w:uiPriority w:val="0"/>
    <w:rPr>
      <w:rFonts w:ascii="Times New Roman" w:hAnsi="Times New Roman" w:eastAsia="宋体" w:cs="Times New Roman"/>
      <w:kern w:val="0"/>
      <w:sz w:val="28"/>
      <w:szCs w:val="20"/>
    </w:rPr>
  </w:style>
  <w:style w:type="character" w:customStyle="1" w:styleId="547">
    <w:name w:val="标题 1 Char1"/>
    <w:qFormat/>
    <w:uiPriority w:val="0"/>
    <w:rPr>
      <w:b/>
      <w:bCs/>
      <w:kern w:val="44"/>
      <w:sz w:val="44"/>
      <w:szCs w:val="44"/>
      <w:lang w:val="zh-CN" w:eastAsia="zh-CN"/>
    </w:rPr>
  </w:style>
  <w:style w:type="character" w:customStyle="1" w:styleId="548">
    <w:name w:val="标题 3 Char1"/>
    <w:uiPriority w:val="0"/>
    <w:rPr>
      <w:rFonts w:ascii="Times New Roman" w:hAnsi="Times New Roman"/>
      <w:b/>
      <w:bCs/>
      <w:snapToGrid w:val="0"/>
      <w:sz w:val="28"/>
      <w:szCs w:val="32"/>
      <w:lang w:val="zh-CN"/>
    </w:rPr>
  </w:style>
  <w:style w:type="character" w:customStyle="1" w:styleId="549">
    <w:name w:val="标题 4 Char1"/>
    <w:qFormat/>
    <w:uiPriority w:val="0"/>
    <w:rPr>
      <w:rFonts w:ascii="Times New Roman" w:hAnsi="Times New Roman" w:eastAsia="宋体" w:cs="Times New Roman"/>
      <w:kern w:val="28"/>
      <w:sz w:val="28"/>
      <w:szCs w:val="20"/>
    </w:rPr>
  </w:style>
  <w:style w:type="character" w:customStyle="1" w:styleId="550">
    <w:name w:val="标题 5 Char1"/>
    <w:qFormat/>
    <w:uiPriority w:val="0"/>
    <w:rPr>
      <w:rFonts w:ascii="宋体" w:eastAsia="宋体" w:cs="Times New Roman"/>
      <w:color w:val="800080"/>
      <w:kern w:val="28"/>
      <w:sz w:val="28"/>
      <w:szCs w:val="20"/>
    </w:rPr>
  </w:style>
  <w:style w:type="character" w:customStyle="1" w:styleId="551">
    <w:name w:val="标题 6 Char1"/>
    <w:qFormat/>
    <w:uiPriority w:val="0"/>
    <w:rPr>
      <w:rFonts w:ascii="Cambria" w:hAnsi="Cambria" w:eastAsia="宋体" w:cs="Times New Roman"/>
      <w:b/>
      <w:bCs/>
      <w:sz w:val="24"/>
      <w:szCs w:val="24"/>
    </w:rPr>
  </w:style>
  <w:style w:type="character" w:customStyle="1" w:styleId="552">
    <w:name w:val="标题 7 Char1"/>
    <w:qFormat/>
    <w:uiPriority w:val="0"/>
    <w:rPr>
      <w:rFonts w:ascii="宋体" w:eastAsia="宋体" w:cs="Times New Roman"/>
      <w:b/>
      <w:color w:val="FF00FF"/>
      <w:kern w:val="28"/>
      <w:sz w:val="30"/>
      <w:szCs w:val="20"/>
    </w:rPr>
  </w:style>
  <w:style w:type="character" w:customStyle="1" w:styleId="553">
    <w:name w:val="标题 8 Char1"/>
    <w:qFormat/>
    <w:uiPriority w:val="0"/>
    <w:rPr>
      <w:rFonts w:ascii="Cambria" w:hAnsi="Cambria" w:eastAsia="宋体" w:cs="Times New Roman"/>
      <w:sz w:val="24"/>
      <w:szCs w:val="24"/>
    </w:rPr>
  </w:style>
  <w:style w:type="character" w:customStyle="1" w:styleId="554">
    <w:name w:val="标题 9 Char1"/>
    <w:qFormat/>
    <w:uiPriority w:val="0"/>
    <w:rPr>
      <w:rFonts w:ascii="Cambria" w:hAnsi="Cambria" w:eastAsia="宋体" w:cs="Times New Roman"/>
      <w:szCs w:val="21"/>
    </w:rPr>
  </w:style>
  <w:style w:type="character" w:customStyle="1" w:styleId="555">
    <w:name w:val="文档结构图 Char1"/>
    <w:qFormat/>
    <w:uiPriority w:val="0"/>
    <w:rPr>
      <w:rFonts w:ascii="宋体" w:eastAsia="宋体" w:cs="Times New Roman"/>
      <w:kern w:val="0"/>
      <w:sz w:val="18"/>
      <w:szCs w:val="18"/>
    </w:rPr>
  </w:style>
  <w:style w:type="character" w:customStyle="1" w:styleId="556">
    <w:name w:val="批注文字 Char1"/>
    <w:qFormat/>
    <w:uiPriority w:val="0"/>
    <w:rPr>
      <w:rFonts w:ascii="Times New Roman" w:hAnsi="Times New Roman" w:eastAsia="宋体" w:cs="Times New Roman"/>
      <w:sz w:val="28"/>
      <w:szCs w:val="24"/>
    </w:rPr>
  </w:style>
  <w:style w:type="character" w:customStyle="1" w:styleId="557">
    <w:name w:val="日期 Char1"/>
    <w:qFormat/>
    <w:uiPriority w:val="0"/>
    <w:rPr>
      <w:rFonts w:ascii="Times New Roman" w:hAnsi="Times New Roman" w:eastAsia="宋体" w:cs="Times New Roman"/>
      <w:sz w:val="28"/>
      <w:szCs w:val="24"/>
    </w:rPr>
  </w:style>
  <w:style w:type="character" w:customStyle="1" w:styleId="558">
    <w:name w:val="正文文本缩进 2 Char1"/>
    <w:qFormat/>
    <w:uiPriority w:val="0"/>
    <w:rPr>
      <w:rFonts w:ascii="Times New Roman" w:hAnsi="Times New Roman" w:eastAsia="宋体" w:cs="Times New Roman"/>
      <w:kern w:val="0"/>
      <w:sz w:val="24"/>
      <w:szCs w:val="20"/>
    </w:rPr>
  </w:style>
  <w:style w:type="character" w:customStyle="1" w:styleId="559">
    <w:name w:val="页脚 Char1"/>
    <w:qFormat/>
    <w:uiPriority w:val="0"/>
    <w:rPr>
      <w:rFonts w:ascii="Times New Roman" w:hAnsi="Times New Roman" w:eastAsia="宋体" w:cs="Times New Roman"/>
      <w:sz w:val="18"/>
      <w:szCs w:val="18"/>
    </w:rPr>
  </w:style>
  <w:style w:type="character" w:customStyle="1" w:styleId="560">
    <w:name w:val="副标题 字符"/>
    <w:basedOn w:val="63"/>
    <w:qFormat/>
    <w:uiPriority w:val="0"/>
    <w:rPr>
      <w:rFonts w:ascii="等线" w:eastAsia="等线" w:cs="Arial"/>
      <w:b/>
      <w:bCs/>
      <w:kern w:val="28"/>
      <w:sz w:val="32"/>
      <w:szCs w:val="32"/>
    </w:rPr>
  </w:style>
  <w:style w:type="character" w:customStyle="1" w:styleId="561">
    <w:name w:val="副标题 Char"/>
    <w:qFormat/>
    <w:uiPriority w:val="0"/>
    <w:rPr>
      <w:rFonts w:ascii="Calibri Light" w:hAnsi="Calibri Light" w:cs="Times New Roman"/>
      <w:b/>
      <w:bCs/>
      <w:kern w:val="28"/>
      <w:sz w:val="32"/>
      <w:szCs w:val="32"/>
    </w:rPr>
  </w:style>
  <w:style w:type="character" w:customStyle="1" w:styleId="562">
    <w:name w:val="正文文本缩进 3 Char1"/>
    <w:qFormat/>
    <w:uiPriority w:val="0"/>
    <w:rPr>
      <w:rFonts w:ascii="Times New Roman" w:hAnsi="Times New Roman" w:eastAsia="宋体" w:cs="Times New Roman"/>
      <w:sz w:val="28"/>
      <w:szCs w:val="24"/>
    </w:rPr>
  </w:style>
  <w:style w:type="paragraph" w:customStyle="1" w:styleId="563">
    <w:name w:val="正文文本首行缩进 21"/>
    <w:basedOn w:val="26"/>
    <w:qFormat/>
    <w:uiPriority w:val="0"/>
    <w:pPr>
      <w:spacing w:line="520" w:lineRule="exact"/>
      <w:ind w:firstLine="200" w:firstLineChars="200"/>
    </w:pPr>
    <w:rPr>
      <w:rFonts w:ascii="Times New Roman" w:hAnsi="Times New Roman"/>
      <w:snapToGrid w:val="0"/>
      <w:kern w:val="0"/>
      <w:szCs w:val="20"/>
      <w:lang w:val="zh-CN"/>
    </w:rPr>
  </w:style>
  <w:style w:type="character" w:customStyle="1" w:styleId="564">
    <w:name w:val="表头 Char2"/>
    <w:qFormat/>
    <w:uiPriority w:val="0"/>
    <w:rPr>
      <w:rFonts w:ascii="Times New Roman" w:hAnsi="Times New Roman" w:eastAsia="黑体" w:cs="Times New Roman"/>
      <w:bCs/>
      <w:iCs/>
      <w:sz w:val="24"/>
      <w:szCs w:val="24"/>
    </w:rPr>
  </w:style>
  <w:style w:type="paragraph" w:customStyle="1" w:styleId="565">
    <w:name w:val="列表段落1"/>
    <w:basedOn w:val="1"/>
    <w:qFormat/>
    <w:uiPriority w:val="0"/>
    <w:pPr>
      <w:ind w:firstLine="200" w:firstLineChars="200"/>
    </w:pPr>
    <w:rPr>
      <w:snapToGrid w:val="0"/>
      <w:kern w:val="0"/>
      <w:szCs w:val="21"/>
    </w:rPr>
  </w:style>
  <w:style w:type="paragraph" w:customStyle="1" w:styleId="566">
    <w:name w:val="修订11"/>
    <w:qFormat/>
    <w:uiPriority w:val="0"/>
    <w:rPr>
      <w:rFonts w:ascii="宋体" w:hAnsi="Times New Roman" w:eastAsia="宋体" w:cs="Times New Roman"/>
      <w:kern w:val="2"/>
      <w:sz w:val="28"/>
      <w:szCs w:val="24"/>
      <w:lang w:val="en-US" w:eastAsia="zh-CN" w:bidi="ar-SA"/>
    </w:rPr>
  </w:style>
  <w:style w:type="paragraph" w:customStyle="1" w:styleId="567">
    <w:name w:val="正文 +"/>
    <w:basedOn w:val="1"/>
    <w:next w:val="1"/>
    <w:qFormat/>
    <w:uiPriority w:val="0"/>
    <w:pPr>
      <w:ind w:firstLine="200" w:firstLineChars="200"/>
    </w:pPr>
    <w:rPr>
      <w:snapToGrid w:val="0"/>
      <w:kern w:val="0"/>
      <w:szCs w:val="20"/>
      <w:lang w:val="zh-CN"/>
    </w:rPr>
  </w:style>
  <w:style w:type="paragraph" w:customStyle="1" w:styleId="568">
    <w:name w:val="_Style 68"/>
    <w:basedOn w:val="1"/>
    <w:next w:val="1"/>
    <w:qFormat/>
    <w:uiPriority w:val="0"/>
    <w:pPr>
      <w:adjustRightInd w:val="0"/>
      <w:spacing w:line="312" w:lineRule="atLeast"/>
      <w:ind w:left="400" w:leftChars="400"/>
      <w:textAlignment w:val="baseline"/>
    </w:pPr>
    <w:rPr>
      <w:snapToGrid w:val="0"/>
      <w:kern w:val="0"/>
      <w:sz w:val="24"/>
      <w:szCs w:val="20"/>
    </w:rPr>
  </w:style>
  <w:style w:type="character" w:customStyle="1" w:styleId="569">
    <w:name w:val="标题4 Char"/>
    <w:autoRedefine/>
    <w:qFormat/>
    <w:uiPriority w:val="0"/>
    <w:rPr>
      <w:rFonts w:ascii="Times New Roman" w:hAnsi="Times New Roman"/>
      <w:snapToGrid w:val="0"/>
      <w:sz w:val="28"/>
      <w:szCs w:val="21"/>
    </w:rPr>
  </w:style>
  <w:style w:type="paragraph" w:customStyle="1" w:styleId="570">
    <w:name w:val="TOC 标题11"/>
    <w:basedOn w:val="3"/>
    <w:next w:val="1"/>
    <w:qFormat/>
    <w:uiPriority w:val="0"/>
    <w:pPr>
      <w:keepNext/>
      <w:keepLines/>
      <w:pageBreakBefore/>
      <w:widowControl/>
      <w:spacing w:after="0" w:line="259" w:lineRule="auto"/>
      <w:outlineLvl w:val="9"/>
    </w:pPr>
    <w:rPr>
      <w:rFonts w:ascii="Cambria" w:hAnsi="Cambria" w:eastAsia="宋体"/>
      <w:b w:val="0"/>
      <w:bCs w:val="0"/>
      <w:color w:val="365F91"/>
      <w:kern w:val="0"/>
      <w:szCs w:val="32"/>
      <w:lang w:val="zh-CN"/>
    </w:rPr>
  </w:style>
  <w:style w:type="paragraph" w:customStyle="1" w:styleId="571">
    <w:name w:val="_Style 96"/>
    <w:basedOn w:val="1"/>
    <w:next w:val="565"/>
    <w:qFormat/>
    <w:uiPriority w:val="0"/>
    <w:pPr>
      <w:spacing w:line="240" w:lineRule="auto"/>
      <w:ind w:firstLine="200" w:firstLineChars="200"/>
    </w:pPr>
    <w:rPr>
      <w:snapToGrid w:val="0"/>
      <w:kern w:val="0"/>
      <w:sz w:val="21"/>
      <w:szCs w:val="20"/>
    </w:rPr>
  </w:style>
  <w:style w:type="paragraph" w:customStyle="1" w:styleId="572">
    <w:name w:val="LC—正文"/>
    <w:basedOn w:val="32"/>
    <w:qFormat/>
    <w:uiPriority w:val="0"/>
    <w:pPr>
      <w:spacing w:line="500" w:lineRule="exact"/>
      <w:ind w:firstLine="200" w:firstLineChars="200"/>
    </w:pPr>
    <w:rPr>
      <w:rFonts w:ascii="Times New Roman" w:hAnsi="Times New Roman"/>
      <w:iCs/>
      <w:kern w:val="0"/>
      <w:sz w:val="28"/>
      <w:szCs w:val="28"/>
      <w:lang w:val="en-GB"/>
    </w:rPr>
  </w:style>
  <w:style w:type="paragraph" w:customStyle="1" w:styleId="573">
    <w:name w:val="_Style 107"/>
    <w:basedOn w:val="1"/>
    <w:next w:val="1"/>
    <w:qFormat/>
    <w:uiPriority w:val="0"/>
    <w:pPr>
      <w:spacing w:line="360" w:lineRule="auto"/>
      <w:ind w:left="200" w:leftChars="200"/>
    </w:pPr>
    <w:rPr>
      <w:kern w:val="0"/>
      <w:sz w:val="24"/>
      <w:szCs w:val="24"/>
      <w:lang w:val="zh-CN"/>
    </w:rPr>
  </w:style>
  <w:style w:type="paragraph" w:customStyle="1" w:styleId="574">
    <w:name w:val="列表段落11"/>
    <w:basedOn w:val="1"/>
    <w:qFormat/>
    <w:uiPriority w:val="0"/>
    <w:pPr>
      <w:spacing w:before="35" w:beforeLines="35" w:after="35" w:afterLines="35" w:line="312" w:lineRule="auto"/>
      <w:ind w:firstLine="420"/>
    </w:pPr>
    <w:rPr>
      <w:rFonts w:ascii="Calibri" w:hAnsi="Calibri"/>
      <w:szCs w:val="22"/>
    </w:rPr>
  </w:style>
  <w:style w:type="paragraph" w:customStyle="1" w:styleId="575">
    <w:name w:val="5-正文"/>
    <w:basedOn w:val="1"/>
    <w:qFormat/>
    <w:uiPriority w:val="0"/>
    <w:pPr>
      <w:spacing w:line="480" w:lineRule="exact"/>
      <w:ind w:firstLine="200" w:firstLineChars="200"/>
    </w:pPr>
    <w:rPr>
      <w:rFonts w:ascii="Arial" w:hAnsi="Arial" w:eastAsia="黑体" w:cs="Arial"/>
      <w:bCs/>
      <w:sz w:val="24"/>
      <w:szCs w:val="24"/>
    </w:rPr>
  </w:style>
  <w:style w:type="paragraph" w:customStyle="1" w:styleId="576">
    <w:name w:val="3级标题-标准"/>
    <w:basedOn w:val="1"/>
    <w:qFormat/>
    <w:uiPriority w:val="0"/>
    <w:pPr>
      <w:adjustRightInd w:val="0"/>
      <w:snapToGrid w:val="0"/>
      <w:spacing w:line="360" w:lineRule="auto"/>
    </w:pPr>
    <w:rPr>
      <w:b/>
      <w:bCs/>
      <w:szCs w:val="24"/>
    </w:rPr>
  </w:style>
  <w:style w:type="paragraph" w:customStyle="1" w:styleId="577">
    <w:name w:val="5图表标题"/>
    <w:basedOn w:val="149"/>
    <w:next w:val="149"/>
    <w:qFormat/>
    <w:uiPriority w:val="0"/>
    <w:pPr>
      <w:ind w:firstLine="0" w:firstLineChars="0"/>
      <w:jc w:val="right"/>
    </w:pPr>
    <w:rPr>
      <w:rFonts w:eastAsia="黑体"/>
      <w:iCs/>
      <w:snapToGrid w:val="0"/>
      <w:kern w:val="2"/>
      <w:sz w:val="24"/>
    </w:rPr>
  </w:style>
  <w:style w:type="character" w:customStyle="1" w:styleId="578">
    <w:name w:val="不明显参考1"/>
    <w:qFormat/>
    <w:uiPriority w:val="0"/>
    <w:rPr>
      <w:smallCaps/>
      <w:color w:val="C0504D"/>
      <w:u w:val="single"/>
    </w:rPr>
  </w:style>
  <w:style w:type="character" w:customStyle="1" w:styleId="579">
    <w:name w:val="明显参考1"/>
    <w:qFormat/>
    <w:uiPriority w:val="0"/>
    <w:rPr>
      <w:b/>
      <w:bCs/>
      <w:smallCaps/>
      <w:color w:val="C0504D"/>
      <w:spacing w:val="5"/>
      <w:u w:val="single"/>
    </w:rPr>
  </w:style>
  <w:style w:type="character" w:customStyle="1" w:styleId="580">
    <w:name w:val="书籍标题1"/>
    <w:qFormat/>
    <w:uiPriority w:val="0"/>
    <w:rPr>
      <w:b/>
      <w:bCs/>
      <w:smallCaps/>
      <w:spacing w:val="5"/>
    </w:rPr>
  </w:style>
  <w:style w:type="character" w:customStyle="1" w:styleId="581">
    <w:name w:val="Char Char4"/>
    <w:qFormat/>
    <w:uiPriority w:val="0"/>
    <w:rPr>
      <w:rFonts w:ascii="宋体" w:eastAsia="宋体"/>
      <w:kern w:val="2"/>
      <w:sz w:val="18"/>
      <w:szCs w:val="18"/>
      <w:lang w:val="en-US" w:eastAsia="zh-CN" w:bidi="ar-SA"/>
    </w:rPr>
  </w:style>
  <w:style w:type="character" w:customStyle="1" w:styleId="582">
    <w:name w:val="Char Char5"/>
    <w:qFormat/>
    <w:uiPriority w:val="0"/>
    <w:rPr>
      <w:rFonts w:ascii="Calibri" w:hAnsi="Calibri" w:eastAsia="宋体" w:cs="Calibri"/>
      <w:kern w:val="2"/>
      <w:sz w:val="18"/>
      <w:szCs w:val="18"/>
      <w:lang w:val="en-US" w:eastAsia="zh-CN" w:bidi="ar-SA"/>
    </w:rPr>
  </w:style>
  <w:style w:type="paragraph" w:customStyle="1" w:styleId="583">
    <w:name w:val="_Style 152"/>
    <w:basedOn w:val="1"/>
    <w:next w:val="1"/>
    <w:qFormat/>
    <w:uiPriority w:val="0"/>
    <w:pPr>
      <w:spacing w:line="240" w:lineRule="auto"/>
      <w:ind w:left="2240"/>
      <w:jc w:val="left"/>
    </w:pPr>
    <w:rPr>
      <w:sz w:val="18"/>
      <w:szCs w:val="18"/>
    </w:rPr>
  </w:style>
  <w:style w:type="paragraph" w:customStyle="1" w:styleId="584">
    <w:name w:val="1 Char Char Char Char"/>
    <w:basedOn w:val="1"/>
    <w:qFormat/>
    <w:uiPriority w:val="0"/>
    <w:pPr>
      <w:spacing w:line="240" w:lineRule="auto"/>
    </w:pPr>
    <w:rPr>
      <w:rFonts w:ascii="Tahoma" w:hAnsi="Tahoma"/>
      <w:sz w:val="24"/>
      <w:szCs w:val="20"/>
    </w:rPr>
  </w:style>
  <w:style w:type="paragraph" w:customStyle="1" w:styleId="585">
    <w:name w:val="_Style 2"/>
    <w:basedOn w:val="1"/>
    <w:qFormat/>
    <w:uiPriority w:val="0"/>
    <w:pPr>
      <w:spacing w:line="240" w:lineRule="auto"/>
      <w:ind w:firstLine="420"/>
    </w:pPr>
    <w:rPr>
      <w:sz w:val="21"/>
      <w:szCs w:val="22"/>
    </w:rPr>
  </w:style>
  <w:style w:type="paragraph" w:customStyle="1" w:styleId="586">
    <w:name w:val="_Style 1"/>
    <w:basedOn w:val="1"/>
    <w:uiPriority w:val="0"/>
    <w:pPr>
      <w:spacing w:line="240" w:lineRule="auto"/>
      <w:ind w:firstLine="420"/>
    </w:pPr>
    <w:rPr>
      <w:rFonts w:ascii="Calibri" w:hAnsi="Calibri"/>
      <w:sz w:val="21"/>
      <w:szCs w:val="22"/>
    </w:rPr>
  </w:style>
  <w:style w:type="character" w:customStyle="1" w:styleId="587">
    <w:name w:val="Char Char41"/>
    <w:uiPriority w:val="0"/>
    <w:rPr>
      <w:rFonts w:ascii="宋体" w:eastAsia="宋体"/>
      <w:kern w:val="2"/>
      <w:sz w:val="18"/>
      <w:szCs w:val="18"/>
      <w:lang w:val="en-US" w:eastAsia="zh-CN" w:bidi="ar-SA"/>
    </w:rPr>
  </w:style>
  <w:style w:type="character" w:customStyle="1" w:styleId="588">
    <w:name w:val="Char Char31"/>
    <w:uiPriority w:val="0"/>
    <w:rPr>
      <w:rFonts w:ascii="宋体" w:eastAsia="宋体"/>
      <w:b/>
      <w:bCs/>
      <w:kern w:val="2"/>
      <w:sz w:val="28"/>
      <w:szCs w:val="28"/>
      <w:lang w:val="en-US" w:eastAsia="zh-CN" w:bidi="ar-SA"/>
    </w:rPr>
  </w:style>
  <w:style w:type="paragraph" w:customStyle="1" w:styleId="589">
    <w:name w:val="Char Char Char Char Char Char Char1"/>
    <w:basedOn w:val="1"/>
    <w:uiPriority w:val="0"/>
    <w:pPr>
      <w:spacing w:line="240" w:lineRule="auto"/>
      <w:ind w:firstLine="200" w:firstLineChars="200"/>
    </w:pPr>
    <w:rPr>
      <w:sz w:val="21"/>
      <w:szCs w:val="24"/>
    </w:rPr>
  </w:style>
  <w:style w:type="paragraph" w:customStyle="1" w:styleId="590">
    <w:name w:val="Char Char Char Char1"/>
    <w:basedOn w:val="1"/>
    <w:uiPriority w:val="0"/>
    <w:pPr>
      <w:widowControl/>
      <w:spacing w:after="160" w:line="240" w:lineRule="exact"/>
      <w:ind w:firstLine="200" w:firstLineChars="200"/>
      <w:jc w:val="left"/>
    </w:pPr>
    <w:rPr>
      <w:sz w:val="21"/>
      <w:szCs w:val="20"/>
    </w:rPr>
  </w:style>
  <w:style w:type="paragraph" w:customStyle="1" w:styleId="591">
    <w:name w:val="_Style 4"/>
    <w:basedOn w:val="1"/>
    <w:qFormat/>
    <w:uiPriority w:val="0"/>
    <w:pPr>
      <w:spacing w:line="240" w:lineRule="auto"/>
      <w:ind w:firstLine="200" w:firstLineChars="200"/>
    </w:pPr>
    <w:rPr>
      <w:rFonts w:ascii="Calibri" w:hAnsi="Calibri"/>
      <w:sz w:val="21"/>
      <w:szCs w:val="22"/>
    </w:rPr>
  </w:style>
  <w:style w:type="paragraph" w:customStyle="1" w:styleId="592">
    <w:name w:val="标题1.1.1.1"/>
    <w:basedOn w:val="1"/>
    <w:next w:val="1"/>
    <w:uiPriority w:val="0"/>
    <w:pPr>
      <w:outlineLvl w:val="4"/>
    </w:pPr>
    <w:rPr>
      <w:snapToGrid w:val="0"/>
      <w:kern w:val="0"/>
      <w:szCs w:val="20"/>
      <w:lang w:val="zh-CN"/>
    </w:rPr>
  </w:style>
  <w:style w:type="paragraph" w:customStyle="1" w:styleId="593">
    <w:name w:val="WPSOffice手动目录 2"/>
    <w:uiPriority w:val="0"/>
    <w:pPr>
      <w:ind w:left="200" w:leftChars="200"/>
    </w:pPr>
    <w:rPr>
      <w:rFonts w:ascii="Times New Roman" w:hAnsi="Times New Roman" w:eastAsia="宋体" w:cs="Times New Roman"/>
      <w:sz w:val="20"/>
      <w:szCs w:val="20"/>
      <w:lang w:val="en-US" w:eastAsia="zh-CN" w:bidi="ar-SA"/>
    </w:rPr>
  </w:style>
  <w:style w:type="paragraph" w:customStyle="1" w:styleId="594">
    <w:name w:val="WPSOffice手动目录 1"/>
    <w:qFormat/>
    <w:uiPriority w:val="0"/>
    <w:rPr>
      <w:rFonts w:ascii="Times New Roman" w:hAnsi="Times New Roman" w:eastAsia="宋体" w:cs="Times New Roman"/>
      <w:sz w:val="20"/>
      <w:szCs w:val="20"/>
      <w:lang w:val="en-US" w:eastAsia="zh-CN" w:bidi="ar-SA"/>
    </w:rPr>
  </w:style>
  <w:style w:type="paragraph" w:customStyle="1" w:styleId="595">
    <w:name w:val="_Style 234"/>
    <w:basedOn w:val="1"/>
    <w:next w:val="1"/>
    <w:uiPriority w:val="0"/>
    <w:pPr>
      <w:spacing w:line="240" w:lineRule="auto"/>
      <w:ind w:left="1600" w:leftChars="1600"/>
    </w:pPr>
    <w:rPr>
      <w:rFonts w:ascii="Calibri" w:hAnsi="Calibri"/>
      <w:sz w:val="21"/>
      <w:szCs w:val="22"/>
    </w:rPr>
  </w:style>
  <w:style w:type="character" w:customStyle="1" w:styleId="596">
    <w:name w:val="题注 字符"/>
    <w:uiPriority w:val="0"/>
    <w:rPr>
      <w:rFonts w:ascii="Times New Roman" w:hAnsi="Times New Roman" w:eastAsia="黑体"/>
      <w:iCs/>
      <w:snapToGrid w:val="0"/>
      <w:kern w:val="0"/>
      <w:sz w:val="24"/>
    </w:rPr>
  </w:style>
  <w:style w:type="character" w:customStyle="1" w:styleId="597">
    <w:name w:val="文档结构图 字符1"/>
    <w:uiPriority w:val="0"/>
    <w:rPr>
      <w:rFonts w:ascii="宋体" w:eastAsia="宋体" w:cs="Times New Roman"/>
      <w:kern w:val="0"/>
      <w:sz w:val="18"/>
      <w:szCs w:val="18"/>
    </w:rPr>
  </w:style>
  <w:style w:type="character" w:customStyle="1" w:styleId="598">
    <w:name w:val="标题 字符1"/>
    <w:uiPriority w:val="0"/>
    <w:rPr>
      <w:rFonts w:ascii="Arial" w:hAnsi="Arial" w:eastAsia="黑体"/>
      <w:b/>
      <w:bCs/>
      <w:sz w:val="30"/>
      <w:szCs w:val="32"/>
    </w:rPr>
  </w:style>
  <w:style w:type="character" w:customStyle="1" w:styleId="599">
    <w:name w:val="副标题 字符1"/>
    <w:uiPriority w:val="0"/>
    <w:rPr>
      <w:rFonts w:eastAsia="黑体"/>
      <w:b/>
      <w:kern w:val="28"/>
      <w:sz w:val="32"/>
      <w:szCs w:val="32"/>
    </w:rPr>
  </w:style>
  <w:style w:type="character" w:customStyle="1" w:styleId="600">
    <w:name w:val="未处理的提及2"/>
    <w:uiPriority w:val="0"/>
    <w:rPr>
      <w:color w:val="605E5C"/>
      <w:shd w:val="clear" w:color="auto" w:fill="E1DFDD"/>
    </w:rPr>
  </w:style>
  <w:style w:type="paragraph" w:customStyle="1" w:styleId="601">
    <w:name w:val="Char Char Char2 Char Char Char Char Char Char Char Char Char Char Char Char Char Char Char Char Char Char Char Char Char Char Char Char Char Char Char Char Char Char Char Char Char Char Char Char Char"/>
    <w:basedOn w:val="1"/>
    <w:next w:val="2"/>
    <w:uiPriority w:val="0"/>
    <w:pPr>
      <w:spacing w:line="240" w:lineRule="auto"/>
    </w:pPr>
  </w:style>
  <w:style w:type="character" w:customStyle="1" w:styleId="602">
    <w:name w:val="宏文本 字符"/>
    <w:basedOn w:val="63"/>
    <w:uiPriority w:val="0"/>
    <w:rPr>
      <w:rFonts w:ascii="Courier New" w:hAnsi="Courier New" w:cs="Courier New"/>
      <w:sz w:val="24"/>
      <w:szCs w:val="24"/>
    </w:rPr>
  </w:style>
  <w:style w:type="paragraph" w:customStyle="1" w:styleId="603">
    <w:name w:val="传统正文"/>
    <w:basedOn w:val="60"/>
    <w:uiPriority w:val="0"/>
    <w:pPr>
      <w:autoSpaceDE/>
      <w:autoSpaceDN/>
      <w:adjustRightInd/>
      <w:spacing w:after="0" w:line="560" w:lineRule="exact"/>
      <w:ind w:firstLine="200" w:firstLineChars="200"/>
      <w:jc w:val="both"/>
    </w:pPr>
    <w:rPr>
      <w:rFonts w:ascii="Times New Roman" w:hAnsi="Times New Roman"/>
      <w:color w:val="auto"/>
      <w:spacing w:val="0"/>
    </w:rPr>
  </w:style>
  <w:style w:type="character" w:customStyle="1" w:styleId="604">
    <w:name w:val="cx标题2 字符"/>
    <w:uiPriority w:val="0"/>
    <w:rPr>
      <w:rFonts w:ascii="Times New Roman" w:hAnsi="Times New Roman"/>
      <w:b/>
      <w:sz w:val="30"/>
      <w:szCs w:val="24"/>
    </w:rPr>
  </w:style>
  <w:style w:type="character" w:customStyle="1" w:styleId="605">
    <w:name w:val="cx标题3 字符"/>
    <w:uiPriority w:val="0"/>
    <w:rPr>
      <w:rFonts w:ascii="Times New Roman" w:hAnsi="Times New Roman"/>
      <w:b/>
      <w:sz w:val="28"/>
      <w:szCs w:val="24"/>
    </w:rPr>
  </w:style>
  <w:style w:type="character" w:customStyle="1" w:styleId="606">
    <w:name w:val="cx标题4 字符"/>
    <w:uiPriority w:val="0"/>
    <w:rPr>
      <w:rFonts w:ascii="Times New Roman" w:hAnsi="Times New Roman"/>
      <w:sz w:val="28"/>
      <w:szCs w:val="24"/>
      <w:lang w:val="zh-CN" w:eastAsia="zh-CN"/>
    </w:rPr>
  </w:style>
  <w:style w:type="paragraph" w:customStyle="1" w:styleId="607">
    <w:name w:val="节标题2"/>
    <w:basedOn w:val="1"/>
    <w:uiPriority w:val="0"/>
    <w:pPr>
      <w:spacing w:after="50" w:afterLines="50" w:line="700" w:lineRule="exact"/>
      <w:outlineLvl w:val="3"/>
    </w:pPr>
    <w:rPr>
      <w:rFonts w:ascii="Arial Narrow" w:hAnsi="Arial Narrow" w:eastAsia="仿宋_GB2312"/>
      <w:b/>
      <w:szCs w:val="20"/>
    </w:rPr>
  </w:style>
  <w:style w:type="paragraph" w:customStyle="1" w:styleId="608">
    <w:name w:val="表格内容"/>
    <w:uiPriority w:val="0"/>
    <w:pPr>
      <w:spacing w:line="240" w:lineRule="exact"/>
      <w:jc w:val="center"/>
    </w:pPr>
    <w:rPr>
      <w:rFonts w:ascii="Times New Roman" w:hAnsi="Times New Roman" w:eastAsia="宋体" w:cs="Times New Roman"/>
      <w:kern w:val="2"/>
      <w:sz w:val="21"/>
      <w:szCs w:val="21"/>
      <w:lang w:val="en-US" w:eastAsia="zh-CN" w:bidi="ar-SA"/>
    </w:rPr>
  </w:style>
  <w:style w:type="paragraph" w:customStyle="1" w:styleId="609">
    <w:name w:val="图片"/>
    <w:basedOn w:val="1"/>
    <w:uiPriority w:val="0"/>
    <w:pPr>
      <w:spacing w:line="240" w:lineRule="atLeast"/>
      <w:jc w:val="center"/>
    </w:pPr>
    <w:rPr>
      <w:color w:val="7030A0"/>
      <w:sz w:val="24"/>
      <w:szCs w:val="21"/>
    </w:rPr>
  </w:style>
  <w:style w:type="paragraph" w:customStyle="1" w:styleId="610">
    <w:name w:val="章标题"/>
    <w:basedOn w:val="1"/>
    <w:uiPriority w:val="0"/>
    <w:pPr>
      <w:widowControl/>
      <w:spacing w:before="50" w:beforeLines="50" w:after="50" w:afterLines="50" w:line="660" w:lineRule="exact"/>
      <w:ind w:firstLine="200" w:firstLineChars="200"/>
      <w:outlineLvl w:val="0"/>
    </w:pPr>
    <w:rPr>
      <w:rFonts w:ascii="宋体" w:cs="宋体"/>
      <w:b/>
      <w:color w:val="000000"/>
      <w:kern w:val="0"/>
    </w:rPr>
  </w:style>
  <w:style w:type="paragraph" w:customStyle="1" w:styleId="611">
    <w:name w:val="样式"/>
    <w:basedOn w:val="1"/>
    <w:uiPriority w:val="0"/>
    <w:pPr>
      <w:widowControl/>
      <w:tabs>
        <w:tab w:val="left" w:pos="5327"/>
        <w:tab w:val="left" w:pos="6326"/>
        <w:tab w:val="left" w:pos="7230"/>
        <w:tab w:val="left" w:pos="9301"/>
      </w:tabs>
      <w:spacing w:before="50" w:beforeLines="50" w:after="50" w:afterLines="50" w:line="560" w:lineRule="exact"/>
      <w:ind w:left="420" w:firstLine="200" w:firstLineChars="200"/>
      <w:jc w:val="left"/>
    </w:pPr>
    <w:rPr>
      <w:rFonts w:ascii="宋体" w:cs="宋体"/>
      <w:kern w:val="10"/>
    </w:rPr>
  </w:style>
  <w:style w:type="paragraph" w:customStyle="1" w:styleId="612">
    <w:name w:val="List Paragraph1"/>
    <w:basedOn w:val="1"/>
    <w:uiPriority w:val="0"/>
    <w:pPr>
      <w:spacing w:line="440" w:lineRule="exact"/>
      <w:ind w:firstLine="200" w:firstLineChars="200"/>
    </w:pPr>
    <w:rPr>
      <w:color w:val="7030A0"/>
      <w:sz w:val="24"/>
      <w:szCs w:val="21"/>
    </w:rPr>
  </w:style>
  <w:style w:type="paragraph" w:customStyle="1" w:styleId="613">
    <w:name w:val="Revision1"/>
    <w:uiPriority w:val="0"/>
    <w:rPr>
      <w:rFonts w:ascii="Times New Roman" w:hAnsi="Times New Roman" w:eastAsia="宋体" w:cs="Times New Roman"/>
      <w:kern w:val="2"/>
      <w:sz w:val="28"/>
      <w:szCs w:val="20"/>
      <w:lang w:val="en-US" w:eastAsia="zh-CN" w:bidi="ar-SA"/>
    </w:rPr>
  </w:style>
  <w:style w:type="paragraph" w:customStyle="1" w:styleId="614">
    <w:name w:val="节标题"/>
    <w:basedOn w:val="1"/>
    <w:qFormat/>
    <w:uiPriority w:val="0"/>
    <w:pPr>
      <w:widowControl/>
      <w:spacing w:before="50" w:beforeLines="50" w:line="360" w:lineRule="auto"/>
      <w:jc w:val="left"/>
      <w:outlineLvl w:val="1"/>
    </w:pPr>
    <w:rPr>
      <w:rFonts w:ascii="宋体" w:cs="宋体"/>
      <w:b/>
      <w:bCs/>
      <w:color w:val="000000"/>
      <w:kern w:val="0"/>
      <w:sz w:val="30"/>
      <w:szCs w:val="30"/>
    </w:rPr>
  </w:style>
  <w:style w:type="paragraph" w:customStyle="1" w:styleId="615">
    <w:name w:val="z-Bottom of Form1"/>
    <w:basedOn w:val="1"/>
    <w:next w:val="1"/>
    <w:uiPriority w:val="0"/>
    <w:pPr>
      <w:pBdr>
        <w:top w:val="single" w:color="auto" w:sz="6" w:space="1"/>
      </w:pBdr>
      <w:spacing w:line="440" w:lineRule="exact"/>
      <w:ind w:firstLine="200" w:firstLineChars="200"/>
      <w:jc w:val="center"/>
    </w:pPr>
    <w:rPr>
      <w:rFonts w:ascii="Arial" w:hAnsi="Arial" w:cs="Arial"/>
      <w:vanish/>
      <w:sz w:val="16"/>
      <w:szCs w:val="16"/>
    </w:rPr>
  </w:style>
  <w:style w:type="paragraph" w:customStyle="1" w:styleId="616">
    <w:name w:val="z-Top of Form1"/>
    <w:basedOn w:val="1"/>
    <w:next w:val="1"/>
    <w:uiPriority w:val="0"/>
    <w:pPr>
      <w:pBdr>
        <w:bottom w:val="single" w:color="auto" w:sz="6" w:space="1"/>
      </w:pBdr>
      <w:spacing w:line="440" w:lineRule="exact"/>
      <w:ind w:firstLine="200" w:firstLineChars="200"/>
      <w:jc w:val="center"/>
    </w:pPr>
    <w:rPr>
      <w:rFonts w:ascii="Arial" w:hAnsi="Arial" w:cs="Arial"/>
      <w:vanish/>
      <w:sz w:val="16"/>
      <w:szCs w:val="16"/>
    </w:rPr>
  </w:style>
  <w:style w:type="paragraph" w:customStyle="1" w:styleId="617">
    <w:name w:val="样式 正文首行缩进 + 首行缩进:  1 字符"/>
    <w:basedOn w:val="60"/>
    <w:qFormat/>
    <w:uiPriority w:val="0"/>
    <w:pPr>
      <w:widowControl/>
      <w:tabs>
        <w:tab w:val="left" w:pos="5327"/>
        <w:tab w:val="left" w:pos="6326"/>
        <w:tab w:val="left" w:pos="7230"/>
        <w:tab w:val="left" w:pos="9301"/>
      </w:tabs>
      <w:autoSpaceDE/>
      <w:autoSpaceDN/>
      <w:adjustRightInd/>
      <w:spacing w:before="50" w:beforeLines="50" w:after="50" w:afterLines="50" w:line="560" w:lineRule="exact"/>
      <w:ind w:left="420" w:firstLine="200" w:firstLineChars="200"/>
      <w:jc w:val="left"/>
    </w:pPr>
    <w:rPr>
      <w:rFonts w:cs="宋体"/>
      <w:color w:val="auto"/>
      <w:spacing w:val="0"/>
      <w:kern w:val="10"/>
      <w:szCs w:val="28"/>
    </w:rPr>
  </w:style>
  <w:style w:type="character" w:customStyle="1" w:styleId="618">
    <w:name w:val="正文文本 字符1"/>
    <w:basedOn w:val="63"/>
    <w:qFormat/>
    <w:uiPriority w:val="0"/>
  </w:style>
  <w:style w:type="paragraph" w:customStyle="1" w:styleId="619">
    <w:name w:val="正文文字"/>
    <w:basedOn w:val="1"/>
    <w:qFormat/>
    <w:uiPriority w:val="0"/>
    <w:pPr>
      <w:spacing w:line="360" w:lineRule="auto"/>
      <w:ind w:firstLine="200" w:firstLineChars="200"/>
    </w:pPr>
    <w:rPr>
      <w:szCs w:val="24"/>
    </w:rPr>
  </w:style>
  <w:style w:type="character" w:customStyle="1" w:styleId="620">
    <w:name w:val="fontstyle01"/>
    <w:basedOn w:val="63"/>
    <w:qFormat/>
    <w:uiPriority w:val="0"/>
    <w:rPr>
      <w:rFonts w:ascii="宋体" w:eastAsia="宋体"/>
      <w:color w:val="000000"/>
      <w:sz w:val="32"/>
      <w:szCs w:val="32"/>
    </w:rPr>
  </w:style>
  <w:style w:type="character" w:customStyle="1" w:styleId="621">
    <w:name w:val="fontstyle21"/>
    <w:basedOn w:val="63"/>
    <w:qFormat/>
    <w:uiPriority w:val="0"/>
    <w:rPr>
      <w:rFonts w:ascii="HGHP_CNKI" w:hAnsi="HGHP_CNKI"/>
      <w:color w:val="000000"/>
      <w:sz w:val="28"/>
      <w:szCs w:val="28"/>
    </w:rPr>
  </w:style>
  <w:style w:type="character" w:customStyle="1" w:styleId="622">
    <w:name w:val="fontstyle31"/>
    <w:basedOn w:val="63"/>
    <w:uiPriority w:val="0"/>
    <w:rPr>
      <w:rFonts w:ascii="TimesNewRoman" w:hAnsi="TimesNewRoman"/>
      <w:color w:val="000000"/>
      <w:sz w:val="32"/>
      <w:szCs w:val="32"/>
    </w:rPr>
  </w:style>
  <w:style w:type="paragraph" w:customStyle="1" w:styleId="623">
    <w:name w:val="7"/>
    <w:basedOn w:val="1"/>
    <w:qFormat/>
    <w:uiPriority w:val="0"/>
    <w:pPr>
      <w:autoSpaceDE w:val="0"/>
      <w:autoSpaceDN w:val="0"/>
      <w:adjustRightInd w:val="0"/>
      <w:snapToGrid w:val="0"/>
      <w:spacing w:line="360" w:lineRule="auto"/>
      <w:ind w:firstLine="200" w:firstLineChars="200"/>
      <w:textAlignment w:val="baseline"/>
    </w:pPr>
  </w:style>
  <w:style w:type="character" w:customStyle="1" w:styleId="624">
    <w:name w:val="d1d4xidf8"/>
    <w:basedOn w:val="63"/>
    <w:uiPriority w:val="0"/>
  </w:style>
  <w:style w:type="paragraph" w:customStyle="1" w:styleId="625">
    <w:name w:val="样式 标题 3 + Times New Roman"/>
    <w:basedOn w:val="5"/>
    <w:qFormat/>
    <w:uiPriority w:val="0"/>
    <w:pPr>
      <w:spacing w:before="260" w:after="260" w:line="600" w:lineRule="exact"/>
    </w:pPr>
    <w:rPr>
      <w:bCs w:val="0"/>
      <w:szCs w:val="28"/>
    </w:rPr>
  </w:style>
  <w:style w:type="paragraph" w:customStyle="1" w:styleId="626">
    <w:name w:val="正文 缩进2字符"/>
    <w:basedOn w:val="1"/>
    <w:qFormat/>
    <w:uiPriority w:val="0"/>
    <w:pPr>
      <w:spacing w:line="500" w:lineRule="exact"/>
      <w:ind w:firstLine="200" w:firstLineChars="200"/>
    </w:pPr>
    <w:rPr>
      <w:rFonts w:cs="Arial"/>
      <w:szCs w:val="22"/>
    </w:rPr>
  </w:style>
  <w:style w:type="paragraph" w:customStyle="1" w:styleId="627">
    <w:name w:val="样式35"/>
    <w:basedOn w:val="1"/>
    <w:qFormat/>
    <w:uiPriority w:val="0"/>
    <w:pPr>
      <w:adjustRightInd w:val="0"/>
      <w:spacing w:line="312" w:lineRule="auto"/>
      <w:ind w:firstLine="567"/>
    </w:pPr>
    <w:rPr>
      <w:rFonts w:ascii="宋体"/>
      <w:kern w:val="0"/>
      <w:szCs w:val="20"/>
    </w:rPr>
  </w:style>
  <w:style w:type="paragraph" w:customStyle="1" w:styleId="628">
    <w:name w:val="正文 缩进"/>
    <w:basedOn w:val="1"/>
    <w:qFormat/>
    <w:uiPriority w:val="0"/>
    <w:pPr>
      <w:spacing w:line="500" w:lineRule="exact"/>
      <w:ind w:firstLine="200" w:firstLineChars="200"/>
    </w:pPr>
    <w:rPr>
      <w:rFonts w:cs="Arial"/>
      <w:szCs w:val="22"/>
    </w:rPr>
  </w:style>
  <w:style w:type="paragraph" w:customStyle="1" w:styleId="629">
    <w:name w:val="表格样式"/>
    <w:basedOn w:val="1"/>
    <w:qFormat/>
    <w:uiPriority w:val="0"/>
    <w:pPr>
      <w:spacing w:line="240" w:lineRule="auto"/>
    </w:pPr>
    <w:rPr>
      <w:sz w:val="24"/>
      <w:szCs w:val="24"/>
    </w:rPr>
  </w:style>
  <w:style w:type="character" w:customStyle="1" w:styleId="630">
    <w:name w:val="标题 5 Char"/>
    <w:qFormat/>
    <w:uiPriority w:val="0"/>
    <w:rPr>
      <w:rFonts w:ascii="Calibri" w:hAnsi="Calibri"/>
      <w:b/>
      <w:bCs/>
      <w:kern w:val="2"/>
      <w:sz w:val="28"/>
      <w:szCs w:val="28"/>
    </w:rPr>
  </w:style>
  <w:style w:type="paragraph" w:customStyle="1" w:styleId="631">
    <w:name w:val="样式4654564654"/>
    <w:basedOn w:val="25"/>
    <w:qFormat/>
    <w:uiPriority w:val="0"/>
    <w:pPr>
      <w:autoSpaceDE/>
      <w:autoSpaceDN/>
    </w:pPr>
    <w:rPr>
      <w:rFonts w:cs="Times New Roman"/>
      <w:kern w:val="2"/>
    </w:rPr>
  </w:style>
  <w:style w:type="paragraph" w:customStyle="1" w:styleId="632">
    <w:name w:val="Char Char Char Char Char2 Char"/>
    <w:basedOn w:val="1"/>
    <w:qFormat/>
    <w:uiPriority w:val="0"/>
    <w:pPr>
      <w:adjustRightInd w:val="0"/>
      <w:snapToGrid w:val="0"/>
      <w:spacing w:line="360" w:lineRule="auto"/>
      <w:ind w:firstLine="200" w:firstLineChars="200"/>
    </w:pPr>
    <w:rPr>
      <w:rFonts w:ascii="宋体"/>
      <w:kern w:val="0"/>
      <w:szCs w:val="24"/>
    </w:rPr>
  </w:style>
  <w:style w:type="character" w:customStyle="1" w:styleId="633">
    <w:name w:val="apple-converted-space"/>
    <w:basedOn w:val="63"/>
    <w:qFormat/>
    <w:uiPriority w:val="0"/>
  </w:style>
  <w:style w:type="paragraph" w:customStyle="1" w:styleId="634">
    <w:name w:val="评价报告正文"/>
    <w:basedOn w:val="1"/>
    <w:qFormat/>
    <w:uiPriority w:val="0"/>
    <w:pPr>
      <w:spacing w:line="360" w:lineRule="auto"/>
      <w:ind w:firstLine="560"/>
    </w:pPr>
  </w:style>
  <w:style w:type="paragraph" w:customStyle="1" w:styleId="635">
    <w:name w:val="样式 宋体 小四 首行缩进:  0.99 厘米 行距: 最小值 28.9 磅"/>
    <w:basedOn w:val="1"/>
    <w:qFormat/>
    <w:uiPriority w:val="0"/>
    <w:pPr>
      <w:spacing w:line="578" w:lineRule="atLeast"/>
      <w:ind w:firstLine="200" w:firstLineChars="200"/>
    </w:pPr>
    <w:rPr>
      <w:sz w:val="24"/>
      <w:szCs w:val="20"/>
    </w:rPr>
  </w:style>
  <w:style w:type="paragraph" w:customStyle="1" w:styleId="636">
    <w:name w:val="正文（首行缩进两字）"/>
    <w:basedOn w:val="1"/>
    <w:qFormat/>
    <w:uiPriority w:val="0"/>
    <w:pPr>
      <w:spacing w:line="360" w:lineRule="auto"/>
    </w:pPr>
    <w:rPr>
      <w:kern w:val="0"/>
      <w:sz w:val="20"/>
      <w:szCs w:val="21"/>
    </w:rPr>
  </w:style>
  <w:style w:type="character" w:customStyle="1" w:styleId="637">
    <w:name w:val="1图表内容 Char"/>
    <w:qFormat/>
    <w:uiPriority w:val="0"/>
    <w:rPr>
      <w:rFonts w:ascii="宋体" w:eastAsia="宋体" w:cs="宋体"/>
      <w:bCs/>
      <w:kern w:val="28"/>
      <w:szCs w:val="32"/>
      <w:lang w:val="en-US" w:eastAsia="zh-CN"/>
    </w:rPr>
  </w:style>
  <w:style w:type="character" w:customStyle="1" w:styleId="638">
    <w:name w:val="1图表名称 Char"/>
    <w:qFormat/>
    <w:uiPriority w:val="0"/>
    <w:rPr>
      <w:rFonts w:ascii="宋体" w:eastAsia="宋体" w:cs="宋体"/>
      <w:b/>
      <w:szCs w:val="28"/>
      <w:lang w:val="en-US" w:eastAsia="zh-CN"/>
    </w:rPr>
  </w:style>
  <w:style w:type="paragraph" w:customStyle="1" w:styleId="639">
    <w:name w:val="标正"/>
    <w:basedOn w:val="1"/>
    <w:qFormat/>
    <w:uiPriority w:val="0"/>
    <w:pPr>
      <w:spacing w:before="50" w:beforeLines="50" w:line="360" w:lineRule="exact"/>
      <w:ind w:firstLine="200" w:firstLineChars="200"/>
    </w:pPr>
    <w:rPr>
      <w:rFonts w:ascii="宋体"/>
      <w:bCs/>
      <w:kern w:val="0"/>
      <w:sz w:val="20"/>
      <w:szCs w:val="24"/>
    </w:rPr>
  </w:style>
  <w:style w:type="paragraph" w:customStyle="1" w:styleId="640">
    <w:name w:val="样式 样式 样式 样式 样式 正文A + 首行缩进:  2 字符 + 首行缩进:  2 字符 + 两端对齐 首行缩进:  2 字..."/>
    <w:basedOn w:val="1"/>
    <w:qFormat/>
    <w:uiPriority w:val="0"/>
    <w:pPr>
      <w:tabs>
        <w:tab w:val="left" w:pos="578"/>
        <w:tab w:val="left" w:pos="1074"/>
        <w:tab w:val="left" w:pos="1595"/>
        <w:tab w:val="left" w:pos="2073"/>
        <w:tab w:val="left" w:pos="2507"/>
        <w:tab w:val="left" w:pos="3025"/>
        <w:tab w:val="left" w:pos="3991"/>
      </w:tabs>
      <w:spacing w:line="360" w:lineRule="auto"/>
      <w:ind w:firstLine="200" w:firstLineChars="200"/>
    </w:pPr>
    <w:rPr>
      <w:rFonts w:cs="宋体"/>
      <w:kern w:val="0"/>
    </w:rPr>
  </w:style>
  <w:style w:type="character" w:customStyle="1" w:styleId="641">
    <w:name w:val="标题 4 Char Char Char"/>
    <w:qFormat/>
    <w:uiPriority w:val="0"/>
    <w:rPr>
      <w:rFonts w:eastAsia="宋体"/>
      <w:spacing w:val="-2"/>
      <w:sz w:val="28"/>
      <w:szCs w:val="28"/>
      <w:lang w:val="en-US" w:eastAsia="zh-CN" w:bidi="ar-SA"/>
    </w:rPr>
  </w:style>
  <w:style w:type="character" w:customStyle="1" w:styleId="642">
    <w:name w:val="正文（首行缩进两字） Char Char"/>
    <w:qFormat/>
    <w:uiPriority w:val="0"/>
    <w:rPr>
      <w:kern w:val="2"/>
      <w:sz w:val="21"/>
      <w:szCs w:val="21"/>
    </w:rPr>
  </w:style>
  <w:style w:type="character" w:customStyle="1" w:styleId="643">
    <w:name w:val="标题 2 Char Char Char"/>
    <w:autoRedefine/>
    <w:qFormat/>
    <w:uiPriority w:val="0"/>
    <w:rPr>
      <w:rFonts w:ascii="宋体" w:hAnsi="宋体"/>
      <w:kern w:val="28"/>
    </w:rPr>
  </w:style>
  <w:style w:type="character" w:customStyle="1" w:styleId="644">
    <w:name w:val="样式 首行缩进:  2 字符"/>
    <w:basedOn w:val="63"/>
    <w:autoRedefine/>
    <w:qFormat/>
    <w:uiPriority w:val="0"/>
  </w:style>
  <w:style w:type="character" w:customStyle="1" w:styleId="645">
    <w:name w:val="Mystyle 3 Char Char"/>
    <w:autoRedefine/>
    <w:qFormat/>
    <w:uiPriority w:val="0"/>
    <w:rPr>
      <w:rFonts w:eastAsia="隶书"/>
      <w:kern w:val="10"/>
      <w:sz w:val="28"/>
      <w:szCs w:val="28"/>
      <w:lang w:val="en-US" w:eastAsia="zh-CN" w:bidi="ar-SA"/>
    </w:rPr>
  </w:style>
  <w:style w:type="character" w:customStyle="1" w:styleId="646">
    <w:name w:val="样式 宋体 小四 黑色"/>
    <w:autoRedefine/>
    <w:qFormat/>
    <w:uiPriority w:val="0"/>
    <w:rPr>
      <w:rFonts w:ascii="宋体" w:hAnsi="宋体"/>
      <w:color w:val="000000"/>
      <w:sz w:val="24"/>
    </w:rPr>
  </w:style>
  <w:style w:type="paragraph" w:customStyle="1" w:styleId="647">
    <w:name w:val="样式 样式 标题4 + 宋体 小四 加粗 + 段后: 1 行"/>
    <w:basedOn w:val="1"/>
    <w:autoRedefine/>
    <w:qFormat/>
    <w:uiPriority w:val="0"/>
    <w:pPr>
      <w:keepNext/>
      <w:keepLines/>
      <w:widowControl w:val="0"/>
      <w:spacing w:before="50" w:beforeLines="50" w:line="415" w:lineRule="auto"/>
      <w:ind w:firstLine="200" w:firstLineChars="200"/>
      <w:outlineLvl w:val="2"/>
    </w:pPr>
    <w:rPr>
      <w:rFonts w:ascii="宋体" w:cs="宋体"/>
      <w:b/>
      <w:bCs/>
      <w:szCs w:val="20"/>
    </w:rPr>
  </w:style>
  <w:style w:type="paragraph" w:customStyle="1" w:styleId="648">
    <w:name w:val="标题3 Char Char Char Char"/>
    <w:basedOn w:val="1"/>
    <w:autoRedefine/>
    <w:qFormat/>
    <w:uiPriority w:val="0"/>
    <w:pPr>
      <w:spacing w:after="50" w:afterLines="50" w:line="560" w:lineRule="exact"/>
    </w:pPr>
    <w:rPr>
      <w:rFonts w:eastAsia="黑体"/>
      <w:sz w:val="30"/>
      <w:szCs w:val="30"/>
    </w:rPr>
  </w:style>
  <w:style w:type="paragraph" w:customStyle="1" w:styleId="649">
    <w:name w:val="节号"/>
    <w:basedOn w:val="1"/>
    <w:autoRedefine/>
    <w:qFormat/>
    <w:uiPriority w:val="0"/>
    <w:pPr>
      <w:spacing w:before="200" w:beforeLines="200" w:after="50" w:afterLines="50" w:line="360" w:lineRule="exact"/>
      <w:jc w:val="center"/>
    </w:pPr>
    <w:rPr>
      <w:sz w:val="24"/>
      <w:szCs w:val="24"/>
    </w:rPr>
  </w:style>
  <w:style w:type="paragraph" w:customStyle="1" w:styleId="650">
    <w:name w:val="段号"/>
    <w:basedOn w:val="1"/>
    <w:autoRedefine/>
    <w:qFormat/>
    <w:uiPriority w:val="0"/>
    <w:pPr>
      <w:spacing w:before="100" w:beforeLines="100" w:after="50" w:afterLines="50" w:line="360" w:lineRule="exact"/>
      <w:ind w:firstLine="200" w:firstLineChars="200"/>
    </w:pPr>
    <w:rPr>
      <w:b/>
      <w:sz w:val="21"/>
      <w:szCs w:val="24"/>
    </w:rPr>
  </w:style>
  <w:style w:type="paragraph" w:customStyle="1" w:styleId="651">
    <w:name w:val="Body 1"/>
    <w:autoRedefine/>
    <w:qFormat/>
    <w:uiPriority w:val="0"/>
    <w:pPr>
      <w:spacing w:line="360" w:lineRule="auto"/>
      <w:jc w:val="both"/>
    </w:pPr>
    <w:rPr>
      <w:rFonts w:ascii="Helvetica" w:hAnsi="Helvetica" w:eastAsia="Arial Unicode MS" w:cs="Times New Roman"/>
      <w:color w:val="000000"/>
      <w:sz w:val="24"/>
      <w:szCs w:val="20"/>
      <w:lang w:val="en-US" w:eastAsia="zh-CN" w:bidi="ar-SA"/>
    </w:rPr>
  </w:style>
  <w:style w:type="paragraph" w:customStyle="1" w:styleId="652">
    <w:name w:val="我的样式"/>
    <w:basedOn w:val="1"/>
    <w:autoRedefine/>
    <w:qFormat/>
    <w:uiPriority w:val="0"/>
    <w:pPr>
      <w:spacing w:before="15" w:beforeLines="15" w:after="15" w:afterLines="15" w:line="500" w:lineRule="exact"/>
      <w:ind w:firstLine="601"/>
    </w:pPr>
    <w:rPr>
      <w:szCs w:val="32"/>
    </w:rPr>
  </w:style>
  <w:style w:type="paragraph" w:customStyle="1" w:styleId="653">
    <w:name w:val="tabletext"/>
    <w:basedOn w:val="1"/>
    <w:autoRedefine/>
    <w:qFormat/>
    <w:uiPriority w:val="0"/>
    <w:pPr>
      <w:widowControl/>
      <w:spacing w:before="45" w:after="45" w:line="225" w:lineRule="atLeast"/>
      <w:ind w:left="75" w:right="75"/>
      <w:jc w:val="left"/>
    </w:pPr>
    <w:rPr>
      <w:rFonts w:ascii="宋体" w:cs="宋体"/>
      <w:color w:val="333333"/>
      <w:kern w:val="0"/>
      <w:sz w:val="24"/>
      <w:szCs w:val="24"/>
    </w:rPr>
  </w:style>
  <w:style w:type="paragraph" w:customStyle="1" w:styleId="654">
    <w:name w:val="样式7"/>
    <w:basedOn w:val="6"/>
    <w:next w:val="1"/>
    <w:autoRedefine/>
    <w:qFormat/>
    <w:uiPriority w:val="0"/>
    <w:pPr>
      <w:keepNext/>
      <w:keepLines w:val="0"/>
      <w:widowControl w:val="0"/>
      <w:tabs>
        <w:tab w:val="left" w:pos="851"/>
      </w:tabs>
      <w:spacing w:before="0" w:line="260" w:lineRule="atLeast"/>
      <w:ind w:left="851" w:right="100" w:rightChars="100" w:hanging="851"/>
      <w:jc w:val="left"/>
    </w:pPr>
    <w:rPr>
      <w:rFonts w:ascii="宋体" w:cs="宋体"/>
      <w:kern w:val="10"/>
    </w:rPr>
  </w:style>
  <w:style w:type="paragraph" w:customStyle="1" w:styleId="655">
    <w:name w:val="正文文字缩进"/>
    <w:basedOn w:val="1"/>
    <w:autoRedefine/>
    <w:qFormat/>
    <w:uiPriority w:val="0"/>
    <w:pPr>
      <w:widowControl/>
      <w:spacing w:line="640" w:lineRule="atLeast"/>
      <w:ind w:firstLine="566"/>
      <w:jc w:val="left"/>
      <w:textAlignment w:val="baseline"/>
    </w:pPr>
    <w:rPr>
      <w:color w:val="000000"/>
      <w:kern w:val="0"/>
      <w:szCs w:val="20"/>
      <w:u w:color="000000"/>
    </w:rPr>
  </w:style>
  <w:style w:type="paragraph" w:customStyle="1" w:styleId="656">
    <w:name w:val="L正文"/>
    <w:basedOn w:val="1"/>
    <w:autoRedefine/>
    <w:qFormat/>
    <w:uiPriority w:val="0"/>
    <w:pPr>
      <w:spacing w:line="580" w:lineRule="exact"/>
      <w:ind w:firstLine="200" w:firstLineChars="200"/>
    </w:pPr>
    <w:rPr>
      <w:szCs w:val="24"/>
    </w:rPr>
  </w:style>
  <w:style w:type="paragraph" w:customStyle="1" w:styleId="657">
    <w:name w:val="样式 样式 我的样式 + 小四 段前: 0.15 行 段后: 0.15 行 行距: 1.5 倍行距 + 段前: 0.15 行 ..."/>
    <w:basedOn w:val="1"/>
    <w:autoRedefine/>
    <w:qFormat/>
    <w:uiPriority w:val="0"/>
    <w:pPr>
      <w:spacing w:before="15" w:beforeLines="15" w:after="15" w:afterLines="15" w:line="360" w:lineRule="auto"/>
      <w:ind w:firstLine="200" w:firstLineChars="200"/>
    </w:pPr>
    <w:rPr>
      <w:rFonts w:cs="宋体"/>
      <w:sz w:val="24"/>
      <w:szCs w:val="20"/>
    </w:rPr>
  </w:style>
  <w:style w:type="paragraph" w:customStyle="1" w:styleId="658">
    <w:name w:val="1图表名称"/>
    <w:basedOn w:val="1"/>
    <w:autoRedefine/>
    <w:qFormat/>
    <w:uiPriority w:val="0"/>
    <w:pPr>
      <w:widowControl/>
      <w:spacing w:line="240" w:lineRule="auto"/>
      <w:jc w:val="center"/>
    </w:pPr>
    <w:rPr>
      <w:b/>
      <w:bCs/>
      <w:kern w:val="0"/>
      <w:sz w:val="21"/>
      <w:szCs w:val="21"/>
    </w:rPr>
  </w:style>
  <w:style w:type="paragraph" w:customStyle="1" w:styleId="659">
    <w:name w:val="样式 首行缩进:  2字符"/>
    <w:basedOn w:val="1"/>
    <w:autoRedefine/>
    <w:qFormat/>
    <w:uiPriority w:val="0"/>
    <w:pPr>
      <w:snapToGrid w:val="0"/>
      <w:spacing w:line="360" w:lineRule="auto"/>
      <w:ind w:right="15" w:rightChars="15" w:firstLine="350" w:firstLineChars="350"/>
    </w:pPr>
    <w:rPr>
      <w:rFonts w:ascii="宋体" w:cs="宋体"/>
      <w:bCs/>
      <w:snapToGrid w:val="0"/>
      <w:color w:val="000000"/>
      <w:szCs w:val="20"/>
      <w:lang w:val="en-GB"/>
    </w:rPr>
  </w:style>
  <w:style w:type="paragraph" w:customStyle="1" w:styleId="660">
    <w:name w:val="1图表内容"/>
    <w:basedOn w:val="1"/>
    <w:autoRedefine/>
    <w:qFormat/>
    <w:uiPriority w:val="0"/>
    <w:pPr>
      <w:widowControl/>
      <w:spacing w:line="240" w:lineRule="auto"/>
      <w:jc w:val="center"/>
    </w:pPr>
    <w:rPr>
      <w:kern w:val="28"/>
      <w:sz w:val="21"/>
      <w:szCs w:val="21"/>
    </w:rPr>
  </w:style>
  <w:style w:type="paragraph" w:customStyle="1" w:styleId="661">
    <w:name w:val="首行缩进2字符"/>
    <w:basedOn w:val="1"/>
    <w:autoRedefine/>
    <w:qFormat/>
    <w:uiPriority w:val="0"/>
    <w:pPr>
      <w:spacing w:line="240" w:lineRule="auto"/>
      <w:ind w:firstLine="200" w:firstLineChars="200"/>
    </w:pPr>
    <w:rPr>
      <w:sz w:val="21"/>
      <w:szCs w:val="24"/>
    </w:rPr>
  </w:style>
  <w:style w:type="paragraph" w:customStyle="1" w:styleId="662">
    <w:name w:val="Table Paragraph"/>
    <w:basedOn w:val="1"/>
    <w:autoRedefine/>
    <w:qFormat/>
    <w:uiPriority w:val="0"/>
    <w:pPr>
      <w:autoSpaceDE w:val="0"/>
      <w:autoSpaceDN w:val="0"/>
      <w:spacing w:line="240" w:lineRule="auto"/>
      <w:jc w:val="center"/>
    </w:pPr>
    <w:rPr>
      <w:rFonts w:eastAsia="Times New Roman"/>
      <w:kern w:val="0"/>
      <w:sz w:val="22"/>
      <w:szCs w:val="22"/>
    </w:rPr>
  </w:style>
  <w:style w:type="paragraph" w:customStyle="1" w:styleId="663">
    <w:name w:val="表、图名"/>
    <w:basedOn w:val="1"/>
    <w:autoRedefine/>
    <w:qFormat/>
    <w:uiPriority w:val="0"/>
    <w:pPr>
      <w:adjustRightInd w:val="0"/>
      <w:snapToGrid w:val="0"/>
      <w:spacing w:line="240" w:lineRule="auto"/>
      <w:jc w:val="center"/>
    </w:pPr>
    <w:rPr>
      <w:rFonts w:ascii="黑体" w:eastAsia="黑体"/>
      <w:sz w:val="21"/>
      <w:szCs w:val="21"/>
    </w:rPr>
  </w:style>
  <w:style w:type="paragraph" w:customStyle="1" w:styleId="664">
    <w:name w:val="图"/>
    <w:basedOn w:val="1"/>
    <w:autoRedefine/>
    <w:qFormat/>
    <w:uiPriority w:val="0"/>
    <w:pPr>
      <w:adjustRightInd w:val="0"/>
      <w:snapToGrid w:val="0"/>
      <w:spacing w:line="240" w:lineRule="auto"/>
      <w:ind w:firstLine="200" w:firstLineChars="200"/>
      <w:jc w:val="center"/>
    </w:pPr>
    <w:rPr>
      <w:b/>
      <w:sz w:val="24"/>
      <w:szCs w:val="22"/>
    </w:rPr>
  </w:style>
  <w:style w:type="paragraph" w:customStyle="1" w:styleId="665">
    <w:name w:val="表"/>
    <w:basedOn w:val="1"/>
    <w:autoRedefine/>
    <w:qFormat/>
    <w:uiPriority w:val="0"/>
    <w:pPr>
      <w:spacing w:line="440" w:lineRule="exact"/>
      <w:ind w:firstLine="200" w:firstLineChars="200"/>
      <w:jc w:val="center"/>
    </w:pPr>
    <w:rPr>
      <w:sz w:val="24"/>
      <w:szCs w:val="24"/>
    </w:rPr>
  </w:style>
  <w:style w:type="paragraph" w:customStyle="1" w:styleId="666">
    <w:name w:val="MTDisplayEquation"/>
    <w:basedOn w:val="1"/>
    <w:next w:val="1"/>
    <w:autoRedefine/>
    <w:qFormat/>
    <w:uiPriority w:val="0"/>
    <w:pPr>
      <w:tabs>
        <w:tab w:val="center" w:pos="4160"/>
        <w:tab w:val="right" w:pos="8300"/>
      </w:tabs>
      <w:spacing w:line="360" w:lineRule="auto"/>
      <w:ind w:firstLine="200" w:firstLineChars="200"/>
    </w:pPr>
    <w:rPr>
      <w:sz w:val="24"/>
      <w:szCs w:val="24"/>
    </w:rPr>
  </w:style>
  <w:style w:type="paragraph" w:customStyle="1" w:styleId="667">
    <w:name w:val="表标题"/>
    <w:basedOn w:val="1"/>
    <w:autoRedefine/>
    <w:qFormat/>
    <w:uiPriority w:val="0"/>
    <w:pPr>
      <w:tabs>
        <w:tab w:val="center" w:pos="4153"/>
        <w:tab w:val="right" w:pos="8306"/>
      </w:tabs>
      <w:snapToGrid w:val="0"/>
      <w:spacing w:before="50" w:beforeLines="50" w:after="50" w:afterLines="50" w:line="240" w:lineRule="auto"/>
      <w:ind w:firstLine="200" w:firstLineChars="200"/>
      <w:jc w:val="center"/>
    </w:pPr>
    <w:rPr>
      <w:sz w:val="24"/>
      <w:szCs w:val="21"/>
    </w:rPr>
  </w:style>
  <w:style w:type="paragraph" w:customStyle="1" w:styleId="668">
    <w:name w:val="3级标题——小段"/>
    <w:basedOn w:val="1"/>
    <w:autoRedefine/>
    <w:qFormat/>
    <w:uiPriority w:val="0"/>
    <w:pPr>
      <w:adjustRightInd w:val="0"/>
      <w:snapToGrid w:val="0"/>
      <w:ind w:firstLine="200" w:firstLineChars="200"/>
      <w:jc w:val="left"/>
      <w:outlineLvl w:val="2"/>
    </w:pPr>
    <w:rPr>
      <w:b/>
      <w:sz w:val="30"/>
    </w:rPr>
  </w:style>
  <w:style w:type="paragraph" w:customStyle="1" w:styleId="669">
    <w:name w:val="2级标题——小节"/>
    <w:basedOn w:val="668"/>
    <w:autoRedefine/>
    <w:qFormat/>
    <w:uiPriority w:val="0"/>
    <w:pPr>
      <w:spacing w:after="100" w:afterLines="100"/>
      <w:jc w:val="center"/>
    </w:pPr>
    <w:rPr>
      <w:sz w:val="32"/>
    </w:rPr>
  </w:style>
  <w:style w:type="paragraph" w:customStyle="1" w:styleId="670">
    <w:name w:val="biaoge"/>
    <w:basedOn w:val="1"/>
    <w:autoRedefine/>
    <w:qFormat/>
    <w:uiPriority w:val="0"/>
    <w:pPr>
      <w:kinsoku w:val="0"/>
      <w:overflowPunct w:val="0"/>
      <w:autoSpaceDE w:val="0"/>
      <w:autoSpaceDN w:val="0"/>
      <w:adjustRightInd w:val="0"/>
      <w:snapToGrid w:val="0"/>
      <w:spacing w:line="240" w:lineRule="auto"/>
      <w:ind w:left="6" w:leftChars="-29" w:right="-47" w:rightChars="-47" w:hanging="35" w:hangingChars="35"/>
      <w:jc w:val="center"/>
      <w:textAlignment w:val="center"/>
    </w:pPr>
    <w:rPr>
      <w:rFonts w:eastAsia="等线"/>
      <w:kern w:val="0"/>
      <w:sz w:val="20"/>
      <w:szCs w:val="21"/>
    </w:rPr>
  </w:style>
  <w:style w:type="paragraph" w:customStyle="1" w:styleId="671">
    <w:name w:val="4级标题——小段的下面"/>
    <w:basedOn w:val="668"/>
    <w:qFormat/>
    <w:uiPriority w:val="0"/>
    <w:rPr>
      <w:sz w:val="28"/>
    </w:rPr>
  </w:style>
  <w:style w:type="paragraph" w:customStyle="1" w:styleId="672">
    <w:name w:val="目录 21"/>
    <w:basedOn w:val="1"/>
    <w:next w:val="1"/>
    <w:qFormat/>
    <w:uiPriority w:val="0"/>
    <w:pPr>
      <w:adjustRightInd w:val="0"/>
      <w:spacing w:before="100" w:beforeAutospacing="1" w:after="100" w:afterAutospacing="1" w:line="500" w:lineRule="exact"/>
      <w:ind w:left="280" w:firstLine="200" w:firstLineChars="200"/>
      <w:jc w:val="left"/>
      <w:textAlignment w:val="baseline"/>
    </w:pPr>
    <w:rPr>
      <w:smallCaps/>
      <w:kern w:val="0"/>
      <w:sz w:val="20"/>
      <w:szCs w:val="20"/>
    </w:rPr>
  </w:style>
  <w:style w:type="paragraph" w:customStyle="1" w:styleId="673">
    <w:name w:val="目录 11"/>
    <w:basedOn w:val="1"/>
    <w:next w:val="1"/>
    <w:qFormat/>
    <w:uiPriority w:val="0"/>
    <w:pPr>
      <w:adjustRightInd w:val="0"/>
      <w:spacing w:before="120" w:after="120" w:line="500" w:lineRule="exact"/>
      <w:ind w:firstLine="200" w:firstLineChars="200"/>
      <w:jc w:val="left"/>
      <w:textAlignment w:val="baseline"/>
    </w:pPr>
    <w:rPr>
      <w:b/>
      <w:bCs/>
      <w:caps/>
      <w:kern w:val="0"/>
      <w:sz w:val="20"/>
      <w:szCs w:val="20"/>
    </w:rPr>
  </w:style>
  <w:style w:type="paragraph" w:customStyle="1" w:styleId="674">
    <w:name w:val="_Style 9"/>
    <w:basedOn w:val="1"/>
    <w:qFormat/>
    <w:uiPriority w:val="0"/>
    <w:pPr>
      <w:spacing w:line="540" w:lineRule="exact"/>
      <w:ind w:firstLine="200" w:firstLineChars="200"/>
    </w:pPr>
    <w:rPr>
      <w:rFonts w:ascii="Calibri" w:hAnsi="Calibri" w:cs="Calibri"/>
      <w:sz w:val="24"/>
      <w:szCs w:val="24"/>
    </w:rPr>
  </w:style>
  <w:style w:type="paragraph" w:customStyle="1" w:styleId="675">
    <w:name w:val="目录 31"/>
    <w:basedOn w:val="1"/>
    <w:next w:val="1"/>
    <w:qFormat/>
    <w:uiPriority w:val="0"/>
    <w:pPr>
      <w:adjustRightInd w:val="0"/>
      <w:spacing w:before="100" w:beforeAutospacing="1" w:after="100" w:afterAutospacing="1" w:line="500" w:lineRule="exact"/>
      <w:ind w:left="560" w:firstLine="200" w:firstLineChars="200"/>
      <w:jc w:val="left"/>
      <w:textAlignment w:val="baseline"/>
    </w:pPr>
    <w:rPr>
      <w:i/>
      <w:iCs/>
      <w:kern w:val="0"/>
      <w:sz w:val="20"/>
      <w:szCs w:val="20"/>
    </w:rPr>
  </w:style>
  <w:style w:type="character" w:customStyle="1" w:styleId="676">
    <w:name w:val="10"/>
    <w:basedOn w:val="63"/>
    <w:qFormat/>
    <w:uiPriority w:val="0"/>
    <w:rPr>
      <w:rFonts w:ascii="Calibri" w:hAnsi="Calibri" w:cs="Calibri"/>
    </w:rPr>
  </w:style>
  <w:style w:type="character" w:customStyle="1" w:styleId="677">
    <w:name w:val="15"/>
    <w:basedOn w:val="63"/>
    <w:qFormat/>
    <w:uiPriority w:val="0"/>
    <w:rPr>
      <w:rFonts w:ascii="Calibri" w:hAnsi="Calibri" w:cs="Calibri"/>
      <w:color w:val="0000FF"/>
      <w:u w:val="single"/>
    </w:rPr>
  </w:style>
  <w:style w:type="character" w:customStyle="1" w:styleId="678">
    <w:name w:val="16"/>
    <w:basedOn w:val="63"/>
    <w:qFormat/>
    <w:uiPriority w:val="0"/>
    <w:rPr>
      <w:rFonts w:ascii="Calibri" w:hAnsi="Calibri" w:cs="Calibri"/>
    </w:rPr>
  </w:style>
  <w:style w:type="paragraph" w:customStyle="1" w:styleId="679">
    <w:name w:val="正文缩进1"/>
    <w:basedOn w:val="1"/>
    <w:qFormat/>
    <w:uiPriority w:val="0"/>
    <w:pPr>
      <w:snapToGrid w:val="0"/>
      <w:spacing w:line="360" w:lineRule="auto"/>
      <w:ind w:firstLine="200" w:firstLineChars="200"/>
    </w:pPr>
    <w:rPr>
      <w:rFonts w:ascii="Calibri" w:hAnsi="Calibri"/>
      <w:szCs w:val="22"/>
    </w:rPr>
  </w:style>
  <w:style w:type="paragraph" w:customStyle="1" w:styleId="680">
    <w:name w:val="0609 正文-0"/>
    <w:basedOn w:val="1"/>
    <w:qFormat/>
    <w:uiPriority w:val="0"/>
    <w:pPr>
      <w:spacing w:line="240" w:lineRule="auto"/>
      <w:ind w:firstLine="200" w:firstLineChars="200"/>
    </w:pPr>
    <w:rPr>
      <w:sz w:val="21"/>
      <w:szCs w:val="22"/>
    </w:rPr>
  </w:style>
  <w:style w:type="character" w:customStyle="1" w:styleId="681">
    <w:name w:val="标题 3 Char"/>
    <w:qFormat/>
    <w:uiPriority w:val="0"/>
    <w:rPr>
      <w:b/>
      <w:bCs/>
      <w:kern w:val="2"/>
      <w:sz w:val="30"/>
      <w:szCs w:val="32"/>
    </w:rPr>
  </w:style>
  <w:style w:type="character" w:customStyle="1" w:styleId="682">
    <w:name w:val="页眉 Char"/>
    <w:qFormat/>
    <w:uiPriority w:val="0"/>
    <w:rPr>
      <w:kern w:val="2"/>
      <w:sz w:val="18"/>
      <w:szCs w:val="18"/>
    </w:rPr>
  </w:style>
  <w:style w:type="character" w:customStyle="1" w:styleId="683">
    <w:name w:val="页脚 Char"/>
    <w:qFormat/>
    <w:uiPriority w:val="0"/>
    <w:rPr>
      <w:kern w:val="2"/>
      <w:sz w:val="18"/>
      <w:szCs w:val="18"/>
    </w:rPr>
  </w:style>
  <w:style w:type="character" w:customStyle="1" w:styleId="684">
    <w:name w:val="font111"/>
    <w:qFormat/>
    <w:uiPriority w:val="0"/>
    <w:rPr>
      <w:rFonts w:ascii="Times New Roman" w:hAnsi="Times New Roman" w:cs="Times New Roman"/>
      <w:color w:val="000000"/>
      <w:sz w:val="22"/>
      <w:szCs w:val="22"/>
      <w:u w:val="none"/>
      <w:vertAlign w:val="superscript"/>
    </w:rPr>
  </w:style>
  <w:style w:type="paragraph" w:customStyle="1" w:styleId="685">
    <w:name w:val="段落正文"/>
    <w:basedOn w:val="1"/>
    <w:qFormat/>
    <w:uiPriority w:val="0"/>
    <w:pPr>
      <w:autoSpaceDE w:val="0"/>
      <w:autoSpaceDN w:val="0"/>
      <w:adjustRightInd w:val="0"/>
      <w:ind w:firstLine="200" w:firstLineChars="200"/>
    </w:pPr>
    <w:rPr>
      <w:rFonts w:ascii="宋体"/>
      <w:kern w:val="0"/>
      <w:szCs w:val="20"/>
    </w:rPr>
  </w:style>
  <w:style w:type="paragraph" w:customStyle="1" w:styleId="686">
    <w:name w:val="样式 标题 4 + 左侧:  0.37 厘米 右侧:  1 字符"/>
    <w:basedOn w:val="6"/>
    <w:autoRedefine/>
    <w:qFormat/>
    <w:uiPriority w:val="0"/>
    <w:pPr>
      <w:spacing w:before="280" w:after="290" w:line="377" w:lineRule="auto"/>
      <w:ind w:left="210" w:right="210"/>
    </w:pPr>
    <w:rPr>
      <w:rFonts w:ascii="Cambria" w:hAnsi="Cambria" w:cs="宋体"/>
      <w:b/>
    </w:rPr>
  </w:style>
  <w:style w:type="paragraph" w:customStyle="1" w:styleId="687">
    <w:name w:val="表格11"/>
    <w:basedOn w:val="1"/>
    <w:autoRedefine/>
    <w:qFormat/>
    <w:uiPriority w:val="0"/>
    <w:pPr>
      <w:widowControl/>
      <w:spacing w:line="240" w:lineRule="auto"/>
      <w:ind w:firstLine="200" w:firstLineChars="200"/>
      <w:jc w:val="center"/>
    </w:pPr>
    <w:rPr>
      <w:rFonts w:cs="宋体"/>
      <w:kern w:val="0"/>
      <w:sz w:val="21"/>
      <w:szCs w:val="24"/>
    </w:rPr>
  </w:style>
  <w:style w:type="character" w:customStyle="1" w:styleId="688">
    <w:name w:val="正文文本缩进 字符2"/>
    <w:basedOn w:val="63"/>
    <w:qFormat/>
    <w:uiPriority w:val="0"/>
    <w:rPr>
      <w:kern w:val="2"/>
      <w:sz w:val="21"/>
      <w:szCs w:val="24"/>
    </w:rPr>
  </w:style>
  <w:style w:type="character" w:customStyle="1" w:styleId="689">
    <w:name w:val="标题 2 Char"/>
    <w:basedOn w:val="63"/>
    <w:qFormat/>
    <w:uiPriority w:val="0"/>
    <w:rPr>
      <w:rFonts w:ascii="等线 Light" w:eastAsia="等线 Light" w:cs="Times New Roman"/>
      <w:b/>
      <w:bCs/>
      <w:snapToGrid w:val="0"/>
      <w:kern w:val="0"/>
      <w:sz w:val="32"/>
      <w:szCs w:val="32"/>
    </w:rPr>
  </w:style>
  <w:style w:type="character" w:customStyle="1" w:styleId="690">
    <w:name w:val="标题 2 字符2"/>
    <w:autoRedefine/>
    <w:qFormat/>
    <w:uiPriority w:val="0"/>
    <w:rPr>
      <w:rFonts w:ascii="Times New Roman" w:hAnsi="Times New Roman" w:eastAsia="黑体" w:cs="Times New Roman"/>
      <w:b/>
      <w:bCs/>
      <w:kern w:val="0"/>
      <w:sz w:val="32"/>
      <w:szCs w:val="32"/>
      <w:lang w:val="zh-CN" w:eastAsia="zh-CN"/>
    </w:rPr>
  </w:style>
  <w:style w:type="character" w:customStyle="1" w:styleId="691">
    <w:name w:val="标题 4 字符1"/>
    <w:qFormat/>
    <w:uiPriority w:val="0"/>
    <w:rPr>
      <w:rFonts w:ascii="Times New Roman" w:hAnsi="Times New Roman" w:eastAsia="宋体" w:cs="Times New Roman"/>
      <w:bCs/>
      <w:kern w:val="0"/>
      <w:sz w:val="28"/>
      <w:szCs w:val="28"/>
      <w:lang w:val="zh-CN" w:eastAsia="zh-CN"/>
    </w:rPr>
  </w:style>
  <w:style w:type="paragraph" w:customStyle="1" w:styleId="692">
    <w:name w:val="封面标题"/>
    <w:basedOn w:val="1"/>
    <w:qFormat/>
    <w:uiPriority w:val="0"/>
    <w:pPr>
      <w:overflowPunct w:val="0"/>
      <w:adjustRightInd w:val="0"/>
      <w:spacing w:line="360" w:lineRule="auto"/>
      <w:ind w:firstLine="200" w:firstLineChars="200"/>
      <w:jc w:val="center"/>
      <w:textAlignment w:val="baseline"/>
    </w:pPr>
    <w:rPr>
      <w:rFonts w:ascii="宋体" w:cs="Arial"/>
      <w:b/>
      <w:kern w:val="28"/>
      <w:sz w:val="44"/>
      <w:szCs w:val="21"/>
    </w:rPr>
  </w:style>
  <w:style w:type="paragraph" w:customStyle="1" w:styleId="693">
    <w:name w:val="列出段落1"/>
    <w:basedOn w:val="1"/>
    <w:qFormat/>
    <w:uiPriority w:val="0"/>
    <w:pPr>
      <w:widowControl/>
      <w:spacing w:line="240" w:lineRule="auto"/>
      <w:ind w:left="720"/>
      <w:contextualSpacing/>
      <w:jc w:val="left"/>
    </w:pPr>
    <w:rPr>
      <w:kern w:val="0"/>
      <w:sz w:val="24"/>
      <w:szCs w:val="24"/>
    </w:rPr>
  </w:style>
  <w:style w:type="character" w:customStyle="1" w:styleId="694">
    <w:name w:val="正文首行缩进 字符"/>
    <w:autoRedefine/>
    <w:qFormat/>
    <w:uiPriority w:val="0"/>
    <w:rPr>
      <w:rFonts w:eastAsia="宋体"/>
      <w:lang w:val="en-US" w:eastAsia="zh-CN" w:bidi="ar-SA"/>
    </w:rPr>
  </w:style>
  <w:style w:type="character" w:customStyle="1" w:styleId="695">
    <w:name w:val="样式 标题 2第*章Underrubrik1prop2Heading 2 HiddenHeading 2 CCBSh...2 Char"/>
    <w:qFormat/>
    <w:uiPriority w:val="0"/>
    <w:rPr>
      <w:rFonts w:ascii="黑体" w:eastAsia="黑体"/>
      <w:b/>
      <w:bCs/>
      <w:sz w:val="32"/>
      <w:szCs w:val="32"/>
      <w:lang w:val="en-US" w:eastAsia="zh-CN" w:bidi="ar-SA"/>
    </w:rPr>
  </w:style>
  <w:style w:type="character" w:customStyle="1" w:styleId="696">
    <w:name w:val="样式 标题 2第*章Underrubrik1prop2Heading 2 HiddenHeading 2 CCBSh...3 Char"/>
    <w:qFormat/>
    <w:uiPriority w:val="0"/>
    <w:rPr>
      <w:rFonts w:ascii="Arial" w:hAnsi="Arial" w:eastAsia="黑体" w:cs="Times New Roman"/>
      <w:b/>
      <w:bCs/>
      <w:kern w:val="2"/>
      <w:sz w:val="32"/>
      <w:szCs w:val="32"/>
      <w:lang w:val="en-US" w:eastAsia="zh-CN" w:bidi="ar-SA"/>
    </w:rPr>
  </w:style>
  <w:style w:type="paragraph" w:customStyle="1" w:styleId="697">
    <w:name w:val="A正文"/>
    <w:qFormat/>
    <w:uiPriority w:val="0"/>
    <w:pPr>
      <w:widowControl w:val="0"/>
      <w:adjustRightInd w:val="0"/>
      <w:snapToGrid w:val="0"/>
      <w:spacing w:line="312" w:lineRule="auto"/>
      <w:ind w:firstLine="200" w:firstLineChars="200"/>
    </w:pPr>
    <w:rPr>
      <w:rFonts w:ascii="Times New Roman" w:hAnsi="Times New Roman" w:eastAsia="宋体" w:cs="Times New Roman"/>
      <w:kern w:val="2"/>
      <w:sz w:val="28"/>
      <w:szCs w:val="24"/>
      <w:lang w:val="en-US" w:eastAsia="zh-CN" w:bidi="ar-SA"/>
    </w:rPr>
  </w:style>
  <w:style w:type="character" w:customStyle="1" w:styleId="698">
    <w:name w:val="正文首行缩进 字符2"/>
    <w:qFormat/>
    <w:uiPriority w:val="0"/>
    <w:rPr>
      <w:rFonts w:ascii="Times New Roman" w:hAnsi="Times New Roman" w:eastAsia="宋体" w:cs="Times New Roman"/>
      <w:kern w:val="0"/>
      <w:sz w:val="28"/>
      <w:szCs w:val="24"/>
    </w:rPr>
  </w:style>
  <w:style w:type="character" w:customStyle="1" w:styleId="699">
    <w:name w:val="正文文本首行缩进 字符2"/>
    <w:autoRedefine/>
    <w:qFormat/>
    <w:uiPriority w:val="0"/>
    <w:rPr>
      <w:rFonts w:ascii="宋体" w:eastAsia="宋体" w:cs="Times New Roman"/>
      <w:kern w:val="0"/>
      <w:sz w:val="28"/>
      <w:szCs w:val="21"/>
    </w:rPr>
  </w:style>
  <w:style w:type="paragraph" w:customStyle="1" w:styleId="700">
    <w:name w:val="表格字"/>
    <w:basedOn w:val="1"/>
    <w:qFormat/>
    <w:uiPriority w:val="0"/>
    <w:pPr>
      <w:tabs>
        <w:tab w:val="left" w:leader="middleDot" w:pos="8134"/>
        <w:tab w:val="left" w:pos="8338"/>
        <w:tab w:val="left" w:pos="8460"/>
        <w:tab w:val="left" w:leader="middleDot" w:pos="8694"/>
      </w:tabs>
      <w:adjustRightInd w:val="0"/>
      <w:spacing w:line="0" w:lineRule="atLeast"/>
      <w:jc w:val="center"/>
    </w:pPr>
    <w:rPr>
      <w:rFonts w:ascii="仿宋_GB2312" w:eastAsia="仿宋_GB2312"/>
      <w:sz w:val="24"/>
      <w:szCs w:val="20"/>
    </w:rPr>
  </w:style>
  <w:style w:type="paragraph" w:customStyle="1" w:styleId="701">
    <w:name w:val="目录 81"/>
    <w:basedOn w:val="1"/>
    <w:next w:val="1"/>
    <w:qFormat/>
    <w:uiPriority w:val="0"/>
    <w:pPr>
      <w:spacing w:line="240" w:lineRule="auto"/>
      <w:ind w:left="1470"/>
      <w:jc w:val="left"/>
    </w:pPr>
    <w:rPr>
      <w:sz w:val="18"/>
      <w:szCs w:val="18"/>
    </w:rPr>
  </w:style>
  <w:style w:type="paragraph" w:customStyle="1" w:styleId="702">
    <w:name w:val="标3"/>
    <w:basedOn w:val="1"/>
    <w:qFormat/>
    <w:uiPriority w:val="0"/>
    <w:pPr>
      <w:spacing w:line="360" w:lineRule="auto"/>
      <w:outlineLvl w:val="2"/>
    </w:pPr>
    <w:rPr>
      <w:rFonts w:ascii="宋体"/>
      <w:b/>
    </w:rPr>
  </w:style>
  <w:style w:type="paragraph" w:customStyle="1" w:styleId="703">
    <w:name w:val="Char2"/>
    <w:basedOn w:val="1"/>
    <w:qFormat/>
    <w:uiPriority w:val="0"/>
    <w:pPr>
      <w:spacing w:line="240" w:lineRule="auto"/>
      <w:ind w:left="-48"/>
    </w:pPr>
    <w:rPr>
      <w:sz w:val="21"/>
      <w:szCs w:val="21"/>
    </w:rPr>
  </w:style>
  <w:style w:type="paragraph" w:customStyle="1" w:styleId="704">
    <w:name w:val="5）标书正文 首行缩进2字符"/>
    <w:basedOn w:val="1"/>
    <w:qFormat/>
    <w:uiPriority w:val="0"/>
    <w:pPr>
      <w:spacing w:line="480" w:lineRule="exact"/>
      <w:ind w:firstLine="200" w:firstLineChars="200"/>
    </w:pPr>
    <w:rPr>
      <w:rFonts w:ascii="仿宋_GB2312" w:eastAsia="仿宋_GB2312"/>
      <w:szCs w:val="20"/>
    </w:rPr>
  </w:style>
  <w:style w:type="paragraph" w:customStyle="1" w:styleId="705">
    <w:name w:val="Char Char Char Char Char Char Char2"/>
    <w:basedOn w:val="1"/>
    <w:qFormat/>
    <w:uiPriority w:val="0"/>
    <w:pPr>
      <w:spacing w:line="240" w:lineRule="auto"/>
    </w:pPr>
    <w:rPr>
      <w:sz w:val="21"/>
      <w:szCs w:val="24"/>
    </w:rPr>
  </w:style>
  <w:style w:type="paragraph" w:customStyle="1" w:styleId="706">
    <w:name w:val="目录 71"/>
    <w:basedOn w:val="1"/>
    <w:next w:val="1"/>
    <w:qFormat/>
    <w:uiPriority w:val="0"/>
    <w:pPr>
      <w:spacing w:line="240" w:lineRule="auto"/>
      <w:ind w:left="1260"/>
      <w:jc w:val="left"/>
    </w:pPr>
    <w:rPr>
      <w:sz w:val="18"/>
      <w:szCs w:val="18"/>
    </w:rPr>
  </w:style>
  <w:style w:type="paragraph" w:customStyle="1" w:styleId="707">
    <w:name w:val="Char6"/>
    <w:basedOn w:val="1"/>
    <w:qFormat/>
    <w:uiPriority w:val="0"/>
    <w:pPr>
      <w:spacing w:line="240" w:lineRule="auto"/>
      <w:ind w:left="-48"/>
    </w:pPr>
    <w:rPr>
      <w:sz w:val="21"/>
      <w:szCs w:val="24"/>
    </w:rPr>
  </w:style>
  <w:style w:type="paragraph" w:customStyle="1" w:styleId="708">
    <w:name w:val="Char Char Char Char Char Char Char3"/>
    <w:basedOn w:val="1"/>
    <w:qFormat/>
    <w:uiPriority w:val="0"/>
    <w:pPr>
      <w:spacing w:line="240" w:lineRule="auto"/>
    </w:pPr>
    <w:rPr>
      <w:sz w:val="21"/>
      <w:szCs w:val="24"/>
    </w:rPr>
  </w:style>
  <w:style w:type="paragraph" w:customStyle="1" w:styleId="709">
    <w:name w:val="目录 61"/>
    <w:basedOn w:val="1"/>
    <w:next w:val="1"/>
    <w:qFormat/>
    <w:uiPriority w:val="0"/>
    <w:pPr>
      <w:spacing w:line="240" w:lineRule="auto"/>
      <w:ind w:left="1050"/>
      <w:jc w:val="left"/>
    </w:pPr>
    <w:rPr>
      <w:sz w:val="18"/>
      <w:szCs w:val="18"/>
    </w:rPr>
  </w:style>
  <w:style w:type="paragraph" w:customStyle="1" w:styleId="710">
    <w:name w:val="样式 标题 3 + 行距: 固定值 30 磅"/>
    <w:basedOn w:val="5"/>
    <w:qFormat/>
    <w:uiPriority w:val="0"/>
    <w:pPr>
      <w:spacing w:before="260" w:after="260" w:line="600" w:lineRule="exact"/>
    </w:pPr>
    <w:rPr>
      <w:rFonts w:cs="宋体"/>
      <w:b/>
      <w:kern w:val="0"/>
      <w:sz w:val="28"/>
      <w:szCs w:val="28"/>
    </w:rPr>
  </w:style>
  <w:style w:type="paragraph" w:customStyle="1" w:styleId="711">
    <w:name w:val="Char4"/>
    <w:basedOn w:val="1"/>
    <w:qFormat/>
    <w:uiPriority w:val="0"/>
    <w:pPr>
      <w:spacing w:line="240" w:lineRule="auto"/>
      <w:ind w:left="-48"/>
    </w:pPr>
    <w:rPr>
      <w:sz w:val="21"/>
      <w:szCs w:val="21"/>
    </w:rPr>
  </w:style>
  <w:style w:type="paragraph" w:customStyle="1" w:styleId="712">
    <w:name w:val="目录 91"/>
    <w:basedOn w:val="1"/>
    <w:next w:val="1"/>
    <w:qFormat/>
    <w:uiPriority w:val="0"/>
    <w:pPr>
      <w:spacing w:line="240" w:lineRule="auto"/>
      <w:ind w:left="1680"/>
      <w:jc w:val="left"/>
    </w:pPr>
    <w:rPr>
      <w:sz w:val="18"/>
      <w:szCs w:val="18"/>
    </w:rPr>
  </w:style>
  <w:style w:type="paragraph" w:customStyle="1" w:styleId="713">
    <w:name w:val="目录 41"/>
    <w:basedOn w:val="1"/>
    <w:next w:val="1"/>
    <w:qFormat/>
    <w:uiPriority w:val="0"/>
    <w:pPr>
      <w:spacing w:line="240" w:lineRule="auto"/>
      <w:ind w:left="630"/>
      <w:jc w:val="left"/>
    </w:pPr>
    <w:rPr>
      <w:sz w:val="18"/>
      <w:szCs w:val="18"/>
    </w:rPr>
  </w:style>
  <w:style w:type="paragraph" w:customStyle="1" w:styleId="714">
    <w:name w:val="Char Char Char1 Char Char Char"/>
    <w:basedOn w:val="1"/>
    <w:qFormat/>
    <w:uiPriority w:val="0"/>
    <w:pPr>
      <w:spacing w:line="240" w:lineRule="auto"/>
    </w:pPr>
    <w:rPr>
      <w:sz w:val="21"/>
      <w:szCs w:val="24"/>
    </w:rPr>
  </w:style>
  <w:style w:type="paragraph" w:customStyle="1" w:styleId="715">
    <w:name w:val="Char5"/>
    <w:basedOn w:val="1"/>
    <w:qFormat/>
    <w:uiPriority w:val="0"/>
    <w:pPr>
      <w:spacing w:line="240" w:lineRule="auto"/>
      <w:ind w:left="-48"/>
    </w:pPr>
    <w:rPr>
      <w:sz w:val="21"/>
      <w:szCs w:val="21"/>
    </w:rPr>
  </w:style>
  <w:style w:type="paragraph" w:customStyle="1" w:styleId="716">
    <w:name w:val="样式 标题 2第*章Underrubrik1prop2Heading 2 HiddenHeading 2 CCBSh...3"/>
    <w:basedOn w:val="4"/>
    <w:qFormat/>
    <w:uiPriority w:val="0"/>
    <w:pPr>
      <w:spacing w:before="260" w:after="260" w:line="800" w:lineRule="exact"/>
      <w:jc w:val="left"/>
    </w:pPr>
    <w:rPr>
      <w:rFonts w:ascii="Times New Roman" w:hAnsi="Times New Roman" w:cs="Times New Roman"/>
      <w:b/>
      <w:kern w:val="0"/>
      <w:sz w:val="32"/>
    </w:rPr>
  </w:style>
  <w:style w:type="paragraph" w:customStyle="1" w:styleId="717">
    <w:name w:val="样式 标题 2第*章Underrubrik1prop2Heading 2 HiddenHeading 2 CCBSh...2"/>
    <w:basedOn w:val="4"/>
    <w:qFormat/>
    <w:uiPriority w:val="0"/>
    <w:pPr>
      <w:spacing w:before="260" w:after="260" w:line="800" w:lineRule="exact"/>
    </w:pPr>
    <w:rPr>
      <w:rFonts w:cs="Times New Roman"/>
      <w:b/>
      <w:kern w:val="0"/>
      <w:sz w:val="32"/>
    </w:rPr>
  </w:style>
  <w:style w:type="paragraph" w:customStyle="1" w:styleId="718">
    <w:name w:val="样式 标题 1标题 111 标题 1 + (中文) 黑体 小一 居中 段前: 200 磅"/>
    <w:basedOn w:val="3"/>
    <w:qFormat/>
    <w:uiPriority w:val="0"/>
    <w:pPr>
      <w:spacing w:before="340" w:after="340" w:line="1000" w:lineRule="exact"/>
      <w:jc w:val="center"/>
    </w:pPr>
    <w:rPr>
      <w:rFonts w:ascii="Times New Roman" w:hAnsi="Times New Roman" w:cs="宋体"/>
      <w:sz w:val="48"/>
      <w:szCs w:val="20"/>
    </w:rPr>
  </w:style>
  <w:style w:type="paragraph" w:customStyle="1" w:styleId="719">
    <w:name w:val="表题 Alt+H"/>
    <w:next w:val="28"/>
    <w:qFormat/>
    <w:uiPriority w:val="0"/>
    <w:pPr>
      <w:keepNext/>
      <w:keepLines/>
      <w:tabs>
        <w:tab w:val="center" w:pos="3693"/>
        <w:tab w:val="center" w:pos="7385"/>
      </w:tabs>
      <w:adjustRightInd w:val="0"/>
      <w:snapToGrid w:val="0"/>
      <w:spacing w:before="100" w:beforeLines="100" w:after="20" w:afterLines="20" w:line="0" w:lineRule="atLeast"/>
      <w:jc w:val="center"/>
    </w:pPr>
    <w:rPr>
      <w:rFonts w:ascii="Times New Roman" w:hAnsi="Times New Roman" w:eastAsia="黑体" w:cs="Times New Roman"/>
      <w:kern w:val="18"/>
      <w:sz w:val="18"/>
      <w:szCs w:val="20"/>
      <w:lang w:val="en-US" w:eastAsia="zh-CN" w:bidi="ar-SA"/>
    </w:rPr>
  </w:style>
  <w:style w:type="paragraph" w:customStyle="1" w:styleId="720">
    <w:name w:val="Char Char Char Char Char Char Char Char Char Char"/>
    <w:basedOn w:val="1"/>
    <w:qFormat/>
    <w:uiPriority w:val="0"/>
    <w:pPr>
      <w:spacing w:line="240" w:lineRule="auto"/>
    </w:pPr>
    <w:rPr>
      <w:sz w:val="21"/>
      <w:szCs w:val="24"/>
    </w:rPr>
  </w:style>
  <w:style w:type="paragraph" w:customStyle="1" w:styleId="721">
    <w:name w:val="目录 51"/>
    <w:basedOn w:val="1"/>
    <w:next w:val="1"/>
    <w:qFormat/>
    <w:uiPriority w:val="0"/>
    <w:pPr>
      <w:spacing w:line="240" w:lineRule="auto"/>
      <w:ind w:left="840"/>
      <w:jc w:val="left"/>
    </w:pPr>
    <w:rPr>
      <w:sz w:val="18"/>
      <w:szCs w:val="18"/>
    </w:rPr>
  </w:style>
  <w:style w:type="paragraph" w:customStyle="1" w:styleId="722">
    <w:name w:val="标题四"/>
    <w:basedOn w:val="6"/>
    <w:qFormat/>
    <w:uiPriority w:val="0"/>
    <w:pPr>
      <w:tabs>
        <w:tab w:val="left" w:pos="360"/>
      </w:tabs>
      <w:spacing w:before="260" w:after="260"/>
    </w:pPr>
    <w:rPr>
      <w:rFonts w:eastAsia="Times New Roman" w:cs="Times New Roman"/>
      <w:sz w:val="21"/>
    </w:rPr>
  </w:style>
  <w:style w:type="paragraph" w:customStyle="1" w:styleId="723">
    <w:name w:val="样式 标题 2第*章Underrubrik1prop2Heading 2 HiddenHeading 2 CCBSh...1"/>
    <w:basedOn w:val="4"/>
    <w:qFormat/>
    <w:uiPriority w:val="0"/>
    <w:pPr>
      <w:spacing w:before="260" w:after="260" w:line="800" w:lineRule="exact"/>
    </w:pPr>
    <w:rPr>
      <w:rFonts w:ascii="Times New Roman" w:hAnsi="Times New Roman" w:cs="Times New Roman"/>
      <w:b/>
      <w:kern w:val="0"/>
      <w:sz w:val="32"/>
    </w:rPr>
  </w:style>
  <w:style w:type="paragraph" w:customStyle="1" w:styleId="724">
    <w:name w:val="列出段落2"/>
    <w:basedOn w:val="1"/>
    <w:qFormat/>
    <w:uiPriority w:val="0"/>
    <w:pPr>
      <w:widowControl/>
      <w:spacing w:line="240" w:lineRule="auto"/>
      <w:ind w:left="720"/>
      <w:contextualSpacing/>
      <w:jc w:val="left"/>
    </w:pPr>
    <w:rPr>
      <w:rFonts w:ascii="Calibri" w:hAnsi="Calibri"/>
      <w:kern w:val="0"/>
      <w:sz w:val="24"/>
      <w:szCs w:val="24"/>
    </w:rPr>
  </w:style>
  <w:style w:type="paragraph" w:customStyle="1" w:styleId="725">
    <w:name w:val="列出段落3"/>
    <w:basedOn w:val="1"/>
    <w:qFormat/>
    <w:uiPriority w:val="0"/>
    <w:pPr>
      <w:widowControl/>
      <w:spacing w:line="240" w:lineRule="auto"/>
      <w:ind w:left="720"/>
      <w:contextualSpacing/>
      <w:jc w:val="left"/>
    </w:pPr>
    <w:rPr>
      <w:rFonts w:ascii="Calibri" w:hAnsi="Calibri"/>
      <w:kern w:val="0"/>
      <w:sz w:val="24"/>
      <w:szCs w:val="24"/>
    </w:rPr>
  </w:style>
  <w:style w:type="paragraph" w:customStyle="1" w:styleId="726">
    <w:name w:val="文章正文"/>
    <w:basedOn w:val="1"/>
    <w:qFormat/>
    <w:uiPriority w:val="0"/>
    <w:pPr>
      <w:spacing w:before="20" w:beforeLines="20" w:after="20" w:afterLines="20" w:line="500" w:lineRule="exact"/>
      <w:ind w:firstLine="200" w:firstLineChars="200"/>
    </w:pPr>
    <w:rPr>
      <w:szCs w:val="22"/>
    </w:rPr>
  </w:style>
  <w:style w:type="character" w:customStyle="1" w:styleId="727">
    <w:name w:val="Unresolved Mention"/>
    <w:basedOn w:val="63"/>
    <w:qFormat/>
    <w:uiPriority w:val="0"/>
    <w:rPr>
      <w:color w:val="605E5C"/>
      <w:shd w:val="clear" w:color="auto" w:fill="E1DFDD"/>
    </w:rPr>
  </w:style>
  <w:style w:type="paragraph" w:customStyle="1" w:styleId="728">
    <w:name w:val="00-表头"/>
    <w:basedOn w:val="1"/>
    <w:autoRedefine/>
    <w:qFormat/>
    <w:uiPriority w:val="0"/>
    <w:pPr>
      <w:adjustRightInd w:val="0"/>
      <w:snapToGrid w:val="0"/>
      <w:spacing w:line="240" w:lineRule="auto"/>
      <w:ind w:firstLine="0"/>
      <w:jc w:val="center"/>
      <w:outlineLvl w:val="5"/>
    </w:pPr>
    <w:rPr>
      <w:rFonts w:eastAsia="黑体"/>
    </w:rPr>
  </w:style>
  <w:style w:type="paragraph" w:customStyle="1" w:styleId="729">
    <w:name w:val="00-表格"/>
    <w:basedOn w:val="1"/>
    <w:next w:val="1"/>
    <w:qFormat/>
    <w:uiPriority w:val="0"/>
    <w:pPr>
      <w:snapToGrid w:val="0"/>
      <w:spacing w:line="240" w:lineRule="auto"/>
      <w:ind w:firstLine="0"/>
      <w:jc w:val="center"/>
    </w:pPr>
    <w:rPr>
      <w:sz w:val="22"/>
    </w:rPr>
  </w:style>
  <w:style w:type="paragraph" w:customStyle="1" w:styleId="730">
    <w:name w:val="图标标题"/>
    <w:basedOn w:val="1"/>
    <w:autoRedefine/>
    <w:qFormat/>
    <w:uiPriority w:val="0"/>
    <w:pPr>
      <w:adjustRightInd w:val="0"/>
      <w:spacing w:line="240" w:lineRule="auto"/>
      <w:ind w:firstLine="0"/>
      <w:jc w:val="center"/>
    </w:pPr>
    <w:rPr>
      <w:rFonts w:cs="Arial"/>
      <w:snapToGrid w:val="0"/>
      <w:color w:val="FF0000"/>
    </w:rPr>
  </w:style>
  <w:style w:type="paragraph" w:customStyle="1" w:styleId="731">
    <w:name w:val="表内小四"/>
    <w:basedOn w:val="1"/>
    <w:autoRedefine/>
    <w:qFormat/>
    <w:uiPriority w:val="0"/>
    <w:pPr>
      <w:spacing w:line="240" w:lineRule="auto"/>
      <w:ind w:firstLine="0"/>
      <w:jc w:val="center"/>
    </w:pPr>
    <w:rPr>
      <w:sz w:val="24"/>
      <w:szCs w:val="24"/>
    </w:rPr>
  </w:style>
  <w:style w:type="paragraph" w:customStyle="1" w:styleId="732">
    <w:name w:val="图表正文"/>
    <w:basedOn w:val="1"/>
    <w:qFormat/>
    <w:uiPriority w:val="0"/>
    <w:pPr>
      <w:spacing w:line="240" w:lineRule="atLeast"/>
      <w:ind w:firstLine="0"/>
      <w:jc w:val="center"/>
    </w:pPr>
    <w:rPr>
      <w:rFonts w:ascii="Times New Roman" w:hAnsi="Times New Roman" w:eastAsia="宋体"/>
      <w:kern w:val="2"/>
      <w:sz w:val="21"/>
      <w:szCs w:val="22"/>
    </w:rPr>
  </w:style>
  <w:style w:type="paragraph" w:customStyle="1" w:styleId="733">
    <w:name w:val="图表标题"/>
    <w:basedOn w:val="1"/>
    <w:qFormat/>
    <w:uiPriority w:val="0"/>
    <w:pPr>
      <w:ind w:firstLine="0"/>
      <w:jc w:val="center"/>
    </w:pPr>
    <w:rPr>
      <w:rFonts w:ascii="Times New Roman" w:hAnsi="Times New Roman"/>
      <w:b/>
      <w:sz w:val="21"/>
      <w:szCs w:val="22"/>
    </w:rPr>
  </w:style>
  <w:style w:type="paragraph" w:customStyle="1" w:styleId="734">
    <w:name w:val="0表格内容"/>
    <w:basedOn w:val="1"/>
    <w:qFormat/>
    <w:uiPriority w:val="0"/>
    <w:pPr>
      <w:wordWrap w:val="0"/>
      <w:adjustRightInd w:val="0"/>
      <w:snapToGrid w:val="0"/>
      <w:spacing w:line="240" w:lineRule="auto"/>
      <w:ind w:firstLine="0"/>
      <w:jc w:val="center"/>
    </w:pPr>
    <w:rPr>
      <w:rFonts w:ascii="Times New Roman" w:hAnsi="Times New Roman"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6" Type="http://schemas.openxmlformats.org/officeDocument/2006/relationships/fontTable" Target="fontTable.xml"/><Relationship Id="rId55" Type="http://schemas.openxmlformats.org/officeDocument/2006/relationships/customXml" Target="../customXml/item1.xml"/><Relationship Id="rId54" Type="http://schemas.openxmlformats.org/officeDocument/2006/relationships/numbering" Target="numbering.xml"/><Relationship Id="rId53" Type="http://schemas.openxmlformats.org/officeDocument/2006/relationships/image" Target="media/image28.wmf"/><Relationship Id="rId52" Type="http://schemas.openxmlformats.org/officeDocument/2006/relationships/oleObject" Target="embeddings/oleObject15.bin"/><Relationship Id="rId51" Type="http://schemas.openxmlformats.org/officeDocument/2006/relationships/image" Target="media/image27.wmf"/><Relationship Id="rId50" Type="http://schemas.openxmlformats.org/officeDocument/2006/relationships/oleObject" Target="embeddings/oleObject14.bin"/><Relationship Id="rId5" Type="http://schemas.openxmlformats.org/officeDocument/2006/relationships/header" Target="header1.xml"/><Relationship Id="rId49" Type="http://schemas.openxmlformats.org/officeDocument/2006/relationships/image" Target="media/image26.wmf"/><Relationship Id="rId48" Type="http://schemas.openxmlformats.org/officeDocument/2006/relationships/oleObject" Target="embeddings/oleObject13.bin"/><Relationship Id="rId47" Type="http://schemas.openxmlformats.org/officeDocument/2006/relationships/image" Target="media/image25.wmf"/><Relationship Id="rId46" Type="http://schemas.openxmlformats.org/officeDocument/2006/relationships/oleObject" Target="embeddings/oleObject12.bin"/><Relationship Id="rId45" Type="http://schemas.openxmlformats.org/officeDocument/2006/relationships/image" Target="media/image24.wmf"/><Relationship Id="rId44" Type="http://schemas.openxmlformats.org/officeDocument/2006/relationships/oleObject" Target="embeddings/oleObject11.bin"/><Relationship Id="rId43" Type="http://schemas.openxmlformats.org/officeDocument/2006/relationships/image" Target="media/image23.wmf"/><Relationship Id="rId42" Type="http://schemas.openxmlformats.org/officeDocument/2006/relationships/oleObject" Target="embeddings/oleObject10.bin"/><Relationship Id="rId41" Type="http://schemas.openxmlformats.org/officeDocument/2006/relationships/image" Target="media/image22.wmf"/><Relationship Id="rId40" Type="http://schemas.openxmlformats.org/officeDocument/2006/relationships/oleObject" Target="embeddings/oleObject9.bin"/><Relationship Id="rId4" Type="http://schemas.openxmlformats.org/officeDocument/2006/relationships/endnotes" Target="endnotes.xml"/><Relationship Id="rId39" Type="http://schemas.openxmlformats.org/officeDocument/2006/relationships/image" Target="media/image21.wmf"/><Relationship Id="rId38" Type="http://schemas.openxmlformats.org/officeDocument/2006/relationships/oleObject" Target="embeddings/oleObject8.bin"/><Relationship Id="rId37" Type="http://schemas.openxmlformats.org/officeDocument/2006/relationships/image" Target="media/image20.wmf"/><Relationship Id="rId36" Type="http://schemas.openxmlformats.org/officeDocument/2006/relationships/oleObject" Target="embeddings/oleObject7.bin"/><Relationship Id="rId35" Type="http://schemas.openxmlformats.org/officeDocument/2006/relationships/image" Target="media/image19.wmf"/><Relationship Id="rId34" Type="http://schemas.openxmlformats.org/officeDocument/2006/relationships/oleObject" Target="embeddings/oleObject6.bin"/><Relationship Id="rId33" Type="http://schemas.openxmlformats.org/officeDocument/2006/relationships/image" Target="media/image18.wmf"/><Relationship Id="rId32" Type="http://schemas.openxmlformats.org/officeDocument/2006/relationships/oleObject" Target="embeddings/oleObject5.bin"/><Relationship Id="rId31" Type="http://schemas.openxmlformats.org/officeDocument/2006/relationships/image" Target="media/image17.wmf"/><Relationship Id="rId30" Type="http://schemas.openxmlformats.org/officeDocument/2006/relationships/oleObject" Target="embeddings/oleObject4.bin"/><Relationship Id="rId3" Type="http://schemas.openxmlformats.org/officeDocument/2006/relationships/footnotes" Target="footnotes.xml"/><Relationship Id="rId29" Type="http://schemas.openxmlformats.org/officeDocument/2006/relationships/image" Target="media/image16.wmf"/><Relationship Id="rId28" Type="http://schemas.openxmlformats.org/officeDocument/2006/relationships/oleObject" Target="embeddings/oleObject3.bin"/><Relationship Id="rId27" Type="http://schemas.openxmlformats.org/officeDocument/2006/relationships/image" Target="media/image15.wmf"/><Relationship Id="rId26" Type="http://schemas.openxmlformats.org/officeDocument/2006/relationships/oleObject" Target="embeddings/oleObject2.bin"/><Relationship Id="rId25" Type="http://schemas.openxmlformats.org/officeDocument/2006/relationships/image" Target="media/image14.wmf"/><Relationship Id="rId24" Type="http://schemas.openxmlformats.org/officeDocument/2006/relationships/oleObject" Target="embeddings/oleObject1.bin"/><Relationship Id="rId23" Type="http://schemas.openxmlformats.org/officeDocument/2006/relationships/image" Target="media/image13.wmf"/><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emf"/><Relationship Id="rId12" Type="http://schemas.openxmlformats.org/officeDocument/2006/relationships/image" Target="media/image2.emf"/><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9B94A7F7-20CA-45ED-B289-6B4DD315E685}">
  <ds:schemaRefs/>
</ds:datastoreItem>
</file>

<file path=docProps/app.xml><?xml version="1.0" encoding="utf-8"?>
<Properties xmlns="http://schemas.openxmlformats.org/officeDocument/2006/extended-properties" xmlns:vt="http://schemas.openxmlformats.org/officeDocument/2006/docPropsVTypes">
  <Template>Normal.eit</Template>
  <Pages>86</Pages>
  <Words>30217</Words>
  <Characters>36071</Characters>
  <Lines>4362</Lines>
  <Paragraphs>3053</Paragraphs>
  <TotalTime>19</TotalTime>
  <ScaleCrop>false</ScaleCrop>
  <LinksUpToDate>false</LinksUpToDate>
  <CharactersWithSpaces>36764</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2023-11-23T14:46:00Z</dcterms:created>
  <dc:creator>Windows 用户</dc:creator>
  <cp:lastModifiedBy>Liuliu</cp:lastModifiedBy>
  <cp:lastPrinted>2023-11-24T02:26:00Z</cp:lastPrinted>
  <dcterms:modified xsi:type="dcterms:W3CDTF">2024-07-18T08:54:56Z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8E11DABA4F254A529D281AF5E5CE7D42_13</vt:lpwstr>
  </property>
</Properties>
</file>